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2FD44">
      <w:pPr>
        <w:jc w:val="right"/>
        <w:rPr>
          <w:rFonts w:ascii="宋体" w:hAnsi="宋体"/>
          <w:b/>
          <w:bCs/>
          <w:sz w:val="28"/>
          <w:szCs w:val="28"/>
        </w:rPr>
      </w:pPr>
    </w:p>
    <w:p w14:paraId="6DEE9A04">
      <w:pPr>
        <w:jc w:val="right"/>
        <w:rPr>
          <w:rFonts w:ascii="宋体" w:hAnsi="宋体"/>
          <w:b/>
          <w:bCs/>
          <w:sz w:val="28"/>
          <w:szCs w:val="28"/>
        </w:rPr>
      </w:pPr>
    </w:p>
    <w:p w14:paraId="1A054644">
      <w:pPr>
        <w:pStyle w:val="9"/>
        <w:adjustRightInd w:val="0"/>
        <w:snapToGrid w:val="0"/>
        <w:spacing w:line="360" w:lineRule="auto"/>
        <w:jc w:val="center"/>
        <w:rPr>
          <w:rFonts w:hint="eastAsia" w:hAnsi="宋体" w:cs="宋体"/>
          <w:b/>
          <w:sz w:val="84"/>
          <w:szCs w:val="84"/>
          <w:lang w:val="en-US" w:eastAsia="zh-CN"/>
        </w:rPr>
      </w:pPr>
      <w:bookmarkStart w:id="0" w:name="_Toc1215"/>
      <w:r>
        <w:rPr>
          <w:rFonts w:hint="eastAsia" w:hAnsi="宋体" w:cs="宋体"/>
          <w:b/>
          <w:sz w:val="84"/>
          <w:szCs w:val="84"/>
          <w:lang w:val="en-US" w:eastAsia="zh-CN"/>
        </w:rPr>
        <w:t>政府采购</w:t>
      </w:r>
    </w:p>
    <w:p w14:paraId="26FE59B8">
      <w:pPr>
        <w:pStyle w:val="9"/>
        <w:adjustRightInd w:val="0"/>
        <w:snapToGrid w:val="0"/>
        <w:spacing w:line="360" w:lineRule="auto"/>
        <w:jc w:val="center"/>
        <w:rPr>
          <w:rFonts w:hAnsi="宋体" w:cs="宋体"/>
          <w:b/>
          <w:sz w:val="84"/>
          <w:szCs w:val="84"/>
        </w:rPr>
      </w:pPr>
      <w:r>
        <w:rPr>
          <w:rFonts w:hint="eastAsia" w:hAnsi="宋体" w:cs="宋体"/>
          <w:b/>
          <w:sz w:val="84"/>
          <w:szCs w:val="84"/>
        </w:rPr>
        <w:t>竞争性磋商文件</w:t>
      </w:r>
      <w:bookmarkEnd w:id="0"/>
    </w:p>
    <w:p w14:paraId="678FC7C4">
      <w:pPr>
        <w:pStyle w:val="9"/>
        <w:adjustRightInd w:val="0"/>
        <w:snapToGrid w:val="0"/>
        <w:spacing w:line="360" w:lineRule="auto"/>
        <w:jc w:val="left"/>
        <w:rPr>
          <w:rFonts w:hAnsi="宋体"/>
          <w:b/>
          <w:bCs/>
          <w:sz w:val="32"/>
          <w:szCs w:val="32"/>
        </w:rPr>
      </w:pPr>
    </w:p>
    <w:p w14:paraId="04D87590">
      <w:pPr>
        <w:pStyle w:val="9"/>
        <w:adjustRightInd w:val="0"/>
        <w:snapToGrid w:val="0"/>
        <w:spacing w:line="360" w:lineRule="auto"/>
        <w:ind w:left="3207" w:leftChars="456" w:hanging="2249" w:hangingChars="700"/>
        <w:jc w:val="left"/>
        <w:rPr>
          <w:rFonts w:hAnsi="宋体"/>
          <w:b/>
          <w:bCs/>
          <w:sz w:val="32"/>
          <w:szCs w:val="32"/>
        </w:rPr>
      </w:pPr>
    </w:p>
    <w:p w14:paraId="202AE238">
      <w:pPr>
        <w:pStyle w:val="9"/>
        <w:adjustRightInd w:val="0"/>
        <w:snapToGrid w:val="0"/>
        <w:spacing w:line="360" w:lineRule="auto"/>
        <w:ind w:left="3207" w:leftChars="456" w:hanging="2249" w:hangingChars="700"/>
        <w:jc w:val="left"/>
        <w:rPr>
          <w:rFonts w:hAnsi="宋体"/>
          <w:b/>
          <w:bCs/>
          <w:sz w:val="32"/>
          <w:szCs w:val="32"/>
        </w:rPr>
      </w:pPr>
    </w:p>
    <w:p w14:paraId="63C44D7F">
      <w:pPr>
        <w:pStyle w:val="9"/>
        <w:adjustRightInd w:val="0"/>
        <w:snapToGrid w:val="0"/>
        <w:spacing w:line="360" w:lineRule="auto"/>
        <w:ind w:left="3488" w:leftChars="456" w:hanging="2530" w:hangingChars="700"/>
        <w:jc w:val="left"/>
        <w:rPr>
          <w:rFonts w:hAnsi="宋体"/>
          <w:b/>
          <w:bCs/>
          <w:sz w:val="36"/>
          <w:szCs w:val="36"/>
        </w:rPr>
      </w:pPr>
    </w:p>
    <w:p w14:paraId="08AE0C8B">
      <w:pPr>
        <w:widowControl w:val="0"/>
        <w:adjustRightInd w:val="0"/>
        <w:snapToGrid w:val="0"/>
        <w:spacing w:line="480" w:lineRule="auto"/>
        <w:ind w:firstLine="640" w:firstLineChars="200"/>
        <w:jc w:val="left"/>
        <w:rPr>
          <w:rFonts w:hint="eastAsia" w:ascii="宋体" w:hAnsi="宋体" w:eastAsia="宋体" w:cs="Courier New"/>
          <w:color w:val="000000"/>
          <w:kern w:val="2"/>
          <w:sz w:val="32"/>
          <w:szCs w:val="32"/>
          <w:u w:val="single"/>
          <w:lang w:val="en-US" w:eastAsia="zh-CN" w:bidi="ar-SA"/>
        </w:rPr>
      </w:pPr>
      <w:r>
        <w:rPr>
          <w:rFonts w:hint="eastAsia" w:ascii="宋体" w:hAnsi="宋体" w:eastAsia="宋体" w:cs="Courier New"/>
          <w:color w:val="000000"/>
          <w:kern w:val="2"/>
          <w:sz w:val="32"/>
          <w:szCs w:val="32"/>
          <w:lang w:val="en-US" w:eastAsia="zh-CN" w:bidi="ar-SA"/>
        </w:rPr>
        <w:t>采购项目名称：</w:t>
      </w:r>
      <w:r>
        <w:rPr>
          <w:rFonts w:hint="eastAsia" w:ascii="宋体" w:hAnsi="宋体" w:eastAsia="宋体" w:cs="Courier New"/>
          <w:color w:val="000000"/>
          <w:kern w:val="2"/>
          <w:sz w:val="32"/>
          <w:szCs w:val="32"/>
          <w:u w:val="single"/>
          <w:lang w:val="en-US" w:eastAsia="zh-CN" w:bidi="ar-SA"/>
        </w:rPr>
        <w:t>全省数字微波网通信电源柜升级改造</w:t>
      </w:r>
    </w:p>
    <w:p w14:paraId="372B7B75">
      <w:pPr>
        <w:widowControl w:val="0"/>
        <w:adjustRightInd w:val="0"/>
        <w:snapToGrid w:val="0"/>
        <w:spacing w:line="480" w:lineRule="auto"/>
        <w:ind w:firstLine="640" w:firstLineChars="200"/>
        <w:jc w:val="both"/>
        <w:rPr>
          <w:rFonts w:hint="eastAsia" w:ascii="宋体" w:hAnsi="宋体" w:eastAsia="宋体" w:cs="Courier New"/>
          <w:color w:val="000000"/>
          <w:kern w:val="2"/>
          <w:sz w:val="32"/>
          <w:szCs w:val="32"/>
          <w:u w:val="single"/>
          <w:lang w:val="en-US" w:eastAsia="zh-CN" w:bidi="ar-SA"/>
        </w:rPr>
      </w:pPr>
      <w:r>
        <w:rPr>
          <w:rFonts w:hint="eastAsia" w:ascii="宋体" w:hAnsi="宋体" w:eastAsia="宋体" w:cs="Courier New"/>
          <w:color w:val="000000"/>
          <w:kern w:val="2"/>
          <w:sz w:val="32"/>
          <w:szCs w:val="32"/>
          <w:lang w:val="en-US" w:eastAsia="zh-CN" w:bidi="ar-SA"/>
        </w:rPr>
        <w:t>采   购   人：</w:t>
      </w:r>
      <w:r>
        <w:rPr>
          <w:rFonts w:hint="eastAsia" w:ascii="宋体" w:hAnsi="宋体" w:eastAsia="宋体" w:cs="Courier New"/>
          <w:color w:val="000000"/>
          <w:kern w:val="2"/>
          <w:sz w:val="32"/>
          <w:szCs w:val="32"/>
          <w:u w:val="single"/>
          <w:lang w:val="en-US" w:eastAsia="zh-CN" w:bidi="ar-SA"/>
        </w:rPr>
        <w:t>湖南省广播电视微波总站</w:t>
      </w:r>
    </w:p>
    <w:p w14:paraId="76D05282">
      <w:pPr>
        <w:widowControl w:val="0"/>
        <w:adjustRightInd w:val="0"/>
        <w:snapToGrid w:val="0"/>
        <w:spacing w:line="480" w:lineRule="auto"/>
        <w:ind w:firstLine="640" w:firstLineChars="200"/>
        <w:jc w:val="both"/>
        <w:rPr>
          <w:rFonts w:hint="eastAsia" w:ascii="宋体" w:hAnsi="宋体" w:eastAsia="宋体" w:cs="Courier New"/>
          <w:color w:val="000000"/>
          <w:kern w:val="2"/>
          <w:sz w:val="32"/>
          <w:szCs w:val="32"/>
          <w:u w:val="single"/>
          <w:lang w:val="en-US" w:eastAsia="zh-CN" w:bidi="ar-SA"/>
        </w:rPr>
      </w:pPr>
      <w:r>
        <w:rPr>
          <w:rFonts w:hint="eastAsia" w:ascii="宋体" w:hAnsi="宋体" w:eastAsia="宋体" w:cs="Courier New"/>
          <w:color w:val="000000"/>
          <w:kern w:val="2"/>
          <w:sz w:val="32"/>
          <w:szCs w:val="32"/>
          <w:lang w:val="en-US" w:eastAsia="zh-CN" w:bidi="ar-SA"/>
        </w:rPr>
        <w:t>政府采购编号：</w:t>
      </w:r>
      <w:bookmarkStart w:id="66" w:name="_GoBack"/>
      <w:r>
        <w:rPr>
          <w:rFonts w:hint="eastAsia" w:ascii="宋体" w:hAnsi="宋体" w:eastAsia="宋体" w:cs="Courier New"/>
          <w:color w:val="000000"/>
          <w:kern w:val="2"/>
          <w:sz w:val="32"/>
          <w:szCs w:val="32"/>
          <w:u w:val="single"/>
          <w:lang w:val="en-US" w:eastAsia="zh-CN" w:bidi="ar-SA"/>
        </w:rPr>
        <w:t>CGXM2026430000000215</w:t>
      </w:r>
      <w:bookmarkEnd w:id="66"/>
    </w:p>
    <w:p w14:paraId="52F2CBF0">
      <w:pPr>
        <w:widowControl w:val="0"/>
        <w:adjustRightInd w:val="0"/>
        <w:snapToGrid w:val="0"/>
        <w:spacing w:line="480" w:lineRule="auto"/>
        <w:ind w:firstLine="640" w:firstLineChars="200"/>
        <w:jc w:val="both"/>
        <w:rPr>
          <w:rFonts w:hint="eastAsia" w:ascii="宋体" w:hAnsi="宋体" w:eastAsia="宋体" w:cs="Courier New"/>
          <w:color w:val="000000"/>
          <w:kern w:val="2"/>
          <w:sz w:val="32"/>
          <w:szCs w:val="32"/>
          <w:u w:val="single"/>
          <w:lang w:val="en-US" w:eastAsia="zh-CN" w:bidi="ar-SA"/>
        </w:rPr>
      </w:pPr>
      <w:r>
        <w:rPr>
          <w:rFonts w:hint="eastAsia" w:ascii="宋体" w:hAnsi="宋体" w:eastAsia="宋体" w:cs="Courier New"/>
          <w:color w:val="000000"/>
          <w:kern w:val="2"/>
          <w:sz w:val="32"/>
          <w:szCs w:val="32"/>
          <w:lang w:val="en-US" w:eastAsia="zh-CN" w:bidi="ar-SA"/>
        </w:rPr>
        <w:t>委托代理编号：</w:t>
      </w:r>
      <w:r>
        <w:rPr>
          <w:rFonts w:hint="eastAsia" w:ascii="宋体" w:hAnsi="宋体" w:eastAsia="宋体" w:cs="Courier New"/>
          <w:color w:val="auto"/>
          <w:kern w:val="2"/>
          <w:sz w:val="32"/>
          <w:szCs w:val="32"/>
          <w:u w:val="single"/>
          <w:lang w:val="en-US" w:eastAsia="zh-CN" w:bidi="ar-SA"/>
        </w:rPr>
        <w:t>GBXM-CG-2026109</w:t>
      </w:r>
    </w:p>
    <w:p w14:paraId="7923498A">
      <w:pPr>
        <w:pStyle w:val="9"/>
        <w:adjustRightInd w:val="0"/>
        <w:snapToGrid w:val="0"/>
        <w:spacing w:line="360" w:lineRule="auto"/>
        <w:ind w:firstLine="640" w:firstLineChars="200"/>
        <w:jc w:val="left"/>
        <w:rPr>
          <w:rFonts w:hAnsi="宋体"/>
          <w:b/>
          <w:bCs/>
          <w:sz w:val="32"/>
          <w:szCs w:val="32"/>
        </w:rPr>
      </w:pPr>
      <w:r>
        <w:rPr>
          <w:rFonts w:hint="eastAsia" w:ascii="宋体" w:hAnsi="宋体" w:eastAsia="宋体" w:cs="Courier New"/>
          <w:color w:val="000000"/>
          <w:kern w:val="2"/>
          <w:sz w:val="32"/>
          <w:szCs w:val="32"/>
          <w:lang w:val="en-US" w:eastAsia="zh-CN" w:bidi="ar-SA"/>
        </w:rPr>
        <w:t>采购代理机构：</w:t>
      </w:r>
      <w:r>
        <w:rPr>
          <w:rFonts w:hint="eastAsia" w:ascii="宋体" w:hAnsi="宋体" w:eastAsia="宋体" w:cs="Courier New"/>
          <w:color w:val="000000"/>
          <w:kern w:val="2"/>
          <w:sz w:val="32"/>
          <w:szCs w:val="32"/>
          <w:u w:val="single"/>
          <w:lang w:val="en-US" w:eastAsia="zh-CN" w:bidi="ar-SA"/>
        </w:rPr>
        <w:t>国昪项目管理有限公司</w:t>
      </w:r>
    </w:p>
    <w:p w14:paraId="652F3773">
      <w:pPr>
        <w:pStyle w:val="9"/>
        <w:adjustRightInd w:val="0"/>
        <w:snapToGrid w:val="0"/>
        <w:spacing w:line="360" w:lineRule="auto"/>
        <w:rPr>
          <w:rFonts w:hAnsi="宋体" w:cs="宋体"/>
          <w:sz w:val="32"/>
          <w:szCs w:val="32"/>
        </w:rPr>
      </w:pPr>
    </w:p>
    <w:p w14:paraId="1858C801">
      <w:pPr>
        <w:pStyle w:val="9"/>
        <w:adjustRightInd w:val="0"/>
        <w:snapToGrid w:val="0"/>
        <w:spacing w:line="360" w:lineRule="auto"/>
        <w:rPr>
          <w:rFonts w:hAnsi="宋体" w:cs="宋体"/>
          <w:sz w:val="32"/>
          <w:szCs w:val="32"/>
        </w:rPr>
      </w:pPr>
    </w:p>
    <w:p w14:paraId="300101B7">
      <w:pPr>
        <w:pStyle w:val="9"/>
        <w:adjustRightInd w:val="0"/>
        <w:snapToGrid w:val="0"/>
        <w:spacing w:line="360" w:lineRule="auto"/>
        <w:rPr>
          <w:rFonts w:hAnsi="宋体" w:cs="宋体"/>
          <w:sz w:val="32"/>
          <w:szCs w:val="32"/>
        </w:rPr>
      </w:pPr>
    </w:p>
    <w:p w14:paraId="58F418AD">
      <w:pPr>
        <w:pStyle w:val="9"/>
        <w:adjustRightInd w:val="0"/>
        <w:snapToGrid w:val="0"/>
        <w:spacing w:line="360" w:lineRule="auto"/>
        <w:rPr>
          <w:rFonts w:hAnsi="宋体" w:cs="宋体"/>
          <w:sz w:val="32"/>
          <w:szCs w:val="32"/>
        </w:rPr>
      </w:pPr>
    </w:p>
    <w:p w14:paraId="69579D64">
      <w:pPr>
        <w:pStyle w:val="9"/>
        <w:adjustRightInd w:val="0"/>
        <w:snapToGrid w:val="0"/>
        <w:spacing w:line="360" w:lineRule="auto"/>
        <w:jc w:val="center"/>
        <w:rPr>
          <w:rFonts w:hAnsi="宋体" w:cs="宋体"/>
          <w:b/>
          <w:sz w:val="32"/>
        </w:rPr>
        <w:sectPr>
          <w:headerReference r:id="rId4" w:type="first"/>
          <w:headerReference r:id="rId3" w:type="default"/>
          <w:footerReference r:id="rId5" w:type="default"/>
          <w:footerReference r:id="rId6" w:type="even"/>
          <w:pgSz w:w="11906" w:h="16838"/>
          <w:pgMar w:top="1388" w:right="1335" w:bottom="1440" w:left="1531" w:header="871" w:footer="737" w:gutter="0"/>
          <w:pgNumType w:fmt="decimal"/>
          <w:cols w:space="720" w:num="1"/>
          <w:titlePg/>
          <w:docGrid w:type="lines" w:linePitch="312" w:charSpace="0"/>
        </w:sectPr>
      </w:pPr>
      <w:r>
        <w:rPr>
          <w:rFonts w:hint="eastAsia" w:hAnsi="宋体" w:cs="宋体"/>
          <w:b/>
          <w:sz w:val="32"/>
        </w:rPr>
        <w:t>二零二六年</w:t>
      </w:r>
      <w:r>
        <w:rPr>
          <w:rFonts w:hint="eastAsia" w:hAnsi="宋体" w:cs="宋体"/>
          <w:b/>
          <w:sz w:val="32"/>
          <w:lang w:val="en-US" w:eastAsia="zh-CN"/>
        </w:rPr>
        <w:t>七</w:t>
      </w:r>
      <w:r>
        <w:rPr>
          <w:rFonts w:hint="eastAsia" w:hAnsi="宋体" w:cs="宋体"/>
          <w:b/>
          <w:sz w:val="32"/>
        </w:rPr>
        <w:t>月</w:t>
      </w:r>
    </w:p>
    <w:p w14:paraId="15001EC1">
      <w:pPr>
        <w:pStyle w:val="9"/>
        <w:adjustRightInd w:val="0"/>
        <w:snapToGrid w:val="0"/>
        <w:spacing w:line="360" w:lineRule="auto"/>
        <w:jc w:val="center"/>
        <w:rPr>
          <w:rFonts w:hAnsi="宋体"/>
          <w:b/>
          <w:bCs/>
          <w:sz w:val="32"/>
          <w:szCs w:val="32"/>
        </w:rPr>
      </w:pPr>
    </w:p>
    <w:p w14:paraId="3B1C8FE5">
      <w:pPr>
        <w:widowControl w:val="0"/>
        <w:adjustRightInd w:val="0"/>
        <w:snapToGrid w:val="0"/>
        <w:spacing w:line="360" w:lineRule="auto"/>
        <w:jc w:val="center"/>
        <w:rPr>
          <w:rFonts w:hint="eastAsia" w:ascii="方正小标宋_GBK" w:hAnsi="宋体" w:eastAsia="方正小标宋_GBK" w:cs="Courier New"/>
          <w:spacing w:val="160"/>
          <w:kern w:val="2"/>
          <w:sz w:val="36"/>
          <w:szCs w:val="36"/>
          <w:lang w:val="en-US" w:eastAsia="zh-CN" w:bidi="ar-SA"/>
        </w:rPr>
      </w:pPr>
      <w:r>
        <w:rPr>
          <w:rFonts w:hint="eastAsia" w:ascii="方正小标宋_GBK" w:hAnsi="宋体" w:eastAsia="方正小标宋_GBK" w:cs="Courier New"/>
          <w:spacing w:val="160"/>
          <w:kern w:val="2"/>
          <w:sz w:val="36"/>
          <w:szCs w:val="36"/>
          <w:lang w:val="en-US" w:eastAsia="zh-CN" w:bidi="ar-SA"/>
        </w:rPr>
        <w:t>目录</w:t>
      </w:r>
    </w:p>
    <w:p w14:paraId="3F58D0CA">
      <w:pPr>
        <w:widowControl w:val="0"/>
        <w:adjustRightInd w:val="0"/>
        <w:snapToGrid w:val="0"/>
        <w:spacing w:line="360" w:lineRule="auto"/>
        <w:jc w:val="both"/>
        <w:rPr>
          <w:rFonts w:hint="eastAsia" w:ascii="宋体" w:hAnsi="宋体" w:eastAsia="宋体" w:cs="Courier New"/>
          <w:b/>
          <w:kern w:val="2"/>
          <w:sz w:val="24"/>
          <w:szCs w:val="24"/>
          <w:lang w:val="en-US" w:eastAsia="zh-CN" w:bidi="ar-SA"/>
        </w:rPr>
      </w:pPr>
    </w:p>
    <w:p w14:paraId="19DAB150">
      <w:pPr>
        <w:widowControl w:val="0"/>
        <w:adjustRightInd w:val="0"/>
        <w:snapToGrid w:val="0"/>
        <w:spacing w:line="360" w:lineRule="auto"/>
        <w:jc w:val="both"/>
        <w:rPr>
          <w:rFonts w:hint="eastAsia" w:ascii="宋体" w:hAnsi="宋体" w:eastAsia="宋体" w:cs="Courier New"/>
          <w:b/>
          <w:kern w:val="2"/>
          <w:sz w:val="24"/>
          <w:szCs w:val="24"/>
          <w:lang w:val="en-US" w:eastAsia="zh-CN" w:bidi="ar-SA"/>
        </w:rPr>
      </w:pPr>
      <w:r>
        <w:rPr>
          <w:rFonts w:hint="eastAsia" w:ascii="宋体" w:hAnsi="宋体" w:eastAsia="宋体" w:cs="Courier New"/>
          <w:b/>
          <w:kern w:val="2"/>
          <w:sz w:val="24"/>
          <w:szCs w:val="24"/>
          <w:lang w:val="en-US" w:eastAsia="zh-CN" w:bidi="ar-SA"/>
        </w:rPr>
        <w:t>第一章  磋商邀请</w:t>
      </w:r>
    </w:p>
    <w:p w14:paraId="114ABF85">
      <w:pPr>
        <w:widowControl w:val="0"/>
        <w:adjustRightInd w:val="0"/>
        <w:snapToGrid w:val="0"/>
        <w:spacing w:line="360" w:lineRule="auto"/>
        <w:jc w:val="both"/>
        <w:rPr>
          <w:rFonts w:hint="eastAsia" w:ascii="宋体" w:hAnsi="宋体" w:eastAsia="宋体" w:cs="Courier New"/>
          <w:b/>
          <w:kern w:val="2"/>
          <w:sz w:val="24"/>
          <w:szCs w:val="24"/>
          <w:lang w:val="en-US" w:eastAsia="zh-CN" w:bidi="ar-SA"/>
        </w:rPr>
      </w:pPr>
      <w:r>
        <w:rPr>
          <w:rFonts w:hint="eastAsia" w:ascii="宋体" w:hAnsi="宋体" w:eastAsia="宋体" w:cs="Courier New"/>
          <w:b/>
          <w:kern w:val="2"/>
          <w:sz w:val="24"/>
          <w:szCs w:val="24"/>
          <w:lang w:val="en-US" w:eastAsia="zh-CN" w:bidi="ar-SA"/>
        </w:rPr>
        <w:t>第二章  磋商须知</w:t>
      </w:r>
    </w:p>
    <w:p w14:paraId="5A946CA0">
      <w:pPr>
        <w:tabs>
          <w:tab w:val="left" w:pos="1440"/>
        </w:tabs>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磋商须知前附表</w:t>
      </w:r>
    </w:p>
    <w:p w14:paraId="7DB20B12">
      <w:pPr>
        <w:tabs>
          <w:tab w:val="left" w:pos="1440"/>
        </w:tabs>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磋商须知正文</w:t>
      </w:r>
    </w:p>
    <w:p w14:paraId="719A219C">
      <w:pPr>
        <w:tabs>
          <w:tab w:val="left" w:pos="1440"/>
        </w:tabs>
        <w:adjustRightInd w:val="0"/>
        <w:snapToGrid w:val="0"/>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一、说明</w:t>
      </w:r>
    </w:p>
    <w:p w14:paraId="7C4B11E2">
      <w:pPr>
        <w:tabs>
          <w:tab w:val="left" w:pos="1440"/>
        </w:tabs>
        <w:adjustRightInd w:val="0"/>
        <w:snapToGrid w:val="0"/>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二、</w:t>
      </w:r>
      <w:r>
        <w:rPr>
          <w:rFonts w:hint="eastAsia" w:ascii="宋体" w:hAnsi="宋体" w:eastAsia="宋体" w:cs="Times New Roman"/>
          <w:bCs/>
          <w:szCs w:val="21"/>
        </w:rPr>
        <w:t>磋商</w:t>
      </w:r>
      <w:r>
        <w:rPr>
          <w:rFonts w:hint="eastAsia" w:ascii="宋体" w:hAnsi="宋体" w:eastAsia="宋体" w:cs="Times New Roman"/>
          <w:szCs w:val="21"/>
        </w:rPr>
        <w:t>文件</w:t>
      </w:r>
    </w:p>
    <w:p w14:paraId="0A6F9DC6">
      <w:pPr>
        <w:adjustRightInd w:val="0"/>
        <w:snapToGrid w:val="0"/>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三、响应文件</w:t>
      </w:r>
    </w:p>
    <w:p w14:paraId="5412F074">
      <w:pPr>
        <w:adjustRightInd w:val="0"/>
        <w:snapToGrid w:val="0"/>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四、响应文件的递交</w:t>
      </w:r>
    </w:p>
    <w:p w14:paraId="4191609A">
      <w:pPr>
        <w:adjustRightInd w:val="0"/>
        <w:snapToGrid w:val="0"/>
        <w:spacing w:line="360" w:lineRule="auto"/>
        <w:ind w:firstLine="630" w:firstLineChars="300"/>
        <w:rPr>
          <w:rFonts w:hint="eastAsia" w:ascii="宋体" w:hAnsi="宋体" w:eastAsia="宋体" w:cs="Times New Roman"/>
          <w:bCs/>
          <w:szCs w:val="21"/>
        </w:rPr>
      </w:pPr>
      <w:r>
        <w:rPr>
          <w:rFonts w:hint="eastAsia" w:ascii="宋体" w:hAnsi="宋体" w:eastAsia="宋体" w:cs="Times New Roman"/>
          <w:bCs/>
          <w:szCs w:val="21"/>
        </w:rPr>
        <w:t>五、</w:t>
      </w:r>
      <w:r>
        <w:rPr>
          <w:rFonts w:hint="eastAsia" w:ascii="宋体" w:hAnsi="宋体" w:eastAsia="宋体" w:cs="Times New Roman"/>
          <w:szCs w:val="21"/>
        </w:rPr>
        <w:t>响应文件</w:t>
      </w:r>
      <w:r>
        <w:rPr>
          <w:rFonts w:hint="eastAsia" w:ascii="宋体" w:hAnsi="宋体" w:eastAsia="宋体" w:cs="Times New Roman"/>
          <w:bCs/>
          <w:szCs w:val="21"/>
        </w:rPr>
        <w:t>的</w:t>
      </w:r>
      <w:r>
        <w:rPr>
          <w:rFonts w:hint="eastAsia" w:ascii="宋体" w:hAnsi="宋体" w:eastAsia="宋体" w:cs="Times New Roman"/>
          <w:szCs w:val="21"/>
        </w:rPr>
        <w:t>磋商与评审</w:t>
      </w:r>
    </w:p>
    <w:p w14:paraId="38B7A4F2">
      <w:pPr>
        <w:adjustRightInd w:val="0"/>
        <w:snapToGrid w:val="0"/>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六、成交结果信息公布与授予合同</w:t>
      </w:r>
    </w:p>
    <w:p w14:paraId="758C5966">
      <w:pPr>
        <w:adjustRightInd w:val="0"/>
        <w:snapToGrid w:val="0"/>
        <w:spacing w:line="360" w:lineRule="auto"/>
        <w:ind w:firstLine="630" w:firstLineChars="300"/>
        <w:jc w:val="left"/>
        <w:rPr>
          <w:rFonts w:hint="eastAsia" w:ascii="宋体" w:hAnsi="宋体" w:eastAsia="宋体" w:cs="Times New Roman"/>
          <w:szCs w:val="21"/>
        </w:rPr>
      </w:pPr>
      <w:r>
        <w:rPr>
          <w:rFonts w:hint="eastAsia" w:ascii="宋体" w:hAnsi="宋体" w:eastAsia="宋体" w:cs="Times New Roman"/>
          <w:szCs w:val="21"/>
        </w:rPr>
        <w:t>七、其他规定</w:t>
      </w:r>
    </w:p>
    <w:p w14:paraId="27248B22">
      <w:pPr>
        <w:adjustRightInd w:val="0"/>
        <w:snapToGrid w:val="0"/>
        <w:spacing w:line="360" w:lineRule="auto"/>
        <w:rPr>
          <w:rFonts w:hint="eastAsia" w:ascii="宋体" w:hAnsi="宋体" w:eastAsia="宋体" w:cs="Times New Roman"/>
          <w:b/>
          <w:sz w:val="24"/>
        </w:rPr>
      </w:pPr>
      <w:r>
        <w:rPr>
          <w:rFonts w:hint="eastAsia" w:ascii="宋体" w:hAnsi="宋体" w:eastAsia="宋体" w:cs="Times New Roman"/>
          <w:b/>
          <w:sz w:val="24"/>
        </w:rPr>
        <w:t>第三章  合同格式</w:t>
      </w:r>
    </w:p>
    <w:p w14:paraId="317D5C37">
      <w:pPr>
        <w:adjustRightInd w:val="0"/>
        <w:snapToGrid w:val="0"/>
        <w:spacing w:line="360" w:lineRule="auto"/>
        <w:rPr>
          <w:rFonts w:hint="eastAsia" w:ascii="宋体" w:hAnsi="宋体" w:eastAsia="宋体" w:cs="Times New Roman"/>
          <w:b/>
          <w:sz w:val="24"/>
        </w:rPr>
      </w:pPr>
      <w:r>
        <w:rPr>
          <w:rFonts w:hint="eastAsia" w:ascii="宋体" w:hAnsi="宋体" w:eastAsia="宋体" w:cs="Times New Roman"/>
          <w:b/>
          <w:sz w:val="24"/>
        </w:rPr>
        <w:t xml:space="preserve">第四章  </w:t>
      </w:r>
      <w:r>
        <w:rPr>
          <w:rFonts w:hint="eastAsia" w:ascii="Times New Roman" w:hAnsi="宋体" w:eastAsia="宋体" w:cs="Times New Roman"/>
          <w:b/>
          <w:sz w:val="24"/>
        </w:rPr>
        <w:t>采购需求</w:t>
      </w:r>
    </w:p>
    <w:p w14:paraId="268D7FFA">
      <w:pPr>
        <w:widowControl w:val="0"/>
        <w:adjustRightInd w:val="0"/>
        <w:snapToGrid w:val="0"/>
        <w:spacing w:line="360" w:lineRule="auto"/>
        <w:jc w:val="both"/>
        <w:rPr>
          <w:rFonts w:hint="eastAsia" w:ascii="宋体" w:hAnsi="宋体" w:eastAsia="宋体" w:cs="Courier New"/>
          <w:b/>
          <w:kern w:val="2"/>
          <w:sz w:val="24"/>
          <w:szCs w:val="24"/>
          <w:lang w:val="en-US" w:eastAsia="zh-CN" w:bidi="ar-SA"/>
        </w:rPr>
      </w:pPr>
      <w:r>
        <w:rPr>
          <w:rFonts w:hint="eastAsia" w:ascii="宋体" w:hAnsi="宋体" w:eastAsia="宋体" w:cs="Courier New"/>
          <w:b/>
          <w:kern w:val="2"/>
          <w:sz w:val="24"/>
          <w:szCs w:val="24"/>
          <w:lang w:val="en-US" w:eastAsia="zh-CN" w:bidi="ar-SA"/>
        </w:rPr>
        <w:t xml:space="preserve">第五章  </w:t>
      </w:r>
      <w:r>
        <w:rPr>
          <w:rFonts w:hint="eastAsia" w:ascii="宋体" w:hAnsi="宋体" w:eastAsia="宋体" w:cs="Courier New"/>
          <w:b/>
          <w:kern w:val="2"/>
          <w:sz w:val="24"/>
          <w:szCs w:val="21"/>
          <w:lang w:val="en-US" w:eastAsia="zh-CN" w:bidi="ar-SA"/>
        </w:rPr>
        <w:t>响应文件组成</w:t>
      </w:r>
    </w:p>
    <w:p w14:paraId="23E1F7B5">
      <w:pPr>
        <w:pStyle w:val="9"/>
        <w:adjustRightInd w:val="0"/>
        <w:snapToGrid w:val="0"/>
        <w:spacing w:line="360" w:lineRule="auto"/>
        <w:rPr>
          <w:rFonts w:hAnsi="宋体" w:cs="宋体"/>
          <w:b/>
          <w:sz w:val="24"/>
          <w:szCs w:val="24"/>
        </w:rPr>
      </w:pPr>
    </w:p>
    <w:p w14:paraId="38ED2183">
      <w:pPr>
        <w:jc w:val="center"/>
        <w:outlineLvl w:val="0"/>
        <w:rPr>
          <w:rFonts w:hint="eastAsia" w:ascii="宋体" w:hAnsi="宋体" w:cs="宋体"/>
          <w:b/>
          <w:sz w:val="32"/>
          <w:szCs w:val="32"/>
        </w:rPr>
        <w:sectPr>
          <w:footerReference r:id="rId8" w:type="first"/>
          <w:footerReference r:id="rId7" w:type="default"/>
          <w:pgSz w:w="11906" w:h="16838"/>
          <w:pgMar w:top="1388" w:right="1531" w:bottom="1440" w:left="1531" w:header="871" w:footer="737" w:gutter="0"/>
          <w:pgNumType w:fmt="decimal" w:start="1"/>
          <w:cols w:space="720" w:num="1"/>
          <w:docGrid w:type="lines" w:linePitch="312" w:charSpace="0"/>
        </w:sectPr>
      </w:pPr>
      <w:bookmarkStart w:id="1" w:name="_Toc30291"/>
    </w:p>
    <w:p w14:paraId="2CCF74A7">
      <w:pPr>
        <w:jc w:val="center"/>
        <w:outlineLvl w:val="0"/>
        <w:rPr>
          <w:rFonts w:ascii="宋体" w:hAnsi="宋体" w:cs="宋体"/>
          <w:b/>
          <w:color w:val="auto"/>
          <w:sz w:val="32"/>
          <w:szCs w:val="32"/>
        </w:rPr>
      </w:pPr>
      <w:r>
        <w:rPr>
          <w:rFonts w:hint="eastAsia" w:ascii="宋体" w:hAnsi="宋体" w:cs="宋体"/>
          <w:b/>
          <w:color w:val="auto"/>
          <w:sz w:val="32"/>
          <w:szCs w:val="32"/>
          <w:lang w:val="en-US" w:eastAsia="zh-CN"/>
        </w:rPr>
        <w:t xml:space="preserve">第一章 </w:t>
      </w:r>
      <w:r>
        <w:rPr>
          <w:rFonts w:hint="eastAsia" w:ascii="宋体" w:hAnsi="宋体" w:cs="宋体"/>
          <w:b/>
          <w:color w:val="auto"/>
          <w:sz w:val="32"/>
          <w:szCs w:val="32"/>
        </w:rPr>
        <w:t>磋商邀请</w:t>
      </w:r>
      <w:bookmarkEnd w:id="1"/>
    </w:p>
    <w:p w14:paraId="7928350C">
      <w:pPr>
        <w:adjustRightInd w:val="0"/>
        <w:snapToGrid w:val="0"/>
        <w:spacing w:line="520" w:lineRule="exact"/>
        <w:ind w:firstLine="600" w:firstLineChars="250"/>
        <w:rPr>
          <w:rFonts w:ascii="宋体" w:hAnsi="宋体" w:cs="宋体"/>
          <w:sz w:val="24"/>
        </w:rPr>
      </w:pPr>
      <w:r>
        <w:rPr>
          <w:rFonts w:hint="eastAsia" w:ascii="宋体" w:hAnsi="宋体" w:cs="宋体"/>
          <w:sz w:val="24"/>
          <w:u w:val="single"/>
          <w:lang w:eastAsia="zh-CN"/>
        </w:rPr>
        <w:t>国昪项目管理有限公司</w:t>
      </w:r>
      <w:r>
        <w:rPr>
          <w:rFonts w:hint="eastAsia" w:ascii="宋体" w:hAnsi="宋体" w:cs="宋体"/>
          <w:sz w:val="24"/>
        </w:rPr>
        <w:t>受</w:t>
      </w:r>
      <w:r>
        <w:rPr>
          <w:rFonts w:hint="eastAsia" w:ascii="宋体" w:hAnsi="宋体" w:cs="宋体"/>
          <w:sz w:val="24"/>
          <w:u w:val="single"/>
          <w:lang w:eastAsia="zh-CN"/>
        </w:rPr>
        <w:t>湖南省广播电视微波总站</w:t>
      </w:r>
      <w:r>
        <w:rPr>
          <w:rFonts w:hint="eastAsia" w:ascii="宋体" w:hAnsi="宋体" w:cs="宋体"/>
          <w:sz w:val="24"/>
        </w:rPr>
        <w:t>的委托，对</w:t>
      </w:r>
      <w:r>
        <w:rPr>
          <w:rFonts w:hint="eastAsia" w:ascii="宋体" w:hAnsi="宋体" w:cs="宋体"/>
          <w:sz w:val="24"/>
          <w:u w:val="single"/>
          <w:lang w:eastAsia="zh-CN"/>
        </w:rPr>
        <w:t>全省数字微波网通信电源柜升级改造</w:t>
      </w:r>
      <w:r>
        <w:rPr>
          <w:rFonts w:hint="eastAsia" w:ascii="宋体" w:hAnsi="宋体" w:cs="宋体"/>
          <w:sz w:val="24"/>
        </w:rPr>
        <w:t>进行竞争性磋商采购，现采用网上公告征集的方式，邀请符合资格条件的供应商参与竞争性磋商采购活动。</w:t>
      </w:r>
    </w:p>
    <w:p w14:paraId="2C90020B">
      <w:pPr>
        <w:adjustRightInd w:val="0"/>
        <w:snapToGrid w:val="0"/>
        <w:spacing w:line="520" w:lineRule="exact"/>
        <w:rPr>
          <w:rFonts w:ascii="宋体" w:hAnsi="宋体" w:cs="宋体"/>
          <w:b/>
          <w:sz w:val="24"/>
        </w:rPr>
      </w:pPr>
      <w:bookmarkStart w:id="2" w:name="_Toc25761"/>
      <w:r>
        <w:rPr>
          <w:rFonts w:hint="eastAsia" w:ascii="宋体" w:hAnsi="宋体" w:cs="宋体"/>
          <w:b/>
          <w:sz w:val="24"/>
        </w:rPr>
        <w:t>一、采购项目基本信息</w:t>
      </w:r>
      <w:bookmarkEnd w:id="2"/>
    </w:p>
    <w:p w14:paraId="7273CCDE">
      <w:pPr>
        <w:adjustRightInd w:val="0"/>
        <w:snapToGrid w:val="0"/>
        <w:spacing w:line="520" w:lineRule="exact"/>
        <w:rPr>
          <w:rFonts w:hint="eastAsia" w:ascii="宋体" w:hAnsi="宋体" w:eastAsia="宋体" w:cs="宋体"/>
          <w:color w:val="auto"/>
          <w:sz w:val="24"/>
          <w:lang w:eastAsia="zh-CN"/>
        </w:rPr>
      </w:pPr>
      <w:r>
        <w:rPr>
          <w:rFonts w:hint="eastAsia" w:ascii="宋体" w:hAnsi="宋体" w:cs="宋体"/>
          <w:color w:val="auto"/>
          <w:sz w:val="24"/>
        </w:rPr>
        <w:t>1、采购项目名称：</w:t>
      </w:r>
      <w:r>
        <w:rPr>
          <w:rFonts w:hint="eastAsia" w:ascii="宋体" w:hAnsi="宋体" w:cs="宋体"/>
          <w:color w:val="auto"/>
          <w:sz w:val="24"/>
          <w:lang w:eastAsia="zh-CN"/>
        </w:rPr>
        <w:t>全省数字微波网通信电源柜升级改造</w:t>
      </w:r>
    </w:p>
    <w:p w14:paraId="30D804A7">
      <w:pPr>
        <w:adjustRightInd w:val="0"/>
        <w:snapToGrid w:val="0"/>
        <w:spacing w:line="520" w:lineRule="exact"/>
        <w:rPr>
          <w:rFonts w:hint="eastAsia" w:ascii="宋体" w:hAnsi="宋体" w:eastAsia="宋体" w:cs="宋体"/>
          <w:color w:val="auto"/>
          <w:sz w:val="24"/>
          <w:lang w:val="en-US" w:eastAsia="zh-CN"/>
        </w:rPr>
      </w:pPr>
      <w:r>
        <w:rPr>
          <w:rFonts w:hint="eastAsia" w:ascii="宋体" w:hAnsi="宋体" w:cs="宋体"/>
          <w:color w:val="auto"/>
          <w:sz w:val="24"/>
        </w:rPr>
        <w:t>2、委托代理编号：</w:t>
      </w:r>
      <w:r>
        <w:rPr>
          <w:rFonts w:hint="eastAsia" w:ascii="宋体" w:hAnsi="宋体" w:cs="宋体"/>
          <w:color w:val="auto"/>
          <w:sz w:val="24"/>
          <w:lang w:eastAsia="zh-CN"/>
        </w:rPr>
        <w:t>GBXM-CG-2026109</w:t>
      </w:r>
    </w:p>
    <w:p w14:paraId="0006A000">
      <w:pPr>
        <w:adjustRightInd w:val="0"/>
        <w:snapToGrid w:val="0"/>
        <w:spacing w:line="520" w:lineRule="exact"/>
        <w:rPr>
          <w:rFonts w:hint="eastAsia" w:ascii="宋体" w:hAnsi="宋体" w:cs="宋体"/>
          <w:color w:val="auto"/>
          <w:sz w:val="24"/>
          <w:lang w:val="en-US" w:eastAsia="zh-CN"/>
        </w:rPr>
      </w:pPr>
      <w:r>
        <w:rPr>
          <w:rFonts w:hint="eastAsia" w:ascii="宋体" w:hAnsi="宋体" w:cs="宋体"/>
          <w:color w:val="auto"/>
          <w:sz w:val="24"/>
          <w:lang w:val="en-US" w:eastAsia="zh-CN"/>
        </w:rPr>
        <w:t>3、政府采购编号：CGXM2026430000000296</w:t>
      </w:r>
    </w:p>
    <w:p w14:paraId="0BABA2B9">
      <w:pPr>
        <w:adjustRightInd w:val="0"/>
        <w:snapToGrid w:val="0"/>
        <w:spacing w:line="520" w:lineRule="exact"/>
        <w:rPr>
          <w:rFonts w:hint="eastAsia" w:ascii="宋体" w:hAnsi="宋体" w:eastAsia="宋体" w:cs="宋体"/>
          <w:sz w:val="24"/>
        </w:rPr>
      </w:pPr>
      <w:r>
        <w:rPr>
          <w:rFonts w:hint="eastAsia" w:ascii="宋体" w:hAnsi="宋体" w:cs="宋体"/>
          <w:sz w:val="24"/>
        </w:rPr>
        <w:t>4、</w:t>
      </w:r>
      <w:r>
        <w:rPr>
          <w:rFonts w:hint="eastAsia" w:ascii="宋体" w:hAnsi="宋体" w:eastAsia="宋体" w:cs="宋体"/>
          <w:sz w:val="24"/>
        </w:rPr>
        <w:t>采购预算：</w:t>
      </w:r>
      <w:r>
        <w:rPr>
          <w:rFonts w:hint="eastAsia" w:ascii="宋体" w:hAnsi="宋体" w:cs="宋体"/>
          <w:sz w:val="24"/>
          <w:lang w:val="en-US" w:eastAsia="zh-CN"/>
        </w:rPr>
        <w:t>720000</w:t>
      </w:r>
      <w:r>
        <w:rPr>
          <w:rFonts w:hint="eastAsia" w:ascii="宋体" w:hAnsi="宋体" w:eastAsia="宋体" w:cs="宋体"/>
          <w:sz w:val="24"/>
        </w:rPr>
        <w:t>元</w:t>
      </w:r>
    </w:p>
    <w:p w14:paraId="286F5A8E">
      <w:pPr>
        <w:adjustRightInd w:val="0"/>
        <w:snapToGrid w:val="0"/>
        <w:spacing w:line="520" w:lineRule="exact"/>
        <w:ind w:firstLine="480" w:firstLineChars="200"/>
        <w:rPr>
          <w:rFonts w:hint="eastAsia" w:ascii="宋体" w:hAnsi="宋体" w:eastAsia="宋体" w:cs="宋体"/>
          <w:sz w:val="24"/>
          <w:lang w:val="en-US" w:eastAsia="zh-CN"/>
        </w:rPr>
      </w:pPr>
      <w:r>
        <w:rPr>
          <w:rFonts w:hint="eastAsia" w:ascii="宋体" w:hAnsi="宋体" w:eastAsia="宋体" w:cs="宋体"/>
          <w:sz w:val="24"/>
        </w:rPr>
        <w:sym w:font="Wingdings" w:char="00A8"/>
      </w:r>
      <w:r>
        <w:rPr>
          <w:rFonts w:hint="eastAsia" w:ascii="宋体" w:hAnsi="宋体" w:eastAsia="宋体" w:cs="宋体"/>
          <w:sz w:val="24"/>
          <w:lang w:val="en-US" w:eastAsia="zh-CN"/>
        </w:rPr>
        <w:t>支持预付款，预付比例：</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p>
    <w:p w14:paraId="7EA19D2B">
      <w:pPr>
        <w:adjustRightInd w:val="0"/>
        <w:snapToGrid w:val="0"/>
        <w:spacing w:line="520" w:lineRule="exact"/>
        <w:rPr>
          <w:rFonts w:hint="default" w:ascii="宋体" w:hAnsi="宋体" w:eastAsia="宋体" w:cs="宋体"/>
          <w:kern w:val="0"/>
          <w:sz w:val="24"/>
          <w:lang w:val="en-US" w:eastAsia="zh-CN"/>
        </w:rPr>
      </w:pPr>
      <w:r>
        <w:rPr>
          <w:rFonts w:hint="eastAsia" w:ascii="宋体" w:hAnsi="宋体" w:cs="宋体"/>
          <w:kern w:val="0"/>
          <w:sz w:val="24"/>
        </w:rPr>
        <w:t>5、本项目对应的中小企业划</w:t>
      </w:r>
      <w:r>
        <w:rPr>
          <w:rFonts w:hint="eastAsia" w:ascii="宋体" w:hAnsi="宋体" w:cs="宋体"/>
          <w:color w:val="auto"/>
          <w:kern w:val="0"/>
          <w:sz w:val="24"/>
        </w:rPr>
        <w:t>分标准所属行业：</w:t>
      </w:r>
      <w:r>
        <w:rPr>
          <w:rFonts w:hint="eastAsia" w:ascii="宋体" w:hAnsi="宋体" w:cs="宋体"/>
          <w:color w:val="auto"/>
          <w:kern w:val="0"/>
          <w:sz w:val="24"/>
          <w:u w:val="single"/>
          <w:lang w:val="en-US" w:eastAsia="zh-CN"/>
        </w:rPr>
        <w:t>其他未列明行业</w:t>
      </w:r>
    </w:p>
    <w:p w14:paraId="75410AE3">
      <w:pPr>
        <w:adjustRightInd w:val="0"/>
        <w:snapToGrid w:val="0"/>
        <w:spacing w:line="520" w:lineRule="exact"/>
        <w:rPr>
          <w:rFonts w:hint="eastAsia" w:ascii="宋体" w:hAnsi="宋体" w:cs="宋体"/>
          <w:kern w:val="0"/>
          <w:sz w:val="24"/>
          <w:lang w:val="en-US" w:eastAsia="zh-CN"/>
        </w:rPr>
      </w:pPr>
      <w:r>
        <w:rPr>
          <w:rFonts w:hint="eastAsia" w:ascii="宋体" w:hAnsi="宋体" w:cs="宋体"/>
          <w:kern w:val="0"/>
          <w:sz w:val="24"/>
        </w:rPr>
        <w:t>6、评标方法</w:t>
      </w:r>
      <w:r>
        <w:rPr>
          <w:rFonts w:hint="eastAsia" w:ascii="宋体" w:hAnsi="宋体" w:cs="宋体"/>
          <w:kern w:val="0"/>
          <w:sz w:val="24"/>
        </w:rPr>
        <w:sym w:font="Wingdings" w:char="00A8"/>
      </w:r>
      <w:r>
        <w:rPr>
          <w:rFonts w:hint="eastAsia" w:ascii="宋体" w:hAnsi="宋体" w:cs="宋体"/>
          <w:kern w:val="0"/>
          <w:sz w:val="24"/>
          <w:lang w:val="en-US" w:eastAsia="zh-CN"/>
        </w:rPr>
        <w:t xml:space="preserve">最低价法 </w:t>
      </w:r>
      <w:r>
        <w:rPr>
          <w:rFonts w:hint="eastAsia" w:ascii="宋体" w:hAnsi="宋体" w:cs="宋体"/>
          <w:kern w:val="0"/>
          <w:sz w:val="24"/>
        </w:rPr>
        <w:sym w:font="Wingdings" w:char="00FE"/>
      </w:r>
      <w:r>
        <w:rPr>
          <w:rFonts w:hint="eastAsia" w:ascii="宋体" w:hAnsi="宋体" w:cs="宋体"/>
          <w:kern w:val="0"/>
          <w:sz w:val="24"/>
          <w:lang w:val="en-US" w:eastAsia="zh-CN"/>
        </w:rPr>
        <w:t>综合评分法</w:t>
      </w:r>
    </w:p>
    <w:p w14:paraId="470AF762">
      <w:pPr>
        <w:adjustRightInd w:val="0"/>
        <w:snapToGrid w:val="0"/>
        <w:spacing w:line="520" w:lineRule="exact"/>
        <w:rPr>
          <w:rFonts w:ascii="宋体" w:hAnsi="宋体" w:cs="宋体"/>
          <w:kern w:val="0"/>
          <w:sz w:val="24"/>
        </w:rPr>
      </w:pPr>
      <w:r>
        <w:rPr>
          <w:rFonts w:hint="eastAsia" w:ascii="宋体" w:hAnsi="宋体" w:cs="宋体"/>
          <w:kern w:val="0"/>
          <w:sz w:val="24"/>
        </w:rPr>
        <w:t>7、合同定价方式：</w:t>
      </w:r>
      <w:r>
        <w:rPr>
          <w:rFonts w:hint="eastAsia" w:ascii="宋体" w:hAnsi="宋体" w:cs="宋体"/>
          <w:kern w:val="0"/>
          <w:sz w:val="24"/>
        </w:rPr>
        <w:sym w:font="Wingdings" w:char="00FE"/>
      </w:r>
      <w:r>
        <w:rPr>
          <w:rFonts w:hint="eastAsia" w:ascii="宋体" w:hAnsi="宋体" w:cs="宋体"/>
          <w:kern w:val="0"/>
          <w:sz w:val="24"/>
        </w:rPr>
        <w:t>固定总价</w:t>
      </w:r>
      <w:r>
        <w:rPr>
          <w:rFonts w:hint="eastAsia" w:ascii="宋体" w:hAnsi="宋体" w:cs="宋体"/>
          <w:kern w:val="0"/>
          <w:sz w:val="24"/>
        </w:rPr>
        <w:sym w:font="Wingdings" w:char="00A8"/>
      </w:r>
      <w:r>
        <w:rPr>
          <w:rFonts w:hint="eastAsia" w:ascii="宋体" w:hAnsi="宋体" w:cs="宋体"/>
          <w:kern w:val="0"/>
          <w:sz w:val="24"/>
        </w:rPr>
        <w:t>固定单价</w:t>
      </w:r>
      <w:r>
        <w:rPr>
          <w:rFonts w:hint="eastAsia" w:ascii="宋体" w:hAnsi="宋体" w:cs="宋体"/>
          <w:kern w:val="0"/>
          <w:sz w:val="24"/>
        </w:rPr>
        <w:sym w:font="Wingdings" w:char="00A8"/>
      </w:r>
      <w:r>
        <w:rPr>
          <w:rFonts w:hint="eastAsia" w:ascii="宋体" w:hAnsi="宋体" w:cs="宋体"/>
          <w:kern w:val="0"/>
          <w:sz w:val="24"/>
        </w:rPr>
        <w:t>成本补偿</w:t>
      </w:r>
      <w:r>
        <w:rPr>
          <w:rFonts w:hint="eastAsia" w:ascii="宋体" w:hAnsi="宋体" w:cs="宋体"/>
          <w:kern w:val="0"/>
          <w:sz w:val="24"/>
        </w:rPr>
        <w:sym w:font="Wingdings" w:char="00A8"/>
      </w:r>
      <w:r>
        <w:rPr>
          <w:rFonts w:hint="eastAsia" w:ascii="宋体" w:hAnsi="宋体" w:cs="宋体"/>
          <w:kern w:val="0"/>
          <w:sz w:val="24"/>
        </w:rPr>
        <w:t>绩效激励</w:t>
      </w:r>
    </w:p>
    <w:p w14:paraId="02D9678D">
      <w:pPr>
        <w:pStyle w:val="17"/>
        <w:spacing w:line="520" w:lineRule="exact"/>
        <w:ind w:left="0" w:leftChars="0" w:firstLine="0"/>
        <w:rPr>
          <w:rFonts w:hint="eastAsia" w:ascii="宋体" w:hAnsi="宋体" w:eastAsia="宋体" w:cs="宋体"/>
          <w:color w:val="auto"/>
          <w:kern w:val="0"/>
          <w:sz w:val="24"/>
          <w:lang w:eastAsia="zh-CN"/>
        </w:rPr>
      </w:pPr>
      <w:r>
        <w:rPr>
          <w:rFonts w:hint="eastAsia" w:ascii="宋体" w:hAnsi="宋体" w:cs="宋体"/>
          <w:color w:val="auto"/>
          <w:kern w:val="0"/>
          <w:sz w:val="24"/>
        </w:rPr>
        <w:t>8、交货期：</w:t>
      </w:r>
      <w:bookmarkStart w:id="3" w:name="_Toc3329"/>
      <w:r>
        <w:rPr>
          <w:rFonts w:hint="eastAsia" w:ascii="宋体" w:hAnsi="宋体" w:cs="宋体"/>
          <w:color w:val="auto"/>
          <w:kern w:val="0"/>
          <w:sz w:val="24"/>
          <w:lang w:val="en-US" w:eastAsia="zh-CN"/>
        </w:rPr>
        <w:t>详见采购需求</w:t>
      </w:r>
      <w:r>
        <w:rPr>
          <w:rFonts w:hint="eastAsia" w:ascii="宋体" w:hAnsi="宋体" w:cs="宋体"/>
          <w:color w:val="auto"/>
          <w:kern w:val="0"/>
          <w:sz w:val="24"/>
          <w:lang w:eastAsia="zh-CN"/>
        </w:rPr>
        <w:t>。</w:t>
      </w:r>
    </w:p>
    <w:p w14:paraId="25420591">
      <w:pPr>
        <w:adjustRightInd w:val="0"/>
        <w:snapToGrid w:val="0"/>
        <w:spacing w:line="520" w:lineRule="exac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9、本项目分阶段要求投标人提供以下保证：</w:t>
      </w:r>
    </w:p>
    <w:p w14:paraId="4D274042">
      <w:pPr>
        <w:adjustRightInd w:val="0"/>
        <w:snapToGrid w:val="0"/>
        <w:spacing w:line="520" w:lineRule="exact"/>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sym w:font="Wingdings" w:char="00A8"/>
      </w:r>
      <w:r>
        <w:rPr>
          <w:rFonts w:hint="eastAsia" w:ascii="宋体" w:hAnsi="宋体" w:eastAsia="宋体" w:cs="宋体"/>
          <w:color w:val="auto"/>
          <w:kern w:val="0"/>
          <w:sz w:val="24"/>
          <w:lang w:val="en-US" w:eastAsia="zh-CN"/>
        </w:rPr>
        <w:t>投标保证金：采购项目预算的</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w:t>
      </w:r>
    </w:p>
    <w:p w14:paraId="59F1CC90">
      <w:pPr>
        <w:adjustRightInd w:val="0"/>
        <w:snapToGrid w:val="0"/>
        <w:spacing w:line="520" w:lineRule="exact"/>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sym w:font="Wingdings" w:char="00A8"/>
      </w:r>
      <w:r>
        <w:rPr>
          <w:rFonts w:hint="eastAsia" w:ascii="宋体" w:hAnsi="宋体" w:eastAsia="宋体" w:cs="宋体"/>
          <w:color w:val="auto"/>
          <w:kern w:val="0"/>
          <w:sz w:val="24"/>
          <w:lang w:val="en-US" w:eastAsia="zh-CN"/>
        </w:rPr>
        <w:t>履约保证金：中标金额的</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 xml:space="preserve"> %；</w:t>
      </w:r>
    </w:p>
    <w:p w14:paraId="1A7BEAD0">
      <w:pPr>
        <w:adjustRightInd w:val="0"/>
        <w:snapToGrid w:val="0"/>
        <w:spacing w:line="520" w:lineRule="exact"/>
        <w:ind w:firstLine="480" w:firstLineChars="200"/>
        <w:rPr>
          <w:rFonts w:hint="eastAsia" w:ascii="仿宋_GB2312" w:hAnsi="黑体" w:eastAsia="宋体" w:cs="Times New Roman"/>
          <w:color w:val="auto"/>
          <w:sz w:val="24"/>
          <w:szCs w:val="24"/>
          <w:lang w:val="en-US" w:eastAsia="zh-CN"/>
        </w:rPr>
      </w:pPr>
      <w:r>
        <w:rPr>
          <w:rFonts w:hint="eastAsia" w:ascii="宋体" w:hAnsi="宋体" w:eastAsia="宋体" w:cs="宋体"/>
          <w:color w:val="auto"/>
          <w:kern w:val="0"/>
          <w:sz w:val="24"/>
          <w:lang w:val="en-US" w:eastAsia="zh-CN"/>
        </w:rPr>
        <w:sym w:font="Wingdings" w:char="00A8"/>
      </w:r>
      <w:r>
        <w:rPr>
          <w:rFonts w:hint="eastAsia" w:ascii="宋体" w:hAnsi="宋体" w:eastAsia="宋体" w:cs="宋体"/>
          <w:color w:val="auto"/>
          <w:kern w:val="0"/>
          <w:sz w:val="24"/>
          <w:lang w:val="en-US" w:eastAsia="zh-CN"/>
        </w:rPr>
        <w:t>质量保证金：合同金额的</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lang w:val="en-US" w:eastAsia="zh-CN"/>
        </w:rPr>
        <w:t>%。</w:t>
      </w:r>
    </w:p>
    <w:p w14:paraId="25899696">
      <w:pPr>
        <w:rPr>
          <w:rFonts w:hint="eastAsia"/>
        </w:rPr>
      </w:pPr>
    </w:p>
    <w:p w14:paraId="2792FD4C">
      <w:pPr>
        <w:pStyle w:val="17"/>
        <w:spacing w:line="520" w:lineRule="exact"/>
        <w:ind w:left="0" w:leftChars="0" w:firstLine="0"/>
        <w:rPr>
          <w:rFonts w:hint="eastAsia" w:ascii="宋体" w:hAnsi="宋体" w:cs="宋体"/>
          <w:b/>
          <w:bCs/>
          <w:kern w:val="2"/>
          <w:sz w:val="24"/>
        </w:rPr>
      </w:pPr>
      <w:r>
        <w:rPr>
          <w:rFonts w:hint="eastAsia" w:ascii="宋体" w:hAnsi="宋体" w:cs="宋体"/>
          <w:b/>
          <w:bCs/>
          <w:kern w:val="2"/>
          <w:sz w:val="24"/>
        </w:rPr>
        <w:t>二、采购项目内容与数量：</w:t>
      </w:r>
      <w:bookmarkEnd w:id="3"/>
    </w:p>
    <w:tbl>
      <w:tblPr>
        <w:tblStyle w:val="18"/>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80"/>
        <w:gridCol w:w="2062"/>
        <w:gridCol w:w="1566"/>
        <w:gridCol w:w="713"/>
        <w:gridCol w:w="1318"/>
        <w:gridCol w:w="744"/>
        <w:gridCol w:w="744"/>
      </w:tblGrid>
      <w:tr w14:paraId="70AE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10" w:type="dxa"/>
            <w:noWrap w:val="0"/>
            <w:vAlign w:val="center"/>
          </w:tcPr>
          <w:p w14:paraId="5637FB0A">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包名</w:t>
            </w:r>
          </w:p>
        </w:tc>
        <w:tc>
          <w:tcPr>
            <w:tcW w:w="1380" w:type="dxa"/>
            <w:noWrap w:val="0"/>
            <w:vAlign w:val="center"/>
          </w:tcPr>
          <w:p w14:paraId="5958BB03">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最高限价</w:t>
            </w:r>
          </w:p>
          <w:p w14:paraId="7DBEE406">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元</w:t>
            </w:r>
            <w:r>
              <w:rPr>
                <w:rFonts w:hint="eastAsia" w:ascii="宋体" w:hAnsi="宋体" w:eastAsia="宋体" w:cs="宋体"/>
                <w:b/>
                <w:bCs/>
                <w:color w:val="auto"/>
                <w:sz w:val="21"/>
                <w:szCs w:val="21"/>
                <w:highlight w:val="none"/>
                <w:lang w:eastAsia="zh-CN"/>
              </w:rPr>
              <w:t>）</w:t>
            </w:r>
          </w:p>
        </w:tc>
        <w:tc>
          <w:tcPr>
            <w:tcW w:w="2062" w:type="dxa"/>
            <w:noWrap w:val="0"/>
            <w:vAlign w:val="center"/>
          </w:tcPr>
          <w:p w14:paraId="32842678">
            <w:pPr>
              <w:keepNext w:val="0"/>
              <w:keepLines w:val="0"/>
              <w:pageBreakBefore w:val="0"/>
              <w:widowControl/>
              <w:kinsoku/>
              <w:wordWrap/>
              <w:overflowPunct/>
              <w:topLinePunct w:val="0"/>
              <w:autoSpaceDE/>
              <w:autoSpaceDN/>
              <w:bidi w:val="0"/>
              <w:spacing w:line="288"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标的名称</w:t>
            </w:r>
          </w:p>
        </w:tc>
        <w:tc>
          <w:tcPr>
            <w:tcW w:w="1566" w:type="dxa"/>
            <w:noWrap w:val="0"/>
            <w:vAlign w:val="center"/>
          </w:tcPr>
          <w:p w14:paraId="4C089202">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简要技术要求</w:t>
            </w:r>
          </w:p>
        </w:tc>
        <w:tc>
          <w:tcPr>
            <w:tcW w:w="713" w:type="dxa"/>
            <w:noWrap w:val="0"/>
            <w:vAlign w:val="center"/>
          </w:tcPr>
          <w:p w14:paraId="46D211F7">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数量</w:t>
            </w:r>
          </w:p>
        </w:tc>
        <w:tc>
          <w:tcPr>
            <w:tcW w:w="1318" w:type="dxa"/>
            <w:noWrap w:val="0"/>
            <w:vAlign w:val="center"/>
          </w:tcPr>
          <w:p w14:paraId="6DE399EC">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标的预算</w:t>
            </w:r>
          </w:p>
          <w:p w14:paraId="333C2675">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元</w:t>
            </w:r>
            <w:r>
              <w:rPr>
                <w:rFonts w:hint="eastAsia" w:ascii="宋体" w:hAnsi="宋体" w:eastAsia="宋体" w:cs="宋体"/>
                <w:b/>
                <w:bCs/>
                <w:color w:val="auto"/>
                <w:sz w:val="21"/>
                <w:szCs w:val="21"/>
                <w:highlight w:val="none"/>
                <w:lang w:eastAsia="zh-CN"/>
              </w:rPr>
              <w:t>）</w:t>
            </w:r>
          </w:p>
        </w:tc>
        <w:tc>
          <w:tcPr>
            <w:tcW w:w="744" w:type="dxa"/>
            <w:noWrap w:val="0"/>
            <w:vAlign w:val="center"/>
          </w:tcPr>
          <w:p w14:paraId="066276E1">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节能产品</w:t>
            </w:r>
          </w:p>
        </w:tc>
        <w:tc>
          <w:tcPr>
            <w:tcW w:w="744" w:type="dxa"/>
            <w:noWrap w:val="0"/>
            <w:vAlign w:val="center"/>
          </w:tcPr>
          <w:p w14:paraId="27C610E1">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进口产品</w:t>
            </w:r>
          </w:p>
        </w:tc>
      </w:tr>
      <w:tr w14:paraId="7749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610" w:type="dxa"/>
            <w:noWrap w:val="0"/>
            <w:vAlign w:val="center"/>
          </w:tcPr>
          <w:p w14:paraId="603EFD1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_GB2312" w:hAnsi="宋体" w:eastAsia="宋体" w:cs="宋体"/>
                <w:sz w:val="24"/>
                <w:lang w:val="en-US" w:eastAsia="zh-CN"/>
              </w:rPr>
            </w:pPr>
            <w:r>
              <w:rPr>
                <w:rFonts w:hint="eastAsia" w:ascii="仿宋_GB2312" w:hAnsi="宋体" w:eastAsia="宋体" w:cs="宋体"/>
                <w:sz w:val="24"/>
                <w:lang w:val="en-US" w:eastAsia="zh-CN"/>
              </w:rPr>
              <w:t>包1</w:t>
            </w:r>
          </w:p>
        </w:tc>
        <w:tc>
          <w:tcPr>
            <w:tcW w:w="1380" w:type="dxa"/>
            <w:noWrap w:val="0"/>
            <w:vAlign w:val="center"/>
          </w:tcPr>
          <w:p w14:paraId="348F6E3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_GB2312" w:hAnsi="宋体" w:eastAsia="宋体" w:cs="宋体"/>
                <w:sz w:val="24"/>
                <w:lang w:val="en-US" w:eastAsia="zh-CN"/>
              </w:rPr>
            </w:pPr>
            <w:r>
              <w:rPr>
                <w:rFonts w:hint="eastAsia" w:ascii="仿宋_GB2312" w:hAnsi="宋体" w:cs="宋体"/>
                <w:sz w:val="24"/>
                <w:lang w:val="en-US" w:eastAsia="zh-CN"/>
              </w:rPr>
              <w:t>720000</w:t>
            </w:r>
          </w:p>
        </w:tc>
        <w:tc>
          <w:tcPr>
            <w:tcW w:w="2062" w:type="dxa"/>
            <w:noWrap w:val="0"/>
            <w:vAlign w:val="center"/>
          </w:tcPr>
          <w:p w14:paraId="0ED49A3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_GB2312" w:hAnsi="宋体" w:eastAsia="宋体" w:cs="宋体"/>
                <w:sz w:val="24"/>
                <w:lang w:eastAsia="zh-CN"/>
              </w:rPr>
            </w:pPr>
            <w:r>
              <w:rPr>
                <w:rFonts w:hint="eastAsia" w:ascii="仿宋_GB2312" w:hAnsi="宋体" w:cs="宋体"/>
                <w:sz w:val="24"/>
                <w:lang w:eastAsia="zh-CN"/>
              </w:rPr>
              <w:t>全省数字微波网通信电源柜升级改造</w:t>
            </w:r>
          </w:p>
        </w:tc>
        <w:tc>
          <w:tcPr>
            <w:tcW w:w="1566" w:type="dxa"/>
            <w:noWrap w:val="0"/>
            <w:vAlign w:val="center"/>
          </w:tcPr>
          <w:p w14:paraId="3A86022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_GB2312" w:hAnsi="宋体" w:eastAsia="宋体" w:cs="宋体"/>
                <w:sz w:val="24"/>
                <w:lang w:eastAsia="zh-CN"/>
              </w:rPr>
            </w:pPr>
            <w:r>
              <w:rPr>
                <w:rFonts w:hint="eastAsia" w:ascii="仿宋_GB2312" w:hAnsi="宋体" w:eastAsia="宋体" w:cs="宋体"/>
                <w:sz w:val="24"/>
                <w:lang w:eastAsia="zh-CN"/>
              </w:rPr>
              <w:t>详见采购需求</w:t>
            </w:r>
          </w:p>
        </w:tc>
        <w:tc>
          <w:tcPr>
            <w:tcW w:w="713" w:type="dxa"/>
            <w:noWrap w:val="0"/>
            <w:vAlign w:val="center"/>
          </w:tcPr>
          <w:p w14:paraId="769D469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_GB2312" w:hAnsi="宋体" w:eastAsia="宋体" w:cs="宋体"/>
                <w:sz w:val="24"/>
                <w:lang w:eastAsia="zh-CN"/>
              </w:rPr>
            </w:pPr>
            <w:r>
              <w:rPr>
                <w:rFonts w:hint="eastAsia" w:ascii="仿宋_GB2312" w:hAnsi="宋体" w:eastAsia="宋体" w:cs="宋体"/>
                <w:sz w:val="24"/>
                <w:lang w:eastAsia="zh-CN"/>
              </w:rPr>
              <w:t>1</w:t>
            </w:r>
          </w:p>
        </w:tc>
        <w:tc>
          <w:tcPr>
            <w:tcW w:w="1318" w:type="dxa"/>
            <w:noWrap w:val="0"/>
            <w:vAlign w:val="center"/>
          </w:tcPr>
          <w:p w14:paraId="6113E86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仿宋_GB2312" w:hAnsi="宋体" w:eastAsia="宋体" w:cs="宋体"/>
                <w:sz w:val="24"/>
                <w:lang w:val="en-US" w:eastAsia="zh-CN"/>
              </w:rPr>
            </w:pPr>
            <w:r>
              <w:rPr>
                <w:rFonts w:hint="eastAsia" w:ascii="仿宋_GB2312" w:hAnsi="宋体" w:cs="宋体"/>
                <w:sz w:val="24"/>
                <w:lang w:val="en-US" w:eastAsia="zh-CN"/>
              </w:rPr>
              <w:t>720000</w:t>
            </w:r>
          </w:p>
        </w:tc>
        <w:tc>
          <w:tcPr>
            <w:tcW w:w="744" w:type="dxa"/>
            <w:noWrap w:val="0"/>
            <w:vAlign w:val="center"/>
          </w:tcPr>
          <w:p w14:paraId="24385CA2">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iCs/>
                <w:color w:val="auto"/>
                <w:highlight w:val="none"/>
              </w:rPr>
              <w:sym w:font="Wingdings" w:char="00A8"/>
            </w:r>
          </w:p>
        </w:tc>
        <w:tc>
          <w:tcPr>
            <w:tcW w:w="744" w:type="dxa"/>
            <w:noWrap w:val="0"/>
            <w:vAlign w:val="center"/>
          </w:tcPr>
          <w:p w14:paraId="0CDF67DC">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Cs/>
                <w:color w:val="auto"/>
                <w:highlight w:val="none"/>
              </w:rPr>
              <w:sym w:font="Wingdings" w:char="00A8"/>
            </w:r>
          </w:p>
        </w:tc>
      </w:tr>
    </w:tbl>
    <w:p w14:paraId="16E756F9">
      <w:pPr>
        <w:adjustRightInd w:val="0"/>
        <w:snapToGrid w:val="0"/>
        <w:spacing w:line="520" w:lineRule="exact"/>
        <w:rPr>
          <w:rFonts w:ascii="宋体" w:hAnsi="宋体" w:cs="宋体"/>
          <w:sz w:val="24"/>
        </w:rPr>
      </w:pPr>
      <w:bookmarkStart w:id="4" w:name="_Toc5558"/>
      <w:r>
        <w:rPr>
          <w:rFonts w:hint="eastAsia" w:ascii="宋体" w:hAnsi="宋体" w:cs="宋体"/>
          <w:sz w:val="24"/>
        </w:rPr>
        <w:t>说明：</w:t>
      </w:r>
      <w:bookmarkEnd w:id="4"/>
    </w:p>
    <w:p w14:paraId="0599D43B">
      <w:pPr>
        <w:adjustRightInd w:val="0"/>
        <w:snapToGrid w:val="0"/>
        <w:spacing w:line="520" w:lineRule="exact"/>
        <w:rPr>
          <w:rFonts w:ascii="宋体" w:hAnsi="宋体" w:cs="宋体"/>
          <w:sz w:val="24"/>
        </w:rPr>
      </w:pPr>
      <w:bookmarkStart w:id="5" w:name="_Toc9929"/>
      <w:r>
        <w:rPr>
          <w:rFonts w:hint="eastAsia" w:ascii="宋体" w:hAnsi="宋体" w:cs="宋体"/>
          <w:sz w:val="24"/>
        </w:rPr>
        <w:t>1.节能产品实行强制采购的，需提供国家认证机构出具的、处于有效期内的节能产品证书。</w:t>
      </w:r>
      <w:bookmarkEnd w:id="5"/>
    </w:p>
    <w:p w14:paraId="029CD596">
      <w:pPr>
        <w:adjustRightInd w:val="0"/>
        <w:snapToGrid w:val="0"/>
        <w:spacing w:line="520" w:lineRule="exact"/>
        <w:rPr>
          <w:rFonts w:ascii="宋体" w:hAnsi="宋体" w:cs="宋体"/>
          <w:sz w:val="24"/>
        </w:rPr>
      </w:pPr>
      <w:bookmarkStart w:id="6" w:name="_Toc8169"/>
      <w:r>
        <w:rPr>
          <w:rFonts w:hint="eastAsia" w:ascii="宋体" w:hAnsi="宋体" w:cs="宋体"/>
          <w:sz w:val="24"/>
        </w:rPr>
        <w:t>2.同意购买进口产品的，不限制满足采购需求的国内产品参与投标。</w:t>
      </w:r>
      <w:bookmarkEnd w:id="6"/>
    </w:p>
    <w:p w14:paraId="6AE0B740">
      <w:pPr>
        <w:adjustRightInd w:val="0"/>
        <w:snapToGrid w:val="0"/>
        <w:spacing w:line="520" w:lineRule="exact"/>
        <w:rPr>
          <w:rFonts w:ascii="宋体" w:hAnsi="宋体" w:cs="宋体"/>
          <w:b/>
          <w:bCs/>
          <w:sz w:val="24"/>
        </w:rPr>
      </w:pPr>
      <w:bookmarkStart w:id="7" w:name="_Toc26034"/>
      <w:r>
        <w:rPr>
          <w:rFonts w:hint="eastAsia" w:ascii="宋体" w:hAnsi="宋体" w:cs="宋体"/>
          <w:b/>
          <w:bCs/>
          <w:sz w:val="24"/>
        </w:rPr>
        <w:t>三、采购项目需落实的政府采购政策：</w:t>
      </w:r>
      <w:bookmarkEnd w:id="7"/>
    </w:p>
    <w:p w14:paraId="6CD33988">
      <w:pPr>
        <w:adjustRightInd w:val="0"/>
        <w:snapToGrid w:val="0"/>
        <w:spacing w:line="520" w:lineRule="exact"/>
        <w:rPr>
          <w:rFonts w:ascii="宋体" w:hAnsi="宋体" w:cs="宋体"/>
          <w:sz w:val="24"/>
        </w:rPr>
      </w:pPr>
      <w:bookmarkStart w:id="8" w:name="_Toc7755"/>
      <w:r>
        <w:rPr>
          <w:rFonts w:hint="eastAsia" w:ascii="宋体" w:hAnsi="宋体" w:cs="宋体"/>
          <w:sz w:val="24"/>
        </w:rPr>
        <w:t>1、优先采购：节能产品、环境标志产品享受加分或价格折扣。</w:t>
      </w:r>
      <w:bookmarkEnd w:id="8"/>
    </w:p>
    <w:p w14:paraId="1A1CC053">
      <w:pPr>
        <w:adjustRightInd w:val="0"/>
        <w:snapToGrid w:val="0"/>
        <w:spacing w:line="520" w:lineRule="exact"/>
        <w:rPr>
          <w:rFonts w:ascii="宋体" w:hAnsi="宋体" w:cs="宋体"/>
          <w:sz w:val="24"/>
        </w:rPr>
      </w:pPr>
      <w:bookmarkStart w:id="9" w:name="_Toc15950"/>
      <w:r>
        <w:rPr>
          <w:rFonts w:hint="eastAsia" w:ascii="宋体" w:hAnsi="宋体" w:cs="宋体"/>
          <w:sz w:val="24"/>
        </w:rPr>
        <w:t>2、支持中小企业：中小企业享受预留采购份额或价格折扣。</w:t>
      </w:r>
      <w:bookmarkEnd w:id="9"/>
    </w:p>
    <w:p w14:paraId="6B158ECE">
      <w:pPr>
        <w:adjustRightInd w:val="0"/>
        <w:snapToGrid w:val="0"/>
        <w:spacing w:line="520" w:lineRule="exact"/>
        <w:rPr>
          <w:rFonts w:ascii="宋体" w:hAnsi="宋体" w:cs="宋体"/>
          <w:b/>
          <w:bCs/>
          <w:sz w:val="24"/>
        </w:rPr>
      </w:pPr>
      <w:bookmarkStart w:id="10" w:name="_Toc2508"/>
      <w:r>
        <w:rPr>
          <w:rFonts w:hint="eastAsia" w:ascii="宋体" w:hAnsi="宋体" w:cs="宋体"/>
          <w:b/>
          <w:bCs/>
          <w:sz w:val="24"/>
        </w:rPr>
        <w:t>四、投标人的资格要求：</w:t>
      </w:r>
      <w:bookmarkEnd w:id="10"/>
    </w:p>
    <w:p w14:paraId="453FDB23">
      <w:pPr>
        <w:adjustRightInd w:val="0"/>
        <w:snapToGrid w:val="0"/>
        <w:spacing w:line="520" w:lineRule="exact"/>
        <w:rPr>
          <w:rFonts w:hint="eastAsia" w:ascii="宋体" w:hAnsi="宋体" w:eastAsia="宋体" w:cs="宋体"/>
          <w:sz w:val="24"/>
          <w:lang w:val="en-US" w:eastAsia="zh-CN"/>
        </w:rPr>
      </w:pPr>
      <w:bookmarkStart w:id="11" w:name="_Toc18924"/>
      <w:r>
        <w:rPr>
          <w:rFonts w:hint="eastAsia" w:ascii="宋体" w:hAnsi="宋体" w:cs="宋体"/>
          <w:sz w:val="24"/>
        </w:rPr>
        <w:t>1、投标人的基本资格条件：投标人必须是在中华人民共和国境内注册登记的法人、其他组织或者自然人，且应当符合《</w:t>
      </w:r>
      <w:r>
        <w:rPr>
          <w:rFonts w:hint="eastAsia" w:ascii="宋体" w:hAnsi="宋体" w:cs="宋体"/>
          <w:sz w:val="24"/>
          <w:lang w:val="en-US" w:eastAsia="zh-CN"/>
        </w:rPr>
        <w:t>中华人民共和国政府采购法</w:t>
      </w:r>
      <w:r>
        <w:rPr>
          <w:rFonts w:hint="eastAsia" w:ascii="宋体" w:hAnsi="宋体" w:cs="宋体"/>
          <w:sz w:val="24"/>
        </w:rPr>
        <w:t>》第二十二条第一款的规定。</w:t>
      </w:r>
      <w:bookmarkEnd w:id="11"/>
      <w:r>
        <w:rPr>
          <w:rFonts w:hint="eastAsia" w:ascii="宋体" w:hAnsi="宋体" w:cs="宋体"/>
          <w:sz w:val="24"/>
          <w:lang w:val="en-US" w:eastAsia="zh-CN"/>
        </w:rPr>
        <w:t>即：</w:t>
      </w:r>
    </w:p>
    <w:p w14:paraId="2F719E52">
      <w:pPr>
        <w:adjustRightInd w:val="0"/>
        <w:snapToGrid w:val="0"/>
        <w:spacing w:line="520" w:lineRule="exact"/>
        <w:rPr>
          <w:rFonts w:hint="eastAsia" w:ascii="宋体" w:hAnsi="宋体" w:eastAsia="宋体" w:cs="宋体"/>
          <w:sz w:val="24"/>
        </w:rPr>
      </w:pPr>
      <w:r>
        <w:rPr>
          <w:rFonts w:hint="eastAsia" w:ascii="宋体" w:hAnsi="宋体" w:eastAsia="宋体" w:cs="宋体"/>
          <w:sz w:val="24"/>
        </w:rPr>
        <w:t>（1）具有独立承担民事责任的能力；</w:t>
      </w:r>
    </w:p>
    <w:p w14:paraId="6500F95D">
      <w:pPr>
        <w:adjustRightInd w:val="0"/>
        <w:snapToGrid w:val="0"/>
        <w:spacing w:line="520" w:lineRule="exact"/>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2E994AF1">
      <w:pPr>
        <w:adjustRightInd w:val="0"/>
        <w:snapToGrid w:val="0"/>
        <w:spacing w:line="520" w:lineRule="exac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26526210">
      <w:pPr>
        <w:adjustRightInd w:val="0"/>
        <w:snapToGrid w:val="0"/>
        <w:spacing w:line="520" w:lineRule="exact"/>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212832CB">
      <w:pPr>
        <w:adjustRightInd w:val="0"/>
        <w:snapToGrid w:val="0"/>
        <w:spacing w:line="520" w:lineRule="exact"/>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0A430C6C">
      <w:pPr>
        <w:adjustRightInd w:val="0"/>
        <w:snapToGrid w:val="0"/>
        <w:spacing w:line="520" w:lineRule="exact"/>
        <w:rPr>
          <w:rFonts w:hint="eastAsia" w:ascii="宋体" w:hAnsi="宋体" w:eastAsia="宋体" w:cs="宋体"/>
          <w:sz w:val="24"/>
        </w:rPr>
      </w:pPr>
      <w:r>
        <w:rPr>
          <w:rFonts w:hint="eastAsia" w:ascii="宋体" w:hAnsi="宋体" w:eastAsia="宋体" w:cs="宋体"/>
          <w:sz w:val="24"/>
        </w:rPr>
        <w:t>（6）法律、行政法规规定的其他条件。</w:t>
      </w:r>
    </w:p>
    <w:p w14:paraId="4258D83B">
      <w:pPr>
        <w:adjustRightInd w:val="0"/>
        <w:snapToGrid w:val="0"/>
        <w:spacing w:line="520" w:lineRule="exact"/>
        <w:rPr>
          <w:rFonts w:ascii="宋体" w:hAnsi="宋体" w:cs="宋体"/>
          <w:sz w:val="24"/>
        </w:rPr>
      </w:pPr>
      <w:bookmarkStart w:id="12" w:name="_Toc29232"/>
      <w:r>
        <w:rPr>
          <w:rFonts w:hint="eastAsia" w:ascii="宋体" w:hAnsi="宋体" w:cs="宋体"/>
          <w:sz w:val="24"/>
        </w:rPr>
        <w:t>2、落实政府采购政策需满足的资格要求：</w:t>
      </w:r>
      <w:bookmarkEnd w:id="12"/>
    </w:p>
    <w:p w14:paraId="4F294ED8">
      <w:pPr>
        <w:adjustRightInd w:val="0"/>
        <w:snapToGrid w:val="0"/>
        <w:spacing w:line="520" w:lineRule="exact"/>
        <w:rPr>
          <w:rFonts w:ascii="宋体" w:hAnsi="宋体" w:cs="宋体"/>
          <w:sz w:val="24"/>
        </w:rPr>
      </w:pPr>
      <w:bookmarkStart w:id="13" w:name="_Toc3625"/>
      <w:r>
        <w:rPr>
          <w:rFonts w:hint="eastAsia" w:ascii="宋体" w:hAnsi="宋体" w:cs="宋体"/>
          <w:sz w:val="24"/>
        </w:rPr>
        <w:sym w:font="Wingdings" w:char="00A8"/>
      </w:r>
      <w:r>
        <w:rPr>
          <w:rFonts w:hint="eastAsia" w:ascii="宋体" w:hAnsi="宋体" w:cs="宋体"/>
          <w:sz w:val="24"/>
        </w:rPr>
        <w:t>专门面向：</w:t>
      </w:r>
      <w:r>
        <w:rPr>
          <w:rFonts w:hint="eastAsia" w:ascii="宋体" w:hAnsi="宋体" w:cs="宋体"/>
          <w:sz w:val="24"/>
        </w:rPr>
        <w:sym w:font="Wingdings" w:char="00A8"/>
      </w:r>
      <w:r>
        <w:rPr>
          <w:rFonts w:hint="eastAsia" w:ascii="宋体" w:hAnsi="宋体" w:cs="宋体"/>
          <w:sz w:val="24"/>
        </w:rPr>
        <w:t>中小企业</w:t>
      </w:r>
      <w:r>
        <w:rPr>
          <w:rFonts w:hint="eastAsia" w:ascii="宋体" w:hAnsi="宋体" w:cs="宋体"/>
          <w:sz w:val="24"/>
        </w:rPr>
        <w:sym w:font="Wingdings" w:char="00A8"/>
      </w:r>
      <w:r>
        <w:rPr>
          <w:rFonts w:hint="eastAsia" w:ascii="宋体" w:hAnsi="宋体" w:cs="宋体"/>
          <w:sz w:val="24"/>
        </w:rPr>
        <w:t>小微企业</w:t>
      </w:r>
      <w:r>
        <w:rPr>
          <w:rFonts w:hint="eastAsia" w:ascii="宋体" w:hAnsi="宋体" w:cs="宋体"/>
          <w:sz w:val="24"/>
        </w:rPr>
        <w:sym w:font="Wingdings" w:char="00A8"/>
      </w:r>
      <w:r>
        <w:rPr>
          <w:rFonts w:hint="eastAsia" w:ascii="宋体" w:hAnsi="宋体" w:cs="宋体"/>
          <w:sz w:val="24"/>
        </w:rPr>
        <w:t>监狱企业</w:t>
      </w:r>
      <w:r>
        <w:rPr>
          <w:rFonts w:hint="eastAsia" w:ascii="宋体" w:hAnsi="宋体" w:cs="宋体"/>
          <w:sz w:val="24"/>
        </w:rPr>
        <w:sym w:font="Wingdings" w:char="00A8"/>
      </w:r>
      <w:r>
        <w:rPr>
          <w:rFonts w:hint="eastAsia" w:ascii="宋体" w:hAnsi="宋体" w:cs="宋体"/>
          <w:sz w:val="24"/>
        </w:rPr>
        <w:t>福利性单位</w:t>
      </w:r>
      <w:bookmarkEnd w:id="13"/>
    </w:p>
    <w:p w14:paraId="3F971CF7">
      <w:pPr>
        <w:adjustRightInd w:val="0"/>
        <w:snapToGrid w:val="0"/>
        <w:spacing w:line="520" w:lineRule="exact"/>
        <w:rPr>
          <w:rFonts w:ascii="宋体" w:hAnsi="宋体" w:cs="宋体"/>
          <w:sz w:val="24"/>
        </w:rPr>
      </w:pPr>
      <w:bookmarkStart w:id="14" w:name="_Toc20448"/>
      <w:r>
        <w:rPr>
          <w:rFonts w:hint="eastAsia" w:ascii="宋体" w:hAnsi="宋体" w:cs="宋体"/>
          <w:sz w:val="24"/>
        </w:rPr>
        <w:sym w:font="Wingdings" w:char="00A8"/>
      </w:r>
      <w:r>
        <w:rPr>
          <w:rFonts w:hint="eastAsia" w:ascii="宋体" w:hAnsi="宋体" w:cs="宋体"/>
          <w:sz w:val="24"/>
        </w:rPr>
        <w:t>强制分包：大型企业应将采购份额的</w:t>
      </w:r>
      <w:r>
        <w:rPr>
          <w:rFonts w:hint="eastAsia" w:ascii="宋体" w:hAnsi="宋体" w:cs="宋体"/>
          <w:sz w:val="24"/>
          <w:u w:val="single"/>
        </w:rPr>
        <w:t xml:space="preserve">        </w:t>
      </w:r>
      <w:r>
        <w:rPr>
          <w:rFonts w:hint="eastAsia" w:ascii="宋体" w:hAnsi="宋体" w:cs="宋体"/>
          <w:sz w:val="24"/>
        </w:rPr>
        <w:t xml:space="preserve"> %分包给中小企业。</w:t>
      </w:r>
      <w:bookmarkEnd w:id="14"/>
    </w:p>
    <w:p w14:paraId="3B60F9AE">
      <w:pPr>
        <w:adjustRightInd w:val="0"/>
        <w:snapToGrid w:val="0"/>
        <w:spacing w:line="520" w:lineRule="exact"/>
        <w:rPr>
          <w:rFonts w:ascii="宋体" w:hAnsi="宋体" w:cs="宋体"/>
          <w:sz w:val="24"/>
        </w:rPr>
      </w:pPr>
      <w:bookmarkStart w:id="15" w:name="_Toc3587"/>
      <w:r>
        <w:rPr>
          <w:rFonts w:hint="eastAsia" w:ascii="宋体" w:hAnsi="宋体" w:cs="宋体"/>
          <w:sz w:val="24"/>
        </w:rPr>
        <w:t>3、投标人的特定资格</w:t>
      </w:r>
      <w:bookmarkEnd w:id="15"/>
      <w:r>
        <w:rPr>
          <w:rFonts w:hint="eastAsia" w:ascii="宋体" w:hAnsi="宋体" w:cs="宋体"/>
          <w:sz w:val="24"/>
        </w:rPr>
        <w:t>条件：无。</w:t>
      </w:r>
    </w:p>
    <w:p w14:paraId="1A50B652">
      <w:pPr>
        <w:adjustRightInd w:val="0"/>
        <w:snapToGrid w:val="0"/>
        <w:spacing w:line="520" w:lineRule="exact"/>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4、单位负责人为同一人或者存在直接控股、管理关系的不同投标人，不得参加同一合同项下的政府采购活动。</w:t>
      </w:r>
    </w:p>
    <w:p w14:paraId="1FF0E0BD">
      <w:pPr>
        <w:adjustRightInd w:val="0"/>
        <w:snapToGrid w:val="0"/>
        <w:spacing w:line="520" w:lineRule="exact"/>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5、为本采购项目提供整体设计、规范编制或者项目管理、监理、检测等服务的，不得再参加此项目的其他采购活动。</w:t>
      </w:r>
    </w:p>
    <w:p w14:paraId="3BB3D081">
      <w:pPr>
        <w:adjustRightInd w:val="0"/>
        <w:snapToGrid w:val="0"/>
        <w:spacing w:line="520" w:lineRule="exact"/>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6、列入失信被执行人、重大税收违法失信主体名单、政府采购严重违法失信行为记录名单的，拒绝其参与政府采购活动。</w:t>
      </w:r>
    </w:p>
    <w:p w14:paraId="30E0F18E">
      <w:pPr>
        <w:adjustRightInd w:val="0"/>
        <w:snapToGrid w:val="0"/>
        <w:spacing w:line="520" w:lineRule="exact"/>
        <w:rPr>
          <w:rFonts w:hint="eastAsia" w:ascii="宋体" w:hAnsi="宋体" w:eastAsia="宋体" w:cs="宋体"/>
          <w:b w:val="0"/>
          <w:bCs w:val="0"/>
          <w:sz w:val="24"/>
        </w:rPr>
      </w:pPr>
      <w:r>
        <w:rPr>
          <w:rFonts w:hint="eastAsia" w:ascii="宋体" w:hAnsi="宋体" w:eastAsia="宋体" w:cs="宋体"/>
          <w:b w:val="0"/>
          <w:bCs w:val="0"/>
          <w:sz w:val="24"/>
          <w:lang w:eastAsia="zh-CN"/>
        </w:rPr>
        <w:t>7、联合体投标。本次招标不接受联合体投标</w:t>
      </w:r>
      <w:r>
        <w:rPr>
          <w:rFonts w:hint="eastAsia" w:ascii="宋体" w:hAnsi="宋体" w:eastAsia="宋体" w:cs="宋体"/>
          <w:b w:val="0"/>
          <w:bCs w:val="0"/>
          <w:sz w:val="24"/>
        </w:rPr>
        <w:t>。</w:t>
      </w:r>
    </w:p>
    <w:p w14:paraId="0C1ED3B2">
      <w:pPr>
        <w:adjustRightInd w:val="0"/>
        <w:snapToGrid w:val="0"/>
        <w:spacing w:line="520" w:lineRule="exact"/>
        <w:rPr>
          <w:rFonts w:hint="eastAsia" w:ascii="宋体" w:hAnsi="宋体" w:eastAsia="宋体" w:cs="宋体"/>
          <w:b w:val="0"/>
          <w:bCs w:val="0"/>
          <w:sz w:val="24"/>
        </w:rPr>
      </w:pPr>
      <w:r>
        <w:rPr>
          <w:rFonts w:hint="eastAsia" w:ascii="宋体" w:hAnsi="宋体" w:cs="宋体"/>
          <w:b w:val="0"/>
          <w:bCs w:val="0"/>
          <w:sz w:val="24"/>
          <w:lang w:val="en-US" w:eastAsia="zh-CN"/>
        </w:rPr>
        <w:t>注：</w:t>
      </w:r>
      <w:r>
        <w:rPr>
          <w:rFonts w:hint="eastAsia" w:ascii="宋体" w:hAnsi="宋体" w:eastAsia="宋体" w:cs="宋体"/>
          <w:b w:val="0"/>
          <w:bCs w:val="0"/>
          <w:sz w:val="24"/>
          <w:lang w:val="en-US" w:eastAsia="zh-CN"/>
        </w:rPr>
        <w:t>根据《湖南省财政厅关于政府采购促进中小企业发展有关措施的通知》相关规定，供应商凭《湖南省政府采购供应商资格承诺函》（格式详见磋商文件）参与政府采购活动，无需提供财务状况、缴纳税收和社会保障资金等资格证明材料、参加政府采购活动前3年内在经营活动中没有重大违法记录的声明。</w:t>
      </w:r>
    </w:p>
    <w:p w14:paraId="3470153F">
      <w:pPr>
        <w:spacing w:line="360" w:lineRule="auto"/>
        <w:rPr>
          <w:rFonts w:ascii="宋体" w:hAnsi="宋体" w:cs="Arial"/>
          <w:b/>
          <w:bCs/>
          <w:kern w:val="1"/>
          <w:sz w:val="24"/>
          <w:szCs w:val="24"/>
        </w:rPr>
      </w:pPr>
      <w:r>
        <w:rPr>
          <w:rFonts w:ascii="宋体" w:hAnsi="宋体" w:cs="Arial"/>
          <w:b/>
          <w:bCs/>
          <w:kern w:val="1"/>
          <w:sz w:val="24"/>
          <w:szCs w:val="24"/>
        </w:rPr>
        <w:t>五、获取</w:t>
      </w:r>
      <w:r>
        <w:rPr>
          <w:rFonts w:hint="eastAsia" w:ascii="宋体" w:hAnsi="宋体" w:cs="Arial"/>
          <w:b/>
          <w:bCs/>
          <w:kern w:val="1"/>
          <w:sz w:val="24"/>
          <w:szCs w:val="24"/>
        </w:rPr>
        <w:t>磋商</w:t>
      </w:r>
      <w:r>
        <w:rPr>
          <w:rFonts w:ascii="宋体" w:hAnsi="宋体" w:cs="Arial"/>
          <w:b/>
          <w:bCs/>
          <w:kern w:val="1"/>
          <w:sz w:val="24"/>
          <w:szCs w:val="24"/>
        </w:rPr>
        <w:t>文件的时间、期限、地点及方式</w:t>
      </w:r>
    </w:p>
    <w:p w14:paraId="43F40D99">
      <w:pPr>
        <w:widowControl/>
        <w:spacing w:before="120" w:line="360" w:lineRule="auto"/>
        <w:ind w:firstLine="420"/>
        <w:jc w:val="left"/>
        <w:rPr>
          <w:color w:val="000000"/>
          <w:sz w:val="24"/>
          <w:szCs w:val="24"/>
        </w:rPr>
      </w:pPr>
      <w:r>
        <w:rPr>
          <w:rFonts w:hint="eastAsia" w:ascii="宋体" w:hAnsi="宋体" w:eastAsia="宋体" w:cs="宋体"/>
          <w:sz w:val="24"/>
          <w:szCs w:val="24"/>
        </w:rPr>
        <w:t>请供应商于</w:t>
      </w:r>
      <w:r>
        <w:rPr>
          <w:rFonts w:hint="eastAsia" w:ascii="宋体" w:hAnsi="宋体" w:eastAsia="宋体" w:cs="宋体"/>
          <w:sz w:val="24"/>
          <w:szCs w:val="24"/>
          <w:lang w:eastAsia="zh-CN"/>
        </w:rPr>
        <w:t>2026年</w:t>
      </w:r>
      <w:r>
        <w:rPr>
          <w:rFonts w:hint="eastAsia" w:ascii="宋体" w:hAnsi="宋体" w:cs="宋体"/>
          <w:sz w:val="24"/>
          <w:szCs w:val="24"/>
          <w:lang w:eastAsia="zh-CN"/>
        </w:rPr>
        <w:t>7</w:t>
      </w:r>
      <w:r>
        <w:rPr>
          <w:rFonts w:hint="eastAsia" w:ascii="宋体" w:hAnsi="宋体" w:eastAsia="宋体" w:cs="宋体"/>
          <w:sz w:val="24"/>
          <w:szCs w:val="24"/>
          <w:lang w:eastAsia="zh-CN"/>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eastAsia="宋体" w:cs="宋体"/>
          <w:sz w:val="24"/>
          <w:szCs w:val="24"/>
          <w:lang w:eastAsia="zh-CN"/>
        </w:rPr>
        <w:t>至2026年</w:t>
      </w:r>
      <w:r>
        <w:rPr>
          <w:rFonts w:hint="eastAsia" w:ascii="宋体" w:hAnsi="宋体" w:cs="宋体"/>
          <w:sz w:val="24"/>
          <w:szCs w:val="24"/>
          <w:lang w:val="en-US" w:eastAsia="zh-CN"/>
        </w:rPr>
        <w:t>7</w:t>
      </w:r>
      <w:r>
        <w:rPr>
          <w:rFonts w:hint="eastAsia" w:ascii="宋体" w:hAnsi="宋体" w:eastAsia="宋体" w:cs="宋体"/>
          <w:sz w:val="24"/>
          <w:szCs w:val="24"/>
          <w:lang w:eastAsia="zh-CN"/>
        </w:rPr>
        <w:t>月</w:t>
      </w:r>
      <w:r>
        <w:rPr>
          <w:rFonts w:hint="eastAsia" w:ascii="宋体" w:hAnsi="宋体" w:cs="宋体"/>
          <w:sz w:val="24"/>
          <w:szCs w:val="24"/>
          <w:lang w:val="en-US" w:eastAsia="zh-CN"/>
        </w:rPr>
        <w:t>17</w:t>
      </w:r>
      <w:r>
        <w:rPr>
          <w:rFonts w:hint="eastAsia" w:ascii="宋体" w:hAnsi="宋体" w:eastAsia="宋体" w:cs="宋体"/>
          <w:sz w:val="24"/>
          <w:szCs w:val="24"/>
        </w:rPr>
        <w:t>日，每日0</w:t>
      </w:r>
      <w:r>
        <w:rPr>
          <w:rFonts w:hint="eastAsia" w:ascii="宋体" w:hAnsi="宋体" w:cs="宋体"/>
          <w:sz w:val="24"/>
          <w:szCs w:val="24"/>
          <w:lang w:val="en-US" w:eastAsia="zh-CN"/>
        </w:rPr>
        <w:t>9</w:t>
      </w:r>
      <w:r>
        <w:rPr>
          <w:rFonts w:hint="eastAsia" w:ascii="宋体" w:hAnsi="宋体" w:eastAsia="宋体" w:cs="宋体"/>
          <w:sz w:val="24"/>
          <w:szCs w:val="24"/>
        </w:rPr>
        <w:t>时</w:t>
      </w:r>
      <w:r>
        <w:rPr>
          <w:rFonts w:hint="eastAsia" w:ascii="宋体" w:hAnsi="宋体" w:cs="宋体"/>
          <w:sz w:val="24"/>
          <w:szCs w:val="24"/>
          <w:lang w:val="en-US" w:eastAsia="zh-CN"/>
        </w:rPr>
        <w:t>0</w:t>
      </w:r>
      <w:r>
        <w:rPr>
          <w:rFonts w:hint="eastAsia" w:ascii="宋体" w:hAnsi="宋体" w:eastAsia="宋体" w:cs="宋体"/>
          <w:sz w:val="24"/>
          <w:szCs w:val="24"/>
        </w:rPr>
        <w:t>0分至12时00分，14时</w:t>
      </w:r>
      <w:r>
        <w:rPr>
          <w:rFonts w:hint="eastAsia" w:ascii="宋体" w:hAnsi="宋体" w:cs="宋体"/>
          <w:sz w:val="24"/>
          <w:szCs w:val="24"/>
          <w:lang w:val="en-US" w:eastAsia="zh-CN"/>
        </w:rPr>
        <w:t>0</w:t>
      </w:r>
      <w:r>
        <w:rPr>
          <w:rFonts w:hint="eastAsia" w:ascii="宋体" w:hAnsi="宋体" w:eastAsia="宋体" w:cs="宋体"/>
          <w:sz w:val="24"/>
          <w:szCs w:val="24"/>
        </w:rPr>
        <w:t>0分至17时</w:t>
      </w:r>
      <w:r>
        <w:rPr>
          <w:rFonts w:hint="eastAsia" w:ascii="宋体" w:hAnsi="宋体" w:cs="宋体"/>
          <w:sz w:val="24"/>
          <w:szCs w:val="24"/>
          <w:lang w:val="en-US" w:eastAsia="zh-CN"/>
        </w:rPr>
        <w:t>3</w:t>
      </w:r>
      <w:r>
        <w:rPr>
          <w:rFonts w:hint="eastAsia" w:ascii="宋体" w:hAnsi="宋体" w:eastAsia="宋体" w:cs="宋体"/>
          <w:sz w:val="24"/>
          <w:szCs w:val="24"/>
        </w:rPr>
        <w:t>0分持营业执照或事业单位法人登记证书</w:t>
      </w:r>
      <w:r>
        <w:rPr>
          <w:rFonts w:hint="eastAsia" w:ascii="宋体" w:hAnsi="宋体" w:eastAsia="宋体" w:cs="宋体"/>
          <w:sz w:val="24"/>
          <w:szCs w:val="24"/>
          <w:lang w:val="en-US" w:eastAsia="zh-CN"/>
        </w:rPr>
        <w:t>复印件</w:t>
      </w:r>
      <w:r>
        <w:rPr>
          <w:rFonts w:hint="eastAsia" w:ascii="宋体" w:hAnsi="宋体" w:eastAsia="宋体" w:cs="宋体"/>
          <w:sz w:val="24"/>
          <w:szCs w:val="24"/>
        </w:rPr>
        <w:t>、法定代表人身份证明或授权委托书(附法定代表人身份证明)、个人身份证到</w:t>
      </w:r>
      <w:r>
        <w:rPr>
          <w:rFonts w:hint="eastAsia" w:ascii="宋体" w:hAnsi="宋体" w:cs="宋体"/>
          <w:sz w:val="24"/>
          <w:szCs w:val="24"/>
          <w:lang w:eastAsia="zh-CN"/>
        </w:rPr>
        <w:t>国昪项目管理有限公司</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长沙市岳麓区观沙岭街道茶子山东路湘江财富金融中心D座1115室）</w:t>
      </w:r>
      <w:r>
        <w:rPr>
          <w:rFonts w:hint="eastAsia" w:ascii="宋体" w:hAnsi="宋体" w:eastAsia="宋体" w:cs="宋体"/>
          <w:sz w:val="24"/>
          <w:szCs w:val="24"/>
        </w:rPr>
        <w:t xml:space="preserve"> 获取</w:t>
      </w:r>
      <w:r>
        <w:rPr>
          <w:rFonts w:hint="eastAsia" w:ascii="宋体" w:hAnsi="宋体" w:eastAsia="宋体" w:cs="宋体"/>
          <w:sz w:val="24"/>
          <w:szCs w:val="24"/>
          <w:lang w:eastAsia="zh-CN"/>
        </w:rPr>
        <w:t>磋商</w:t>
      </w:r>
      <w:r>
        <w:rPr>
          <w:rFonts w:hint="eastAsia" w:ascii="宋体" w:hAnsi="宋体" w:eastAsia="宋体" w:cs="宋体"/>
          <w:sz w:val="24"/>
          <w:szCs w:val="24"/>
        </w:rPr>
        <w:t>文件</w:t>
      </w:r>
      <w:r>
        <w:rPr>
          <w:rFonts w:ascii="宋体" w:hAnsi="宋体" w:cs="Arial"/>
          <w:color w:val="000000"/>
          <w:kern w:val="1"/>
          <w:sz w:val="24"/>
          <w:szCs w:val="24"/>
          <w:lang w:bidi="ar"/>
        </w:rPr>
        <w:t xml:space="preserve">。 </w:t>
      </w:r>
    </w:p>
    <w:p w14:paraId="29A74BB8">
      <w:pPr>
        <w:spacing w:line="360" w:lineRule="auto"/>
        <w:rPr>
          <w:rFonts w:ascii="宋体" w:hAnsi="宋体" w:cs="Arial"/>
          <w:b/>
          <w:bCs/>
          <w:kern w:val="1"/>
          <w:sz w:val="24"/>
          <w:szCs w:val="24"/>
        </w:rPr>
      </w:pPr>
      <w:r>
        <w:rPr>
          <w:rFonts w:ascii="宋体" w:hAnsi="宋体" w:cs="Arial"/>
          <w:b/>
          <w:bCs/>
          <w:kern w:val="1"/>
          <w:sz w:val="24"/>
          <w:szCs w:val="24"/>
        </w:rPr>
        <w:t>六、</w:t>
      </w:r>
      <w:r>
        <w:rPr>
          <w:rFonts w:hint="eastAsia" w:ascii="宋体" w:hAnsi="宋体" w:cs="Arial"/>
          <w:b/>
          <w:bCs/>
          <w:kern w:val="1"/>
          <w:sz w:val="24"/>
          <w:szCs w:val="24"/>
        </w:rPr>
        <w:t>提交响应文件</w:t>
      </w:r>
      <w:r>
        <w:rPr>
          <w:rFonts w:ascii="宋体" w:hAnsi="宋体" w:cs="Arial"/>
          <w:b/>
          <w:bCs/>
          <w:kern w:val="1"/>
          <w:sz w:val="24"/>
          <w:szCs w:val="24"/>
        </w:rPr>
        <w:t>截止时间、</w:t>
      </w:r>
      <w:r>
        <w:rPr>
          <w:rFonts w:hint="eastAsia" w:ascii="宋体" w:hAnsi="宋体" w:cs="Arial"/>
          <w:b/>
          <w:bCs/>
          <w:kern w:val="1"/>
          <w:sz w:val="24"/>
          <w:szCs w:val="24"/>
        </w:rPr>
        <w:t>磋商</w:t>
      </w:r>
      <w:r>
        <w:rPr>
          <w:rFonts w:ascii="宋体" w:hAnsi="宋体" w:cs="Arial"/>
          <w:b/>
          <w:bCs/>
          <w:kern w:val="1"/>
          <w:sz w:val="24"/>
          <w:szCs w:val="24"/>
        </w:rPr>
        <w:t>时间及地点</w:t>
      </w:r>
    </w:p>
    <w:p w14:paraId="193B0964">
      <w:pPr>
        <w:adjustRightInd w:val="0"/>
        <w:snapToGrid w:val="0"/>
        <w:spacing w:line="520" w:lineRule="exact"/>
        <w:rPr>
          <w:rFonts w:ascii="宋体" w:hAnsi="宋体" w:cs="宋体"/>
          <w:b/>
          <w:bCs/>
          <w:color w:val="auto"/>
          <w:sz w:val="24"/>
        </w:rPr>
      </w:pPr>
      <w:bookmarkStart w:id="16" w:name="_Toc11575"/>
      <w:r>
        <w:rPr>
          <w:rFonts w:hint="eastAsia" w:ascii="宋体" w:hAnsi="宋体" w:cs="宋体"/>
          <w:b/>
          <w:bCs/>
          <w:color w:val="auto"/>
          <w:sz w:val="24"/>
        </w:rPr>
        <w:t>1、提交响应文件的截止时间：2026年</w:t>
      </w:r>
      <w:r>
        <w:rPr>
          <w:rFonts w:hint="eastAsia" w:ascii="宋体" w:hAnsi="宋体" w:cs="宋体"/>
          <w:b/>
          <w:bCs/>
          <w:color w:val="auto"/>
          <w:sz w:val="24"/>
          <w:lang w:val="en-US" w:eastAsia="zh-CN"/>
        </w:rPr>
        <w:t>7</w:t>
      </w:r>
      <w:r>
        <w:rPr>
          <w:rFonts w:hint="eastAsia" w:ascii="宋体" w:hAnsi="宋体" w:cs="宋体"/>
          <w:b/>
          <w:bCs/>
          <w:color w:val="auto"/>
          <w:sz w:val="24"/>
        </w:rPr>
        <w:t>月</w:t>
      </w:r>
      <w:r>
        <w:rPr>
          <w:rFonts w:hint="eastAsia" w:ascii="宋体" w:hAnsi="宋体" w:cs="宋体"/>
          <w:b/>
          <w:bCs/>
          <w:color w:val="auto"/>
          <w:sz w:val="24"/>
          <w:lang w:val="en-US" w:eastAsia="zh-CN"/>
        </w:rPr>
        <w:t>21</w:t>
      </w:r>
      <w:r>
        <w:rPr>
          <w:rFonts w:hint="eastAsia" w:ascii="宋体" w:hAnsi="宋体" w:cs="宋体"/>
          <w:b/>
          <w:bCs/>
          <w:color w:val="auto"/>
          <w:sz w:val="24"/>
        </w:rPr>
        <w:t>日</w:t>
      </w:r>
      <w:r>
        <w:rPr>
          <w:rFonts w:hint="eastAsia" w:ascii="宋体" w:hAnsi="宋体" w:cs="宋体"/>
          <w:b/>
          <w:bCs/>
          <w:color w:val="auto"/>
          <w:sz w:val="24"/>
          <w:lang w:val="en-US" w:eastAsia="zh-CN"/>
        </w:rPr>
        <w:t>09</w:t>
      </w:r>
      <w:r>
        <w:rPr>
          <w:rFonts w:hint="eastAsia" w:ascii="宋体" w:hAnsi="宋体" w:cs="宋体"/>
          <w:b/>
          <w:bCs/>
          <w:color w:val="auto"/>
          <w:sz w:val="24"/>
        </w:rPr>
        <w:t>时</w:t>
      </w:r>
      <w:r>
        <w:rPr>
          <w:rFonts w:hint="eastAsia" w:ascii="宋体" w:hAnsi="宋体" w:cs="宋体"/>
          <w:b/>
          <w:bCs/>
          <w:color w:val="auto"/>
          <w:sz w:val="24"/>
          <w:lang w:val="en-US" w:eastAsia="zh-CN"/>
        </w:rPr>
        <w:t>30</w:t>
      </w:r>
      <w:r>
        <w:rPr>
          <w:rFonts w:hint="eastAsia" w:ascii="宋体" w:hAnsi="宋体" w:cs="宋体"/>
          <w:b/>
          <w:bCs/>
          <w:color w:val="auto"/>
          <w:sz w:val="24"/>
        </w:rPr>
        <w:t>分</w:t>
      </w:r>
      <w:bookmarkEnd w:id="16"/>
    </w:p>
    <w:p w14:paraId="38BB7067">
      <w:pPr>
        <w:adjustRightInd w:val="0"/>
        <w:snapToGrid w:val="0"/>
        <w:spacing w:line="520" w:lineRule="exact"/>
        <w:rPr>
          <w:rFonts w:ascii="宋体" w:hAnsi="宋体" w:cs="宋体"/>
          <w:b/>
          <w:bCs/>
          <w:color w:val="auto"/>
          <w:sz w:val="24"/>
        </w:rPr>
      </w:pPr>
      <w:bookmarkStart w:id="17" w:name="_Toc29940"/>
      <w:r>
        <w:rPr>
          <w:rFonts w:hint="eastAsia" w:ascii="宋体" w:hAnsi="宋体" w:cs="宋体"/>
          <w:b/>
          <w:bCs/>
          <w:color w:val="auto"/>
          <w:sz w:val="24"/>
        </w:rPr>
        <w:t>2、首次响应文件的开启时间：2026年</w:t>
      </w:r>
      <w:r>
        <w:rPr>
          <w:rFonts w:hint="eastAsia" w:ascii="宋体" w:hAnsi="宋体" w:cs="宋体"/>
          <w:b/>
          <w:bCs/>
          <w:color w:val="auto"/>
          <w:sz w:val="24"/>
          <w:lang w:val="en-US" w:eastAsia="zh-CN"/>
        </w:rPr>
        <w:t>7</w:t>
      </w:r>
      <w:r>
        <w:rPr>
          <w:rFonts w:hint="eastAsia" w:ascii="宋体" w:hAnsi="宋体" w:cs="宋体"/>
          <w:b/>
          <w:bCs/>
          <w:color w:val="auto"/>
          <w:sz w:val="24"/>
        </w:rPr>
        <w:t>月</w:t>
      </w:r>
      <w:r>
        <w:rPr>
          <w:rFonts w:hint="eastAsia" w:ascii="宋体" w:hAnsi="宋体" w:cs="宋体"/>
          <w:b/>
          <w:bCs/>
          <w:color w:val="auto"/>
          <w:sz w:val="24"/>
          <w:lang w:val="en-US" w:eastAsia="zh-CN"/>
        </w:rPr>
        <w:t>21</w:t>
      </w:r>
      <w:r>
        <w:rPr>
          <w:rFonts w:hint="eastAsia" w:ascii="宋体" w:hAnsi="宋体" w:cs="宋体"/>
          <w:b/>
          <w:bCs/>
          <w:color w:val="auto"/>
          <w:sz w:val="24"/>
        </w:rPr>
        <w:t>日</w:t>
      </w:r>
      <w:r>
        <w:rPr>
          <w:rFonts w:hint="eastAsia" w:ascii="宋体" w:hAnsi="宋体" w:cs="宋体"/>
          <w:b/>
          <w:bCs/>
          <w:color w:val="auto"/>
          <w:sz w:val="24"/>
          <w:lang w:val="en-US" w:eastAsia="zh-CN"/>
        </w:rPr>
        <w:t>09</w:t>
      </w:r>
      <w:r>
        <w:rPr>
          <w:rFonts w:hint="eastAsia" w:ascii="宋体" w:hAnsi="宋体" w:cs="宋体"/>
          <w:b/>
          <w:bCs/>
          <w:color w:val="auto"/>
          <w:sz w:val="24"/>
        </w:rPr>
        <w:t>时</w:t>
      </w:r>
      <w:r>
        <w:rPr>
          <w:rFonts w:hint="eastAsia" w:ascii="宋体" w:hAnsi="宋体" w:cs="宋体"/>
          <w:b/>
          <w:bCs/>
          <w:color w:val="auto"/>
          <w:sz w:val="24"/>
          <w:lang w:val="en-US" w:eastAsia="zh-CN"/>
        </w:rPr>
        <w:t>30</w:t>
      </w:r>
      <w:r>
        <w:rPr>
          <w:rFonts w:hint="eastAsia" w:ascii="宋体" w:hAnsi="宋体" w:cs="宋体"/>
          <w:b/>
          <w:bCs/>
          <w:color w:val="auto"/>
          <w:sz w:val="24"/>
        </w:rPr>
        <w:t>分</w:t>
      </w:r>
      <w:bookmarkEnd w:id="17"/>
    </w:p>
    <w:p w14:paraId="25569EEA">
      <w:pPr>
        <w:adjustRightInd w:val="0"/>
        <w:snapToGrid w:val="0"/>
        <w:spacing w:line="520" w:lineRule="exact"/>
        <w:rPr>
          <w:rFonts w:hint="eastAsia" w:ascii="宋体" w:hAnsi="宋体" w:eastAsia="宋体" w:cs="宋体"/>
          <w:color w:val="auto"/>
          <w:sz w:val="24"/>
          <w:lang w:eastAsia="zh-CN"/>
        </w:rPr>
      </w:pPr>
      <w:bookmarkStart w:id="18" w:name="_Toc7411"/>
      <w:r>
        <w:rPr>
          <w:rFonts w:hint="eastAsia" w:ascii="宋体" w:hAnsi="宋体" w:cs="宋体"/>
          <w:color w:val="auto"/>
          <w:sz w:val="24"/>
        </w:rPr>
        <w:t>3、提交响应文件地点：</w:t>
      </w:r>
      <w:r>
        <w:rPr>
          <w:rFonts w:hint="eastAsia" w:ascii="宋体" w:hAnsi="宋体" w:cs="宋体"/>
          <w:color w:val="auto"/>
          <w:sz w:val="24"/>
          <w:lang w:val="en-US" w:eastAsia="zh-CN"/>
        </w:rPr>
        <w:t>国昪项目管理有限公司（</w:t>
      </w:r>
      <w:r>
        <w:rPr>
          <w:rFonts w:hint="eastAsia" w:ascii="宋体" w:hAnsi="宋体" w:cs="宋体"/>
          <w:color w:val="auto"/>
          <w:sz w:val="24"/>
          <w:lang w:eastAsia="zh-CN"/>
        </w:rPr>
        <w:t>长沙市岳麓区观沙岭街道茶子山东路湘江财富金融中心D座111</w:t>
      </w:r>
      <w:r>
        <w:rPr>
          <w:rFonts w:hint="eastAsia" w:ascii="宋体" w:hAnsi="宋体" w:cs="宋体"/>
          <w:color w:val="auto"/>
          <w:sz w:val="24"/>
          <w:lang w:val="en-US" w:eastAsia="zh-CN"/>
        </w:rPr>
        <w:t>7</w:t>
      </w:r>
      <w:r>
        <w:rPr>
          <w:rFonts w:hint="eastAsia" w:ascii="宋体" w:hAnsi="宋体" w:cs="宋体"/>
          <w:color w:val="auto"/>
          <w:sz w:val="24"/>
          <w:lang w:eastAsia="zh-CN"/>
        </w:rPr>
        <w:t>室）</w:t>
      </w:r>
    </w:p>
    <w:bookmarkEnd w:id="18"/>
    <w:p w14:paraId="27AB43B3">
      <w:pPr>
        <w:adjustRightInd w:val="0"/>
        <w:snapToGrid w:val="0"/>
        <w:spacing w:line="520" w:lineRule="exact"/>
        <w:rPr>
          <w:rFonts w:ascii="宋体" w:hAnsi="宋体" w:cs="宋体"/>
          <w:b/>
          <w:bCs/>
          <w:sz w:val="24"/>
        </w:rPr>
      </w:pPr>
      <w:bookmarkStart w:id="19" w:name="_Toc1857"/>
      <w:r>
        <w:rPr>
          <w:rFonts w:hint="eastAsia" w:ascii="宋体" w:hAnsi="宋体" w:cs="宋体"/>
          <w:b/>
          <w:bCs/>
          <w:sz w:val="24"/>
        </w:rPr>
        <w:t>七、公告期限</w:t>
      </w:r>
      <w:bookmarkEnd w:id="19"/>
    </w:p>
    <w:p w14:paraId="5B83EA34">
      <w:pPr>
        <w:adjustRightInd w:val="0"/>
        <w:snapToGrid w:val="0"/>
        <w:spacing w:line="520" w:lineRule="exact"/>
        <w:rPr>
          <w:rFonts w:ascii="宋体" w:hAnsi="宋体" w:cs="宋体"/>
          <w:sz w:val="24"/>
        </w:rPr>
      </w:pPr>
      <w:bookmarkStart w:id="20" w:name="_Toc16807"/>
      <w:r>
        <w:rPr>
          <w:rFonts w:hint="eastAsia" w:ascii="宋体" w:hAnsi="宋体" w:cs="宋体"/>
          <w:sz w:val="24"/>
        </w:rPr>
        <w:t>1、本招标公告在</w:t>
      </w:r>
      <w:r>
        <w:rPr>
          <w:rFonts w:hint="eastAsia" w:ascii="宋体" w:hAnsi="宋体" w:eastAsia="宋体" w:cs="宋体"/>
          <w:sz w:val="24"/>
        </w:rPr>
        <w:t>中国湖南政府采购网（http://www.ccgp-hunan.gov.cn/）</w:t>
      </w:r>
      <w:r>
        <w:rPr>
          <w:rFonts w:hint="eastAsia" w:ascii="宋体" w:hAnsi="宋体" w:cs="宋体"/>
          <w:sz w:val="24"/>
        </w:rPr>
        <w:t>发布。公告期限从本招标公告发布之日起</w:t>
      </w:r>
      <w:r>
        <w:rPr>
          <w:rFonts w:hint="eastAsia" w:ascii="宋体" w:hAnsi="宋体" w:cs="宋体"/>
          <w:sz w:val="24"/>
          <w:lang w:val="en-US" w:eastAsia="zh-CN"/>
        </w:rPr>
        <w:t>3</w:t>
      </w:r>
      <w:r>
        <w:rPr>
          <w:rFonts w:hint="eastAsia" w:ascii="宋体" w:hAnsi="宋体" w:cs="宋体"/>
          <w:sz w:val="24"/>
        </w:rPr>
        <w:t>个工作日。</w:t>
      </w:r>
      <w:bookmarkEnd w:id="20"/>
    </w:p>
    <w:p w14:paraId="5AAE691A">
      <w:pPr>
        <w:adjustRightInd w:val="0"/>
        <w:snapToGrid w:val="0"/>
        <w:spacing w:line="520" w:lineRule="exact"/>
        <w:rPr>
          <w:rFonts w:ascii="宋体" w:hAnsi="宋体" w:cs="宋体"/>
          <w:sz w:val="24"/>
        </w:rPr>
      </w:pPr>
      <w:bookmarkStart w:id="21" w:name="_Toc1523"/>
      <w:r>
        <w:rPr>
          <w:rFonts w:hint="eastAsia" w:ascii="宋体" w:hAnsi="宋体" w:cs="宋体"/>
          <w:sz w:val="24"/>
        </w:rPr>
        <w:t>2、在其他媒体发布的招标公告，公告内容以本招标公告指定媒体发布的公告为准；公告期限自本招标公告指定媒体最先发布公告之日起算。</w:t>
      </w:r>
      <w:bookmarkEnd w:id="21"/>
    </w:p>
    <w:p w14:paraId="3E5AA143">
      <w:pPr>
        <w:adjustRightInd w:val="0"/>
        <w:snapToGrid w:val="0"/>
        <w:spacing w:line="520" w:lineRule="exact"/>
        <w:rPr>
          <w:rFonts w:ascii="宋体" w:hAnsi="宋体" w:cs="宋体"/>
          <w:b/>
          <w:bCs/>
          <w:sz w:val="24"/>
        </w:rPr>
      </w:pPr>
      <w:bookmarkStart w:id="22" w:name="_Toc72"/>
      <w:r>
        <w:rPr>
          <w:rFonts w:hint="eastAsia" w:ascii="宋体" w:hAnsi="宋体" w:cs="宋体"/>
          <w:b/>
          <w:bCs/>
          <w:sz w:val="24"/>
        </w:rPr>
        <w:t>八、疑问及质疑</w:t>
      </w:r>
      <w:bookmarkEnd w:id="22"/>
    </w:p>
    <w:p w14:paraId="57592840">
      <w:pPr>
        <w:adjustRightInd w:val="0"/>
        <w:snapToGrid w:val="0"/>
        <w:spacing w:line="520" w:lineRule="exact"/>
        <w:rPr>
          <w:rFonts w:ascii="宋体" w:hAnsi="宋体" w:cs="宋体"/>
          <w:sz w:val="24"/>
        </w:rPr>
      </w:pPr>
      <w:bookmarkStart w:id="23" w:name="_Toc5770"/>
      <w:r>
        <w:rPr>
          <w:rFonts w:hint="eastAsia" w:ascii="宋体" w:hAnsi="宋体" w:cs="宋体"/>
          <w:sz w:val="24"/>
        </w:rPr>
        <w:t>1、潜在投标人对采购活动事项如有疑问的，可以向采购人或采购代理机构提出询问。采购人或采购代理机构将在3个工作日内作出答复。</w:t>
      </w:r>
      <w:bookmarkEnd w:id="23"/>
    </w:p>
    <w:p w14:paraId="4B2E6C56">
      <w:pPr>
        <w:adjustRightInd w:val="0"/>
        <w:snapToGrid w:val="0"/>
        <w:spacing w:line="520" w:lineRule="exact"/>
        <w:rPr>
          <w:rFonts w:hint="eastAsia" w:ascii="宋体" w:hAnsi="宋体" w:cs="宋体"/>
          <w:sz w:val="24"/>
        </w:rPr>
      </w:pPr>
      <w:bookmarkStart w:id="24" w:name="_Toc29487"/>
      <w:r>
        <w:rPr>
          <w:rFonts w:hint="eastAsia" w:ascii="宋体" w:hAnsi="宋体" w:cs="宋体"/>
          <w:sz w:val="24"/>
        </w:rPr>
        <w:t>2、</w:t>
      </w:r>
      <w:bookmarkEnd w:id="24"/>
      <w:bookmarkStart w:id="25" w:name="_Toc12659"/>
      <w:r>
        <w:rPr>
          <w:rFonts w:hint="eastAsia" w:ascii="宋体" w:hAnsi="宋体" w:cs="宋体"/>
          <w:sz w:val="24"/>
        </w:rPr>
        <w:t>潜在供应商认为竞争性磋商文件或招标公告使自己的合法权益受到损害的，可以在收到竞争性磋商文件之日或招标公告期限届满之日起7个工作日内，以书面形式向采购人、采购代理机构提出质疑。但对同一采购程序环节的质疑须一次性提出。</w:t>
      </w:r>
    </w:p>
    <w:p w14:paraId="55D10EDE">
      <w:pPr>
        <w:adjustRightInd w:val="0"/>
        <w:snapToGrid w:val="0"/>
        <w:spacing w:line="520" w:lineRule="exact"/>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、采购项目联系人姓名和电话</w:t>
      </w:r>
      <w:bookmarkEnd w:id="25"/>
    </w:p>
    <w:p w14:paraId="61AE851B">
      <w:pPr>
        <w:adjustRightInd w:val="0"/>
        <w:snapToGrid w:val="0"/>
        <w:spacing w:line="520" w:lineRule="exact"/>
        <w:ind w:firstLine="480" w:firstLineChars="200"/>
        <w:rPr>
          <w:rFonts w:hint="eastAsia" w:ascii="宋体" w:hAnsi="宋体" w:cs="宋体"/>
          <w:sz w:val="24"/>
          <w:lang w:eastAsia="zh-CN"/>
        </w:rPr>
      </w:pPr>
      <w:r>
        <w:rPr>
          <w:rFonts w:hint="eastAsia" w:ascii="宋体" w:hAnsi="宋体" w:cs="宋体"/>
          <w:sz w:val="24"/>
        </w:rPr>
        <w:t>采 购 人：</w:t>
      </w:r>
      <w:r>
        <w:rPr>
          <w:rFonts w:hint="eastAsia" w:ascii="宋体" w:hAnsi="宋体" w:cs="宋体"/>
          <w:sz w:val="24"/>
          <w:lang w:eastAsia="zh-CN"/>
        </w:rPr>
        <w:t>湖南省广播电视微波总站</w:t>
      </w:r>
    </w:p>
    <w:p w14:paraId="23ECC576">
      <w:pPr>
        <w:adjustRightInd w:val="0"/>
        <w:snapToGrid w:val="0"/>
        <w:spacing w:line="520" w:lineRule="exact"/>
        <w:ind w:firstLine="480" w:firstLineChars="200"/>
        <w:rPr>
          <w:rFonts w:hint="eastAsia" w:ascii="宋体" w:hAnsi="宋体" w:cs="宋体"/>
          <w:sz w:val="24"/>
          <w:lang w:eastAsia="zh-CN"/>
        </w:rPr>
      </w:pPr>
      <w:r>
        <w:rPr>
          <w:rFonts w:hint="eastAsia" w:ascii="宋体" w:hAnsi="宋体" w:cs="宋体"/>
          <w:sz w:val="24"/>
        </w:rPr>
        <w:t>联 系 人：</w:t>
      </w:r>
      <w:r>
        <w:rPr>
          <w:rFonts w:hint="eastAsia" w:ascii="宋体" w:hAnsi="宋体" w:cs="宋体"/>
          <w:sz w:val="24"/>
          <w:lang w:eastAsia="zh-CN"/>
        </w:rPr>
        <w:t>胡先生</w:t>
      </w:r>
    </w:p>
    <w:p w14:paraId="3A433C2E">
      <w:pPr>
        <w:adjustRightInd w:val="0"/>
        <w:snapToGrid w:val="0"/>
        <w:spacing w:line="520" w:lineRule="exact"/>
        <w:ind w:firstLine="480" w:firstLineChars="200"/>
        <w:rPr>
          <w:rFonts w:hint="default" w:ascii="宋体" w:hAnsi="宋体" w:cs="宋体"/>
          <w:sz w:val="24"/>
          <w:lang w:val="en-US" w:eastAsia="zh-CN"/>
        </w:rPr>
      </w:pPr>
      <w:r>
        <w:rPr>
          <w:rFonts w:hint="eastAsia" w:ascii="宋体" w:hAnsi="宋体" w:cs="宋体"/>
          <w:sz w:val="24"/>
        </w:rPr>
        <w:t>电    话：0731-</w:t>
      </w:r>
      <w:r>
        <w:rPr>
          <w:rFonts w:hint="eastAsia" w:ascii="宋体" w:hAnsi="宋体" w:cs="宋体"/>
          <w:sz w:val="24"/>
          <w:lang w:val="en-US" w:eastAsia="zh-CN"/>
        </w:rPr>
        <w:t xml:space="preserve"> 84802553</w:t>
      </w:r>
    </w:p>
    <w:p w14:paraId="170C72D7">
      <w:pPr>
        <w:adjustRightInd w:val="0"/>
        <w:snapToGrid w:val="0"/>
        <w:spacing w:line="520" w:lineRule="exact"/>
        <w:ind w:firstLine="480" w:firstLineChars="200"/>
        <w:rPr>
          <w:rFonts w:hint="eastAsia" w:ascii="宋体" w:hAnsi="宋体" w:cs="宋体"/>
          <w:sz w:val="24"/>
          <w:lang w:eastAsia="zh-CN"/>
        </w:rPr>
      </w:pPr>
      <w:r>
        <w:rPr>
          <w:rFonts w:hint="eastAsia" w:ascii="宋体" w:hAnsi="宋体" w:cs="宋体"/>
          <w:sz w:val="24"/>
        </w:rPr>
        <w:t>地    址：</w:t>
      </w:r>
      <w:r>
        <w:rPr>
          <w:rFonts w:hint="eastAsia" w:ascii="宋体" w:hAnsi="宋体" w:cs="宋体"/>
          <w:sz w:val="24"/>
          <w:lang w:eastAsia="zh-CN"/>
        </w:rPr>
        <w:t>长沙市开福区金鹰影视文化城</w:t>
      </w:r>
    </w:p>
    <w:p w14:paraId="1F9EF9F9">
      <w:pPr>
        <w:adjustRightInd w:val="0"/>
        <w:snapToGrid w:val="0"/>
        <w:spacing w:line="520" w:lineRule="exact"/>
        <w:ind w:firstLine="480" w:firstLineChars="200"/>
        <w:rPr>
          <w:rFonts w:hint="eastAsia" w:ascii="宋体" w:hAnsi="宋体" w:cs="宋体"/>
          <w:sz w:val="24"/>
        </w:rPr>
      </w:pPr>
      <w:r>
        <w:rPr>
          <w:rFonts w:hint="eastAsia" w:ascii="宋体" w:hAnsi="宋体" w:cs="宋体"/>
          <w:sz w:val="24"/>
        </w:rPr>
        <w:t>采购代理机构：国昪项目管理有限公司</w:t>
      </w:r>
    </w:p>
    <w:p w14:paraId="1286F523">
      <w:pPr>
        <w:adjustRightInd w:val="0"/>
        <w:snapToGrid w:val="0"/>
        <w:spacing w:line="520" w:lineRule="exact"/>
        <w:ind w:firstLine="480" w:firstLineChars="200"/>
        <w:rPr>
          <w:rFonts w:hint="eastAsia" w:ascii="宋体" w:hAnsi="宋体" w:cs="宋体"/>
          <w:sz w:val="24"/>
          <w:lang w:eastAsia="zh-CN"/>
        </w:rPr>
      </w:pPr>
      <w:r>
        <w:rPr>
          <w:rFonts w:hint="eastAsia" w:ascii="宋体" w:hAnsi="宋体" w:cs="宋体"/>
          <w:sz w:val="24"/>
        </w:rPr>
        <w:t>联 系 人：</w:t>
      </w:r>
      <w:r>
        <w:rPr>
          <w:rFonts w:hint="eastAsia" w:ascii="宋体" w:hAnsi="宋体" w:cs="宋体"/>
          <w:sz w:val="24"/>
          <w:lang w:eastAsia="zh-CN"/>
        </w:rPr>
        <w:t>徐煦、刘欢、李泽东</w:t>
      </w:r>
    </w:p>
    <w:p w14:paraId="5A0EC5D1">
      <w:pPr>
        <w:adjustRightInd w:val="0"/>
        <w:snapToGrid w:val="0"/>
        <w:spacing w:line="520" w:lineRule="exact"/>
        <w:ind w:firstLine="480" w:firstLineChars="200"/>
        <w:rPr>
          <w:rFonts w:hint="eastAsia" w:ascii="宋体" w:hAnsi="宋体" w:cs="宋体"/>
          <w:sz w:val="24"/>
        </w:rPr>
      </w:pPr>
      <w:r>
        <w:rPr>
          <w:rFonts w:hint="eastAsia" w:ascii="宋体" w:hAnsi="宋体" w:cs="宋体"/>
          <w:sz w:val="24"/>
        </w:rPr>
        <w:t>电    话： 0731-85500316</w:t>
      </w:r>
    </w:p>
    <w:p w14:paraId="088C0FA6">
      <w:pPr>
        <w:adjustRightInd w:val="0"/>
        <w:snapToGrid w:val="0"/>
        <w:spacing w:line="520" w:lineRule="exact"/>
        <w:ind w:firstLine="480" w:firstLineChars="200"/>
        <w:rPr>
          <w:rFonts w:hint="eastAsia" w:ascii="宋体" w:hAnsi="宋体" w:cs="宋体"/>
          <w:sz w:val="24"/>
          <w:lang w:eastAsia="zh-CN"/>
        </w:rPr>
      </w:pPr>
      <w:r>
        <w:rPr>
          <w:rFonts w:hint="eastAsia" w:ascii="宋体" w:hAnsi="宋体" w:cs="宋体"/>
          <w:sz w:val="24"/>
        </w:rPr>
        <w:t>地    址：</w:t>
      </w:r>
      <w:r>
        <w:rPr>
          <w:rFonts w:hint="eastAsia" w:ascii="宋体" w:hAnsi="宋体" w:cs="宋体"/>
          <w:sz w:val="24"/>
          <w:lang w:eastAsia="zh-CN"/>
        </w:rPr>
        <w:t>长沙市岳麓区观沙岭街道茶子山东路湘江财富金融中心D座1115室</w:t>
      </w:r>
    </w:p>
    <w:p w14:paraId="54C83C0A">
      <w:pPr>
        <w:adjustRightInd w:val="0"/>
        <w:snapToGrid w:val="0"/>
        <w:spacing w:line="520" w:lineRule="exact"/>
        <w:ind w:firstLine="480" w:firstLineChars="200"/>
        <w:rPr>
          <w:rFonts w:ascii="宋体" w:hAnsi="宋体" w:cs="宋体"/>
          <w:sz w:val="24"/>
        </w:rPr>
      </w:pPr>
    </w:p>
    <w:p w14:paraId="7CB7FEFE">
      <w:pPr>
        <w:rPr>
          <w:rFonts w:ascii="宋体" w:hAnsi="宋体" w:cs="宋体"/>
          <w:sz w:val="24"/>
        </w:rPr>
      </w:pPr>
    </w:p>
    <w:p w14:paraId="5D0C01A8">
      <w:pPr>
        <w:jc w:val="center"/>
        <w:outlineLvl w:val="0"/>
        <w:rPr>
          <w:rFonts w:hint="eastAsia"/>
          <w:b/>
          <w:bCs/>
          <w:sz w:val="32"/>
          <w:szCs w:val="32"/>
        </w:rPr>
      </w:pPr>
      <w:bookmarkStart w:id="26" w:name="_Toc22787"/>
    </w:p>
    <w:p w14:paraId="370F83B4">
      <w:pPr>
        <w:jc w:val="center"/>
        <w:outlineLvl w:val="0"/>
        <w:rPr>
          <w:rFonts w:hint="eastAsia"/>
          <w:b/>
          <w:bCs/>
          <w:sz w:val="32"/>
          <w:szCs w:val="32"/>
        </w:rPr>
      </w:pPr>
    </w:p>
    <w:p w14:paraId="2828AC82">
      <w:pPr>
        <w:jc w:val="center"/>
        <w:outlineLvl w:val="0"/>
        <w:rPr>
          <w:rFonts w:hint="eastAsia"/>
          <w:b/>
          <w:bCs/>
          <w:sz w:val="32"/>
          <w:szCs w:val="32"/>
        </w:rPr>
      </w:pPr>
    </w:p>
    <w:p w14:paraId="127FBADA">
      <w:pPr>
        <w:jc w:val="center"/>
        <w:outlineLvl w:val="0"/>
        <w:rPr>
          <w:rFonts w:hint="eastAsia"/>
          <w:b/>
          <w:bCs/>
          <w:sz w:val="32"/>
          <w:szCs w:val="32"/>
        </w:rPr>
      </w:pPr>
    </w:p>
    <w:p w14:paraId="7749BB46">
      <w:pPr>
        <w:jc w:val="center"/>
        <w:outlineLvl w:val="0"/>
        <w:rPr>
          <w:rFonts w:hint="eastAsia"/>
          <w:b/>
          <w:bCs/>
          <w:sz w:val="32"/>
          <w:szCs w:val="32"/>
        </w:rPr>
      </w:pPr>
    </w:p>
    <w:p w14:paraId="5C2C1147">
      <w:pPr>
        <w:jc w:val="center"/>
        <w:outlineLvl w:val="0"/>
        <w:rPr>
          <w:rFonts w:hint="eastAsia"/>
          <w:b/>
          <w:bCs/>
          <w:sz w:val="32"/>
          <w:szCs w:val="32"/>
        </w:rPr>
      </w:pPr>
    </w:p>
    <w:p w14:paraId="702B3201">
      <w:pPr>
        <w:jc w:val="center"/>
        <w:outlineLvl w:val="0"/>
        <w:rPr>
          <w:rFonts w:hint="eastAsia"/>
          <w:b/>
          <w:bCs/>
          <w:sz w:val="32"/>
          <w:szCs w:val="32"/>
        </w:rPr>
      </w:pPr>
    </w:p>
    <w:p w14:paraId="4CFC5D7E">
      <w:pPr>
        <w:jc w:val="center"/>
        <w:outlineLvl w:val="0"/>
        <w:rPr>
          <w:rFonts w:hint="eastAsia"/>
          <w:b/>
          <w:bCs/>
          <w:sz w:val="32"/>
          <w:szCs w:val="32"/>
        </w:rPr>
      </w:pPr>
    </w:p>
    <w:p w14:paraId="6604B128">
      <w:pPr>
        <w:jc w:val="center"/>
        <w:outlineLvl w:val="0"/>
        <w:rPr>
          <w:rFonts w:hint="eastAsia"/>
          <w:b/>
          <w:bCs/>
          <w:sz w:val="32"/>
          <w:szCs w:val="32"/>
        </w:rPr>
      </w:pPr>
    </w:p>
    <w:p w14:paraId="508ED7FC">
      <w:pPr>
        <w:jc w:val="both"/>
        <w:outlineLvl w:val="0"/>
        <w:rPr>
          <w:rFonts w:hint="eastAsia"/>
          <w:b/>
          <w:bCs/>
          <w:sz w:val="32"/>
          <w:szCs w:val="32"/>
        </w:rPr>
      </w:pPr>
    </w:p>
    <w:p w14:paraId="44D20DF5">
      <w:pPr>
        <w:rPr>
          <w:rFonts w:hint="eastAsia"/>
          <w:b/>
          <w:bCs/>
          <w:sz w:val="32"/>
          <w:szCs w:val="32"/>
        </w:rPr>
      </w:pPr>
      <w:r>
        <w:rPr>
          <w:rFonts w:hint="eastAsia"/>
          <w:b/>
          <w:bCs/>
          <w:sz w:val="32"/>
          <w:szCs w:val="32"/>
        </w:rPr>
        <w:br w:type="page"/>
      </w:r>
    </w:p>
    <w:p w14:paraId="5579D448">
      <w:pPr>
        <w:jc w:val="center"/>
        <w:outlineLvl w:val="0"/>
      </w:pPr>
      <w:r>
        <w:rPr>
          <w:rFonts w:hint="eastAsia"/>
          <w:b/>
          <w:bCs/>
          <w:sz w:val="32"/>
          <w:szCs w:val="32"/>
        </w:rPr>
        <w:t>第二章磋商须知</w:t>
      </w:r>
      <w:bookmarkEnd w:id="26"/>
    </w:p>
    <w:p w14:paraId="6A3A6992">
      <w:pPr>
        <w:pStyle w:val="9"/>
        <w:jc w:val="center"/>
        <w:rPr>
          <w:rFonts w:hAnsi="宋体" w:cs="宋体"/>
          <w:b/>
          <w:sz w:val="24"/>
          <w:szCs w:val="24"/>
        </w:rPr>
      </w:pPr>
      <w:r>
        <w:rPr>
          <w:rFonts w:hint="eastAsia" w:hAnsi="宋体" w:cs="宋体"/>
          <w:b/>
          <w:sz w:val="24"/>
          <w:szCs w:val="24"/>
        </w:rPr>
        <w:t>磋商须知前附表</w:t>
      </w:r>
    </w:p>
    <w:tbl>
      <w:tblPr>
        <w:tblStyle w:val="18"/>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25"/>
        <w:gridCol w:w="1664"/>
        <w:gridCol w:w="5471"/>
      </w:tblGrid>
      <w:tr w14:paraId="23C9B3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925" w:type="dxa"/>
            <w:vAlign w:val="center"/>
          </w:tcPr>
          <w:p w14:paraId="76CC5FBD">
            <w:pPr>
              <w:adjustRightInd w:val="0"/>
              <w:snapToGrid w:val="0"/>
              <w:spacing w:line="360" w:lineRule="auto"/>
              <w:jc w:val="center"/>
              <w:rPr>
                <w:rFonts w:ascii="宋体" w:hAnsi="宋体"/>
                <w:b/>
                <w:sz w:val="24"/>
              </w:rPr>
            </w:pPr>
            <w:r>
              <w:rPr>
                <w:rFonts w:hint="eastAsia" w:ascii="宋体" w:hAnsi="宋体"/>
                <w:b/>
                <w:sz w:val="24"/>
              </w:rPr>
              <w:t>条款号</w:t>
            </w:r>
          </w:p>
        </w:tc>
        <w:tc>
          <w:tcPr>
            <w:tcW w:w="1664" w:type="dxa"/>
            <w:vAlign w:val="center"/>
          </w:tcPr>
          <w:p w14:paraId="2E49287C">
            <w:pPr>
              <w:adjustRightInd w:val="0"/>
              <w:snapToGrid w:val="0"/>
              <w:spacing w:line="360" w:lineRule="auto"/>
              <w:jc w:val="center"/>
              <w:rPr>
                <w:rFonts w:ascii="宋体" w:hAnsi="宋体"/>
                <w:b/>
                <w:sz w:val="24"/>
              </w:rPr>
            </w:pPr>
            <w:r>
              <w:rPr>
                <w:rFonts w:hint="eastAsia" w:ascii="宋体" w:hAnsi="宋体"/>
                <w:b/>
                <w:sz w:val="24"/>
              </w:rPr>
              <w:t>条款名称</w:t>
            </w:r>
          </w:p>
        </w:tc>
        <w:tc>
          <w:tcPr>
            <w:tcW w:w="5471" w:type="dxa"/>
            <w:vAlign w:val="center"/>
          </w:tcPr>
          <w:p w14:paraId="744C6CA7">
            <w:pPr>
              <w:adjustRightInd w:val="0"/>
              <w:snapToGrid w:val="0"/>
              <w:spacing w:line="360" w:lineRule="auto"/>
              <w:jc w:val="center"/>
              <w:rPr>
                <w:rFonts w:ascii="宋体" w:hAnsi="宋体"/>
                <w:b/>
                <w:sz w:val="24"/>
              </w:rPr>
            </w:pPr>
            <w:r>
              <w:rPr>
                <w:rFonts w:hint="eastAsia" w:ascii="宋体" w:hAnsi="宋体"/>
                <w:b/>
                <w:sz w:val="24"/>
              </w:rPr>
              <w:t>编列内容规定</w:t>
            </w:r>
          </w:p>
        </w:tc>
      </w:tr>
      <w:tr w14:paraId="15A32B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3"/>
            <w:vAlign w:val="center"/>
          </w:tcPr>
          <w:p w14:paraId="25FFDAF4">
            <w:pPr>
              <w:adjustRightInd w:val="0"/>
              <w:snapToGrid w:val="0"/>
              <w:spacing w:line="360" w:lineRule="auto"/>
              <w:jc w:val="center"/>
              <w:rPr>
                <w:rFonts w:ascii="宋体" w:hAnsi="宋体"/>
                <w:sz w:val="24"/>
              </w:rPr>
            </w:pPr>
            <w:r>
              <w:rPr>
                <w:rFonts w:hint="eastAsia" w:ascii="宋体" w:hAnsi="宋体"/>
                <w:b/>
                <w:sz w:val="24"/>
              </w:rPr>
              <w:t>一、说明</w:t>
            </w:r>
          </w:p>
        </w:tc>
      </w:tr>
      <w:tr w14:paraId="529044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4939199D">
            <w:pPr>
              <w:adjustRightInd w:val="0"/>
              <w:snapToGrid w:val="0"/>
              <w:spacing w:line="360" w:lineRule="auto"/>
              <w:jc w:val="center"/>
              <w:rPr>
                <w:rFonts w:ascii="宋体" w:hAnsi="宋体"/>
                <w:sz w:val="24"/>
              </w:rPr>
            </w:pPr>
            <w:r>
              <w:rPr>
                <w:rFonts w:hint="eastAsia" w:ascii="宋体" w:hAnsi="宋体"/>
                <w:sz w:val="24"/>
              </w:rPr>
              <w:t>第二章</w:t>
            </w:r>
          </w:p>
          <w:p w14:paraId="32EF157F">
            <w:pPr>
              <w:adjustRightInd w:val="0"/>
              <w:snapToGrid w:val="0"/>
              <w:spacing w:line="360" w:lineRule="auto"/>
              <w:jc w:val="center"/>
              <w:rPr>
                <w:rFonts w:ascii="宋体" w:hAnsi="宋体"/>
                <w:sz w:val="24"/>
              </w:rPr>
            </w:pPr>
            <w:r>
              <w:rPr>
                <w:rFonts w:hint="eastAsia" w:ascii="宋体" w:hAnsi="宋体"/>
                <w:sz w:val="24"/>
              </w:rPr>
              <w:t>第1.1款</w:t>
            </w:r>
          </w:p>
        </w:tc>
        <w:tc>
          <w:tcPr>
            <w:tcW w:w="1664" w:type="dxa"/>
            <w:vAlign w:val="center"/>
          </w:tcPr>
          <w:p w14:paraId="057F4FBA">
            <w:pPr>
              <w:adjustRightInd w:val="0"/>
              <w:snapToGrid w:val="0"/>
              <w:spacing w:line="360" w:lineRule="auto"/>
              <w:jc w:val="center"/>
              <w:rPr>
                <w:rFonts w:ascii="宋体" w:hAnsi="宋体"/>
                <w:sz w:val="24"/>
              </w:rPr>
            </w:pPr>
            <w:r>
              <w:rPr>
                <w:rFonts w:hint="eastAsia" w:ascii="宋体" w:hAnsi="宋体"/>
                <w:sz w:val="24"/>
              </w:rPr>
              <w:t>采购项目</w:t>
            </w:r>
          </w:p>
        </w:tc>
        <w:tc>
          <w:tcPr>
            <w:tcW w:w="5471" w:type="dxa"/>
            <w:vAlign w:val="center"/>
          </w:tcPr>
          <w:p w14:paraId="684B36D6">
            <w:pPr>
              <w:adjustRightInd w:val="0"/>
              <w:snapToGrid w:val="0"/>
              <w:spacing w:line="360" w:lineRule="auto"/>
              <w:jc w:val="left"/>
              <w:rPr>
                <w:rFonts w:hint="eastAsia" w:ascii="宋体" w:hAnsi="宋体" w:eastAsia="宋体"/>
                <w:sz w:val="24"/>
                <w:lang w:eastAsia="zh-CN"/>
              </w:rPr>
            </w:pPr>
            <w:r>
              <w:rPr>
                <w:rFonts w:hint="eastAsia" w:ascii="宋体" w:hAnsi="宋体" w:cs="宋体"/>
                <w:sz w:val="24"/>
                <w:lang w:eastAsia="zh-CN"/>
              </w:rPr>
              <w:t>全省数字微波网通信电源柜升级改造</w:t>
            </w:r>
          </w:p>
        </w:tc>
      </w:tr>
      <w:tr w14:paraId="75F091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4B335C44">
            <w:pPr>
              <w:adjustRightInd w:val="0"/>
              <w:snapToGrid w:val="0"/>
              <w:spacing w:line="360" w:lineRule="auto"/>
              <w:jc w:val="center"/>
              <w:rPr>
                <w:rFonts w:ascii="宋体" w:hAnsi="宋体"/>
                <w:sz w:val="24"/>
              </w:rPr>
            </w:pPr>
            <w:r>
              <w:rPr>
                <w:rFonts w:hint="eastAsia" w:ascii="宋体" w:hAnsi="宋体"/>
                <w:sz w:val="24"/>
              </w:rPr>
              <w:t>第二章</w:t>
            </w:r>
          </w:p>
          <w:p w14:paraId="3A4B7E3F">
            <w:pPr>
              <w:adjustRightInd w:val="0"/>
              <w:snapToGrid w:val="0"/>
              <w:spacing w:line="360" w:lineRule="auto"/>
              <w:jc w:val="center"/>
              <w:rPr>
                <w:rFonts w:ascii="宋体" w:hAnsi="宋体"/>
                <w:sz w:val="24"/>
              </w:rPr>
            </w:pPr>
            <w:r>
              <w:rPr>
                <w:rFonts w:hint="eastAsia" w:ascii="宋体" w:hAnsi="宋体"/>
                <w:sz w:val="24"/>
              </w:rPr>
              <w:t>第2.1款</w:t>
            </w:r>
          </w:p>
        </w:tc>
        <w:tc>
          <w:tcPr>
            <w:tcW w:w="1664" w:type="dxa"/>
            <w:vAlign w:val="center"/>
          </w:tcPr>
          <w:p w14:paraId="188D9330">
            <w:pPr>
              <w:adjustRightInd w:val="0"/>
              <w:snapToGrid w:val="0"/>
              <w:spacing w:line="360" w:lineRule="auto"/>
              <w:jc w:val="center"/>
              <w:rPr>
                <w:rFonts w:ascii="宋体" w:hAnsi="宋体"/>
                <w:sz w:val="24"/>
              </w:rPr>
            </w:pPr>
            <w:r>
              <w:rPr>
                <w:rFonts w:hint="eastAsia" w:ascii="宋体" w:hAnsi="宋体"/>
                <w:sz w:val="24"/>
              </w:rPr>
              <w:t>采购人</w:t>
            </w:r>
          </w:p>
        </w:tc>
        <w:tc>
          <w:tcPr>
            <w:tcW w:w="5471" w:type="dxa"/>
            <w:vAlign w:val="center"/>
          </w:tcPr>
          <w:p w14:paraId="7F17FE3C">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val="en-US" w:eastAsia="zh-CN"/>
              </w:rPr>
              <w:t>采购人</w:t>
            </w:r>
            <w:r>
              <w:rPr>
                <w:rFonts w:hint="eastAsia" w:ascii="宋体" w:hAnsi="宋体" w:eastAsia="宋体" w:cs="宋体"/>
                <w:sz w:val="24"/>
                <w:lang w:eastAsia="zh-CN"/>
              </w:rPr>
              <w:t>：湖南省广播电视微波总站</w:t>
            </w:r>
          </w:p>
          <w:p w14:paraId="64B8E77A">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地  址：长沙市开福区金鹰影视文化城</w:t>
            </w:r>
          </w:p>
          <w:p w14:paraId="0A5F09FE">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联系人：胡先生</w:t>
            </w:r>
          </w:p>
          <w:p w14:paraId="1597E10F">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电  话：0731-</w:t>
            </w:r>
            <w:r>
              <w:rPr>
                <w:rFonts w:hint="eastAsia" w:ascii="宋体" w:hAnsi="宋体" w:eastAsia="宋体" w:cs="宋体"/>
                <w:sz w:val="24"/>
                <w:lang w:val="en-US" w:eastAsia="zh-CN"/>
              </w:rPr>
              <w:t>84802553</w:t>
            </w:r>
          </w:p>
        </w:tc>
      </w:tr>
      <w:tr w14:paraId="6C1B3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2DD4CE75">
            <w:pPr>
              <w:adjustRightInd w:val="0"/>
              <w:snapToGrid w:val="0"/>
              <w:spacing w:line="360" w:lineRule="auto"/>
              <w:jc w:val="center"/>
              <w:rPr>
                <w:rFonts w:ascii="宋体" w:hAnsi="宋体"/>
                <w:sz w:val="24"/>
              </w:rPr>
            </w:pPr>
            <w:r>
              <w:rPr>
                <w:rFonts w:hint="eastAsia" w:ascii="宋体" w:hAnsi="宋体"/>
                <w:sz w:val="24"/>
              </w:rPr>
              <w:t>第二章</w:t>
            </w:r>
          </w:p>
          <w:p w14:paraId="237702E9">
            <w:pPr>
              <w:adjustRightInd w:val="0"/>
              <w:snapToGrid w:val="0"/>
              <w:spacing w:line="360" w:lineRule="auto"/>
              <w:jc w:val="center"/>
              <w:rPr>
                <w:rFonts w:ascii="宋体" w:hAnsi="宋体"/>
                <w:sz w:val="24"/>
              </w:rPr>
            </w:pPr>
            <w:r>
              <w:rPr>
                <w:rFonts w:hint="eastAsia" w:ascii="宋体" w:hAnsi="宋体"/>
                <w:sz w:val="24"/>
              </w:rPr>
              <w:t>第2.2款</w:t>
            </w:r>
          </w:p>
        </w:tc>
        <w:tc>
          <w:tcPr>
            <w:tcW w:w="1664" w:type="dxa"/>
            <w:vAlign w:val="center"/>
          </w:tcPr>
          <w:p w14:paraId="3FD040ED">
            <w:pPr>
              <w:adjustRightInd w:val="0"/>
              <w:snapToGrid w:val="0"/>
              <w:spacing w:line="360" w:lineRule="auto"/>
              <w:jc w:val="center"/>
              <w:rPr>
                <w:rFonts w:ascii="宋体" w:hAnsi="宋体"/>
                <w:sz w:val="24"/>
              </w:rPr>
            </w:pPr>
            <w:r>
              <w:rPr>
                <w:rFonts w:hint="eastAsia" w:ascii="宋体" w:hAnsi="宋体"/>
                <w:sz w:val="24"/>
              </w:rPr>
              <w:t>采购代理机构</w:t>
            </w:r>
          </w:p>
        </w:tc>
        <w:tc>
          <w:tcPr>
            <w:tcW w:w="5471" w:type="dxa"/>
            <w:vAlign w:val="center"/>
          </w:tcPr>
          <w:p w14:paraId="28F07DF7">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采购代理机构：国昪项目管理有限公司</w:t>
            </w:r>
          </w:p>
          <w:p w14:paraId="1F78845D">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地    址：长沙市岳麓区观沙岭街道茶子山东路湘江财富金融中心D座1115室</w:t>
            </w:r>
          </w:p>
          <w:p w14:paraId="5970149F">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联 系 人：徐煦、刘欢、李泽东</w:t>
            </w:r>
          </w:p>
          <w:p w14:paraId="71452DF5">
            <w:pPr>
              <w:adjustRightInd w:val="0"/>
              <w:snapToGrid w:val="0"/>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电    话： 0731-85500316</w:t>
            </w:r>
          </w:p>
        </w:tc>
      </w:tr>
      <w:tr w14:paraId="7CBCAE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08FBE665">
            <w:pPr>
              <w:adjustRightInd w:val="0"/>
              <w:snapToGrid w:val="0"/>
              <w:spacing w:line="360" w:lineRule="auto"/>
              <w:jc w:val="center"/>
              <w:rPr>
                <w:rFonts w:ascii="宋体" w:hAnsi="宋体"/>
                <w:sz w:val="24"/>
              </w:rPr>
            </w:pPr>
            <w:r>
              <w:rPr>
                <w:rFonts w:hint="eastAsia" w:ascii="宋体" w:hAnsi="宋体"/>
                <w:sz w:val="24"/>
              </w:rPr>
              <w:t>第二章</w:t>
            </w:r>
          </w:p>
          <w:p w14:paraId="02D9E94A">
            <w:pPr>
              <w:adjustRightInd w:val="0"/>
              <w:snapToGrid w:val="0"/>
              <w:spacing w:line="360" w:lineRule="auto"/>
              <w:jc w:val="center"/>
              <w:rPr>
                <w:rFonts w:ascii="宋体" w:hAnsi="宋体"/>
                <w:sz w:val="24"/>
              </w:rPr>
            </w:pPr>
            <w:r>
              <w:rPr>
                <w:rFonts w:hint="eastAsia" w:ascii="宋体" w:hAnsi="宋体"/>
                <w:sz w:val="24"/>
              </w:rPr>
              <w:t>第2.3款</w:t>
            </w:r>
          </w:p>
        </w:tc>
        <w:tc>
          <w:tcPr>
            <w:tcW w:w="1664" w:type="dxa"/>
            <w:vAlign w:val="center"/>
          </w:tcPr>
          <w:p w14:paraId="655383C5">
            <w:pPr>
              <w:adjustRightInd w:val="0"/>
              <w:snapToGrid w:val="0"/>
              <w:spacing w:line="360" w:lineRule="auto"/>
              <w:jc w:val="center"/>
              <w:rPr>
                <w:rFonts w:ascii="宋体" w:hAnsi="宋体" w:cs="宋体"/>
                <w:kern w:val="0"/>
                <w:sz w:val="24"/>
              </w:rPr>
            </w:pPr>
            <w:r>
              <w:rPr>
                <w:rFonts w:hint="eastAsia" w:ascii="宋体" w:hAnsi="宋体" w:cs="宋体"/>
                <w:kern w:val="0"/>
                <w:sz w:val="24"/>
              </w:rPr>
              <w:t>供应商的</w:t>
            </w:r>
            <w:r>
              <w:rPr>
                <w:rFonts w:hint="eastAsia" w:ascii="宋体" w:hAnsi="宋体"/>
                <w:sz w:val="24"/>
              </w:rPr>
              <w:t>邀请方式</w:t>
            </w:r>
          </w:p>
        </w:tc>
        <w:tc>
          <w:tcPr>
            <w:tcW w:w="5471" w:type="dxa"/>
            <w:vAlign w:val="center"/>
          </w:tcPr>
          <w:p w14:paraId="5B7A1E49">
            <w:pPr>
              <w:adjustRightInd w:val="0"/>
              <w:snapToGrid w:val="0"/>
              <w:spacing w:line="360" w:lineRule="auto"/>
              <w:jc w:val="left"/>
              <w:rPr>
                <w:rFonts w:ascii="宋体" w:hAnsi="宋体"/>
                <w:sz w:val="24"/>
              </w:rPr>
            </w:pPr>
            <w:r>
              <w:rPr>
                <w:rFonts w:hint="eastAsia" w:ascii="宋体" w:hAnsi="宋体"/>
                <w:sz w:val="24"/>
              </w:rPr>
              <w:t>■发布公告</w:t>
            </w:r>
          </w:p>
          <w:p w14:paraId="6D0689C1">
            <w:pPr>
              <w:adjustRightInd w:val="0"/>
              <w:snapToGrid w:val="0"/>
              <w:spacing w:line="360" w:lineRule="auto"/>
              <w:jc w:val="left"/>
              <w:rPr>
                <w:rFonts w:ascii="宋体" w:hAnsi="宋体"/>
                <w:sz w:val="24"/>
              </w:rPr>
            </w:pPr>
            <w:r>
              <w:rPr>
                <w:rFonts w:hint="eastAsia" w:ascii="宋体" w:hAnsi="宋体"/>
                <w:sz w:val="24"/>
              </w:rPr>
              <w:t>□从省级以上财政部门建立的供应商库中随机抽取</w:t>
            </w:r>
          </w:p>
          <w:p w14:paraId="08158C6A">
            <w:pPr>
              <w:adjustRightInd w:val="0"/>
              <w:snapToGrid w:val="0"/>
              <w:spacing w:line="360" w:lineRule="auto"/>
              <w:jc w:val="left"/>
              <w:rPr>
                <w:rFonts w:ascii="宋体" w:hAnsi="宋体"/>
                <w:sz w:val="24"/>
              </w:rPr>
            </w:pPr>
            <w:r>
              <w:rPr>
                <w:rFonts w:hint="eastAsia" w:ascii="宋体" w:hAnsi="宋体"/>
                <w:sz w:val="24"/>
              </w:rPr>
              <w:t>□采购人和评审专家分别书面推荐的方式</w:t>
            </w:r>
          </w:p>
        </w:tc>
      </w:tr>
      <w:tr w14:paraId="022EA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651CAB44">
            <w:pPr>
              <w:adjustRightInd w:val="0"/>
              <w:snapToGrid w:val="0"/>
              <w:spacing w:line="360" w:lineRule="auto"/>
              <w:jc w:val="center"/>
              <w:rPr>
                <w:rFonts w:ascii="宋体" w:hAnsi="宋体"/>
                <w:sz w:val="24"/>
              </w:rPr>
            </w:pPr>
            <w:r>
              <w:rPr>
                <w:rFonts w:hint="eastAsia" w:ascii="宋体" w:hAnsi="宋体"/>
                <w:sz w:val="24"/>
              </w:rPr>
              <w:t>第二章</w:t>
            </w:r>
          </w:p>
          <w:p w14:paraId="1BE5DD9F">
            <w:pPr>
              <w:adjustRightInd w:val="0"/>
              <w:snapToGrid w:val="0"/>
              <w:spacing w:line="360" w:lineRule="auto"/>
              <w:jc w:val="center"/>
              <w:rPr>
                <w:rFonts w:ascii="宋体" w:hAnsi="宋体"/>
                <w:sz w:val="24"/>
              </w:rPr>
            </w:pPr>
            <w:r>
              <w:rPr>
                <w:rFonts w:hint="eastAsia" w:ascii="宋体" w:hAnsi="宋体"/>
                <w:sz w:val="24"/>
              </w:rPr>
              <w:t>第3.1款</w:t>
            </w:r>
          </w:p>
        </w:tc>
        <w:tc>
          <w:tcPr>
            <w:tcW w:w="1664" w:type="dxa"/>
            <w:vAlign w:val="center"/>
          </w:tcPr>
          <w:p w14:paraId="5589CE5E">
            <w:pPr>
              <w:adjustRightInd w:val="0"/>
              <w:snapToGrid w:val="0"/>
              <w:spacing w:line="360" w:lineRule="auto"/>
              <w:jc w:val="center"/>
              <w:rPr>
                <w:rFonts w:ascii="宋体" w:hAnsi="宋体"/>
                <w:sz w:val="24"/>
              </w:rPr>
            </w:pPr>
            <w:r>
              <w:rPr>
                <w:rFonts w:hint="eastAsia" w:ascii="宋体" w:hAnsi="宋体"/>
                <w:bCs/>
                <w:sz w:val="24"/>
              </w:rPr>
              <w:t>供应商</w:t>
            </w:r>
            <w:r>
              <w:rPr>
                <w:rFonts w:hint="eastAsia" w:ascii="宋体" w:hAnsi="宋体"/>
                <w:sz w:val="24"/>
              </w:rPr>
              <w:t>资格条件</w:t>
            </w:r>
          </w:p>
        </w:tc>
        <w:tc>
          <w:tcPr>
            <w:tcW w:w="5471" w:type="dxa"/>
            <w:vAlign w:val="center"/>
          </w:tcPr>
          <w:p w14:paraId="4EB875EB">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1.供应商基本资格条件：应当符合《</w:t>
            </w:r>
            <w:r>
              <w:rPr>
                <w:rFonts w:hint="eastAsia" w:ascii="宋体" w:hAnsi="宋体" w:eastAsia="宋体" w:cs="Times New Roman"/>
                <w:sz w:val="24"/>
                <w:lang w:val="en-US" w:eastAsia="zh-CN"/>
              </w:rPr>
              <w:t>中华人民共和国政府采购法</w:t>
            </w:r>
            <w:r>
              <w:rPr>
                <w:rFonts w:hint="eastAsia" w:ascii="宋体" w:hAnsi="宋体" w:eastAsia="宋体" w:cs="Times New Roman"/>
                <w:sz w:val="24"/>
              </w:rPr>
              <w:t>》第二十二条第一款的规定，即：</w:t>
            </w:r>
          </w:p>
          <w:p w14:paraId="0473653E">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（1）具有独立承担民事责任的能力；</w:t>
            </w:r>
          </w:p>
          <w:p w14:paraId="5ABE381A">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（2）具有良好的商业信誉和健全的财务会计制度；</w:t>
            </w:r>
          </w:p>
          <w:p w14:paraId="5495EDF0">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（3）具有履行合同所必需的设备和专业技术能力；</w:t>
            </w:r>
          </w:p>
          <w:p w14:paraId="2DD8D8B1">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（4）有依法缴纳税收和社会保障资金的良好记录；</w:t>
            </w:r>
          </w:p>
          <w:p w14:paraId="3BF5BA35">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（5）参加政府采购活动前三年内，在经营活动中没有重大违法记录；</w:t>
            </w:r>
          </w:p>
          <w:p w14:paraId="000E6818">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（6）法律、行政法规规定的其他条件。</w:t>
            </w:r>
          </w:p>
          <w:p w14:paraId="02447BE4">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t>2、落实政府采购政策需满足的资格要求：</w:t>
            </w:r>
          </w:p>
          <w:p w14:paraId="49160C75">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sym w:font="Wingdings" w:char="00A8"/>
            </w:r>
            <w:r>
              <w:rPr>
                <w:rFonts w:hint="eastAsia" w:ascii="宋体" w:hAnsi="宋体" w:eastAsia="宋体" w:cs="Times New Roman"/>
                <w:sz w:val="24"/>
              </w:rPr>
              <w:t>专门面向：</w:t>
            </w:r>
            <w:r>
              <w:rPr>
                <w:rFonts w:hint="eastAsia" w:ascii="宋体" w:hAnsi="宋体" w:eastAsia="宋体" w:cs="Times New Roman"/>
                <w:sz w:val="24"/>
              </w:rPr>
              <w:sym w:font="Wingdings" w:char="00A8"/>
            </w:r>
            <w:r>
              <w:rPr>
                <w:rFonts w:hint="eastAsia" w:ascii="宋体" w:hAnsi="宋体" w:eastAsia="宋体" w:cs="Times New Roman"/>
                <w:sz w:val="24"/>
              </w:rPr>
              <w:t xml:space="preserve">中小企业  </w:t>
            </w:r>
            <w:r>
              <w:rPr>
                <w:rFonts w:hint="eastAsia" w:ascii="宋体" w:hAnsi="宋体" w:eastAsia="宋体" w:cs="Times New Roman"/>
                <w:sz w:val="24"/>
              </w:rPr>
              <w:sym w:font="Wingdings" w:char="00A8"/>
            </w:r>
            <w:r>
              <w:rPr>
                <w:rFonts w:hint="eastAsia" w:ascii="宋体" w:hAnsi="宋体" w:eastAsia="宋体" w:cs="Times New Roman"/>
                <w:sz w:val="24"/>
              </w:rPr>
              <w:t xml:space="preserve">小微企业 </w:t>
            </w:r>
            <w:r>
              <w:rPr>
                <w:rFonts w:hint="eastAsia" w:ascii="宋体" w:hAnsi="宋体" w:eastAsia="宋体" w:cs="Times New Roman"/>
                <w:sz w:val="24"/>
              </w:rPr>
              <w:sym w:font="Wingdings" w:char="00A8"/>
            </w:r>
            <w:r>
              <w:rPr>
                <w:rFonts w:hint="eastAsia" w:ascii="宋体" w:hAnsi="宋体" w:eastAsia="宋体" w:cs="Times New Roman"/>
                <w:sz w:val="24"/>
              </w:rPr>
              <w:t xml:space="preserve">监狱企业 </w:t>
            </w:r>
            <w:r>
              <w:rPr>
                <w:rFonts w:hint="eastAsia" w:ascii="宋体" w:hAnsi="宋体" w:eastAsia="宋体" w:cs="Times New Roman"/>
                <w:sz w:val="24"/>
              </w:rPr>
              <w:sym w:font="Wingdings" w:char="00A8"/>
            </w:r>
            <w:r>
              <w:rPr>
                <w:rFonts w:hint="eastAsia" w:ascii="宋体" w:hAnsi="宋体" w:eastAsia="宋体" w:cs="Times New Roman"/>
                <w:sz w:val="24"/>
              </w:rPr>
              <w:t>福利性单位。</w:t>
            </w:r>
          </w:p>
          <w:p w14:paraId="334C6223">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rPr>
              <w:sym w:font="Wingdings" w:char="00A8"/>
            </w:r>
            <w:r>
              <w:rPr>
                <w:rFonts w:hint="eastAsia" w:ascii="宋体" w:hAnsi="宋体" w:eastAsia="宋体" w:cs="Times New Roman"/>
                <w:sz w:val="24"/>
              </w:rPr>
              <w:t>强制分包：大型企业应将采购份额的</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%分包给中小企业。</w:t>
            </w:r>
          </w:p>
          <w:p w14:paraId="6C43D094">
            <w:pPr>
              <w:adjustRightInd w:val="0"/>
              <w:snapToGrid w:val="0"/>
              <w:spacing w:line="360" w:lineRule="auto"/>
              <w:jc w:val="left"/>
              <w:rPr>
                <w:rFonts w:hint="default" w:ascii="宋体" w:hAnsi="宋体" w:eastAsia="宋体" w:cs="Times New Roman"/>
                <w:sz w:val="24"/>
                <w:lang w:val="en-US" w:eastAsia="zh-CN"/>
              </w:rPr>
            </w:pPr>
            <w:r>
              <w:rPr>
                <w:rFonts w:hint="eastAsia" w:ascii="宋体" w:hAnsi="宋体" w:eastAsia="宋体" w:cs="Times New Roman"/>
                <w:sz w:val="24"/>
                <w:lang w:val="en-US" w:eastAsia="zh-CN"/>
              </w:rPr>
              <w:t>3、供应商特定资格条件：/</w:t>
            </w:r>
          </w:p>
          <w:p w14:paraId="591E7B61">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、单位负责人为同一人或者存在直接控股、管理关系的不同供应商，不得参加同一合同项下的政府采购活动。</w:t>
            </w:r>
          </w:p>
          <w:p w14:paraId="4CE30EA3">
            <w:pPr>
              <w:adjustRightInd w:val="0"/>
              <w:snapToGrid w:val="0"/>
              <w:spacing w:line="360" w:lineRule="auto"/>
              <w:jc w:val="left"/>
              <w:rPr>
                <w:rFonts w:hint="eastAsia" w:ascii="宋体" w:hAnsi="宋体" w:eastAsia="宋体" w:cs="Times New Roman"/>
                <w:sz w:val="24"/>
              </w:rPr>
            </w:pPr>
            <w:r>
              <w:rPr>
                <w:rFonts w:hint="eastAsia" w:ascii="宋体" w:hAnsi="宋体" w:eastAsia="宋体" w:cs="Times New Roman"/>
                <w:sz w:val="24"/>
                <w:lang w:val="en-US" w:eastAsia="zh-CN"/>
              </w:rPr>
              <w:t>5</w:t>
            </w:r>
            <w:r>
              <w:rPr>
                <w:rFonts w:hint="eastAsia" w:ascii="宋体" w:hAnsi="宋体" w:eastAsia="宋体" w:cs="Times New Roman"/>
                <w:sz w:val="24"/>
              </w:rPr>
              <w:t>、为本采购项目提供整体设计、规范编制或者项目管理、监理、检测等服务的，不得再参加此项目的其他招标采购活动。</w:t>
            </w:r>
          </w:p>
          <w:p w14:paraId="5530448A">
            <w:pPr>
              <w:adjustRightInd w:val="0"/>
              <w:snapToGrid w:val="0"/>
              <w:spacing w:line="360" w:lineRule="auto"/>
              <w:jc w:val="left"/>
              <w:rPr>
                <w:rFonts w:hint="eastAsia" w:ascii="宋体" w:hAnsi="宋体" w:eastAsia="宋体" w:cs="Times New Roman"/>
                <w:sz w:val="24"/>
              </w:rPr>
            </w:pPr>
            <w:bookmarkStart w:id="27" w:name="_Toc24907"/>
            <w:r>
              <w:rPr>
                <w:rFonts w:hint="eastAsia" w:ascii="宋体" w:hAnsi="宋体" w:eastAsia="宋体" w:cs="Times New Roman"/>
                <w:sz w:val="24"/>
                <w:lang w:val="en-US" w:eastAsia="zh-CN"/>
              </w:rPr>
              <w:t>6</w:t>
            </w:r>
            <w:r>
              <w:rPr>
                <w:rFonts w:hint="eastAsia" w:ascii="宋体" w:hAnsi="宋体" w:eastAsia="宋体" w:cs="Times New Roman"/>
                <w:sz w:val="24"/>
              </w:rPr>
              <w:t>、列入失信被执行人、重大税收违法案件当事人名单，列入政府采购严重违法失信行为记录名单的，拒绝其参与政府采购活动。</w:t>
            </w:r>
            <w:bookmarkEnd w:id="27"/>
          </w:p>
          <w:p w14:paraId="2014B0D3">
            <w:pPr>
              <w:adjustRightInd w:val="0"/>
              <w:snapToGrid w:val="0"/>
              <w:spacing w:line="360" w:lineRule="auto"/>
              <w:jc w:val="left"/>
              <w:rPr>
                <w:rFonts w:ascii="Arial" w:hAnsi="Arial" w:cs="Arial"/>
                <w:color w:val="FF0000"/>
                <w:sz w:val="24"/>
              </w:rPr>
            </w:pPr>
            <w:r>
              <w:rPr>
                <w:rFonts w:hint="eastAsia" w:ascii="宋体" w:hAnsi="宋体" w:eastAsia="宋体" w:cs="Times New Roman"/>
                <w:sz w:val="24"/>
              </w:rPr>
              <w:t>注：</w:t>
            </w:r>
            <w:r>
              <w:rPr>
                <w:rFonts w:hint="eastAsia" w:ascii="宋体" w:hAnsi="宋体" w:eastAsia="宋体" w:cs="Times New Roman"/>
                <w:sz w:val="24"/>
                <w:lang w:val="en-US" w:eastAsia="zh-CN"/>
              </w:rPr>
              <w:t>根据《湖南省财政厅关于政府采购促进中小企业发展有关措施的通知》相关规定，供应商凭《湖南省政府采购供应商资格承诺函》（格式详见磋商文件）参与政府采购活动，无需提供财务状况、缴纳税收和社会保障资金等资格证明材料、参加政府采购活动前3年内在经营活动中没有重大违法记录的声明</w:t>
            </w:r>
            <w:r>
              <w:rPr>
                <w:rFonts w:hint="eastAsia" w:ascii="宋体" w:hAnsi="宋体" w:eastAsia="宋体" w:cs="Times New Roman"/>
                <w:sz w:val="24"/>
              </w:rPr>
              <w:t>。</w:t>
            </w:r>
          </w:p>
        </w:tc>
      </w:tr>
      <w:tr w14:paraId="4C8BF6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71B2BB5C">
            <w:pPr>
              <w:adjustRightInd w:val="0"/>
              <w:snapToGrid w:val="0"/>
              <w:spacing w:line="360" w:lineRule="auto"/>
              <w:jc w:val="center"/>
              <w:rPr>
                <w:rFonts w:ascii="宋体" w:hAnsi="宋体"/>
                <w:sz w:val="24"/>
              </w:rPr>
            </w:pPr>
            <w:r>
              <w:rPr>
                <w:rFonts w:hint="eastAsia" w:ascii="宋体" w:hAnsi="宋体"/>
                <w:sz w:val="24"/>
              </w:rPr>
              <w:t>第二章</w:t>
            </w:r>
          </w:p>
          <w:p w14:paraId="125997B3">
            <w:pPr>
              <w:adjustRightInd w:val="0"/>
              <w:snapToGrid w:val="0"/>
              <w:spacing w:line="360" w:lineRule="auto"/>
              <w:jc w:val="center"/>
              <w:rPr>
                <w:rFonts w:ascii="宋体" w:hAnsi="宋体"/>
                <w:sz w:val="24"/>
              </w:rPr>
            </w:pPr>
            <w:r>
              <w:rPr>
                <w:rFonts w:hint="eastAsia" w:ascii="宋体" w:hAnsi="宋体"/>
                <w:sz w:val="24"/>
              </w:rPr>
              <w:t>第6.1款</w:t>
            </w:r>
          </w:p>
        </w:tc>
        <w:tc>
          <w:tcPr>
            <w:tcW w:w="1664" w:type="dxa"/>
            <w:vAlign w:val="center"/>
          </w:tcPr>
          <w:p w14:paraId="0B7B2297">
            <w:pPr>
              <w:adjustRightInd w:val="0"/>
              <w:snapToGrid w:val="0"/>
              <w:spacing w:line="360" w:lineRule="auto"/>
              <w:jc w:val="center"/>
              <w:rPr>
                <w:rFonts w:ascii="宋体" w:hAnsi="宋体"/>
                <w:sz w:val="24"/>
              </w:rPr>
            </w:pPr>
            <w:r>
              <w:rPr>
                <w:rFonts w:hint="eastAsia" w:ascii="宋体" w:hAnsi="宋体"/>
                <w:sz w:val="24"/>
              </w:rPr>
              <w:t>联合体形式</w:t>
            </w:r>
          </w:p>
        </w:tc>
        <w:tc>
          <w:tcPr>
            <w:tcW w:w="5471" w:type="dxa"/>
            <w:vAlign w:val="center"/>
          </w:tcPr>
          <w:p w14:paraId="68F817C2">
            <w:pPr>
              <w:adjustRightInd w:val="0"/>
              <w:snapToGrid w:val="0"/>
              <w:spacing w:line="360" w:lineRule="auto"/>
              <w:jc w:val="left"/>
              <w:rPr>
                <w:rFonts w:ascii="宋体" w:hAnsi="宋体"/>
                <w:sz w:val="24"/>
              </w:rPr>
            </w:pPr>
            <w:r>
              <w:rPr>
                <w:rFonts w:hint="eastAsia" w:ascii="宋体" w:hAnsi="宋体"/>
                <w:sz w:val="24"/>
              </w:rPr>
              <w:t>■不接受</w:t>
            </w:r>
          </w:p>
          <w:p w14:paraId="0F4EF780">
            <w:pPr>
              <w:adjustRightInd w:val="0"/>
              <w:snapToGrid w:val="0"/>
              <w:spacing w:line="360" w:lineRule="auto"/>
              <w:jc w:val="left"/>
              <w:rPr>
                <w:rFonts w:ascii="宋体" w:hAnsi="宋体"/>
                <w:sz w:val="24"/>
              </w:rPr>
            </w:pPr>
            <w:r>
              <w:rPr>
                <w:rFonts w:hint="eastAsia" w:ascii="宋体" w:hAnsi="宋体"/>
                <w:sz w:val="24"/>
              </w:rPr>
              <w:t>□接受</w:t>
            </w:r>
          </w:p>
        </w:tc>
      </w:tr>
      <w:tr w14:paraId="3FD7C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5E363801">
            <w:pPr>
              <w:adjustRightInd w:val="0"/>
              <w:snapToGrid w:val="0"/>
              <w:spacing w:line="360" w:lineRule="auto"/>
              <w:jc w:val="center"/>
              <w:rPr>
                <w:rFonts w:ascii="宋体" w:hAnsi="宋体"/>
                <w:sz w:val="24"/>
              </w:rPr>
            </w:pPr>
            <w:r>
              <w:rPr>
                <w:rFonts w:hint="eastAsia" w:ascii="宋体" w:hAnsi="宋体"/>
                <w:sz w:val="24"/>
              </w:rPr>
              <w:t>第二章</w:t>
            </w:r>
          </w:p>
          <w:p w14:paraId="286F1284">
            <w:pPr>
              <w:adjustRightInd w:val="0"/>
              <w:snapToGrid w:val="0"/>
              <w:spacing w:line="360" w:lineRule="auto"/>
              <w:jc w:val="center"/>
              <w:rPr>
                <w:rFonts w:ascii="宋体" w:hAnsi="宋体"/>
                <w:sz w:val="24"/>
              </w:rPr>
            </w:pPr>
            <w:r>
              <w:rPr>
                <w:rFonts w:hint="eastAsia" w:ascii="宋体" w:hAnsi="宋体"/>
                <w:sz w:val="24"/>
              </w:rPr>
              <w:t>第6.2款</w:t>
            </w:r>
          </w:p>
        </w:tc>
        <w:tc>
          <w:tcPr>
            <w:tcW w:w="1664" w:type="dxa"/>
            <w:vAlign w:val="center"/>
          </w:tcPr>
          <w:p w14:paraId="459C16E6">
            <w:pPr>
              <w:adjustRightInd w:val="0"/>
              <w:snapToGrid w:val="0"/>
              <w:spacing w:line="360" w:lineRule="auto"/>
              <w:jc w:val="center"/>
              <w:rPr>
                <w:rFonts w:ascii="宋体" w:hAnsi="宋体"/>
                <w:sz w:val="24"/>
              </w:rPr>
            </w:pPr>
            <w:r>
              <w:rPr>
                <w:rFonts w:hint="eastAsia" w:ascii="宋体" w:hAnsi="宋体"/>
                <w:sz w:val="24"/>
              </w:rPr>
              <w:t>对联合体各方的要求</w:t>
            </w:r>
          </w:p>
        </w:tc>
        <w:tc>
          <w:tcPr>
            <w:tcW w:w="5471" w:type="dxa"/>
            <w:vAlign w:val="center"/>
          </w:tcPr>
          <w:p w14:paraId="128B38FB">
            <w:pPr>
              <w:adjustRightInd w:val="0"/>
              <w:snapToGrid w:val="0"/>
              <w:spacing w:line="360" w:lineRule="auto"/>
              <w:jc w:val="left"/>
              <w:rPr>
                <w:rFonts w:hint="eastAsia" w:ascii="宋体" w:hAnsi="宋体" w:eastAsia="宋体"/>
                <w:sz w:val="24"/>
                <w:lang w:val="en-US" w:eastAsia="zh-CN"/>
              </w:rPr>
            </w:pPr>
            <w:r>
              <w:rPr>
                <w:rFonts w:hint="eastAsia" w:ascii="宋体" w:hAnsi="宋体"/>
                <w:sz w:val="24"/>
                <w:lang w:val="en-US" w:eastAsia="zh-CN"/>
              </w:rPr>
              <w:t>/</w:t>
            </w:r>
          </w:p>
        </w:tc>
      </w:tr>
      <w:tr w14:paraId="7C9A93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4FD8A16A">
            <w:pPr>
              <w:adjustRightInd w:val="0"/>
              <w:snapToGrid w:val="0"/>
              <w:spacing w:line="360" w:lineRule="auto"/>
              <w:jc w:val="center"/>
              <w:rPr>
                <w:rFonts w:ascii="宋体" w:hAnsi="宋体"/>
                <w:sz w:val="24"/>
              </w:rPr>
            </w:pPr>
            <w:r>
              <w:rPr>
                <w:rFonts w:hint="eastAsia" w:ascii="宋体" w:hAnsi="宋体"/>
                <w:sz w:val="24"/>
              </w:rPr>
              <w:t>第二章</w:t>
            </w:r>
          </w:p>
          <w:p w14:paraId="73B67BD5">
            <w:pPr>
              <w:adjustRightInd w:val="0"/>
              <w:snapToGrid w:val="0"/>
              <w:spacing w:line="360" w:lineRule="auto"/>
              <w:jc w:val="center"/>
              <w:rPr>
                <w:rFonts w:ascii="宋体" w:hAnsi="宋体"/>
                <w:sz w:val="24"/>
              </w:rPr>
            </w:pPr>
            <w:r>
              <w:rPr>
                <w:rFonts w:hint="eastAsia" w:ascii="宋体" w:hAnsi="宋体"/>
                <w:sz w:val="24"/>
              </w:rPr>
              <w:t>第7.1款</w:t>
            </w:r>
          </w:p>
        </w:tc>
        <w:tc>
          <w:tcPr>
            <w:tcW w:w="1664" w:type="dxa"/>
            <w:vAlign w:val="center"/>
          </w:tcPr>
          <w:p w14:paraId="5DB0D3C2">
            <w:pPr>
              <w:adjustRightInd w:val="0"/>
              <w:snapToGrid w:val="0"/>
              <w:spacing w:line="360" w:lineRule="auto"/>
              <w:jc w:val="center"/>
              <w:rPr>
                <w:rFonts w:ascii="宋体" w:hAnsi="宋体"/>
                <w:sz w:val="24"/>
              </w:rPr>
            </w:pPr>
            <w:r>
              <w:rPr>
                <w:rFonts w:hint="eastAsia" w:ascii="宋体" w:hAnsi="宋体"/>
                <w:sz w:val="24"/>
              </w:rPr>
              <w:t>现场勘察</w:t>
            </w:r>
          </w:p>
        </w:tc>
        <w:tc>
          <w:tcPr>
            <w:tcW w:w="5471" w:type="dxa"/>
            <w:vAlign w:val="center"/>
          </w:tcPr>
          <w:p w14:paraId="5810B083">
            <w:pPr>
              <w:adjustRightInd w:val="0"/>
              <w:snapToGrid w:val="0"/>
              <w:spacing w:line="360" w:lineRule="auto"/>
              <w:jc w:val="left"/>
              <w:rPr>
                <w:rFonts w:ascii="宋体" w:hAnsi="宋体"/>
                <w:sz w:val="24"/>
              </w:rPr>
            </w:pPr>
            <w:r>
              <w:rPr>
                <w:rFonts w:hint="eastAsia" w:ascii="宋体" w:hAnsi="宋体"/>
                <w:sz w:val="24"/>
              </w:rPr>
              <w:t>■采购人不组织</w:t>
            </w:r>
          </w:p>
          <w:p w14:paraId="60408393">
            <w:pPr>
              <w:adjustRightInd w:val="0"/>
              <w:snapToGrid w:val="0"/>
              <w:spacing w:line="360" w:lineRule="auto"/>
              <w:jc w:val="left"/>
              <w:rPr>
                <w:rFonts w:ascii="宋体" w:hAnsi="宋体"/>
                <w:sz w:val="24"/>
              </w:rPr>
            </w:pPr>
            <w:r>
              <w:rPr>
                <w:rFonts w:hint="eastAsia" w:ascii="宋体" w:hAnsi="宋体"/>
                <w:sz w:val="24"/>
              </w:rPr>
              <w:t>□采购人组织</w:t>
            </w:r>
          </w:p>
        </w:tc>
      </w:tr>
      <w:tr w14:paraId="39C8D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225A2BF6">
            <w:pPr>
              <w:snapToGrid w:val="0"/>
              <w:spacing w:line="360" w:lineRule="auto"/>
              <w:jc w:val="center"/>
              <w:rPr>
                <w:rFonts w:ascii="宋体" w:hAnsi="宋体"/>
                <w:sz w:val="24"/>
              </w:rPr>
            </w:pPr>
            <w:r>
              <w:rPr>
                <w:rFonts w:hint="eastAsia" w:ascii="宋体" w:hAnsi="宋体"/>
                <w:sz w:val="24"/>
              </w:rPr>
              <w:t>第二章</w:t>
            </w:r>
          </w:p>
          <w:p w14:paraId="51BC058A">
            <w:pPr>
              <w:adjustRightInd w:val="0"/>
              <w:snapToGrid w:val="0"/>
              <w:spacing w:line="360" w:lineRule="auto"/>
              <w:jc w:val="center"/>
              <w:rPr>
                <w:rFonts w:ascii="宋体" w:hAnsi="宋体"/>
                <w:sz w:val="24"/>
              </w:rPr>
            </w:pPr>
            <w:r>
              <w:rPr>
                <w:rFonts w:hint="eastAsia" w:ascii="宋体" w:hAnsi="宋体"/>
                <w:sz w:val="24"/>
              </w:rPr>
              <w:t>第8.1款</w:t>
            </w:r>
          </w:p>
        </w:tc>
        <w:tc>
          <w:tcPr>
            <w:tcW w:w="1664" w:type="dxa"/>
            <w:vAlign w:val="center"/>
          </w:tcPr>
          <w:p w14:paraId="21884473">
            <w:pPr>
              <w:snapToGrid w:val="0"/>
              <w:spacing w:line="360" w:lineRule="auto"/>
              <w:jc w:val="center"/>
              <w:rPr>
                <w:rFonts w:ascii="宋体" w:hAnsi="宋体"/>
                <w:sz w:val="24"/>
              </w:rPr>
            </w:pPr>
            <w:r>
              <w:rPr>
                <w:rFonts w:hint="eastAsia" w:ascii="宋体" w:hAnsi="宋体"/>
                <w:sz w:val="24"/>
              </w:rPr>
              <w:t>采购进口产品</w:t>
            </w:r>
          </w:p>
        </w:tc>
        <w:tc>
          <w:tcPr>
            <w:tcW w:w="5471" w:type="dxa"/>
            <w:vAlign w:val="center"/>
          </w:tcPr>
          <w:p w14:paraId="2DF73CC1">
            <w:pPr>
              <w:adjustRightInd w:val="0"/>
              <w:snapToGrid w:val="0"/>
              <w:spacing w:line="360" w:lineRule="auto"/>
              <w:jc w:val="left"/>
              <w:rPr>
                <w:rFonts w:ascii="宋体" w:hAnsi="宋体"/>
                <w:sz w:val="24"/>
              </w:rPr>
            </w:pPr>
            <w:r>
              <w:rPr>
                <w:rFonts w:hint="eastAsia" w:ascii="宋体" w:hAnsi="宋体"/>
                <w:sz w:val="24"/>
              </w:rPr>
              <w:t>■本项目拒绝采购进口产品</w:t>
            </w:r>
          </w:p>
          <w:p w14:paraId="0CD85AD9">
            <w:pPr>
              <w:snapToGrid w:val="0"/>
              <w:spacing w:line="360" w:lineRule="auto"/>
              <w:jc w:val="left"/>
              <w:rPr>
                <w:rFonts w:ascii="宋体" w:hAnsi="宋体"/>
                <w:sz w:val="24"/>
              </w:rPr>
            </w:pPr>
            <w:r>
              <w:rPr>
                <w:rFonts w:hint="eastAsia" w:ascii="宋体" w:hAnsi="宋体"/>
                <w:sz w:val="24"/>
              </w:rPr>
              <w:t>□本项目已经财政部门审核同意购买进口产品</w:t>
            </w:r>
          </w:p>
        </w:tc>
      </w:tr>
      <w:tr w14:paraId="64ED7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6B25C3B3">
            <w:pPr>
              <w:snapToGrid w:val="0"/>
              <w:spacing w:line="360" w:lineRule="auto"/>
              <w:jc w:val="center"/>
              <w:rPr>
                <w:rFonts w:ascii="宋体" w:hAnsi="宋体"/>
                <w:color w:val="auto"/>
                <w:sz w:val="24"/>
              </w:rPr>
            </w:pPr>
            <w:r>
              <w:rPr>
                <w:rFonts w:hint="eastAsia" w:ascii="宋体" w:hAnsi="宋体"/>
                <w:color w:val="auto"/>
                <w:sz w:val="24"/>
              </w:rPr>
              <w:t>第二章</w:t>
            </w:r>
          </w:p>
          <w:p w14:paraId="5B88493E">
            <w:pPr>
              <w:adjustRightInd w:val="0"/>
              <w:snapToGrid w:val="0"/>
              <w:spacing w:line="360" w:lineRule="auto"/>
              <w:jc w:val="center"/>
              <w:rPr>
                <w:rFonts w:ascii="宋体" w:hAnsi="宋体"/>
                <w:color w:val="auto"/>
                <w:sz w:val="24"/>
              </w:rPr>
            </w:pPr>
            <w:r>
              <w:rPr>
                <w:rFonts w:hint="eastAsia" w:ascii="宋体" w:hAnsi="宋体"/>
                <w:color w:val="auto"/>
                <w:sz w:val="24"/>
              </w:rPr>
              <w:t>第9.2款</w:t>
            </w:r>
          </w:p>
        </w:tc>
        <w:tc>
          <w:tcPr>
            <w:tcW w:w="1664" w:type="dxa"/>
            <w:vAlign w:val="center"/>
          </w:tcPr>
          <w:p w14:paraId="3E6CED1E">
            <w:pPr>
              <w:snapToGrid w:val="0"/>
              <w:spacing w:line="360" w:lineRule="auto"/>
              <w:jc w:val="center"/>
              <w:rPr>
                <w:rFonts w:ascii="宋体" w:hAnsi="宋体" w:cs="宋体"/>
                <w:color w:val="auto"/>
                <w:sz w:val="24"/>
              </w:rPr>
            </w:pPr>
            <w:r>
              <w:rPr>
                <w:rFonts w:hint="eastAsia" w:ascii="宋体" w:hAnsi="宋体" w:cs="宋体"/>
                <w:color w:val="auto"/>
                <w:sz w:val="24"/>
              </w:rPr>
              <w:t>政府采购优先采购：</w:t>
            </w:r>
          </w:p>
          <w:p w14:paraId="509D2471">
            <w:pPr>
              <w:adjustRightInd w:val="0"/>
              <w:snapToGrid w:val="0"/>
              <w:spacing w:line="360" w:lineRule="auto"/>
              <w:jc w:val="center"/>
              <w:rPr>
                <w:rFonts w:ascii="宋体" w:hAnsi="宋体" w:cs="宋体"/>
                <w:color w:val="auto"/>
                <w:sz w:val="24"/>
              </w:rPr>
            </w:pPr>
            <w:r>
              <w:rPr>
                <w:rFonts w:hint="eastAsia" w:ascii="宋体" w:hAnsi="宋体" w:cs="宋体"/>
                <w:color w:val="auto"/>
                <w:sz w:val="24"/>
              </w:rPr>
              <w:t>1、非强制采购的节能产品；</w:t>
            </w:r>
          </w:p>
          <w:p w14:paraId="65B66EB6">
            <w:pPr>
              <w:adjustRightInd w:val="0"/>
              <w:snapToGrid w:val="0"/>
              <w:spacing w:line="360" w:lineRule="auto"/>
              <w:jc w:val="center"/>
              <w:rPr>
                <w:rFonts w:ascii="宋体" w:hAnsi="宋体"/>
                <w:color w:val="auto"/>
                <w:sz w:val="24"/>
              </w:rPr>
            </w:pPr>
            <w:r>
              <w:rPr>
                <w:rFonts w:hint="eastAsia" w:ascii="宋体" w:hAnsi="宋体" w:cs="宋体"/>
                <w:color w:val="auto"/>
                <w:sz w:val="24"/>
              </w:rPr>
              <w:t>2、环境标志产品；3、</w:t>
            </w:r>
            <w:r>
              <w:rPr>
                <w:rFonts w:hint="eastAsia" w:ascii="宋体" w:hAnsi="宋体" w:cs="宋体"/>
                <w:bCs/>
                <w:color w:val="auto"/>
                <w:kern w:val="0"/>
                <w:sz w:val="24"/>
              </w:rPr>
              <w:t>支持</w:t>
            </w:r>
            <w:r>
              <w:rPr>
                <w:rFonts w:hint="eastAsia" w:ascii="宋体" w:hAnsi="宋体" w:cs="宋体"/>
                <w:color w:val="auto"/>
                <w:sz w:val="24"/>
              </w:rPr>
              <w:t>中小企业发展；</w:t>
            </w:r>
          </w:p>
        </w:tc>
        <w:tc>
          <w:tcPr>
            <w:tcW w:w="5471" w:type="dxa"/>
            <w:vAlign w:val="center"/>
          </w:tcPr>
          <w:p w14:paraId="677BA516">
            <w:pPr>
              <w:adjustRightInd w:val="0"/>
              <w:snapToGrid w:val="0"/>
              <w:spacing w:line="360" w:lineRule="auto"/>
              <w:jc w:val="left"/>
              <w:rPr>
                <w:rFonts w:ascii="宋体" w:hAnsi="宋体"/>
                <w:color w:val="auto"/>
                <w:sz w:val="24"/>
              </w:rPr>
            </w:pPr>
            <w:r>
              <w:rPr>
                <w:rFonts w:hint="eastAsia" w:ascii="宋体" w:hAnsi="宋体"/>
                <w:color w:val="auto"/>
                <w:sz w:val="24"/>
              </w:rPr>
              <w:t>1、采购产品为《节能产品政府采购清单》(最新一期)内非标记★符号的，分别给予技术和价格项标准总分值4%-8%的加分。本项目具体加分比例分别为：技术</w:t>
            </w:r>
            <w:r>
              <w:rPr>
                <w:rFonts w:hint="eastAsia" w:ascii="宋体" w:hAnsi="宋体"/>
                <w:color w:val="auto"/>
                <w:sz w:val="24"/>
                <w:lang w:val="en-US" w:eastAsia="zh-CN"/>
              </w:rPr>
              <w:t>4</w:t>
            </w:r>
            <w:r>
              <w:rPr>
                <w:rFonts w:hint="eastAsia" w:ascii="宋体" w:hAnsi="宋体"/>
                <w:color w:val="auto"/>
                <w:sz w:val="24"/>
              </w:rPr>
              <w:t>%、价格</w:t>
            </w:r>
            <w:r>
              <w:rPr>
                <w:rFonts w:hint="eastAsia" w:ascii="宋体" w:hAnsi="宋体"/>
                <w:color w:val="auto"/>
                <w:sz w:val="24"/>
                <w:lang w:val="en-US" w:eastAsia="zh-CN"/>
              </w:rPr>
              <w:t>4</w:t>
            </w:r>
            <w:r>
              <w:rPr>
                <w:rFonts w:hint="eastAsia" w:ascii="宋体" w:hAnsi="宋体"/>
                <w:color w:val="auto"/>
                <w:sz w:val="24"/>
              </w:rPr>
              <w:t>%。</w:t>
            </w:r>
          </w:p>
          <w:p w14:paraId="4EA33E45">
            <w:pPr>
              <w:adjustRightInd w:val="0"/>
              <w:snapToGrid w:val="0"/>
              <w:spacing w:line="360" w:lineRule="auto"/>
              <w:jc w:val="left"/>
              <w:rPr>
                <w:rFonts w:ascii="宋体" w:hAnsi="宋体"/>
                <w:color w:val="auto"/>
                <w:sz w:val="24"/>
              </w:rPr>
            </w:pPr>
            <w:r>
              <w:rPr>
                <w:rFonts w:hint="eastAsia" w:ascii="宋体" w:hAnsi="宋体"/>
                <w:color w:val="auto"/>
                <w:sz w:val="24"/>
              </w:rPr>
              <w:t>2、采购产品为《环境标志产品政府采购清单》(最新一期)内的，分别给予技术和价格项标准总分值4%-8%的加分。本项目具体加分比例分别为：技术</w:t>
            </w:r>
            <w:r>
              <w:rPr>
                <w:rFonts w:hint="eastAsia" w:ascii="宋体" w:hAnsi="宋体"/>
                <w:color w:val="auto"/>
                <w:sz w:val="24"/>
                <w:lang w:val="en-US" w:eastAsia="zh-CN"/>
              </w:rPr>
              <w:t>4</w:t>
            </w:r>
            <w:r>
              <w:rPr>
                <w:rFonts w:hint="eastAsia" w:ascii="宋体" w:hAnsi="宋体"/>
                <w:color w:val="auto"/>
                <w:sz w:val="24"/>
              </w:rPr>
              <w:t>%、价格</w:t>
            </w:r>
            <w:r>
              <w:rPr>
                <w:rFonts w:hint="eastAsia" w:ascii="宋体" w:hAnsi="宋体"/>
                <w:color w:val="auto"/>
                <w:sz w:val="24"/>
                <w:lang w:val="en-US" w:eastAsia="zh-CN"/>
              </w:rPr>
              <w:t>4</w:t>
            </w:r>
            <w:r>
              <w:rPr>
                <w:rFonts w:hint="eastAsia" w:ascii="宋体" w:hAnsi="宋体"/>
                <w:color w:val="auto"/>
                <w:sz w:val="24"/>
              </w:rPr>
              <w:t>%。</w:t>
            </w:r>
          </w:p>
          <w:p w14:paraId="6A79CFC4">
            <w:pPr>
              <w:adjustRightInd w:val="0"/>
              <w:snapToGrid w:val="0"/>
              <w:spacing w:line="360" w:lineRule="auto"/>
              <w:jc w:val="left"/>
              <w:rPr>
                <w:rFonts w:hint="eastAsia" w:ascii="宋体" w:hAnsi="宋体"/>
                <w:color w:val="auto"/>
                <w:sz w:val="24"/>
              </w:rPr>
            </w:pPr>
            <w:r>
              <w:rPr>
                <w:rFonts w:hint="eastAsia" w:ascii="宋体" w:hAnsi="宋体"/>
                <w:color w:val="auto"/>
                <w:sz w:val="24"/>
              </w:rPr>
              <w:t>3、非专门面向中小企业采购，且符合政府采购促进中小企业发展相关规定的：</w:t>
            </w:r>
          </w:p>
          <w:p w14:paraId="3AB385F6">
            <w:pPr>
              <w:adjustRightInd w:val="0"/>
              <w:snapToGrid w:val="0"/>
              <w:spacing w:line="360" w:lineRule="auto"/>
              <w:jc w:val="left"/>
              <w:rPr>
                <w:rFonts w:ascii="宋体" w:hAnsi="宋体"/>
                <w:color w:val="auto"/>
                <w:sz w:val="24"/>
              </w:rPr>
            </w:pPr>
            <w:r>
              <w:rPr>
                <w:rFonts w:hint="eastAsia" w:ascii="宋体" w:hAnsi="宋体"/>
                <w:color w:val="auto"/>
                <w:sz w:val="24"/>
              </w:rPr>
              <w:t>（1）给予小型和微型企业产品的价格给予10%-20%的扣除，（工程项目为6%-10%）的扣除，用扣除后的价格参与评审，本项目具体扣除比例为</w:t>
            </w:r>
            <w:r>
              <w:rPr>
                <w:rFonts w:hint="eastAsia" w:ascii="宋体" w:hAnsi="宋体"/>
                <w:b/>
                <w:bCs/>
                <w:color w:val="auto"/>
                <w:sz w:val="24"/>
                <w:u w:val="single"/>
                <w:lang w:val="en-US" w:eastAsia="zh-CN"/>
              </w:rPr>
              <w:t>10</w:t>
            </w:r>
            <w:r>
              <w:rPr>
                <w:rFonts w:hint="eastAsia" w:ascii="宋体" w:hAnsi="宋体"/>
                <w:b/>
                <w:bCs/>
                <w:color w:val="auto"/>
                <w:sz w:val="24"/>
              </w:rPr>
              <w:t>％。</w:t>
            </w:r>
          </w:p>
          <w:p w14:paraId="3A2927C6">
            <w:pPr>
              <w:adjustRightInd w:val="0"/>
              <w:snapToGrid w:val="0"/>
              <w:spacing w:line="360" w:lineRule="auto"/>
              <w:jc w:val="left"/>
              <w:rPr>
                <w:rFonts w:hint="eastAsia" w:ascii="宋体" w:hAnsi="宋体" w:eastAsia="宋体"/>
                <w:color w:val="auto"/>
                <w:sz w:val="24"/>
                <w:lang w:val="en-US" w:eastAsia="zh-CN"/>
              </w:rPr>
            </w:pPr>
            <w:r>
              <w:rPr>
                <w:rFonts w:hint="eastAsia" w:ascii="宋体" w:hAnsi="宋体"/>
                <w:color w:val="auto"/>
                <w:sz w:val="24"/>
              </w:rPr>
              <w:t>（2）给予联合体2%-3%的价格扣除，用扣除后的价格参与评审，本项目具体扣除比例为/%。</w:t>
            </w:r>
          </w:p>
        </w:tc>
      </w:tr>
      <w:tr w14:paraId="1A4E6B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tcBorders>
              <w:top w:val="single" w:color="auto" w:sz="4" w:space="0"/>
            </w:tcBorders>
            <w:vAlign w:val="center"/>
          </w:tcPr>
          <w:p w14:paraId="349ABE74">
            <w:pPr>
              <w:snapToGrid w:val="0"/>
              <w:spacing w:line="360" w:lineRule="auto"/>
              <w:jc w:val="center"/>
              <w:rPr>
                <w:rFonts w:ascii="宋体" w:hAnsi="宋体"/>
                <w:sz w:val="24"/>
              </w:rPr>
            </w:pPr>
            <w:r>
              <w:rPr>
                <w:rFonts w:hint="eastAsia" w:ascii="宋体" w:hAnsi="宋体"/>
                <w:sz w:val="24"/>
              </w:rPr>
              <w:t>第二章</w:t>
            </w:r>
          </w:p>
          <w:p w14:paraId="3EF6E86E">
            <w:pPr>
              <w:snapToGrid w:val="0"/>
              <w:spacing w:line="360" w:lineRule="auto"/>
              <w:jc w:val="center"/>
              <w:rPr>
                <w:rFonts w:ascii="宋体" w:hAnsi="宋体"/>
                <w:sz w:val="24"/>
              </w:rPr>
            </w:pPr>
            <w:r>
              <w:rPr>
                <w:rFonts w:hint="eastAsia" w:ascii="宋体" w:hAnsi="宋体"/>
                <w:sz w:val="24"/>
              </w:rPr>
              <w:t>第9.2、</w:t>
            </w:r>
            <w:r>
              <w:rPr>
                <w:rFonts w:ascii="宋体" w:hAnsi="宋体"/>
                <w:sz w:val="24"/>
              </w:rPr>
              <w:t>9.4</w:t>
            </w:r>
            <w:r>
              <w:rPr>
                <w:rFonts w:hint="eastAsia" w:ascii="宋体" w:hAnsi="宋体"/>
                <w:sz w:val="24"/>
              </w:rPr>
              <w:t>款</w:t>
            </w:r>
          </w:p>
        </w:tc>
        <w:tc>
          <w:tcPr>
            <w:tcW w:w="1664" w:type="dxa"/>
            <w:tcBorders>
              <w:top w:val="single" w:color="auto" w:sz="4" w:space="0"/>
            </w:tcBorders>
            <w:vAlign w:val="center"/>
          </w:tcPr>
          <w:p w14:paraId="4F6973CD">
            <w:pPr>
              <w:adjustRightInd w:val="0"/>
              <w:snapToGrid w:val="0"/>
              <w:spacing w:line="360" w:lineRule="auto"/>
              <w:jc w:val="center"/>
              <w:rPr>
                <w:rFonts w:ascii="宋体"/>
                <w:sz w:val="24"/>
              </w:rPr>
            </w:pPr>
            <w:r>
              <w:rPr>
                <w:rFonts w:hint="eastAsia" w:ascii="宋体"/>
                <w:sz w:val="24"/>
              </w:rPr>
              <w:t>多处获得政府采购政策优惠的计算方法</w:t>
            </w:r>
          </w:p>
        </w:tc>
        <w:tc>
          <w:tcPr>
            <w:tcW w:w="5471" w:type="dxa"/>
            <w:tcBorders>
              <w:top w:val="single" w:color="auto" w:sz="4" w:space="0"/>
            </w:tcBorders>
            <w:vAlign w:val="center"/>
          </w:tcPr>
          <w:p w14:paraId="6AE7AB91">
            <w:pPr>
              <w:adjustRightInd w:val="0"/>
              <w:snapToGrid w:val="0"/>
              <w:spacing w:line="360" w:lineRule="auto"/>
              <w:jc w:val="left"/>
              <w:rPr>
                <w:rFonts w:ascii="宋体" w:hAnsi="宋体"/>
                <w:sz w:val="24"/>
              </w:rPr>
            </w:pPr>
            <w:r>
              <w:rPr>
                <w:rFonts w:hint="eastAsia" w:ascii="宋体" w:hAnsi="宋体"/>
                <w:sz w:val="24"/>
              </w:rPr>
              <w:t>1、符合政府采购优先采购政策的，产品只能享受节能产品、环境标志产品优惠中的一项(由供应商在响应文件中选择并填报政策功能编码，评审时进行价格扣除) 。</w:t>
            </w:r>
          </w:p>
          <w:p w14:paraId="23A3B757">
            <w:pPr>
              <w:adjustRightInd w:val="0"/>
              <w:snapToGrid w:val="0"/>
              <w:spacing w:line="360" w:lineRule="auto"/>
              <w:jc w:val="left"/>
              <w:rPr>
                <w:rFonts w:ascii="宋体" w:hAnsi="宋体"/>
                <w:sz w:val="24"/>
              </w:rPr>
            </w:pPr>
            <w:r>
              <w:rPr>
                <w:rFonts w:hint="eastAsia" w:ascii="宋体" w:hAnsi="宋体"/>
                <w:sz w:val="24"/>
              </w:rPr>
              <w:t>2、供应商享受支持中小企业发展政策优惠的，可以与同时享受节能产品、环境标志产品优惠中的一项累加。</w:t>
            </w:r>
          </w:p>
          <w:p w14:paraId="66A42DAB">
            <w:pPr>
              <w:adjustRightInd w:val="0"/>
              <w:snapToGrid w:val="0"/>
              <w:spacing w:line="360" w:lineRule="auto"/>
              <w:jc w:val="left"/>
              <w:rPr>
                <w:rFonts w:ascii="宋体"/>
                <w:sz w:val="24"/>
              </w:rPr>
            </w:pPr>
            <w:r>
              <w:rPr>
                <w:rFonts w:hint="eastAsia" w:ascii="宋体" w:hAnsi="宋体"/>
                <w:sz w:val="24"/>
              </w:rPr>
              <w:t>3、同一项目中只有部分产品满足优先采购政策的，评审时只对该部分产品的报价实行价格扣除，或按该部分产品报价所占比重，对价格、技术分值按总得分值的优惠比例进行加分。</w:t>
            </w:r>
          </w:p>
        </w:tc>
      </w:tr>
      <w:tr w14:paraId="309BB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tcBorders>
              <w:top w:val="single" w:color="auto" w:sz="4" w:space="0"/>
            </w:tcBorders>
            <w:vAlign w:val="center"/>
          </w:tcPr>
          <w:p w14:paraId="07FB05AD">
            <w:pPr>
              <w:snapToGrid w:val="0"/>
              <w:spacing w:line="360" w:lineRule="auto"/>
              <w:jc w:val="center"/>
              <w:rPr>
                <w:rFonts w:ascii="宋体" w:hAnsi="宋体"/>
                <w:sz w:val="24"/>
              </w:rPr>
            </w:pPr>
            <w:r>
              <w:rPr>
                <w:rFonts w:hint="eastAsia" w:ascii="宋体" w:hAnsi="宋体"/>
                <w:sz w:val="24"/>
              </w:rPr>
              <w:t>第二章</w:t>
            </w:r>
          </w:p>
          <w:p w14:paraId="0ACFFCDD">
            <w:pPr>
              <w:adjustRightInd w:val="0"/>
              <w:snapToGrid w:val="0"/>
              <w:spacing w:line="360" w:lineRule="auto"/>
              <w:jc w:val="center"/>
              <w:rPr>
                <w:rFonts w:ascii="宋体" w:hAnsi="宋体"/>
                <w:sz w:val="24"/>
              </w:rPr>
            </w:pPr>
            <w:r>
              <w:rPr>
                <w:rFonts w:hint="eastAsia" w:ascii="宋体" w:hAnsi="宋体"/>
                <w:sz w:val="24"/>
              </w:rPr>
              <w:t>第9.6款</w:t>
            </w:r>
          </w:p>
        </w:tc>
        <w:tc>
          <w:tcPr>
            <w:tcW w:w="1664" w:type="dxa"/>
            <w:tcBorders>
              <w:top w:val="single" w:color="auto" w:sz="4" w:space="0"/>
            </w:tcBorders>
            <w:vAlign w:val="center"/>
          </w:tcPr>
          <w:p w14:paraId="0B227D2C">
            <w:pPr>
              <w:adjustRightInd w:val="0"/>
              <w:snapToGrid w:val="0"/>
              <w:spacing w:line="360" w:lineRule="auto"/>
              <w:jc w:val="center"/>
              <w:rPr>
                <w:rFonts w:ascii="宋体" w:hAnsi="宋体"/>
                <w:sz w:val="24"/>
              </w:rPr>
            </w:pPr>
            <w:r>
              <w:rPr>
                <w:rFonts w:hint="eastAsia" w:ascii="宋体" w:hAnsi="宋体" w:cs="宋体"/>
                <w:bCs/>
                <w:kern w:val="0"/>
                <w:sz w:val="24"/>
              </w:rPr>
              <w:t>中小企业融资、信用担保</w:t>
            </w:r>
          </w:p>
        </w:tc>
        <w:tc>
          <w:tcPr>
            <w:tcW w:w="5471" w:type="dxa"/>
            <w:tcBorders>
              <w:top w:val="single" w:color="auto" w:sz="4" w:space="0"/>
            </w:tcBorders>
            <w:vAlign w:val="center"/>
          </w:tcPr>
          <w:p w14:paraId="0BDD9C10">
            <w:pPr>
              <w:adjustRightInd w:val="0"/>
              <w:snapToGrid w:val="0"/>
              <w:spacing w:line="360" w:lineRule="auto"/>
              <w:jc w:val="left"/>
              <w:rPr>
                <w:rFonts w:ascii="宋体" w:hAnsi="宋体"/>
                <w:sz w:val="24"/>
              </w:rPr>
            </w:pPr>
            <w:r>
              <w:rPr>
                <w:rFonts w:hint="eastAsia" w:ascii="宋体" w:hAnsi="宋体"/>
                <w:sz w:val="24"/>
              </w:rPr>
              <w:t>有融资、信用担保需求的，可登陆中国湖南政府采购网查询。</w:t>
            </w:r>
          </w:p>
        </w:tc>
      </w:tr>
      <w:tr w14:paraId="220E08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3"/>
            <w:vAlign w:val="center"/>
          </w:tcPr>
          <w:p w14:paraId="1257D4D7">
            <w:pPr>
              <w:adjustRightInd w:val="0"/>
              <w:snapToGrid w:val="0"/>
              <w:spacing w:line="360" w:lineRule="auto"/>
              <w:jc w:val="center"/>
              <w:rPr>
                <w:rFonts w:ascii="宋体" w:hAnsi="宋体"/>
                <w:b/>
                <w:sz w:val="24"/>
              </w:rPr>
            </w:pPr>
            <w:r>
              <w:rPr>
                <w:rFonts w:hint="eastAsia" w:ascii="宋体" w:hAnsi="宋体"/>
                <w:b/>
                <w:sz w:val="24"/>
              </w:rPr>
              <w:t>二、磋商文件</w:t>
            </w:r>
          </w:p>
        </w:tc>
      </w:tr>
      <w:tr w14:paraId="22A7E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5" w:hRule="atLeast"/>
          <w:jc w:val="center"/>
        </w:trPr>
        <w:tc>
          <w:tcPr>
            <w:tcW w:w="1925" w:type="dxa"/>
            <w:vAlign w:val="center"/>
          </w:tcPr>
          <w:p w14:paraId="3B4EF792">
            <w:pPr>
              <w:adjustRightInd w:val="0"/>
              <w:snapToGrid w:val="0"/>
              <w:spacing w:line="360" w:lineRule="auto"/>
              <w:jc w:val="center"/>
              <w:rPr>
                <w:rFonts w:ascii="宋体" w:hAnsi="宋体"/>
                <w:sz w:val="24"/>
              </w:rPr>
            </w:pPr>
            <w:r>
              <w:rPr>
                <w:rFonts w:hint="eastAsia" w:ascii="宋体" w:hAnsi="宋体"/>
                <w:sz w:val="24"/>
              </w:rPr>
              <w:t>第二章</w:t>
            </w:r>
          </w:p>
          <w:p w14:paraId="6A2EF0F9">
            <w:pPr>
              <w:adjustRightInd w:val="0"/>
              <w:snapToGrid w:val="0"/>
              <w:spacing w:line="360" w:lineRule="auto"/>
              <w:jc w:val="center"/>
              <w:rPr>
                <w:rFonts w:ascii="宋体" w:hAnsi="宋体"/>
                <w:sz w:val="24"/>
              </w:rPr>
            </w:pPr>
            <w:r>
              <w:rPr>
                <w:rFonts w:hint="eastAsia" w:ascii="宋体" w:hAnsi="宋体"/>
                <w:sz w:val="24"/>
              </w:rPr>
              <w:t>第10.2款</w:t>
            </w:r>
          </w:p>
        </w:tc>
        <w:tc>
          <w:tcPr>
            <w:tcW w:w="1664" w:type="dxa"/>
            <w:vAlign w:val="center"/>
          </w:tcPr>
          <w:p w14:paraId="4E4DFF0D">
            <w:pPr>
              <w:adjustRightInd w:val="0"/>
              <w:snapToGrid w:val="0"/>
              <w:spacing w:line="360" w:lineRule="auto"/>
              <w:jc w:val="center"/>
              <w:rPr>
                <w:rFonts w:ascii="宋体" w:hAnsi="宋体"/>
                <w:sz w:val="24"/>
              </w:rPr>
            </w:pPr>
            <w:r>
              <w:rPr>
                <w:rFonts w:hint="eastAsia" w:ascii="宋体" w:hAnsi="宋体"/>
                <w:sz w:val="24"/>
              </w:rPr>
              <w:t>磋商文件的可能实质性变动内容</w:t>
            </w:r>
          </w:p>
        </w:tc>
        <w:tc>
          <w:tcPr>
            <w:tcW w:w="5471" w:type="dxa"/>
            <w:vAlign w:val="center"/>
          </w:tcPr>
          <w:p w14:paraId="0616E910">
            <w:pPr>
              <w:adjustRightInd w:val="0"/>
              <w:snapToGrid w:val="0"/>
              <w:spacing w:line="360" w:lineRule="auto"/>
              <w:jc w:val="left"/>
              <w:rPr>
                <w:rFonts w:hint="eastAsia" w:ascii="宋体" w:hAnsi="宋体" w:eastAsia="宋体"/>
                <w:sz w:val="24"/>
                <w:lang w:eastAsia="zh-CN"/>
              </w:rPr>
            </w:pPr>
            <w:r>
              <w:rPr>
                <w:rFonts w:hint="eastAsia" w:ascii="宋体" w:hAnsi="宋体"/>
                <w:bCs/>
                <w:sz w:val="24"/>
                <w:lang w:val="en-US" w:eastAsia="zh-CN"/>
              </w:rPr>
              <w:t>无</w:t>
            </w:r>
          </w:p>
        </w:tc>
      </w:tr>
      <w:tr w14:paraId="2E8A5F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6F647C7A">
            <w:pPr>
              <w:adjustRightInd w:val="0"/>
              <w:snapToGrid w:val="0"/>
              <w:spacing w:line="360" w:lineRule="auto"/>
              <w:jc w:val="center"/>
              <w:rPr>
                <w:rFonts w:ascii="宋体" w:hAnsi="宋体"/>
                <w:sz w:val="24"/>
              </w:rPr>
            </w:pPr>
            <w:r>
              <w:rPr>
                <w:rFonts w:hint="eastAsia" w:ascii="宋体" w:hAnsi="宋体"/>
                <w:sz w:val="24"/>
              </w:rPr>
              <w:t>第二章</w:t>
            </w:r>
          </w:p>
          <w:p w14:paraId="7B686744">
            <w:pPr>
              <w:adjustRightInd w:val="0"/>
              <w:snapToGrid w:val="0"/>
              <w:spacing w:line="360" w:lineRule="auto"/>
              <w:jc w:val="center"/>
              <w:rPr>
                <w:rFonts w:ascii="宋体" w:hAnsi="宋体"/>
                <w:sz w:val="24"/>
              </w:rPr>
            </w:pPr>
            <w:r>
              <w:rPr>
                <w:rFonts w:hint="eastAsia" w:ascii="宋体" w:hAnsi="宋体"/>
                <w:sz w:val="24"/>
              </w:rPr>
              <w:t>第12.1款</w:t>
            </w:r>
          </w:p>
        </w:tc>
        <w:tc>
          <w:tcPr>
            <w:tcW w:w="1664" w:type="dxa"/>
            <w:vAlign w:val="center"/>
          </w:tcPr>
          <w:p w14:paraId="10FF7338">
            <w:pPr>
              <w:adjustRightInd w:val="0"/>
              <w:snapToGrid w:val="0"/>
              <w:spacing w:line="360" w:lineRule="auto"/>
              <w:jc w:val="center"/>
              <w:rPr>
                <w:rFonts w:ascii="宋体" w:hAnsi="宋体"/>
                <w:sz w:val="24"/>
              </w:rPr>
            </w:pPr>
            <w:r>
              <w:rPr>
                <w:rFonts w:hint="eastAsia" w:ascii="宋体" w:hAnsi="宋体"/>
                <w:sz w:val="24"/>
              </w:rPr>
              <w:t>提交首次响应文件的截止时间</w:t>
            </w:r>
          </w:p>
        </w:tc>
        <w:tc>
          <w:tcPr>
            <w:tcW w:w="5471" w:type="dxa"/>
            <w:vAlign w:val="center"/>
          </w:tcPr>
          <w:p w14:paraId="01A5BA83">
            <w:pPr>
              <w:adjustRightInd w:val="0"/>
              <w:snapToGrid w:val="0"/>
              <w:spacing w:line="360" w:lineRule="auto"/>
              <w:jc w:val="left"/>
              <w:rPr>
                <w:rFonts w:ascii="宋体" w:hAnsi="宋体"/>
                <w:sz w:val="24"/>
                <w:highlight w:val="yellow"/>
              </w:rPr>
            </w:pPr>
            <w:r>
              <w:rPr>
                <w:rFonts w:hint="eastAsia" w:ascii="宋体" w:hAnsi="宋体" w:eastAsia="宋体" w:cs="Times New Roman"/>
                <w:bCs/>
                <w:sz w:val="24"/>
                <w:lang w:val="en-US" w:eastAsia="zh-CN"/>
              </w:rPr>
              <w:t>详见磋商邀请公告</w:t>
            </w:r>
          </w:p>
        </w:tc>
      </w:tr>
      <w:tr w14:paraId="59CD9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3"/>
            <w:vAlign w:val="center"/>
          </w:tcPr>
          <w:p w14:paraId="48A63095">
            <w:pPr>
              <w:adjustRightInd w:val="0"/>
              <w:snapToGrid w:val="0"/>
              <w:spacing w:line="360" w:lineRule="auto"/>
              <w:jc w:val="center"/>
              <w:rPr>
                <w:rFonts w:ascii="宋体" w:hAnsi="宋体"/>
                <w:sz w:val="24"/>
              </w:rPr>
            </w:pPr>
            <w:r>
              <w:rPr>
                <w:rFonts w:hint="eastAsia" w:ascii="宋体" w:hAnsi="宋体"/>
                <w:b/>
                <w:sz w:val="24"/>
              </w:rPr>
              <w:t>三、响应文件的编写</w:t>
            </w:r>
          </w:p>
        </w:tc>
      </w:tr>
      <w:tr w14:paraId="081C7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57B2E791">
            <w:pPr>
              <w:adjustRightInd w:val="0"/>
              <w:snapToGrid w:val="0"/>
              <w:spacing w:line="360" w:lineRule="auto"/>
              <w:jc w:val="center"/>
              <w:rPr>
                <w:rFonts w:ascii="宋体" w:hAnsi="宋体"/>
                <w:sz w:val="24"/>
              </w:rPr>
            </w:pPr>
            <w:r>
              <w:rPr>
                <w:rFonts w:hint="eastAsia" w:ascii="宋体" w:hAnsi="宋体"/>
                <w:sz w:val="24"/>
              </w:rPr>
              <w:t>第二章</w:t>
            </w:r>
          </w:p>
          <w:p w14:paraId="0E62D244">
            <w:pPr>
              <w:adjustRightInd w:val="0"/>
              <w:snapToGrid w:val="0"/>
              <w:spacing w:line="360" w:lineRule="auto"/>
              <w:jc w:val="center"/>
              <w:rPr>
                <w:rFonts w:ascii="宋体" w:hAnsi="宋体"/>
                <w:sz w:val="24"/>
              </w:rPr>
            </w:pPr>
            <w:r>
              <w:rPr>
                <w:rFonts w:hint="eastAsia" w:ascii="宋体" w:hAnsi="宋体"/>
                <w:sz w:val="24"/>
              </w:rPr>
              <w:t>第16.4款</w:t>
            </w:r>
          </w:p>
        </w:tc>
        <w:tc>
          <w:tcPr>
            <w:tcW w:w="1664" w:type="dxa"/>
            <w:vAlign w:val="center"/>
          </w:tcPr>
          <w:p w14:paraId="5356DA1B">
            <w:pPr>
              <w:adjustRightInd w:val="0"/>
              <w:snapToGrid w:val="0"/>
              <w:spacing w:line="360" w:lineRule="auto"/>
              <w:jc w:val="center"/>
              <w:rPr>
                <w:rFonts w:ascii="宋体" w:hAnsi="宋体"/>
                <w:sz w:val="24"/>
              </w:rPr>
            </w:pPr>
            <w:r>
              <w:rPr>
                <w:rFonts w:hint="eastAsia" w:ascii="宋体" w:hAnsi="宋体"/>
                <w:sz w:val="24"/>
              </w:rPr>
              <w:t>采购项目预算</w:t>
            </w:r>
          </w:p>
        </w:tc>
        <w:tc>
          <w:tcPr>
            <w:tcW w:w="5471" w:type="dxa"/>
            <w:vAlign w:val="center"/>
          </w:tcPr>
          <w:p w14:paraId="68764CF2">
            <w:pPr>
              <w:adjustRightInd w:val="0"/>
              <w:snapToGrid w:val="0"/>
              <w:spacing w:line="360" w:lineRule="auto"/>
              <w:jc w:val="left"/>
              <w:rPr>
                <w:rFonts w:ascii="宋体" w:hAnsi="宋体"/>
                <w:sz w:val="24"/>
              </w:rPr>
            </w:pPr>
            <w:r>
              <w:rPr>
                <w:rFonts w:hint="eastAsia" w:ascii="宋体" w:hAnsi="宋体"/>
                <w:sz w:val="24"/>
                <w:lang w:val="en-US" w:eastAsia="zh-CN"/>
              </w:rPr>
              <w:t>720000</w:t>
            </w:r>
            <w:r>
              <w:rPr>
                <w:rFonts w:hint="eastAsia" w:ascii="宋体" w:hAnsi="宋体"/>
                <w:sz w:val="24"/>
              </w:rPr>
              <w:t>元</w:t>
            </w:r>
            <w:r>
              <w:rPr>
                <w:rFonts w:hint="eastAsia" w:ascii="宋体" w:hAnsi="宋体" w:eastAsia="宋体" w:cs="Times New Roman"/>
                <w:bCs/>
                <w:sz w:val="24"/>
                <w:lang w:val="en-US" w:eastAsia="zh-CN"/>
              </w:rPr>
              <w:t>（超过采购预算的报价为无效报价）</w:t>
            </w:r>
          </w:p>
        </w:tc>
      </w:tr>
      <w:tr w14:paraId="4A5DA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2FF66BC4">
            <w:pPr>
              <w:adjustRightInd w:val="0"/>
              <w:snapToGrid w:val="0"/>
              <w:spacing w:line="360" w:lineRule="auto"/>
              <w:jc w:val="center"/>
              <w:rPr>
                <w:rFonts w:ascii="宋体" w:hAnsi="宋体"/>
                <w:sz w:val="24"/>
              </w:rPr>
            </w:pPr>
            <w:r>
              <w:rPr>
                <w:rFonts w:hint="eastAsia" w:ascii="宋体" w:hAnsi="宋体"/>
                <w:sz w:val="24"/>
              </w:rPr>
              <w:t>第二章</w:t>
            </w:r>
          </w:p>
          <w:p w14:paraId="55973EA1">
            <w:pPr>
              <w:adjustRightInd w:val="0"/>
              <w:snapToGrid w:val="0"/>
              <w:spacing w:line="360" w:lineRule="auto"/>
              <w:jc w:val="center"/>
              <w:rPr>
                <w:rFonts w:ascii="宋体" w:hAnsi="宋体"/>
                <w:sz w:val="24"/>
              </w:rPr>
            </w:pPr>
            <w:r>
              <w:rPr>
                <w:rFonts w:hint="eastAsia" w:ascii="宋体" w:hAnsi="宋体"/>
                <w:sz w:val="24"/>
              </w:rPr>
              <w:t>第19.1款</w:t>
            </w:r>
          </w:p>
        </w:tc>
        <w:tc>
          <w:tcPr>
            <w:tcW w:w="1664" w:type="dxa"/>
            <w:vAlign w:val="center"/>
          </w:tcPr>
          <w:p w14:paraId="6A0F4F20">
            <w:pPr>
              <w:adjustRightInd w:val="0"/>
              <w:snapToGrid w:val="0"/>
              <w:spacing w:line="360" w:lineRule="auto"/>
              <w:jc w:val="center"/>
              <w:rPr>
                <w:rFonts w:ascii="宋体" w:hAnsi="宋体"/>
                <w:sz w:val="24"/>
              </w:rPr>
            </w:pPr>
            <w:r>
              <w:rPr>
                <w:rFonts w:hint="eastAsia" w:ascii="宋体" w:hAnsi="宋体"/>
                <w:sz w:val="24"/>
              </w:rPr>
              <w:t>磋商保证金</w:t>
            </w:r>
          </w:p>
        </w:tc>
        <w:tc>
          <w:tcPr>
            <w:tcW w:w="5471" w:type="dxa"/>
            <w:vAlign w:val="center"/>
          </w:tcPr>
          <w:p w14:paraId="3768A1A2">
            <w:pPr>
              <w:snapToGrid w:val="0"/>
              <w:spacing w:line="360" w:lineRule="auto"/>
              <w:jc w:val="left"/>
              <w:rPr>
                <w:rFonts w:ascii="宋体"/>
                <w:sz w:val="24"/>
              </w:rPr>
            </w:pPr>
            <w:r>
              <w:rPr>
                <w:rFonts w:hint="eastAsia" w:ascii="宋体"/>
                <w:sz w:val="24"/>
                <w:lang w:eastAsia="zh-CN"/>
              </w:rPr>
              <w:t>☑</w:t>
            </w:r>
            <w:r>
              <w:rPr>
                <w:rFonts w:hint="eastAsia" w:ascii="宋体"/>
                <w:sz w:val="24"/>
              </w:rPr>
              <w:t>不要求提供</w:t>
            </w:r>
          </w:p>
          <w:p w14:paraId="4399E91A">
            <w:pPr>
              <w:snapToGrid w:val="0"/>
              <w:spacing w:line="360" w:lineRule="auto"/>
              <w:jc w:val="left"/>
              <w:rPr>
                <w:rFonts w:ascii="宋体"/>
                <w:sz w:val="24"/>
              </w:rPr>
            </w:pPr>
            <w:r>
              <w:rPr>
                <w:rFonts w:hint="eastAsia" w:ascii="宋体"/>
                <w:sz w:val="24"/>
              </w:rPr>
              <w:t>□要求提供</w:t>
            </w:r>
          </w:p>
          <w:p w14:paraId="2472C6AC">
            <w:pPr>
              <w:numPr>
                <w:ilvl w:val="0"/>
                <w:numId w:val="1"/>
              </w:numPr>
              <w:snapToGrid w:val="0"/>
              <w:spacing w:line="360" w:lineRule="auto"/>
              <w:jc w:val="left"/>
              <w:rPr>
                <w:rFonts w:hint="eastAsia" w:ascii="宋体" w:hAnsi="仿宋" w:cs="仿宋"/>
                <w:bCs/>
                <w:color w:val="auto"/>
                <w:sz w:val="24"/>
              </w:rPr>
            </w:pPr>
            <w:r>
              <w:rPr>
                <w:rFonts w:hint="eastAsia" w:ascii="宋体" w:hAnsi="仿宋" w:cs="仿宋"/>
                <w:sz w:val="24"/>
              </w:rPr>
              <w:t>保证</w:t>
            </w:r>
            <w:r>
              <w:rPr>
                <w:rFonts w:hint="eastAsia" w:ascii="宋体" w:hAnsi="仿宋" w:cs="仿宋"/>
                <w:color w:val="auto"/>
                <w:sz w:val="24"/>
              </w:rPr>
              <w:t>金数额</w:t>
            </w:r>
            <w:r>
              <w:rPr>
                <w:rFonts w:hint="eastAsia" w:ascii="宋体" w:hAnsi="仿宋" w:cs="仿宋"/>
                <w:bCs/>
                <w:color w:val="auto"/>
                <w:sz w:val="24"/>
              </w:rPr>
              <w:t>：</w:t>
            </w:r>
            <w:r>
              <w:rPr>
                <w:rFonts w:hint="eastAsia" w:ascii="宋体" w:hAnsi="仿宋" w:cs="仿宋"/>
                <w:bCs/>
                <w:color w:val="auto"/>
                <w:sz w:val="24"/>
                <w:lang w:val="en-US" w:eastAsia="zh-CN"/>
              </w:rPr>
              <w:t>0</w:t>
            </w:r>
            <w:r>
              <w:rPr>
                <w:rFonts w:hint="eastAsia" w:ascii="宋体" w:hAnsi="仿宋" w:cs="仿宋"/>
                <w:bCs/>
                <w:color w:val="auto"/>
                <w:sz w:val="24"/>
              </w:rPr>
              <w:t>元</w:t>
            </w:r>
          </w:p>
          <w:p w14:paraId="5B89F734">
            <w:pPr>
              <w:numPr>
                <w:ilvl w:val="0"/>
                <w:numId w:val="1"/>
              </w:numPr>
              <w:snapToGrid w:val="0"/>
              <w:spacing w:line="360" w:lineRule="auto"/>
              <w:jc w:val="left"/>
              <w:rPr>
                <w:rFonts w:ascii="宋体" w:hAnsi="仿宋" w:cs="仿宋"/>
                <w:bCs/>
                <w:sz w:val="24"/>
              </w:rPr>
            </w:pPr>
            <w:r>
              <w:rPr>
                <w:rFonts w:hint="eastAsia" w:ascii="宋体" w:hAnsi="仿宋" w:cs="仿宋"/>
                <w:bCs/>
                <w:sz w:val="24"/>
              </w:rPr>
              <w:t>2.投标保证金截止时间：（以到账时间为准）</w:t>
            </w:r>
          </w:p>
          <w:p w14:paraId="6BF98F4A">
            <w:pPr>
              <w:snapToGrid w:val="0"/>
              <w:spacing w:line="360" w:lineRule="auto"/>
              <w:jc w:val="left"/>
              <w:rPr>
                <w:rFonts w:ascii="宋体" w:hAnsi="仿宋" w:cs="仿宋"/>
                <w:bCs/>
                <w:sz w:val="24"/>
              </w:rPr>
            </w:pPr>
            <w:r>
              <w:rPr>
                <w:rFonts w:hint="eastAsia" w:ascii="宋体" w:hAnsi="仿宋" w:cs="仿宋"/>
                <w:bCs/>
                <w:sz w:val="24"/>
              </w:rPr>
              <w:t>3.投标保证金信息</w:t>
            </w:r>
          </w:p>
          <w:p w14:paraId="2AE6DAD3">
            <w:pPr>
              <w:snapToGrid w:val="0"/>
              <w:spacing w:line="360" w:lineRule="auto"/>
              <w:jc w:val="left"/>
              <w:rPr>
                <w:rFonts w:hint="eastAsia" w:ascii="宋体" w:hAnsi="仿宋" w:cs="仿宋"/>
                <w:bCs/>
                <w:sz w:val="24"/>
              </w:rPr>
            </w:pPr>
            <w:r>
              <w:rPr>
                <w:rFonts w:hint="eastAsia" w:ascii="宋体" w:hAnsi="仿宋" w:cs="仿宋"/>
                <w:bCs/>
                <w:sz w:val="24"/>
              </w:rPr>
              <w:t>户名：</w:t>
            </w:r>
          </w:p>
          <w:p w14:paraId="47415C8C">
            <w:pPr>
              <w:snapToGrid w:val="0"/>
              <w:spacing w:line="360" w:lineRule="auto"/>
              <w:jc w:val="left"/>
              <w:rPr>
                <w:rFonts w:hint="eastAsia" w:ascii="宋体" w:hAnsi="仿宋" w:cs="仿宋"/>
                <w:bCs/>
                <w:sz w:val="24"/>
              </w:rPr>
            </w:pPr>
            <w:r>
              <w:rPr>
                <w:rFonts w:hint="eastAsia" w:ascii="宋体" w:hAnsi="仿宋" w:cs="仿宋"/>
                <w:bCs/>
                <w:sz w:val="24"/>
              </w:rPr>
              <w:t>开户行：</w:t>
            </w:r>
          </w:p>
          <w:p w14:paraId="69E999F4">
            <w:pPr>
              <w:snapToGrid w:val="0"/>
              <w:spacing w:line="360" w:lineRule="auto"/>
              <w:jc w:val="left"/>
              <w:rPr>
                <w:rFonts w:ascii="宋体" w:hAnsi="仿宋" w:cs="仿宋"/>
                <w:bCs/>
                <w:sz w:val="24"/>
              </w:rPr>
            </w:pPr>
            <w:r>
              <w:rPr>
                <w:rFonts w:hint="eastAsia" w:ascii="宋体" w:hAnsi="仿宋" w:cs="仿宋"/>
                <w:bCs/>
                <w:sz w:val="24"/>
              </w:rPr>
              <w:t>银行账号：</w:t>
            </w:r>
          </w:p>
          <w:p w14:paraId="779C6D01">
            <w:pPr>
              <w:snapToGrid w:val="0"/>
              <w:spacing w:line="360" w:lineRule="auto"/>
              <w:jc w:val="left"/>
              <w:rPr>
                <w:rFonts w:hint="default" w:ascii="宋体" w:hAnsi="仿宋" w:eastAsia="宋体" w:cs="仿宋"/>
                <w:bCs/>
                <w:sz w:val="24"/>
                <w:lang w:val="en-US" w:eastAsia="zh-CN"/>
              </w:rPr>
            </w:pPr>
            <w:r>
              <w:rPr>
                <w:rFonts w:hint="eastAsia" w:ascii="宋体"/>
                <w:b/>
                <w:bCs/>
                <w:spacing w:val="-6"/>
                <w:sz w:val="24"/>
                <w:lang w:val="en-US" w:eastAsia="zh-CN"/>
              </w:rPr>
              <w:t>本项目不作保证金要求</w:t>
            </w:r>
          </w:p>
        </w:tc>
      </w:tr>
      <w:tr w14:paraId="460387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0A4C3A48">
            <w:pPr>
              <w:adjustRightInd w:val="0"/>
              <w:snapToGrid w:val="0"/>
              <w:spacing w:line="360" w:lineRule="auto"/>
              <w:jc w:val="center"/>
              <w:rPr>
                <w:rFonts w:ascii="宋体" w:hAnsi="宋体"/>
                <w:sz w:val="24"/>
              </w:rPr>
            </w:pPr>
            <w:r>
              <w:rPr>
                <w:rFonts w:hint="eastAsia" w:ascii="宋体" w:hAnsi="宋体"/>
                <w:sz w:val="24"/>
              </w:rPr>
              <w:t>第二章</w:t>
            </w:r>
          </w:p>
          <w:p w14:paraId="34008F75">
            <w:pPr>
              <w:adjustRightInd w:val="0"/>
              <w:snapToGrid w:val="0"/>
              <w:spacing w:line="360" w:lineRule="auto"/>
              <w:jc w:val="center"/>
              <w:rPr>
                <w:rFonts w:ascii="宋体" w:hAnsi="宋体"/>
                <w:sz w:val="24"/>
              </w:rPr>
            </w:pPr>
            <w:r>
              <w:rPr>
                <w:rFonts w:hint="eastAsia" w:ascii="宋体" w:hAnsi="宋体"/>
                <w:sz w:val="24"/>
              </w:rPr>
              <w:t>第20.1款</w:t>
            </w:r>
          </w:p>
        </w:tc>
        <w:tc>
          <w:tcPr>
            <w:tcW w:w="1664" w:type="dxa"/>
            <w:vAlign w:val="center"/>
          </w:tcPr>
          <w:p w14:paraId="4A62A8D5">
            <w:pPr>
              <w:adjustRightInd w:val="0"/>
              <w:snapToGrid w:val="0"/>
              <w:spacing w:line="360" w:lineRule="auto"/>
              <w:jc w:val="center"/>
              <w:rPr>
                <w:rFonts w:ascii="宋体" w:hAnsi="宋体"/>
                <w:bCs/>
                <w:sz w:val="24"/>
              </w:rPr>
            </w:pPr>
            <w:r>
              <w:rPr>
                <w:rFonts w:hint="eastAsia" w:ascii="宋体" w:hAnsi="宋体"/>
                <w:bCs/>
                <w:sz w:val="24"/>
              </w:rPr>
              <w:t>响应文件有效期</w:t>
            </w:r>
          </w:p>
        </w:tc>
        <w:tc>
          <w:tcPr>
            <w:tcW w:w="5471" w:type="dxa"/>
            <w:vAlign w:val="center"/>
          </w:tcPr>
          <w:p w14:paraId="526139D7">
            <w:pPr>
              <w:adjustRightInd w:val="0"/>
              <w:snapToGrid w:val="0"/>
              <w:spacing w:line="360" w:lineRule="auto"/>
              <w:jc w:val="left"/>
              <w:rPr>
                <w:rFonts w:ascii="宋体" w:hAnsi="宋体"/>
                <w:bCs/>
                <w:sz w:val="24"/>
              </w:rPr>
            </w:pPr>
            <w:r>
              <w:rPr>
                <w:rFonts w:ascii="宋体" w:hAnsi="宋体"/>
                <w:sz w:val="24"/>
                <w:u w:val="single"/>
              </w:rPr>
              <w:t>90</w:t>
            </w:r>
            <w:r>
              <w:rPr>
                <w:rFonts w:hint="eastAsia" w:ascii="宋体" w:hAnsi="宋体"/>
                <w:sz w:val="24"/>
              </w:rPr>
              <w:t>日（日历日）</w:t>
            </w:r>
          </w:p>
        </w:tc>
      </w:tr>
      <w:tr w14:paraId="59B44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925" w:type="dxa"/>
            <w:vAlign w:val="center"/>
          </w:tcPr>
          <w:p w14:paraId="434BBAA7">
            <w:pPr>
              <w:adjustRightInd w:val="0"/>
              <w:snapToGrid w:val="0"/>
              <w:spacing w:line="360" w:lineRule="auto"/>
              <w:jc w:val="center"/>
              <w:rPr>
                <w:rFonts w:ascii="宋体" w:hAnsi="宋体"/>
                <w:sz w:val="24"/>
              </w:rPr>
            </w:pPr>
            <w:r>
              <w:rPr>
                <w:rFonts w:hint="eastAsia" w:ascii="宋体" w:hAnsi="宋体"/>
                <w:sz w:val="24"/>
              </w:rPr>
              <w:t>第二章</w:t>
            </w:r>
          </w:p>
          <w:p w14:paraId="33FE5788">
            <w:pPr>
              <w:adjustRightInd w:val="0"/>
              <w:snapToGrid w:val="0"/>
              <w:spacing w:line="360" w:lineRule="auto"/>
              <w:jc w:val="center"/>
              <w:rPr>
                <w:rFonts w:ascii="宋体" w:hAnsi="宋体"/>
                <w:sz w:val="24"/>
              </w:rPr>
            </w:pPr>
            <w:r>
              <w:rPr>
                <w:rFonts w:hint="eastAsia" w:ascii="宋体" w:hAnsi="宋体"/>
                <w:sz w:val="24"/>
              </w:rPr>
              <w:t>第21.1款</w:t>
            </w:r>
          </w:p>
        </w:tc>
        <w:tc>
          <w:tcPr>
            <w:tcW w:w="1664" w:type="dxa"/>
            <w:vAlign w:val="center"/>
          </w:tcPr>
          <w:p w14:paraId="51358EFC">
            <w:pPr>
              <w:adjustRightInd w:val="0"/>
              <w:snapToGrid w:val="0"/>
              <w:spacing w:line="360" w:lineRule="auto"/>
              <w:jc w:val="center"/>
              <w:rPr>
                <w:rFonts w:ascii="宋体" w:hAnsi="宋体"/>
                <w:sz w:val="24"/>
              </w:rPr>
            </w:pPr>
            <w:r>
              <w:rPr>
                <w:rFonts w:hint="eastAsia" w:ascii="宋体" w:hAnsi="宋体"/>
                <w:bCs/>
                <w:sz w:val="24"/>
              </w:rPr>
              <w:t>响应</w:t>
            </w:r>
            <w:r>
              <w:rPr>
                <w:rFonts w:hint="eastAsia" w:ascii="宋体" w:hAnsi="宋体"/>
                <w:sz w:val="24"/>
              </w:rPr>
              <w:t>文件副本份数</w:t>
            </w:r>
          </w:p>
        </w:tc>
        <w:tc>
          <w:tcPr>
            <w:tcW w:w="5471" w:type="dxa"/>
            <w:vAlign w:val="center"/>
          </w:tcPr>
          <w:p w14:paraId="68908D59">
            <w:pPr>
              <w:adjustRightInd w:val="0"/>
              <w:snapToGrid w:val="0"/>
              <w:spacing w:line="360" w:lineRule="auto"/>
              <w:jc w:val="left"/>
              <w:rPr>
                <w:rFonts w:ascii="宋体" w:hAnsi="宋体"/>
                <w:sz w:val="24"/>
                <w:u w:val="single"/>
              </w:rPr>
            </w:pPr>
            <w:r>
              <w:rPr>
                <w:rFonts w:hint="eastAsia" w:ascii="宋体" w:hAnsi="宋体"/>
                <w:sz w:val="24"/>
              </w:rPr>
              <w:t>正本1份、副本2份、电子版1份（U盘）</w:t>
            </w:r>
            <w:r>
              <w:rPr>
                <w:rFonts w:hint="eastAsia" w:ascii="宋体" w:hAnsi="宋体" w:cs="宋体"/>
                <w:sz w:val="24"/>
              </w:rPr>
              <w:t>并在响应文件封面上明确写明“正本”或“副本”，正本和副本内容如不一致，以正本为准。响应文件的正本与副本均应装订成册（胶装），不得采用活页夹。电子版文件与纸质版文件分开封装，在响应文件递交时一并提交。</w:t>
            </w:r>
          </w:p>
        </w:tc>
      </w:tr>
      <w:tr w14:paraId="05AFDB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3"/>
            <w:vAlign w:val="center"/>
          </w:tcPr>
          <w:p w14:paraId="03EF0206">
            <w:pPr>
              <w:adjustRightInd w:val="0"/>
              <w:snapToGrid w:val="0"/>
              <w:spacing w:line="360" w:lineRule="auto"/>
              <w:jc w:val="center"/>
              <w:rPr>
                <w:rFonts w:ascii="宋体" w:hAnsi="宋体"/>
                <w:b/>
                <w:bCs/>
                <w:sz w:val="24"/>
              </w:rPr>
            </w:pPr>
            <w:r>
              <w:rPr>
                <w:rFonts w:hint="eastAsia" w:ascii="宋体" w:hAnsi="宋体"/>
                <w:b/>
                <w:sz w:val="24"/>
              </w:rPr>
              <w:t>四、响应文件的递交</w:t>
            </w:r>
          </w:p>
        </w:tc>
      </w:tr>
      <w:tr w14:paraId="0EEA0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48327858">
            <w:pPr>
              <w:adjustRightInd w:val="0"/>
              <w:snapToGrid w:val="0"/>
              <w:spacing w:line="360" w:lineRule="auto"/>
              <w:jc w:val="center"/>
              <w:rPr>
                <w:rFonts w:ascii="宋体" w:hAnsi="宋体"/>
                <w:sz w:val="24"/>
              </w:rPr>
            </w:pPr>
            <w:r>
              <w:rPr>
                <w:rFonts w:hint="eastAsia" w:ascii="宋体" w:hAnsi="宋体"/>
                <w:sz w:val="24"/>
              </w:rPr>
              <w:t>第二章</w:t>
            </w:r>
          </w:p>
          <w:p w14:paraId="56D9CBC8">
            <w:pPr>
              <w:adjustRightInd w:val="0"/>
              <w:snapToGrid w:val="0"/>
              <w:spacing w:line="360" w:lineRule="auto"/>
              <w:jc w:val="center"/>
              <w:rPr>
                <w:rFonts w:ascii="宋体" w:hAnsi="宋体"/>
                <w:sz w:val="24"/>
              </w:rPr>
            </w:pPr>
            <w:r>
              <w:rPr>
                <w:rFonts w:hint="eastAsia" w:ascii="宋体" w:hAnsi="宋体"/>
                <w:sz w:val="24"/>
              </w:rPr>
              <w:t>第22.2款</w:t>
            </w:r>
          </w:p>
        </w:tc>
        <w:tc>
          <w:tcPr>
            <w:tcW w:w="1664" w:type="dxa"/>
            <w:vAlign w:val="center"/>
          </w:tcPr>
          <w:p w14:paraId="589E8321">
            <w:pPr>
              <w:adjustRightInd w:val="0"/>
              <w:snapToGrid w:val="0"/>
              <w:spacing w:line="360" w:lineRule="auto"/>
              <w:jc w:val="center"/>
              <w:rPr>
                <w:rFonts w:ascii="宋体" w:hAnsi="宋体"/>
                <w:sz w:val="24"/>
              </w:rPr>
            </w:pPr>
            <w:r>
              <w:rPr>
                <w:rFonts w:hint="eastAsia" w:ascii="宋体" w:hAnsi="宋体"/>
                <w:sz w:val="24"/>
              </w:rPr>
              <w:t>封套上应载明的信息</w:t>
            </w:r>
          </w:p>
        </w:tc>
        <w:tc>
          <w:tcPr>
            <w:tcW w:w="5471" w:type="dxa"/>
            <w:vAlign w:val="center"/>
          </w:tcPr>
          <w:p w14:paraId="19000DF1">
            <w:pPr>
              <w:snapToGrid w:val="0"/>
              <w:spacing w:line="360" w:lineRule="auto"/>
              <w:jc w:val="left"/>
              <w:rPr>
                <w:rFonts w:hint="eastAsia" w:ascii="宋体" w:hAnsi="宋体"/>
                <w:sz w:val="24"/>
                <w:lang w:val="en-US" w:eastAsia="zh-CN"/>
              </w:rPr>
            </w:pPr>
            <w:r>
              <w:rPr>
                <w:rFonts w:hint="eastAsia" w:ascii="宋体" w:hAnsi="宋体"/>
                <w:sz w:val="24"/>
                <w:u w:val="single"/>
                <w:lang w:val="en-US" w:eastAsia="zh-CN"/>
              </w:rPr>
              <w:t xml:space="preserve">                    </w:t>
            </w:r>
            <w:r>
              <w:rPr>
                <w:rFonts w:hint="eastAsia" w:ascii="宋体" w:hAnsi="宋体"/>
                <w:sz w:val="24"/>
                <w:lang w:val="en-US" w:eastAsia="zh-CN"/>
              </w:rPr>
              <w:t>(项目名称) 响应文件</w:t>
            </w:r>
          </w:p>
          <w:p w14:paraId="17DEBAF0">
            <w:pPr>
              <w:snapToGrid w:val="0"/>
              <w:spacing w:line="360" w:lineRule="auto"/>
              <w:jc w:val="left"/>
              <w:rPr>
                <w:rFonts w:hint="eastAsia" w:ascii="宋体" w:hAnsi="宋体"/>
                <w:sz w:val="24"/>
                <w:u w:val="single"/>
                <w:lang w:eastAsia="zh-CN"/>
              </w:rPr>
            </w:pPr>
            <w:r>
              <w:rPr>
                <w:rFonts w:hint="eastAsia" w:ascii="宋体" w:hAnsi="宋体"/>
                <w:sz w:val="24"/>
                <w:lang w:eastAsia="zh-CN"/>
              </w:rPr>
              <w:t>政府采购编号：</w:t>
            </w:r>
            <w:r>
              <w:rPr>
                <w:rFonts w:hint="eastAsia" w:ascii="宋体" w:hAnsi="宋体"/>
                <w:sz w:val="24"/>
                <w:u w:val="single"/>
                <w:lang w:eastAsia="zh-CN"/>
              </w:rPr>
              <w:t xml:space="preserve">               </w:t>
            </w:r>
          </w:p>
          <w:p w14:paraId="3CF666CA">
            <w:pPr>
              <w:snapToGrid w:val="0"/>
              <w:spacing w:line="360" w:lineRule="auto"/>
              <w:jc w:val="left"/>
              <w:rPr>
                <w:rFonts w:hint="eastAsia" w:ascii="宋体" w:hAnsi="宋体"/>
                <w:sz w:val="24"/>
                <w:lang w:val="en-US"/>
              </w:rPr>
            </w:pPr>
            <w:r>
              <w:rPr>
                <w:rFonts w:hint="eastAsia" w:ascii="宋体" w:hAnsi="宋体"/>
                <w:sz w:val="24"/>
                <w:lang w:val="en-US" w:eastAsia="zh-CN"/>
              </w:rPr>
              <w:t>委托代理编号：</w:t>
            </w:r>
            <w:r>
              <w:rPr>
                <w:rFonts w:hint="eastAsia" w:ascii="宋体" w:hAnsi="宋体"/>
                <w:sz w:val="24"/>
                <w:u w:val="single"/>
                <w:lang w:val="en-US" w:eastAsia="zh-CN"/>
              </w:rPr>
              <w:t xml:space="preserve">                </w:t>
            </w:r>
          </w:p>
          <w:p w14:paraId="3E70F297">
            <w:pPr>
              <w:snapToGrid w:val="0"/>
              <w:spacing w:line="360" w:lineRule="auto"/>
              <w:jc w:val="left"/>
              <w:rPr>
                <w:rFonts w:hint="eastAsia" w:ascii="宋体" w:hAnsi="宋体"/>
                <w:sz w:val="24"/>
                <w:lang w:val="en-US" w:eastAsia="zh-CN"/>
              </w:rPr>
            </w:pPr>
            <w:r>
              <w:rPr>
                <w:rFonts w:hint="eastAsia" w:ascii="宋体" w:hAnsi="宋体"/>
                <w:sz w:val="24"/>
                <w:lang w:val="en-US" w:eastAsia="zh-CN"/>
              </w:rPr>
              <w:t>供应商名称：</w:t>
            </w:r>
            <w:r>
              <w:rPr>
                <w:rFonts w:hint="eastAsia" w:ascii="宋体" w:hAnsi="宋体"/>
                <w:sz w:val="24"/>
                <w:u w:val="single"/>
                <w:lang w:val="en-US" w:eastAsia="zh-CN"/>
              </w:rPr>
              <w:t xml:space="preserve">                 </w:t>
            </w:r>
          </w:p>
          <w:p w14:paraId="75F87145">
            <w:pPr>
              <w:snapToGrid w:val="0"/>
              <w:spacing w:line="360" w:lineRule="auto"/>
              <w:jc w:val="left"/>
              <w:rPr>
                <w:rFonts w:ascii="宋体" w:hAnsi="宋体"/>
                <w:sz w:val="24"/>
              </w:rPr>
            </w:pPr>
            <w:r>
              <w:rPr>
                <w:rFonts w:hint="eastAsia" w:ascii="宋体" w:hAnsi="宋体"/>
                <w:sz w:val="24"/>
                <w:lang w:val="en-US" w:eastAsia="zh-CN"/>
              </w:rPr>
              <w:t>在</w:t>
            </w:r>
            <w:r>
              <w:rPr>
                <w:rFonts w:hint="eastAsia" w:ascii="宋体" w:hAnsi="宋体"/>
                <w:sz w:val="24"/>
                <w:u w:val="single"/>
                <w:lang w:val="en-US" w:eastAsia="zh-CN"/>
              </w:rPr>
              <w:t xml:space="preserve">     </w:t>
            </w:r>
            <w:r>
              <w:rPr>
                <w:rFonts w:hint="eastAsia" w:ascii="宋体" w:hAnsi="宋体"/>
                <w:sz w:val="24"/>
                <w:lang w:val="en-US" w:eastAsia="zh-CN"/>
              </w:rPr>
              <w:t>年</w:t>
            </w:r>
            <w:r>
              <w:rPr>
                <w:rFonts w:hint="eastAsia" w:ascii="宋体" w:hAnsi="宋体"/>
                <w:sz w:val="24"/>
                <w:u w:val="single"/>
                <w:lang w:val="en-US" w:eastAsia="zh-CN"/>
              </w:rPr>
              <w:t xml:space="preserve">    </w:t>
            </w:r>
            <w:r>
              <w:rPr>
                <w:rFonts w:hint="eastAsia" w:ascii="宋体" w:hAnsi="宋体"/>
                <w:sz w:val="24"/>
                <w:lang w:val="en-US" w:eastAsia="zh-CN"/>
              </w:rPr>
              <w:t>月</w:t>
            </w:r>
            <w:r>
              <w:rPr>
                <w:rFonts w:hint="eastAsia" w:ascii="宋体" w:hAnsi="宋体"/>
                <w:sz w:val="24"/>
                <w:u w:val="single"/>
                <w:lang w:val="en-US" w:eastAsia="zh-CN"/>
              </w:rPr>
              <w:t xml:space="preserve">    </w:t>
            </w:r>
            <w:r>
              <w:rPr>
                <w:rFonts w:hint="eastAsia" w:ascii="宋体" w:hAnsi="宋体"/>
                <w:sz w:val="24"/>
                <w:lang w:val="en-US" w:eastAsia="zh-CN"/>
              </w:rPr>
              <w:t>日</w:t>
            </w:r>
            <w:r>
              <w:rPr>
                <w:rFonts w:hint="eastAsia" w:ascii="宋体" w:hAnsi="宋体"/>
                <w:sz w:val="24"/>
                <w:u w:val="single"/>
                <w:lang w:val="en-US" w:eastAsia="zh-CN"/>
              </w:rPr>
              <w:t xml:space="preserve">    </w:t>
            </w:r>
            <w:r>
              <w:rPr>
                <w:rFonts w:hint="eastAsia" w:ascii="宋体" w:hAnsi="宋体"/>
                <w:sz w:val="24"/>
                <w:lang w:val="en-US" w:eastAsia="zh-CN"/>
              </w:rPr>
              <w:t>时</w:t>
            </w:r>
            <w:r>
              <w:rPr>
                <w:rFonts w:hint="eastAsia" w:ascii="宋体" w:hAnsi="宋体"/>
                <w:sz w:val="24"/>
                <w:u w:val="single"/>
                <w:lang w:val="en-US" w:eastAsia="zh-CN"/>
              </w:rPr>
              <w:t xml:space="preserve">    </w:t>
            </w:r>
            <w:r>
              <w:rPr>
                <w:rFonts w:hint="eastAsia" w:ascii="宋体" w:hAnsi="宋体"/>
                <w:sz w:val="24"/>
                <w:lang w:val="en-US" w:eastAsia="zh-CN"/>
              </w:rPr>
              <w:t xml:space="preserve">分之前不得启封 </w:t>
            </w:r>
          </w:p>
        </w:tc>
      </w:tr>
      <w:tr w14:paraId="2994F6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69AA955F">
            <w:pPr>
              <w:adjustRightInd w:val="0"/>
              <w:snapToGrid w:val="0"/>
              <w:spacing w:line="360" w:lineRule="auto"/>
              <w:jc w:val="center"/>
              <w:rPr>
                <w:rFonts w:ascii="宋体" w:hAnsi="宋体"/>
                <w:sz w:val="24"/>
              </w:rPr>
            </w:pPr>
            <w:r>
              <w:rPr>
                <w:rFonts w:hint="eastAsia" w:ascii="宋体" w:hAnsi="宋体"/>
                <w:sz w:val="24"/>
              </w:rPr>
              <w:t>第二章</w:t>
            </w:r>
          </w:p>
          <w:p w14:paraId="2E639FEC">
            <w:pPr>
              <w:adjustRightInd w:val="0"/>
              <w:snapToGrid w:val="0"/>
              <w:spacing w:line="360" w:lineRule="auto"/>
              <w:jc w:val="center"/>
              <w:rPr>
                <w:rFonts w:ascii="宋体" w:hAnsi="宋体"/>
                <w:sz w:val="24"/>
              </w:rPr>
            </w:pPr>
            <w:r>
              <w:rPr>
                <w:rFonts w:hint="eastAsia" w:ascii="宋体" w:hAnsi="宋体"/>
                <w:sz w:val="24"/>
              </w:rPr>
              <w:t>第24.1款</w:t>
            </w:r>
          </w:p>
        </w:tc>
        <w:tc>
          <w:tcPr>
            <w:tcW w:w="1664" w:type="dxa"/>
            <w:vAlign w:val="center"/>
          </w:tcPr>
          <w:p w14:paraId="4B4081DA">
            <w:pPr>
              <w:adjustRightInd w:val="0"/>
              <w:snapToGrid w:val="0"/>
              <w:spacing w:line="360" w:lineRule="auto"/>
              <w:jc w:val="center"/>
              <w:rPr>
                <w:rFonts w:ascii="宋体" w:hAnsi="宋体"/>
                <w:sz w:val="24"/>
              </w:rPr>
            </w:pPr>
            <w:r>
              <w:rPr>
                <w:rFonts w:hint="eastAsia" w:ascii="宋体" w:hAnsi="宋体"/>
                <w:sz w:val="24"/>
              </w:rPr>
              <w:t>响应文件的递交地点</w:t>
            </w:r>
          </w:p>
        </w:tc>
        <w:tc>
          <w:tcPr>
            <w:tcW w:w="5471" w:type="dxa"/>
            <w:vAlign w:val="center"/>
          </w:tcPr>
          <w:p w14:paraId="4907C0C6">
            <w:pPr>
              <w:snapToGrid w:val="0"/>
              <w:spacing w:line="360" w:lineRule="auto"/>
              <w:jc w:val="left"/>
              <w:rPr>
                <w:rFonts w:ascii="宋体" w:hAnsi="宋体"/>
                <w:bCs/>
                <w:sz w:val="24"/>
              </w:rPr>
            </w:pPr>
            <w:r>
              <w:rPr>
                <w:rFonts w:hint="eastAsia" w:ascii="宋体" w:hAnsi="宋体" w:cs="宋体"/>
                <w:iCs/>
                <w:sz w:val="24"/>
                <w:lang w:val="en-US" w:eastAsia="zh-CN"/>
              </w:rPr>
              <w:t>国昪项目管理有限公司（</w:t>
            </w:r>
            <w:r>
              <w:rPr>
                <w:rFonts w:hint="eastAsia" w:ascii="宋体" w:hAnsi="宋体" w:cs="宋体"/>
                <w:iCs/>
                <w:sz w:val="24"/>
                <w:lang w:eastAsia="zh-CN"/>
              </w:rPr>
              <w:t>长沙市岳麓区观沙岭街道茶子山东路湘江财富金融中心D座111</w:t>
            </w:r>
            <w:r>
              <w:rPr>
                <w:rFonts w:hint="eastAsia" w:ascii="宋体" w:hAnsi="宋体" w:cs="宋体"/>
                <w:iCs/>
                <w:sz w:val="24"/>
                <w:lang w:val="en-US" w:eastAsia="zh-CN"/>
              </w:rPr>
              <w:t>7</w:t>
            </w:r>
            <w:r>
              <w:rPr>
                <w:rFonts w:hint="eastAsia" w:ascii="宋体" w:hAnsi="宋体" w:cs="宋体"/>
                <w:iCs/>
                <w:sz w:val="24"/>
                <w:lang w:eastAsia="zh-CN"/>
              </w:rPr>
              <w:t>室）</w:t>
            </w:r>
          </w:p>
        </w:tc>
      </w:tr>
      <w:tr w14:paraId="358DFE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3"/>
            <w:vAlign w:val="center"/>
          </w:tcPr>
          <w:p w14:paraId="12A36F6B">
            <w:pPr>
              <w:adjustRightInd w:val="0"/>
              <w:snapToGrid w:val="0"/>
              <w:spacing w:line="360" w:lineRule="auto"/>
              <w:jc w:val="center"/>
              <w:rPr>
                <w:rFonts w:ascii="宋体" w:hAnsi="宋体"/>
                <w:b/>
                <w:bCs/>
                <w:sz w:val="24"/>
              </w:rPr>
            </w:pPr>
            <w:r>
              <w:rPr>
                <w:rFonts w:hint="eastAsia" w:ascii="宋体" w:hAnsi="宋体"/>
                <w:b/>
                <w:bCs/>
                <w:sz w:val="24"/>
              </w:rPr>
              <w:t>五、响应文件的磋商与评审</w:t>
            </w:r>
          </w:p>
        </w:tc>
      </w:tr>
      <w:tr w14:paraId="211F45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505DB5A4">
            <w:pPr>
              <w:adjustRightInd w:val="0"/>
              <w:snapToGrid w:val="0"/>
              <w:spacing w:line="360" w:lineRule="auto"/>
              <w:jc w:val="center"/>
              <w:rPr>
                <w:rFonts w:ascii="宋体" w:hAnsi="宋体"/>
                <w:sz w:val="24"/>
              </w:rPr>
            </w:pPr>
            <w:r>
              <w:rPr>
                <w:rFonts w:hint="eastAsia" w:ascii="宋体" w:hAnsi="宋体"/>
                <w:sz w:val="24"/>
              </w:rPr>
              <w:t>第二章</w:t>
            </w:r>
          </w:p>
          <w:p w14:paraId="26573828">
            <w:pPr>
              <w:adjustRightInd w:val="0"/>
              <w:snapToGrid w:val="0"/>
              <w:spacing w:line="360" w:lineRule="auto"/>
              <w:jc w:val="center"/>
              <w:rPr>
                <w:rFonts w:ascii="宋体" w:hAnsi="宋体"/>
                <w:sz w:val="24"/>
              </w:rPr>
            </w:pPr>
            <w:r>
              <w:rPr>
                <w:rFonts w:hint="eastAsia" w:ascii="宋体" w:hAnsi="宋体"/>
                <w:sz w:val="24"/>
              </w:rPr>
              <w:t>第29.5款</w:t>
            </w:r>
          </w:p>
        </w:tc>
        <w:tc>
          <w:tcPr>
            <w:tcW w:w="1664" w:type="dxa"/>
            <w:vAlign w:val="center"/>
          </w:tcPr>
          <w:p w14:paraId="79B19905">
            <w:pPr>
              <w:adjustRightInd w:val="0"/>
              <w:snapToGrid w:val="0"/>
              <w:spacing w:line="360" w:lineRule="auto"/>
              <w:jc w:val="center"/>
              <w:rPr>
                <w:rFonts w:ascii="宋体" w:hAnsi="宋体"/>
                <w:sz w:val="24"/>
              </w:rPr>
            </w:pPr>
            <w:r>
              <w:rPr>
                <w:rFonts w:hint="eastAsia" w:ascii="宋体" w:hAnsi="宋体"/>
                <w:sz w:val="24"/>
              </w:rPr>
              <w:t>技术、价格得分或总得分调整</w:t>
            </w:r>
          </w:p>
        </w:tc>
        <w:tc>
          <w:tcPr>
            <w:tcW w:w="5471" w:type="dxa"/>
            <w:vAlign w:val="center"/>
          </w:tcPr>
          <w:p w14:paraId="30B632BB">
            <w:pPr>
              <w:adjustRightInd w:val="0"/>
              <w:snapToGrid w:val="0"/>
              <w:spacing w:line="360" w:lineRule="auto"/>
              <w:jc w:val="left"/>
              <w:rPr>
                <w:rFonts w:ascii="宋体" w:hAnsi="宋体"/>
                <w:sz w:val="24"/>
              </w:rPr>
            </w:pPr>
            <w:r>
              <w:rPr>
                <w:rFonts w:hint="eastAsia" w:ascii="宋体" w:hAnsi="宋体"/>
                <w:sz w:val="24"/>
              </w:rPr>
              <w:t>符合第二章第9.2款规定的，按以下进行分值调整：</w:t>
            </w:r>
          </w:p>
          <w:p w14:paraId="284262A4">
            <w:pPr>
              <w:adjustRightInd w:val="0"/>
              <w:snapToGrid w:val="0"/>
              <w:spacing w:line="360" w:lineRule="auto"/>
              <w:jc w:val="left"/>
              <w:rPr>
                <w:rFonts w:ascii="宋体" w:hAnsi="宋体"/>
                <w:sz w:val="24"/>
              </w:rPr>
            </w:pPr>
            <w:r>
              <w:rPr>
                <w:rFonts w:hint="eastAsia" w:ascii="宋体" w:hAnsi="宋体"/>
                <w:sz w:val="24"/>
              </w:rPr>
              <w:t>节能产品：</w:t>
            </w:r>
          </w:p>
          <w:p w14:paraId="6FF81223">
            <w:pPr>
              <w:adjustRightInd w:val="0"/>
              <w:snapToGrid w:val="0"/>
              <w:spacing w:line="360" w:lineRule="auto"/>
              <w:jc w:val="left"/>
              <w:rPr>
                <w:rFonts w:ascii="宋体" w:hAnsi="宋体"/>
                <w:sz w:val="24"/>
              </w:rPr>
            </w:pPr>
            <w:r>
              <w:rPr>
                <w:rFonts w:hint="eastAsia" w:ascii="宋体" w:hAnsi="宋体"/>
                <w:sz w:val="24"/>
              </w:rPr>
              <w:t>技术加分＝技术分值×加分比例（比例见本表“第二章第9.2款”，下同）×（节能产品报价÷总报价）；</w:t>
            </w:r>
          </w:p>
          <w:p w14:paraId="0757C00D">
            <w:pPr>
              <w:adjustRightInd w:val="0"/>
              <w:snapToGrid w:val="0"/>
              <w:spacing w:line="360" w:lineRule="auto"/>
              <w:jc w:val="left"/>
              <w:rPr>
                <w:rFonts w:ascii="宋体" w:hAnsi="宋体"/>
                <w:sz w:val="24"/>
              </w:rPr>
            </w:pPr>
            <w:r>
              <w:rPr>
                <w:rFonts w:hint="eastAsia" w:ascii="宋体" w:hAnsi="宋体"/>
                <w:sz w:val="24"/>
              </w:rPr>
              <w:t>价格加分＝价格分值×加分比例×（节能产品报价÷总报价）。</w:t>
            </w:r>
          </w:p>
          <w:p w14:paraId="017EEF1E">
            <w:pPr>
              <w:adjustRightInd w:val="0"/>
              <w:snapToGrid w:val="0"/>
              <w:spacing w:line="360" w:lineRule="auto"/>
              <w:jc w:val="left"/>
              <w:rPr>
                <w:rFonts w:ascii="宋体" w:hAnsi="宋体"/>
                <w:sz w:val="24"/>
              </w:rPr>
            </w:pPr>
            <w:r>
              <w:rPr>
                <w:rFonts w:hint="eastAsia" w:ascii="宋体" w:hAnsi="宋体"/>
                <w:sz w:val="24"/>
              </w:rPr>
              <w:t>2、环境标志产品：</w:t>
            </w:r>
          </w:p>
          <w:p w14:paraId="7586DC13">
            <w:pPr>
              <w:adjustRightInd w:val="0"/>
              <w:snapToGrid w:val="0"/>
              <w:spacing w:line="360" w:lineRule="auto"/>
              <w:jc w:val="left"/>
              <w:rPr>
                <w:rFonts w:ascii="宋体" w:hAnsi="宋体"/>
                <w:sz w:val="24"/>
              </w:rPr>
            </w:pPr>
            <w:r>
              <w:rPr>
                <w:rFonts w:hint="eastAsia" w:ascii="宋体" w:hAnsi="宋体"/>
                <w:sz w:val="24"/>
              </w:rPr>
              <w:t>技术加分＝技术分值×加分比例×（环境标志产品报价÷总报价）；</w:t>
            </w:r>
          </w:p>
          <w:p w14:paraId="03652CFF">
            <w:pPr>
              <w:adjustRightInd w:val="0"/>
              <w:snapToGrid w:val="0"/>
              <w:spacing w:line="360" w:lineRule="auto"/>
              <w:jc w:val="left"/>
              <w:rPr>
                <w:rFonts w:ascii="宋体" w:hAnsi="宋体"/>
                <w:sz w:val="24"/>
              </w:rPr>
            </w:pPr>
            <w:r>
              <w:rPr>
                <w:rFonts w:hint="eastAsia" w:ascii="宋体" w:hAnsi="宋体"/>
                <w:sz w:val="24"/>
              </w:rPr>
              <w:t>价格加分＝价格分值×加分比例×（环境标志产品报价÷总报价）。</w:t>
            </w:r>
          </w:p>
        </w:tc>
      </w:tr>
      <w:tr w14:paraId="79F1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001B4F90">
            <w:pPr>
              <w:adjustRightInd w:val="0"/>
              <w:snapToGrid w:val="0"/>
              <w:spacing w:line="360" w:lineRule="auto"/>
              <w:jc w:val="center"/>
              <w:rPr>
                <w:rFonts w:ascii="宋体" w:hAnsi="宋体"/>
                <w:sz w:val="24"/>
              </w:rPr>
            </w:pPr>
            <w:r>
              <w:rPr>
                <w:rFonts w:hint="eastAsia" w:ascii="宋体" w:hAnsi="宋体"/>
                <w:sz w:val="24"/>
              </w:rPr>
              <w:t>第二章</w:t>
            </w:r>
          </w:p>
          <w:p w14:paraId="6A20DD0C">
            <w:pPr>
              <w:adjustRightInd w:val="0"/>
              <w:snapToGrid w:val="0"/>
              <w:spacing w:line="360" w:lineRule="auto"/>
              <w:jc w:val="center"/>
              <w:rPr>
                <w:rFonts w:ascii="宋体" w:hAnsi="宋体"/>
                <w:sz w:val="24"/>
              </w:rPr>
            </w:pPr>
            <w:r>
              <w:rPr>
                <w:rFonts w:hint="eastAsia" w:ascii="宋体" w:hAnsi="宋体"/>
                <w:sz w:val="24"/>
              </w:rPr>
              <w:t>第31.2款</w:t>
            </w:r>
          </w:p>
        </w:tc>
        <w:tc>
          <w:tcPr>
            <w:tcW w:w="1664" w:type="dxa"/>
            <w:vAlign w:val="center"/>
          </w:tcPr>
          <w:p w14:paraId="6796FD71">
            <w:pPr>
              <w:adjustRightInd w:val="0"/>
              <w:snapToGrid w:val="0"/>
              <w:spacing w:line="360" w:lineRule="auto"/>
              <w:jc w:val="center"/>
              <w:rPr>
                <w:rFonts w:ascii="宋体" w:hAnsi="宋体"/>
                <w:sz w:val="24"/>
              </w:rPr>
            </w:pPr>
            <w:r>
              <w:rPr>
                <w:rFonts w:hint="eastAsia" w:ascii="宋体" w:hAnsi="宋体"/>
                <w:sz w:val="24"/>
              </w:rPr>
              <w:t>评审因素和标准</w:t>
            </w:r>
          </w:p>
        </w:tc>
        <w:tc>
          <w:tcPr>
            <w:tcW w:w="5471" w:type="dxa"/>
            <w:vAlign w:val="center"/>
          </w:tcPr>
          <w:p w14:paraId="10402E33">
            <w:pPr>
              <w:adjustRightInd w:val="0"/>
              <w:snapToGrid w:val="0"/>
              <w:spacing w:line="360" w:lineRule="auto"/>
              <w:jc w:val="left"/>
              <w:rPr>
                <w:rFonts w:ascii="宋体" w:hAnsi="宋体"/>
                <w:bCs/>
                <w:sz w:val="24"/>
              </w:rPr>
            </w:pPr>
            <w:r>
              <w:rPr>
                <w:rFonts w:hint="eastAsia" w:ascii="宋体" w:hAnsi="宋体"/>
                <w:bCs/>
                <w:sz w:val="24"/>
              </w:rPr>
              <w:t>见附页</w:t>
            </w:r>
          </w:p>
        </w:tc>
      </w:tr>
      <w:tr w14:paraId="66BBA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8" w:hRule="atLeast"/>
          <w:jc w:val="center"/>
        </w:trPr>
        <w:tc>
          <w:tcPr>
            <w:tcW w:w="1925" w:type="dxa"/>
            <w:vAlign w:val="center"/>
          </w:tcPr>
          <w:p w14:paraId="71C74E8B">
            <w:pPr>
              <w:adjustRightInd w:val="0"/>
              <w:snapToGrid w:val="0"/>
              <w:spacing w:line="360" w:lineRule="auto"/>
              <w:jc w:val="center"/>
              <w:rPr>
                <w:rFonts w:ascii="宋体" w:hAnsi="宋体"/>
                <w:sz w:val="24"/>
              </w:rPr>
            </w:pPr>
            <w:r>
              <w:rPr>
                <w:rFonts w:hint="eastAsia" w:ascii="宋体" w:hAnsi="宋体"/>
                <w:sz w:val="24"/>
              </w:rPr>
              <w:t>第二章第31.3款</w:t>
            </w:r>
          </w:p>
        </w:tc>
        <w:tc>
          <w:tcPr>
            <w:tcW w:w="1664" w:type="dxa"/>
            <w:vAlign w:val="center"/>
          </w:tcPr>
          <w:p w14:paraId="3ED156AF">
            <w:pPr>
              <w:adjustRightInd w:val="0"/>
              <w:snapToGrid w:val="0"/>
              <w:spacing w:line="360" w:lineRule="auto"/>
              <w:jc w:val="center"/>
              <w:rPr>
                <w:rFonts w:ascii="宋体" w:hAnsi="宋体"/>
                <w:color w:val="auto"/>
                <w:sz w:val="24"/>
              </w:rPr>
            </w:pPr>
            <w:r>
              <w:rPr>
                <w:rFonts w:hint="eastAsia" w:ascii="宋体" w:hAnsi="宋体" w:cs="宋体"/>
                <w:color w:val="auto"/>
                <w:kern w:val="0"/>
                <w:sz w:val="24"/>
              </w:rPr>
              <w:t>最后报价</w:t>
            </w:r>
            <w:r>
              <w:rPr>
                <w:rFonts w:hint="eastAsia" w:ascii="宋体" w:hAnsi="宋体"/>
                <w:color w:val="auto"/>
                <w:sz w:val="24"/>
              </w:rPr>
              <w:t>调整</w:t>
            </w:r>
          </w:p>
        </w:tc>
        <w:tc>
          <w:tcPr>
            <w:tcW w:w="5471" w:type="dxa"/>
            <w:vAlign w:val="center"/>
          </w:tcPr>
          <w:p w14:paraId="32977681">
            <w:pPr>
              <w:adjustRightInd w:val="0"/>
              <w:snapToGrid w:val="0"/>
              <w:spacing w:line="360" w:lineRule="auto"/>
              <w:jc w:val="left"/>
              <w:rPr>
                <w:rFonts w:hint="eastAsia" w:ascii="宋体" w:hAnsi="宋体" w:eastAsia="宋体" w:cs="Times New Roman"/>
                <w:bCs w:val="0"/>
                <w:color w:val="auto"/>
                <w:kern w:val="2"/>
                <w:sz w:val="24"/>
                <w:szCs w:val="24"/>
                <w:highlight w:val="none"/>
              </w:rPr>
            </w:pPr>
            <w:r>
              <w:rPr>
                <w:rFonts w:hint="eastAsia" w:ascii="宋体" w:hAnsi="宋体" w:eastAsia="宋体" w:cs="Times New Roman"/>
                <w:bCs w:val="0"/>
                <w:color w:val="auto"/>
                <w:kern w:val="2"/>
                <w:sz w:val="24"/>
                <w:szCs w:val="24"/>
                <w:highlight w:val="none"/>
              </w:rPr>
              <w:t>给予小型和微型企业产品的价格给予</w:t>
            </w:r>
            <w:r>
              <w:rPr>
                <w:rFonts w:hint="eastAsia" w:ascii="宋体" w:hAnsi="宋体" w:cs="Times New Roman"/>
                <w:bCs w:val="0"/>
                <w:color w:val="auto"/>
                <w:kern w:val="2"/>
                <w:sz w:val="24"/>
                <w:szCs w:val="24"/>
                <w:highlight w:val="none"/>
                <w:lang w:val="en-US" w:eastAsia="zh-CN"/>
              </w:rPr>
              <w:t>10</w:t>
            </w:r>
            <w:r>
              <w:rPr>
                <w:rFonts w:hint="eastAsia" w:ascii="宋体" w:hAnsi="宋体" w:eastAsia="宋体" w:cs="Times New Roman"/>
                <w:bCs w:val="0"/>
                <w:color w:val="auto"/>
                <w:kern w:val="2"/>
                <w:sz w:val="24"/>
                <w:szCs w:val="24"/>
                <w:highlight w:val="none"/>
              </w:rPr>
              <w:t>%-</w:t>
            </w:r>
            <w:r>
              <w:rPr>
                <w:rFonts w:hint="eastAsia" w:ascii="宋体" w:hAnsi="宋体" w:cs="Times New Roman"/>
                <w:bCs w:val="0"/>
                <w:color w:val="auto"/>
                <w:kern w:val="2"/>
                <w:sz w:val="24"/>
                <w:szCs w:val="24"/>
                <w:highlight w:val="none"/>
                <w:lang w:val="en-US" w:eastAsia="zh-CN"/>
              </w:rPr>
              <w:t>2</w:t>
            </w:r>
            <w:r>
              <w:rPr>
                <w:rFonts w:hint="eastAsia" w:ascii="宋体" w:hAnsi="宋体" w:eastAsia="宋体" w:cs="Times New Roman"/>
                <w:bCs w:val="0"/>
                <w:color w:val="auto"/>
                <w:kern w:val="2"/>
                <w:sz w:val="24"/>
                <w:szCs w:val="24"/>
                <w:highlight w:val="none"/>
              </w:rPr>
              <w:t>0%的扣除，用扣除后的价格参与评审，本项目具体扣除比例为</w:t>
            </w:r>
            <w:r>
              <w:rPr>
                <w:rFonts w:hint="eastAsia" w:ascii="宋体" w:hAnsi="宋体" w:eastAsia="宋体" w:cs="Times New Roman"/>
                <w:bCs w:val="0"/>
                <w:color w:val="auto"/>
                <w:kern w:val="2"/>
                <w:sz w:val="24"/>
                <w:szCs w:val="24"/>
                <w:highlight w:val="none"/>
                <w:u w:val="none"/>
                <w:lang w:val="en-US" w:eastAsia="zh-CN"/>
              </w:rPr>
              <w:t>10</w:t>
            </w:r>
            <w:r>
              <w:rPr>
                <w:rFonts w:hint="eastAsia" w:ascii="宋体" w:hAnsi="宋体" w:eastAsia="宋体" w:cs="Times New Roman"/>
                <w:bCs w:val="0"/>
                <w:color w:val="auto"/>
                <w:kern w:val="2"/>
                <w:sz w:val="24"/>
                <w:szCs w:val="24"/>
                <w:highlight w:val="none"/>
              </w:rPr>
              <w:t>％。</w:t>
            </w:r>
          </w:p>
        </w:tc>
      </w:tr>
      <w:tr w14:paraId="25C843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4CD9F933">
            <w:pPr>
              <w:adjustRightInd w:val="0"/>
              <w:snapToGrid w:val="0"/>
              <w:spacing w:line="360" w:lineRule="auto"/>
              <w:jc w:val="center"/>
              <w:rPr>
                <w:rFonts w:ascii="宋体" w:hAnsi="宋体"/>
                <w:sz w:val="24"/>
              </w:rPr>
            </w:pPr>
            <w:r>
              <w:rPr>
                <w:rFonts w:hint="eastAsia" w:ascii="宋体" w:hAnsi="宋体"/>
                <w:sz w:val="24"/>
              </w:rPr>
              <w:t>第二章第31.6款</w:t>
            </w:r>
          </w:p>
        </w:tc>
        <w:tc>
          <w:tcPr>
            <w:tcW w:w="1664" w:type="dxa"/>
            <w:vAlign w:val="center"/>
          </w:tcPr>
          <w:p w14:paraId="0151FE27">
            <w:pPr>
              <w:adjustRightInd w:val="0"/>
              <w:snapToGrid w:val="0"/>
              <w:spacing w:line="360" w:lineRule="auto"/>
              <w:jc w:val="center"/>
              <w:rPr>
                <w:rFonts w:ascii="宋体" w:hAnsi="宋体" w:cs="宋体"/>
                <w:kern w:val="0"/>
                <w:sz w:val="24"/>
              </w:rPr>
            </w:pPr>
            <w:r>
              <w:rPr>
                <w:rFonts w:hint="eastAsia" w:ascii="宋体" w:hAnsi="宋体" w:cs="宋体"/>
                <w:kern w:val="0"/>
                <w:sz w:val="24"/>
              </w:rPr>
              <w:t>中小企业划分标准所属行业</w:t>
            </w:r>
          </w:p>
        </w:tc>
        <w:tc>
          <w:tcPr>
            <w:tcW w:w="5471" w:type="dxa"/>
            <w:vAlign w:val="center"/>
          </w:tcPr>
          <w:p w14:paraId="649AE418">
            <w:pPr>
              <w:pStyle w:val="25"/>
              <w:snapToGrid w:val="0"/>
              <w:spacing w:before="109" w:line="360" w:lineRule="auto"/>
              <w:jc w:val="left"/>
              <w:rPr>
                <w:rFonts w:hint="eastAsia" w:eastAsia="宋体"/>
                <w:color w:val="000000"/>
                <w:sz w:val="24"/>
                <w:u w:val="single"/>
                <w:lang w:val="en-US" w:eastAsia="zh-CN"/>
              </w:rPr>
            </w:pPr>
            <w:r>
              <w:rPr>
                <w:rFonts w:hint="eastAsia"/>
                <w:sz w:val="24"/>
              </w:rPr>
              <w:t>本项目所属行</w:t>
            </w:r>
            <w:r>
              <w:rPr>
                <w:rFonts w:hint="eastAsia"/>
                <w:color w:val="000000"/>
                <w:sz w:val="24"/>
              </w:rPr>
              <w:t>业为：</w:t>
            </w:r>
            <w:r>
              <w:rPr>
                <w:rFonts w:hint="eastAsia"/>
                <w:sz w:val="24"/>
                <w:u w:val="single"/>
              </w:rPr>
              <w:t>（</w:t>
            </w:r>
            <w:r>
              <w:rPr>
                <w:rFonts w:hint="eastAsia"/>
                <w:sz w:val="24"/>
                <w:u w:val="single"/>
                <w:lang w:val="en-US" w:eastAsia="zh-CN"/>
              </w:rPr>
              <w:t>十六</w:t>
            </w:r>
            <w:r>
              <w:rPr>
                <w:rFonts w:hint="eastAsia"/>
                <w:sz w:val="24"/>
                <w:u w:val="single"/>
              </w:rPr>
              <w:t>）</w:t>
            </w:r>
            <w:r>
              <w:rPr>
                <w:rFonts w:hint="eastAsia"/>
                <w:sz w:val="24"/>
                <w:u w:val="single"/>
                <w:lang w:eastAsia="zh-CN"/>
              </w:rPr>
              <w:t>其他未列明行业。</w:t>
            </w:r>
            <w:r>
              <w:rPr>
                <w:rFonts w:hint="eastAsia"/>
                <w:sz w:val="24"/>
                <w:u w:val="single"/>
                <w:lang w:val="en-US" w:eastAsia="zh-CN"/>
              </w:rPr>
              <w:t>投标人应根据《关于印发中小企业划型标准规定的通知》（工信部联企业〔2011〕300号）文件规定进行企业类型划分。</w:t>
            </w:r>
          </w:p>
          <w:p w14:paraId="298F4C42">
            <w:pPr>
              <w:pStyle w:val="25"/>
              <w:snapToGrid w:val="0"/>
              <w:spacing w:before="70" w:line="360" w:lineRule="auto"/>
              <w:jc w:val="left"/>
              <w:rPr>
                <w:sz w:val="24"/>
              </w:rPr>
            </w:pPr>
            <w:r>
              <w:rPr>
                <w:rFonts w:hint="eastAsia"/>
                <w:sz w:val="24"/>
              </w:rPr>
              <w:t>（一）农、林、牧、渔业</w:t>
            </w:r>
          </w:p>
          <w:p w14:paraId="3D35B397">
            <w:pPr>
              <w:pStyle w:val="25"/>
              <w:snapToGrid w:val="0"/>
              <w:spacing w:before="109" w:line="360" w:lineRule="auto"/>
              <w:jc w:val="left"/>
              <w:rPr>
                <w:sz w:val="24"/>
              </w:rPr>
            </w:pPr>
            <w:r>
              <w:rPr>
                <w:rFonts w:hint="eastAsia"/>
                <w:sz w:val="24"/>
              </w:rPr>
              <w:t>（二）工业</w:t>
            </w:r>
          </w:p>
          <w:p w14:paraId="17F4F3E7">
            <w:pPr>
              <w:pStyle w:val="25"/>
              <w:snapToGrid w:val="0"/>
              <w:spacing w:before="139" w:line="360" w:lineRule="auto"/>
              <w:jc w:val="left"/>
              <w:rPr>
                <w:sz w:val="24"/>
              </w:rPr>
            </w:pPr>
            <w:r>
              <w:rPr>
                <w:rFonts w:hint="eastAsia"/>
                <w:sz w:val="24"/>
              </w:rPr>
              <w:t>（三）建筑业</w:t>
            </w:r>
          </w:p>
          <w:p w14:paraId="5BB4D1AB">
            <w:pPr>
              <w:pStyle w:val="25"/>
              <w:snapToGrid w:val="0"/>
              <w:spacing w:before="70" w:line="360" w:lineRule="auto"/>
              <w:jc w:val="left"/>
              <w:rPr>
                <w:sz w:val="24"/>
              </w:rPr>
            </w:pPr>
            <w:r>
              <w:rPr>
                <w:rFonts w:hint="eastAsia"/>
                <w:sz w:val="24"/>
              </w:rPr>
              <w:t>（四）批发业</w:t>
            </w:r>
          </w:p>
          <w:p w14:paraId="121F92D8">
            <w:pPr>
              <w:adjustRightInd w:val="0"/>
              <w:snapToGrid w:val="0"/>
              <w:spacing w:line="360" w:lineRule="auto"/>
              <w:jc w:val="left"/>
              <w:rPr>
                <w:rFonts w:ascii="宋体" w:cs="宋体"/>
                <w:sz w:val="24"/>
              </w:rPr>
            </w:pPr>
            <w:r>
              <w:rPr>
                <w:rFonts w:hint="eastAsia" w:ascii="宋体" w:hAnsi="宋体" w:cs="宋体"/>
                <w:sz w:val="24"/>
              </w:rPr>
              <w:t>（五）零售业</w:t>
            </w:r>
          </w:p>
          <w:p w14:paraId="110D7354">
            <w:pPr>
              <w:pStyle w:val="25"/>
              <w:snapToGrid w:val="0"/>
              <w:spacing w:before="1" w:line="360" w:lineRule="auto"/>
              <w:jc w:val="left"/>
              <w:rPr>
                <w:sz w:val="24"/>
              </w:rPr>
            </w:pPr>
            <w:r>
              <w:rPr>
                <w:rFonts w:hint="eastAsia"/>
                <w:sz w:val="24"/>
              </w:rPr>
              <w:t>（六）交通运输业</w:t>
            </w:r>
          </w:p>
          <w:p w14:paraId="1F36C2F9">
            <w:pPr>
              <w:pStyle w:val="25"/>
              <w:snapToGrid w:val="0"/>
              <w:spacing w:before="65" w:line="360" w:lineRule="auto"/>
              <w:jc w:val="left"/>
              <w:rPr>
                <w:sz w:val="24"/>
              </w:rPr>
            </w:pPr>
            <w:r>
              <w:rPr>
                <w:rFonts w:hint="eastAsia"/>
                <w:sz w:val="24"/>
              </w:rPr>
              <w:t>（七）仓储业</w:t>
            </w:r>
          </w:p>
          <w:p w14:paraId="6AA9A757">
            <w:pPr>
              <w:pStyle w:val="25"/>
              <w:snapToGrid w:val="0"/>
              <w:spacing w:before="66" w:line="360" w:lineRule="auto"/>
              <w:jc w:val="left"/>
              <w:rPr>
                <w:sz w:val="24"/>
              </w:rPr>
            </w:pPr>
            <w:r>
              <w:rPr>
                <w:rFonts w:hint="eastAsia"/>
                <w:sz w:val="24"/>
              </w:rPr>
              <w:t>（八）邮政业</w:t>
            </w:r>
          </w:p>
          <w:p w14:paraId="695F3059">
            <w:pPr>
              <w:pStyle w:val="25"/>
              <w:snapToGrid w:val="0"/>
              <w:spacing w:before="65" w:line="360" w:lineRule="auto"/>
              <w:jc w:val="left"/>
              <w:rPr>
                <w:sz w:val="24"/>
              </w:rPr>
            </w:pPr>
            <w:r>
              <w:rPr>
                <w:rFonts w:hint="eastAsia"/>
                <w:sz w:val="24"/>
              </w:rPr>
              <w:t>（九）住宿业</w:t>
            </w:r>
          </w:p>
          <w:p w14:paraId="33FEBF76">
            <w:pPr>
              <w:pStyle w:val="25"/>
              <w:snapToGrid w:val="0"/>
              <w:spacing w:before="65" w:line="360" w:lineRule="auto"/>
              <w:jc w:val="left"/>
              <w:rPr>
                <w:sz w:val="24"/>
              </w:rPr>
            </w:pPr>
            <w:r>
              <w:rPr>
                <w:rFonts w:hint="eastAsia"/>
                <w:sz w:val="24"/>
              </w:rPr>
              <w:t>（十）餐饮业</w:t>
            </w:r>
          </w:p>
          <w:p w14:paraId="74F38470">
            <w:pPr>
              <w:pStyle w:val="25"/>
              <w:snapToGrid w:val="0"/>
              <w:spacing w:before="65" w:line="360" w:lineRule="auto"/>
              <w:jc w:val="left"/>
              <w:rPr>
                <w:sz w:val="24"/>
              </w:rPr>
            </w:pPr>
            <w:r>
              <w:rPr>
                <w:rFonts w:hint="eastAsia"/>
                <w:sz w:val="24"/>
              </w:rPr>
              <w:t>（十一）信息传输业</w:t>
            </w:r>
          </w:p>
          <w:p w14:paraId="2463503F">
            <w:pPr>
              <w:pStyle w:val="25"/>
              <w:snapToGrid w:val="0"/>
              <w:spacing w:before="65" w:line="360" w:lineRule="auto"/>
              <w:jc w:val="left"/>
              <w:rPr>
                <w:sz w:val="24"/>
              </w:rPr>
            </w:pPr>
            <w:r>
              <w:rPr>
                <w:rFonts w:hint="eastAsia"/>
                <w:sz w:val="24"/>
              </w:rPr>
              <w:t>（十二）软件和信息技术服务业</w:t>
            </w:r>
          </w:p>
          <w:p w14:paraId="170D5336">
            <w:pPr>
              <w:pStyle w:val="25"/>
              <w:snapToGrid w:val="0"/>
              <w:spacing w:before="66" w:line="360" w:lineRule="auto"/>
              <w:jc w:val="left"/>
              <w:rPr>
                <w:sz w:val="24"/>
              </w:rPr>
            </w:pPr>
            <w:r>
              <w:rPr>
                <w:rFonts w:hint="eastAsia"/>
                <w:sz w:val="24"/>
              </w:rPr>
              <w:t>（十三）房地产开发经营</w:t>
            </w:r>
          </w:p>
          <w:p w14:paraId="57DFE586">
            <w:pPr>
              <w:pStyle w:val="25"/>
              <w:snapToGrid w:val="0"/>
              <w:spacing w:before="65" w:line="360" w:lineRule="auto"/>
              <w:jc w:val="left"/>
              <w:rPr>
                <w:sz w:val="24"/>
              </w:rPr>
            </w:pPr>
            <w:r>
              <w:rPr>
                <w:rFonts w:hint="eastAsia"/>
                <w:sz w:val="24"/>
              </w:rPr>
              <w:t>（十四）物业管理</w:t>
            </w:r>
          </w:p>
          <w:p w14:paraId="59627605">
            <w:pPr>
              <w:pStyle w:val="25"/>
              <w:snapToGrid w:val="0"/>
              <w:spacing w:before="65" w:line="360" w:lineRule="auto"/>
              <w:jc w:val="left"/>
              <w:rPr>
                <w:sz w:val="24"/>
              </w:rPr>
            </w:pPr>
            <w:r>
              <w:rPr>
                <w:rFonts w:hint="eastAsia"/>
                <w:sz w:val="24"/>
              </w:rPr>
              <w:t>（十五）租赁和商务服务业</w:t>
            </w:r>
          </w:p>
          <w:p w14:paraId="0DBD388A">
            <w:pPr>
              <w:pStyle w:val="25"/>
              <w:snapToGrid w:val="0"/>
              <w:spacing w:before="65" w:line="360" w:lineRule="auto"/>
              <w:jc w:val="left"/>
              <w:rPr>
                <w:b/>
                <w:color w:val="000000"/>
                <w:sz w:val="24"/>
              </w:rPr>
            </w:pPr>
            <w:r>
              <w:rPr>
                <w:rFonts w:hint="eastAsia"/>
                <w:sz w:val="24"/>
              </w:rPr>
              <w:t>（十六）其他未列明行业</w:t>
            </w:r>
          </w:p>
        </w:tc>
      </w:tr>
      <w:tr w14:paraId="05E92E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3"/>
            <w:vAlign w:val="center"/>
          </w:tcPr>
          <w:p w14:paraId="366095B7">
            <w:pPr>
              <w:adjustRightInd w:val="0"/>
              <w:snapToGrid w:val="0"/>
              <w:spacing w:line="360" w:lineRule="auto"/>
              <w:jc w:val="center"/>
              <w:rPr>
                <w:rFonts w:ascii="宋体" w:hAnsi="宋体"/>
                <w:sz w:val="24"/>
              </w:rPr>
            </w:pPr>
            <w:r>
              <w:rPr>
                <w:rFonts w:hint="eastAsia" w:ascii="宋体" w:hAnsi="宋体"/>
                <w:b/>
                <w:sz w:val="24"/>
              </w:rPr>
              <w:t>六、成交结果信息公布与授予合同</w:t>
            </w:r>
          </w:p>
        </w:tc>
      </w:tr>
      <w:tr w14:paraId="18476E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20B1A1E7">
            <w:pPr>
              <w:adjustRightInd w:val="0"/>
              <w:snapToGrid w:val="0"/>
              <w:spacing w:line="360" w:lineRule="auto"/>
              <w:jc w:val="center"/>
              <w:rPr>
                <w:rFonts w:ascii="宋体" w:hAnsi="宋体"/>
                <w:sz w:val="24"/>
              </w:rPr>
            </w:pPr>
            <w:r>
              <w:rPr>
                <w:rFonts w:hint="eastAsia" w:ascii="宋体" w:hAnsi="宋体"/>
                <w:sz w:val="24"/>
              </w:rPr>
              <w:t>第二章</w:t>
            </w:r>
          </w:p>
          <w:p w14:paraId="1CD238A1">
            <w:pPr>
              <w:adjustRightInd w:val="0"/>
              <w:snapToGrid w:val="0"/>
              <w:spacing w:line="360" w:lineRule="auto"/>
              <w:jc w:val="center"/>
              <w:rPr>
                <w:rFonts w:ascii="宋体" w:hAnsi="宋体"/>
                <w:sz w:val="24"/>
              </w:rPr>
            </w:pPr>
            <w:r>
              <w:rPr>
                <w:rFonts w:hint="eastAsia" w:ascii="宋体" w:hAnsi="宋体"/>
                <w:sz w:val="24"/>
              </w:rPr>
              <w:t>第37.1款</w:t>
            </w:r>
          </w:p>
        </w:tc>
        <w:tc>
          <w:tcPr>
            <w:tcW w:w="1664" w:type="dxa"/>
            <w:vAlign w:val="center"/>
          </w:tcPr>
          <w:p w14:paraId="6F358E80">
            <w:pPr>
              <w:adjustRightInd w:val="0"/>
              <w:snapToGrid w:val="0"/>
              <w:spacing w:line="360" w:lineRule="auto"/>
              <w:jc w:val="center"/>
              <w:rPr>
                <w:rFonts w:ascii="宋体" w:hAnsi="宋体"/>
                <w:sz w:val="24"/>
              </w:rPr>
            </w:pPr>
            <w:r>
              <w:rPr>
                <w:rFonts w:hint="eastAsia" w:ascii="宋体" w:hAnsi="宋体"/>
                <w:sz w:val="24"/>
              </w:rPr>
              <w:t>本项目指定的媒体</w:t>
            </w:r>
          </w:p>
        </w:tc>
        <w:tc>
          <w:tcPr>
            <w:tcW w:w="5471" w:type="dxa"/>
            <w:vAlign w:val="center"/>
          </w:tcPr>
          <w:p w14:paraId="72CADB7E">
            <w:pPr>
              <w:adjustRightInd w:val="0"/>
              <w:snapToGrid w:val="0"/>
              <w:spacing w:line="360" w:lineRule="auto"/>
              <w:jc w:val="left"/>
              <w:rPr>
                <w:rFonts w:ascii="宋体" w:hAnsi="宋体"/>
                <w:b/>
                <w:bCs/>
                <w:sz w:val="24"/>
              </w:rPr>
            </w:pPr>
            <w:r>
              <w:rPr>
                <w:rFonts w:hint="eastAsia" w:ascii="宋体" w:hAnsi="宋体"/>
                <w:sz w:val="24"/>
              </w:rPr>
              <w:t>中国湖南政府采购网</w:t>
            </w:r>
            <w:r>
              <w:rPr>
                <w:rFonts w:hint="eastAsia" w:ascii="宋体" w:hAnsi="宋体" w:eastAsia="宋体" w:cs="宋体"/>
                <w:color w:val="auto"/>
                <w:highlight w:val="none"/>
              </w:rPr>
              <w:t>（http://www.ccgp-hunan.gov.cn/）</w:t>
            </w:r>
          </w:p>
        </w:tc>
      </w:tr>
      <w:tr w14:paraId="036B88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2FEB532C">
            <w:pPr>
              <w:adjustRightInd w:val="0"/>
              <w:snapToGrid w:val="0"/>
              <w:spacing w:line="360" w:lineRule="auto"/>
              <w:jc w:val="center"/>
              <w:rPr>
                <w:rFonts w:ascii="宋体" w:hAnsi="宋体" w:cs="宋体"/>
                <w:bCs/>
                <w:kern w:val="0"/>
                <w:sz w:val="24"/>
              </w:rPr>
            </w:pPr>
            <w:r>
              <w:rPr>
                <w:rFonts w:hint="eastAsia" w:ascii="宋体" w:hAnsi="宋体" w:cs="宋体"/>
                <w:bCs/>
                <w:kern w:val="0"/>
                <w:sz w:val="24"/>
              </w:rPr>
              <w:t>第二章</w:t>
            </w:r>
          </w:p>
          <w:p w14:paraId="712B8772">
            <w:pPr>
              <w:adjustRightInd w:val="0"/>
              <w:snapToGrid w:val="0"/>
              <w:spacing w:line="360" w:lineRule="auto"/>
              <w:jc w:val="center"/>
              <w:rPr>
                <w:rFonts w:ascii="宋体" w:hAnsi="宋体" w:cs="宋体"/>
                <w:bCs/>
                <w:kern w:val="0"/>
                <w:sz w:val="24"/>
              </w:rPr>
            </w:pPr>
            <w:r>
              <w:rPr>
                <w:rFonts w:hint="eastAsia" w:ascii="宋体" w:hAnsi="宋体" w:cs="宋体"/>
                <w:bCs/>
                <w:kern w:val="0"/>
                <w:sz w:val="24"/>
              </w:rPr>
              <w:t>第39.3款</w:t>
            </w:r>
          </w:p>
        </w:tc>
        <w:tc>
          <w:tcPr>
            <w:tcW w:w="1664" w:type="dxa"/>
            <w:vAlign w:val="center"/>
          </w:tcPr>
          <w:p w14:paraId="08B4F501">
            <w:pPr>
              <w:adjustRightInd w:val="0"/>
              <w:snapToGrid w:val="0"/>
              <w:spacing w:line="360" w:lineRule="auto"/>
              <w:jc w:val="center"/>
              <w:rPr>
                <w:rFonts w:ascii="宋体" w:hAnsi="宋体" w:cs="宋体"/>
                <w:bCs/>
                <w:kern w:val="0"/>
                <w:sz w:val="24"/>
              </w:rPr>
            </w:pPr>
            <w:r>
              <w:rPr>
                <w:rFonts w:hint="eastAsia" w:ascii="宋体" w:hAnsi="宋体" w:cs="宋体"/>
                <w:bCs/>
                <w:kern w:val="0"/>
                <w:sz w:val="24"/>
              </w:rPr>
              <w:t>履约担保</w:t>
            </w:r>
          </w:p>
        </w:tc>
        <w:tc>
          <w:tcPr>
            <w:tcW w:w="5471" w:type="dxa"/>
            <w:vAlign w:val="center"/>
          </w:tcPr>
          <w:p w14:paraId="12194E74">
            <w:pPr>
              <w:adjustRightInd w:val="0"/>
              <w:snapToGrid w:val="0"/>
              <w:spacing w:line="360" w:lineRule="auto"/>
              <w:jc w:val="left"/>
              <w:rPr>
                <w:rFonts w:ascii="宋体"/>
                <w:sz w:val="24"/>
              </w:rPr>
            </w:pPr>
            <w:r>
              <w:rPr>
                <w:rFonts w:hint="eastAsia" w:ascii="宋体" w:hAnsi="宋体"/>
                <w:sz w:val="24"/>
              </w:rPr>
              <w:t>■</w:t>
            </w:r>
            <w:r>
              <w:rPr>
                <w:rFonts w:hint="eastAsia" w:ascii="宋体"/>
                <w:sz w:val="24"/>
              </w:rPr>
              <w:t>不要求提供</w:t>
            </w:r>
          </w:p>
          <w:p w14:paraId="1AEE50C8">
            <w:pPr>
              <w:adjustRightInd w:val="0"/>
              <w:snapToGrid w:val="0"/>
              <w:spacing w:line="360" w:lineRule="auto"/>
              <w:jc w:val="left"/>
              <w:rPr>
                <w:rFonts w:ascii="宋体"/>
                <w:sz w:val="24"/>
              </w:rPr>
            </w:pPr>
            <w:r>
              <w:rPr>
                <w:rFonts w:hint="eastAsia" w:ascii="宋体"/>
                <w:sz w:val="24"/>
              </w:rPr>
              <w:t>□要求提供，履约担保的金额为：1、履约担保的金额为中标价的/%。</w:t>
            </w:r>
          </w:p>
          <w:p w14:paraId="3CA3A403">
            <w:pPr>
              <w:pStyle w:val="17"/>
              <w:snapToGrid w:val="0"/>
              <w:spacing w:line="360" w:lineRule="auto"/>
              <w:ind w:left="0" w:leftChars="0" w:firstLine="0"/>
              <w:rPr>
                <w:rFonts w:ascii="宋体"/>
                <w:sz w:val="24"/>
              </w:rPr>
            </w:pPr>
            <w:r>
              <w:rPr>
                <w:rFonts w:hint="eastAsia" w:ascii="宋体" w:hAnsi="宋体"/>
                <w:sz w:val="24"/>
              </w:rPr>
              <w:t>履约担保金额缴纳形式；银行转账</w:t>
            </w:r>
          </w:p>
        </w:tc>
      </w:tr>
      <w:tr w14:paraId="3AD91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3"/>
            <w:vAlign w:val="center"/>
          </w:tcPr>
          <w:p w14:paraId="61B11D97">
            <w:pPr>
              <w:adjustRightInd w:val="0"/>
              <w:snapToGrid w:val="0"/>
              <w:spacing w:line="360" w:lineRule="auto"/>
              <w:jc w:val="center"/>
              <w:rPr>
                <w:rFonts w:ascii="宋体" w:hAnsi="宋体"/>
                <w:b/>
                <w:sz w:val="24"/>
              </w:rPr>
            </w:pPr>
            <w:r>
              <w:rPr>
                <w:rFonts w:hint="eastAsia" w:ascii="宋体" w:hAnsi="宋体"/>
                <w:b/>
                <w:sz w:val="24"/>
              </w:rPr>
              <w:t>七、其他规定</w:t>
            </w:r>
          </w:p>
        </w:tc>
      </w:tr>
      <w:tr w14:paraId="7535F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26B3F36B">
            <w:pPr>
              <w:adjustRightInd w:val="0"/>
              <w:snapToGrid w:val="0"/>
              <w:spacing w:line="360" w:lineRule="auto"/>
              <w:jc w:val="center"/>
              <w:rPr>
                <w:rFonts w:ascii="宋体" w:hAnsi="宋体"/>
                <w:sz w:val="24"/>
              </w:rPr>
            </w:pPr>
            <w:r>
              <w:rPr>
                <w:rFonts w:hint="eastAsia" w:ascii="宋体" w:hAnsi="宋体"/>
                <w:sz w:val="24"/>
              </w:rPr>
              <w:t>第二章</w:t>
            </w:r>
          </w:p>
          <w:p w14:paraId="7C881DC7">
            <w:pPr>
              <w:adjustRightInd w:val="0"/>
              <w:snapToGrid w:val="0"/>
              <w:spacing w:line="360" w:lineRule="auto"/>
              <w:jc w:val="center"/>
              <w:rPr>
                <w:rFonts w:ascii="宋体" w:hAnsi="宋体"/>
                <w:sz w:val="24"/>
              </w:rPr>
            </w:pPr>
            <w:r>
              <w:rPr>
                <w:rFonts w:hint="eastAsia" w:ascii="宋体" w:hAnsi="宋体"/>
                <w:sz w:val="24"/>
              </w:rPr>
              <w:t>第</w:t>
            </w:r>
            <w:r>
              <w:rPr>
                <w:rFonts w:hint="eastAsia" w:ascii="宋体"/>
                <w:sz w:val="24"/>
              </w:rPr>
              <w:t>41.1</w:t>
            </w:r>
            <w:r>
              <w:rPr>
                <w:rFonts w:hint="eastAsia" w:ascii="宋体" w:hAnsi="宋体"/>
                <w:sz w:val="24"/>
              </w:rPr>
              <w:t>款</w:t>
            </w:r>
          </w:p>
        </w:tc>
        <w:tc>
          <w:tcPr>
            <w:tcW w:w="1664" w:type="dxa"/>
            <w:vAlign w:val="center"/>
          </w:tcPr>
          <w:p w14:paraId="0B1E4F6B">
            <w:pPr>
              <w:adjustRightInd w:val="0"/>
              <w:snapToGrid w:val="0"/>
              <w:spacing w:line="360" w:lineRule="auto"/>
              <w:jc w:val="center"/>
              <w:rPr>
                <w:rFonts w:ascii="宋体" w:hAnsi="宋体"/>
                <w:sz w:val="24"/>
              </w:rPr>
            </w:pPr>
            <w:r>
              <w:rPr>
                <w:rFonts w:hint="eastAsia" w:ascii="宋体" w:hAnsi="宋体"/>
                <w:sz w:val="24"/>
              </w:rPr>
              <w:t>采购代理服务费</w:t>
            </w:r>
          </w:p>
        </w:tc>
        <w:tc>
          <w:tcPr>
            <w:tcW w:w="5471" w:type="dxa"/>
            <w:vAlign w:val="center"/>
          </w:tcPr>
          <w:p w14:paraId="5DE9E45D">
            <w:pPr>
              <w:adjustRightInd w:val="0"/>
              <w:snapToGrid w:val="0"/>
              <w:spacing w:line="360" w:lineRule="auto"/>
              <w:jc w:val="left"/>
              <w:rPr>
                <w:rFonts w:hint="eastAsia" w:ascii="宋体" w:hAnsi="宋体" w:eastAsia="宋体"/>
                <w:sz w:val="24"/>
                <w:lang w:eastAsia="zh-CN"/>
              </w:rPr>
            </w:pPr>
            <w:r>
              <w:rPr>
                <w:rFonts w:hint="eastAsia" w:ascii="宋体" w:hAnsi="宋体"/>
                <w:sz w:val="24"/>
                <w:lang w:val="en-US" w:eastAsia="zh-CN"/>
              </w:rPr>
              <w:t>8640元</w:t>
            </w:r>
            <w:r>
              <w:rPr>
                <w:rFonts w:hint="eastAsia" w:ascii="宋体" w:hAnsi="宋体"/>
                <w:sz w:val="24"/>
              </w:rPr>
              <w:t>，</w:t>
            </w:r>
            <w:r>
              <w:rPr>
                <w:rFonts w:hint="eastAsia" w:ascii="宋体" w:hAnsi="宋体"/>
                <w:color w:val="auto"/>
                <w:sz w:val="24"/>
              </w:rPr>
              <w:t>代理服务费</w:t>
            </w:r>
            <w:r>
              <w:rPr>
                <w:rFonts w:hint="eastAsia" w:ascii="宋体" w:hAnsi="宋体"/>
                <w:color w:val="auto"/>
                <w:sz w:val="24"/>
                <w:lang w:val="en-US" w:eastAsia="zh-CN"/>
              </w:rPr>
              <w:t>由采购人支付。</w:t>
            </w:r>
          </w:p>
        </w:tc>
      </w:tr>
      <w:tr w14:paraId="3E8866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925" w:type="dxa"/>
            <w:vAlign w:val="center"/>
          </w:tcPr>
          <w:p w14:paraId="77E03ACD">
            <w:pPr>
              <w:adjustRightInd w:val="0"/>
              <w:snapToGrid w:val="0"/>
              <w:spacing w:line="360" w:lineRule="auto"/>
              <w:jc w:val="center"/>
              <w:rPr>
                <w:rFonts w:ascii="宋体" w:hAnsi="宋体"/>
                <w:sz w:val="24"/>
              </w:rPr>
            </w:pPr>
            <w:r>
              <w:rPr>
                <w:rFonts w:hint="eastAsia" w:ascii="宋体" w:hAnsi="宋体"/>
                <w:sz w:val="24"/>
              </w:rPr>
              <w:t>第二章</w:t>
            </w:r>
          </w:p>
          <w:p w14:paraId="7FE927A8">
            <w:pPr>
              <w:adjustRightInd w:val="0"/>
              <w:snapToGrid w:val="0"/>
              <w:spacing w:line="360" w:lineRule="auto"/>
              <w:jc w:val="center"/>
              <w:rPr>
                <w:rFonts w:ascii="宋体" w:hAnsi="宋体"/>
                <w:sz w:val="24"/>
              </w:rPr>
            </w:pPr>
            <w:r>
              <w:rPr>
                <w:rFonts w:hint="eastAsia" w:ascii="宋体" w:hAnsi="宋体"/>
                <w:sz w:val="24"/>
              </w:rPr>
              <w:t>第42.1款</w:t>
            </w:r>
          </w:p>
        </w:tc>
        <w:tc>
          <w:tcPr>
            <w:tcW w:w="1664" w:type="dxa"/>
            <w:vAlign w:val="center"/>
          </w:tcPr>
          <w:p w14:paraId="3BB77079">
            <w:pPr>
              <w:adjustRightInd w:val="0"/>
              <w:snapToGrid w:val="0"/>
              <w:spacing w:line="360" w:lineRule="auto"/>
              <w:jc w:val="center"/>
              <w:rPr>
                <w:rFonts w:ascii="宋体" w:hAnsi="宋体"/>
                <w:sz w:val="24"/>
              </w:rPr>
            </w:pPr>
            <w:r>
              <w:rPr>
                <w:rFonts w:hint="eastAsia" w:ascii="宋体" w:hAnsi="宋体"/>
                <w:sz w:val="24"/>
              </w:rPr>
              <w:t>其他规定</w:t>
            </w:r>
          </w:p>
        </w:tc>
        <w:tc>
          <w:tcPr>
            <w:tcW w:w="5471" w:type="dxa"/>
            <w:vAlign w:val="center"/>
          </w:tcPr>
          <w:p w14:paraId="73B33F9B">
            <w:pPr>
              <w:adjustRightInd w:val="0"/>
              <w:snapToGrid w:val="0"/>
              <w:spacing w:line="360" w:lineRule="auto"/>
              <w:jc w:val="left"/>
              <w:rPr>
                <w:rFonts w:hint="default" w:ascii="宋体" w:hAnsi="宋体" w:cs="宋体"/>
                <w:sz w:val="24"/>
                <w:lang w:val="en-US"/>
              </w:rPr>
            </w:pPr>
            <w:r>
              <w:rPr>
                <w:rFonts w:hint="default" w:ascii="宋体" w:hAnsi="宋体" w:cs="宋体"/>
                <w:sz w:val="24"/>
                <w:lang w:val="en-US"/>
              </w:rPr>
              <w:t>一、对列入失信被执行人、重大税收违法案件当事人名单、政府采购严重违法失信行为记录名单及其他不符合《中华人民共和国政府采购法》第二十二条规定条件的供应商，应当拒绝其参与本项目采购活动。</w:t>
            </w:r>
          </w:p>
          <w:p w14:paraId="2AFE7A92">
            <w:pPr>
              <w:adjustRightInd w:val="0"/>
              <w:snapToGrid w:val="0"/>
              <w:spacing w:line="360" w:lineRule="auto"/>
              <w:jc w:val="left"/>
              <w:rPr>
                <w:rFonts w:hint="default" w:ascii="宋体" w:hAnsi="宋体" w:cs="宋体"/>
                <w:sz w:val="24"/>
                <w:lang w:val="en-US"/>
              </w:rPr>
            </w:pPr>
            <w:r>
              <w:rPr>
                <w:rFonts w:hint="default" w:ascii="宋体" w:hAnsi="宋体" w:cs="宋体"/>
                <w:sz w:val="24"/>
                <w:lang w:val="en-US"/>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2957F9DD">
            <w:pPr>
              <w:adjustRightInd w:val="0"/>
              <w:snapToGrid w:val="0"/>
              <w:spacing w:line="360" w:lineRule="auto"/>
              <w:jc w:val="left"/>
              <w:rPr>
                <w:rFonts w:hint="default" w:ascii="宋体" w:hAnsi="宋体" w:cs="宋体"/>
                <w:sz w:val="24"/>
                <w:lang w:val="en-US"/>
              </w:rPr>
            </w:pPr>
            <w:r>
              <w:rPr>
                <w:rFonts w:hint="default" w:ascii="宋体" w:hAnsi="宋体" w:cs="宋体"/>
                <w:sz w:val="24"/>
                <w:lang w:val="en-US"/>
              </w:rPr>
              <w:t>1、信用信息查询的查询渠道：信用中国网站（www.creditchina.gov.cn）、中国政府采购网（www.ccgp.gov.cn）。</w:t>
            </w:r>
          </w:p>
          <w:p w14:paraId="06897240">
            <w:pPr>
              <w:adjustRightInd w:val="0"/>
              <w:snapToGrid w:val="0"/>
              <w:spacing w:line="360" w:lineRule="auto"/>
              <w:jc w:val="left"/>
              <w:rPr>
                <w:rFonts w:hint="default" w:ascii="宋体" w:hAnsi="宋体" w:cs="宋体"/>
                <w:sz w:val="24"/>
                <w:lang w:val="en-US"/>
              </w:rPr>
            </w:pPr>
            <w:r>
              <w:rPr>
                <w:rFonts w:hint="default" w:ascii="宋体" w:hAnsi="宋体" w:cs="宋体"/>
                <w:sz w:val="24"/>
                <w:lang w:val="en-US"/>
              </w:rPr>
              <w:t>2、信用信息查询的截止时点：至本项目投标截止时间止。</w:t>
            </w:r>
          </w:p>
          <w:p w14:paraId="3FCD1395">
            <w:pPr>
              <w:adjustRightInd w:val="0"/>
              <w:snapToGrid w:val="0"/>
              <w:spacing w:line="360" w:lineRule="auto"/>
              <w:jc w:val="left"/>
              <w:rPr>
                <w:rFonts w:hint="default" w:ascii="宋体" w:hAnsi="宋体" w:cs="宋体"/>
                <w:sz w:val="24"/>
                <w:lang w:val="en-US"/>
              </w:rPr>
            </w:pPr>
            <w:r>
              <w:rPr>
                <w:rFonts w:hint="default" w:ascii="宋体" w:hAnsi="宋体" w:cs="宋体"/>
                <w:sz w:val="24"/>
                <w:lang w:val="en-US"/>
              </w:rPr>
              <w:t>3、信用信息查询记录的具体方式：由采购人或采购代理机构在规定的查询渠道进行查询。</w:t>
            </w:r>
          </w:p>
          <w:p w14:paraId="182C8020">
            <w:pPr>
              <w:adjustRightInd w:val="0"/>
              <w:snapToGrid w:val="0"/>
              <w:spacing w:line="360" w:lineRule="auto"/>
              <w:jc w:val="left"/>
              <w:rPr>
                <w:rFonts w:hint="default" w:ascii="宋体" w:hAnsi="宋体" w:cs="宋体"/>
                <w:sz w:val="24"/>
                <w:lang w:val="en-US"/>
              </w:rPr>
            </w:pPr>
            <w:r>
              <w:rPr>
                <w:rFonts w:hint="default" w:ascii="宋体" w:hAnsi="宋体" w:cs="宋体"/>
                <w:sz w:val="24"/>
                <w:lang w:val="en-US"/>
              </w:rPr>
              <w:t>4、信用信息查询记录证据留存的具体方式：查询记录的网上打印件。</w:t>
            </w:r>
          </w:p>
          <w:p w14:paraId="5AC76C15">
            <w:pPr>
              <w:adjustRightInd w:val="0"/>
              <w:snapToGrid w:val="0"/>
              <w:spacing w:line="360" w:lineRule="auto"/>
              <w:jc w:val="left"/>
              <w:rPr>
                <w:rFonts w:hint="default" w:ascii="宋体" w:hAnsi="宋体" w:cs="宋体"/>
                <w:sz w:val="24"/>
                <w:lang w:val="en-US"/>
              </w:rPr>
            </w:pPr>
            <w:r>
              <w:rPr>
                <w:rFonts w:hint="default" w:ascii="宋体" w:hAnsi="宋体" w:cs="宋体"/>
                <w:sz w:val="24"/>
                <w:lang w:val="en-US"/>
              </w:rPr>
              <w:t>5、信用信息的使用规则：留存备查。</w:t>
            </w:r>
          </w:p>
          <w:p w14:paraId="757028E5">
            <w:pPr>
              <w:adjustRightInd w:val="0"/>
              <w:snapToGrid w:val="0"/>
              <w:spacing w:line="360" w:lineRule="auto"/>
              <w:jc w:val="left"/>
              <w:rPr>
                <w:rFonts w:hint="eastAsia" w:ascii="宋体" w:hAnsi="宋体" w:eastAsia="宋体" w:cs="宋体"/>
                <w:sz w:val="24"/>
                <w:lang w:val="en-US" w:eastAsia="zh-CN"/>
              </w:rPr>
            </w:pPr>
            <w:r>
              <w:rPr>
                <w:rFonts w:hint="eastAsia" w:ascii="宋体" w:hAnsi="宋体" w:cs="宋体"/>
                <w:sz w:val="24"/>
                <w:lang w:val="en-US" w:eastAsia="zh-CN"/>
              </w:rPr>
              <w:t>6、本项目所属行业为：其他未列明行业（投标人应根据《关于印发中小企业划型标准规定的通知》（工信部联企业〔2011〕300号）文件规定进行企业类型划分）。划型标准为（十六）其他未列明行业。从业人员300人以下的为中小微型企业。其中，从业人员100人及以上的为中型企业；从业人员10人及以上的为小型企业；从业人员10人以下的为微型企业。投标人须按上述标准如实填报企业类型，并提供有效证明材料。</w:t>
            </w:r>
          </w:p>
        </w:tc>
      </w:tr>
    </w:tbl>
    <w:p w14:paraId="6863CF01">
      <w:pPr>
        <w:adjustRightInd w:val="0"/>
        <w:snapToGrid w:val="0"/>
        <w:spacing w:line="360" w:lineRule="auto"/>
        <w:outlineLvl w:val="1"/>
        <w:rPr>
          <w:rFonts w:ascii="宋体" w:hAnsi="宋体" w:cs="宋体"/>
          <w:b/>
          <w:bCs/>
          <w:sz w:val="28"/>
          <w:szCs w:val="28"/>
        </w:rPr>
      </w:pPr>
      <w:r>
        <w:rPr>
          <w:rFonts w:hint="eastAsia" w:ascii="宋体" w:hAnsi="宋体" w:cs="宋体"/>
          <w:b/>
          <w:bCs/>
          <w:szCs w:val="21"/>
        </w:rPr>
        <w:br w:type="page"/>
      </w:r>
      <w:bookmarkStart w:id="28" w:name="_Toc9691"/>
      <w:r>
        <w:rPr>
          <w:rFonts w:hint="eastAsia" w:ascii="宋体" w:hAnsi="宋体" w:cs="宋体"/>
          <w:b/>
          <w:bCs/>
          <w:kern w:val="0"/>
          <w:sz w:val="28"/>
          <w:szCs w:val="28"/>
        </w:rPr>
        <w:t>湖南省政府采购支持中小企业融资合作银行及联系人名单</w:t>
      </w:r>
      <w:bookmarkEnd w:id="28"/>
    </w:p>
    <w:tbl>
      <w:tblPr>
        <w:tblStyle w:val="1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18"/>
        <w:gridCol w:w="1087"/>
        <w:gridCol w:w="3080"/>
        <w:gridCol w:w="2355"/>
      </w:tblGrid>
      <w:tr w14:paraId="706589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2" w:hRule="atLeast"/>
        </w:trPr>
        <w:tc>
          <w:tcPr>
            <w:tcW w:w="2718" w:type="dxa"/>
            <w:vAlign w:val="center"/>
          </w:tcPr>
          <w:p w14:paraId="5F6CE245">
            <w:pPr>
              <w:adjustRightInd w:val="0"/>
              <w:snapToGrid w:val="0"/>
              <w:spacing w:beforeLines="50" w:line="360" w:lineRule="auto"/>
              <w:jc w:val="center"/>
              <w:rPr>
                <w:rFonts w:ascii="宋体" w:hAnsi="宋体" w:cs="宋体"/>
                <w:b/>
                <w:sz w:val="24"/>
              </w:rPr>
            </w:pPr>
            <w:r>
              <w:rPr>
                <w:rFonts w:hint="eastAsia" w:ascii="宋体" w:hAnsi="宋体" w:cs="宋体"/>
                <w:b/>
                <w:bCs/>
                <w:kern w:val="0"/>
                <w:sz w:val="24"/>
              </w:rPr>
              <w:t>银行名称</w:t>
            </w:r>
          </w:p>
        </w:tc>
        <w:tc>
          <w:tcPr>
            <w:tcW w:w="1087" w:type="dxa"/>
            <w:vAlign w:val="center"/>
          </w:tcPr>
          <w:p w14:paraId="494A3B89">
            <w:pPr>
              <w:adjustRightInd w:val="0"/>
              <w:snapToGrid w:val="0"/>
              <w:spacing w:beforeLines="50" w:line="360" w:lineRule="auto"/>
              <w:jc w:val="center"/>
              <w:rPr>
                <w:rFonts w:ascii="宋体" w:hAnsi="宋体" w:cs="宋体"/>
                <w:b/>
                <w:sz w:val="24"/>
              </w:rPr>
            </w:pPr>
            <w:r>
              <w:rPr>
                <w:rFonts w:hint="eastAsia" w:ascii="宋体" w:hAnsi="宋体" w:cs="宋体"/>
                <w:b/>
                <w:bCs/>
                <w:kern w:val="0"/>
                <w:sz w:val="24"/>
              </w:rPr>
              <w:t>联系人</w:t>
            </w:r>
          </w:p>
        </w:tc>
        <w:tc>
          <w:tcPr>
            <w:tcW w:w="3080" w:type="dxa"/>
            <w:vAlign w:val="center"/>
          </w:tcPr>
          <w:p w14:paraId="58CA8D17">
            <w:pPr>
              <w:adjustRightInd w:val="0"/>
              <w:snapToGrid w:val="0"/>
              <w:spacing w:beforeLines="50" w:line="360" w:lineRule="auto"/>
              <w:jc w:val="center"/>
              <w:rPr>
                <w:rFonts w:ascii="宋体" w:hAnsi="宋体" w:cs="宋体"/>
                <w:b/>
                <w:sz w:val="24"/>
              </w:rPr>
            </w:pPr>
            <w:r>
              <w:rPr>
                <w:rFonts w:hint="eastAsia" w:ascii="宋体" w:hAnsi="宋体" w:cs="宋体"/>
                <w:b/>
                <w:bCs/>
                <w:kern w:val="0"/>
                <w:sz w:val="24"/>
              </w:rPr>
              <w:t>职 务</w:t>
            </w:r>
          </w:p>
        </w:tc>
        <w:tc>
          <w:tcPr>
            <w:tcW w:w="2355" w:type="dxa"/>
            <w:vAlign w:val="center"/>
          </w:tcPr>
          <w:p w14:paraId="766581D1">
            <w:pPr>
              <w:adjustRightInd w:val="0"/>
              <w:snapToGrid w:val="0"/>
              <w:spacing w:beforeLines="50" w:line="360" w:lineRule="auto"/>
              <w:jc w:val="center"/>
              <w:rPr>
                <w:rFonts w:ascii="宋体" w:hAnsi="宋体" w:cs="宋体"/>
                <w:b/>
                <w:sz w:val="24"/>
              </w:rPr>
            </w:pPr>
            <w:r>
              <w:rPr>
                <w:rFonts w:hint="eastAsia" w:ascii="宋体" w:hAnsi="宋体" w:cs="宋体"/>
                <w:b/>
                <w:bCs/>
                <w:kern w:val="0"/>
                <w:sz w:val="24"/>
              </w:rPr>
              <w:t>联系电话</w:t>
            </w:r>
          </w:p>
        </w:tc>
      </w:tr>
      <w:tr w14:paraId="1CF79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2718" w:type="dxa"/>
            <w:vAlign w:val="center"/>
          </w:tcPr>
          <w:p w14:paraId="5A27ECC9">
            <w:pPr>
              <w:pStyle w:val="15"/>
              <w:ind w:firstLine="420"/>
              <w:jc w:val="center"/>
            </w:pPr>
            <w:r>
              <w:rPr>
                <w:rFonts w:hint="eastAsia"/>
              </w:rPr>
              <w:t>交通银行湖南省分行</w:t>
            </w:r>
          </w:p>
        </w:tc>
        <w:tc>
          <w:tcPr>
            <w:tcW w:w="1087" w:type="dxa"/>
            <w:vAlign w:val="center"/>
          </w:tcPr>
          <w:p w14:paraId="75AE0E7D">
            <w:pPr>
              <w:pStyle w:val="15"/>
              <w:jc w:val="center"/>
            </w:pPr>
            <w:r>
              <w:rPr>
                <w:rFonts w:hint="eastAsia"/>
              </w:rPr>
              <w:t>谢俊峰</w:t>
            </w:r>
          </w:p>
        </w:tc>
        <w:tc>
          <w:tcPr>
            <w:tcW w:w="3080" w:type="dxa"/>
            <w:vAlign w:val="center"/>
          </w:tcPr>
          <w:p w14:paraId="70E1304B">
            <w:pPr>
              <w:pStyle w:val="15"/>
              <w:jc w:val="center"/>
            </w:pPr>
            <w:r>
              <w:rPr>
                <w:rFonts w:hint="eastAsia"/>
              </w:rPr>
              <w:t>湘江中路支行公司</w:t>
            </w:r>
          </w:p>
          <w:p w14:paraId="53A6B95F">
            <w:pPr>
              <w:pStyle w:val="15"/>
              <w:jc w:val="center"/>
            </w:pPr>
            <w:r>
              <w:rPr>
                <w:rFonts w:hint="eastAsia"/>
              </w:rPr>
              <w:t>业务管理经理</w:t>
            </w:r>
          </w:p>
        </w:tc>
        <w:tc>
          <w:tcPr>
            <w:tcW w:w="2355" w:type="dxa"/>
            <w:vAlign w:val="center"/>
          </w:tcPr>
          <w:p w14:paraId="080ED6E6">
            <w:pPr>
              <w:pStyle w:val="15"/>
              <w:jc w:val="center"/>
            </w:pPr>
            <w:r>
              <w:rPr>
                <w:rFonts w:hint="eastAsia"/>
              </w:rPr>
              <w:t>84919503；13687320956</w:t>
            </w:r>
          </w:p>
        </w:tc>
      </w:tr>
      <w:tr w14:paraId="18D164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2718" w:type="dxa"/>
            <w:vAlign w:val="center"/>
          </w:tcPr>
          <w:p w14:paraId="22FB1A64">
            <w:pPr>
              <w:pStyle w:val="15"/>
              <w:ind w:firstLine="420"/>
              <w:jc w:val="center"/>
            </w:pPr>
            <w:r>
              <w:rPr>
                <w:rFonts w:hint="eastAsia"/>
              </w:rPr>
              <w:t>光大银行长沙分行</w:t>
            </w:r>
          </w:p>
        </w:tc>
        <w:tc>
          <w:tcPr>
            <w:tcW w:w="1087" w:type="dxa"/>
            <w:vAlign w:val="center"/>
          </w:tcPr>
          <w:p w14:paraId="77A28E18">
            <w:pPr>
              <w:pStyle w:val="15"/>
              <w:jc w:val="center"/>
            </w:pPr>
            <w:r>
              <w:rPr>
                <w:rFonts w:hint="eastAsia"/>
              </w:rPr>
              <w:t>唐红英</w:t>
            </w:r>
          </w:p>
        </w:tc>
        <w:tc>
          <w:tcPr>
            <w:tcW w:w="3080" w:type="dxa"/>
            <w:vAlign w:val="center"/>
          </w:tcPr>
          <w:p w14:paraId="0A583D97">
            <w:pPr>
              <w:pStyle w:val="15"/>
              <w:jc w:val="center"/>
            </w:pPr>
            <w:r>
              <w:rPr>
                <w:rFonts w:hint="eastAsia"/>
              </w:rPr>
              <w:t>溁湾支行行长</w:t>
            </w:r>
          </w:p>
        </w:tc>
        <w:tc>
          <w:tcPr>
            <w:tcW w:w="2355" w:type="dxa"/>
            <w:vAlign w:val="center"/>
          </w:tcPr>
          <w:p w14:paraId="5CBE0EC6">
            <w:pPr>
              <w:pStyle w:val="15"/>
              <w:jc w:val="center"/>
            </w:pPr>
            <w:r>
              <w:rPr>
                <w:rFonts w:hint="eastAsia"/>
              </w:rPr>
              <w:t>89750053；18673166920</w:t>
            </w:r>
          </w:p>
        </w:tc>
      </w:tr>
      <w:tr w14:paraId="20B1E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2718" w:type="dxa"/>
            <w:vAlign w:val="center"/>
          </w:tcPr>
          <w:p w14:paraId="1431956E">
            <w:pPr>
              <w:pStyle w:val="15"/>
              <w:ind w:firstLine="420"/>
              <w:jc w:val="center"/>
            </w:pPr>
            <w:r>
              <w:rPr>
                <w:rFonts w:hint="eastAsia"/>
              </w:rPr>
              <w:t>建设银行湖南省分行</w:t>
            </w:r>
          </w:p>
        </w:tc>
        <w:tc>
          <w:tcPr>
            <w:tcW w:w="1087" w:type="dxa"/>
            <w:vAlign w:val="center"/>
          </w:tcPr>
          <w:p w14:paraId="31EB9CE3">
            <w:pPr>
              <w:pStyle w:val="15"/>
              <w:jc w:val="center"/>
            </w:pPr>
            <w:r>
              <w:rPr>
                <w:rFonts w:hint="eastAsia"/>
              </w:rPr>
              <w:t>颜国恒</w:t>
            </w:r>
          </w:p>
        </w:tc>
        <w:tc>
          <w:tcPr>
            <w:tcW w:w="3080" w:type="dxa"/>
            <w:vAlign w:val="center"/>
          </w:tcPr>
          <w:p w14:paraId="4F179FBD">
            <w:pPr>
              <w:pStyle w:val="15"/>
              <w:jc w:val="center"/>
            </w:pPr>
            <w:r>
              <w:rPr>
                <w:rFonts w:hint="eastAsia"/>
              </w:rPr>
              <w:t>芙蓉中路支行</w:t>
            </w:r>
          </w:p>
        </w:tc>
        <w:tc>
          <w:tcPr>
            <w:tcW w:w="2355" w:type="dxa"/>
            <w:vAlign w:val="center"/>
          </w:tcPr>
          <w:p w14:paraId="6C5DB780">
            <w:pPr>
              <w:pStyle w:val="15"/>
              <w:jc w:val="center"/>
            </w:pPr>
            <w:r>
              <w:rPr>
                <w:rFonts w:hint="eastAsia"/>
              </w:rPr>
              <w:t>88665238；13574801920</w:t>
            </w:r>
          </w:p>
        </w:tc>
      </w:tr>
      <w:tr w14:paraId="25EB4A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2718" w:type="dxa"/>
            <w:vAlign w:val="center"/>
          </w:tcPr>
          <w:p w14:paraId="71E27434">
            <w:pPr>
              <w:pStyle w:val="15"/>
              <w:ind w:firstLine="420"/>
              <w:jc w:val="center"/>
            </w:pPr>
            <w:r>
              <w:rPr>
                <w:rFonts w:hint="eastAsia"/>
              </w:rPr>
              <w:t>农业银行湖南省分行</w:t>
            </w:r>
          </w:p>
        </w:tc>
        <w:tc>
          <w:tcPr>
            <w:tcW w:w="1087" w:type="dxa"/>
            <w:vAlign w:val="center"/>
          </w:tcPr>
          <w:p w14:paraId="2F7383C7">
            <w:pPr>
              <w:pStyle w:val="15"/>
              <w:jc w:val="center"/>
            </w:pPr>
            <w:r>
              <w:rPr>
                <w:rFonts w:hint="eastAsia"/>
              </w:rPr>
              <w:t>李宁</w:t>
            </w:r>
          </w:p>
        </w:tc>
        <w:tc>
          <w:tcPr>
            <w:tcW w:w="3080" w:type="dxa"/>
            <w:vAlign w:val="center"/>
          </w:tcPr>
          <w:p w14:paraId="4FD72ABD">
            <w:pPr>
              <w:pStyle w:val="15"/>
              <w:jc w:val="center"/>
            </w:pPr>
            <w:r>
              <w:rPr>
                <w:rFonts w:hint="eastAsia"/>
              </w:rPr>
              <w:t>天心区支行副行长</w:t>
            </w:r>
          </w:p>
        </w:tc>
        <w:tc>
          <w:tcPr>
            <w:tcW w:w="2355" w:type="dxa"/>
            <w:vAlign w:val="center"/>
          </w:tcPr>
          <w:p w14:paraId="35CED26A">
            <w:pPr>
              <w:pStyle w:val="15"/>
              <w:jc w:val="center"/>
            </w:pPr>
            <w:r>
              <w:rPr>
                <w:rFonts w:hint="eastAsia"/>
              </w:rPr>
              <w:t>85114839；13975813058</w:t>
            </w:r>
          </w:p>
        </w:tc>
      </w:tr>
      <w:tr w14:paraId="59F7E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2718" w:type="dxa"/>
            <w:vAlign w:val="center"/>
          </w:tcPr>
          <w:p w14:paraId="67D92F75">
            <w:pPr>
              <w:pStyle w:val="15"/>
              <w:ind w:firstLine="420"/>
              <w:jc w:val="center"/>
            </w:pPr>
            <w:r>
              <w:rPr>
                <w:rFonts w:hint="eastAsia"/>
              </w:rPr>
              <w:t>中国银行湖南省分行</w:t>
            </w:r>
          </w:p>
        </w:tc>
        <w:tc>
          <w:tcPr>
            <w:tcW w:w="1087" w:type="dxa"/>
            <w:vAlign w:val="center"/>
          </w:tcPr>
          <w:p w14:paraId="4E0057F5">
            <w:pPr>
              <w:pStyle w:val="15"/>
              <w:jc w:val="center"/>
            </w:pPr>
            <w:r>
              <w:rPr>
                <w:rFonts w:hint="eastAsia"/>
              </w:rPr>
              <w:t>刘毅</w:t>
            </w:r>
          </w:p>
        </w:tc>
        <w:tc>
          <w:tcPr>
            <w:tcW w:w="3080" w:type="dxa"/>
            <w:vAlign w:val="center"/>
          </w:tcPr>
          <w:p w14:paraId="571B4EF7">
            <w:pPr>
              <w:pStyle w:val="15"/>
              <w:jc w:val="center"/>
            </w:pPr>
            <w:r>
              <w:rPr>
                <w:rFonts w:hint="eastAsia"/>
              </w:rPr>
              <w:t>丽臣路支行行长</w:t>
            </w:r>
          </w:p>
        </w:tc>
        <w:tc>
          <w:tcPr>
            <w:tcW w:w="2355" w:type="dxa"/>
            <w:vAlign w:val="center"/>
          </w:tcPr>
          <w:p w14:paraId="056F49A6">
            <w:pPr>
              <w:pStyle w:val="15"/>
              <w:jc w:val="center"/>
            </w:pPr>
            <w:r>
              <w:rPr>
                <w:rFonts w:hint="eastAsia"/>
              </w:rPr>
              <w:t>82741897；13808436058</w:t>
            </w:r>
          </w:p>
        </w:tc>
      </w:tr>
      <w:tr w14:paraId="4E778F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2718" w:type="dxa"/>
            <w:vAlign w:val="center"/>
          </w:tcPr>
          <w:p w14:paraId="571482B2">
            <w:pPr>
              <w:pStyle w:val="15"/>
              <w:ind w:firstLine="420"/>
              <w:jc w:val="center"/>
            </w:pPr>
            <w:r>
              <w:rPr>
                <w:rFonts w:hint="eastAsia"/>
              </w:rPr>
              <w:t>长沙银行</w:t>
            </w:r>
          </w:p>
        </w:tc>
        <w:tc>
          <w:tcPr>
            <w:tcW w:w="1087" w:type="dxa"/>
            <w:vAlign w:val="center"/>
          </w:tcPr>
          <w:p w14:paraId="1769F2E5">
            <w:pPr>
              <w:pStyle w:val="15"/>
              <w:jc w:val="center"/>
            </w:pPr>
            <w:r>
              <w:rPr>
                <w:rFonts w:hint="eastAsia"/>
              </w:rPr>
              <w:t>廖科</w:t>
            </w:r>
          </w:p>
        </w:tc>
        <w:tc>
          <w:tcPr>
            <w:tcW w:w="3080" w:type="dxa"/>
            <w:vAlign w:val="center"/>
          </w:tcPr>
          <w:p w14:paraId="3180D597">
            <w:pPr>
              <w:pStyle w:val="15"/>
              <w:jc w:val="center"/>
            </w:pPr>
            <w:r>
              <w:rPr>
                <w:rFonts w:hint="eastAsia"/>
              </w:rPr>
              <w:t>金城支行公司业务部总经理</w:t>
            </w:r>
          </w:p>
        </w:tc>
        <w:tc>
          <w:tcPr>
            <w:tcW w:w="2355" w:type="dxa"/>
            <w:vAlign w:val="center"/>
          </w:tcPr>
          <w:p w14:paraId="4BB6ABFC">
            <w:pPr>
              <w:pStyle w:val="15"/>
              <w:jc w:val="center"/>
            </w:pPr>
            <w:r>
              <w:rPr>
                <w:rFonts w:hint="eastAsia"/>
              </w:rPr>
              <w:t>84413595；13707319275</w:t>
            </w:r>
          </w:p>
        </w:tc>
      </w:tr>
      <w:tr w14:paraId="0351E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2718" w:type="dxa"/>
            <w:vAlign w:val="center"/>
          </w:tcPr>
          <w:p w14:paraId="7F7137E5">
            <w:pPr>
              <w:pStyle w:val="15"/>
              <w:ind w:firstLine="420"/>
              <w:jc w:val="center"/>
            </w:pPr>
            <w:r>
              <w:rPr>
                <w:rFonts w:hint="eastAsia"/>
              </w:rPr>
              <w:t>邮储银行长沙分行</w:t>
            </w:r>
          </w:p>
        </w:tc>
        <w:tc>
          <w:tcPr>
            <w:tcW w:w="1087" w:type="dxa"/>
            <w:vAlign w:val="center"/>
          </w:tcPr>
          <w:p w14:paraId="606A1D47">
            <w:pPr>
              <w:pStyle w:val="15"/>
              <w:jc w:val="center"/>
            </w:pPr>
            <w:r>
              <w:rPr>
                <w:rFonts w:hint="eastAsia"/>
              </w:rPr>
              <w:t>严春燕</w:t>
            </w:r>
          </w:p>
        </w:tc>
        <w:tc>
          <w:tcPr>
            <w:tcW w:w="3080" w:type="dxa"/>
            <w:vAlign w:val="center"/>
          </w:tcPr>
          <w:p w14:paraId="35702D82">
            <w:pPr>
              <w:pStyle w:val="15"/>
              <w:jc w:val="center"/>
            </w:pPr>
            <w:r>
              <w:rPr>
                <w:rFonts w:hint="eastAsia"/>
              </w:rPr>
              <w:t>岳麓支行副行长</w:t>
            </w:r>
          </w:p>
        </w:tc>
        <w:tc>
          <w:tcPr>
            <w:tcW w:w="2355" w:type="dxa"/>
            <w:vAlign w:val="center"/>
          </w:tcPr>
          <w:p w14:paraId="4E622BA6">
            <w:pPr>
              <w:pStyle w:val="15"/>
              <w:jc w:val="center"/>
            </w:pPr>
            <w:r>
              <w:rPr>
                <w:rFonts w:hint="eastAsia"/>
              </w:rPr>
              <w:t>85579459；13875864330</w:t>
            </w:r>
          </w:p>
        </w:tc>
      </w:tr>
    </w:tbl>
    <w:p w14:paraId="23C1C02C">
      <w:pPr>
        <w:adjustRightInd w:val="0"/>
        <w:snapToGrid w:val="0"/>
        <w:spacing w:line="360" w:lineRule="auto"/>
        <w:rPr>
          <w:rFonts w:ascii="宋体" w:hAnsi="宋体" w:cs="宋体"/>
          <w:b/>
          <w:bCs/>
          <w:szCs w:val="21"/>
        </w:rPr>
      </w:pPr>
    </w:p>
    <w:p w14:paraId="3AA50170">
      <w:pPr>
        <w:adjustRightInd w:val="0"/>
        <w:snapToGrid w:val="0"/>
        <w:spacing w:line="360" w:lineRule="auto"/>
        <w:rPr>
          <w:rFonts w:ascii="宋体" w:hAnsi="宋体" w:cs="宋体"/>
          <w:b/>
          <w:bCs/>
          <w:szCs w:val="21"/>
        </w:rPr>
      </w:pPr>
    </w:p>
    <w:p w14:paraId="24DE43E4">
      <w:pPr>
        <w:adjustRightInd w:val="0"/>
        <w:snapToGrid w:val="0"/>
        <w:spacing w:line="360" w:lineRule="auto"/>
        <w:rPr>
          <w:rFonts w:ascii="宋体" w:hAnsi="宋体" w:cs="宋体"/>
          <w:b/>
          <w:bCs/>
          <w:szCs w:val="21"/>
        </w:rPr>
      </w:pPr>
    </w:p>
    <w:p w14:paraId="66B7AEC0">
      <w:pPr>
        <w:adjustRightInd w:val="0"/>
        <w:snapToGrid w:val="0"/>
        <w:spacing w:line="360" w:lineRule="auto"/>
        <w:outlineLvl w:val="1"/>
        <w:rPr>
          <w:rFonts w:ascii="宋体" w:hAnsi="宋体" w:cs="宋体"/>
          <w:b/>
          <w:bCs/>
          <w:sz w:val="28"/>
          <w:szCs w:val="28"/>
        </w:rPr>
      </w:pPr>
      <w:bookmarkStart w:id="29" w:name="_Toc29577"/>
      <w:r>
        <w:rPr>
          <w:rFonts w:hint="eastAsia" w:ascii="宋体" w:hAnsi="宋体" w:cs="宋体"/>
          <w:b/>
          <w:bCs/>
          <w:kern w:val="0"/>
          <w:sz w:val="28"/>
          <w:szCs w:val="28"/>
        </w:rPr>
        <w:t>湖南省政府采购信用担保试点工作的</w:t>
      </w:r>
      <w:r>
        <w:rPr>
          <w:rFonts w:hint="eastAsia" w:ascii="宋体" w:hAnsi="宋体" w:cs="宋体"/>
          <w:b/>
          <w:sz w:val="28"/>
          <w:szCs w:val="28"/>
        </w:rPr>
        <w:t>信用担保机构名单</w:t>
      </w:r>
      <w:bookmarkEnd w:id="29"/>
    </w:p>
    <w:tbl>
      <w:tblPr>
        <w:tblStyle w:val="18"/>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6D984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vAlign w:val="center"/>
          </w:tcPr>
          <w:p w14:paraId="1F899BA7">
            <w:pPr>
              <w:adjustRightInd w:val="0"/>
              <w:snapToGrid w:val="0"/>
              <w:spacing w:line="240" w:lineRule="exact"/>
              <w:jc w:val="center"/>
              <w:rPr>
                <w:rFonts w:ascii="宋体" w:hAnsi="宋体" w:cs="宋体"/>
                <w:b/>
                <w:bCs/>
                <w:kern w:val="0"/>
                <w:sz w:val="24"/>
              </w:rPr>
            </w:pPr>
            <w:r>
              <w:rPr>
                <w:rFonts w:hint="eastAsia" w:ascii="宋体" w:hAnsi="宋体" w:cs="宋体"/>
                <w:b/>
                <w:sz w:val="24"/>
              </w:rPr>
              <w:t>信用担保机构</w:t>
            </w:r>
          </w:p>
        </w:tc>
        <w:tc>
          <w:tcPr>
            <w:tcW w:w="1080" w:type="dxa"/>
            <w:vAlign w:val="center"/>
          </w:tcPr>
          <w:p w14:paraId="5B593C5F">
            <w:pPr>
              <w:adjustRightInd w:val="0"/>
              <w:snapToGrid w:val="0"/>
              <w:spacing w:line="240" w:lineRule="exact"/>
              <w:jc w:val="center"/>
              <w:rPr>
                <w:rFonts w:ascii="宋体" w:hAnsi="宋体" w:cs="宋体"/>
                <w:b/>
                <w:bCs/>
                <w:kern w:val="0"/>
                <w:sz w:val="24"/>
              </w:rPr>
            </w:pPr>
            <w:r>
              <w:rPr>
                <w:rFonts w:hint="eastAsia" w:ascii="宋体" w:hAnsi="宋体" w:cs="宋体"/>
                <w:b/>
                <w:sz w:val="24"/>
              </w:rPr>
              <w:t>联系人</w:t>
            </w:r>
          </w:p>
        </w:tc>
        <w:tc>
          <w:tcPr>
            <w:tcW w:w="3780" w:type="dxa"/>
            <w:vAlign w:val="center"/>
          </w:tcPr>
          <w:p w14:paraId="1E63602C">
            <w:pPr>
              <w:adjustRightInd w:val="0"/>
              <w:snapToGrid w:val="0"/>
              <w:spacing w:line="240" w:lineRule="exact"/>
              <w:jc w:val="center"/>
              <w:rPr>
                <w:rFonts w:ascii="宋体" w:hAnsi="宋体" w:cs="宋体"/>
                <w:b/>
                <w:bCs/>
                <w:kern w:val="0"/>
                <w:sz w:val="24"/>
              </w:rPr>
            </w:pPr>
            <w:r>
              <w:rPr>
                <w:rFonts w:hint="eastAsia" w:ascii="宋体" w:hAnsi="宋体" w:cs="宋体"/>
                <w:b/>
                <w:sz w:val="24"/>
              </w:rPr>
              <w:t>联系电话</w:t>
            </w:r>
          </w:p>
        </w:tc>
      </w:tr>
      <w:tr w14:paraId="7DD956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vAlign w:val="center"/>
          </w:tcPr>
          <w:p w14:paraId="3B0DB512">
            <w:pPr>
              <w:adjustRightInd w:val="0"/>
              <w:snapToGrid w:val="0"/>
              <w:spacing w:line="360" w:lineRule="auto"/>
              <w:jc w:val="left"/>
              <w:rPr>
                <w:rFonts w:ascii="宋体" w:hAnsi="宋体" w:cs="宋体"/>
                <w:bCs/>
                <w:kern w:val="0"/>
                <w:sz w:val="24"/>
              </w:rPr>
            </w:pPr>
            <w:r>
              <w:rPr>
                <w:rFonts w:hint="eastAsia" w:ascii="宋体" w:hAnsi="宋体" w:cs="宋体"/>
                <w:sz w:val="24"/>
              </w:rPr>
              <w:t>中国投资担保公司</w:t>
            </w:r>
          </w:p>
        </w:tc>
        <w:tc>
          <w:tcPr>
            <w:tcW w:w="1080" w:type="dxa"/>
            <w:vAlign w:val="center"/>
          </w:tcPr>
          <w:p w14:paraId="7BAE325F">
            <w:pPr>
              <w:adjustRightInd w:val="0"/>
              <w:snapToGrid w:val="0"/>
              <w:spacing w:line="360" w:lineRule="auto"/>
              <w:jc w:val="center"/>
              <w:rPr>
                <w:rFonts w:ascii="宋体" w:hAnsi="宋体" w:cs="宋体"/>
                <w:bCs/>
                <w:kern w:val="0"/>
                <w:sz w:val="24"/>
              </w:rPr>
            </w:pPr>
            <w:r>
              <w:rPr>
                <w:rFonts w:hint="eastAsia" w:ascii="宋体" w:hAnsi="宋体" w:cs="宋体"/>
                <w:sz w:val="24"/>
              </w:rPr>
              <w:t>何嘉</w:t>
            </w:r>
          </w:p>
        </w:tc>
        <w:tc>
          <w:tcPr>
            <w:tcW w:w="3780" w:type="dxa"/>
            <w:vAlign w:val="center"/>
          </w:tcPr>
          <w:p w14:paraId="5FF86CBF">
            <w:pPr>
              <w:adjustRightInd w:val="0"/>
              <w:snapToGrid w:val="0"/>
              <w:spacing w:line="360" w:lineRule="auto"/>
              <w:jc w:val="left"/>
              <w:rPr>
                <w:rFonts w:ascii="宋体" w:hAnsi="宋体" w:cs="宋体"/>
                <w:bCs/>
                <w:kern w:val="0"/>
                <w:sz w:val="24"/>
              </w:rPr>
            </w:pPr>
            <w:r>
              <w:rPr>
                <w:rFonts w:hint="eastAsia" w:ascii="宋体" w:hAnsi="宋体" w:cs="宋体"/>
                <w:sz w:val="24"/>
              </w:rPr>
              <w:t>010-88822659/13718642233</w:t>
            </w:r>
          </w:p>
        </w:tc>
      </w:tr>
      <w:tr w14:paraId="2D18D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vAlign w:val="center"/>
          </w:tcPr>
          <w:p w14:paraId="7F80F482">
            <w:pPr>
              <w:adjustRightInd w:val="0"/>
              <w:snapToGrid w:val="0"/>
              <w:spacing w:line="360" w:lineRule="auto"/>
              <w:jc w:val="left"/>
              <w:rPr>
                <w:rFonts w:ascii="宋体" w:hAnsi="宋体" w:cs="宋体"/>
                <w:bCs/>
                <w:kern w:val="0"/>
                <w:sz w:val="24"/>
              </w:rPr>
            </w:pPr>
            <w:r>
              <w:rPr>
                <w:rFonts w:hint="eastAsia" w:ascii="宋体" w:hAnsi="宋体" w:cs="宋体"/>
                <w:sz w:val="24"/>
              </w:rPr>
              <w:t>湖南省中小企业信用担保有限责任公司</w:t>
            </w:r>
          </w:p>
        </w:tc>
        <w:tc>
          <w:tcPr>
            <w:tcW w:w="1080" w:type="dxa"/>
            <w:vAlign w:val="center"/>
          </w:tcPr>
          <w:p w14:paraId="64B748BF">
            <w:pPr>
              <w:adjustRightInd w:val="0"/>
              <w:snapToGrid w:val="0"/>
              <w:spacing w:line="360" w:lineRule="auto"/>
              <w:jc w:val="center"/>
              <w:rPr>
                <w:rFonts w:ascii="宋体" w:hAnsi="宋体" w:cs="宋体"/>
                <w:bCs/>
                <w:kern w:val="0"/>
                <w:sz w:val="24"/>
              </w:rPr>
            </w:pPr>
            <w:r>
              <w:rPr>
                <w:rFonts w:hint="eastAsia" w:ascii="宋体" w:hAnsi="宋体" w:cs="宋体"/>
                <w:sz w:val="24"/>
              </w:rPr>
              <w:t>蔡建雄</w:t>
            </w:r>
          </w:p>
        </w:tc>
        <w:tc>
          <w:tcPr>
            <w:tcW w:w="3780" w:type="dxa"/>
            <w:vAlign w:val="center"/>
          </w:tcPr>
          <w:p w14:paraId="1F0D3373">
            <w:pPr>
              <w:adjustRightInd w:val="0"/>
              <w:snapToGrid w:val="0"/>
              <w:spacing w:line="360" w:lineRule="auto"/>
              <w:jc w:val="left"/>
              <w:rPr>
                <w:rFonts w:ascii="宋体" w:hAnsi="宋体" w:cs="宋体"/>
                <w:bCs/>
                <w:kern w:val="0"/>
                <w:sz w:val="24"/>
              </w:rPr>
            </w:pPr>
            <w:r>
              <w:rPr>
                <w:rFonts w:hint="eastAsia" w:ascii="宋体" w:hAnsi="宋体" w:cs="宋体"/>
                <w:sz w:val="24"/>
              </w:rPr>
              <w:t>0731-84172390-201/15573193555</w:t>
            </w:r>
          </w:p>
        </w:tc>
      </w:tr>
      <w:tr w14:paraId="17B57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vAlign w:val="center"/>
          </w:tcPr>
          <w:p w14:paraId="6D991BB1">
            <w:pPr>
              <w:adjustRightInd w:val="0"/>
              <w:snapToGrid w:val="0"/>
              <w:spacing w:line="360" w:lineRule="auto"/>
              <w:rPr>
                <w:rFonts w:ascii="宋体" w:hAnsi="宋体" w:cs="宋体"/>
                <w:sz w:val="24"/>
              </w:rPr>
            </w:pPr>
            <w:r>
              <w:rPr>
                <w:rFonts w:hint="eastAsia" w:ascii="宋体" w:hAnsi="宋体" w:cs="宋体"/>
                <w:sz w:val="24"/>
              </w:rPr>
              <w:t>湖南农业信用担保有限公司</w:t>
            </w:r>
          </w:p>
        </w:tc>
        <w:tc>
          <w:tcPr>
            <w:tcW w:w="1080" w:type="dxa"/>
            <w:vAlign w:val="center"/>
          </w:tcPr>
          <w:p w14:paraId="5CE2B63C">
            <w:pPr>
              <w:adjustRightInd w:val="0"/>
              <w:snapToGrid w:val="0"/>
              <w:spacing w:line="360" w:lineRule="auto"/>
              <w:jc w:val="center"/>
              <w:rPr>
                <w:rFonts w:ascii="宋体" w:hAnsi="宋体" w:cs="宋体"/>
                <w:sz w:val="24"/>
              </w:rPr>
            </w:pPr>
            <w:r>
              <w:rPr>
                <w:rFonts w:hint="eastAsia" w:ascii="宋体" w:hAnsi="宋体" w:cs="宋体"/>
                <w:sz w:val="24"/>
              </w:rPr>
              <w:t>彭球</w:t>
            </w:r>
          </w:p>
          <w:p w14:paraId="297B4F37">
            <w:pPr>
              <w:adjustRightInd w:val="0"/>
              <w:snapToGrid w:val="0"/>
              <w:spacing w:line="360" w:lineRule="auto"/>
              <w:jc w:val="center"/>
              <w:rPr>
                <w:rFonts w:ascii="宋体" w:hAnsi="宋体" w:cs="宋体"/>
                <w:bCs/>
                <w:kern w:val="0"/>
                <w:sz w:val="24"/>
              </w:rPr>
            </w:pPr>
            <w:r>
              <w:rPr>
                <w:rFonts w:hint="eastAsia" w:ascii="宋体" w:hAnsi="宋体" w:cs="宋体"/>
                <w:sz w:val="24"/>
              </w:rPr>
              <w:t>邓霞英</w:t>
            </w:r>
          </w:p>
        </w:tc>
        <w:tc>
          <w:tcPr>
            <w:tcW w:w="3780" w:type="dxa"/>
            <w:vAlign w:val="center"/>
          </w:tcPr>
          <w:p w14:paraId="3479BCC6">
            <w:pPr>
              <w:adjustRightInd w:val="0"/>
              <w:snapToGrid w:val="0"/>
              <w:spacing w:line="360" w:lineRule="auto"/>
              <w:jc w:val="left"/>
              <w:rPr>
                <w:rFonts w:ascii="宋体" w:hAnsi="宋体" w:cs="宋体"/>
                <w:bCs/>
                <w:kern w:val="0"/>
                <w:sz w:val="24"/>
              </w:rPr>
            </w:pPr>
            <w:r>
              <w:rPr>
                <w:rFonts w:hint="eastAsia" w:ascii="宋体" w:hAnsi="宋体" w:cs="宋体"/>
                <w:sz w:val="24"/>
              </w:rPr>
              <w:t>0731-89761702/13875980906 0731-89761706/13574125851</w:t>
            </w:r>
          </w:p>
        </w:tc>
      </w:tr>
    </w:tbl>
    <w:p w14:paraId="5E704F60">
      <w:pPr>
        <w:adjustRightInd w:val="0"/>
        <w:snapToGrid w:val="0"/>
        <w:spacing w:line="360" w:lineRule="auto"/>
        <w:rPr>
          <w:rFonts w:ascii="宋体" w:hAnsi="宋体" w:cs="宋体"/>
          <w:b/>
          <w:szCs w:val="21"/>
        </w:rPr>
        <w:sectPr>
          <w:footerReference r:id="rId9" w:type="default"/>
          <w:pgSz w:w="11906" w:h="16838"/>
          <w:pgMar w:top="1388" w:right="1531" w:bottom="1440" w:left="1531" w:header="871" w:footer="737" w:gutter="0"/>
          <w:pgNumType w:fmt="decimal" w:start="1"/>
          <w:cols w:space="720" w:num="1"/>
          <w:docGrid w:type="lines" w:linePitch="312" w:charSpace="0"/>
        </w:sectPr>
      </w:pPr>
    </w:p>
    <w:p w14:paraId="38A1B74F">
      <w:pPr>
        <w:adjustRightInd w:val="0"/>
        <w:snapToGrid w:val="0"/>
        <w:spacing w:line="360" w:lineRule="auto"/>
        <w:jc w:val="center"/>
        <w:outlineLvl w:val="1"/>
        <w:rPr>
          <w:rFonts w:ascii="宋体" w:hAnsi="宋体" w:cs="宋体"/>
          <w:b/>
          <w:kern w:val="0"/>
          <w:sz w:val="28"/>
          <w:szCs w:val="28"/>
        </w:rPr>
      </w:pPr>
      <w:bookmarkStart w:id="30" w:name="_Toc29960"/>
      <w:r>
        <w:rPr>
          <w:rFonts w:hint="eastAsia" w:ascii="宋体" w:hAnsi="宋体" w:cs="宋体"/>
          <w:b/>
          <w:kern w:val="0"/>
          <w:sz w:val="28"/>
          <w:szCs w:val="28"/>
        </w:rPr>
        <w:t>政府采购履约担保函</w:t>
      </w:r>
      <w:bookmarkEnd w:id="30"/>
    </w:p>
    <w:p w14:paraId="2F0A108A">
      <w:pPr>
        <w:adjustRightInd w:val="0"/>
        <w:snapToGrid w:val="0"/>
        <w:spacing w:line="360" w:lineRule="auto"/>
        <w:ind w:firstLine="7440" w:firstLineChars="3100"/>
        <w:jc w:val="left"/>
        <w:rPr>
          <w:rFonts w:ascii="宋体" w:hAnsi="宋体" w:cs="宋体"/>
          <w:b/>
          <w:kern w:val="0"/>
          <w:sz w:val="24"/>
        </w:rPr>
      </w:pPr>
      <w:r>
        <w:rPr>
          <w:rFonts w:hint="eastAsia" w:ascii="宋体" w:hAnsi="宋体" w:cs="宋体"/>
          <w:kern w:val="0"/>
          <w:sz w:val="24"/>
        </w:rPr>
        <w:t>编号：</w:t>
      </w:r>
    </w:p>
    <w:p w14:paraId="038197FA">
      <w:pPr>
        <w:adjustRightInd w:val="0"/>
        <w:snapToGrid w:val="0"/>
        <w:spacing w:line="360" w:lineRule="auto"/>
        <w:rPr>
          <w:rFonts w:ascii="宋体" w:hAnsi="宋体" w:cs="宋体"/>
          <w:kern w:val="0"/>
          <w:sz w:val="24"/>
        </w:rPr>
      </w:pPr>
      <w:r>
        <w:rPr>
          <w:rFonts w:hint="eastAsia" w:ascii="宋体" w:hAnsi="宋体" w:cs="宋体"/>
          <w:kern w:val="0"/>
          <w:sz w:val="24"/>
        </w:rPr>
        <w:t>（采购人）：</w:t>
      </w:r>
    </w:p>
    <w:p w14:paraId="6D03C3B7">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14:paraId="5D14AED4">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一、保证责任的情形及保证金额</w:t>
      </w:r>
    </w:p>
    <w:p w14:paraId="1E4E8C44">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（一）在供应商出现下列情形之一时，我方承担保证责任：</w:t>
      </w:r>
    </w:p>
    <w:p w14:paraId="10D067C2">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1．将中标项目转让给他人，或者在投标文件中未说明，且未经采购人同意，将中标项目分包给他人的；</w:t>
      </w:r>
    </w:p>
    <w:p w14:paraId="48F86D8A">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 xml:space="preserve">2．主合同约定的应当缴纳履约保证金的情形: </w:t>
      </w:r>
    </w:p>
    <w:p w14:paraId="1B8B745A">
      <w:pPr>
        <w:adjustRightInd w:val="0"/>
        <w:snapToGrid w:val="0"/>
        <w:spacing w:line="360" w:lineRule="auto"/>
        <w:ind w:firstLine="480" w:firstLineChars="200"/>
        <w:rPr>
          <w:rFonts w:ascii="宋体" w:hAnsi="宋体" w:cs="宋体"/>
          <w:b/>
          <w:kern w:val="0"/>
          <w:sz w:val="24"/>
        </w:rPr>
      </w:pPr>
      <w:r>
        <w:rPr>
          <w:rFonts w:hint="eastAsia" w:ascii="宋体" w:hAnsi="宋体" w:cs="宋体"/>
          <w:kern w:val="0"/>
          <w:sz w:val="24"/>
        </w:rPr>
        <w:t>（1）未按主合同约定的质量、数量和期限供应货物/提供服务/完成工程的；</w:t>
      </w:r>
    </w:p>
    <w:p w14:paraId="5B5CFED8">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rPr>
        <w:t>（2）。</w:t>
      </w:r>
    </w:p>
    <w:p w14:paraId="373BB6E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（二）我方的保证范围是主合同约定的合同价款总额的%数额为元（大写），币种为。（即主合同履约保证金金额）</w:t>
      </w:r>
    </w:p>
    <w:p w14:paraId="0034F15E">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二、保证的方式及保证期间</w:t>
      </w:r>
    </w:p>
    <w:p w14:paraId="0625EE66">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我方保证的方式为：连带责任保证。</w:t>
      </w:r>
    </w:p>
    <w:p w14:paraId="6B3BBD66">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我方保证的期间为：自本合同生效之日起至供应商按照主合同约定的供货/完工期限届满后日内。</w:t>
      </w:r>
    </w:p>
    <w:p w14:paraId="609D95C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如果供应商未按主合同约定向贵方供应货物/提供服务/完成工程的，由我方在保证金额内向你方支付上述款项。</w:t>
      </w:r>
    </w:p>
    <w:p w14:paraId="6DA3F9F5">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三、承担保证责任的程序</w:t>
      </w:r>
    </w:p>
    <w:p w14:paraId="12EEA11F">
      <w:pPr>
        <w:adjustRightInd w:val="0"/>
        <w:snapToGrid w:val="0"/>
        <w:spacing w:line="360" w:lineRule="auto"/>
        <w:ind w:firstLine="480" w:firstLineChars="200"/>
        <w:rPr>
          <w:rFonts w:ascii="宋体" w:hAnsi="宋体" w:cs="宋体"/>
          <w:b/>
          <w:kern w:val="0"/>
          <w:sz w:val="24"/>
        </w:rPr>
      </w:pPr>
      <w:r>
        <w:rPr>
          <w:rFonts w:hint="eastAsia" w:ascii="宋体" w:hAnsi="宋体" w:cs="宋体"/>
          <w:kern w:val="0"/>
          <w:sz w:val="24"/>
        </w:rPr>
        <w:t>1．你方要求我方承担保证责任的，应在本保函保证期间内向我方发出书面索赔通知。索赔通知应写明要求索赔的金额，支付款项应到达的账号。并附有证明供应商违约事实的证明材料。</w:t>
      </w:r>
    </w:p>
    <w:p w14:paraId="0101003F">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14:paraId="36E0B207">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2．我方收到你方的书面索赔通知及相应证明材料，在工作日内进行核定后按照本保函的承诺承担保证责任。</w:t>
      </w:r>
    </w:p>
    <w:p w14:paraId="6C79EB72">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四、保证责任的终止</w:t>
      </w:r>
    </w:p>
    <w:p w14:paraId="24D511F1">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58DC2E2">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2．我方按照本保函向你方履行了保证责任后，自我方向你方支付款项（支付款项从我方账户划出）之日起，保证责任即终止。</w:t>
      </w:r>
    </w:p>
    <w:p w14:paraId="3772FDF9">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3．按照法律法规的规定或出现应终止我方保证责任的其它情形的，我方在本保函项下的保证责任亦终止。</w:t>
      </w:r>
    </w:p>
    <w:p w14:paraId="131159B0">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CA2275C">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五、免责条款</w:t>
      </w:r>
    </w:p>
    <w:p w14:paraId="4FCB7139">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1．因你方违反主合同约定致使供应商不能履行义务的，我方不承担保证责任。</w:t>
      </w:r>
    </w:p>
    <w:p w14:paraId="6E7BAE26">
      <w:pPr>
        <w:adjustRightInd w:val="0"/>
        <w:snapToGrid w:val="0"/>
        <w:spacing w:line="360" w:lineRule="auto"/>
        <w:ind w:firstLine="480" w:firstLineChars="200"/>
        <w:rPr>
          <w:rFonts w:ascii="宋体" w:hAnsi="宋体" w:cs="宋体"/>
          <w:b/>
          <w:kern w:val="0"/>
          <w:sz w:val="24"/>
        </w:rPr>
      </w:pPr>
      <w:r>
        <w:rPr>
          <w:rFonts w:hint="eastAsia" w:ascii="宋体" w:hAnsi="宋体" w:cs="宋体"/>
          <w:kern w:val="0"/>
          <w:sz w:val="24"/>
        </w:rPr>
        <w:t>2．依照法律法规的规定或你方与供应商的另行约定，全部或者部分免除供应商应缴纳的保证金义务的，我方亦免除相应的保证责任。</w:t>
      </w:r>
    </w:p>
    <w:p w14:paraId="62A4AC45">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3．因不可抗力造成供应商不能履行供货义务的，我方不承担保证责任。</w:t>
      </w:r>
    </w:p>
    <w:p w14:paraId="60C078C4">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六、争议的解决</w:t>
      </w:r>
    </w:p>
    <w:p w14:paraId="0EC306C7">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因本保函发生的纠纷，由你我双方协商解决，协商不成的，通过诉讼程序解决，诉讼管辖地法院为法院。</w:t>
      </w:r>
    </w:p>
    <w:p w14:paraId="407C0ACC">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七、保函的生效</w:t>
      </w:r>
    </w:p>
    <w:p w14:paraId="6FE4C92F">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本保函自我方加盖公章之日起生效。</w:t>
      </w:r>
    </w:p>
    <w:p w14:paraId="4C4515AE">
      <w:pPr>
        <w:tabs>
          <w:tab w:val="left" w:pos="2850"/>
        </w:tabs>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保证单位：（公章）</w:t>
      </w:r>
    </w:p>
    <w:p w14:paraId="185FF9B0">
      <w:pPr>
        <w:adjustRightInd w:val="0"/>
        <w:snapToGrid w:val="0"/>
        <w:spacing w:line="360" w:lineRule="auto"/>
        <w:ind w:right="23" w:rightChars="11" w:firstLine="480" w:firstLineChars="200"/>
        <w:rPr>
          <w:rFonts w:ascii="宋体" w:hAnsi="宋体" w:cs="宋体"/>
          <w:kern w:val="0"/>
          <w:sz w:val="24"/>
        </w:rPr>
      </w:pPr>
      <w:r>
        <w:rPr>
          <w:rFonts w:hint="eastAsia" w:ascii="宋体" w:hAnsi="宋体" w:cs="宋体"/>
          <w:kern w:val="0"/>
          <w:sz w:val="24"/>
        </w:rPr>
        <w:t>年月日</w:t>
      </w:r>
    </w:p>
    <w:p w14:paraId="675D76FB">
      <w:pPr>
        <w:spacing w:line="360" w:lineRule="auto"/>
        <w:jc w:val="center"/>
        <w:outlineLvl w:val="1"/>
        <w:rPr>
          <w:rFonts w:ascii="宋体" w:hAnsi="宋体"/>
          <w:b/>
          <w:color w:val="000000"/>
          <w:sz w:val="24"/>
        </w:rPr>
      </w:pPr>
      <w:r>
        <w:rPr>
          <w:rFonts w:hint="eastAsia" w:ascii="宋体" w:hAnsi="宋体" w:cs="宋体"/>
          <w:b/>
          <w:bCs/>
          <w:color w:val="000000"/>
          <w:kern w:val="0"/>
          <w:sz w:val="24"/>
        </w:rPr>
        <w:br w:type="page"/>
      </w:r>
      <w:bookmarkStart w:id="31" w:name="_Toc23398"/>
      <w:r>
        <w:rPr>
          <w:rFonts w:hint="eastAsia" w:ascii="宋体" w:hAnsi="宋体"/>
          <w:b/>
          <w:color w:val="000000"/>
          <w:sz w:val="24"/>
        </w:rPr>
        <w:t>评审方法</w:t>
      </w:r>
      <w:bookmarkEnd w:id="31"/>
    </w:p>
    <w:p w14:paraId="22C92D6D">
      <w:pPr>
        <w:outlineLvl w:val="2"/>
        <w:rPr>
          <w:rFonts w:ascii="宋体" w:hAnsi="宋体"/>
          <w:b/>
          <w:color w:val="000000"/>
          <w:sz w:val="24"/>
        </w:rPr>
      </w:pPr>
      <w:r>
        <w:rPr>
          <w:rFonts w:hint="eastAsia" w:ascii="宋体" w:hAnsi="宋体"/>
          <w:b/>
          <w:color w:val="000000"/>
          <w:sz w:val="24"/>
        </w:rPr>
        <w:t>（1）资格性审查表</w:t>
      </w:r>
    </w:p>
    <w:p w14:paraId="2F7F4743">
      <w:pPr>
        <w:adjustRightInd w:val="0"/>
        <w:snapToGrid w:val="0"/>
        <w:spacing w:beforeLines="50" w:line="360" w:lineRule="auto"/>
        <w:ind w:firstLine="420"/>
        <w:rPr>
          <w:rFonts w:hint="eastAsia" w:ascii="宋体" w:hAnsi="宋体" w:eastAsia="宋体" w:cs="Times New Roman"/>
          <w:color w:val="000000"/>
          <w:sz w:val="24"/>
        </w:rPr>
      </w:pPr>
      <w:r>
        <w:rPr>
          <w:rFonts w:hint="eastAsia" w:ascii="宋体" w:hAnsi="宋体" w:eastAsia="宋体" w:cs="Times New Roman"/>
          <w:color w:val="000000"/>
          <w:sz w:val="24"/>
        </w:rPr>
        <w:t>资格性检查。根据法律法规和磋商文件的规定，对投标文件中的资格证明等进行审查，以确定</w:t>
      </w:r>
      <w:r>
        <w:rPr>
          <w:rFonts w:hint="eastAsia" w:ascii="宋体" w:hAnsi="宋体" w:eastAsia="宋体" w:cs="Times New Roman"/>
          <w:color w:val="000000"/>
          <w:sz w:val="24"/>
          <w:lang w:eastAsia="zh-CN"/>
        </w:rPr>
        <w:t>供应商</w:t>
      </w:r>
      <w:r>
        <w:rPr>
          <w:rFonts w:hint="eastAsia" w:ascii="宋体" w:hAnsi="宋体" w:eastAsia="宋体" w:cs="Times New Roman"/>
          <w:color w:val="000000"/>
          <w:sz w:val="24"/>
        </w:rPr>
        <w:t>是否具备投标资格。</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380"/>
        <w:gridCol w:w="2997"/>
      </w:tblGrid>
      <w:tr w14:paraId="1CA54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vAlign w:val="center"/>
          </w:tcPr>
          <w:p w14:paraId="65267838">
            <w:pPr>
              <w:adjustRightInd w:val="0"/>
              <w:snapToGrid w:val="0"/>
              <w:spacing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380" w:type="dxa"/>
            <w:vAlign w:val="center"/>
          </w:tcPr>
          <w:p w14:paraId="5B30F075">
            <w:pPr>
              <w:adjustRightInd w:val="0"/>
              <w:snapToGrid w:val="0"/>
              <w:spacing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2997" w:type="dxa"/>
            <w:vAlign w:val="center"/>
          </w:tcPr>
          <w:p w14:paraId="324CBF1F">
            <w:pPr>
              <w:adjustRightInd w:val="0"/>
              <w:snapToGrid w:val="0"/>
              <w:spacing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14:paraId="4279F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F7B46F7">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380" w:type="dxa"/>
            <w:vAlign w:val="center"/>
          </w:tcPr>
          <w:p w14:paraId="144FE817">
            <w:pPr>
              <w:adjustRightInd w:val="0"/>
              <w:snapToGrid w:val="0"/>
              <w:spacing w:line="360" w:lineRule="exac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不具备招标文件中规定的资格要求的，或提交的资格证明文件不符合招标文件要求的；</w:t>
            </w:r>
          </w:p>
        </w:tc>
        <w:tc>
          <w:tcPr>
            <w:tcW w:w="2997" w:type="dxa"/>
            <w:vAlign w:val="center"/>
          </w:tcPr>
          <w:p w14:paraId="4264F8C8">
            <w:pPr>
              <w:adjustRightInd w:val="0"/>
              <w:snapToGrid w:val="0"/>
              <w:spacing w:beforeLines="50" w:line="360" w:lineRule="auto"/>
              <w:jc w:val="center"/>
              <w:rPr>
                <w:rFonts w:ascii="宋体" w:hAnsi="宋体" w:eastAsia="宋体" w:cs="宋体"/>
                <w:color w:val="auto"/>
                <w:kern w:val="0"/>
                <w:szCs w:val="21"/>
                <w:highlight w:val="none"/>
              </w:rPr>
            </w:pPr>
          </w:p>
        </w:tc>
      </w:tr>
      <w:tr w14:paraId="3D36D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3820E56E">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380" w:type="dxa"/>
            <w:vAlign w:val="center"/>
          </w:tcPr>
          <w:p w14:paraId="00F5010A">
            <w:pPr>
              <w:adjustRightInd w:val="0"/>
              <w:snapToGrid w:val="0"/>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投标文件的资格证明文件未按照招标文件要求签署、盖章的；</w:t>
            </w:r>
          </w:p>
        </w:tc>
        <w:tc>
          <w:tcPr>
            <w:tcW w:w="2997" w:type="dxa"/>
            <w:vAlign w:val="center"/>
          </w:tcPr>
          <w:p w14:paraId="3B8116E5">
            <w:pPr>
              <w:adjustRightInd w:val="0"/>
              <w:snapToGrid w:val="0"/>
              <w:spacing w:beforeLines="50" w:line="360" w:lineRule="auto"/>
              <w:jc w:val="center"/>
              <w:rPr>
                <w:rFonts w:ascii="宋体" w:hAnsi="宋体" w:eastAsia="宋体" w:cs="宋体"/>
                <w:color w:val="auto"/>
                <w:kern w:val="0"/>
                <w:szCs w:val="21"/>
                <w:highlight w:val="none"/>
              </w:rPr>
            </w:pPr>
          </w:p>
        </w:tc>
      </w:tr>
      <w:tr w14:paraId="4F2E61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2FCFB73C">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5380" w:type="dxa"/>
            <w:vAlign w:val="center"/>
          </w:tcPr>
          <w:p w14:paraId="44F847C9">
            <w:pPr>
              <w:adjustRightInd w:val="0"/>
              <w:snapToGrid w:val="0"/>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未按照招标文件的规定提交投标保证金的。</w:t>
            </w:r>
          </w:p>
        </w:tc>
        <w:tc>
          <w:tcPr>
            <w:tcW w:w="2997" w:type="dxa"/>
            <w:vAlign w:val="center"/>
          </w:tcPr>
          <w:p w14:paraId="45FCD61D">
            <w:pPr>
              <w:adjustRightInd w:val="0"/>
              <w:snapToGrid w:val="0"/>
              <w:spacing w:beforeLines="50" w:line="360" w:lineRule="auto"/>
              <w:jc w:val="center"/>
              <w:rPr>
                <w:rFonts w:ascii="宋体" w:hAnsi="宋体" w:eastAsia="宋体" w:cs="宋体"/>
                <w:color w:val="auto"/>
                <w:kern w:val="0"/>
                <w:szCs w:val="21"/>
                <w:highlight w:val="none"/>
              </w:rPr>
            </w:pPr>
          </w:p>
        </w:tc>
      </w:tr>
      <w:tr w14:paraId="406DCD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7117D2A0">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5380" w:type="dxa"/>
            <w:vAlign w:val="center"/>
          </w:tcPr>
          <w:p w14:paraId="42E852F1">
            <w:pPr>
              <w:adjustRightInd w:val="0"/>
              <w:snapToGrid w:val="0"/>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法规和招标文件规定的其他投标无效情形的。</w:t>
            </w:r>
          </w:p>
        </w:tc>
        <w:tc>
          <w:tcPr>
            <w:tcW w:w="2997" w:type="dxa"/>
            <w:vAlign w:val="center"/>
          </w:tcPr>
          <w:p w14:paraId="4D67779F">
            <w:pPr>
              <w:adjustRightInd w:val="0"/>
              <w:snapToGrid w:val="0"/>
              <w:spacing w:beforeLines="50" w:line="360" w:lineRule="auto"/>
              <w:jc w:val="center"/>
              <w:rPr>
                <w:rFonts w:ascii="宋体" w:hAnsi="宋体" w:eastAsia="宋体" w:cs="宋体"/>
                <w:color w:val="auto"/>
                <w:kern w:val="0"/>
                <w:szCs w:val="21"/>
                <w:highlight w:val="none"/>
              </w:rPr>
            </w:pPr>
          </w:p>
        </w:tc>
      </w:tr>
      <w:tr w14:paraId="514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5060C39D">
            <w:pPr>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5380" w:type="dxa"/>
            <w:vAlign w:val="center"/>
          </w:tcPr>
          <w:p w14:paraId="26FDAECC">
            <w:pPr>
              <w:adjustRightInd w:val="0"/>
              <w:snapToGrid w:val="0"/>
              <w:spacing w:line="36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2997" w:type="dxa"/>
            <w:vAlign w:val="center"/>
          </w:tcPr>
          <w:p w14:paraId="77701E37">
            <w:pPr>
              <w:adjustRightInd w:val="0"/>
              <w:snapToGrid w:val="0"/>
              <w:spacing w:beforeLines="50" w:line="360" w:lineRule="auto"/>
              <w:jc w:val="center"/>
              <w:rPr>
                <w:rFonts w:ascii="宋体" w:hAnsi="宋体" w:eastAsia="宋体" w:cs="宋体"/>
                <w:color w:val="auto"/>
                <w:kern w:val="0"/>
                <w:szCs w:val="21"/>
                <w:highlight w:val="none"/>
              </w:rPr>
            </w:pPr>
          </w:p>
        </w:tc>
      </w:tr>
      <w:tr w14:paraId="4DEF6E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83" w:type="dxa"/>
            <w:vAlign w:val="center"/>
          </w:tcPr>
          <w:p w14:paraId="354176F5">
            <w:pPr>
              <w:adjustRightInd w:val="0"/>
              <w:snapToGrid w:val="0"/>
              <w:spacing w:beforeLines="50" w:line="360" w:lineRule="auto"/>
              <w:jc w:val="center"/>
              <w:rPr>
                <w:rFonts w:ascii="宋体" w:hAnsi="宋体" w:eastAsia="宋体" w:cs="宋体"/>
                <w:color w:val="auto"/>
                <w:kern w:val="0"/>
                <w:sz w:val="20"/>
                <w:szCs w:val="21"/>
                <w:highlight w:val="none"/>
              </w:rPr>
            </w:pPr>
            <w:r>
              <w:rPr>
                <w:rFonts w:hint="eastAsia" w:ascii="宋体" w:hAnsi="宋体" w:eastAsia="宋体" w:cs="Times New Roman"/>
                <w:color w:val="auto"/>
                <w:kern w:val="0"/>
                <w:sz w:val="20"/>
                <w:szCs w:val="21"/>
                <w:highlight w:val="none"/>
              </w:rPr>
              <w:t>结论</w:t>
            </w:r>
          </w:p>
        </w:tc>
        <w:tc>
          <w:tcPr>
            <w:tcW w:w="8377" w:type="dxa"/>
            <w:gridSpan w:val="2"/>
            <w:vAlign w:val="center"/>
          </w:tcPr>
          <w:p w14:paraId="08E30E45">
            <w:pPr>
              <w:adjustRightInd w:val="0"/>
              <w:snapToGrid w:val="0"/>
              <w:spacing w:beforeLines="50" w:line="360" w:lineRule="auto"/>
              <w:jc w:val="center"/>
              <w:rPr>
                <w:rFonts w:ascii="宋体" w:hAnsi="宋体" w:eastAsia="宋体" w:cs="宋体"/>
                <w:color w:val="auto"/>
                <w:kern w:val="0"/>
                <w:szCs w:val="21"/>
                <w:highlight w:val="none"/>
              </w:rPr>
            </w:pPr>
          </w:p>
        </w:tc>
      </w:tr>
    </w:tbl>
    <w:p w14:paraId="69448761">
      <w:pPr>
        <w:adjustRightInd w:val="0"/>
        <w:snapToGrid w:val="0"/>
        <w:ind w:firstLine="420"/>
        <w:rPr>
          <w:rFonts w:hint="eastAsia" w:ascii="宋体" w:hAnsi="宋体" w:eastAsia="宋体" w:cs="Times New Roman"/>
          <w:color w:val="000000"/>
          <w:sz w:val="24"/>
        </w:rPr>
      </w:pPr>
    </w:p>
    <w:p w14:paraId="19606946">
      <w:pPr>
        <w:adjustRightInd w:val="0"/>
        <w:snapToGrid w:val="0"/>
        <w:spacing w:line="300" w:lineRule="auto"/>
        <w:outlineLvl w:val="2"/>
        <w:rPr>
          <w:rFonts w:ascii="宋体" w:hAnsi="宋体"/>
          <w:color w:val="000000"/>
          <w:sz w:val="24"/>
        </w:rPr>
      </w:pPr>
      <w:r>
        <w:rPr>
          <w:rFonts w:ascii="宋体" w:hAnsi="宋体"/>
          <w:color w:val="000000"/>
          <w:sz w:val="24"/>
        </w:rPr>
        <w:br w:type="page"/>
      </w:r>
      <w:r>
        <w:rPr>
          <w:rFonts w:hint="eastAsia" w:ascii="宋体" w:hAnsi="宋体"/>
          <w:b/>
          <w:color w:val="000000"/>
          <w:sz w:val="24"/>
        </w:rPr>
        <w:t>（2）符合性审查表</w:t>
      </w:r>
    </w:p>
    <w:p w14:paraId="17EB95E4">
      <w:pPr>
        <w:adjustRightInd w:val="0"/>
        <w:snapToGrid w:val="0"/>
        <w:spacing w:beforeLines="50" w:line="360" w:lineRule="auto"/>
        <w:ind w:firstLine="420"/>
        <w:rPr>
          <w:rFonts w:ascii="宋体" w:hAnsi="宋体"/>
          <w:color w:val="000000"/>
          <w:sz w:val="24"/>
        </w:rPr>
      </w:pPr>
      <w:r>
        <w:rPr>
          <w:rFonts w:hint="eastAsia" w:ascii="宋体" w:hAnsi="宋体"/>
          <w:color w:val="000000"/>
          <w:sz w:val="24"/>
        </w:rPr>
        <w:t>符合性检查。依据磋商文件的规定，从响应文件的有效性、完整性和对磋商文件的响应程度进行审查，以确定是否对磋商文件的实质性要求作出响应。</w:t>
      </w:r>
    </w:p>
    <w:tbl>
      <w:tblPr>
        <w:tblStyle w:val="19"/>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4999"/>
        <w:gridCol w:w="3378"/>
      </w:tblGrid>
      <w:tr w14:paraId="27ACB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vAlign w:val="center"/>
          </w:tcPr>
          <w:p w14:paraId="3BCB8604">
            <w:pPr>
              <w:adjustRightInd w:val="0"/>
              <w:snapToGrid w:val="0"/>
              <w:spacing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4999" w:type="dxa"/>
            <w:vAlign w:val="center"/>
          </w:tcPr>
          <w:p w14:paraId="1A967993">
            <w:pPr>
              <w:adjustRightInd w:val="0"/>
              <w:snapToGrid w:val="0"/>
              <w:spacing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审查项目</w:t>
            </w:r>
          </w:p>
        </w:tc>
        <w:tc>
          <w:tcPr>
            <w:tcW w:w="3378" w:type="dxa"/>
            <w:vAlign w:val="center"/>
          </w:tcPr>
          <w:p w14:paraId="2C477655">
            <w:pPr>
              <w:adjustRightInd w:val="0"/>
              <w:snapToGrid w:val="0"/>
              <w:spacing w:beforeLines="50"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审查标准</w:t>
            </w:r>
          </w:p>
        </w:tc>
      </w:tr>
      <w:tr w14:paraId="52E306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370B8238">
            <w:pPr>
              <w:adjustRightInd w:val="0"/>
              <w:snapToGrid w:val="0"/>
              <w:spacing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999" w:type="dxa"/>
          </w:tcPr>
          <w:p w14:paraId="1575D28D">
            <w:pPr>
              <w:adjustRightInd w:val="0"/>
              <w:snapToGrid w:val="0"/>
              <w:spacing w:line="360" w:lineRule="exact"/>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（1）投标文件中商务技术文件未按照招标文件规定要求签署、盖章的；</w:t>
            </w:r>
          </w:p>
        </w:tc>
        <w:tc>
          <w:tcPr>
            <w:tcW w:w="3378" w:type="dxa"/>
            <w:vAlign w:val="center"/>
          </w:tcPr>
          <w:p w14:paraId="74A1F966">
            <w:pPr>
              <w:adjustRightInd w:val="0"/>
              <w:snapToGrid w:val="0"/>
              <w:spacing w:beforeLines="50" w:line="360" w:lineRule="auto"/>
              <w:jc w:val="center"/>
              <w:rPr>
                <w:rFonts w:ascii="宋体" w:hAnsi="宋体" w:eastAsia="宋体" w:cs="宋体"/>
                <w:color w:val="auto"/>
                <w:kern w:val="0"/>
                <w:szCs w:val="21"/>
                <w:highlight w:val="none"/>
              </w:rPr>
            </w:pPr>
          </w:p>
        </w:tc>
      </w:tr>
      <w:tr w14:paraId="5E3E9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2E7F6433">
            <w:pPr>
              <w:adjustRightInd w:val="0"/>
              <w:snapToGrid w:val="0"/>
              <w:spacing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999" w:type="dxa"/>
          </w:tcPr>
          <w:p w14:paraId="5139F60B">
            <w:pPr>
              <w:adjustRightInd w:val="0"/>
              <w:snapToGrid w:val="0"/>
              <w:spacing w:line="360" w:lineRule="exac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（2）投标文件没有对招标文件的实质性要求和条件作出响应，或者对招标文件的偏离超出招标文件规定的偏离</w:t>
            </w:r>
            <w:r>
              <w:rPr>
                <w:rFonts w:hint="eastAsia" w:ascii="宋体" w:hAnsi="宋体" w:eastAsia="宋体" w:cs="Times New Roman"/>
                <w:color w:val="auto"/>
                <w:highlight w:val="none"/>
              </w:rPr>
              <w:t>范围和幅度</w:t>
            </w:r>
            <w:r>
              <w:rPr>
                <w:rFonts w:hint="eastAsia" w:ascii="宋体" w:hAnsi="宋体" w:eastAsia="宋体" w:cs="Times New Roman"/>
                <w:color w:val="auto"/>
                <w:szCs w:val="21"/>
                <w:highlight w:val="none"/>
              </w:rPr>
              <w:t>；</w:t>
            </w:r>
          </w:p>
        </w:tc>
        <w:tc>
          <w:tcPr>
            <w:tcW w:w="3378" w:type="dxa"/>
            <w:vAlign w:val="center"/>
          </w:tcPr>
          <w:p w14:paraId="20C9CA4E">
            <w:pPr>
              <w:adjustRightInd w:val="0"/>
              <w:snapToGrid w:val="0"/>
              <w:spacing w:beforeLines="50" w:line="360" w:lineRule="auto"/>
              <w:jc w:val="center"/>
              <w:rPr>
                <w:rFonts w:ascii="宋体" w:hAnsi="宋体" w:eastAsia="宋体" w:cs="宋体"/>
                <w:color w:val="auto"/>
                <w:kern w:val="0"/>
                <w:szCs w:val="21"/>
                <w:highlight w:val="none"/>
              </w:rPr>
            </w:pPr>
          </w:p>
        </w:tc>
      </w:tr>
      <w:tr w14:paraId="19E40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4BEFB787">
            <w:pPr>
              <w:adjustRightInd w:val="0"/>
              <w:snapToGrid w:val="0"/>
              <w:spacing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999" w:type="dxa"/>
          </w:tcPr>
          <w:p w14:paraId="0B3C9161">
            <w:pPr>
              <w:adjustRightInd w:val="0"/>
              <w:snapToGrid w:val="0"/>
              <w:spacing w:line="360" w:lineRule="exac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（3）投标有效期不足的；</w:t>
            </w:r>
          </w:p>
        </w:tc>
        <w:tc>
          <w:tcPr>
            <w:tcW w:w="3378" w:type="dxa"/>
            <w:vAlign w:val="center"/>
          </w:tcPr>
          <w:p w14:paraId="1EEAA913">
            <w:pPr>
              <w:adjustRightInd w:val="0"/>
              <w:snapToGrid w:val="0"/>
              <w:spacing w:beforeLines="50" w:line="360" w:lineRule="auto"/>
              <w:jc w:val="center"/>
              <w:rPr>
                <w:rFonts w:ascii="宋体" w:hAnsi="宋体" w:eastAsia="宋体" w:cs="宋体"/>
                <w:color w:val="auto"/>
                <w:kern w:val="0"/>
                <w:szCs w:val="21"/>
                <w:highlight w:val="none"/>
              </w:rPr>
            </w:pPr>
          </w:p>
        </w:tc>
      </w:tr>
      <w:tr w14:paraId="49879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060044F4">
            <w:pPr>
              <w:adjustRightInd w:val="0"/>
              <w:snapToGrid w:val="0"/>
              <w:spacing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999" w:type="dxa"/>
          </w:tcPr>
          <w:p w14:paraId="27770679">
            <w:pPr>
              <w:adjustRightInd w:val="0"/>
              <w:snapToGrid w:val="0"/>
              <w:spacing w:line="360" w:lineRule="exact"/>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（4）投标报价超过招标文件中规定的预算金额或者最高限价的；</w:t>
            </w:r>
          </w:p>
        </w:tc>
        <w:tc>
          <w:tcPr>
            <w:tcW w:w="3378" w:type="dxa"/>
            <w:vAlign w:val="center"/>
          </w:tcPr>
          <w:p w14:paraId="73EACB30">
            <w:pPr>
              <w:adjustRightInd w:val="0"/>
              <w:snapToGrid w:val="0"/>
              <w:spacing w:beforeLines="50" w:line="360" w:lineRule="auto"/>
              <w:jc w:val="center"/>
              <w:rPr>
                <w:rFonts w:ascii="宋体" w:hAnsi="宋体" w:eastAsia="宋体" w:cs="宋体"/>
                <w:color w:val="auto"/>
                <w:kern w:val="0"/>
                <w:szCs w:val="21"/>
                <w:highlight w:val="none"/>
              </w:rPr>
            </w:pPr>
          </w:p>
        </w:tc>
      </w:tr>
      <w:tr w14:paraId="0AA0E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609593BC">
            <w:pPr>
              <w:adjustRightInd w:val="0"/>
              <w:snapToGrid w:val="0"/>
              <w:spacing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999" w:type="dxa"/>
          </w:tcPr>
          <w:p w14:paraId="2EA47AED">
            <w:pPr>
              <w:adjustRightInd w:val="0"/>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（5）投标文件含有采购人不能接受的附加条件的；</w:t>
            </w:r>
          </w:p>
        </w:tc>
        <w:tc>
          <w:tcPr>
            <w:tcW w:w="3378" w:type="dxa"/>
            <w:vAlign w:val="center"/>
          </w:tcPr>
          <w:p w14:paraId="2A6B0892">
            <w:pPr>
              <w:adjustRightInd w:val="0"/>
              <w:snapToGrid w:val="0"/>
              <w:spacing w:beforeLines="50" w:line="360" w:lineRule="auto"/>
              <w:jc w:val="center"/>
              <w:rPr>
                <w:rFonts w:ascii="宋体" w:hAnsi="宋体" w:eastAsia="宋体" w:cs="宋体"/>
                <w:color w:val="auto"/>
                <w:kern w:val="0"/>
                <w:szCs w:val="21"/>
                <w:highlight w:val="none"/>
              </w:rPr>
            </w:pPr>
          </w:p>
        </w:tc>
      </w:tr>
      <w:tr w14:paraId="666D8F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201F2121">
            <w:pPr>
              <w:adjustRightInd w:val="0"/>
              <w:snapToGrid w:val="0"/>
              <w:spacing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999" w:type="dxa"/>
          </w:tcPr>
          <w:p w14:paraId="7FB5719C">
            <w:pPr>
              <w:adjustRightInd w:val="0"/>
              <w:snapToGrid w:val="0"/>
              <w:spacing w:line="360" w:lineRule="exact"/>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（6）不符合本节第1.1款规定符合性审查标准的；</w:t>
            </w:r>
          </w:p>
        </w:tc>
        <w:tc>
          <w:tcPr>
            <w:tcW w:w="3378" w:type="dxa"/>
            <w:vAlign w:val="center"/>
          </w:tcPr>
          <w:p w14:paraId="29E4DCDE">
            <w:pPr>
              <w:adjustRightInd w:val="0"/>
              <w:snapToGrid w:val="0"/>
              <w:spacing w:beforeLines="50" w:line="360" w:lineRule="auto"/>
              <w:jc w:val="center"/>
              <w:rPr>
                <w:rFonts w:ascii="宋体" w:hAnsi="宋体" w:eastAsia="宋体" w:cs="宋体"/>
                <w:color w:val="auto"/>
                <w:kern w:val="0"/>
                <w:szCs w:val="21"/>
                <w:highlight w:val="none"/>
              </w:rPr>
            </w:pPr>
          </w:p>
        </w:tc>
      </w:tr>
      <w:tr w14:paraId="320F32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6427C36F">
            <w:pPr>
              <w:adjustRightInd w:val="0"/>
              <w:snapToGrid w:val="0"/>
              <w:spacing w:beforeLines="50"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4999" w:type="dxa"/>
          </w:tcPr>
          <w:p w14:paraId="7928A347">
            <w:pPr>
              <w:adjustRightInd w:val="0"/>
              <w:snapToGrid w:val="0"/>
              <w:spacing w:beforeLines="50" w:line="360" w:lineRule="exac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（7）法律、法规和招标文件规定的其他投标无效情形的。</w:t>
            </w:r>
          </w:p>
        </w:tc>
        <w:tc>
          <w:tcPr>
            <w:tcW w:w="3378" w:type="dxa"/>
            <w:vAlign w:val="center"/>
          </w:tcPr>
          <w:p w14:paraId="62CA3D4F">
            <w:pPr>
              <w:adjustRightInd w:val="0"/>
              <w:snapToGrid w:val="0"/>
              <w:spacing w:beforeLines="50" w:line="360" w:lineRule="auto"/>
              <w:jc w:val="center"/>
              <w:rPr>
                <w:rFonts w:ascii="宋体" w:hAnsi="宋体" w:eastAsia="宋体" w:cs="宋体"/>
                <w:color w:val="auto"/>
                <w:kern w:val="0"/>
                <w:szCs w:val="21"/>
                <w:highlight w:val="none"/>
              </w:rPr>
            </w:pPr>
          </w:p>
        </w:tc>
      </w:tr>
      <w:tr w14:paraId="07CD5A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vAlign w:val="center"/>
          </w:tcPr>
          <w:p w14:paraId="4715606E">
            <w:pPr>
              <w:adjustRightInd w:val="0"/>
              <w:snapToGrid w:val="0"/>
              <w:spacing w:beforeLines="50" w:line="360" w:lineRule="auto"/>
              <w:jc w:val="center"/>
              <w:rPr>
                <w:rFonts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结论</w:t>
            </w:r>
          </w:p>
        </w:tc>
        <w:tc>
          <w:tcPr>
            <w:tcW w:w="8377" w:type="dxa"/>
            <w:gridSpan w:val="2"/>
            <w:vAlign w:val="center"/>
          </w:tcPr>
          <w:p w14:paraId="0D315688">
            <w:pPr>
              <w:adjustRightInd w:val="0"/>
              <w:snapToGrid w:val="0"/>
              <w:spacing w:beforeLines="50" w:line="360" w:lineRule="auto"/>
              <w:jc w:val="center"/>
              <w:rPr>
                <w:rFonts w:ascii="宋体" w:hAnsi="宋体" w:eastAsia="宋体" w:cs="宋体"/>
                <w:color w:val="auto"/>
                <w:kern w:val="0"/>
                <w:sz w:val="20"/>
                <w:szCs w:val="21"/>
                <w:highlight w:val="none"/>
              </w:rPr>
            </w:pPr>
          </w:p>
        </w:tc>
      </w:tr>
    </w:tbl>
    <w:p w14:paraId="6A7F4C5F">
      <w:pPr>
        <w:adjustRightInd w:val="0"/>
        <w:snapToGrid w:val="0"/>
        <w:spacing w:line="360" w:lineRule="auto"/>
        <w:ind w:right="23" w:rightChars="11" w:firstLine="2650" w:firstLineChars="1100"/>
        <w:rPr>
          <w:rFonts w:ascii="宋体" w:hAnsi="宋体" w:cs="宋体"/>
          <w:b/>
          <w:bCs/>
          <w:color w:val="000000"/>
          <w:kern w:val="0"/>
          <w:sz w:val="24"/>
        </w:rPr>
      </w:pPr>
    </w:p>
    <w:p w14:paraId="447B51D7">
      <w:pPr>
        <w:adjustRightInd w:val="0"/>
        <w:snapToGrid w:val="0"/>
        <w:spacing w:line="360" w:lineRule="auto"/>
        <w:ind w:right="23" w:rightChars="11" w:firstLine="2650" w:firstLineChars="1100"/>
        <w:rPr>
          <w:rFonts w:ascii="宋体" w:hAnsi="宋体" w:cs="宋体"/>
          <w:b/>
          <w:bCs/>
          <w:color w:val="000000"/>
          <w:kern w:val="0"/>
          <w:sz w:val="24"/>
        </w:rPr>
      </w:pPr>
    </w:p>
    <w:p w14:paraId="31FAF38E">
      <w:pPr>
        <w:adjustRightInd w:val="0"/>
        <w:snapToGrid w:val="0"/>
        <w:spacing w:line="360" w:lineRule="auto"/>
        <w:ind w:right="23" w:rightChars="11" w:firstLine="2650" w:firstLineChars="1100"/>
        <w:rPr>
          <w:rFonts w:ascii="宋体" w:hAnsi="宋体" w:cs="宋体"/>
          <w:b/>
          <w:bCs/>
          <w:color w:val="000000"/>
          <w:kern w:val="0"/>
          <w:sz w:val="24"/>
        </w:rPr>
      </w:pPr>
    </w:p>
    <w:p w14:paraId="4A345B81">
      <w:pPr>
        <w:adjustRightInd w:val="0"/>
        <w:snapToGrid w:val="0"/>
        <w:spacing w:line="360" w:lineRule="auto"/>
        <w:ind w:right="23" w:rightChars="11" w:firstLine="2650" w:firstLineChars="1100"/>
        <w:rPr>
          <w:rFonts w:ascii="宋体" w:hAnsi="宋体" w:cs="宋体"/>
          <w:b/>
          <w:bCs/>
          <w:color w:val="000000"/>
          <w:kern w:val="0"/>
          <w:sz w:val="24"/>
        </w:rPr>
      </w:pPr>
    </w:p>
    <w:p w14:paraId="459D6295">
      <w:pPr>
        <w:adjustRightInd w:val="0"/>
        <w:snapToGrid w:val="0"/>
        <w:spacing w:line="360" w:lineRule="auto"/>
        <w:ind w:right="23" w:rightChars="11" w:firstLine="2650" w:firstLineChars="1100"/>
        <w:rPr>
          <w:rFonts w:ascii="宋体" w:hAnsi="宋体" w:cs="宋体"/>
          <w:b/>
          <w:bCs/>
          <w:color w:val="000000"/>
          <w:kern w:val="0"/>
          <w:sz w:val="24"/>
        </w:rPr>
      </w:pPr>
    </w:p>
    <w:p w14:paraId="37B21CD4">
      <w:pPr>
        <w:pStyle w:val="17"/>
        <w:rPr>
          <w:rFonts w:ascii="宋体" w:hAnsi="宋体" w:cs="宋体"/>
          <w:b/>
          <w:bCs/>
          <w:color w:val="000000"/>
          <w:sz w:val="24"/>
        </w:rPr>
      </w:pPr>
    </w:p>
    <w:p w14:paraId="2FA30500">
      <w:pPr>
        <w:rPr>
          <w:rFonts w:ascii="宋体" w:hAnsi="宋体" w:cs="宋体"/>
          <w:b/>
          <w:bCs/>
          <w:color w:val="000000"/>
          <w:kern w:val="0"/>
          <w:sz w:val="24"/>
        </w:rPr>
      </w:pPr>
    </w:p>
    <w:p w14:paraId="3D31369C">
      <w:pPr>
        <w:pStyle w:val="17"/>
        <w:rPr>
          <w:rFonts w:ascii="宋体" w:hAnsi="宋体" w:cs="宋体"/>
          <w:b/>
          <w:bCs/>
          <w:color w:val="000000"/>
          <w:sz w:val="24"/>
        </w:rPr>
      </w:pPr>
    </w:p>
    <w:p w14:paraId="093A91B5">
      <w:pPr>
        <w:rPr>
          <w:rFonts w:ascii="宋体" w:hAnsi="宋体" w:cs="宋体"/>
          <w:b/>
          <w:bCs/>
          <w:color w:val="000000"/>
          <w:kern w:val="0"/>
          <w:sz w:val="24"/>
        </w:rPr>
      </w:pPr>
    </w:p>
    <w:p w14:paraId="6707AA73">
      <w:pPr>
        <w:pStyle w:val="17"/>
      </w:pPr>
    </w:p>
    <w:p w14:paraId="7D913974">
      <w:pPr>
        <w:adjustRightInd w:val="0"/>
        <w:snapToGrid w:val="0"/>
        <w:spacing w:line="360" w:lineRule="auto"/>
        <w:ind w:right="23" w:rightChars="11" w:firstLine="2650" w:firstLineChars="1100"/>
        <w:rPr>
          <w:rFonts w:ascii="宋体" w:hAnsi="宋体" w:cs="宋体"/>
          <w:b/>
          <w:bCs/>
          <w:color w:val="000000"/>
          <w:kern w:val="0"/>
          <w:sz w:val="24"/>
        </w:rPr>
      </w:pPr>
    </w:p>
    <w:p w14:paraId="45D5A806">
      <w:pPr>
        <w:adjustRightInd w:val="0"/>
        <w:snapToGrid w:val="0"/>
        <w:spacing w:line="360" w:lineRule="auto"/>
        <w:ind w:right="23" w:rightChars="11" w:firstLine="2650" w:firstLineChars="1100"/>
        <w:rPr>
          <w:rFonts w:ascii="宋体" w:hAnsi="宋体" w:cs="宋体"/>
          <w:b/>
          <w:bCs/>
          <w:color w:val="000000"/>
          <w:kern w:val="0"/>
          <w:sz w:val="24"/>
        </w:rPr>
      </w:pPr>
    </w:p>
    <w:p w14:paraId="6DECC8B4">
      <w:pPr>
        <w:pStyle w:val="17"/>
        <w:rPr>
          <w:rFonts w:ascii="宋体" w:hAnsi="宋体" w:cs="宋体"/>
          <w:b/>
          <w:bCs/>
          <w:color w:val="000000"/>
          <w:sz w:val="24"/>
        </w:rPr>
      </w:pPr>
    </w:p>
    <w:p w14:paraId="10020447">
      <w:pPr>
        <w:rPr>
          <w:rFonts w:ascii="宋体" w:hAnsi="宋体" w:cs="宋体"/>
          <w:b/>
          <w:bCs/>
          <w:color w:val="000000"/>
          <w:kern w:val="0"/>
          <w:sz w:val="24"/>
        </w:rPr>
      </w:pPr>
    </w:p>
    <w:p w14:paraId="2E52E59B">
      <w:pPr>
        <w:adjustRightInd w:val="0"/>
        <w:snapToGrid w:val="0"/>
        <w:spacing w:line="360" w:lineRule="auto"/>
        <w:ind w:right="23" w:rightChars="11"/>
        <w:rPr>
          <w:rFonts w:ascii="宋体" w:hAnsi="宋体" w:cs="宋体"/>
          <w:b/>
          <w:bCs/>
          <w:color w:val="000000"/>
          <w:kern w:val="0"/>
          <w:sz w:val="24"/>
        </w:rPr>
      </w:pPr>
    </w:p>
    <w:p w14:paraId="3381C6D1">
      <w:pPr>
        <w:adjustRightInd w:val="0"/>
        <w:snapToGrid w:val="0"/>
        <w:spacing w:line="360" w:lineRule="auto"/>
        <w:rPr>
          <w:rFonts w:ascii="黑体"/>
          <w:sz w:val="32"/>
          <w:szCs w:val="32"/>
        </w:rPr>
      </w:pPr>
      <w:r>
        <w:rPr>
          <w:rFonts w:hint="eastAsia" w:ascii="宋体" w:hAnsi="宋体" w:cs="宋体"/>
          <w:b/>
          <w:bCs/>
          <w:sz w:val="28"/>
          <w:szCs w:val="28"/>
        </w:rPr>
        <w:t>附表：评审因素和标准</w:t>
      </w:r>
    </w:p>
    <w:tbl>
      <w:tblPr>
        <w:tblStyle w:val="18"/>
        <w:tblpPr w:leftFromText="180" w:rightFromText="180" w:vertAnchor="text" w:horzAnchor="page" w:tblpX="1262" w:tblpY="155"/>
        <w:tblOverlap w:val="never"/>
        <w:tblW w:w="98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036"/>
        <w:gridCol w:w="1336"/>
        <w:gridCol w:w="7084"/>
      </w:tblGrid>
      <w:tr w14:paraId="2E760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41" w:type="dxa"/>
            <w:gridSpan w:val="2"/>
            <w:tcBorders>
              <w:top w:val="single" w:color="auto" w:sz="12" w:space="0"/>
            </w:tcBorders>
            <w:noWrap/>
            <w:vAlign w:val="center"/>
          </w:tcPr>
          <w:p w14:paraId="12EEB646">
            <w:pPr>
              <w:adjustRightInd w:val="0"/>
              <w:snapToGrid w:val="0"/>
              <w:spacing w:before="120" w:beforeLines="50" w:line="32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1336" w:type="dxa"/>
            <w:tcBorders>
              <w:top w:val="single" w:color="auto" w:sz="12" w:space="0"/>
            </w:tcBorders>
            <w:noWrap/>
            <w:vAlign w:val="center"/>
          </w:tcPr>
          <w:p w14:paraId="6F0F10BA">
            <w:pPr>
              <w:adjustRightInd w:val="0"/>
              <w:snapToGrid w:val="0"/>
              <w:spacing w:before="120" w:beforeLines="50" w:line="320" w:lineRule="exact"/>
              <w:jc w:val="center"/>
              <w:rPr>
                <w:rFonts w:hint="eastAsia" w:ascii="宋体" w:hAnsi="宋体" w:eastAsia="宋体" w:cs="宋体"/>
                <w:b/>
                <w:sz w:val="24"/>
              </w:rPr>
            </w:pPr>
            <w:r>
              <w:rPr>
                <w:rFonts w:hint="eastAsia" w:ascii="宋体" w:hAnsi="宋体" w:eastAsia="宋体" w:cs="宋体"/>
                <w:b/>
                <w:sz w:val="24"/>
              </w:rPr>
              <w:t>权值</w:t>
            </w:r>
          </w:p>
        </w:tc>
        <w:tc>
          <w:tcPr>
            <w:tcW w:w="7084" w:type="dxa"/>
            <w:tcBorders>
              <w:top w:val="single" w:color="auto" w:sz="12" w:space="0"/>
            </w:tcBorders>
            <w:noWrap/>
            <w:vAlign w:val="center"/>
          </w:tcPr>
          <w:p w14:paraId="3040A711">
            <w:pPr>
              <w:adjustRightInd w:val="0"/>
              <w:snapToGrid w:val="0"/>
              <w:spacing w:before="120" w:beforeLines="50" w:line="320" w:lineRule="exact"/>
              <w:jc w:val="center"/>
              <w:rPr>
                <w:rFonts w:hint="eastAsia" w:ascii="宋体" w:hAnsi="宋体" w:eastAsia="宋体" w:cs="宋体"/>
                <w:b/>
                <w:sz w:val="24"/>
              </w:rPr>
            </w:pPr>
            <w:r>
              <w:rPr>
                <w:rFonts w:hint="eastAsia" w:ascii="宋体" w:hAnsi="宋体" w:eastAsia="宋体" w:cs="宋体"/>
                <w:b/>
                <w:sz w:val="24"/>
              </w:rPr>
              <w:t>评分标准</w:t>
            </w:r>
          </w:p>
        </w:tc>
      </w:tr>
      <w:tr w14:paraId="2EC80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05" w:type="dxa"/>
            <w:noWrap/>
            <w:vAlign w:val="center"/>
          </w:tcPr>
          <w:p w14:paraId="4F4F7A81">
            <w:pPr>
              <w:spacing w:after="120" w:line="320" w:lineRule="exact"/>
              <w:rPr>
                <w:rFonts w:hint="eastAsia" w:ascii="宋体" w:hAnsi="宋体" w:eastAsia="宋体" w:cs="宋体"/>
                <w:kern w:val="0"/>
                <w:sz w:val="24"/>
              </w:rPr>
            </w:pPr>
            <w:r>
              <w:rPr>
                <w:rFonts w:hint="eastAsia" w:ascii="宋体" w:hAnsi="宋体" w:eastAsia="宋体" w:cs="宋体"/>
                <w:kern w:val="0"/>
                <w:sz w:val="24"/>
              </w:rPr>
              <w:t>1</w:t>
            </w:r>
          </w:p>
        </w:tc>
        <w:tc>
          <w:tcPr>
            <w:tcW w:w="1036" w:type="dxa"/>
            <w:noWrap/>
            <w:vAlign w:val="center"/>
          </w:tcPr>
          <w:p w14:paraId="07B62D22">
            <w:pPr>
              <w:spacing w:after="120" w:line="320" w:lineRule="exact"/>
              <w:jc w:val="left"/>
              <w:rPr>
                <w:rFonts w:hint="eastAsia" w:ascii="宋体" w:hAnsi="宋体" w:eastAsia="宋体" w:cs="宋体"/>
                <w:kern w:val="0"/>
                <w:sz w:val="24"/>
              </w:rPr>
            </w:pPr>
            <w:r>
              <w:rPr>
                <w:rFonts w:hint="eastAsia" w:ascii="宋体" w:hAnsi="宋体" w:eastAsia="宋体" w:cs="宋体"/>
                <w:kern w:val="0"/>
                <w:sz w:val="24"/>
              </w:rPr>
              <w:t>报价部分（30分）</w:t>
            </w:r>
          </w:p>
        </w:tc>
        <w:tc>
          <w:tcPr>
            <w:tcW w:w="1336" w:type="dxa"/>
            <w:noWrap/>
            <w:vAlign w:val="center"/>
          </w:tcPr>
          <w:p w14:paraId="038B87AA">
            <w:pPr>
              <w:spacing w:line="360" w:lineRule="auto"/>
              <w:rPr>
                <w:rFonts w:hint="eastAsia" w:ascii="宋体" w:hAnsi="宋体" w:eastAsia="宋体" w:cs="宋体"/>
                <w:sz w:val="24"/>
              </w:rPr>
            </w:pPr>
            <w:r>
              <w:rPr>
                <w:rFonts w:hint="eastAsia" w:ascii="宋体" w:hAnsi="宋体" w:eastAsia="宋体" w:cs="宋体"/>
                <w:sz w:val="24"/>
              </w:rPr>
              <w:t>投标报价（30分)</w:t>
            </w:r>
          </w:p>
        </w:tc>
        <w:tc>
          <w:tcPr>
            <w:tcW w:w="7084" w:type="dxa"/>
            <w:noWrap/>
            <w:vAlign w:val="center"/>
          </w:tcPr>
          <w:p w14:paraId="0A3C4467">
            <w:pPr>
              <w:spacing w:line="360" w:lineRule="auto"/>
              <w:rPr>
                <w:rFonts w:hint="eastAsia" w:ascii="宋体" w:hAnsi="宋体" w:eastAsia="宋体" w:cs="宋体"/>
                <w:sz w:val="24"/>
              </w:rPr>
            </w:pPr>
            <w:r>
              <w:rPr>
                <w:rFonts w:hint="eastAsia" w:ascii="宋体" w:hAnsi="宋体" w:eastAsia="宋体" w:cs="宋体"/>
                <w:sz w:val="24"/>
              </w:rPr>
              <w:t>1、满足磋商文件要求且最后报价最低的供应商的价格为磋商基准价，其价格分为满分。其他供应商的价格分统一按照下列公式计算：</w:t>
            </w:r>
          </w:p>
          <w:p w14:paraId="792FDA67">
            <w:pPr>
              <w:spacing w:line="360" w:lineRule="auto"/>
              <w:rPr>
                <w:rFonts w:hint="eastAsia" w:ascii="宋体" w:hAnsi="宋体" w:eastAsia="宋体" w:cs="宋体"/>
                <w:sz w:val="24"/>
              </w:rPr>
            </w:pPr>
            <w:r>
              <w:rPr>
                <w:rFonts w:hint="eastAsia" w:ascii="宋体" w:hAnsi="宋体" w:eastAsia="宋体" w:cs="宋体"/>
                <w:sz w:val="24"/>
              </w:rPr>
              <w:t>磋商报价得分=（磋商基准价/最后磋商报价）×价格权值</w:t>
            </w:r>
          </w:p>
          <w:p w14:paraId="418161E7">
            <w:pPr>
              <w:spacing w:line="360" w:lineRule="auto"/>
              <w:rPr>
                <w:rFonts w:hint="eastAsia" w:ascii="宋体" w:hAnsi="宋体" w:eastAsia="宋体" w:cs="宋体"/>
                <w:sz w:val="24"/>
              </w:rPr>
            </w:pPr>
            <w:r>
              <w:rPr>
                <w:rFonts w:hint="eastAsia" w:ascii="宋体" w:hAnsi="宋体" w:eastAsia="宋体" w:cs="宋体"/>
                <w:sz w:val="24"/>
              </w:rPr>
              <w:t>2、出现下列情形之一的，评审委员会应当启动异常低价投标（响应）审查程序：</w:t>
            </w:r>
          </w:p>
          <w:p w14:paraId="29763CBB">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1投标（响应）报价低于全部通过符合性审查供应商投标（响应）报价平均值50%的，即投标（响应）报价&lt;全部通过符合性审查供应商投标（响应）报价平均值×50%；</w:t>
            </w:r>
          </w:p>
          <w:p w14:paraId="5E65F0F7">
            <w:pPr>
              <w:spacing w:line="360" w:lineRule="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投标（响应）报价低于通过符合性审查的次低报价供应商投标（响应）报价50%的，即投标（响应）报价&lt;通过符合性审查的次低报价供应商投标（响应）报价×50%；</w:t>
            </w:r>
          </w:p>
          <w:p w14:paraId="478766FD">
            <w:pPr>
              <w:spacing w:line="360" w:lineRule="auto"/>
              <w:rPr>
                <w:rFonts w:hint="eastAsia" w:ascii="宋体" w:hAnsi="宋体" w:eastAsia="宋体" w:cs="宋体"/>
                <w:sz w:val="24"/>
              </w:rPr>
            </w:pPr>
            <w:r>
              <w:rPr>
                <w:rFonts w:hint="eastAsia" w:ascii="宋体" w:hAnsi="宋体" w:eastAsia="宋体" w:cs="宋体"/>
                <w:sz w:val="24"/>
                <w:lang w:val="en-US" w:eastAsia="zh-CN"/>
              </w:rPr>
              <w:t>2.3</w:t>
            </w:r>
            <w:r>
              <w:rPr>
                <w:rFonts w:hint="eastAsia" w:ascii="宋体" w:hAnsi="宋体" w:eastAsia="宋体" w:cs="宋体"/>
                <w:sz w:val="24"/>
              </w:rPr>
              <w:t>投标（响应）报价低于采购项目最高限价45%的，即投标（响应）报价&lt;采购项目最高限价×45%；</w:t>
            </w:r>
          </w:p>
          <w:p w14:paraId="01E8E5B4">
            <w:pPr>
              <w:spacing w:line="360" w:lineRule="auto"/>
              <w:rPr>
                <w:rFonts w:hint="eastAsia" w:ascii="宋体" w:hAnsi="宋体" w:eastAsia="宋体" w:cs="宋体"/>
                <w:sz w:val="24"/>
              </w:rPr>
            </w:pPr>
            <w:r>
              <w:rPr>
                <w:rFonts w:hint="eastAsia" w:ascii="宋体" w:hAnsi="宋体" w:eastAsia="宋体" w:cs="宋体"/>
                <w:sz w:val="24"/>
                <w:lang w:val="en-US" w:eastAsia="zh-CN"/>
              </w:rPr>
              <w:t>2.4</w:t>
            </w:r>
            <w:r>
              <w:rPr>
                <w:rFonts w:hint="eastAsia" w:ascii="宋体" w:hAnsi="宋体" w:eastAsia="宋体" w:cs="宋体"/>
                <w:sz w:val="24"/>
              </w:rPr>
              <w:t>评审委员会基于专业判断，认为供应商报价过低，有可能影响产品质量或者不能诚信履约的其他情形。</w:t>
            </w:r>
          </w:p>
          <w:p w14:paraId="3B2E80D4">
            <w:pPr>
              <w:spacing w:line="360" w:lineRule="auto"/>
              <w:rPr>
                <w:rFonts w:hint="eastAsia" w:ascii="宋体" w:hAnsi="宋体" w:eastAsia="宋体" w:cs="宋体"/>
                <w:sz w:val="24"/>
              </w:rPr>
            </w:pPr>
            <w:r>
              <w:rPr>
                <w:rFonts w:hint="eastAsia" w:ascii="宋体" w:hAnsi="宋体" w:eastAsia="宋体" w:cs="宋体"/>
                <w:sz w:val="24"/>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根据项目成本构成因素决定）等，给予相关供应商的合理时间一般不少于30分钟。其中，属于第3项情形，供应商已随投标（响应）文件一并提交相关书面说明及必要的证明材料的，在评审现场可不再重复提交。</w:t>
            </w:r>
          </w:p>
          <w:p w14:paraId="26E3B489">
            <w:pPr>
              <w:spacing w:line="360" w:lineRule="auto"/>
              <w:rPr>
                <w:rFonts w:hint="eastAsia" w:ascii="宋体" w:hAnsi="宋体" w:eastAsia="宋体" w:cs="宋体"/>
                <w:sz w:val="24"/>
              </w:rPr>
            </w:pPr>
            <w:r>
              <w:rPr>
                <w:rFonts w:hint="eastAsia" w:ascii="宋体" w:hAnsi="宋体" w:eastAsia="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1D78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05" w:type="dxa"/>
            <w:vMerge w:val="restart"/>
            <w:noWrap/>
            <w:vAlign w:val="center"/>
          </w:tcPr>
          <w:p w14:paraId="7B1D6845">
            <w:pPr>
              <w:spacing w:after="120" w:line="320" w:lineRule="exact"/>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036" w:type="dxa"/>
            <w:vMerge w:val="restart"/>
            <w:noWrap/>
            <w:vAlign w:val="center"/>
          </w:tcPr>
          <w:p w14:paraId="62AEDC8C">
            <w:pPr>
              <w:spacing w:after="12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技术部分（</w:t>
            </w:r>
            <w:r>
              <w:rPr>
                <w:rFonts w:hint="eastAsia" w:ascii="宋体" w:hAnsi="宋体" w:cs="宋体"/>
                <w:color w:val="auto"/>
                <w:kern w:val="0"/>
                <w:sz w:val="24"/>
                <w:lang w:val="en-US" w:eastAsia="zh-CN"/>
              </w:rPr>
              <w:t>4</w:t>
            </w:r>
            <w:r>
              <w:rPr>
                <w:rFonts w:hint="eastAsia" w:ascii="宋体" w:hAnsi="宋体" w:eastAsia="宋体" w:cs="宋体"/>
                <w:color w:val="auto"/>
                <w:kern w:val="0"/>
                <w:sz w:val="24"/>
              </w:rPr>
              <w:t>0分）</w:t>
            </w:r>
          </w:p>
        </w:tc>
        <w:tc>
          <w:tcPr>
            <w:tcW w:w="1336" w:type="dxa"/>
            <w:noWrap/>
            <w:vAlign w:val="center"/>
          </w:tcPr>
          <w:p w14:paraId="20C6B2A9">
            <w:pPr>
              <w:spacing w:line="360" w:lineRule="auto"/>
              <w:rPr>
                <w:rFonts w:hint="eastAsia" w:ascii="宋体" w:hAnsi="宋体" w:eastAsia="宋体" w:cs="宋体"/>
                <w:sz w:val="24"/>
              </w:rPr>
            </w:pPr>
            <w:r>
              <w:rPr>
                <w:rFonts w:hint="eastAsia" w:ascii="宋体" w:hAnsi="宋体" w:eastAsia="宋体" w:cs="宋体"/>
                <w:sz w:val="24"/>
              </w:rPr>
              <w:t>项目理解</w:t>
            </w:r>
          </w:p>
          <w:p w14:paraId="51EBB78D">
            <w:pPr>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10</w:t>
            </w:r>
            <w:r>
              <w:rPr>
                <w:rFonts w:hint="eastAsia" w:ascii="宋体" w:hAnsi="宋体" w:eastAsia="宋体" w:cs="宋体"/>
                <w:sz w:val="24"/>
              </w:rPr>
              <w:t>分）</w:t>
            </w:r>
          </w:p>
        </w:tc>
        <w:tc>
          <w:tcPr>
            <w:tcW w:w="7084" w:type="dxa"/>
            <w:noWrap/>
            <w:vAlign w:val="center"/>
          </w:tcPr>
          <w:p w14:paraId="72F27746">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对投标人提出的项目理解与分析情况进行评审，内容包括但不限于：①对项目现状的了解情况；②重难点分析和内容；③解决思路；④计划设定的工作目标等内容。项目背景分析详细到位，对项目现状的了解情况认识全面，计划设定的工作目标设定合理的计10分；每缺少一项内容的，扣2.5分；每有一项内容有缺陷的扣1.25分，扣完为止。</w:t>
            </w:r>
          </w:p>
          <w:p w14:paraId="0C0E15D5">
            <w:pPr>
              <w:spacing w:line="360" w:lineRule="auto"/>
              <w:rPr>
                <w:rFonts w:hint="eastAsia" w:ascii="宋体" w:hAnsi="宋体" w:eastAsia="宋体" w:cs="宋体"/>
                <w:sz w:val="24"/>
              </w:rPr>
            </w:pPr>
            <w:r>
              <w:rPr>
                <w:rFonts w:hint="eastAsia" w:ascii="宋体" w:hAnsi="宋体" w:eastAsia="宋体" w:cs="宋体"/>
                <w:sz w:val="24"/>
              </w:rPr>
              <w:t>说明：内容有缺陷是指符合以下任意一项：分项内容与项目需求不一致或没有关联性；涉及的技术规范标准等与国家或行业标准或磋商文件要求不一致；分项内容空洞、语义表述不清，前后矛盾，存在歧义、混乱，内容不充实。</w:t>
            </w:r>
          </w:p>
        </w:tc>
      </w:tr>
      <w:tr w14:paraId="7802F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05" w:type="dxa"/>
            <w:vMerge w:val="continue"/>
            <w:noWrap/>
            <w:vAlign w:val="center"/>
          </w:tcPr>
          <w:p w14:paraId="057FC666">
            <w:pPr>
              <w:spacing w:after="120" w:line="320" w:lineRule="exact"/>
              <w:rPr>
                <w:rFonts w:hint="eastAsia" w:ascii="宋体" w:hAnsi="宋体" w:eastAsia="宋体" w:cs="宋体"/>
                <w:color w:val="auto"/>
                <w:kern w:val="0"/>
                <w:sz w:val="24"/>
              </w:rPr>
            </w:pPr>
          </w:p>
        </w:tc>
        <w:tc>
          <w:tcPr>
            <w:tcW w:w="1036" w:type="dxa"/>
            <w:vMerge w:val="continue"/>
            <w:noWrap/>
            <w:vAlign w:val="center"/>
          </w:tcPr>
          <w:p w14:paraId="6C601052">
            <w:pPr>
              <w:spacing w:after="120" w:line="320" w:lineRule="exact"/>
              <w:jc w:val="left"/>
              <w:rPr>
                <w:rFonts w:hint="eastAsia" w:ascii="宋体" w:hAnsi="宋体" w:eastAsia="宋体" w:cs="宋体"/>
                <w:color w:val="auto"/>
                <w:kern w:val="0"/>
                <w:sz w:val="24"/>
              </w:rPr>
            </w:pPr>
          </w:p>
        </w:tc>
        <w:tc>
          <w:tcPr>
            <w:tcW w:w="1336" w:type="dxa"/>
            <w:noWrap/>
            <w:vAlign w:val="center"/>
          </w:tcPr>
          <w:p w14:paraId="64512F60">
            <w:pPr>
              <w:spacing w:line="360" w:lineRule="auto"/>
              <w:rPr>
                <w:rFonts w:hint="eastAsia" w:ascii="宋体" w:hAnsi="宋体" w:eastAsia="宋体" w:cs="宋体"/>
                <w:sz w:val="24"/>
              </w:rPr>
            </w:pPr>
            <w:r>
              <w:rPr>
                <w:rFonts w:hint="eastAsia" w:ascii="宋体" w:hAnsi="宋体" w:eastAsia="宋体" w:cs="宋体"/>
                <w:sz w:val="24"/>
                <w:lang w:val="en-US" w:eastAsia="zh-CN"/>
              </w:rPr>
              <w:t>项目实施方案</w:t>
            </w:r>
            <w:r>
              <w:rPr>
                <w:rFonts w:hint="eastAsia" w:ascii="宋体" w:hAnsi="宋体" w:eastAsia="宋体" w:cs="宋体"/>
                <w:sz w:val="24"/>
              </w:rPr>
              <w:t>（</w:t>
            </w:r>
            <w:r>
              <w:rPr>
                <w:rFonts w:hint="eastAsia" w:ascii="宋体" w:hAnsi="宋体" w:eastAsia="宋体" w:cs="宋体"/>
                <w:sz w:val="24"/>
                <w:lang w:val="en-US" w:eastAsia="zh-CN"/>
              </w:rPr>
              <w:t>20</w:t>
            </w:r>
            <w:r>
              <w:rPr>
                <w:rFonts w:hint="eastAsia" w:ascii="宋体" w:hAnsi="宋体" w:eastAsia="宋体" w:cs="宋体"/>
                <w:sz w:val="24"/>
              </w:rPr>
              <w:t>分）</w:t>
            </w:r>
          </w:p>
        </w:tc>
        <w:tc>
          <w:tcPr>
            <w:tcW w:w="7084" w:type="dxa"/>
            <w:noWrap/>
            <w:vAlign w:val="center"/>
          </w:tcPr>
          <w:p w14:paraId="4F4A1A1C">
            <w:pPr>
              <w:spacing w:line="360" w:lineRule="auto"/>
              <w:rPr>
                <w:rFonts w:hint="eastAsia" w:ascii="宋体" w:hAnsi="宋体" w:eastAsia="宋体" w:cs="宋体"/>
                <w:sz w:val="24"/>
              </w:rPr>
            </w:pPr>
            <w:r>
              <w:rPr>
                <w:rFonts w:hint="eastAsia" w:ascii="宋体" w:hAnsi="宋体" w:eastAsia="宋体" w:cs="宋体"/>
                <w:sz w:val="24"/>
              </w:rPr>
              <w:t>对投标人提出的工作技术路线和方法进行评审，内容包括但不限于：</w:t>
            </w:r>
            <w:r>
              <w:rPr>
                <w:rFonts w:hint="eastAsia" w:ascii="宋体" w:hAnsi="宋体" w:eastAsia="宋体" w:cs="宋体"/>
                <w:sz w:val="24"/>
                <w:lang w:val="en-US" w:eastAsia="zh-CN"/>
              </w:rPr>
              <w:t>①专业技术人员配备及安排</w:t>
            </w:r>
            <w:r>
              <w:rPr>
                <w:rFonts w:hint="eastAsia" w:ascii="宋体" w:hAnsi="宋体" w:eastAsia="宋体" w:cs="宋体"/>
                <w:sz w:val="24"/>
                <w:lang w:eastAsia="zh-CN"/>
              </w:rPr>
              <w:t>；</w:t>
            </w:r>
            <w:r>
              <w:rPr>
                <w:rFonts w:hint="eastAsia" w:ascii="宋体" w:hAnsi="宋体" w:eastAsia="宋体" w:cs="宋体"/>
                <w:sz w:val="24"/>
                <w:lang w:val="en-US" w:eastAsia="zh-CN"/>
              </w:rPr>
              <w:t>②建设进度计划及保证措施</w:t>
            </w:r>
            <w:r>
              <w:rPr>
                <w:rFonts w:hint="eastAsia" w:ascii="宋体" w:hAnsi="宋体" w:eastAsia="宋体" w:cs="宋体"/>
                <w:sz w:val="24"/>
                <w:lang w:eastAsia="zh-CN"/>
              </w:rPr>
              <w:t>；</w:t>
            </w:r>
            <w:r>
              <w:rPr>
                <w:rFonts w:hint="eastAsia" w:ascii="宋体" w:hAnsi="宋体" w:eastAsia="宋体" w:cs="宋体"/>
                <w:sz w:val="24"/>
                <w:lang w:val="en-US" w:eastAsia="zh-CN"/>
              </w:rPr>
              <w:t>③设备安装调试方法；④监控数据对接技术路线；⑤安全文明施工措施</w:t>
            </w:r>
            <w:r>
              <w:rPr>
                <w:rFonts w:hint="eastAsia" w:ascii="宋体" w:hAnsi="宋体" w:eastAsia="宋体" w:cs="宋体"/>
                <w:sz w:val="24"/>
              </w:rPr>
              <w:t>等方面。</w:t>
            </w:r>
          </w:p>
          <w:p w14:paraId="16A4BAE3">
            <w:pPr>
              <w:spacing w:line="360" w:lineRule="auto"/>
              <w:rPr>
                <w:rFonts w:hint="eastAsia" w:ascii="宋体" w:hAnsi="宋体" w:eastAsia="宋体" w:cs="宋体"/>
                <w:sz w:val="24"/>
              </w:rPr>
            </w:pPr>
            <w:r>
              <w:rPr>
                <w:rFonts w:hint="eastAsia" w:ascii="宋体" w:hAnsi="宋体" w:eastAsia="宋体" w:cs="宋体"/>
                <w:sz w:val="24"/>
              </w:rPr>
              <w:t>工作方法</w:t>
            </w:r>
            <w:r>
              <w:rPr>
                <w:rFonts w:hint="eastAsia" w:ascii="宋体" w:hAnsi="宋体" w:eastAsia="宋体" w:cs="宋体"/>
                <w:sz w:val="24"/>
                <w:lang w:val="en-US" w:eastAsia="zh-CN"/>
              </w:rPr>
              <w:t>完整</w:t>
            </w:r>
            <w:r>
              <w:rPr>
                <w:rFonts w:hint="eastAsia" w:ascii="宋体" w:hAnsi="宋体" w:eastAsia="宋体" w:cs="宋体"/>
                <w:sz w:val="24"/>
                <w:lang w:eastAsia="zh-CN"/>
              </w:rPr>
              <w:t>、</w:t>
            </w:r>
            <w:r>
              <w:rPr>
                <w:rFonts w:hint="eastAsia" w:ascii="宋体" w:hAnsi="宋体" w:eastAsia="宋体" w:cs="宋体"/>
                <w:sz w:val="24"/>
              </w:rPr>
              <w:t>技术路线清晰明确</w:t>
            </w:r>
            <w:r>
              <w:rPr>
                <w:rFonts w:hint="eastAsia" w:ascii="宋体" w:hAnsi="宋体" w:eastAsia="宋体" w:cs="宋体"/>
                <w:sz w:val="24"/>
                <w:lang w:eastAsia="zh-CN"/>
              </w:rPr>
              <w:t>、</w:t>
            </w:r>
            <w:r>
              <w:rPr>
                <w:rFonts w:hint="eastAsia" w:ascii="宋体" w:hAnsi="宋体" w:eastAsia="宋体" w:cs="宋体"/>
                <w:sz w:val="24"/>
                <w:lang w:val="en-US" w:eastAsia="zh-CN"/>
              </w:rPr>
              <w:t>人员安排可行性高</w:t>
            </w:r>
            <w:r>
              <w:rPr>
                <w:rFonts w:hint="eastAsia" w:ascii="宋体" w:hAnsi="宋体" w:eastAsia="宋体" w:cs="宋体"/>
                <w:sz w:val="24"/>
              </w:rPr>
              <w:t>计</w:t>
            </w:r>
            <w:r>
              <w:rPr>
                <w:rFonts w:hint="eastAsia" w:ascii="宋体" w:hAnsi="宋体" w:eastAsia="宋体" w:cs="宋体"/>
                <w:sz w:val="24"/>
                <w:lang w:val="en-US" w:eastAsia="zh-CN"/>
              </w:rPr>
              <w:t>20</w:t>
            </w:r>
            <w:r>
              <w:rPr>
                <w:rFonts w:hint="eastAsia" w:ascii="宋体" w:hAnsi="宋体" w:eastAsia="宋体" w:cs="宋体"/>
                <w:sz w:val="24"/>
              </w:rPr>
              <w:t>分；每缺少一项内容的，扣</w:t>
            </w:r>
            <w:r>
              <w:rPr>
                <w:rFonts w:hint="eastAsia" w:ascii="宋体" w:hAnsi="宋体" w:eastAsia="宋体" w:cs="宋体"/>
                <w:sz w:val="24"/>
                <w:lang w:val="en-US" w:eastAsia="zh-CN"/>
              </w:rPr>
              <w:t>4</w:t>
            </w:r>
            <w:r>
              <w:rPr>
                <w:rFonts w:hint="eastAsia" w:ascii="宋体" w:hAnsi="宋体" w:eastAsia="宋体" w:cs="宋体"/>
                <w:sz w:val="24"/>
              </w:rPr>
              <w:t>分；每有一项内容有缺陷的扣</w:t>
            </w:r>
            <w:r>
              <w:rPr>
                <w:rFonts w:hint="eastAsia" w:ascii="宋体" w:hAnsi="宋体" w:eastAsia="宋体" w:cs="宋体"/>
                <w:sz w:val="24"/>
                <w:lang w:val="en-US" w:eastAsia="zh-CN"/>
              </w:rPr>
              <w:t>2</w:t>
            </w:r>
            <w:r>
              <w:rPr>
                <w:rFonts w:hint="eastAsia" w:ascii="宋体" w:hAnsi="宋体" w:eastAsia="宋体" w:cs="宋体"/>
                <w:sz w:val="24"/>
              </w:rPr>
              <w:t>分，扣完为止。</w:t>
            </w:r>
          </w:p>
          <w:p w14:paraId="0BE661C3">
            <w:pPr>
              <w:spacing w:line="360" w:lineRule="auto"/>
              <w:rPr>
                <w:rFonts w:hint="eastAsia" w:ascii="宋体" w:hAnsi="宋体" w:eastAsia="宋体" w:cs="宋体"/>
                <w:sz w:val="24"/>
              </w:rPr>
            </w:pPr>
            <w:r>
              <w:rPr>
                <w:rFonts w:hint="eastAsia" w:ascii="宋体" w:hAnsi="宋体" w:eastAsia="宋体" w:cs="宋体"/>
                <w:sz w:val="24"/>
              </w:rPr>
              <w:t>说明：内容有缺陷是指符合以下任意一项：分项内容与项目需求不一致或没有关联性；涉及的技术规范标准等与国家或行业标准或磋商文件要求不一致；分项内容空洞、语义表述不清，前后矛盾，存在歧义、混乱，内容不充实。</w:t>
            </w:r>
          </w:p>
        </w:tc>
      </w:tr>
      <w:tr w14:paraId="4E046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05" w:type="dxa"/>
            <w:vMerge w:val="continue"/>
            <w:noWrap/>
            <w:vAlign w:val="center"/>
          </w:tcPr>
          <w:p w14:paraId="6477D3EE">
            <w:pPr>
              <w:spacing w:after="120" w:line="320" w:lineRule="exact"/>
              <w:rPr>
                <w:rFonts w:hint="eastAsia" w:ascii="宋体" w:hAnsi="宋体" w:eastAsia="宋体" w:cs="宋体"/>
                <w:color w:val="auto"/>
                <w:kern w:val="0"/>
                <w:sz w:val="24"/>
              </w:rPr>
            </w:pPr>
          </w:p>
        </w:tc>
        <w:tc>
          <w:tcPr>
            <w:tcW w:w="1036" w:type="dxa"/>
            <w:vMerge w:val="continue"/>
            <w:noWrap/>
            <w:vAlign w:val="center"/>
          </w:tcPr>
          <w:p w14:paraId="434090A5">
            <w:pPr>
              <w:spacing w:after="120" w:line="320" w:lineRule="exact"/>
              <w:jc w:val="left"/>
              <w:rPr>
                <w:rFonts w:hint="eastAsia" w:ascii="宋体" w:hAnsi="宋体" w:eastAsia="宋体" w:cs="宋体"/>
                <w:color w:val="auto"/>
                <w:kern w:val="0"/>
                <w:sz w:val="24"/>
              </w:rPr>
            </w:pPr>
          </w:p>
        </w:tc>
        <w:tc>
          <w:tcPr>
            <w:tcW w:w="1336" w:type="dxa"/>
            <w:noWrap/>
            <w:vAlign w:val="center"/>
          </w:tcPr>
          <w:p w14:paraId="15D1289A">
            <w:pPr>
              <w:spacing w:line="360" w:lineRule="auto"/>
              <w:rPr>
                <w:rFonts w:hint="eastAsia" w:ascii="宋体" w:hAnsi="宋体" w:eastAsia="宋体" w:cs="宋体"/>
                <w:sz w:val="24"/>
              </w:rPr>
            </w:pPr>
            <w:r>
              <w:rPr>
                <w:rFonts w:hint="eastAsia" w:ascii="宋体" w:hAnsi="宋体" w:eastAsia="宋体" w:cs="宋体"/>
                <w:sz w:val="24"/>
              </w:rPr>
              <w:t>质量保障措施（</w:t>
            </w:r>
            <w:r>
              <w:rPr>
                <w:rFonts w:hint="eastAsia" w:ascii="宋体" w:hAnsi="宋体" w:eastAsia="宋体" w:cs="宋体"/>
                <w:sz w:val="24"/>
                <w:lang w:val="en-US" w:eastAsia="zh-CN"/>
              </w:rPr>
              <w:t>10</w:t>
            </w:r>
            <w:r>
              <w:rPr>
                <w:rFonts w:hint="eastAsia" w:ascii="宋体" w:hAnsi="宋体" w:eastAsia="宋体" w:cs="宋体"/>
                <w:sz w:val="24"/>
              </w:rPr>
              <w:t>分）</w:t>
            </w:r>
          </w:p>
        </w:tc>
        <w:tc>
          <w:tcPr>
            <w:tcW w:w="7084" w:type="dxa"/>
            <w:noWrap/>
            <w:vAlign w:val="center"/>
          </w:tcPr>
          <w:p w14:paraId="1A248285">
            <w:pPr>
              <w:spacing w:line="360" w:lineRule="auto"/>
              <w:rPr>
                <w:rFonts w:hint="eastAsia" w:ascii="宋体" w:hAnsi="宋体" w:eastAsia="宋体" w:cs="宋体"/>
                <w:sz w:val="24"/>
                <w:lang w:eastAsia="zh-CN"/>
              </w:rPr>
            </w:pPr>
            <w:r>
              <w:rPr>
                <w:rFonts w:hint="eastAsia" w:ascii="宋体" w:hAnsi="宋体" w:eastAsia="宋体" w:cs="宋体"/>
                <w:sz w:val="24"/>
                <w:lang w:val="en-US" w:eastAsia="zh-CN"/>
              </w:rPr>
              <w:t>因此次更换数字微波网全网电源，故</w:t>
            </w:r>
            <w:r>
              <w:rPr>
                <w:rFonts w:hint="eastAsia" w:ascii="宋体" w:hAnsi="宋体" w:eastAsia="宋体" w:cs="宋体"/>
                <w:sz w:val="24"/>
              </w:rPr>
              <w:t>对投标人提出的质量保障措施进行评审，内容包括但不限于：</w:t>
            </w:r>
            <w:r>
              <w:rPr>
                <w:rFonts w:hint="eastAsia" w:ascii="宋体" w:hAnsi="宋体" w:eastAsia="宋体" w:cs="宋体"/>
                <w:sz w:val="24"/>
                <w:lang w:val="en-US" w:eastAsia="zh-CN"/>
              </w:rPr>
              <w:t>①施工时对全省数字微波网安全播出</w:t>
            </w:r>
            <w:r>
              <w:rPr>
                <w:rFonts w:hint="eastAsia" w:ascii="宋体" w:hAnsi="宋体" w:eastAsia="宋体" w:cs="宋体"/>
                <w:sz w:val="24"/>
              </w:rPr>
              <w:t>质量保证和控制措施</w:t>
            </w:r>
            <w:r>
              <w:rPr>
                <w:rFonts w:hint="eastAsia" w:ascii="宋体" w:hAnsi="宋体" w:eastAsia="宋体" w:cs="宋体"/>
                <w:sz w:val="24"/>
                <w:lang w:val="en-US" w:eastAsia="zh-CN"/>
              </w:rPr>
              <w:t>方案</w:t>
            </w:r>
            <w:r>
              <w:rPr>
                <w:rFonts w:hint="eastAsia" w:ascii="宋体" w:hAnsi="宋体" w:eastAsia="宋体" w:cs="宋体"/>
                <w:sz w:val="24"/>
              </w:rPr>
              <w:t>；</w:t>
            </w:r>
            <w:r>
              <w:rPr>
                <w:rFonts w:hint="eastAsia" w:ascii="宋体" w:hAnsi="宋体" w:eastAsia="宋体" w:cs="宋体"/>
                <w:sz w:val="24"/>
                <w:lang w:val="en-US" w:eastAsia="zh-CN"/>
              </w:rPr>
              <w:t>②施工时数字微波网其他设备安全</w:t>
            </w:r>
            <w:r>
              <w:rPr>
                <w:rFonts w:hint="eastAsia" w:ascii="宋体" w:hAnsi="宋体" w:eastAsia="宋体" w:cs="宋体"/>
                <w:sz w:val="24"/>
              </w:rPr>
              <w:t>保证</w:t>
            </w:r>
            <w:r>
              <w:rPr>
                <w:rFonts w:hint="eastAsia" w:ascii="宋体" w:hAnsi="宋体" w:eastAsia="宋体" w:cs="宋体"/>
                <w:sz w:val="24"/>
                <w:lang w:val="en-US" w:eastAsia="zh-CN"/>
              </w:rPr>
              <w:t>方案等方面</w:t>
            </w:r>
            <w:r>
              <w:rPr>
                <w:rFonts w:hint="eastAsia" w:ascii="宋体" w:hAnsi="宋体" w:eastAsia="宋体" w:cs="宋体"/>
                <w:sz w:val="24"/>
                <w:lang w:eastAsia="zh-CN"/>
              </w:rPr>
              <w:t>。</w:t>
            </w:r>
          </w:p>
          <w:p w14:paraId="01B8CCB5">
            <w:pPr>
              <w:spacing w:line="360" w:lineRule="auto"/>
              <w:rPr>
                <w:rFonts w:hint="eastAsia" w:ascii="宋体" w:hAnsi="宋体" w:eastAsia="宋体" w:cs="宋体"/>
                <w:sz w:val="24"/>
              </w:rPr>
            </w:pPr>
            <w:r>
              <w:rPr>
                <w:rFonts w:hint="eastAsia" w:ascii="宋体" w:hAnsi="宋体" w:eastAsia="宋体" w:cs="宋体"/>
                <w:sz w:val="24"/>
              </w:rPr>
              <w:t>质量保证和控制措施完整、合理</w:t>
            </w:r>
            <w:r>
              <w:rPr>
                <w:rFonts w:hint="eastAsia" w:ascii="宋体" w:hAnsi="宋体" w:eastAsia="宋体" w:cs="宋体"/>
                <w:sz w:val="24"/>
                <w:lang w:eastAsia="zh-CN"/>
              </w:rPr>
              <w:t>、</w:t>
            </w:r>
            <w:r>
              <w:rPr>
                <w:rFonts w:hint="eastAsia" w:ascii="宋体" w:hAnsi="宋体" w:eastAsia="宋体" w:cs="宋体"/>
                <w:sz w:val="24"/>
                <w:lang w:val="en-US" w:eastAsia="zh-CN"/>
              </w:rPr>
              <w:t>进度</w:t>
            </w:r>
            <w:r>
              <w:rPr>
                <w:rFonts w:hint="eastAsia" w:ascii="宋体" w:hAnsi="宋体" w:eastAsia="宋体" w:cs="宋体"/>
                <w:sz w:val="24"/>
              </w:rPr>
              <w:t>管理</w:t>
            </w:r>
            <w:r>
              <w:rPr>
                <w:rFonts w:hint="eastAsia" w:ascii="宋体" w:hAnsi="宋体" w:eastAsia="宋体" w:cs="宋体"/>
                <w:sz w:val="24"/>
                <w:lang w:val="en-US" w:eastAsia="zh-CN"/>
              </w:rPr>
              <w:t>方案</w:t>
            </w:r>
            <w:r>
              <w:rPr>
                <w:rFonts w:hint="eastAsia" w:ascii="宋体" w:hAnsi="宋体" w:eastAsia="宋体" w:cs="宋体"/>
                <w:sz w:val="24"/>
              </w:rPr>
              <w:t>完整可行</w:t>
            </w:r>
            <w:r>
              <w:rPr>
                <w:rFonts w:hint="eastAsia" w:ascii="宋体" w:hAnsi="宋体" w:eastAsia="宋体" w:cs="宋体"/>
                <w:sz w:val="24"/>
                <w:lang w:val="en-US" w:eastAsia="zh-CN"/>
              </w:rPr>
              <w:t>的计10分，</w:t>
            </w:r>
            <w:r>
              <w:rPr>
                <w:rFonts w:hint="eastAsia" w:ascii="宋体" w:hAnsi="宋体" w:eastAsia="宋体" w:cs="宋体"/>
                <w:sz w:val="24"/>
              </w:rPr>
              <w:t>每缺少一项内容的，扣</w:t>
            </w:r>
            <w:r>
              <w:rPr>
                <w:rFonts w:hint="eastAsia" w:ascii="宋体" w:hAnsi="宋体" w:eastAsia="宋体" w:cs="宋体"/>
                <w:sz w:val="24"/>
                <w:lang w:val="en-US" w:eastAsia="zh-CN"/>
              </w:rPr>
              <w:t>5</w:t>
            </w:r>
            <w:r>
              <w:rPr>
                <w:rFonts w:hint="eastAsia" w:ascii="宋体" w:hAnsi="宋体" w:eastAsia="宋体" w:cs="宋体"/>
                <w:sz w:val="24"/>
              </w:rPr>
              <w:t>分；每有一项内容有缺陷的扣</w:t>
            </w:r>
            <w:r>
              <w:rPr>
                <w:rFonts w:hint="eastAsia" w:ascii="宋体" w:hAnsi="宋体" w:eastAsia="宋体" w:cs="宋体"/>
                <w:sz w:val="24"/>
                <w:lang w:val="en-US" w:eastAsia="zh-CN"/>
              </w:rPr>
              <w:t>2.5</w:t>
            </w:r>
            <w:r>
              <w:rPr>
                <w:rFonts w:hint="eastAsia" w:ascii="宋体" w:hAnsi="宋体" w:eastAsia="宋体" w:cs="宋体"/>
                <w:sz w:val="24"/>
              </w:rPr>
              <w:t>分，扣完为止。</w:t>
            </w:r>
          </w:p>
          <w:p w14:paraId="30F4DC38">
            <w:pPr>
              <w:spacing w:line="360" w:lineRule="auto"/>
              <w:rPr>
                <w:rFonts w:hint="eastAsia" w:ascii="宋体" w:hAnsi="宋体" w:eastAsia="宋体" w:cs="宋体"/>
                <w:sz w:val="24"/>
              </w:rPr>
            </w:pPr>
            <w:r>
              <w:rPr>
                <w:rFonts w:hint="eastAsia" w:ascii="宋体" w:hAnsi="宋体" w:eastAsia="宋体" w:cs="宋体"/>
                <w:sz w:val="24"/>
              </w:rPr>
              <w:t>说明：内容有缺陷是指符合以下任意一项：分项内容与项目需求不一致或没有关联性；涉及的技术规范标准等与国家或行业标准或磋商文件要求不一致；分项内容空洞、语义表述不清，前后矛盾，存在歧义、混乱，内容不充实。</w:t>
            </w:r>
          </w:p>
        </w:tc>
      </w:tr>
      <w:tr w14:paraId="6FEB4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405" w:type="dxa"/>
            <w:vMerge w:val="restart"/>
            <w:noWrap/>
            <w:vAlign w:val="center"/>
          </w:tcPr>
          <w:p w14:paraId="0E1C989F">
            <w:pPr>
              <w:spacing w:after="120" w:line="320" w:lineRule="exact"/>
              <w:rPr>
                <w:rFonts w:hint="eastAsia" w:ascii="宋体" w:hAnsi="宋体" w:eastAsia="宋体" w:cs="宋体"/>
                <w:color w:val="auto"/>
                <w:kern w:val="0"/>
                <w:sz w:val="24"/>
              </w:rPr>
            </w:pPr>
            <w:r>
              <w:rPr>
                <w:rFonts w:hint="eastAsia" w:ascii="宋体" w:hAnsi="宋体" w:eastAsia="宋体" w:cs="宋体"/>
                <w:color w:val="auto"/>
                <w:kern w:val="0"/>
                <w:sz w:val="24"/>
              </w:rPr>
              <w:t>3</w:t>
            </w:r>
          </w:p>
          <w:p w14:paraId="41706E2D">
            <w:pPr>
              <w:spacing w:after="120" w:line="320" w:lineRule="exact"/>
              <w:rPr>
                <w:rFonts w:hint="eastAsia" w:ascii="宋体" w:hAnsi="宋体" w:eastAsia="宋体" w:cs="宋体"/>
                <w:color w:val="auto"/>
                <w:kern w:val="0"/>
                <w:sz w:val="24"/>
              </w:rPr>
            </w:pPr>
          </w:p>
          <w:p w14:paraId="658A36A1">
            <w:pPr>
              <w:spacing w:after="120" w:line="320" w:lineRule="exact"/>
              <w:rPr>
                <w:rFonts w:hint="eastAsia" w:ascii="宋体" w:hAnsi="宋体" w:eastAsia="宋体" w:cs="宋体"/>
                <w:color w:val="auto"/>
                <w:kern w:val="0"/>
                <w:sz w:val="24"/>
              </w:rPr>
            </w:pPr>
          </w:p>
        </w:tc>
        <w:tc>
          <w:tcPr>
            <w:tcW w:w="1036" w:type="dxa"/>
            <w:vMerge w:val="restart"/>
            <w:noWrap/>
            <w:vAlign w:val="center"/>
          </w:tcPr>
          <w:p w14:paraId="05948F80">
            <w:pPr>
              <w:spacing w:after="12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商务部分</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0分）</w:t>
            </w:r>
          </w:p>
        </w:tc>
        <w:tc>
          <w:tcPr>
            <w:tcW w:w="1336" w:type="dxa"/>
            <w:noWrap/>
            <w:vAlign w:val="center"/>
          </w:tcPr>
          <w:p w14:paraId="7FF5C221">
            <w:pPr>
              <w:spacing w:line="360" w:lineRule="auto"/>
              <w:rPr>
                <w:rFonts w:hint="eastAsia" w:ascii="宋体" w:hAnsi="宋体" w:eastAsia="宋体" w:cs="宋体"/>
                <w:sz w:val="24"/>
              </w:rPr>
            </w:pPr>
            <w:r>
              <w:rPr>
                <w:rFonts w:hint="eastAsia" w:ascii="宋体" w:hAnsi="宋体" w:eastAsia="宋体" w:cs="宋体"/>
                <w:sz w:val="24"/>
              </w:rPr>
              <w:t>团队</w:t>
            </w:r>
          </w:p>
          <w:p w14:paraId="3A72F0AE">
            <w:pPr>
              <w:spacing w:line="360" w:lineRule="auto"/>
              <w:rPr>
                <w:rFonts w:hint="eastAsia" w:ascii="宋体" w:hAnsi="宋体" w:eastAsia="宋体" w:cs="宋体"/>
                <w:sz w:val="24"/>
              </w:rPr>
            </w:pPr>
            <w:r>
              <w:rPr>
                <w:rFonts w:hint="eastAsia" w:ascii="宋体" w:hAnsi="宋体" w:eastAsia="宋体" w:cs="宋体"/>
                <w:sz w:val="24"/>
              </w:rPr>
              <w:t>人员</w:t>
            </w:r>
          </w:p>
          <w:p w14:paraId="619E8D40">
            <w:pPr>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15</w:t>
            </w:r>
            <w:r>
              <w:rPr>
                <w:rFonts w:hint="eastAsia" w:ascii="宋体" w:hAnsi="宋体" w:eastAsia="宋体" w:cs="宋体"/>
                <w:sz w:val="24"/>
              </w:rPr>
              <w:t>分）</w:t>
            </w:r>
          </w:p>
        </w:tc>
        <w:tc>
          <w:tcPr>
            <w:tcW w:w="7084" w:type="dxa"/>
            <w:noWrap/>
            <w:vAlign w:val="center"/>
          </w:tcPr>
          <w:p w14:paraId="283AA5BB">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1、投标人拟派本项目团队中项目负责人具有计算机技术与软件专业技术资格（水平）考试系统集成项目管理工程师（中级及以上）的计3分，最高计3分。</w:t>
            </w:r>
          </w:p>
          <w:p w14:paraId="252D6EBC">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2、投标人拟派本项目团队中其他成员（项目负责人除外）具有通信工程（设备环境）中级及以上职称或电气自动化相关工程类中级及以上职称的，每人计2分，最多计6分。</w:t>
            </w:r>
          </w:p>
          <w:p w14:paraId="32E33BC4">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3、投标人提供承诺函，承诺为本项目同时派出4组作业人员，每组不少于2人的，计3分；能同时派出5组作业人员，每组不少于2人的，计6分，最高计6分，投标文件提供完整派驻人员清单及承诺函（格式自拟）。</w:t>
            </w:r>
          </w:p>
          <w:p w14:paraId="77DE6773">
            <w:pPr>
              <w:spacing w:line="360" w:lineRule="auto"/>
              <w:rPr>
                <w:rFonts w:hint="eastAsia" w:ascii="宋体" w:hAnsi="宋体" w:eastAsia="宋体" w:cs="宋体"/>
                <w:sz w:val="24"/>
              </w:rPr>
            </w:pPr>
            <w:r>
              <w:rPr>
                <w:rFonts w:hint="eastAsia" w:ascii="宋体" w:hAnsi="宋体" w:eastAsia="宋体" w:cs="宋体"/>
                <w:sz w:val="24"/>
                <w:lang w:val="en-US" w:eastAsia="zh-CN"/>
              </w:rPr>
              <w:t>注：同一人有多个证书的不重复计分，须提供人员证书扫描件，同时提供本单位为其购买社保并出具相关部门的社保证明（社保证明时段为响应文件递交截止日前三个月时间内任意一个月）</w:t>
            </w:r>
          </w:p>
        </w:tc>
      </w:tr>
      <w:tr w14:paraId="4E5F3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5" w:type="dxa"/>
            <w:vMerge w:val="continue"/>
            <w:noWrap/>
            <w:vAlign w:val="center"/>
          </w:tcPr>
          <w:p w14:paraId="510E1A3C">
            <w:pPr>
              <w:spacing w:after="120" w:line="320" w:lineRule="exact"/>
              <w:rPr>
                <w:rFonts w:hint="eastAsia" w:ascii="宋体" w:hAnsi="宋体" w:eastAsia="宋体" w:cs="宋体"/>
                <w:color w:val="auto"/>
                <w:kern w:val="0"/>
                <w:sz w:val="24"/>
              </w:rPr>
            </w:pPr>
          </w:p>
        </w:tc>
        <w:tc>
          <w:tcPr>
            <w:tcW w:w="1036" w:type="dxa"/>
            <w:vMerge w:val="continue"/>
            <w:noWrap/>
            <w:vAlign w:val="center"/>
          </w:tcPr>
          <w:p w14:paraId="623B9A98">
            <w:pPr>
              <w:spacing w:after="120" w:line="320" w:lineRule="exact"/>
              <w:jc w:val="center"/>
              <w:rPr>
                <w:rFonts w:hint="eastAsia" w:ascii="宋体" w:hAnsi="宋体" w:eastAsia="宋体" w:cs="宋体"/>
                <w:color w:val="auto"/>
                <w:kern w:val="0"/>
                <w:sz w:val="24"/>
              </w:rPr>
            </w:pPr>
          </w:p>
        </w:tc>
        <w:tc>
          <w:tcPr>
            <w:tcW w:w="1336" w:type="dxa"/>
            <w:noWrap/>
            <w:vAlign w:val="center"/>
          </w:tcPr>
          <w:p w14:paraId="748A4E99">
            <w:pPr>
              <w:spacing w:line="360" w:lineRule="auto"/>
              <w:rPr>
                <w:rFonts w:hint="eastAsia" w:ascii="宋体" w:hAnsi="宋体" w:eastAsia="宋体" w:cs="宋体"/>
                <w:sz w:val="24"/>
              </w:rPr>
            </w:pPr>
            <w:r>
              <w:rPr>
                <w:rFonts w:hint="eastAsia" w:ascii="宋体" w:hAnsi="宋体" w:eastAsia="宋体" w:cs="宋体"/>
                <w:sz w:val="24"/>
                <w:lang w:val="en-US" w:eastAsia="zh-CN"/>
              </w:rPr>
              <w:t>售后服务（7分）</w:t>
            </w:r>
          </w:p>
        </w:tc>
        <w:tc>
          <w:tcPr>
            <w:tcW w:w="7084" w:type="dxa"/>
            <w:noWrap/>
            <w:vAlign w:val="center"/>
          </w:tcPr>
          <w:p w14:paraId="29DB50B1">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1、投标人提供承诺函（格式自拟），承诺整体质保期在满足招标文件要求的基础上，整体质保期每增加1年的计1分，本项最多计2分。</w:t>
            </w:r>
          </w:p>
          <w:p w14:paraId="11D90F23">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针对本项目提供的售后服务方案，包括但不限于①具体的响应时间、②售后服务人员配备等。方案表述全面、完善有针对性、措施合理、贴合本项目实际情况且具有可行性的计5分；方案内容每存在一处缺漏项的扣2.5分；描述不清、内容不详、针对性不强的每处扣1.25分,扣完为止。未提供的不计分。</w:t>
            </w:r>
          </w:p>
          <w:p w14:paraId="22122E2D">
            <w:pPr>
              <w:spacing w:line="360" w:lineRule="auto"/>
              <w:rPr>
                <w:rFonts w:hint="eastAsia" w:ascii="宋体" w:hAnsi="宋体" w:eastAsia="宋体" w:cs="宋体"/>
                <w:sz w:val="24"/>
              </w:rPr>
            </w:pPr>
            <w:r>
              <w:rPr>
                <w:rFonts w:hint="eastAsia" w:ascii="宋体" w:hAnsi="宋体" w:eastAsia="宋体" w:cs="宋体"/>
                <w:sz w:val="24"/>
                <w:lang w:val="en-US" w:eastAsia="zh-CN"/>
              </w:rPr>
              <w:t>说明：内容有缺陷是指符合以下任意一项：分项内容与项目需求不一致或没有关联性；涉及的技术规范标准等与国家或行业标准或磋商文件要求不一致；分项内容空洞、语义表述不清，前后矛盾，存在歧义、混乱，内容不充实。</w:t>
            </w:r>
          </w:p>
        </w:tc>
      </w:tr>
      <w:tr w14:paraId="38226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05" w:type="dxa"/>
            <w:vMerge w:val="continue"/>
            <w:noWrap/>
            <w:vAlign w:val="center"/>
          </w:tcPr>
          <w:p w14:paraId="4E400BDC">
            <w:pPr>
              <w:spacing w:after="120" w:line="320" w:lineRule="exact"/>
              <w:rPr>
                <w:rFonts w:hint="eastAsia" w:ascii="宋体" w:hAnsi="宋体" w:eastAsia="宋体" w:cs="宋体"/>
                <w:color w:val="auto"/>
                <w:kern w:val="0"/>
                <w:sz w:val="24"/>
              </w:rPr>
            </w:pPr>
          </w:p>
        </w:tc>
        <w:tc>
          <w:tcPr>
            <w:tcW w:w="1036" w:type="dxa"/>
            <w:vMerge w:val="continue"/>
            <w:noWrap/>
            <w:vAlign w:val="center"/>
          </w:tcPr>
          <w:p w14:paraId="5022B931">
            <w:pPr>
              <w:spacing w:after="120" w:line="320" w:lineRule="exact"/>
              <w:jc w:val="center"/>
              <w:rPr>
                <w:rFonts w:hint="eastAsia" w:ascii="宋体" w:hAnsi="宋体" w:eastAsia="宋体" w:cs="宋体"/>
                <w:color w:val="auto"/>
                <w:kern w:val="0"/>
                <w:sz w:val="24"/>
              </w:rPr>
            </w:pPr>
          </w:p>
        </w:tc>
        <w:tc>
          <w:tcPr>
            <w:tcW w:w="1336" w:type="dxa"/>
            <w:noWrap/>
            <w:vAlign w:val="center"/>
          </w:tcPr>
          <w:p w14:paraId="26717B84">
            <w:pPr>
              <w:spacing w:line="360" w:lineRule="auto"/>
              <w:jc w:val="center"/>
              <w:rPr>
                <w:rFonts w:hint="eastAsia" w:ascii="宋体" w:hAnsi="宋体" w:cs="宋体"/>
                <w:sz w:val="24"/>
              </w:rPr>
            </w:pPr>
            <w:r>
              <w:rPr>
                <w:rFonts w:hint="eastAsia" w:ascii="宋体" w:hAnsi="宋体" w:cs="宋体"/>
                <w:sz w:val="24"/>
              </w:rPr>
              <w:t>类似</w:t>
            </w:r>
          </w:p>
          <w:p w14:paraId="6EC745C0">
            <w:pPr>
              <w:spacing w:line="360" w:lineRule="auto"/>
              <w:jc w:val="center"/>
              <w:rPr>
                <w:rFonts w:hint="eastAsia" w:ascii="宋体" w:hAnsi="宋体" w:cs="宋体"/>
                <w:sz w:val="24"/>
              </w:rPr>
            </w:pPr>
            <w:r>
              <w:rPr>
                <w:rFonts w:hint="eastAsia" w:ascii="宋体" w:hAnsi="宋体" w:cs="宋体"/>
                <w:sz w:val="24"/>
              </w:rPr>
              <w:t>业绩</w:t>
            </w:r>
          </w:p>
          <w:p w14:paraId="2B7EF595">
            <w:pPr>
              <w:spacing w:line="360" w:lineRule="auto"/>
              <w:jc w:val="center"/>
              <w:rPr>
                <w:rFonts w:hint="eastAsia" w:ascii="宋体" w:hAnsi="宋体" w:eastAsia="宋体" w:cs="宋体"/>
                <w:color w:val="auto"/>
                <w:kern w:val="0"/>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分）</w:t>
            </w:r>
          </w:p>
        </w:tc>
        <w:tc>
          <w:tcPr>
            <w:tcW w:w="7084" w:type="dxa"/>
            <w:noWrap/>
            <w:vAlign w:val="center"/>
          </w:tcPr>
          <w:p w14:paraId="7FCC80BA">
            <w:pPr>
              <w:spacing w:line="360" w:lineRule="auto"/>
              <w:rPr>
                <w:rFonts w:hint="eastAsia" w:ascii="宋体" w:hAnsi="宋体" w:cs="宋体"/>
                <w:sz w:val="24"/>
              </w:rPr>
            </w:pPr>
            <w:r>
              <w:rPr>
                <w:rFonts w:hint="eastAsia" w:ascii="宋体" w:hAnsi="宋体" w:cs="宋体"/>
                <w:sz w:val="24"/>
              </w:rPr>
              <w:t>供应商近三年（</w:t>
            </w:r>
            <w:r>
              <w:rPr>
                <w:rFonts w:hint="eastAsia" w:ascii="宋体" w:hAnsi="宋体" w:cs="宋体"/>
                <w:sz w:val="24"/>
                <w:lang w:val="en-US" w:eastAsia="zh-CN"/>
              </w:rPr>
              <w:t>投标截止日期前36个月</w:t>
            </w:r>
            <w:r>
              <w:rPr>
                <w:rFonts w:hint="eastAsia" w:ascii="宋体" w:hAnsi="宋体" w:cs="宋体"/>
                <w:sz w:val="24"/>
              </w:rPr>
              <w:t>）完成过</w:t>
            </w:r>
            <w:r>
              <w:rPr>
                <w:rFonts w:hint="eastAsia" w:ascii="宋体" w:hAnsi="宋体" w:cs="宋体"/>
                <w:sz w:val="24"/>
                <w:lang w:val="en-US" w:eastAsia="zh-CN"/>
              </w:rPr>
              <w:t>类似项目</w:t>
            </w:r>
            <w:r>
              <w:rPr>
                <w:rFonts w:hint="eastAsia" w:ascii="宋体" w:hAnsi="宋体" w:cs="宋体"/>
                <w:sz w:val="24"/>
              </w:rPr>
              <w:t xml:space="preserve">业绩的每个计 </w:t>
            </w:r>
            <w:r>
              <w:rPr>
                <w:rFonts w:hint="eastAsia" w:ascii="宋体" w:hAnsi="宋体" w:cs="宋体"/>
                <w:sz w:val="24"/>
                <w:lang w:val="en-US" w:eastAsia="zh-CN"/>
              </w:rPr>
              <w:t>2</w:t>
            </w:r>
            <w:r>
              <w:rPr>
                <w:rFonts w:hint="eastAsia" w:ascii="宋体" w:hAnsi="宋体" w:cs="宋体"/>
                <w:sz w:val="24"/>
              </w:rPr>
              <w:t>分，此项最多计</w:t>
            </w:r>
            <w:r>
              <w:rPr>
                <w:rFonts w:hint="eastAsia" w:ascii="宋体" w:hAnsi="宋体" w:cs="宋体"/>
                <w:sz w:val="24"/>
                <w:lang w:val="en-US" w:eastAsia="zh-CN"/>
              </w:rPr>
              <w:t>8</w:t>
            </w:r>
            <w:r>
              <w:rPr>
                <w:rFonts w:hint="eastAsia" w:ascii="宋体" w:hAnsi="宋体" w:cs="宋体"/>
                <w:sz w:val="24"/>
              </w:rPr>
              <w:t>分。</w:t>
            </w:r>
          </w:p>
          <w:p w14:paraId="41F3DF73">
            <w:pPr>
              <w:spacing w:line="360" w:lineRule="auto"/>
              <w:rPr>
                <w:rFonts w:hint="eastAsia" w:ascii="宋体" w:hAnsi="宋体" w:eastAsia="宋体" w:cs="宋体"/>
                <w:color w:val="auto"/>
                <w:kern w:val="0"/>
                <w:sz w:val="24"/>
              </w:rPr>
            </w:pPr>
            <w:r>
              <w:rPr>
                <w:rFonts w:hint="eastAsia"/>
                <w:b w:val="0"/>
                <w:bCs w:val="0"/>
                <w:sz w:val="24"/>
                <w:szCs w:val="32"/>
              </w:rPr>
              <w:t>（</w:t>
            </w:r>
            <w:r>
              <w:rPr>
                <w:rFonts w:hint="eastAsia"/>
                <w:b w:val="0"/>
                <w:bCs w:val="0"/>
                <w:sz w:val="24"/>
                <w:szCs w:val="32"/>
                <w:lang w:val="en-US" w:eastAsia="zh-CN"/>
              </w:rPr>
              <w:t>有效时间以合同协议书中体现的时间为准。</w:t>
            </w:r>
            <w:r>
              <w:rPr>
                <w:rFonts w:hint="eastAsia"/>
                <w:b w:val="0"/>
                <w:bCs w:val="0"/>
                <w:sz w:val="24"/>
                <w:szCs w:val="32"/>
              </w:rPr>
              <w:t>提供合同复印件并加盖供应商公章，否则不计分）</w:t>
            </w:r>
          </w:p>
        </w:tc>
      </w:tr>
      <w:tr w14:paraId="2E5F1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41" w:type="dxa"/>
            <w:gridSpan w:val="2"/>
            <w:noWrap/>
            <w:vAlign w:val="center"/>
          </w:tcPr>
          <w:p w14:paraId="18C89894">
            <w:pPr>
              <w:spacing w:after="12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合计</w:t>
            </w:r>
          </w:p>
        </w:tc>
        <w:tc>
          <w:tcPr>
            <w:tcW w:w="8420" w:type="dxa"/>
            <w:gridSpan w:val="2"/>
            <w:noWrap/>
            <w:vAlign w:val="center"/>
          </w:tcPr>
          <w:p w14:paraId="49B47DC5">
            <w:pPr>
              <w:spacing w:after="12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（100分）</w:t>
            </w:r>
          </w:p>
        </w:tc>
      </w:tr>
      <w:tr w14:paraId="1BFF5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41" w:type="dxa"/>
            <w:gridSpan w:val="2"/>
            <w:noWrap/>
            <w:vAlign w:val="center"/>
          </w:tcPr>
          <w:p w14:paraId="0E2DEDFB">
            <w:pPr>
              <w:spacing w:after="12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推荐的中标候选人数</w:t>
            </w:r>
          </w:p>
        </w:tc>
        <w:tc>
          <w:tcPr>
            <w:tcW w:w="8420" w:type="dxa"/>
            <w:gridSpan w:val="2"/>
            <w:noWrap/>
            <w:vAlign w:val="center"/>
          </w:tcPr>
          <w:p w14:paraId="47370E03">
            <w:pPr>
              <w:spacing w:after="12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3名</w:t>
            </w:r>
          </w:p>
        </w:tc>
      </w:tr>
      <w:tr w14:paraId="69098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441" w:type="dxa"/>
            <w:gridSpan w:val="2"/>
            <w:noWrap/>
            <w:vAlign w:val="center"/>
          </w:tcPr>
          <w:p w14:paraId="1202CA54">
            <w:pPr>
              <w:adjustRightInd w:val="0"/>
              <w:snapToGrid w:val="0"/>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推荐的中标候选人说明</w:t>
            </w:r>
          </w:p>
        </w:tc>
        <w:tc>
          <w:tcPr>
            <w:tcW w:w="8420" w:type="dxa"/>
            <w:gridSpan w:val="2"/>
            <w:noWrap/>
            <w:vAlign w:val="center"/>
          </w:tcPr>
          <w:p w14:paraId="3606E35F">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1、计算过程中，算术平均值保留2位小数（百分比亦取2位小数），第三位小数四舍五入。</w:t>
            </w:r>
          </w:p>
          <w:p w14:paraId="174EEA95">
            <w:pPr>
              <w:adjustRightInd w:val="0"/>
              <w:snapToGrid w:val="0"/>
              <w:spacing w:line="320" w:lineRule="exact"/>
              <w:jc w:val="center"/>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cs="宋体"/>
                <w:color w:val="auto"/>
                <w:sz w:val="24"/>
                <w:lang w:eastAsia="zh-CN"/>
              </w:rPr>
              <w:t>供应商</w:t>
            </w:r>
            <w:r>
              <w:rPr>
                <w:rFonts w:hint="eastAsia" w:ascii="宋体" w:hAnsi="宋体" w:eastAsia="宋体" w:cs="宋体"/>
                <w:color w:val="auto"/>
                <w:sz w:val="24"/>
              </w:rPr>
              <w:t>的最终得分为：所有评委对其评分的算术平均值。</w:t>
            </w:r>
          </w:p>
        </w:tc>
      </w:tr>
    </w:tbl>
    <w:p w14:paraId="49E42F77">
      <w:pPr>
        <w:adjustRightInd w:val="0"/>
        <w:snapToGrid w:val="0"/>
        <w:spacing w:line="400" w:lineRule="exact"/>
        <w:rPr>
          <w:rFonts w:hint="eastAsia" w:ascii="宋体" w:hAnsi="宋体" w:eastAsia="宋体" w:cs="宋体"/>
          <w:bCs/>
          <w:szCs w:val="21"/>
        </w:rPr>
      </w:pPr>
      <w:r>
        <w:rPr>
          <w:rFonts w:hint="eastAsia" w:ascii="宋体" w:hAnsi="宋体" w:eastAsia="宋体" w:cs="宋体"/>
          <w:bCs/>
          <w:szCs w:val="21"/>
        </w:rPr>
        <w:t>说明：</w:t>
      </w:r>
    </w:p>
    <w:p w14:paraId="0DDE953C">
      <w:pPr>
        <w:adjustRightInd w:val="0"/>
        <w:snapToGrid w:val="0"/>
        <w:spacing w:line="400" w:lineRule="exact"/>
        <w:rPr>
          <w:rFonts w:ascii="宋体" w:hAnsi="宋体" w:eastAsia="宋体" w:cs="宋体"/>
          <w:bCs/>
          <w:szCs w:val="21"/>
        </w:rPr>
      </w:pPr>
      <w:r>
        <w:rPr>
          <w:rFonts w:hint="eastAsia" w:ascii="宋体" w:hAnsi="宋体" w:eastAsia="宋体" w:cs="宋体"/>
          <w:bCs/>
          <w:szCs w:val="21"/>
        </w:rPr>
        <w:t>1、评分依据评审标准，对照响应文件进行。评审标准涉及要求提供复印件的，响应文件中须附相关证书和证明文件的复印件并加盖单位公章，否则相应计分项不予计分。</w:t>
      </w:r>
    </w:p>
    <w:p w14:paraId="0F356C15">
      <w:pPr>
        <w:spacing w:line="400" w:lineRule="exact"/>
        <w:rPr>
          <w:rFonts w:ascii="宋体" w:hAnsi="宋体" w:eastAsia="宋体" w:cs="宋体"/>
          <w:bCs/>
          <w:szCs w:val="21"/>
        </w:rPr>
      </w:pPr>
      <w:r>
        <w:rPr>
          <w:rFonts w:hint="eastAsia" w:ascii="宋体" w:hAnsi="宋体" w:eastAsia="宋体" w:cs="宋体"/>
          <w:bCs/>
          <w:szCs w:val="21"/>
        </w:rPr>
        <w:t>2、供应商须对复印件的真实性负责，如存在弄虚作假行为，将作无效投标处理。</w:t>
      </w:r>
    </w:p>
    <w:p w14:paraId="287840E3">
      <w:pPr>
        <w:adjustRightInd w:val="0"/>
        <w:snapToGrid w:val="0"/>
        <w:spacing w:line="360" w:lineRule="auto"/>
        <w:jc w:val="left"/>
        <w:rPr>
          <w:rFonts w:hint="eastAsia" w:ascii="宋体" w:hAnsi="宋体" w:cs="宋体"/>
          <w:b/>
          <w:bCs/>
          <w:color w:val="auto"/>
          <w:kern w:val="0"/>
          <w:szCs w:val="21"/>
        </w:rPr>
      </w:pPr>
    </w:p>
    <w:p w14:paraId="4A8D7E4E">
      <w:pPr>
        <w:pStyle w:val="2"/>
        <w:rPr>
          <w:rFonts w:ascii="黑体" w:eastAsia="黑体"/>
          <w:sz w:val="32"/>
          <w:szCs w:val="32"/>
        </w:rPr>
      </w:pPr>
    </w:p>
    <w:p w14:paraId="43708CC0">
      <w:pPr>
        <w:rPr>
          <w:rFonts w:ascii="黑体" w:eastAsia="黑体"/>
          <w:sz w:val="32"/>
          <w:szCs w:val="32"/>
        </w:rPr>
      </w:pPr>
    </w:p>
    <w:p w14:paraId="23B0B6C1">
      <w:pPr>
        <w:pStyle w:val="2"/>
        <w:rPr>
          <w:rFonts w:ascii="黑体" w:eastAsia="黑体"/>
          <w:sz w:val="32"/>
          <w:szCs w:val="32"/>
        </w:rPr>
      </w:pPr>
    </w:p>
    <w:p w14:paraId="49307807">
      <w:pPr>
        <w:rPr>
          <w:rFonts w:ascii="黑体" w:eastAsia="黑体"/>
          <w:sz w:val="32"/>
          <w:szCs w:val="32"/>
        </w:rPr>
      </w:pPr>
    </w:p>
    <w:p w14:paraId="61AC8726">
      <w:pPr>
        <w:pStyle w:val="2"/>
        <w:rPr>
          <w:rFonts w:ascii="黑体" w:eastAsia="黑体"/>
          <w:sz w:val="32"/>
          <w:szCs w:val="32"/>
        </w:rPr>
      </w:pPr>
    </w:p>
    <w:p w14:paraId="7E675A0C">
      <w:pPr>
        <w:rPr>
          <w:rFonts w:ascii="黑体" w:eastAsia="黑体"/>
          <w:sz w:val="32"/>
          <w:szCs w:val="32"/>
        </w:rPr>
      </w:pPr>
      <w:r>
        <w:rPr>
          <w:rFonts w:hint="eastAsia" w:ascii="黑体" w:eastAsia="黑体"/>
          <w:sz w:val="32"/>
          <w:szCs w:val="32"/>
        </w:rPr>
        <w:br w:type="page"/>
      </w:r>
    </w:p>
    <w:p w14:paraId="4F5066FB">
      <w:pPr>
        <w:adjustRightInd w:val="0"/>
        <w:snapToGrid w:val="0"/>
        <w:spacing w:line="360" w:lineRule="auto"/>
        <w:jc w:val="center"/>
        <w:outlineLvl w:val="1"/>
        <w:rPr>
          <w:rFonts w:ascii="黑体" w:hAnsi="宋体" w:eastAsia="黑体"/>
          <w:sz w:val="32"/>
          <w:szCs w:val="32"/>
        </w:rPr>
      </w:pPr>
      <w:bookmarkStart w:id="32" w:name="_Toc18819"/>
      <w:r>
        <w:rPr>
          <w:rFonts w:hint="eastAsia" w:ascii="黑体" w:eastAsia="黑体"/>
          <w:sz w:val="32"/>
          <w:szCs w:val="32"/>
        </w:rPr>
        <w:t>磋商须知</w:t>
      </w:r>
      <w:r>
        <w:rPr>
          <w:rFonts w:hint="eastAsia" w:ascii="黑体" w:hAnsi="宋体" w:eastAsia="黑体"/>
          <w:sz w:val="32"/>
          <w:szCs w:val="32"/>
        </w:rPr>
        <w:t>正文</w:t>
      </w:r>
      <w:bookmarkEnd w:id="32"/>
    </w:p>
    <w:p w14:paraId="1DDF2D20">
      <w:pPr>
        <w:adjustRightInd w:val="0"/>
        <w:snapToGrid w:val="0"/>
        <w:spacing w:line="360" w:lineRule="auto"/>
        <w:rPr>
          <w:rFonts w:ascii="黑体" w:hAnsi="宋体" w:eastAsia="黑体"/>
          <w:sz w:val="24"/>
        </w:rPr>
      </w:pPr>
      <w:r>
        <w:rPr>
          <w:rFonts w:hint="eastAsia" w:ascii="黑体" w:hAnsi="宋体" w:eastAsia="黑体"/>
          <w:sz w:val="24"/>
        </w:rPr>
        <w:t>一、说明</w:t>
      </w:r>
    </w:p>
    <w:p w14:paraId="6D5A9BDD">
      <w:pPr>
        <w:adjustRightInd w:val="0"/>
        <w:snapToGrid w:val="0"/>
        <w:spacing w:line="360" w:lineRule="auto"/>
        <w:rPr>
          <w:rFonts w:ascii="宋体" w:hAnsi="宋体"/>
          <w:b/>
          <w:bCs/>
          <w:sz w:val="24"/>
        </w:rPr>
      </w:pPr>
      <w:r>
        <w:rPr>
          <w:rFonts w:hint="eastAsia" w:ascii="宋体" w:hAnsi="宋体"/>
          <w:b/>
          <w:bCs/>
          <w:sz w:val="24"/>
        </w:rPr>
        <w:t>1.适用范围</w:t>
      </w:r>
    </w:p>
    <w:p w14:paraId="48E14043">
      <w:pPr>
        <w:adjustRightInd w:val="0"/>
        <w:snapToGrid w:val="0"/>
        <w:spacing w:line="360" w:lineRule="auto"/>
        <w:ind w:firstLine="480" w:firstLineChars="200"/>
        <w:rPr>
          <w:rFonts w:ascii="宋体" w:hAnsi="宋体"/>
          <w:sz w:val="24"/>
        </w:rPr>
      </w:pPr>
      <w:r>
        <w:rPr>
          <w:rFonts w:hint="eastAsia" w:ascii="宋体" w:hAnsi="宋体"/>
          <w:sz w:val="24"/>
        </w:rPr>
        <w:t>1.1 本磋商文件仅适用于磋商须知前附表(以下简称</w:t>
      </w:r>
      <w:r>
        <w:rPr>
          <w:rFonts w:hint="eastAsia" w:ascii="宋体" w:hAnsi="宋体"/>
          <w:b/>
          <w:sz w:val="24"/>
        </w:rPr>
        <w:t>磋商须知前附表)</w:t>
      </w:r>
      <w:r>
        <w:rPr>
          <w:rFonts w:hint="eastAsia" w:ascii="宋体" w:hAnsi="宋体"/>
          <w:sz w:val="24"/>
        </w:rPr>
        <w:t>中所叙述的采购项目。</w:t>
      </w:r>
    </w:p>
    <w:p w14:paraId="6482828D">
      <w:pPr>
        <w:adjustRightInd w:val="0"/>
        <w:snapToGrid w:val="0"/>
        <w:spacing w:line="360" w:lineRule="auto"/>
        <w:rPr>
          <w:rFonts w:ascii="宋体" w:hAnsi="宋体"/>
          <w:b/>
          <w:bCs/>
          <w:sz w:val="24"/>
        </w:rPr>
      </w:pPr>
      <w:r>
        <w:rPr>
          <w:rFonts w:hint="eastAsia" w:ascii="宋体" w:hAnsi="宋体"/>
          <w:b/>
          <w:bCs/>
          <w:sz w:val="24"/>
        </w:rPr>
        <w:t>2.定义</w:t>
      </w:r>
    </w:p>
    <w:p w14:paraId="4B08904D">
      <w:pPr>
        <w:adjustRightInd w:val="0"/>
        <w:snapToGrid w:val="0"/>
        <w:spacing w:line="360" w:lineRule="auto"/>
        <w:ind w:firstLine="480" w:firstLineChars="200"/>
        <w:rPr>
          <w:rFonts w:ascii="宋体" w:hAnsi="宋体"/>
          <w:b/>
          <w:sz w:val="24"/>
        </w:rPr>
      </w:pPr>
      <w:r>
        <w:rPr>
          <w:rFonts w:hint="eastAsia" w:ascii="宋体" w:hAnsi="宋体"/>
          <w:sz w:val="24"/>
        </w:rPr>
        <w:t>2.1 “采购人”是指依法进行政府采购的国家机关、事业单位、团体组织。本次政府采购的采购人名称、地址、电话、联系人见</w:t>
      </w:r>
      <w:r>
        <w:rPr>
          <w:rFonts w:hint="eastAsia" w:ascii="宋体" w:hAnsi="宋体"/>
          <w:b/>
          <w:sz w:val="24"/>
        </w:rPr>
        <w:t>磋商须知前附表</w:t>
      </w:r>
      <w:r>
        <w:rPr>
          <w:rFonts w:hint="eastAsia" w:ascii="宋体" w:hAnsi="宋体"/>
          <w:sz w:val="24"/>
        </w:rPr>
        <w:t>。</w:t>
      </w:r>
    </w:p>
    <w:p w14:paraId="51319DA2">
      <w:pPr>
        <w:adjustRightInd w:val="0"/>
        <w:snapToGrid w:val="0"/>
        <w:spacing w:line="360" w:lineRule="auto"/>
        <w:ind w:firstLine="480" w:firstLineChars="200"/>
        <w:rPr>
          <w:rFonts w:ascii="宋体" w:hAnsi="宋体"/>
          <w:b/>
          <w:sz w:val="24"/>
        </w:rPr>
      </w:pPr>
      <w:r>
        <w:rPr>
          <w:rFonts w:hint="eastAsia" w:ascii="宋体" w:hAnsi="宋体"/>
          <w:sz w:val="24"/>
        </w:rPr>
        <w:t>2.2 “采购代理机构”是指接受采购人委托，代理采购项目的集中采购机构和其他采购代理机构。本次政府采购的采购代理机构名称、地址、电话、联系人见</w:t>
      </w:r>
      <w:r>
        <w:rPr>
          <w:rFonts w:hint="eastAsia" w:ascii="宋体" w:hAnsi="宋体"/>
          <w:b/>
          <w:sz w:val="24"/>
        </w:rPr>
        <w:t>磋商须知前附表。</w:t>
      </w:r>
    </w:p>
    <w:p w14:paraId="5488DF08">
      <w:pPr>
        <w:adjustRightInd w:val="0"/>
        <w:snapToGrid w:val="0"/>
        <w:spacing w:line="360" w:lineRule="auto"/>
        <w:ind w:firstLine="480" w:firstLineChars="200"/>
        <w:rPr>
          <w:rFonts w:ascii="宋体" w:hAnsi="宋体" w:cs="宋体"/>
          <w:bCs/>
          <w:kern w:val="36"/>
          <w:sz w:val="24"/>
        </w:rPr>
      </w:pPr>
      <w:r>
        <w:rPr>
          <w:rFonts w:hint="eastAsia" w:ascii="宋体" w:hAnsi="宋体"/>
          <w:sz w:val="24"/>
        </w:rPr>
        <w:t>2.3 “供应商”是指响应磋商文件要求、参加竞争性磋商采购的法人、其他组织或者自然人。本次政府采购项目</w:t>
      </w:r>
      <w:r>
        <w:rPr>
          <w:rFonts w:hint="eastAsia" w:ascii="宋体" w:hAnsi="宋体" w:cs="宋体"/>
          <w:kern w:val="0"/>
          <w:sz w:val="24"/>
        </w:rPr>
        <w:t>邀请</w:t>
      </w:r>
      <w:r>
        <w:rPr>
          <w:rFonts w:hint="eastAsia" w:ascii="宋体" w:hAnsi="宋体"/>
          <w:sz w:val="24"/>
        </w:rPr>
        <w:t>的</w:t>
      </w:r>
      <w:r>
        <w:rPr>
          <w:rFonts w:hint="eastAsia" w:ascii="宋体" w:hAnsi="宋体" w:cs="宋体"/>
          <w:kern w:val="0"/>
          <w:sz w:val="24"/>
        </w:rPr>
        <w:t>供应商通过</w:t>
      </w:r>
      <w:r>
        <w:rPr>
          <w:rFonts w:hint="eastAsia" w:ascii="宋体" w:hAnsi="宋体"/>
          <w:b/>
          <w:sz w:val="24"/>
        </w:rPr>
        <w:t>磋商须知前附表</w:t>
      </w:r>
      <w:r>
        <w:rPr>
          <w:rFonts w:hint="eastAsia" w:ascii="宋体" w:hAnsi="宋体"/>
          <w:sz w:val="24"/>
        </w:rPr>
        <w:t>所述方式</w:t>
      </w:r>
      <w:r>
        <w:rPr>
          <w:rFonts w:hint="eastAsia" w:ascii="宋体" w:hAnsi="宋体" w:cs="宋体"/>
          <w:kern w:val="0"/>
          <w:sz w:val="24"/>
        </w:rPr>
        <w:t>，邀请符合资格条件的供应商提交响应文件（含资格证明资料），参与竞争性磋商采购活动。</w:t>
      </w:r>
    </w:p>
    <w:p w14:paraId="6152A3D0">
      <w:pPr>
        <w:adjustRightInd w:val="0"/>
        <w:snapToGrid w:val="0"/>
        <w:spacing w:line="360" w:lineRule="auto"/>
        <w:ind w:firstLine="480" w:firstLineChars="200"/>
        <w:rPr>
          <w:rFonts w:ascii="宋体" w:hAnsi="宋体" w:cs="宋体"/>
          <w:kern w:val="0"/>
          <w:sz w:val="24"/>
        </w:rPr>
      </w:pPr>
      <w:r>
        <w:rPr>
          <w:rFonts w:hint="eastAsia" w:ascii="宋体" w:hAnsi="宋体"/>
          <w:sz w:val="24"/>
        </w:rPr>
        <w:t>2.4 “磋商小组”是指</w:t>
      </w:r>
      <w:r>
        <w:rPr>
          <w:rFonts w:hint="eastAsia" w:ascii="宋体" w:hAnsi="宋体" w:cs="宋体"/>
          <w:kern w:val="0"/>
          <w:sz w:val="24"/>
        </w:rPr>
        <w:t>依据财政部</w:t>
      </w:r>
      <w:r>
        <w:rPr>
          <w:rFonts w:ascii="宋体" w:hAnsi="宋体" w:cs="宋体"/>
          <w:bCs/>
          <w:kern w:val="36"/>
          <w:sz w:val="24"/>
        </w:rPr>
        <w:t>《</w:t>
      </w:r>
      <w:r>
        <w:rPr>
          <w:rFonts w:hint="eastAsia" w:ascii="宋体" w:hAnsi="宋体" w:cs="宋体"/>
          <w:bCs/>
          <w:kern w:val="36"/>
          <w:sz w:val="24"/>
        </w:rPr>
        <w:t>政府采购竞争性磋商采购方式管理暂行办法</w:t>
      </w:r>
      <w:r>
        <w:rPr>
          <w:rFonts w:ascii="宋体" w:hAnsi="宋体" w:cs="宋体"/>
          <w:bCs/>
          <w:kern w:val="36"/>
          <w:sz w:val="24"/>
        </w:rPr>
        <w:t>》</w:t>
      </w:r>
      <w:r>
        <w:rPr>
          <w:rFonts w:hint="eastAsia" w:ascii="宋体" w:hAnsi="宋体" w:cs="宋体"/>
          <w:bCs/>
          <w:kern w:val="36"/>
          <w:sz w:val="24"/>
        </w:rPr>
        <w:t>有关规定组建，依法依规</w:t>
      </w:r>
      <w:r>
        <w:rPr>
          <w:rFonts w:hint="eastAsia" w:ascii="宋体" w:hAnsi="宋体" w:cs="宋体"/>
          <w:kern w:val="0"/>
          <w:sz w:val="24"/>
        </w:rPr>
        <w:t>履行其职责和义务的机构。</w:t>
      </w:r>
    </w:p>
    <w:p w14:paraId="4C8A0742">
      <w:pPr>
        <w:adjustRightInd w:val="0"/>
        <w:snapToGrid w:val="0"/>
        <w:spacing w:line="360" w:lineRule="auto"/>
        <w:ind w:firstLine="480" w:firstLineChars="200"/>
        <w:rPr>
          <w:rFonts w:ascii="宋体" w:hAnsi="宋体"/>
          <w:sz w:val="24"/>
        </w:rPr>
      </w:pPr>
      <w:r>
        <w:rPr>
          <w:rFonts w:hint="eastAsia" w:ascii="宋体" w:hAnsi="宋体"/>
          <w:sz w:val="24"/>
        </w:rPr>
        <w:t>2.5 “货物”是指各种形态和种类的物品，包括原资料、燃料、设备、产品等，详见《政府采购品目分类目录》(</w:t>
      </w:r>
      <w:r>
        <w:rPr>
          <w:rStyle w:val="21"/>
          <w:rFonts w:hint="eastAsia" w:ascii="宋体" w:hAnsi="宋体"/>
          <w:b w:val="0"/>
          <w:sz w:val="24"/>
          <w:lang w:eastAsia="zh-CN"/>
        </w:rPr>
        <w:t>财库[2022]31号</w:t>
      </w:r>
      <w:r>
        <w:rPr>
          <w:rFonts w:hint="eastAsia" w:ascii="宋体" w:hAnsi="宋体"/>
          <w:sz w:val="24"/>
        </w:rPr>
        <w:t>)。</w:t>
      </w:r>
    </w:p>
    <w:p w14:paraId="7FB8356F">
      <w:pPr>
        <w:adjustRightInd w:val="0"/>
        <w:snapToGrid w:val="0"/>
        <w:spacing w:line="360" w:lineRule="auto"/>
        <w:ind w:firstLine="480" w:firstLineChars="200"/>
        <w:rPr>
          <w:rFonts w:ascii="宋体" w:hAnsi="宋体"/>
          <w:sz w:val="24"/>
        </w:rPr>
      </w:pPr>
      <w:r>
        <w:rPr>
          <w:rFonts w:hint="eastAsia" w:ascii="宋体" w:hAnsi="宋体"/>
          <w:sz w:val="24"/>
        </w:rPr>
        <w:t>2.6 “工程”是指建设工程，包括建筑物和构筑物的新建、改建、扩建、装修、拆除、修缮等，详见《政府采购品目分类目录》(</w:t>
      </w:r>
      <w:r>
        <w:rPr>
          <w:rStyle w:val="21"/>
          <w:rFonts w:hint="eastAsia" w:ascii="宋体" w:hAnsi="宋体"/>
          <w:b w:val="0"/>
          <w:sz w:val="24"/>
          <w:lang w:eastAsia="zh-CN"/>
        </w:rPr>
        <w:t>财库[2022]31号</w:t>
      </w:r>
      <w:r>
        <w:rPr>
          <w:rFonts w:hint="eastAsia" w:ascii="宋体" w:hAnsi="宋体"/>
          <w:sz w:val="24"/>
        </w:rPr>
        <w:t>)。</w:t>
      </w:r>
    </w:p>
    <w:p w14:paraId="13702444">
      <w:pPr>
        <w:adjustRightInd w:val="0"/>
        <w:snapToGrid w:val="0"/>
        <w:spacing w:line="360" w:lineRule="auto"/>
        <w:ind w:firstLine="480" w:firstLineChars="200"/>
        <w:rPr>
          <w:rFonts w:ascii="宋体" w:hAnsi="宋体"/>
          <w:sz w:val="24"/>
        </w:rPr>
      </w:pPr>
      <w:r>
        <w:rPr>
          <w:rFonts w:hint="eastAsia" w:ascii="宋体" w:hAnsi="宋体"/>
          <w:sz w:val="24"/>
        </w:rPr>
        <w:t>2.7 “服务”是指除货物和工程以外的其他政府采购对象，详见《政府采购品目分类目录》(</w:t>
      </w:r>
      <w:r>
        <w:rPr>
          <w:rStyle w:val="21"/>
          <w:rFonts w:hint="eastAsia" w:ascii="宋体" w:hAnsi="宋体"/>
          <w:b w:val="0"/>
          <w:sz w:val="24"/>
          <w:lang w:eastAsia="zh-CN"/>
        </w:rPr>
        <w:t>财库[2022]31号</w:t>
      </w:r>
      <w:r>
        <w:rPr>
          <w:rFonts w:hint="eastAsia" w:ascii="宋体" w:hAnsi="宋体"/>
          <w:sz w:val="24"/>
        </w:rPr>
        <w:t>)。</w:t>
      </w:r>
    </w:p>
    <w:p w14:paraId="4DF0647E">
      <w:pPr>
        <w:adjustRightInd w:val="0"/>
        <w:snapToGrid w:val="0"/>
        <w:spacing w:line="360" w:lineRule="auto"/>
        <w:ind w:firstLine="480" w:firstLineChars="200"/>
        <w:rPr>
          <w:rFonts w:ascii="宋体" w:hAnsi="宋体"/>
          <w:sz w:val="24"/>
        </w:rPr>
      </w:pPr>
      <w:r>
        <w:rPr>
          <w:rFonts w:hint="eastAsia" w:ascii="宋体" w:hAnsi="宋体" w:cs="宋体"/>
          <w:kern w:val="0"/>
          <w:sz w:val="24"/>
        </w:rPr>
        <w:t>2.8</w:t>
      </w:r>
      <w:r>
        <w:rPr>
          <w:rFonts w:hint="eastAsia" w:ascii="宋体" w:hAnsi="宋体"/>
          <w:sz w:val="24"/>
        </w:rPr>
        <w:t>“节能产品”或者“环保产品”是指财政部发布的《节能产品政府采购清单》或者《环境标志产品政府采购清单》的产品。</w:t>
      </w:r>
    </w:p>
    <w:p w14:paraId="21652B73">
      <w:pPr>
        <w:adjustRightInd w:val="0"/>
        <w:snapToGrid w:val="0"/>
        <w:spacing w:line="360" w:lineRule="auto"/>
        <w:ind w:firstLine="480" w:firstLineChars="200"/>
        <w:rPr>
          <w:rFonts w:ascii="宋体" w:hAnsi="宋体" w:cs="宋体"/>
          <w:kern w:val="0"/>
          <w:sz w:val="24"/>
        </w:rPr>
      </w:pPr>
      <w:r>
        <w:rPr>
          <w:rFonts w:hint="eastAsia" w:ascii="宋体" w:hAnsi="宋体"/>
          <w:sz w:val="24"/>
        </w:rPr>
        <w:t>2.9</w:t>
      </w:r>
      <w:r>
        <w:rPr>
          <w:rFonts w:hint="eastAsia" w:ascii="宋体" w:hAnsi="宋体" w:cs="宋体"/>
          <w:kern w:val="0"/>
          <w:sz w:val="24"/>
        </w:rPr>
        <w:t>“进口产品”是指通过中国海关报关验放进入中国境内且产自关境外的产品，详见《</w:t>
      </w:r>
      <w:r>
        <w:rPr>
          <w:rFonts w:ascii="宋体" w:hAnsi="宋体" w:cs="宋体"/>
          <w:kern w:val="0"/>
          <w:sz w:val="24"/>
        </w:rPr>
        <w:t>关于政府采购进口产品管理有关问题的通知</w:t>
      </w:r>
      <w:r>
        <w:rPr>
          <w:rFonts w:hint="eastAsia" w:ascii="宋体" w:hAnsi="宋体" w:cs="宋体"/>
          <w:kern w:val="0"/>
          <w:sz w:val="24"/>
        </w:rPr>
        <w:t>》(财库[2007]119号)。</w:t>
      </w:r>
    </w:p>
    <w:p w14:paraId="35A18E04">
      <w:pPr>
        <w:adjustRightInd w:val="0"/>
        <w:snapToGrid w:val="0"/>
        <w:spacing w:line="360" w:lineRule="auto"/>
        <w:rPr>
          <w:rFonts w:ascii="宋体" w:hAnsi="宋体"/>
          <w:b/>
          <w:bCs/>
          <w:sz w:val="24"/>
        </w:rPr>
      </w:pPr>
      <w:r>
        <w:rPr>
          <w:rFonts w:hint="eastAsia" w:ascii="宋体" w:hAnsi="宋体"/>
          <w:b/>
          <w:bCs/>
          <w:sz w:val="24"/>
        </w:rPr>
        <w:t>3.供应商的资格要求</w:t>
      </w:r>
    </w:p>
    <w:p w14:paraId="68282B93">
      <w:pPr>
        <w:adjustRightInd w:val="0"/>
        <w:snapToGrid w:val="0"/>
        <w:spacing w:line="360" w:lineRule="auto"/>
        <w:ind w:firstLine="480" w:firstLineChars="200"/>
        <w:rPr>
          <w:rFonts w:ascii="宋体" w:hAnsi="宋体"/>
          <w:sz w:val="24"/>
        </w:rPr>
      </w:pPr>
      <w:r>
        <w:rPr>
          <w:rFonts w:hint="eastAsia" w:ascii="宋体" w:hAnsi="宋体"/>
          <w:sz w:val="24"/>
        </w:rPr>
        <w:t>3.1 供应商应当符合</w:t>
      </w:r>
      <w:r>
        <w:rPr>
          <w:rFonts w:hint="eastAsia" w:ascii="宋体" w:hAnsi="宋体"/>
          <w:b/>
          <w:sz w:val="24"/>
        </w:rPr>
        <w:t>磋商须知前附表</w:t>
      </w:r>
      <w:r>
        <w:rPr>
          <w:rFonts w:hint="eastAsia" w:ascii="宋体" w:hAnsi="宋体"/>
          <w:sz w:val="24"/>
        </w:rPr>
        <w:t>中规定的资格条件要求。</w:t>
      </w:r>
    </w:p>
    <w:p w14:paraId="5B503891">
      <w:pPr>
        <w:adjustRightInd w:val="0"/>
        <w:snapToGrid w:val="0"/>
        <w:spacing w:line="360" w:lineRule="auto"/>
        <w:ind w:firstLine="480" w:firstLineChars="200"/>
        <w:jc w:val="left"/>
        <w:rPr>
          <w:rFonts w:ascii="宋体" w:hAnsi="宋体"/>
          <w:sz w:val="24"/>
        </w:rPr>
      </w:pPr>
      <w:r>
        <w:rPr>
          <w:rFonts w:hint="eastAsia" w:ascii="宋体" w:hAnsi="宋体"/>
          <w:sz w:val="24"/>
        </w:rPr>
        <w:t>3.2供应商</w:t>
      </w:r>
      <w:r>
        <w:rPr>
          <w:rFonts w:hint="eastAsia" w:hAnsi="宋体"/>
          <w:sz w:val="24"/>
        </w:rPr>
        <w:t>为联合体形式的</w:t>
      </w:r>
      <w:r>
        <w:rPr>
          <w:rFonts w:hint="eastAsia" w:ascii="宋体" w:hAnsi="宋体"/>
          <w:sz w:val="24"/>
        </w:rPr>
        <w:t>，除应满足本章第3.1款资格条件要求及第3.3款规定外，还应遵守以下规定：</w:t>
      </w:r>
    </w:p>
    <w:p w14:paraId="7F2B58B2">
      <w:pPr>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（1）联合体各方应按磋商文件提供的格式签订联合体协议书，明确联合体牵头人和各方权利义务(含承担工作及工作量比例)；</w:t>
      </w:r>
    </w:p>
    <w:p w14:paraId="2624DC53">
      <w:pPr>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（2）联合体中有同类资质的供应商按照联合体分工承担相同工作的，应当按照资质等级较低的供应商确定资质等级；</w:t>
      </w:r>
    </w:p>
    <w:p w14:paraId="1AD0F6D1">
      <w:pPr>
        <w:adjustRightInd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（3）以联合体形式参加政府采购活动的，联合体各方不得再单独参加或者与其他供应商另外组成联合体参加同一合同项下的政府采购活动。</w:t>
      </w:r>
    </w:p>
    <w:p w14:paraId="50005A03">
      <w:pPr>
        <w:adjustRightInd w:val="0"/>
        <w:snapToGrid w:val="0"/>
        <w:spacing w:line="360" w:lineRule="auto"/>
        <w:ind w:firstLine="480" w:firstLineChars="200"/>
        <w:rPr>
          <w:rFonts w:ascii="宋体" w:hAnsi="宋体"/>
          <w:sz w:val="24"/>
        </w:rPr>
      </w:pPr>
      <w:r>
        <w:rPr>
          <w:rFonts w:hint="eastAsia" w:ascii="宋体" w:hAnsi="宋体"/>
          <w:sz w:val="24"/>
        </w:rPr>
        <w:t>3.3 供应商不得存在下列情形之一：</w:t>
      </w:r>
    </w:p>
    <w:p w14:paraId="7DB37CEA">
      <w:pPr>
        <w:adjustRightInd w:val="0"/>
        <w:snapToGrid w:val="0"/>
        <w:spacing w:line="360" w:lineRule="auto"/>
        <w:ind w:firstLine="480" w:firstLineChars="200"/>
        <w:rPr>
          <w:rFonts w:ascii="宋体" w:hAnsi="宋体"/>
          <w:sz w:val="24"/>
        </w:rPr>
      </w:pPr>
      <w:r>
        <w:rPr>
          <w:rFonts w:hint="eastAsia" w:ascii="宋体" w:hAnsi="宋体"/>
          <w:sz w:val="24"/>
        </w:rPr>
        <w:t>（l）与采购人、采购代理机构存在</w:t>
      </w:r>
      <w:r>
        <w:rPr>
          <w:rFonts w:hint="eastAsia" w:ascii="宋体" w:hAnsi="宋体"/>
          <w:bCs/>
          <w:sz w:val="24"/>
        </w:rPr>
        <w:t>隶属关系或者其他利害关系</w:t>
      </w:r>
      <w:r>
        <w:rPr>
          <w:rFonts w:hint="eastAsia" w:ascii="宋体" w:hAnsi="宋体"/>
          <w:sz w:val="24"/>
        </w:rPr>
        <w:t>。</w:t>
      </w:r>
    </w:p>
    <w:p w14:paraId="00CDE297">
      <w:pPr>
        <w:adjustRightInd w:val="0"/>
        <w:snapToGrid w:val="0"/>
        <w:spacing w:line="360" w:lineRule="auto"/>
        <w:ind w:firstLine="480" w:firstLineChars="200"/>
        <w:rPr>
          <w:rFonts w:ascii="宋体" w:hAnsi="宋体"/>
          <w:sz w:val="24"/>
        </w:rPr>
      </w:pPr>
      <w:r>
        <w:rPr>
          <w:rFonts w:hint="eastAsia" w:ascii="宋体" w:hAnsi="宋体"/>
          <w:sz w:val="24"/>
        </w:rPr>
        <w:t>（2）与其他供应商的法定代表人（或者负责人）为同一人，或者与其他供应商存在直接控股、管理关系。</w:t>
      </w:r>
    </w:p>
    <w:p w14:paraId="1A7A4829">
      <w:pPr>
        <w:adjustRightInd w:val="0"/>
        <w:snapToGrid w:val="0"/>
        <w:spacing w:line="360" w:lineRule="auto"/>
        <w:ind w:firstLine="480" w:firstLineChars="200"/>
        <w:rPr>
          <w:rFonts w:ascii="宋体" w:hAnsi="宋体"/>
          <w:sz w:val="24"/>
        </w:rPr>
      </w:pPr>
      <w:r>
        <w:rPr>
          <w:rFonts w:hint="eastAsia" w:ascii="宋体" w:hAnsi="宋体"/>
          <w:sz w:val="24"/>
        </w:rPr>
        <w:t>（3）</w:t>
      </w:r>
      <w:r>
        <w:rPr>
          <w:rFonts w:hint="eastAsia" w:ascii="宋体" w:hAnsi="宋体"/>
          <w:bCs/>
          <w:sz w:val="24"/>
        </w:rPr>
        <w:t>【依据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838BEB">
      <w:pPr>
        <w:adjustRightInd w:val="0"/>
        <w:snapToGrid w:val="0"/>
        <w:spacing w:line="360" w:lineRule="auto"/>
        <w:rPr>
          <w:rFonts w:ascii="宋体" w:hAnsi="宋体"/>
          <w:b/>
          <w:bCs/>
          <w:sz w:val="24"/>
        </w:rPr>
      </w:pPr>
      <w:r>
        <w:rPr>
          <w:rFonts w:hint="eastAsia" w:ascii="宋体" w:hAnsi="宋体"/>
          <w:b/>
          <w:bCs/>
          <w:sz w:val="24"/>
        </w:rPr>
        <w:t>4.参与磋商的费用</w:t>
      </w:r>
    </w:p>
    <w:p w14:paraId="02A337BC">
      <w:pPr>
        <w:adjustRightInd w:val="0"/>
        <w:snapToGrid w:val="0"/>
        <w:spacing w:line="360" w:lineRule="auto"/>
        <w:ind w:firstLine="480" w:firstLineChars="200"/>
        <w:rPr>
          <w:rFonts w:ascii="宋体" w:hAnsi="宋体"/>
          <w:sz w:val="24"/>
        </w:rPr>
      </w:pPr>
      <w:r>
        <w:rPr>
          <w:rFonts w:hint="eastAsia" w:ascii="宋体" w:hAnsi="宋体"/>
          <w:sz w:val="24"/>
        </w:rPr>
        <w:t>4.1 无论磋商的结果如何，供应商应自行承担所有与竞争性磋商采购活动有关的全部费用。</w:t>
      </w:r>
    </w:p>
    <w:p w14:paraId="60075E64">
      <w:pPr>
        <w:pStyle w:val="9"/>
        <w:adjustRightInd w:val="0"/>
        <w:snapToGrid w:val="0"/>
        <w:spacing w:line="360" w:lineRule="auto"/>
        <w:rPr>
          <w:rFonts w:hAnsi="宋体"/>
          <w:b/>
          <w:bCs/>
          <w:sz w:val="24"/>
          <w:szCs w:val="24"/>
        </w:rPr>
      </w:pPr>
      <w:r>
        <w:rPr>
          <w:rFonts w:hint="eastAsia" w:hAnsi="宋体"/>
          <w:b/>
          <w:sz w:val="24"/>
          <w:szCs w:val="24"/>
        </w:rPr>
        <w:t>5．</w:t>
      </w:r>
      <w:r>
        <w:rPr>
          <w:rFonts w:hint="eastAsia" w:hAnsi="宋体"/>
          <w:b/>
          <w:bCs/>
          <w:sz w:val="24"/>
          <w:szCs w:val="24"/>
        </w:rPr>
        <w:t>授权委托</w:t>
      </w:r>
    </w:p>
    <w:p w14:paraId="38CFFFAA">
      <w:pPr>
        <w:pStyle w:val="9"/>
        <w:adjustRightInd w:val="0"/>
        <w:snapToGrid w:val="0"/>
        <w:spacing w:line="360" w:lineRule="auto"/>
        <w:ind w:firstLine="480" w:firstLineChars="200"/>
        <w:rPr>
          <w:rFonts w:hAnsi="宋体"/>
          <w:sz w:val="24"/>
          <w:szCs w:val="24"/>
        </w:rPr>
      </w:pPr>
      <w:r>
        <w:rPr>
          <w:rFonts w:hint="eastAsia" w:hAnsi="宋体"/>
          <w:sz w:val="24"/>
          <w:szCs w:val="24"/>
        </w:rPr>
        <w:t>5.1供应商代表为供应商法定代表人的，应具备法定代表人身份证明。供应商代表不是供应商法定代表人的，应具备法定代表人授权书，并附法定代表人身份证明。</w:t>
      </w:r>
    </w:p>
    <w:p w14:paraId="79A5E446">
      <w:pPr>
        <w:pStyle w:val="9"/>
        <w:adjustRightInd w:val="0"/>
        <w:snapToGrid w:val="0"/>
        <w:spacing w:line="360" w:lineRule="auto"/>
        <w:rPr>
          <w:rFonts w:hAnsi="宋体"/>
          <w:b/>
          <w:sz w:val="24"/>
          <w:szCs w:val="24"/>
        </w:rPr>
      </w:pPr>
      <w:r>
        <w:rPr>
          <w:rFonts w:hint="eastAsia" w:hAnsi="宋体"/>
          <w:b/>
          <w:sz w:val="24"/>
          <w:szCs w:val="24"/>
        </w:rPr>
        <w:t>6．联合体形式</w:t>
      </w:r>
    </w:p>
    <w:p w14:paraId="0AD4B939">
      <w:pPr>
        <w:pStyle w:val="9"/>
        <w:adjustRightInd w:val="0"/>
        <w:snapToGrid w:val="0"/>
        <w:spacing w:line="360" w:lineRule="auto"/>
        <w:ind w:firstLine="480" w:firstLineChars="200"/>
        <w:rPr>
          <w:rFonts w:hAnsi="宋体"/>
          <w:sz w:val="24"/>
          <w:szCs w:val="24"/>
        </w:rPr>
      </w:pPr>
      <w:r>
        <w:rPr>
          <w:rFonts w:hint="eastAsia" w:hAnsi="宋体"/>
          <w:sz w:val="24"/>
          <w:szCs w:val="24"/>
        </w:rPr>
        <w:t>6.1除</w:t>
      </w:r>
      <w:r>
        <w:rPr>
          <w:rFonts w:hint="eastAsia" w:hAnsi="宋体"/>
          <w:b/>
          <w:sz w:val="24"/>
          <w:szCs w:val="24"/>
        </w:rPr>
        <w:t>磋商须知前附表</w:t>
      </w:r>
      <w:r>
        <w:rPr>
          <w:rFonts w:hint="eastAsia" w:hAnsi="宋体"/>
          <w:sz w:val="24"/>
          <w:szCs w:val="24"/>
        </w:rPr>
        <w:t>中另有规定，本次磋商采购不接受为联合体形式的供应商。</w:t>
      </w:r>
    </w:p>
    <w:p w14:paraId="06A52D6D">
      <w:pPr>
        <w:adjustRightInd w:val="0"/>
        <w:snapToGrid w:val="0"/>
        <w:spacing w:line="360" w:lineRule="auto"/>
        <w:ind w:firstLine="480" w:firstLineChars="200"/>
        <w:jc w:val="left"/>
        <w:rPr>
          <w:rFonts w:ascii="宋体" w:hAnsi="宋体"/>
          <w:sz w:val="24"/>
        </w:rPr>
      </w:pPr>
      <w:r>
        <w:rPr>
          <w:rFonts w:hint="eastAsia" w:ascii="宋体" w:hAnsi="宋体"/>
          <w:sz w:val="24"/>
        </w:rPr>
        <w:t>6.2供应商</w:t>
      </w:r>
      <w:r>
        <w:rPr>
          <w:rFonts w:hint="eastAsia" w:hAnsi="宋体"/>
          <w:sz w:val="24"/>
        </w:rPr>
        <w:t>为联合体形式的</w:t>
      </w:r>
      <w:r>
        <w:rPr>
          <w:rFonts w:hint="eastAsia" w:ascii="宋体" w:hAnsi="宋体"/>
          <w:sz w:val="24"/>
        </w:rPr>
        <w:t>，除应符合本章第3条规定外，还应遵守以下规定：</w:t>
      </w:r>
    </w:p>
    <w:p w14:paraId="37155515">
      <w:pPr>
        <w:adjustRightInd w:val="0"/>
        <w:snapToGrid w:val="0"/>
        <w:spacing w:line="360" w:lineRule="auto"/>
        <w:ind w:firstLine="480" w:firstLineChars="200"/>
        <w:jc w:val="left"/>
        <w:rPr>
          <w:rFonts w:ascii="宋体" w:hAnsi="宋体"/>
          <w:sz w:val="24"/>
        </w:rPr>
      </w:pPr>
      <w:r>
        <w:rPr>
          <w:rFonts w:hint="eastAsia" w:ascii="宋体" w:hAnsi="宋体"/>
          <w:sz w:val="24"/>
        </w:rPr>
        <w:t>（l）联合体各方必须签订联合体协议书，明确联合体牵头人和各方的义务、工作、合同工作量比例；</w:t>
      </w:r>
    </w:p>
    <w:p w14:paraId="161EB10C">
      <w:pPr>
        <w:adjustRightInd w:val="0"/>
        <w:snapToGrid w:val="0"/>
        <w:spacing w:line="360" w:lineRule="auto"/>
        <w:ind w:firstLine="480" w:firstLineChars="200"/>
        <w:jc w:val="left"/>
        <w:rPr>
          <w:rFonts w:ascii="宋体" w:hAnsi="宋体"/>
          <w:sz w:val="24"/>
        </w:rPr>
      </w:pPr>
      <w:r>
        <w:rPr>
          <w:rFonts w:hint="eastAsia" w:ascii="宋体" w:hAnsi="宋体"/>
          <w:sz w:val="24"/>
        </w:rPr>
        <w:t>（2）联合体各方均应当符合本章第3.1</w:t>
      </w:r>
      <w:r>
        <w:rPr>
          <w:rFonts w:hint="eastAsia" w:ascii="宋体" w:hAnsi="宋体" w:cs="宋体"/>
          <w:kern w:val="0"/>
          <w:sz w:val="24"/>
          <w:lang w:val="zh-CN"/>
        </w:rPr>
        <w:t>款</w:t>
      </w:r>
      <w:r>
        <w:rPr>
          <w:rFonts w:hint="eastAsia" w:ascii="宋体" w:hAnsi="宋体"/>
          <w:sz w:val="24"/>
        </w:rPr>
        <w:t>规定的供应商基本资格条件；</w:t>
      </w:r>
    </w:p>
    <w:p w14:paraId="54267D7E">
      <w:pPr>
        <w:adjustRightInd w:val="0"/>
        <w:snapToGrid w:val="0"/>
        <w:spacing w:line="360" w:lineRule="auto"/>
        <w:ind w:firstLine="480" w:firstLineChars="200"/>
        <w:jc w:val="left"/>
        <w:rPr>
          <w:rFonts w:ascii="宋体" w:hAnsi="宋体"/>
          <w:sz w:val="24"/>
        </w:rPr>
      </w:pPr>
      <w:r>
        <w:rPr>
          <w:rFonts w:hint="eastAsia" w:ascii="宋体" w:hAnsi="宋体"/>
          <w:sz w:val="24"/>
        </w:rPr>
        <w:t>（3）除</w:t>
      </w:r>
      <w:r>
        <w:rPr>
          <w:rFonts w:hint="eastAsia" w:ascii="宋体" w:hAnsi="宋体"/>
          <w:b/>
          <w:sz w:val="24"/>
        </w:rPr>
        <w:t>磋商须知前附表</w:t>
      </w:r>
      <w:r>
        <w:rPr>
          <w:rFonts w:hint="eastAsia" w:ascii="宋体" w:hAnsi="宋体"/>
          <w:sz w:val="24"/>
        </w:rPr>
        <w:t>中另有规定，联合体各方中至少有一方应当符合本章第3.1</w:t>
      </w:r>
      <w:r>
        <w:rPr>
          <w:rFonts w:hint="eastAsia" w:ascii="宋体" w:hAnsi="宋体" w:cs="宋体"/>
          <w:kern w:val="0"/>
          <w:sz w:val="24"/>
          <w:lang w:val="zh-CN"/>
        </w:rPr>
        <w:t>款</w:t>
      </w:r>
      <w:r>
        <w:rPr>
          <w:rFonts w:hint="eastAsia" w:ascii="宋体" w:hAnsi="宋体"/>
          <w:sz w:val="24"/>
        </w:rPr>
        <w:t>规定的供应商特定资格条件；</w:t>
      </w:r>
    </w:p>
    <w:p w14:paraId="21056443">
      <w:pPr>
        <w:adjustRightInd w:val="0"/>
        <w:snapToGrid w:val="0"/>
        <w:spacing w:line="360" w:lineRule="auto"/>
        <w:ind w:firstLine="480" w:firstLineChars="200"/>
        <w:jc w:val="left"/>
        <w:rPr>
          <w:rFonts w:ascii="宋体" w:hAnsi="宋体" w:cs="宋体"/>
          <w:kern w:val="0"/>
          <w:sz w:val="24"/>
          <w:lang w:val="zh-CN"/>
        </w:rPr>
      </w:pPr>
      <w:r>
        <w:rPr>
          <w:rFonts w:hint="eastAsia" w:ascii="宋体" w:hAnsi="宋体"/>
          <w:sz w:val="24"/>
        </w:rPr>
        <w:t>（4）</w:t>
      </w:r>
      <w:r>
        <w:rPr>
          <w:rFonts w:hint="eastAsia" w:ascii="宋体" w:hAnsi="宋体" w:cs="宋体"/>
          <w:kern w:val="0"/>
          <w:sz w:val="24"/>
          <w:lang w:val="zh-CN"/>
        </w:rPr>
        <w:t>联合体各方不得再单独或与其他供应商组成新的联合体参加同一项目的采购活动。</w:t>
      </w:r>
    </w:p>
    <w:p w14:paraId="0AD34470">
      <w:pPr>
        <w:adjustRightInd w:val="0"/>
        <w:snapToGrid w:val="0"/>
        <w:spacing w:line="360" w:lineRule="auto"/>
        <w:rPr>
          <w:rFonts w:ascii="宋体" w:hAnsi="宋体"/>
          <w:b/>
          <w:sz w:val="24"/>
        </w:rPr>
      </w:pPr>
      <w:r>
        <w:rPr>
          <w:rFonts w:hint="eastAsia" w:ascii="宋体" w:hAnsi="宋体"/>
          <w:b/>
          <w:sz w:val="24"/>
        </w:rPr>
        <w:t>7.现场勘察</w:t>
      </w:r>
    </w:p>
    <w:p w14:paraId="3E9879AA">
      <w:pPr>
        <w:adjustRightInd w:val="0"/>
        <w:snapToGrid w:val="0"/>
        <w:spacing w:line="360" w:lineRule="auto"/>
        <w:ind w:firstLine="480" w:firstLineChars="200"/>
        <w:rPr>
          <w:rFonts w:ascii="宋体" w:hAnsi="宋体"/>
          <w:sz w:val="24"/>
        </w:rPr>
      </w:pPr>
      <w:r>
        <w:rPr>
          <w:rFonts w:hint="eastAsia" w:ascii="宋体" w:hAnsi="宋体"/>
          <w:sz w:val="24"/>
        </w:rPr>
        <w:t>7.1供应商应按</w:t>
      </w:r>
      <w:r>
        <w:rPr>
          <w:rFonts w:hint="eastAsia" w:hAnsi="宋体"/>
          <w:b/>
          <w:sz w:val="24"/>
        </w:rPr>
        <w:t>磋商须知前附表</w:t>
      </w:r>
      <w:r>
        <w:rPr>
          <w:rFonts w:hint="eastAsia" w:hAnsi="宋体"/>
          <w:sz w:val="24"/>
        </w:rPr>
        <w:t>中规定</w:t>
      </w:r>
      <w:r>
        <w:rPr>
          <w:rFonts w:hint="eastAsia" w:ascii="宋体" w:hAnsi="宋体"/>
          <w:sz w:val="24"/>
        </w:rPr>
        <w:t>对采购项目现场和周围环境的现场考察。</w:t>
      </w:r>
    </w:p>
    <w:p w14:paraId="56443A6F">
      <w:pPr>
        <w:adjustRightInd w:val="0"/>
        <w:snapToGrid w:val="0"/>
        <w:spacing w:line="360" w:lineRule="auto"/>
        <w:ind w:firstLine="480" w:firstLineChars="200"/>
        <w:rPr>
          <w:rFonts w:ascii="宋体" w:hAnsi="宋体"/>
          <w:sz w:val="24"/>
        </w:rPr>
      </w:pPr>
      <w:r>
        <w:rPr>
          <w:rFonts w:hint="eastAsia" w:ascii="宋体" w:hAnsi="宋体"/>
          <w:sz w:val="24"/>
        </w:rPr>
        <w:t>7.2勘察现场的费用由供应商自己承担，勘察期间所发生的人身伤害及财产损失由供应商自己负责。</w:t>
      </w:r>
    </w:p>
    <w:p w14:paraId="400DE39F">
      <w:pPr>
        <w:adjustRightInd w:val="0"/>
        <w:snapToGrid w:val="0"/>
        <w:spacing w:line="360" w:lineRule="auto"/>
        <w:ind w:firstLine="480" w:firstLineChars="200"/>
        <w:jc w:val="left"/>
        <w:rPr>
          <w:rFonts w:ascii="宋体" w:hAnsi="宋体"/>
          <w:b/>
          <w:sz w:val="24"/>
        </w:rPr>
      </w:pPr>
      <w:r>
        <w:rPr>
          <w:rFonts w:hint="eastAsia" w:ascii="宋体" w:hAnsi="宋体"/>
          <w:sz w:val="24"/>
        </w:rPr>
        <w:t>7.3采购人不对供应商据此而做出的推论、理解和结论负责。一旦成交，供应商不得以任何借口，提出额外补偿，或延长合同期限的要求。</w:t>
      </w:r>
    </w:p>
    <w:p w14:paraId="6DFBC919">
      <w:pPr>
        <w:adjustRightInd w:val="0"/>
        <w:snapToGrid w:val="0"/>
        <w:spacing w:line="360" w:lineRule="auto"/>
        <w:jc w:val="left"/>
        <w:rPr>
          <w:rFonts w:ascii="宋体" w:hAnsi="宋体"/>
          <w:b/>
          <w:sz w:val="24"/>
        </w:rPr>
      </w:pPr>
      <w:r>
        <w:rPr>
          <w:rFonts w:hint="eastAsia" w:ascii="宋体" w:hAnsi="宋体"/>
          <w:b/>
          <w:sz w:val="24"/>
        </w:rPr>
        <w:t>8.采购进口产品</w:t>
      </w:r>
    </w:p>
    <w:p w14:paraId="6A689308">
      <w:pPr>
        <w:adjustRightInd w:val="0"/>
        <w:snapToGrid w:val="0"/>
        <w:spacing w:line="360" w:lineRule="auto"/>
        <w:ind w:firstLine="480" w:firstLineChars="200"/>
        <w:jc w:val="left"/>
        <w:rPr>
          <w:rFonts w:ascii="宋体" w:hAnsi="宋体" w:cs="宋体"/>
          <w:kern w:val="0"/>
          <w:sz w:val="24"/>
        </w:rPr>
      </w:pPr>
      <w:r>
        <w:rPr>
          <w:rFonts w:hint="eastAsia" w:ascii="宋体" w:hAnsi="宋体"/>
          <w:sz w:val="24"/>
        </w:rPr>
        <w:t>8.1除</w:t>
      </w:r>
      <w:r>
        <w:rPr>
          <w:rFonts w:hint="eastAsia" w:ascii="宋体" w:hAnsi="宋体"/>
          <w:b/>
          <w:sz w:val="24"/>
        </w:rPr>
        <w:t>磋商文件前附表</w:t>
      </w:r>
      <w:r>
        <w:rPr>
          <w:rFonts w:hint="eastAsia" w:ascii="宋体" w:hAnsi="宋体"/>
          <w:sz w:val="24"/>
        </w:rPr>
        <w:t>另有规定外，本项目</w:t>
      </w:r>
      <w:r>
        <w:rPr>
          <w:rFonts w:hint="eastAsia" w:ascii="宋体" w:hAnsi="宋体" w:cs="宋体"/>
          <w:kern w:val="0"/>
          <w:sz w:val="24"/>
        </w:rPr>
        <w:t>拒绝进口产品参加</w:t>
      </w:r>
      <w:r>
        <w:rPr>
          <w:rFonts w:hint="eastAsia" w:ascii="宋体" w:hAnsi="宋体"/>
          <w:sz w:val="24"/>
        </w:rPr>
        <w:t>竞争性磋商采购活动</w:t>
      </w:r>
      <w:r>
        <w:rPr>
          <w:rFonts w:hint="eastAsia" w:ascii="宋体" w:hAnsi="宋体" w:cs="宋体"/>
          <w:kern w:val="0"/>
          <w:sz w:val="24"/>
        </w:rPr>
        <w:t>。</w:t>
      </w:r>
    </w:p>
    <w:p w14:paraId="60A24083">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8.2</w:t>
      </w:r>
      <w:r>
        <w:rPr>
          <w:rFonts w:hint="eastAsia" w:ascii="宋体" w:hAnsi="宋体"/>
          <w:sz w:val="24"/>
        </w:rPr>
        <w:t>本章第7.1</w:t>
      </w:r>
      <w:r>
        <w:rPr>
          <w:rFonts w:hint="eastAsia" w:ascii="宋体" w:hAnsi="宋体" w:cs="宋体"/>
          <w:kern w:val="0"/>
          <w:sz w:val="24"/>
          <w:lang w:val="zh-CN"/>
        </w:rPr>
        <w:t>款</w:t>
      </w:r>
      <w:r>
        <w:rPr>
          <w:rFonts w:hint="eastAsia" w:ascii="宋体" w:hAnsi="宋体"/>
          <w:sz w:val="24"/>
        </w:rPr>
        <w:t>规定</w:t>
      </w:r>
      <w:r>
        <w:rPr>
          <w:rFonts w:ascii="宋体" w:hAnsi="宋体" w:cs="宋体"/>
          <w:kern w:val="0"/>
          <w:sz w:val="24"/>
        </w:rPr>
        <w:t>同意购买进口产品的</w:t>
      </w:r>
      <w:r>
        <w:rPr>
          <w:rFonts w:hint="eastAsia" w:ascii="宋体" w:hAnsi="宋体" w:cs="宋体"/>
          <w:kern w:val="0"/>
          <w:sz w:val="24"/>
        </w:rPr>
        <w:t>，</w:t>
      </w:r>
      <w:r>
        <w:rPr>
          <w:rFonts w:hint="eastAsia" w:ascii="宋体" w:hAnsi="宋体"/>
          <w:sz w:val="24"/>
        </w:rPr>
        <w:t>本项目</w:t>
      </w:r>
      <w:r>
        <w:rPr>
          <w:rFonts w:hint="eastAsia" w:ascii="宋体" w:hAnsi="宋体" w:cs="宋体"/>
          <w:kern w:val="0"/>
          <w:sz w:val="24"/>
          <w:lang w:val="zh-CN"/>
        </w:rPr>
        <w:t>采购活动</w:t>
      </w:r>
      <w:r>
        <w:rPr>
          <w:rFonts w:hint="eastAsia" w:ascii="宋体" w:hAnsi="宋体" w:cs="宋体"/>
          <w:kern w:val="0"/>
          <w:sz w:val="24"/>
        </w:rPr>
        <w:t>不</w:t>
      </w:r>
      <w:r>
        <w:rPr>
          <w:rFonts w:ascii="宋体" w:hAnsi="宋体" w:cs="宋体"/>
          <w:kern w:val="0"/>
          <w:sz w:val="24"/>
        </w:rPr>
        <w:t>限制满足</w:t>
      </w:r>
      <w:r>
        <w:rPr>
          <w:rFonts w:hint="eastAsia" w:ascii="宋体" w:hAnsi="宋体"/>
          <w:sz w:val="24"/>
        </w:rPr>
        <w:t>磋商文件要求</w:t>
      </w:r>
      <w:r>
        <w:rPr>
          <w:rFonts w:ascii="宋体" w:hAnsi="宋体" w:cs="宋体"/>
          <w:kern w:val="0"/>
          <w:sz w:val="24"/>
        </w:rPr>
        <w:t>的国内产品参与</w:t>
      </w:r>
      <w:r>
        <w:rPr>
          <w:rFonts w:hint="eastAsia" w:ascii="宋体" w:hAnsi="宋体"/>
          <w:sz w:val="24"/>
        </w:rPr>
        <w:t>竞争性磋商</w:t>
      </w:r>
      <w:r>
        <w:rPr>
          <w:rFonts w:ascii="宋体" w:hAnsi="宋体" w:cs="宋体"/>
          <w:kern w:val="0"/>
          <w:sz w:val="24"/>
        </w:rPr>
        <w:t>。</w:t>
      </w:r>
    </w:p>
    <w:p w14:paraId="04ED556B">
      <w:pPr>
        <w:adjustRightInd w:val="0"/>
        <w:snapToGrid w:val="0"/>
        <w:spacing w:line="360" w:lineRule="auto"/>
        <w:jc w:val="left"/>
        <w:rPr>
          <w:rFonts w:ascii="宋体" w:hAnsi="宋体"/>
          <w:b/>
          <w:sz w:val="24"/>
        </w:rPr>
      </w:pPr>
      <w:r>
        <w:rPr>
          <w:rFonts w:hint="eastAsia" w:ascii="宋体" w:hAnsi="宋体"/>
          <w:b/>
          <w:bCs/>
          <w:sz w:val="24"/>
        </w:rPr>
        <w:t>9.</w:t>
      </w:r>
      <w:r>
        <w:rPr>
          <w:rFonts w:hint="eastAsia" w:ascii="宋体" w:hAnsi="宋体"/>
          <w:b/>
          <w:sz w:val="24"/>
        </w:rPr>
        <w:t>政府采购政策支持</w:t>
      </w:r>
    </w:p>
    <w:p w14:paraId="45DEA548">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kern w:val="0"/>
          <w:sz w:val="24"/>
        </w:rPr>
        <w:t>磋商文件前附表。</w:t>
      </w:r>
    </w:p>
    <w:p w14:paraId="27D9290E">
      <w:pPr>
        <w:pStyle w:val="9"/>
        <w:adjustRightInd w:val="0"/>
        <w:snapToGrid w:val="0"/>
        <w:spacing w:line="360" w:lineRule="auto"/>
        <w:ind w:firstLine="480" w:firstLineChars="200"/>
        <w:rPr>
          <w:sz w:val="24"/>
          <w:szCs w:val="24"/>
        </w:rPr>
      </w:pPr>
      <w:r>
        <w:rPr>
          <w:rFonts w:hint="eastAsia" w:hAnsi="宋体" w:cs="宋体"/>
          <w:kern w:val="0"/>
          <w:sz w:val="24"/>
          <w:szCs w:val="24"/>
        </w:rPr>
        <w:t>9.2对列入财政部、国家发展改革委发布的《节能产品政府采购清单》的“非强制采购节能产品”，财政部、环境保护部发布的《环境标志产品政府采购清单》的“环境标志产品”以及中小企业，实行优先采购，按照省级以上财政部门有关政策规定，评审时进行价格扣除或加分。实行政府采购优先采购的优惠率见</w:t>
      </w:r>
      <w:r>
        <w:rPr>
          <w:rFonts w:hint="eastAsia" w:hAnsi="宋体" w:cs="宋体"/>
          <w:b/>
          <w:kern w:val="0"/>
          <w:sz w:val="24"/>
          <w:szCs w:val="24"/>
        </w:rPr>
        <w:t>磋商文件前附表。</w:t>
      </w:r>
    </w:p>
    <w:p w14:paraId="7A2DA092">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520D8C48">
      <w:pPr>
        <w:adjustRightInd w:val="0"/>
        <w:snapToGrid w:val="0"/>
        <w:spacing w:line="360" w:lineRule="auto"/>
        <w:ind w:firstLine="480" w:firstLineChars="200"/>
        <w:jc w:val="left"/>
        <w:rPr>
          <w:rFonts w:ascii="宋体" w:hAnsi="宋体"/>
          <w:sz w:val="24"/>
        </w:rPr>
      </w:pPr>
      <w:r>
        <w:rPr>
          <w:rFonts w:hint="eastAsia" w:ascii="宋体" w:hAnsi="宋体"/>
          <w:sz w:val="24"/>
        </w:rPr>
        <w:t>9.4同一项目中部分产品属于优先采购政策的，评审时只对该部分产品的报价实行价格扣除及加分。</w:t>
      </w:r>
    </w:p>
    <w:p w14:paraId="6130AF3D">
      <w:pPr>
        <w:adjustRightInd w:val="0"/>
        <w:snapToGrid w:val="0"/>
        <w:spacing w:line="360" w:lineRule="auto"/>
        <w:ind w:firstLine="480" w:firstLineChars="200"/>
        <w:jc w:val="left"/>
        <w:rPr>
          <w:rFonts w:ascii="宋体" w:hAnsi="宋体"/>
          <w:sz w:val="24"/>
        </w:rPr>
      </w:pPr>
      <w:r>
        <w:rPr>
          <w:rFonts w:hint="eastAsia" w:ascii="宋体" w:hAnsi="宋体"/>
          <w:sz w:val="24"/>
        </w:rPr>
        <w:t>9.5符合本章第9.1</w:t>
      </w:r>
      <w:r>
        <w:rPr>
          <w:rFonts w:hint="eastAsia" w:ascii="宋体" w:hAnsi="宋体" w:cs="宋体"/>
          <w:kern w:val="0"/>
          <w:sz w:val="24"/>
          <w:lang w:val="zh-CN"/>
        </w:rPr>
        <w:t>款、</w:t>
      </w:r>
      <w:r>
        <w:rPr>
          <w:rFonts w:hint="eastAsia" w:ascii="宋体" w:hAnsi="宋体"/>
          <w:sz w:val="24"/>
        </w:rPr>
        <w:t>第9.2</w:t>
      </w:r>
      <w:r>
        <w:rPr>
          <w:rFonts w:hint="eastAsia" w:ascii="宋体" w:hAnsi="宋体" w:cs="宋体"/>
          <w:kern w:val="0"/>
          <w:sz w:val="24"/>
          <w:lang w:val="zh-CN"/>
        </w:rPr>
        <w:t>款</w:t>
      </w:r>
      <w:r>
        <w:rPr>
          <w:rFonts w:hint="eastAsia" w:ascii="宋体" w:hAnsi="宋体"/>
          <w:sz w:val="24"/>
        </w:rPr>
        <w:t>规定的，应提供相关证明资料。</w:t>
      </w:r>
    </w:p>
    <w:p w14:paraId="67DE12B8">
      <w:pPr>
        <w:adjustRightInd w:val="0"/>
        <w:snapToGrid w:val="0"/>
        <w:spacing w:line="360" w:lineRule="auto"/>
        <w:ind w:firstLine="480" w:firstLineChars="200"/>
        <w:jc w:val="left"/>
        <w:rPr>
          <w:rFonts w:ascii="宋体" w:hAnsi="宋体"/>
          <w:sz w:val="24"/>
        </w:rPr>
      </w:pPr>
      <w:r>
        <w:rPr>
          <w:rFonts w:hint="eastAsia" w:ascii="宋体" w:hAnsi="宋体"/>
          <w:sz w:val="24"/>
        </w:rPr>
        <w:t>9.6供应商有融资、担保需求的，具体办理流程可向</w:t>
      </w:r>
      <w:r>
        <w:rPr>
          <w:rFonts w:hint="eastAsia" w:ascii="宋体" w:hAnsi="宋体"/>
          <w:b/>
          <w:sz w:val="24"/>
        </w:rPr>
        <w:t>磋商须知前附表</w:t>
      </w:r>
      <w:r>
        <w:rPr>
          <w:rFonts w:hint="eastAsia" w:ascii="宋体" w:hAnsi="宋体"/>
          <w:sz w:val="24"/>
        </w:rPr>
        <w:t>所列金融机构和担保机构询问。</w:t>
      </w:r>
    </w:p>
    <w:p w14:paraId="7FE98860">
      <w:pPr>
        <w:adjustRightInd w:val="0"/>
        <w:snapToGrid w:val="0"/>
        <w:spacing w:line="360" w:lineRule="auto"/>
        <w:ind w:left="902" w:hanging="902" w:hangingChars="376"/>
        <w:rPr>
          <w:rFonts w:ascii="黑体" w:hAnsi="宋体" w:eastAsia="黑体"/>
          <w:sz w:val="24"/>
        </w:rPr>
      </w:pPr>
      <w:r>
        <w:rPr>
          <w:rFonts w:hint="eastAsia" w:ascii="黑体" w:hAnsi="宋体" w:eastAsia="黑体"/>
          <w:sz w:val="24"/>
        </w:rPr>
        <w:t>二、磋商文件</w:t>
      </w:r>
    </w:p>
    <w:p w14:paraId="6B7DA2AC">
      <w:pPr>
        <w:adjustRightInd w:val="0"/>
        <w:snapToGrid w:val="0"/>
        <w:spacing w:line="360" w:lineRule="auto"/>
        <w:rPr>
          <w:rFonts w:ascii="宋体" w:hAnsi="宋体"/>
          <w:b/>
          <w:bCs/>
          <w:sz w:val="24"/>
        </w:rPr>
      </w:pPr>
      <w:r>
        <w:rPr>
          <w:rFonts w:hint="eastAsia" w:ascii="宋体" w:hAnsi="宋体"/>
          <w:b/>
          <w:bCs/>
          <w:sz w:val="24"/>
        </w:rPr>
        <w:t>10．磋商文件的组成</w:t>
      </w:r>
    </w:p>
    <w:p w14:paraId="7CA443B2">
      <w:pPr>
        <w:pStyle w:val="9"/>
        <w:adjustRightInd w:val="0"/>
        <w:snapToGrid w:val="0"/>
        <w:spacing w:line="360" w:lineRule="auto"/>
        <w:ind w:firstLine="480" w:firstLineChars="200"/>
        <w:rPr>
          <w:rFonts w:hAnsi="宋体"/>
          <w:sz w:val="24"/>
          <w:szCs w:val="24"/>
        </w:rPr>
      </w:pPr>
      <w:r>
        <w:rPr>
          <w:rFonts w:hint="eastAsia" w:hAnsi="宋体"/>
          <w:sz w:val="24"/>
          <w:szCs w:val="24"/>
        </w:rPr>
        <w:t>10.1 磋商文件由下列文件组成：</w:t>
      </w:r>
    </w:p>
    <w:p w14:paraId="53D1AA64">
      <w:pPr>
        <w:pStyle w:val="9"/>
        <w:adjustRightInd w:val="0"/>
        <w:snapToGrid w:val="0"/>
        <w:spacing w:line="360" w:lineRule="auto"/>
        <w:ind w:firstLine="480" w:firstLineChars="200"/>
        <w:rPr>
          <w:rFonts w:hAnsi="宋体"/>
          <w:sz w:val="24"/>
          <w:szCs w:val="24"/>
        </w:rPr>
      </w:pPr>
      <w:r>
        <w:rPr>
          <w:rFonts w:hint="eastAsia" w:hAnsi="宋体"/>
          <w:sz w:val="24"/>
          <w:szCs w:val="24"/>
        </w:rPr>
        <w:t>第一章磋商邀请</w:t>
      </w:r>
    </w:p>
    <w:p w14:paraId="78B768F3">
      <w:pPr>
        <w:pStyle w:val="9"/>
        <w:adjustRightInd w:val="0"/>
        <w:snapToGrid w:val="0"/>
        <w:spacing w:line="360" w:lineRule="auto"/>
        <w:ind w:firstLine="480" w:firstLineChars="200"/>
        <w:rPr>
          <w:rFonts w:hAnsi="宋体"/>
          <w:sz w:val="24"/>
          <w:szCs w:val="24"/>
        </w:rPr>
      </w:pPr>
      <w:r>
        <w:rPr>
          <w:rFonts w:hint="eastAsia" w:hAnsi="宋体"/>
          <w:sz w:val="24"/>
          <w:szCs w:val="24"/>
        </w:rPr>
        <w:t>第二章磋商须知</w:t>
      </w:r>
    </w:p>
    <w:p w14:paraId="0C6E0B3F">
      <w:pPr>
        <w:pStyle w:val="9"/>
        <w:adjustRightInd w:val="0"/>
        <w:snapToGrid w:val="0"/>
        <w:spacing w:line="360" w:lineRule="auto"/>
        <w:ind w:firstLine="480" w:firstLineChars="200"/>
        <w:rPr>
          <w:rFonts w:hAnsi="宋体"/>
          <w:sz w:val="24"/>
          <w:szCs w:val="24"/>
        </w:rPr>
      </w:pPr>
      <w:r>
        <w:rPr>
          <w:rFonts w:hint="eastAsia" w:hAnsi="宋体"/>
          <w:sz w:val="24"/>
          <w:szCs w:val="24"/>
        </w:rPr>
        <w:t>第三章政府采购合同格式条款</w:t>
      </w:r>
    </w:p>
    <w:p w14:paraId="1F223D34">
      <w:pPr>
        <w:pStyle w:val="9"/>
        <w:adjustRightInd w:val="0"/>
        <w:snapToGrid w:val="0"/>
        <w:spacing w:line="360" w:lineRule="auto"/>
        <w:ind w:firstLine="480" w:firstLineChars="200"/>
        <w:rPr>
          <w:rFonts w:hAnsi="宋体"/>
          <w:sz w:val="24"/>
          <w:szCs w:val="24"/>
        </w:rPr>
      </w:pPr>
      <w:r>
        <w:rPr>
          <w:rFonts w:hint="eastAsia" w:hAnsi="宋体"/>
          <w:sz w:val="24"/>
          <w:szCs w:val="24"/>
        </w:rPr>
        <w:t>第四章采购需求</w:t>
      </w:r>
    </w:p>
    <w:p w14:paraId="3EA03FE9">
      <w:pPr>
        <w:pStyle w:val="9"/>
        <w:adjustRightInd w:val="0"/>
        <w:snapToGrid w:val="0"/>
        <w:spacing w:line="360" w:lineRule="auto"/>
        <w:ind w:firstLine="480" w:firstLineChars="200"/>
        <w:rPr>
          <w:rFonts w:hAnsi="宋体"/>
          <w:sz w:val="24"/>
          <w:szCs w:val="24"/>
        </w:rPr>
      </w:pPr>
      <w:r>
        <w:rPr>
          <w:rFonts w:hint="eastAsia" w:hAnsi="宋体"/>
          <w:sz w:val="24"/>
          <w:szCs w:val="24"/>
        </w:rPr>
        <w:t>第五章响应文件组成</w:t>
      </w:r>
    </w:p>
    <w:p w14:paraId="0DD16443">
      <w:pPr>
        <w:pStyle w:val="9"/>
        <w:adjustRightInd w:val="0"/>
        <w:snapToGrid w:val="0"/>
        <w:spacing w:line="360" w:lineRule="auto"/>
        <w:ind w:firstLine="480" w:firstLineChars="200"/>
        <w:rPr>
          <w:rFonts w:hAnsi="宋体" w:cs="宋体"/>
          <w:kern w:val="0"/>
          <w:sz w:val="24"/>
          <w:szCs w:val="24"/>
        </w:rPr>
      </w:pPr>
      <w:r>
        <w:rPr>
          <w:rFonts w:hint="eastAsia"/>
          <w:sz w:val="24"/>
          <w:szCs w:val="24"/>
        </w:rPr>
        <w:t>10.2</w:t>
      </w:r>
      <w:r>
        <w:rPr>
          <w:rFonts w:hint="eastAsia" w:hAnsi="宋体" w:cs="宋体"/>
          <w:kern w:val="0"/>
          <w:sz w:val="24"/>
          <w:szCs w:val="24"/>
        </w:rPr>
        <w:t>磋商小组根据与供应商磋商情况可能实质性变动的内容，包括采购需求中的技术、服务要求以及合同条款，</w:t>
      </w:r>
      <w:r>
        <w:rPr>
          <w:rFonts w:hint="eastAsia"/>
          <w:sz w:val="24"/>
          <w:szCs w:val="24"/>
        </w:rPr>
        <w:t>在</w:t>
      </w:r>
      <w:r>
        <w:rPr>
          <w:rFonts w:hint="eastAsia"/>
          <w:b/>
          <w:sz w:val="24"/>
          <w:szCs w:val="24"/>
        </w:rPr>
        <w:t>磋商须知前附表</w:t>
      </w:r>
      <w:r>
        <w:rPr>
          <w:rFonts w:hint="eastAsia"/>
          <w:sz w:val="24"/>
          <w:szCs w:val="24"/>
        </w:rPr>
        <w:t>中明确。</w:t>
      </w:r>
    </w:p>
    <w:p w14:paraId="0B28E577">
      <w:pPr>
        <w:adjustRightInd w:val="0"/>
        <w:snapToGrid w:val="0"/>
        <w:spacing w:line="360" w:lineRule="auto"/>
        <w:ind w:firstLine="480" w:firstLineChars="200"/>
        <w:rPr>
          <w:rFonts w:ascii="宋体" w:hAnsi="宋体"/>
          <w:sz w:val="24"/>
        </w:rPr>
      </w:pPr>
      <w:r>
        <w:rPr>
          <w:rFonts w:hint="eastAsia" w:ascii="宋体" w:hAnsi="宋体"/>
          <w:sz w:val="24"/>
        </w:rPr>
        <w:t>10.3供应商应仔细阅读</w:t>
      </w:r>
      <w:r>
        <w:rPr>
          <w:rFonts w:hint="eastAsia" w:ascii="宋体" w:hAnsi="宋体"/>
          <w:bCs/>
          <w:sz w:val="24"/>
        </w:rPr>
        <w:t>磋商</w:t>
      </w:r>
      <w:r>
        <w:rPr>
          <w:rFonts w:hint="eastAsia" w:ascii="宋体" w:hAnsi="宋体"/>
          <w:sz w:val="24"/>
        </w:rPr>
        <w:t>文件的全部内容，按照</w:t>
      </w:r>
      <w:r>
        <w:rPr>
          <w:rFonts w:hint="eastAsia" w:ascii="宋体" w:hAnsi="宋体"/>
          <w:bCs/>
          <w:sz w:val="24"/>
        </w:rPr>
        <w:t>磋商</w:t>
      </w:r>
      <w:r>
        <w:rPr>
          <w:rFonts w:hint="eastAsia" w:ascii="宋体" w:hAnsi="宋体"/>
          <w:sz w:val="24"/>
        </w:rPr>
        <w:t>文件要求编制</w:t>
      </w:r>
      <w:r>
        <w:rPr>
          <w:rFonts w:hint="eastAsia"/>
          <w:sz w:val="24"/>
        </w:rPr>
        <w:t>响应</w:t>
      </w:r>
      <w:r>
        <w:rPr>
          <w:rFonts w:hint="eastAsia" w:ascii="宋体" w:hAnsi="宋体"/>
          <w:sz w:val="24"/>
        </w:rPr>
        <w:t>文件。任何对</w:t>
      </w:r>
      <w:r>
        <w:rPr>
          <w:rFonts w:hint="eastAsia" w:ascii="宋体" w:hAnsi="宋体"/>
          <w:bCs/>
          <w:sz w:val="24"/>
        </w:rPr>
        <w:t>磋商</w:t>
      </w:r>
      <w:r>
        <w:rPr>
          <w:rFonts w:hint="eastAsia" w:ascii="宋体" w:hAnsi="宋体"/>
          <w:sz w:val="24"/>
        </w:rPr>
        <w:t>文件的忽略或误解不能作为</w:t>
      </w:r>
      <w:r>
        <w:rPr>
          <w:rFonts w:hint="eastAsia"/>
          <w:sz w:val="24"/>
        </w:rPr>
        <w:t>响应</w:t>
      </w:r>
      <w:r>
        <w:rPr>
          <w:rFonts w:hint="eastAsia" w:ascii="宋体" w:hAnsi="宋体"/>
          <w:sz w:val="24"/>
        </w:rPr>
        <w:t>文件存在缺陷或瑕疵的理由，其风险由供应商承担。</w:t>
      </w:r>
    </w:p>
    <w:p w14:paraId="69B502D1">
      <w:pPr>
        <w:adjustRightInd w:val="0"/>
        <w:snapToGrid w:val="0"/>
        <w:spacing w:line="360" w:lineRule="auto"/>
        <w:rPr>
          <w:rFonts w:ascii="宋体" w:hAnsi="宋体"/>
          <w:b/>
          <w:sz w:val="24"/>
        </w:rPr>
      </w:pPr>
      <w:r>
        <w:rPr>
          <w:rFonts w:hint="eastAsia" w:ascii="宋体" w:hAnsi="宋体"/>
          <w:b/>
          <w:sz w:val="24"/>
        </w:rPr>
        <w:t>11.磋商文件的提供期限</w:t>
      </w:r>
    </w:p>
    <w:p w14:paraId="3675FE6A">
      <w:pPr>
        <w:adjustRightInd w:val="0"/>
        <w:snapToGrid w:val="0"/>
        <w:spacing w:line="360" w:lineRule="auto"/>
        <w:ind w:firstLine="480" w:firstLineChars="200"/>
        <w:rPr>
          <w:rFonts w:ascii="宋体" w:hAnsi="宋体"/>
          <w:sz w:val="24"/>
        </w:rPr>
      </w:pPr>
      <w:r>
        <w:rPr>
          <w:rFonts w:hint="eastAsia" w:ascii="宋体" w:hAnsi="宋体"/>
          <w:sz w:val="24"/>
        </w:rPr>
        <w:t>11.1磋商文件的提供期限自开始发出之日起不得少于五个工作日。具体提供期限见</w:t>
      </w:r>
      <w:r>
        <w:rPr>
          <w:rFonts w:hint="eastAsia" w:ascii="宋体" w:hAnsi="宋体"/>
          <w:b/>
          <w:sz w:val="24"/>
        </w:rPr>
        <w:t>磋商文件前附表</w:t>
      </w:r>
      <w:r>
        <w:rPr>
          <w:rFonts w:hint="eastAsia" w:ascii="宋体" w:hAnsi="宋体"/>
          <w:sz w:val="24"/>
        </w:rPr>
        <w:t>。</w:t>
      </w:r>
    </w:p>
    <w:p w14:paraId="491E4DB8">
      <w:pPr>
        <w:adjustRightInd w:val="0"/>
        <w:snapToGrid w:val="0"/>
        <w:spacing w:line="360" w:lineRule="auto"/>
        <w:ind w:firstLine="480" w:firstLineChars="200"/>
        <w:rPr>
          <w:rFonts w:ascii="宋体" w:hAnsi="宋体"/>
          <w:sz w:val="24"/>
        </w:rPr>
      </w:pPr>
      <w:r>
        <w:rPr>
          <w:rFonts w:hint="eastAsia" w:ascii="宋体" w:hAnsi="宋体"/>
          <w:sz w:val="24"/>
        </w:rPr>
        <w:t>11.2供应商应持</w:t>
      </w:r>
      <w:r>
        <w:rPr>
          <w:rFonts w:hint="eastAsia" w:ascii="宋体" w:hAnsi="宋体"/>
          <w:b/>
          <w:sz w:val="24"/>
        </w:rPr>
        <w:t>磋商文件前附表</w:t>
      </w:r>
      <w:r>
        <w:rPr>
          <w:rFonts w:hint="eastAsia" w:ascii="宋体" w:hAnsi="宋体"/>
          <w:sz w:val="24"/>
        </w:rPr>
        <w:t>规定的资料领取或购买磋商文件。</w:t>
      </w:r>
    </w:p>
    <w:p w14:paraId="0CAFB322">
      <w:pPr>
        <w:pStyle w:val="9"/>
        <w:adjustRightInd w:val="0"/>
        <w:snapToGrid w:val="0"/>
        <w:spacing w:line="360" w:lineRule="auto"/>
        <w:rPr>
          <w:rFonts w:hAnsi="宋体"/>
          <w:sz w:val="24"/>
          <w:szCs w:val="24"/>
        </w:rPr>
      </w:pPr>
      <w:r>
        <w:rPr>
          <w:rFonts w:hint="eastAsia" w:hAnsi="宋体"/>
          <w:b/>
          <w:sz w:val="24"/>
          <w:szCs w:val="24"/>
        </w:rPr>
        <w:t>12.</w:t>
      </w:r>
      <w:r>
        <w:rPr>
          <w:rFonts w:hint="eastAsia" w:hAnsi="宋体" w:cs="宋体"/>
          <w:b/>
          <w:kern w:val="0"/>
          <w:sz w:val="24"/>
          <w:szCs w:val="24"/>
        </w:rPr>
        <w:t>提交首次响应文件</w:t>
      </w:r>
      <w:r>
        <w:rPr>
          <w:rFonts w:hint="eastAsia" w:hAnsi="宋体"/>
          <w:b/>
          <w:sz w:val="24"/>
          <w:szCs w:val="24"/>
        </w:rPr>
        <w:t>的</w:t>
      </w:r>
      <w:r>
        <w:rPr>
          <w:rFonts w:hint="eastAsia" w:hAnsi="宋体" w:cs="宋体"/>
          <w:b/>
          <w:kern w:val="0"/>
          <w:sz w:val="24"/>
          <w:szCs w:val="24"/>
        </w:rPr>
        <w:t>截止</w:t>
      </w:r>
      <w:r>
        <w:rPr>
          <w:rFonts w:hint="eastAsia" w:hAnsi="宋体"/>
          <w:b/>
          <w:sz w:val="24"/>
          <w:szCs w:val="24"/>
        </w:rPr>
        <w:t>时间</w:t>
      </w:r>
    </w:p>
    <w:p w14:paraId="6281E0BB">
      <w:pPr>
        <w:pStyle w:val="9"/>
        <w:adjustRightInd w:val="0"/>
        <w:snapToGrid w:val="0"/>
        <w:spacing w:line="360" w:lineRule="auto"/>
        <w:ind w:firstLine="480" w:firstLineChars="200"/>
        <w:rPr>
          <w:rFonts w:hAnsi="宋体"/>
          <w:sz w:val="24"/>
          <w:szCs w:val="24"/>
        </w:rPr>
      </w:pPr>
      <w:r>
        <w:rPr>
          <w:rFonts w:hint="eastAsia" w:hAnsi="宋体"/>
          <w:sz w:val="24"/>
          <w:szCs w:val="24"/>
        </w:rPr>
        <w:t>12.1</w:t>
      </w:r>
      <w:r>
        <w:rPr>
          <w:rFonts w:hint="eastAsia" w:hAnsi="宋体" w:cs="宋体"/>
          <w:kern w:val="0"/>
          <w:sz w:val="24"/>
          <w:szCs w:val="24"/>
        </w:rPr>
        <w:t>供应商提交首次响应文件截止</w:t>
      </w:r>
      <w:r>
        <w:rPr>
          <w:rFonts w:hint="eastAsia" w:hAnsi="宋体"/>
          <w:sz w:val="24"/>
          <w:szCs w:val="24"/>
        </w:rPr>
        <w:t>时间见</w:t>
      </w:r>
      <w:r>
        <w:rPr>
          <w:rFonts w:hint="eastAsia" w:hAnsi="宋体"/>
          <w:b/>
          <w:sz w:val="24"/>
          <w:szCs w:val="24"/>
        </w:rPr>
        <w:t>磋商须知前附表</w:t>
      </w:r>
      <w:r>
        <w:rPr>
          <w:rFonts w:hint="eastAsia" w:hAnsi="宋体"/>
          <w:sz w:val="24"/>
          <w:szCs w:val="24"/>
        </w:rPr>
        <w:t>。</w:t>
      </w:r>
    </w:p>
    <w:p w14:paraId="3094D5A5">
      <w:pPr>
        <w:adjustRightInd w:val="0"/>
        <w:snapToGrid w:val="0"/>
        <w:spacing w:line="360" w:lineRule="auto"/>
        <w:rPr>
          <w:rFonts w:ascii="宋体" w:hAnsi="宋体"/>
          <w:b/>
          <w:bCs/>
          <w:sz w:val="24"/>
        </w:rPr>
      </w:pPr>
      <w:r>
        <w:rPr>
          <w:rFonts w:hint="eastAsia" w:ascii="宋体" w:hAnsi="宋体"/>
          <w:b/>
          <w:bCs/>
          <w:sz w:val="24"/>
        </w:rPr>
        <w:t>13.磋商文件的澄清</w:t>
      </w:r>
      <w:r>
        <w:rPr>
          <w:rFonts w:hint="eastAsia" w:ascii="宋体" w:hAnsi="宋体"/>
          <w:b/>
          <w:kern w:val="0"/>
          <w:sz w:val="24"/>
          <w:lang w:val="zh-CN"/>
        </w:rPr>
        <w:t>或者</w:t>
      </w:r>
      <w:r>
        <w:rPr>
          <w:rFonts w:hint="eastAsia" w:ascii="宋体" w:hAnsi="宋体"/>
          <w:b/>
          <w:bCs/>
          <w:sz w:val="24"/>
        </w:rPr>
        <w:t>修改</w:t>
      </w:r>
    </w:p>
    <w:p w14:paraId="073D6C30">
      <w:pPr>
        <w:adjustRightInd w:val="0"/>
        <w:snapToGrid w:val="0"/>
        <w:spacing w:line="360" w:lineRule="auto"/>
        <w:ind w:right="-105" w:rightChars="-50" w:firstLine="480" w:firstLineChars="200"/>
        <w:rPr>
          <w:rFonts w:ascii="宋体" w:hAnsi="宋体" w:cs="宋体"/>
          <w:kern w:val="0"/>
          <w:sz w:val="24"/>
        </w:rPr>
      </w:pPr>
      <w:r>
        <w:rPr>
          <w:rFonts w:hint="eastAsia" w:ascii="宋体" w:hAnsi="宋体"/>
          <w:sz w:val="24"/>
        </w:rPr>
        <w:t>13.1在</w:t>
      </w:r>
      <w:r>
        <w:rPr>
          <w:rFonts w:hint="eastAsia" w:ascii="宋体" w:hAnsi="宋体" w:cs="宋体"/>
          <w:kern w:val="0"/>
          <w:sz w:val="24"/>
        </w:rPr>
        <w:t>提交首次响应文件截止之日前，采购人、采购代理机构可以对已发出的磋商文件进行必要的澄清或者修改。</w:t>
      </w:r>
    </w:p>
    <w:p w14:paraId="33AD682D">
      <w:pPr>
        <w:adjustRightInd w:val="0"/>
        <w:snapToGrid w:val="0"/>
        <w:spacing w:line="360" w:lineRule="auto"/>
        <w:ind w:right="-105" w:rightChars="-50" w:firstLine="480" w:firstLineChars="200"/>
        <w:rPr>
          <w:rFonts w:ascii="宋体" w:hAnsi="宋体" w:cs="宋体"/>
          <w:kern w:val="0"/>
          <w:sz w:val="24"/>
        </w:rPr>
      </w:pPr>
      <w:r>
        <w:rPr>
          <w:rFonts w:hint="eastAsia" w:ascii="宋体" w:hAnsi="宋体"/>
          <w:sz w:val="24"/>
        </w:rPr>
        <w:t>13.2</w:t>
      </w:r>
      <w:r>
        <w:rPr>
          <w:rFonts w:hint="eastAsia" w:ascii="宋体" w:hAnsi="宋体" w:cs="宋体"/>
          <w:kern w:val="0"/>
          <w:sz w:val="24"/>
        </w:rPr>
        <w:t>澄清或者修改的内容可能影响响应文件编制的，采购人、采购代理机构应当在提交首次响应文件截止至少5日前，以书面形式通知所有接收磋商文件的供应商，不足5日的，顺延供应商提交首次响应文件截止时间。</w:t>
      </w:r>
    </w:p>
    <w:p w14:paraId="65F323F9">
      <w:pPr>
        <w:pStyle w:val="9"/>
        <w:adjustRightInd w:val="0"/>
        <w:snapToGrid w:val="0"/>
        <w:spacing w:line="360" w:lineRule="auto"/>
        <w:ind w:firstLine="480" w:firstLineChars="200"/>
        <w:rPr>
          <w:sz w:val="24"/>
          <w:szCs w:val="24"/>
        </w:rPr>
      </w:pPr>
      <w:r>
        <w:rPr>
          <w:rFonts w:hint="eastAsia"/>
          <w:sz w:val="24"/>
          <w:szCs w:val="24"/>
        </w:rPr>
        <w:t>13.2</w:t>
      </w:r>
      <w:r>
        <w:rPr>
          <w:rFonts w:hint="eastAsia" w:hAnsi="宋体" w:cs="宋体"/>
          <w:kern w:val="0"/>
          <w:sz w:val="24"/>
          <w:szCs w:val="24"/>
        </w:rPr>
        <w:t>提交首次响应文件截止时间前对磋商文件澄清或者修改内容，为磋商文件的组成部分。</w:t>
      </w:r>
    </w:p>
    <w:p w14:paraId="3E50EFD6">
      <w:pPr>
        <w:adjustRightInd w:val="0"/>
        <w:snapToGrid w:val="0"/>
        <w:spacing w:line="360" w:lineRule="auto"/>
        <w:ind w:left="902" w:hanging="902" w:hangingChars="376"/>
        <w:rPr>
          <w:rFonts w:ascii="黑体" w:hAnsi="宋体" w:eastAsia="黑体"/>
          <w:sz w:val="24"/>
        </w:rPr>
      </w:pPr>
      <w:r>
        <w:rPr>
          <w:rFonts w:hint="eastAsia" w:ascii="黑体" w:hAnsi="宋体" w:eastAsia="黑体"/>
          <w:sz w:val="24"/>
        </w:rPr>
        <w:t>三、响应文件</w:t>
      </w:r>
    </w:p>
    <w:p w14:paraId="2F62DBFC">
      <w:pPr>
        <w:adjustRightInd w:val="0"/>
        <w:snapToGrid w:val="0"/>
        <w:spacing w:line="360" w:lineRule="auto"/>
        <w:rPr>
          <w:rFonts w:ascii="宋体" w:hAnsi="宋体"/>
          <w:b/>
          <w:bCs/>
          <w:sz w:val="24"/>
        </w:rPr>
      </w:pPr>
      <w:r>
        <w:rPr>
          <w:rFonts w:hint="eastAsia" w:ascii="宋体" w:hAnsi="宋体"/>
          <w:b/>
          <w:bCs/>
          <w:sz w:val="24"/>
        </w:rPr>
        <w:t>14.一般要求</w:t>
      </w:r>
    </w:p>
    <w:p w14:paraId="78F111D4">
      <w:pPr>
        <w:adjustRightInd w:val="0"/>
        <w:snapToGrid w:val="0"/>
        <w:spacing w:line="360" w:lineRule="auto"/>
        <w:ind w:firstLine="480" w:firstLineChars="200"/>
        <w:rPr>
          <w:rFonts w:ascii="宋体" w:hAnsi="宋体"/>
          <w:bCs/>
          <w:sz w:val="24"/>
        </w:rPr>
      </w:pPr>
      <w:r>
        <w:rPr>
          <w:rFonts w:hint="eastAsia" w:ascii="宋体" w:hAnsi="宋体"/>
          <w:bCs/>
          <w:sz w:val="24"/>
        </w:rPr>
        <w:t>14.1 供应商应仔细阅读磋商文件的所有内容，按磋商文件的要求编制响应文件，并保证所提供的全部资料的真实性，以使其响应文件对磋商文件做出实质性的响应。</w:t>
      </w:r>
    </w:p>
    <w:p w14:paraId="53C3BE7A">
      <w:pPr>
        <w:adjustRightInd w:val="0"/>
        <w:snapToGrid w:val="0"/>
        <w:spacing w:line="360" w:lineRule="auto"/>
        <w:ind w:firstLine="480" w:firstLineChars="200"/>
        <w:rPr>
          <w:rFonts w:ascii="宋体" w:hAnsi="宋体"/>
          <w:bCs/>
          <w:sz w:val="24"/>
        </w:rPr>
      </w:pPr>
      <w:r>
        <w:rPr>
          <w:rFonts w:hint="eastAsia" w:ascii="宋体" w:hAnsi="宋体"/>
          <w:bCs/>
          <w:sz w:val="24"/>
        </w:rPr>
        <w:t xml:space="preserve">14.2 </w:t>
      </w:r>
      <w:r>
        <w:rPr>
          <w:rFonts w:hint="eastAsia" w:ascii="宋体" w:hAnsi="宋体"/>
          <w:sz w:val="24"/>
        </w:rPr>
        <w:t>供应商提交的响应文件及供应商与采购人或采购代理机构、磋商小组就有关磋商的所有来往函电均使用中文。供应商可以提交其它语言的资料，但应附中文注释，在有差异时以中文为准。</w:t>
      </w:r>
    </w:p>
    <w:p w14:paraId="0E576A7B">
      <w:pPr>
        <w:pStyle w:val="9"/>
        <w:adjustRightInd w:val="0"/>
        <w:snapToGrid w:val="0"/>
        <w:spacing w:line="360" w:lineRule="auto"/>
        <w:ind w:firstLine="480" w:firstLineChars="200"/>
        <w:rPr>
          <w:rFonts w:hAnsi="宋体"/>
          <w:sz w:val="24"/>
          <w:szCs w:val="24"/>
        </w:rPr>
      </w:pPr>
      <w:r>
        <w:rPr>
          <w:rFonts w:hint="eastAsia" w:hAnsi="宋体"/>
          <w:bCs/>
          <w:sz w:val="24"/>
          <w:szCs w:val="24"/>
        </w:rPr>
        <w:t xml:space="preserve">14.3 </w:t>
      </w:r>
      <w:r>
        <w:rPr>
          <w:rFonts w:hint="eastAsia" w:hAnsi="宋体"/>
          <w:sz w:val="24"/>
          <w:szCs w:val="24"/>
        </w:rPr>
        <w:t>计量单位应使用我国法定计量单位，未列明时应默认为我国法定计量单位。</w:t>
      </w:r>
    </w:p>
    <w:p w14:paraId="165B2A66">
      <w:pPr>
        <w:pStyle w:val="9"/>
        <w:adjustRightInd w:val="0"/>
        <w:snapToGrid w:val="0"/>
        <w:spacing w:line="360" w:lineRule="auto"/>
        <w:ind w:firstLine="480" w:firstLineChars="200"/>
        <w:rPr>
          <w:rFonts w:hAnsi="宋体"/>
          <w:sz w:val="24"/>
          <w:szCs w:val="24"/>
        </w:rPr>
      </w:pPr>
      <w:r>
        <w:rPr>
          <w:rFonts w:hint="eastAsia" w:hAnsi="宋体"/>
          <w:sz w:val="24"/>
          <w:szCs w:val="24"/>
        </w:rPr>
        <w:t>14.4 响应文件应采用书面形式，电报、传真、电子邮件形式的响应文件概不接受。</w:t>
      </w:r>
    </w:p>
    <w:p w14:paraId="1FF55233">
      <w:pPr>
        <w:adjustRightInd w:val="0"/>
        <w:snapToGrid w:val="0"/>
        <w:spacing w:line="360" w:lineRule="auto"/>
        <w:ind w:firstLine="480" w:firstLineChars="200"/>
        <w:rPr>
          <w:rFonts w:ascii="宋体" w:hAnsi="宋体"/>
          <w:sz w:val="24"/>
        </w:rPr>
      </w:pPr>
      <w:r>
        <w:rPr>
          <w:rFonts w:hint="eastAsia" w:ascii="宋体" w:hAnsi="宋体"/>
          <w:sz w:val="24"/>
        </w:rPr>
        <w:t>14.5 供应商应按磋商文件中提供的响应文件格式填写。</w:t>
      </w:r>
    </w:p>
    <w:p w14:paraId="742BE550">
      <w:pPr>
        <w:adjustRightInd w:val="0"/>
        <w:snapToGrid w:val="0"/>
        <w:spacing w:line="360" w:lineRule="auto"/>
        <w:rPr>
          <w:rFonts w:ascii="宋体" w:hAnsi="宋体"/>
          <w:b/>
          <w:bCs/>
          <w:sz w:val="24"/>
        </w:rPr>
      </w:pPr>
      <w:r>
        <w:rPr>
          <w:rFonts w:hint="eastAsia" w:ascii="宋体" w:hAnsi="宋体"/>
          <w:b/>
          <w:bCs/>
          <w:sz w:val="24"/>
        </w:rPr>
        <w:t>15.</w:t>
      </w:r>
      <w:r>
        <w:rPr>
          <w:rFonts w:hint="eastAsia" w:ascii="宋体" w:hAnsi="宋体"/>
          <w:b/>
          <w:sz w:val="24"/>
        </w:rPr>
        <w:t>响应文件</w:t>
      </w:r>
      <w:r>
        <w:rPr>
          <w:rFonts w:hint="eastAsia" w:ascii="宋体" w:hAnsi="宋体"/>
          <w:b/>
          <w:bCs/>
          <w:sz w:val="24"/>
        </w:rPr>
        <w:t>的组成</w:t>
      </w:r>
    </w:p>
    <w:p w14:paraId="523A5F69">
      <w:pPr>
        <w:adjustRightInd w:val="0"/>
        <w:snapToGrid w:val="0"/>
        <w:spacing w:line="360" w:lineRule="auto"/>
        <w:ind w:firstLine="480" w:firstLineChars="200"/>
        <w:jc w:val="left"/>
        <w:rPr>
          <w:rFonts w:ascii="宋体" w:hAnsi="宋体"/>
          <w:sz w:val="24"/>
        </w:rPr>
      </w:pPr>
      <w:r>
        <w:rPr>
          <w:rFonts w:hint="eastAsia" w:ascii="宋体" w:hAnsi="宋体"/>
          <w:sz w:val="24"/>
        </w:rPr>
        <w:t>15.1</w:t>
      </w:r>
      <w:r>
        <w:rPr>
          <w:rFonts w:hint="eastAsia" w:hAnsi="宋体"/>
          <w:sz w:val="24"/>
        </w:rPr>
        <w:t>响应文件包括下列内容：</w:t>
      </w:r>
    </w:p>
    <w:p w14:paraId="170D6879">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一、磋商响应声明</w:t>
      </w:r>
    </w:p>
    <w:p w14:paraId="593F1F6C">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二、供应商的资格证明资料</w:t>
      </w:r>
    </w:p>
    <w:p w14:paraId="334A0AFC">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三、货物或服务方案说明</w:t>
      </w:r>
    </w:p>
    <w:p w14:paraId="7297CD51">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四、技术/商务响应与偏离表</w:t>
      </w:r>
    </w:p>
    <w:p w14:paraId="5ADEFFBE">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五、提供享受政府采购政策的证明资料和清单表</w:t>
      </w:r>
    </w:p>
    <w:p w14:paraId="34D87DEA">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六、报价一览表及分项价格表</w:t>
      </w:r>
    </w:p>
    <w:p w14:paraId="3D423461">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七、供应商认为需提供的其它资料</w:t>
      </w:r>
    </w:p>
    <w:p w14:paraId="55D26976">
      <w:pPr>
        <w:adjustRightInd w:val="0"/>
        <w:snapToGrid w:val="0"/>
        <w:spacing w:line="360" w:lineRule="auto"/>
        <w:ind w:firstLine="480" w:firstLineChars="200"/>
        <w:rPr>
          <w:rFonts w:ascii="宋体" w:hAnsi="宋体" w:cs="宋体"/>
          <w:b w:val="0"/>
          <w:bCs w:val="0"/>
          <w:color w:val="000000"/>
          <w:sz w:val="24"/>
        </w:rPr>
      </w:pPr>
      <w:r>
        <w:rPr>
          <w:rFonts w:hint="eastAsia" w:ascii="宋体" w:hAnsi="宋体" w:cs="宋体"/>
          <w:b w:val="0"/>
          <w:bCs w:val="0"/>
          <w:color w:val="000000"/>
          <w:sz w:val="24"/>
        </w:rPr>
        <w:t>八、最后报价</w:t>
      </w:r>
    </w:p>
    <w:p w14:paraId="6F4BF850">
      <w:pPr>
        <w:adjustRightInd w:val="0"/>
        <w:snapToGrid w:val="0"/>
        <w:spacing w:line="360" w:lineRule="auto"/>
        <w:ind w:firstLine="480" w:firstLineChars="200"/>
        <w:rPr>
          <w:rFonts w:hAnsi="宋体"/>
          <w:sz w:val="24"/>
        </w:rPr>
      </w:pPr>
      <w:r>
        <w:rPr>
          <w:rFonts w:hint="eastAsia" w:ascii="宋体" w:hAnsi="宋体"/>
          <w:sz w:val="24"/>
        </w:rPr>
        <w:t>15.2在磋商过程中，供应商根据</w:t>
      </w:r>
      <w:r>
        <w:rPr>
          <w:rFonts w:hint="eastAsia" w:ascii="宋体" w:hAnsi="宋体" w:cs="宋体"/>
          <w:kern w:val="0"/>
          <w:sz w:val="24"/>
        </w:rPr>
        <w:t>磋商小组</w:t>
      </w:r>
      <w:r>
        <w:rPr>
          <w:rFonts w:hint="eastAsia" w:ascii="宋体" w:hAnsi="宋体"/>
          <w:bCs/>
          <w:sz w:val="24"/>
        </w:rPr>
        <w:t>书面形式要求</w:t>
      </w:r>
      <w:r>
        <w:rPr>
          <w:rFonts w:hint="eastAsia" w:ascii="宋体" w:hAnsi="宋体" w:cs="宋体"/>
          <w:kern w:val="0"/>
          <w:sz w:val="24"/>
        </w:rPr>
        <w:t>提交的</w:t>
      </w:r>
      <w:r>
        <w:rPr>
          <w:rFonts w:hint="eastAsia" w:hAnsi="宋体"/>
          <w:sz w:val="24"/>
        </w:rPr>
        <w:t>最后报价(或者</w:t>
      </w:r>
      <w:r>
        <w:rPr>
          <w:rFonts w:hint="eastAsia" w:ascii="宋体" w:hAnsi="宋体"/>
          <w:bCs/>
          <w:sz w:val="24"/>
        </w:rPr>
        <w:t>重</w:t>
      </w:r>
      <w:r>
        <w:rPr>
          <w:rFonts w:hint="eastAsia" w:ascii="宋体" w:hAnsi="宋体" w:cs="宋体"/>
          <w:kern w:val="0"/>
          <w:sz w:val="24"/>
        </w:rPr>
        <w:t>新提交的响应文件和</w:t>
      </w:r>
      <w:r>
        <w:rPr>
          <w:rFonts w:hint="eastAsia" w:hAnsi="宋体"/>
          <w:sz w:val="24"/>
        </w:rPr>
        <w:t>最后报价)是</w:t>
      </w:r>
      <w:r>
        <w:rPr>
          <w:rFonts w:hint="eastAsia" w:ascii="宋体" w:hAnsi="宋体"/>
          <w:sz w:val="24"/>
        </w:rPr>
        <w:t>响应文件</w:t>
      </w:r>
      <w:r>
        <w:rPr>
          <w:rFonts w:hint="eastAsia" w:hAnsi="宋体"/>
          <w:sz w:val="24"/>
        </w:rPr>
        <w:t>的有效组成部分。</w:t>
      </w:r>
    </w:p>
    <w:p w14:paraId="4AEF0124">
      <w:pPr>
        <w:adjustRightInd w:val="0"/>
        <w:snapToGrid w:val="0"/>
        <w:spacing w:line="360" w:lineRule="auto"/>
        <w:ind w:firstLine="480" w:firstLineChars="200"/>
        <w:rPr>
          <w:rFonts w:hAnsi="宋体"/>
          <w:b/>
          <w:sz w:val="24"/>
        </w:rPr>
      </w:pPr>
      <w:r>
        <w:rPr>
          <w:rFonts w:hint="eastAsia" w:ascii="宋体" w:hAnsi="宋体"/>
          <w:sz w:val="24"/>
        </w:rPr>
        <w:t>15.3</w:t>
      </w:r>
      <w:r>
        <w:rPr>
          <w:rFonts w:hint="eastAsia" w:ascii="宋体" w:hAnsi="宋体" w:cs="宋体"/>
          <w:kern w:val="0"/>
          <w:sz w:val="24"/>
        </w:rPr>
        <w:t>磋商文件规定可能发生实质性变动的，供应商应当在</w:t>
      </w:r>
      <w:r>
        <w:rPr>
          <w:rFonts w:hint="eastAsia" w:hAnsi="宋体"/>
          <w:sz w:val="24"/>
        </w:rPr>
        <w:t>《技术/商务响应与偏离表》中对应内容注明。</w:t>
      </w:r>
    </w:p>
    <w:p w14:paraId="4F12357F">
      <w:pPr>
        <w:adjustRightInd w:val="0"/>
        <w:snapToGrid w:val="0"/>
        <w:spacing w:line="360" w:lineRule="auto"/>
        <w:ind w:firstLine="480" w:firstLineChars="200"/>
        <w:rPr>
          <w:rFonts w:ascii="宋体" w:hAnsi="宋体"/>
          <w:sz w:val="24"/>
        </w:rPr>
      </w:pPr>
      <w:r>
        <w:rPr>
          <w:rFonts w:hint="eastAsia" w:ascii="宋体" w:hAnsi="宋体"/>
          <w:sz w:val="24"/>
        </w:rPr>
        <w:t>15.4根据《政府采购法》第四十二条的规定，供应商无论成交与否，其响应文件不予退还。</w:t>
      </w:r>
    </w:p>
    <w:p w14:paraId="6C7A1594">
      <w:pPr>
        <w:adjustRightInd w:val="0"/>
        <w:snapToGrid w:val="0"/>
        <w:spacing w:line="360" w:lineRule="auto"/>
        <w:rPr>
          <w:rFonts w:ascii="宋体" w:hAnsi="宋体"/>
          <w:b/>
          <w:bCs/>
          <w:sz w:val="24"/>
        </w:rPr>
      </w:pPr>
      <w:r>
        <w:rPr>
          <w:rFonts w:hint="eastAsia" w:ascii="宋体" w:hAnsi="宋体"/>
          <w:b/>
          <w:bCs/>
          <w:sz w:val="24"/>
        </w:rPr>
        <w:t>16.报价</w:t>
      </w:r>
    </w:p>
    <w:p w14:paraId="287801D4">
      <w:pPr>
        <w:adjustRightInd w:val="0"/>
        <w:snapToGrid w:val="0"/>
        <w:spacing w:line="360" w:lineRule="auto"/>
        <w:ind w:firstLine="480" w:firstLineChars="200"/>
        <w:rPr>
          <w:rFonts w:ascii="宋体" w:hAnsi="宋体"/>
          <w:sz w:val="24"/>
        </w:rPr>
      </w:pPr>
      <w:r>
        <w:rPr>
          <w:rFonts w:hint="eastAsia" w:ascii="宋体" w:hAnsi="宋体"/>
          <w:sz w:val="24"/>
        </w:rPr>
        <w:t>16.1供应商应当根据磋商文件要求和范围，以</w:t>
      </w:r>
      <w:r>
        <w:rPr>
          <w:rFonts w:hint="eastAsia" w:ascii="宋体" w:hAnsi="宋体"/>
          <w:bCs/>
          <w:sz w:val="24"/>
        </w:rPr>
        <w:t>人民币</w:t>
      </w:r>
      <w:r>
        <w:rPr>
          <w:rFonts w:hint="eastAsia" w:ascii="宋体" w:hAnsi="宋体"/>
          <w:sz w:val="24"/>
        </w:rPr>
        <w:t>报价，以元为单位，保留小数点后两位。</w:t>
      </w:r>
    </w:p>
    <w:p w14:paraId="53EBC34D">
      <w:pPr>
        <w:pStyle w:val="26"/>
        <w:adjustRightInd w:val="0"/>
        <w:snapToGrid w:val="0"/>
        <w:spacing w:line="360" w:lineRule="auto"/>
        <w:ind w:firstLine="480" w:firstLineChars="200"/>
        <w:rPr>
          <w:rFonts w:ascii="宋体" w:hAnsi="宋体"/>
          <w:sz w:val="24"/>
          <w:szCs w:val="24"/>
        </w:rPr>
      </w:pPr>
      <w:r>
        <w:rPr>
          <w:rFonts w:hint="eastAsia" w:ascii="宋体" w:hAnsi="宋体"/>
          <w:sz w:val="24"/>
          <w:szCs w:val="24"/>
        </w:rPr>
        <w:t>16.2供应商应按第五章响应文件组成格式填写。</w:t>
      </w:r>
    </w:p>
    <w:p w14:paraId="5F686876">
      <w:pPr>
        <w:pStyle w:val="9"/>
        <w:adjustRightInd w:val="0"/>
        <w:snapToGrid w:val="0"/>
        <w:spacing w:line="360" w:lineRule="auto"/>
        <w:ind w:firstLine="480" w:firstLineChars="200"/>
        <w:rPr>
          <w:rFonts w:hAnsi="宋体"/>
          <w:sz w:val="24"/>
          <w:szCs w:val="24"/>
        </w:rPr>
      </w:pPr>
      <w:r>
        <w:rPr>
          <w:rFonts w:hint="eastAsia" w:hAnsi="宋体"/>
          <w:sz w:val="24"/>
          <w:szCs w:val="24"/>
        </w:rPr>
        <w:t>16.3响应文件中标明的价格在合同执行过程中是固定不变的，不得以任何理由予以变更。以可变动价格提交的报价将被认为是非实质响应而被拒绝。</w:t>
      </w:r>
    </w:p>
    <w:p w14:paraId="50B66D07">
      <w:pPr>
        <w:pStyle w:val="9"/>
        <w:adjustRightInd w:val="0"/>
        <w:snapToGrid w:val="0"/>
        <w:spacing w:line="360" w:lineRule="auto"/>
        <w:ind w:firstLine="480" w:firstLineChars="200"/>
        <w:rPr>
          <w:rFonts w:hAnsi="宋体"/>
          <w:sz w:val="24"/>
          <w:szCs w:val="24"/>
        </w:rPr>
      </w:pPr>
      <w:r>
        <w:rPr>
          <w:rFonts w:hint="eastAsia" w:hAnsi="宋体"/>
          <w:sz w:val="24"/>
          <w:szCs w:val="24"/>
        </w:rPr>
        <w:t>16.4</w:t>
      </w:r>
      <w:r>
        <w:rPr>
          <w:rFonts w:hint="eastAsia" w:hAnsi="宋体" w:cs="宋体"/>
          <w:kern w:val="0"/>
          <w:sz w:val="24"/>
          <w:szCs w:val="24"/>
          <w:lang w:val="zh-CN"/>
        </w:rPr>
        <w:t>供应商</w:t>
      </w:r>
      <w:r>
        <w:rPr>
          <w:rFonts w:hint="eastAsia" w:hAnsi="宋体"/>
          <w:sz w:val="24"/>
          <w:szCs w:val="24"/>
        </w:rPr>
        <w:t>的报价不得超过采购项目预算，采购项目预算或其计算方法见</w:t>
      </w:r>
      <w:r>
        <w:rPr>
          <w:rFonts w:hint="eastAsia" w:hAnsi="宋体"/>
          <w:b/>
          <w:sz w:val="24"/>
          <w:szCs w:val="24"/>
        </w:rPr>
        <w:t>磋商须知前附表</w:t>
      </w:r>
      <w:r>
        <w:rPr>
          <w:rFonts w:hint="eastAsia" w:hAnsi="宋体"/>
          <w:sz w:val="24"/>
          <w:szCs w:val="24"/>
        </w:rPr>
        <w:t>。</w:t>
      </w:r>
    </w:p>
    <w:p w14:paraId="60F800AB">
      <w:pPr>
        <w:pStyle w:val="9"/>
        <w:adjustRightInd w:val="0"/>
        <w:snapToGrid w:val="0"/>
        <w:spacing w:line="360" w:lineRule="auto"/>
        <w:rPr>
          <w:b/>
          <w:sz w:val="24"/>
          <w:szCs w:val="24"/>
        </w:rPr>
      </w:pPr>
      <w:r>
        <w:rPr>
          <w:rFonts w:hint="eastAsia"/>
          <w:b/>
          <w:sz w:val="24"/>
          <w:szCs w:val="24"/>
        </w:rPr>
        <w:t>17.供应商符合磋商文件规定的证明文件</w:t>
      </w:r>
    </w:p>
    <w:p w14:paraId="2BFED570">
      <w:pPr>
        <w:adjustRightInd w:val="0"/>
        <w:snapToGrid w:val="0"/>
        <w:spacing w:line="360" w:lineRule="auto"/>
        <w:ind w:firstLine="480" w:firstLineChars="200"/>
        <w:jc w:val="left"/>
        <w:rPr>
          <w:rFonts w:ascii="宋体" w:hAnsi="宋体"/>
          <w:sz w:val="24"/>
        </w:rPr>
      </w:pPr>
      <w:r>
        <w:rPr>
          <w:rFonts w:hint="eastAsia" w:ascii="宋体" w:hAnsi="宋体"/>
          <w:sz w:val="24"/>
        </w:rPr>
        <w:t>17.1供应商应提交满足本章第3.1款规定的资格条件要求的证明文件,该证明文件作为响应文件的一部分。</w:t>
      </w:r>
    </w:p>
    <w:p w14:paraId="358B6213">
      <w:pPr>
        <w:adjustRightInd w:val="0"/>
        <w:snapToGrid w:val="0"/>
        <w:spacing w:line="360" w:lineRule="auto"/>
        <w:ind w:firstLine="480" w:firstLineChars="200"/>
        <w:jc w:val="left"/>
        <w:rPr>
          <w:rFonts w:ascii="宋体" w:hAnsi="宋体"/>
          <w:sz w:val="24"/>
        </w:rPr>
      </w:pPr>
      <w:r>
        <w:rPr>
          <w:rFonts w:hint="eastAsia" w:ascii="宋体" w:hAnsi="宋体"/>
          <w:sz w:val="24"/>
        </w:rPr>
        <w:t>17.2如果供应商为联合体，则应提交联合体各方资格证明文件、联合体协议。否则，在评审时将其视为无效响应。</w:t>
      </w:r>
    </w:p>
    <w:p w14:paraId="35A79F8B">
      <w:pPr>
        <w:adjustRightInd w:val="0"/>
        <w:snapToGrid w:val="0"/>
        <w:spacing w:beforeLines="50" w:line="360" w:lineRule="auto"/>
        <w:ind w:firstLine="480" w:firstLineChars="200"/>
        <w:jc w:val="left"/>
        <w:rPr>
          <w:rFonts w:ascii="宋体" w:hAnsi="宋体"/>
          <w:sz w:val="24"/>
        </w:rPr>
      </w:pPr>
      <w:r>
        <w:rPr>
          <w:rFonts w:hint="eastAsia" w:ascii="宋体" w:hAnsi="宋体"/>
          <w:sz w:val="24"/>
        </w:rPr>
        <w:t>17.3 除</w:t>
      </w:r>
      <w:r>
        <w:rPr>
          <w:rFonts w:hint="eastAsia" w:ascii="宋体" w:hAnsi="宋体"/>
          <w:b/>
          <w:sz w:val="24"/>
        </w:rPr>
        <w:t>磋商须知前附表</w:t>
      </w:r>
      <w:r>
        <w:rPr>
          <w:rFonts w:hint="eastAsia" w:ascii="宋体" w:hAnsi="宋体"/>
          <w:sz w:val="24"/>
        </w:rPr>
        <w:t>另有规定外，供应商提供的货物及服务不是供应商制造或拥有的，则必须提供经销、或代理采购货物、或采购货物提供售后服务的证明文件。</w:t>
      </w:r>
    </w:p>
    <w:p w14:paraId="5DBC5A76">
      <w:pPr>
        <w:adjustRightInd w:val="0"/>
        <w:snapToGrid w:val="0"/>
        <w:spacing w:beforeLines="50" w:line="360" w:lineRule="auto"/>
        <w:jc w:val="left"/>
        <w:rPr>
          <w:rFonts w:ascii="宋体" w:hAnsi="宋体"/>
          <w:b/>
          <w:sz w:val="24"/>
        </w:rPr>
      </w:pPr>
      <w:r>
        <w:rPr>
          <w:rFonts w:hint="eastAsia" w:ascii="宋体" w:hAnsi="宋体"/>
          <w:b/>
          <w:sz w:val="24"/>
        </w:rPr>
        <w:t>18．样品提供</w:t>
      </w:r>
    </w:p>
    <w:p w14:paraId="7049E4D3">
      <w:pPr>
        <w:adjustRightInd w:val="0"/>
        <w:snapToGrid w:val="0"/>
        <w:spacing w:beforeLines="50" w:line="360" w:lineRule="auto"/>
        <w:ind w:firstLine="480" w:firstLineChars="200"/>
        <w:jc w:val="left"/>
        <w:rPr>
          <w:rFonts w:ascii="宋体" w:hAnsi="宋体"/>
          <w:sz w:val="24"/>
        </w:rPr>
      </w:pPr>
      <w:r>
        <w:rPr>
          <w:rFonts w:hint="eastAsia" w:ascii="宋体" w:hAnsi="宋体"/>
          <w:sz w:val="24"/>
        </w:rPr>
        <w:t xml:space="preserve">18.1 </w:t>
      </w:r>
      <w:r>
        <w:rPr>
          <w:rFonts w:hint="eastAsia" w:ascii="宋体" w:hAnsi="宋体"/>
          <w:b/>
          <w:sz w:val="24"/>
        </w:rPr>
        <w:t>磋商须知前附表</w:t>
      </w:r>
      <w:r>
        <w:rPr>
          <w:rFonts w:hint="eastAsia" w:ascii="宋体" w:hAnsi="宋体"/>
          <w:sz w:val="24"/>
        </w:rPr>
        <w:t>规定</w:t>
      </w:r>
      <w:r>
        <w:rPr>
          <w:rFonts w:hint="eastAsia" w:ascii="宋体" w:hAnsi="宋体"/>
          <w:bCs/>
          <w:sz w:val="24"/>
        </w:rPr>
        <w:t>供应商</w:t>
      </w:r>
      <w:r>
        <w:rPr>
          <w:rFonts w:hint="eastAsia" w:ascii="宋体" w:hAnsi="宋体"/>
          <w:sz w:val="24"/>
        </w:rPr>
        <w:t>在磋商时提供样品的，</w:t>
      </w:r>
      <w:r>
        <w:rPr>
          <w:rFonts w:hint="eastAsia" w:ascii="宋体" w:hAnsi="宋体"/>
          <w:bCs/>
          <w:sz w:val="24"/>
        </w:rPr>
        <w:t>供应商</w:t>
      </w:r>
      <w:r>
        <w:rPr>
          <w:rFonts w:ascii="宋体" w:hAnsi="宋体"/>
          <w:sz w:val="24"/>
        </w:rPr>
        <w:t>有以下情形之一的</w:t>
      </w:r>
      <w:r>
        <w:rPr>
          <w:rFonts w:hint="eastAsia" w:ascii="宋体" w:hAnsi="宋体"/>
          <w:sz w:val="24"/>
        </w:rPr>
        <w:t>，在评审时将其视为无效响应。</w:t>
      </w:r>
    </w:p>
    <w:p w14:paraId="4A740E06">
      <w:pPr>
        <w:adjustRightInd w:val="0"/>
        <w:snapToGrid w:val="0"/>
        <w:spacing w:beforeLines="50" w:line="360" w:lineRule="auto"/>
        <w:ind w:firstLine="480" w:firstLineChars="200"/>
        <w:jc w:val="left"/>
        <w:rPr>
          <w:rFonts w:ascii="宋体" w:hAnsi="宋体"/>
          <w:sz w:val="24"/>
        </w:rPr>
      </w:pPr>
      <w:r>
        <w:rPr>
          <w:rFonts w:hint="eastAsia" w:ascii="宋体" w:hAnsi="宋体"/>
          <w:sz w:val="24"/>
        </w:rPr>
        <w:t>（1）未在</w:t>
      </w:r>
      <w:r>
        <w:rPr>
          <w:rFonts w:hint="eastAsia" w:ascii="宋体" w:hAnsi="宋体"/>
          <w:b/>
          <w:sz w:val="24"/>
        </w:rPr>
        <w:t>磋商须知前附表</w:t>
      </w:r>
      <w:r>
        <w:rPr>
          <w:rFonts w:hint="eastAsia" w:ascii="宋体" w:hAnsi="宋体"/>
          <w:sz w:val="24"/>
        </w:rPr>
        <w:t>规定的提交时间、地点提交</w:t>
      </w:r>
      <w:r>
        <w:rPr>
          <w:rFonts w:ascii="宋体" w:hAnsi="宋体"/>
          <w:sz w:val="24"/>
        </w:rPr>
        <w:t>的</w:t>
      </w:r>
      <w:r>
        <w:rPr>
          <w:rFonts w:hint="eastAsia" w:ascii="宋体" w:hAnsi="宋体"/>
          <w:sz w:val="24"/>
        </w:rPr>
        <w:t>；</w:t>
      </w:r>
    </w:p>
    <w:p w14:paraId="7BDC2C14">
      <w:pPr>
        <w:adjustRightInd w:val="0"/>
        <w:snapToGrid w:val="0"/>
        <w:spacing w:beforeLines="50" w:line="360" w:lineRule="auto"/>
        <w:ind w:firstLine="480" w:firstLineChars="200"/>
        <w:jc w:val="left"/>
        <w:rPr>
          <w:rFonts w:ascii="宋体" w:hAnsi="宋体"/>
          <w:sz w:val="24"/>
        </w:rPr>
      </w:pPr>
      <w:r>
        <w:rPr>
          <w:rFonts w:hint="eastAsia" w:ascii="宋体" w:hAnsi="宋体"/>
          <w:sz w:val="24"/>
        </w:rPr>
        <w:t>（2）</w:t>
      </w:r>
      <w:r>
        <w:rPr>
          <w:rFonts w:hint="eastAsia" w:ascii="宋体" w:hAnsi="宋体"/>
          <w:bCs/>
          <w:sz w:val="24"/>
        </w:rPr>
        <w:t>供应商</w:t>
      </w:r>
      <w:r>
        <w:rPr>
          <w:rFonts w:hint="eastAsia" w:ascii="宋体" w:hAnsi="宋体"/>
          <w:sz w:val="24"/>
        </w:rPr>
        <w:t>提供的样品与响应文件中提供样品的型号、规格不一致</w:t>
      </w:r>
      <w:r>
        <w:rPr>
          <w:rFonts w:ascii="宋体" w:hAnsi="宋体"/>
          <w:sz w:val="24"/>
        </w:rPr>
        <w:t>的</w:t>
      </w:r>
      <w:r>
        <w:rPr>
          <w:rFonts w:hint="eastAsia" w:ascii="宋体" w:hAnsi="宋体"/>
          <w:sz w:val="24"/>
        </w:rPr>
        <w:t>。</w:t>
      </w:r>
    </w:p>
    <w:p w14:paraId="1AF04991">
      <w:pPr>
        <w:adjustRightInd w:val="0"/>
        <w:snapToGrid w:val="0"/>
        <w:spacing w:line="360" w:lineRule="auto"/>
        <w:rPr>
          <w:rFonts w:ascii="宋体" w:hAnsi="宋体"/>
          <w:b/>
          <w:bCs/>
          <w:sz w:val="24"/>
        </w:rPr>
      </w:pPr>
      <w:r>
        <w:rPr>
          <w:rFonts w:hint="eastAsia" w:ascii="宋体" w:hAnsi="宋体"/>
          <w:b/>
          <w:bCs/>
          <w:sz w:val="24"/>
        </w:rPr>
        <w:t>19.磋商保证金</w:t>
      </w:r>
    </w:p>
    <w:p w14:paraId="4ABF9B8C">
      <w:pPr>
        <w:pStyle w:val="9"/>
        <w:adjustRightInd w:val="0"/>
        <w:snapToGrid w:val="0"/>
        <w:spacing w:line="360" w:lineRule="auto"/>
        <w:ind w:firstLine="480" w:firstLineChars="200"/>
        <w:rPr>
          <w:rFonts w:hAnsi="宋体"/>
          <w:bCs/>
          <w:sz w:val="24"/>
          <w:szCs w:val="24"/>
        </w:rPr>
      </w:pPr>
      <w:r>
        <w:rPr>
          <w:rFonts w:hint="eastAsia" w:hAnsi="宋体"/>
          <w:sz w:val="24"/>
          <w:szCs w:val="24"/>
        </w:rPr>
        <w:t>19.1</w:t>
      </w:r>
      <w:r>
        <w:rPr>
          <w:rFonts w:hint="eastAsia" w:hAnsi="宋体"/>
          <w:b/>
          <w:sz w:val="24"/>
          <w:szCs w:val="24"/>
        </w:rPr>
        <w:t>磋商须知前附表</w:t>
      </w:r>
      <w:r>
        <w:rPr>
          <w:rFonts w:hint="eastAsia" w:hAnsi="宋体"/>
          <w:sz w:val="24"/>
          <w:szCs w:val="24"/>
        </w:rPr>
        <w:t>规定交纳磋商</w:t>
      </w:r>
      <w:r>
        <w:rPr>
          <w:rFonts w:hint="eastAsia" w:hAnsi="宋体"/>
          <w:bCs/>
          <w:sz w:val="24"/>
          <w:szCs w:val="24"/>
        </w:rPr>
        <w:t>保证金的</w:t>
      </w:r>
      <w:r>
        <w:rPr>
          <w:rFonts w:hint="eastAsia" w:hAnsi="宋体"/>
          <w:sz w:val="24"/>
          <w:szCs w:val="24"/>
        </w:rPr>
        <w:t>，应按</w:t>
      </w:r>
      <w:r>
        <w:rPr>
          <w:rFonts w:hint="eastAsia" w:hAnsi="宋体"/>
          <w:b/>
          <w:sz w:val="24"/>
          <w:szCs w:val="24"/>
        </w:rPr>
        <w:t>磋商须知前附表</w:t>
      </w:r>
      <w:r>
        <w:rPr>
          <w:rFonts w:hint="eastAsia" w:hAnsi="宋体"/>
          <w:sz w:val="24"/>
          <w:szCs w:val="24"/>
        </w:rPr>
        <w:t>规定的磋商</w:t>
      </w:r>
      <w:r>
        <w:rPr>
          <w:rFonts w:hint="eastAsia" w:hAnsi="宋体"/>
          <w:bCs/>
          <w:sz w:val="24"/>
          <w:szCs w:val="24"/>
        </w:rPr>
        <w:t>保证金形式交纳，不得以现金方式交纳</w:t>
      </w:r>
      <w:r>
        <w:rPr>
          <w:rFonts w:hint="eastAsia" w:hAnsi="宋体"/>
          <w:sz w:val="24"/>
          <w:szCs w:val="24"/>
        </w:rPr>
        <w:t>，在</w:t>
      </w:r>
      <w:r>
        <w:rPr>
          <w:rFonts w:hint="eastAsia" w:hAnsi="宋体" w:cs="宋体"/>
          <w:kern w:val="0"/>
          <w:sz w:val="24"/>
          <w:szCs w:val="24"/>
        </w:rPr>
        <w:t>提交首次响应文件截止时间</w:t>
      </w:r>
      <w:r>
        <w:rPr>
          <w:rFonts w:hint="eastAsia" w:hAnsi="宋体"/>
          <w:sz w:val="24"/>
          <w:szCs w:val="24"/>
        </w:rPr>
        <w:t>前，</w:t>
      </w:r>
      <w:r>
        <w:rPr>
          <w:rFonts w:hint="eastAsia" w:hAnsi="宋体"/>
          <w:bCs/>
          <w:sz w:val="24"/>
          <w:szCs w:val="24"/>
        </w:rPr>
        <w:t>向采购代理机构交纳不超过</w:t>
      </w:r>
      <w:r>
        <w:rPr>
          <w:rFonts w:hint="eastAsia" w:hAnsi="宋体" w:cs="宋体"/>
          <w:kern w:val="0"/>
          <w:sz w:val="24"/>
          <w:szCs w:val="24"/>
          <w:lang w:val="zh-CN"/>
        </w:rPr>
        <w:t>采购项目预算2﹪</w:t>
      </w:r>
      <w:r>
        <w:rPr>
          <w:rFonts w:hint="eastAsia" w:hAnsi="宋体"/>
          <w:bCs/>
          <w:sz w:val="24"/>
          <w:szCs w:val="24"/>
        </w:rPr>
        <w:t>的磋商保证金(数额采用四舍五入，计算至元)</w:t>
      </w:r>
      <w:r>
        <w:rPr>
          <w:rFonts w:hint="eastAsia" w:hAnsi="宋体"/>
          <w:sz w:val="24"/>
          <w:szCs w:val="24"/>
        </w:rPr>
        <w:t>。磋商</w:t>
      </w:r>
      <w:r>
        <w:rPr>
          <w:rFonts w:hint="eastAsia" w:hAnsi="宋体"/>
          <w:bCs/>
          <w:sz w:val="24"/>
          <w:szCs w:val="24"/>
        </w:rPr>
        <w:t>保证金有效期应当与</w:t>
      </w:r>
      <w:r>
        <w:rPr>
          <w:rFonts w:hint="eastAsia" w:hAnsi="宋体"/>
          <w:sz w:val="24"/>
          <w:szCs w:val="24"/>
        </w:rPr>
        <w:t>本章第20.1</w:t>
      </w:r>
      <w:r>
        <w:rPr>
          <w:rFonts w:hint="eastAsia" w:hAnsi="宋体" w:cs="宋体"/>
          <w:kern w:val="0"/>
          <w:sz w:val="24"/>
          <w:szCs w:val="24"/>
          <w:lang w:val="zh-CN"/>
        </w:rPr>
        <w:t>款</w:t>
      </w:r>
      <w:r>
        <w:rPr>
          <w:rFonts w:hint="eastAsia" w:hAnsi="宋体"/>
          <w:sz w:val="24"/>
          <w:szCs w:val="24"/>
        </w:rPr>
        <w:t>规定的</w:t>
      </w:r>
      <w:r>
        <w:rPr>
          <w:rFonts w:hint="eastAsia" w:hAnsi="宋体"/>
          <w:bCs/>
          <w:sz w:val="24"/>
          <w:szCs w:val="24"/>
        </w:rPr>
        <w:t>响应文件有效期一致。</w:t>
      </w:r>
    </w:p>
    <w:p w14:paraId="5A0D02AB">
      <w:pPr>
        <w:adjustRightInd w:val="0"/>
        <w:snapToGrid w:val="0"/>
        <w:spacing w:line="360" w:lineRule="auto"/>
        <w:ind w:firstLine="480" w:firstLineChars="200"/>
        <w:rPr>
          <w:rFonts w:ascii="宋体" w:hAnsi="宋体"/>
          <w:b/>
          <w:sz w:val="24"/>
        </w:rPr>
      </w:pPr>
      <w:r>
        <w:rPr>
          <w:rFonts w:hint="eastAsia" w:ascii="宋体" w:hAnsi="宋体"/>
          <w:sz w:val="24"/>
        </w:rPr>
        <w:t>19.2</w:t>
      </w:r>
      <w:r>
        <w:rPr>
          <w:rFonts w:hint="eastAsia" w:ascii="宋体" w:hAnsi="宋体" w:cs="宋体"/>
          <w:kern w:val="0"/>
          <w:sz w:val="24"/>
          <w:lang w:val="zh-CN"/>
        </w:rPr>
        <w:t>供应商为联合体的，可以由联合体中的一方或者共同交纳磋商保证金，其交纳的磋商保证金，对联合体各方均具有约束力。</w:t>
      </w:r>
    </w:p>
    <w:p w14:paraId="1AC6772B">
      <w:pPr>
        <w:pStyle w:val="9"/>
        <w:adjustRightInd w:val="0"/>
        <w:snapToGrid w:val="0"/>
        <w:spacing w:line="360" w:lineRule="auto"/>
        <w:ind w:firstLine="480" w:firstLineChars="200"/>
        <w:rPr>
          <w:rFonts w:hAnsi="宋体"/>
          <w:sz w:val="24"/>
          <w:szCs w:val="24"/>
        </w:rPr>
      </w:pPr>
      <w:r>
        <w:rPr>
          <w:rFonts w:hint="eastAsia" w:hAnsi="宋体"/>
          <w:sz w:val="24"/>
          <w:szCs w:val="24"/>
        </w:rPr>
        <w:t>19.3供应商未按照磋商文件要求提交磋商保证金的，响应无效。</w:t>
      </w:r>
    </w:p>
    <w:p w14:paraId="58BBBA14">
      <w:pPr>
        <w:pStyle w:val="9"/>
        <w:tabs>
          <w:tab w:val="left" w:pos="6300"/>
        </w:tabs>
        <w:adjustRightInd w:val="0"/>
        <w:snapToGrid w:val="0"/>
        <w:spacing w:line="360" w:lineRule="auto"/>
        <w:ind w:firstLine="480" w:firstLineChars="200"/>
        <w:rPr>
          <w:rFonts w:hAnsi="宋体"/>
          <w:sz w:val="24"/>
          <w:szCs w:val="24"/>
        </w:rPr>
      </w:pPr>
      <w:r>
        <w:rPr>
          <w:rFonts w:hint="eastAsia" w:hAnsi="宋体"/>
          <w:sz w:val="24"/>
          <w:szCs w:val="24"/>
        </w:rPr>
        <w:t>19.4采购代理机构在成交通知书发出后5个工作日内退还未成交供应商的磋商保证金；在采购合同签定后5个工作日内退还成交供应商的磋商保证金，但因供应商自身原因导致无法及时退还的除外。</w:t>
      </w:r>
    </w:p>
    <w:p w14:paraId="3662858A">
      <w:pPr>
        <w:pStyle w:val="9"/>
        <w:adjustRightInd w:val="0"/>
        <w:snapToGrid w:val="0"/>
        <w:spacing w:line="360" w:lineRule="auto"/>
        <w:ind w:firstLine="480" w:firstLineChars="200"/>
        <w:rPr>
          <w:kern w:val="0"/>
          <w:sz w:val="24"/>
          <w:szCs w:val="24"/>
        </w:rPr>
      </w:pPr>
      <w:r>
        <w:rPr>
          <w:rFonts w:hint="eastAsia"/>
          <w:sz w:val="24"/>
          <w:szCs w:val="24"/>
        </w:rPr>
        <w:t xml:space="preserve">19.5 </w:t>
      </w:r>
      <w:r>
        <w:rPr>
          <w:rFonts w:hint="eastAsia"/>
          <w:kern w:val="0"/>
          <w:sz w:val="24"/>
          <w:szCs w:val="24"/>
        </w:rPr>
        <w:t>有下列情形之一的，磋商保证金不予退还，并上缴本级财政国库：</w:t>
      </w:r>
    </w:p>
    <w:p w14:paraId="5F4DD054">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（1）供应商在提交首次响应文件截止时间后撤回响应文件的；</w:t>
      </w:r>
    </w:p>
    <w:p w14:paraId="339D8A6C">
      <w:pPr>
        <w:widowControl/>
        <w:adjustRightInd w:val="0"/>
        <w:snapToGrid w:val="0"/>
        <w:spacing w:line="360" w:lineRule="auto"/>
        <w:ind w:firstLine="480" w:firstLineChars="200"/>
        <w:jc w:val="left"/>
        <w:rPr>
          <w:kern w:val="0"/>
          <w:sz w:val="24"/>
        </w:rPr>
      </w:pPr>
      <w:r>
        <w:rPr>
          <w:rFonts w:hint="eastAsia"/>
          <w:kern w:val="0"/>
          <w:sz w:val="24"/>
        </w:rPr>
        <w:t>（2）供应商在响应文件中提供虚假资料的；</w:t>
      </w:r>
    </w:p>
    <w:p w14:paraId="221415FA">
      <w:pPr>
        <w:widowControl/>
        <w:adjustRightInd w:val="0"/>
        <w:snapToGrid w:val="0"/>
        <w:spacing w:line="360" w:lineRule="auto"/>
        <w:ind w:firstLine="480" w:firstLineChars="200"/>
        <w:jc w:val="left"/>
        <w:rPr>
          <w:rFonts w:ascii="宋体" w:hAnsi="宋体" w:cs="宋体"/>
          <w:kern w:val="0"/>
          <w:sz w:val="24"/>
        </w:rPr>
      </w:pPr>
      <w:r>
        <w:rPr>
          <w:rFonts w:hint="eastAsia"/>
          <w:kern w:val="0"/>
          <w:sz w:val="24"/>
        </w:rPr>
        <w:t>（3）</w:t>
      </w:r>
      <w:r>
        <w:rPr>
          <w:rFonts w:hint="eastAsia"/>
          <w:sz w:val="24"/>
        </w:rPr>
        <w:t>确定成交结果后，无正当理由放弃成交资格的；</w:t>
      </w:r>
    </w:p>
    <w:p w14:paraId="7F80464E">
      <w:pPr>
        <w:widowControl/>
        <w:adjustRightInd w:val="0"/>
        <w:snapToGrid w:val="0"/>
        <w:spacing w:line="360" w:lineRule="auto"/>
        <w:ind w:firstLine="600" w:firstLineChars="250"/>
        <w:jc w:val="left"/>
        <w:rPr>
          <w:rFonts w:ascii="宋体" w:hAnsi="宋体" w:cs="宋体"/>
          <w:kern w:val="0"/>
          <w:sz w:val="24"/>
        </w:rPr>
      </w:pPr>
      <w:r>
        <w:rPr>
          <w:rFonts w:hint="eastAsia" w:ascii="宋体" w:hAnsi="宋体" w:cs="宋体"/>
          <w:kern w:val="0"/>
          <w:sz w:val="24"/>
        </w:rPr>
        <w:t>(4) 除因不可抗力或磋商文件认可的情形以外，成交供应商不与采购人签订合同的；</w:t>
      </w:r>
    </w:p>
    <w:p w14:paraId="3F3810D1">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（5）供应商与采购人、其他供应商或者采购代理机构恶意串通的；</w:t>
      </w:r>
    </w:p>
    <w:p w14:paraId="4BA2D8DF">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（6）磋商文件规定的其他情形。</w:t>
      </w:r>
    </w:p>
    <w:p w14:paraId="5F01F303">
      <w:pPr>
        <w:adjustRightInd w:val="0"/>
        <w:snapToGrid w:val="0"/>
        <w:spacing w:line="360" w:lineRule="auto"/>
        <w:rPr>
          <w:rFonts w:ascii="宋体" w:hAnsi="宋体"/>
          <w:b/>
          <w:bCs/>
          <w:sz w:val="24"/>
        </w:rPr>
      </w:pPr>
      <w:r>
        <w:rPr>
          <w:rFonts w:hint="eastAsia" w:ascii="宋体" w:hAnsi="宋体"/>
          <w:b/>
          <w:bCs/>
          <w:sz w:val="24"/>
        </w:rPr>
        <w:t>20.</w:t>
      </w:r>
      <w:r>
        <w:rPr>
          <w:rFonts w:hint="eastAsia" w:hAnsi="宋体"/>
          <w:b/>
          <w:sz w:val="24"/>
        </w:rPr>
        <w:t>响应文件</w:t>
      </w:r>
      <w:r>
        <w:rPr>
          <w:rFonts w:hint="eastAsia" w:ascii="宋体" w:hAnsi="宋体"/>
          <w:b/>
          <w:sz w:val="24"/>
        </w:rPr>
        <w:t>有效期</w:t>
      </w:r>
    </w:p>
    <w:p w14:paraId="44F34324">
      <w:pPr>
        <w:adjustRightInd w:val="0"/>
        <w:snapToGrid w:val="0"/>
        <w:spacing w:line="360" w:lineRule="auto"/>
        <w:ind w:firstLine="480" w:firstLineChars="200"/>
        <w:jc w:val="left"/>
        <w:rPr>
          <w:rFonts w:hAnsi="宋体"/>
          <w:sz w:val="24"/>
        </w:rPr>
      </w:pPr>
      <w:r>
        <w:rPr>
          <w:rFonts w:hint="eastAsia" w:ascii="宋体" w:hAnsi="宋体"/>
          <w:sz w:val="24"/>
        </w:rPr>
        <w:t>20.1响应文件有效期见</w:t>
      </w:r>
      <w:r>
        <w:rPr>
          <w:rFonts w:hint="eastAsia" w:ascii="宋体" w:hAnsi="宋体"/>
          <w:b/>
          <w:sz w:val="24"/>
        </w:rPr>
        <w:t>磋商须知前附表</w:t>
      </w:r>
      <w:r>
        <w:rPr>
          <w:rFonts w:hint="eastAsia" w:ascii="宋体" w:hAnsi="宋体"/>
          <w:sz w:val="24"/>
        </w:rPr>
        <w:t>，在此期间响应文件对供应商具有法律约束力，</w:t>
      </w:r>
      <w:r>
        <w:rPr>
          <w:rFonts w:hint="eastAsia" w:ascii="宋体" w:hAnsi="宋体" w:cs="Arial"/>
          <w:sz w:val="24"/>
        </w:rPr>
        <w:t>从</w:t>
      </w:r>
      <w:r>
        <w:rPr>
          <w:rFonts w:hint="eastAsia" w:ascii="宋体" w:hAnsi="宋体" w:cs="宋体"/>
          <w:kern w:val="0"/>
          <w:sz w:val="24"/>
        </w:rPr>
        <w:t>提交首次响应文件截止时间</w:t>
      </w:r>
      <w:r>
        <w:rPr>
          <w:rFonts w:hint="eastAsia" w:hAnsi="宋体"/>
          <w:sz w:val="24"/>
        </w:rPr>
        <w:t>之日</w:t>
      </w:r>
      <w:r>
        <w:rPr>
          <w:rFonts w:hint="eastAsia" w:hAnsi="宋体" w:cs="Arial"/>
          <w:sz w:val="24"/>
        </w:rPr>
        <w:t>起计算。</w:t>
      </w:r>
      <w:r>
        <w:rPr>
          <w:rFonts w:hint="eastAsia" w:hAnsi="宋体"/>
          <w:sz w:val="24"/>
        </w:rPr>
        <w:t>响应文件有效期不足的将被视为无效响应。</w:t>
      </w:r>
    </w:p>
    <w:p w14:paraId="134A4816">
      <w:pPr>
        <w:adjustRightInd w:val="0"/>
        <w:snapToGrid w:val="0"/>
        <w:spacing w:line="360" w:lineRule="auto"/>
        <w:rPr>
          <w:rFonts w:ascii="宋体" w:hAnsi="宋体"/>
          <w:b/>
          <w:bCs/>
          <w:sz w:val="24"/>
        </w:rPr>
      </w:pPr>
      <w:r>
        <w:rPr>
          <w:rFonts w:hint="eastAsia" w:ascii="宋体" w:hAnsi="宋体"/>
          <w:b/>
          <w:bCs/>
          <w:sz w:val="24"/>
        </w:rPr>
        <w:t>21.响应文件的签署及规定</w:t>
      </w:r>
    </w:p>
    <w:p w14:paraId="08CB29E3">
      <w:pPr>
        <w:pStyle w:val="9"/>
        <w:adjustRightInd w:val="0"/>
        <w:snapToGrid w:val="0"/>
        <w:spacing w:line="360" w:lineRule="auto"/>
        <w:ind w:firstLine="480" w:firstLineChars="200"/>
        <w:rPr>
          <w:rFonts w:hAnsi="宋体"/>
          <w:sz w:val="24"/>
          <w:szCs w:val="24"/>
        </w:rPr>
      </w:pPr>
      <w:r>
        <w:rPr>
          <w:rFonts w:hint="eastAsia" w:hAnsi="宋体"/>
          <w:sz w:val="24"/>
          <w:szCs w:val="24"/>
        </w:rPr>
        <w:t>21.1响应文件的正本和副本应装订成册（胶装），正本一份，副本份数见</w:t>
      </w:r>
      <w:r>
        <w:rPr>
          <w:rFonts w:hint="eastAsia" w:hAnsi="宋体"/>
          <w:b/>
          <w:sz w:val="24"/>
          <w:szCs w:val="24"/>
        </w:rPr>
        <w:t>磋商须知前附表</w:t>
      </w:r>
      <w:r>
        <w:rPr>
          <w:rFonts w:hint="eastAsia" w:hAnsi="宋体"/>
          <w:sz w:val="24"/>
          <w:szCs w:val="24"/>
        </w:rPr>
        <w:t>。正本和副本的封面上应标记“正本”或“副本”的字样，当正本和副本有差异时，以正本为准。</w:t>
      </w:r>
    </w:p>
    <w:p w14:paraId="69685D86">
      <w:pPr>
        <w:pStyle w:val="9"/>
        <w:adjustRightInd w:val="0"/>
        <w:snapToGrid w:val="0"/>
        <w:spacing w:line="360" w:lineRule="auto"/>
        <w:ind w:firstLine="480" w:firstLineChars="200"/>
        <w:rPr>
          <w:rFonts w:hAnsi="宋体"/>
          <w:sz w:val="24"/>
          <w:szCs w:val="24"/>
        </w:rPr>
      </w:pPr>
      <w:r>
        <w:rPr>
          <w:rFonts w:hint="eastAsia" w:hAnsi="宋体"/>
          <w:sz w:val="24"/>
          <w:szCs w:val="24"/>
        </w:rPr>
        <w:t>21.2 响应文件正本和副本应按磋商文件要求签章处盖单位章和由法定代表人或其委托代理人签字；任何加行、涂改、增删，应有法定代表人或其委托代理人在旁边签字。否则，将导致响应文件无效。</w:t>
      </w:r>
    </w:p>
    <w:p w14:paraId="150793D5">
      <w:pPr>
        <w:pStyle w:val="9"/>
        <w:adjustRightInd w:val="0"/>
        <w:snapToGrid w:val="0"/>
        <w:spacing w:line="360" w:lineRule="auto"/>
        <w:ind w:firstLine="480" w:firstLineChars="200"/>
        <w:rPr>
          <w:rFonts w:hAnsi="宋体"/>
          <w:sz w:val="24"/>
          <w:szCs w:val="24"/>
        </w:rPr>
      </w:pPr>
      <w:r>
        <w:rPr>
          <w:rFonts w:hint="eastAsia" w:hAnsi="宋体"/>
          <w:sz w:val="24"/>
          <w:szCs w:val="24"/>
        </w:rPr>
        <w:t>21.3 在磋商过程中，供应商按磋商文件规定和磋商小组要求</w:t>
      </w:r>
      <w:r>
        <w:rPr>
          <w:rFonts w:hint="eastAsia" w:hAnsi="宋体" w:cs="宋体"/>
          <w:kern w:val="0"/>
          <w:sz w:val="24"/>
          <w:szCs w:val="24"/>
        </w:rPr>
        <w:t>提交的</w:t>
      </w:r>
      <w:r>
        <w:rPr>
          <w:rFonts w:hint="eastAsia" w:hAnsi="宋体"/>
          <w:sz w:val="24"/>
          <w:szCs w:val="24"/>
        </w:rPr>
        <w:t>最后报价(或者</w:t>
      </w:r>
      <w:r>
        <w:rPr>
          <w:rFonts w:hint="eastAsia" w:hAnsi="宋体"/>
          <w:bCs/>
          <w:sz w:val="24"/>
          <w:szCs w:val="24"/>
        </w:rPr>
        <w:t>重</w:t>
      </w:r>
      <w:r>
        <w:rPr>
          <w:rFonts w:hint="eastAsia" w:hAnsi="宋体" w:cs="宋体"/>
          <w:kern w:val="0"/>
          <w:sz w:val="24"/>
          <w:szCs w:val="24"/>
        </w:rPr>
        <w:t>新提交的响应文件和</w:t>
      </w:r>
      <w:r>
        <w:rPr>
          <w:rFonts w:hint="eastAsia" w:hAnsi="宋体"/>
          <w:sz w:val="24"/>
          <w:szCs w:val="24"/>
        </w:rPr>
        <w:t>最后报价)，可打印或用不退色墨水书写，但需经法定代表人或其委托代理人签字，</w:t>
      </w:r>
      <w:r>
        <w:rPr>
          <w:rFonts w:hint="eastAsia" w:hAnsi="宋体" w:cs="宋体"/>
          <w:kern w:val="0"/>
          <w:sz w:val="24"/>
          <w:szCs w:val="24"/>
        </w:rPr>
        <w:t>或者加盖供应商单位章</w:t>
      </w:r>
      <w:r>
        <w:rPr>
          <w:rFonts w:hint="eastAsia" w:hAnsi="宋体"/>
          <w:sz w:val="24"/>
          <w:szCs w:val="24"/>
        </w:rPr>
        <w:t>。否则，将导致响应文件无效。</w:t>
      </w:r>
    </w:p>
    <w:p w14:paraId="57BD1AAB">
      <w:pPr>
        <w:adjustRightInd w:val="0"/>
        <w:snapToGrid w:val="0"/>
        <w:spacing w:line="360" w:lineRule="auto"/>
        <w:rPr>
          <w:rFonts w:ascii="黑体" w:hAnsi="宋体" w:eastAsia="黑体"/>
          <w:sz w:val="24"/>
        </w:rPr>
      </w:pPr>
      <w:r>
        <w:rPr>
          <w:rFonts w:hint="eastAsia" w:ascii="黑体" w:hAnsi="宋体" w:eastAsia="黑体"/>
          <w:sz w:val="24"/>
        </w:rPr>
        <w:t>四、响应文件的递交</w:t>
      </w:r>
    </w:p>
    <w:p w14:paraId="699B92F4">
      <w:pPr>
        <w:adjustRightInd w:val="0"/>
        <w:snapToGrid w:val="0"/>
        <w:spacing w:line="360" w:lineRule="auto"/>
        <w:rPr>
          <w:rFonts w:ascii="宋体" w:hAnsi="宋体"/>
          <w:b/>
          <w:bCs/>
          <w:sz w:val="24"/>
        </w:rPr>
      </w:pPr>
      <w:r>
        <w:rPr>
          <w:rFonts w:hint="eastAsia" w:ascii="宋体" w:hAnsi="宋体"/>
          <w:b/>
          <w:bCs/>
          <w:sz w:val="24"/>
        </w:rPr>
        <w:t>22.</w:t>
      </w:r>
      <w:r>
        <w:rPr>
          <w:rFonts w:hint="eastAsia" w:ascii="宋体" w:hAnsi="宋体"/>
          <w:b/>
          <w:sz w:val="24"/>
        </w:rPr>
        <w:t>响应文件</w:t>
      </w:r>
      <w:r>
        <w:rPr>
          <w:rFonts w:hint="eastAsia" w:ascii="宋体" w:hAnsi="宋体"/>
          <w:b/>
          <w:bCs/>
          <w:sz w:val="24"/>
        </w:rPr>
        <w:t>的密封和标记</w:t>
      </w:r>
    </w:p>
    <w:p w14:paraId="239F89FE">
      <w:pPr>
        <w:pStyle w:val="9"/>
        <w:adjustRightInd w:val="0"/>
        <w:snapToGrid w:val="0"/>
        <w:spacing w:line="360" w:lineRule="auto"/>
        <w:ind w:firstLine="480" w:firstLineChars="200"/>
        <w:rPr>
          <w:rFonts w:hAnsi="宋体"/>
          <w:sz w:val="24"/>
          <w:szCs w:val="24"/>
        </w:rPr>
      </w:pPr>
      <w:r>
        <w:rPr>
          <w:rFonts w:hint="eastAsia" w:hAnsi="宋体"/>
          <w:sz w:val="24"/>
          <w:szCs w:val="24"/>
        </w:rPr>
        <w:t>22.1响应文件应密封包装，加贴封条，并在封套的封口处盖供应商单位章或者由法定代表人或其委托代理人签字。</w:t>
      </w:r>
    </w:p>
    <w:p w14:paraId="2056D2A2">
      <w:pPr>
        <w:adjustRightInd w:val="0"/>
        <w:snapToGrid w:val="0"/>
        <w:spacing w:line="360" w:lineRule="auto"/>
        <w:ind w:firstLine="480" w:firstLineChars="200"/>
        <w:jc w:val="left"/>
        <w:rPr>
          <w:rFonts w:ascii="宋体" w:hAnsi="宋体"/>
          <w:sz w:val="24"/>
        </w:rPr>
      </w:pPr>
      <w:r>
        <w:rPr>
          <w:rFonts w:hint="eastAsia" w:ascii="宋体" w:hAnsi="宋体"/>
          <w:sz w:val="24"/>
        </w:rPr>
        <w:t>22.2响应文件封套上应写明的内容见</w:t>
      </w:r>
      <w:r>
        <w:rPr>
          <w:rFonts w:hint="eastAsia" w:ascii="宋体" w:hAnsi="宋体"/>
          <w:b/>
          <w:sz w:val="24"/>
        </w:rPr>
        <w:t>磋商须知前附表。</w:t>
      </w:r>
    </w:p>
    <w:p w14:paraId="158AFAC6">
      <w:pPr>
        <w:adjustRightInd w:val="0"/>
        <w:snapToGrid w:val="0"/>
        <w:spacing w:line="360" w:lineRule="auto"/>
        <w:ind w:firstLine="480" w:firstLineChars="200"/>
        <w:jc w:val="left"/>
        <w:rPr>
          <w:rFonts w:ascii="宋体" w:hAnsi="宋体"/>
          <w:sz w:val="24"/>
        </w:rPr>
      </w:pPr>
      <w:r>
        <w:rPr>
          <w:rFonts w:hint="eastAsia" w:ascii="宋体" w:hAnsi="宋体"/>
          <w:sz w:val="24"/>
        </w:rPr>
        <w:t>22.3响应文件如果未按上述规定密封和加写标记，采购人或采购代理机构将拒绝接收。</w:t>
      </w:r>
    </w:p>
    <w:p w14:paraId="53568F1B">
      <w:pPr>
        <w:adjustRightInd w:val="0"/>
        <w:snapToGrid w:val="0"/>
        <w:spacing w:line="360" w:lineRule="auto"/>
        <w:rPr>
          <w:rFonts w:ascii="宋体" w:hAnsi="宋体"/>
          <w:b/>
          <w:bCs/>
          <w:sz w:val="24"/>
        </w:rPr>
      </w:pPr>
      <w:r>
        <w:rPr>
          <w:rFonts w:hint="eastAsia" w:ascii="宋体" w:hAnsi="宋体"/>
          <w:b/>
          <w:bCs/>
          <w:sz w:val="24"/>
        </w:rPr>
        <w:t>23.响应文件的</w:t>
      </w:r>
      <w:r>
        <w:rPr>
          <w:rFonts w:hint="eastAsia" w:ascii="宋体" w:hAnsi="宋体" w:cs="宋体"/>
          <w:b/>
          <w:kern w:val="0"/>
          <w:sz w:val="24"/>
          <w:lang w:val="zh-CN"/>
        </w:rPr>
        <w:t>补充、修改或者撤回</w:t>
      </w:r>
    </w:p>
    <w:p w14:paraId="3600509B">
      <w:pPr>
        <w:pStyle w:val="9"/>
        <w:adjustRightInd w:val="0"/>
        <w:snapToGrid w:val="0"/>
        <w:spacing w:line="360" w:lineRule="auto"/>
        <w:ind w:firstLine="480" w:firstLineChars="200"/>
        <w:rPr>
          <w:rFonts w:hAnsi="宋体"/>
          <w:sz w:val="24"/>
          <w:szCs w:val="24"/>
        </w:rPr>
      </w:pPr>
      <w:r>
        <w:rPr>
          <w:rFonts w:hint="eastAsia" w:hAnsi="宋体"/>
          <w:sz w:val="24"/>
          <w:szCs w:val="24"/>
        </w:rPr>
        <w:t>23.1</w:t>
      </w:r>
      <w:r>
        <w:rPr>
          <w:rFonts w:hint="eastAsia" w:hAnsi="宋体" w:cs="宋体"/>
          <w:kern w:val="0"/>
          <w:sz w:val="24"/>
          <w:szCs w:val="24"/>
        </w:rPr>
        <w:t>供应商在提交首次响应文件截止时间前，可以对所提交的首次响应文件进行补充、修改或者撤回，并书面通知采购人、采购代理机构。</w:t>
      </w:r>
      <w:r>
        <w:rPr>
          <w:rFonts w:hint="eastAsia" w:hAnsi="宋体"/>
          <w:sz w:val="24"/>
          <w:szCs w:val="24"/>
        </w:rPr>
        <w:t>该通知应有供应商法定代表人或其委托代理人签字。</w:t>
      </w:r>
    </w:p>
    <w:p w14:paraId="575774B2">
      <w:pPr>
        <w:pStyle w:val="9"/>
        <w:adjustRightInd w:val="0"/>
        <w:snapToGrid w:val="0"/>
        <w:spacing w:line="360" w:lineRule="auto"/>
        <w:ind w:firstLine="480" w:firstLineChars="200"/>
        <w:rPr>
          <w:rFonts w:hAnsi="宋体"/>
          <w:sz w:val="24"/>
          <w:szCs w:val="24"/>
        </w:rPr>
      </w:pPr>
      <w:r>
        <w:rPr>
          <w:rFonts w:hint="eastAsia" w:hAnsi="宋体"/>
          <w:sz w:val="24"/>
          <w:szCs w:val="24"/>
        </w:rPr>
        <w:t>23.2</w:t>
      </w:r>
      <w:r>
        <w:rPr>
          <w:rFonts w:hint="eastAsia" w:hAnsi="宋体" w:cs="宋体"/>
          <w:kern w:val="0"/>
          <w:sz w:val="24"/>
          <w:szCs w:val="24"/>
          <w:lang w:val="zh-CN"/>
        </w:rPr>
        <w:t>补充、修改的内容与响应文件不一致时，以补充、修改的内容为准。</w:t>
      </w:r>
    </w:p>
    <w:p w14:paraId="1972E0D0">
      <w:pPr>
        <w:adjustRightInd w:val="0"/>
        <w:snapToGrid w:val="0"/>
        <w:spacing w:line="360" w:lineRule="auto"/>
        <w:rPr>
          <w:rFonts w:ascii="宋体" w:hAnsi="宋体"/>
          <w:b/>
          <w:bCs/>
          <w:sz w:val="24"/>
        </w:rPr>
      </w:pPr>
      <w:r>
        <w:rPr>
          <w:rFonts w:hint="eastAsia" w:ascii="宋体" w:hAnsi="宋体"/>
          <w:b/>
          <w:bCs/>
          <w:sz w:val="24"/>
        </w:rPr>
        <w:t>24.响应文件的递交与接收</w:t>
      </w:r>
    </w:p>
    <w:p w14:paraId="64CA0137">
      <w:pPr>
        <w:adjustRightInd w:val="0"/>
        <w:snapToGrid w:val="0"/>
        <w:spacing w:line="360" w:lineRule="auto"/>
        <w:ind w:firstLine="480" w:firstLineChars="200"/>
        <w:rPr>
          <w:rFonts w:ascii="宋体" w:hAnsi="宋体"/>
          <w:sz w:val="24"/>
        </w:rPr>
      </w:pPr>
      <w:r>
        <w:rPr>
          <w:rFonts w:hint="eastAsia" w:ascii="宋体" w:hAnsi="宋体"/>
          <w:sz w:val="24"/>
        </w:rPr>
        <w:t>24.1 供应商应在</w:t>
      </w:r>
      <w:r>
        <w:rPr>
          <w:rFonts w:hint="eastAsia" w:ascii="宋体" w:hAnsi="宋体" w:cs="宋体"/>
          <w:kern w:val="0"/>
          <w:sz w:val="24"/>
        </w:rPr>
        <w:t>提交首次响应文件截止时间</w:t>
      </w:r>
      <w:r>
        <w:rPr>
          <w:rFonts w:hint="eastAsia" w:ascii="宋体" w:hAnsi="宋体"/>
          <w:sz w:val="24"/>
        </w:rPr>
        <w:t>前，将响应文件送</w:t>
      </w:r>
      <w:r>
        <w:rPr>
          <w:rFonts w:hint="eastAsia" w:ascii="宋体" w:hAnsi="宋体" w:cs="Arial"/>
          <w:sz w:val="24"/>
        </w:rPr>
        <w:t>达</w:t>
      </w:r>
      <w:r>
        <w:rPr>
          <w:rFonts w:hint="eastAsia" w:ascii="宋体" w:hAnsi="宋体"/>
          <w:b/>
          <w:sz w:val="24"/>
        </w:rPr>
        <w:t>磋商须知前附表</w:t>
      </w:r>
      <w:r>
        <w:rPr>
          <w:rFonts w:hint="eastAsia" w:ascii="宋体" w:hAnsi="宋体"/>
          <w:sz w:val="24"/>
        </w:rPr>
        <w:t>中指定的地点。</w:t>
      </w:r>
      <w:r>
        <w:rPr>
          <w:rFonts w:hint="eastAsia" w:hAnsi="宋体" w:cs="宋体"/>
          <w:kern w:val="0"/>
          <w:sz w:val="24"/>
        </w:rPr>
        <w:t>在截止时间后送达的响应文件，采购人、采购代理机构或者磋商小组应当拒收。</w:t>
      </w:r>
    </w:p>
    <w:p w14:paraId="5CC96E04">
      <w:pPr>
        <w:pStyle w:val="9"/>
        <w:adjustRightInd w:val="0"/>
        <w:snapToGrid w:val="0"/>
        <w:spacing w:line="360" w:lineRule="auto"/>
        <w:ind w:firstLine="480" w:firstLineChars="200"/>
        <w:rPr>
          <w:rFonts w:hAnsi="宋体"/>
          <w:sz w:val="24"/>
          <w:szCs w:val="24"/>
        </w:rPr>
      </w:pPr>
      <w:r>
        <w:rPr>
          <w:rFonts w:hint="eastAsia" w:hAnsi="宋体"/>
          <w:sz w:val="24"/>
          <w:szCs w:val="24"/>
        </w:rPr>
        <w:t>24.2</w:t>
      </w:r>
      <w:r>
        <w:rPr>
          <w:rFonts w:hint="eastAsia" w:hAnsi="宋体" w:cs="宋体"/>
          <w:kern w:val="0"/>
          <w:sz w:val="24"/>
          <w:szCs w:val="24"/>
        </w:rPr>
        <w:t>在提交首次响应文件截止时间后，</w:t>
      </w:r>
      <w:r>
        <w:rPr>
          <w:rFonts w:hint="eastAsia" w:hAnsi="宋体"/>
          <w:sz w:val="24"/>
          <w:szCs w:val="24"/>
        </w:rPr>
        <w:t>由</w:t>
      </w:r>
      <w:r>
        <w:rPr>
          <w:rFonts w:hint="eastAsia" w:hAnsi="宋体"/>
          <w:bCs/>
          <w:sz w:val="24"/>
          <w:szCs w:val="24"/>
        </w:rPr>
        <w:t>供应商代表</w:t>
      </w:r>
      <w:r>
        <w:rPr>
          <w:rFonts w:hint="eastAsia" w:hAnsi="宋体"/>
          <w:sz w:val="24"/>
          <w:szCs w:val="24"/>
        </w:rPr>
        <w:t>当场查验</w:t>
      </w:r>
      <w:r>
        <w:rPr>
          <w:rFonts w:hint="eastAsia" w:hAnsi="宋体"/>
          <w:bCs/>
          <w:sz w:val="24"/>
          <w:szCs w:val="24"/>
        </w:rPr>
        <w:t>响应文件</w:t>
      </w:r>
      <w:r>
        <w:rPr>
          <w:rFonts w:hint="eastAsia" w:hAnsi="宋体"/>
          <w:sz w:val="24"/>
          <w:szCs w:val="24"/>
        </w:rPr>
        <w:t>的密封状况，采购人或</w:t>
      </w:r>
      <w:r>
        <w:rPr>
          <w:rFonts w:hint="eastAsia" w:hAnsi="宋体"/>
          <w:bCs/>
          <w:sz w:val="24"/>
          <w:szCs w:val="24"/>
        </w:rPr>
        <w:t>采购代理机构</w:t>
      </w:r>
      <w:r>
        <w:rPr>
          <w:rFonts w:hint="eastAsia" w:hAnsi="宋体"/>
          <w:sz w:val="24"/>
          <w:szCs w:val="24"/>
        </w:rPr>
        <w:t>不当场拆封</w:t>
      </w:r>
      <w:r>
        <w:rPr>
          <w:rFonts w:hint="eastAsia" w:hAnsi="宋体"/>
          <w:bCs/>
          <w:sz w:val="24"/>
          <w:szCs w:val="24"/>
        </w:rPr>
        <w:t>响应文件</w:t>
      </w:r>
      <w:r>
        <w:rPr>
          <w:rFonts w:hint="eastAsia" w:hAnsi="宋体"/>
          <w:sz w:val="24"/>
          <w:szCs w:val="24"/>
        </w:rPr>
        <w:t>。</w:t>
      </w:r>
    </w:p>
    <w:p w14:paraId="71BFC0E6">
      <w:pPr>
        <w:adjustRightInd w:val="0"/>
        <w:snapToGrid w:val="0"/>
        <w:spacing w:line="360" w:lineRule="auto"/>
        <w:rPr>
          <w:rFonts w:ascii="黑体" w:hAnsi="宋体" w:eastAsia="黑体"/>
          <w:sz w:val="24"/>
        </w:rPr>
      </w:pPr>
      <w:r>
        <w:rPr>
          <w:rFonts w:hint="eastAsia" w:ascii="黑体" w:hAnsi="宋体" w:eastAsia="黑体"/>
          <w:sz w:val="24"/>
        </w:rPr>
        <w:t>五、响应文件的磋商与评审</w:t>
      </w:r>
    </w:p>
    <w:p w14:paraId="1FC30560">
      <w:pPr>
        <w:tabs>
          <w:tab w:val="left" w:pos="0"/>
        </w:tabs>
        <w:adjustRightInd w:val="0"/>
        <w:snapToGrid w:val="0"/>
        <w:spacing w:line="360" w:lineRule="auto"/>
        <w:rPr>
          <w:rFonts w:ascii="宋体" w:hAnsi="宋体"/>
          <w:b/>
          <w:bCs/>
          <w:sz w:val="24"/>
        </w:rPr>
      </w:pPr>
      <w:r>
        <w:rPr>
          <w:rFonts w:hint="eastAsia" w:ascii="宋体" w:hAnsi="宋体"/>
          <w:b/>
          <w:bCs/>
          <w:sz w:val="24"/>
        </w:rPr>
        <w:t>25.磋商程序</w:t>
      </w:r>
    </w:p>
    <w:p w14:paraId="7BDB154E">
      <w:pPr>
        <w:widowControl/>
        <w:adjustRightInd w:val="0"/>
        <w:snapToGrid w:val="0"/>
        <w:spacing w:line="360" w:lineRule="auto"/>
        <w:ind w:firstLine="420"/>
        <w:jc w:val="left"/>
        <w:rPr>
          <w:rFonts w:ascii="宋体" w:hAnsi="宋体"/>
          <w:bCs/>
          <w:sz w:val="24"/>
        </w:rPr>
      </w:pPr>
      <w:r>
        <w:rPr>
          <w:rFonts w:hint="eastAsia" w:ascii="宋体" w:hAnsi="宋体" w:cs="宋体"/>
          <w:kern w:val="0"/>
          <w:sz w:val="24"/>
        </w:rPr>
        <w:t>25.1磋商程序：响应文件审查、磋商（包括澄清）、响应文件评审、</w:t>
      </w:r>
      <w:r>
        <w:rPr>
          <w:rFonts w:hint="eastAsia" w:ascii="宋体" w:hAnsi="宋体"/>
          <w:bCs/>
          <w:sz w:val="24"/>
        </w:rPr>
        <w:t>提出成交供应商。其中，</w:t>
      </w:r>
      <w:r>
        <w:rPr>
          <w:rFonts w:hint="eastAsia" w:ascii="宋体" w:hAnsi="宋体" w:cs="宋体"/>
          <w:kern w:val="0"/>
          <w:sz w:val="24"/>
        </w:rPr>
        <w:t>磋商按</w:t>
      </w:r>
      <w:r>
        <w:rPr>
          <w:rFonts w:hint="eastAsia" w:ascii="宋体" w:hAnsi="宋体"/>
          <w:sz w:val="24"/>
        </w:rPr>
        <w:t>本章</w:t>
      </w:r>
      <w:r>
        <w:rPr>
          <w:rFonts w:hint="eastAsia" w:hAnsi="宋体"/>
          <w:sz w:val="24"/>
        </w:rPr>
        <w:t>第</w:t>
      </w:r>
      <w:r>
        <w:rPr>
          <w:rFonts w:hint="eastAsia" w:ascii="宋体" w:hAnsi="宋体"/>
          <w:sz w:val="24"/>
        </w:rPr>
        <w:t>30.1</w:t>
      </w:r>
      <w:r>
        <w:rPr>
          <w:rFonts w:hint="eastAsia" w:ascii="宋体" w:hAnsi="宋体" w:cs="宋体"/>
          <w:kern w:val="0"/>
          <w:sz w:val="24"/>
          <w:lang w:val="zh-CN"/>
        </w:rPr>
        <w:t>款或者</w:t>
      </w:r>
      <w:r>
        <w:rPr>
          <w:rFonts w:hint="eastAsia" w:ascii="宋体" w:hAnsi="宋体"/>
          <w:sz w:val="24"/>
        </w:rPr>
        <w:t>第30.2</w:t>
      </w:r>
      <w:r>
        <w:rPr>
          <w:rFonts w:hint="eastAsia" w:ascii="宋体" w:hAnsi="宋体" w:cs="宋体"/>
          <w:kern w:val="0"/>
          <w:sz w:val="24"/>
          <w:lang w:val="zh-CN"/>
        </w:rPr>
        <w:t>款</w:t>
      </w:r>
      <w:r>
        <w:rPr>
          <w:rFonts w:hint="eastAsia" w:hAnsi="宋体"/>
          <w:sz w:val="24"/>
        </w:rPr>
        <w:t>情形</w:t>
      </w:r>
      <w:r>
        <w:rPr>
          <w:rFonts w:hint="eastAsia" w:ascii="宋体" w:hAnsi="宋体"/>
          <w:bCs/>
          <w:sz w:val="24"/>
        </w:rPr>
        <w:t>进行。</w:t>
      </w:r>
    </w:p>
    <w:p w14:paraId="45B8985C">
      <w:pPr>
        <w:widowControl/>
        <w:adjustRightInd w:val="0"/>
        <w:snapToGrid w:val="0"/>
        <w:spacing w:line="360" w:lineRule="auto"/>
        <w:rPr>
          <w:rFonts w:ascii="宋体" w:hAnsi="宋体"/>
          <w:b/>
          <w:sz w:val="24"/>
        </w:rPr>
      </w:pPr>
      <w:r>
        <w:rPr>
          <w:rFonts w:hint="eastAsia" w:ascii="宋体" w:hAnsi="宋体" w:cs="宋体"/>
          <w:b/>
          <w:kern w:val="0"/>
          <w:sz w:val="24"/>
        </w:rPr>
        <w:t>26.响应文件审查</w:t>
      </w:r>
    </w:p>
    <w:p w14:paraId="055E9F7E">
      <w:pPr>
        <w:adjustRightInd w:val="0"/>
        <w:snapToGrid w:val="0"/>
        <w:spacing w:beforeLines="50" w:line="360" w:lineRule="auto"/>
        <w:ind w:firstLine="480" w:firstLineChars="200"/>
        <w:rPr>
          <w:rFonts w:ascii="宋体" w:hAnsi="宋体"/>
          <w:sz w:val="24"/>
        </w:rPr>
      </w:pPr>
      <w:r>
        <w:rPr>
          <w:rFonts w:hint="eastAsia" w:ascii="宋体" w:hAnsi="宋体"/>
          <w:sz w:val="24"/>
        </w:rPr>
        <w:t>26.1 资格性审查：根据本章第3.1项规定的供应商资格条件要求，对响应文件的资格证明等进行审查，以确定供应商是否具备磋商资格条件。</w:t>
      </w:r>
    </w:p>
    <w:p w14:paraId="7CC1E8A9">
      <w:pPr>
        <w:adjustRightInd w:val="0"/>
        <w:snapToGrid w:val="0"/>
        <w:spacing w:line="360" w:lineRule="auto"/>
        <w:ind w:firstLine="480" w:firstLineChars="200"/>
        <w:rPr>
          <w:rFonts w:ascii="宋体" w:hAnsi="宋体"/>
          <w:sz w:val="24"/>
        </w:rPr>
      </w:pPr>
      <w:r>
        <w:rPr>
          <w:rFonts w:hint="eastAsia" w:ascii="宋体" w:hAnsi="宋体"/>
          <w:sz w:val="24"/>
        </w:rPr>
        <w:t>26.2符合性审查: 对响应文件(包括首次提交的响应文件、重新提交的响应文件)的有效性、完整性和响应程度进行审查，以确定是否对磋商文件的实质性要求作出响应。</w:t>
      </w:r>
    </w:p>
    <w:p w14:paraId="4D3E903B">
      <w:pPr>
        <w:adjustRightInd w:val="0"/>
        <w:snapToGrid w:val="0"/>
        <w:spacing w:line="360" w:lineRule="auto"/>
        <w:ind w:firstLine="480" w:firstLineChars="200"/>
        <w:rPr>
          <w:rFonts w:ascii="宋体" w:hAnsi="宋体"/>
          <w:sz w:val="24"/>
        </w:rPr>
      </w:pPr>
      <w:r>
        <w:rPr>
          <w:rFonts w:hint="eastAsia" w:ascii="宋体" w:hAnsi="宋体"/>
          <w:sz w:val="24"/>
        </w:rPr>
        <w:t>26.3响应文件审查结束后，磋商小组所有成员集中与单一供应商分别进行磋商，并给予所有参加磋商的供应商平等的磋商机会。供应商应派其法定代表人或委托代理人参加磋商。</w:t>
      </w:r>
    </w:p>
    <w:p w14:paraId="452A5ACC">
      <w:pPr>
        <w:pStyle w:val="9"/>
        <w:adjustRightInd w:val="0"/>
        <w:snapToGrid w:val="0"/>
        <w:spacing w:line="360" w:lineRule="auto"/>
        <w:rPr>
          <w:rFonts w:hAnsi="宋体" w:cs="宋体"/>
          <w:b/>
          <w:kern w:val="0"/>
          <w:sz w:val="24"/>
          <w:szCs w:val="24"/>
        </w:rPr>
      </w:pPr>
      <w:r>
        <w:rPr>
          <w:rFonts w:hint="eastAsia" w:hAnsi="宋体" w:cs="宋体"/>
          <w:b/>
          <w:kern w:val="0"/>
          <w:sz w:val="24"/>
          <w:szCs w:val="24"/>
        </w:rPr>
        <w:t>27.实质性响应</w:t>
      </w:r>
    </w:p>
    <w:p w14:paraId="757FED9A">
      <w:pPr>
        <w:pStyle w:val="9"/>
        <w:adjustRightInd w:val="0"/>
        <w:snapToGrid w:val="0"/>
        <w:spacing w:line="360" w:lineRule="auto"/>
        <w:ind w:firstLine="480" w:firstLineChars="200"/>
        <w:rPr>
          <w:rFonts w:hAnsi="宋体" w:cs="Arial"/>
          <w:kern w:val="0"/>
          <w:sz w:val="24"/>
          <w:szCs w:val="24"/>
          <w:u w:val="single"/>
        </w:rPr>
      </w:pPr>
      <w:r>
        <w:rPr>
          <w:rFonts w:hint="eastAsia" w:hAnsi="宋体" w:cs="宋体"/>
          <w:kern w:val="0"/>
          <w:sz w:val="24"/>
          <w:szCs w:val="24"/>
        </w:rPr>
        <w:t>27.1</w:t>
      </w:r>
      <w:r>
        <w:rPr>
          <w:rFonts w:hint="eastAsia" w:hAnsi="宋体"/>
          <w:sz w:val="24"/>
          <w:szCs w:val="24"/>
        </w:rPr>
        <w:t>实质性响应是指响应文件(包括首次响应文件、重新提交的响应文件)与磋商文件要求的所有条款、条件和规格相符，没有偏离。偏离</w:t>
      </w:r>
      <w:r>
        <w:rPr>
          <w:rFonts w:hint="eastAsia"/>
          <w:sz w:val="24"/>
          <w:szCs w:val="24"/>
        </w:rPr>
        <w:t>指不满足、或不响应</w:t>
      </w:r>
      <w:r>
        <w:rPr>
          <w:rFonts w:hint="eastAsia" w:hAnsi="宋体"/>
          <w:sz w:val="24"/>
          <w:szCs w:val="24"/>
        </w:rPr>
        <w:t>磋商文件</w:t>
      </w:r>
      <w:r>
        <w:rPr>
          <w:rFonts w:hint="eastAsia"/>
          <w:sz w:val="24"/>
          <w:szCs w:val="24"/>
        </w:rPr>
        <w:t>的要求。</w:t>
      </w:r>
    </w:p>
    <w:p w14:paraId="627A904B">
      <w:pPr>
        <w:tabs>
          <w:tab w:val="left" w:pos="0"/>
          <w:tab w:val="left" w:pos="7560"/>
          <w:tab w:val="left" w:pos="7740"/>
          <w:tab w:val="left" w:pos="7920"/>
        </w:tabs>
        <w:adjustRightInd w:val="0"/>
        <w:snapToGrid w:val="0"/>
        <w:spacing w:line="360" w:lineRule="auto"/>
        <w:ind w:right="23" w:rightChars="11" w:firstLine="480" w:firstLineChars="200"/>
        <w:rPr>
          <w:rFonts w:ascii="宋体" w:hAnsi="宋体"/>
          <w:sz w:val="24"/>
        </w:rPr>
      </w:pPr>
      <w:r>
        <w:rPr>
          <w:rFonts w:hint="eastAsia" w:ascii="宋体" w:hAnsi="宋体"/>
          <w:sz w:val="24"/>
        </w:rPr>
        <w:t>27.2响应文件是否实质性响应磋商文件要求由磋商小组依据磋商文件规定认定。</w:t>
      </w:r>
      <w:r>
        <w:rPr>
          <w:rFonts w:hint="eastAsia" w:ascii="宋体" w:hAnsi="宋体" w:cs="宋体"/>
          <w:kern w:val="0"/>
          <w:sz w:val="24"/>
        </w:rPr>
        <w:t>磋商小组</w:t>
      </w:r>
      <w:r>
        <w:rPr>
          <w:rFonts w:hint="eastAsia" w:ascii="宋体" w:hAnsi="宋体"/>
          <w:sz w:val="24"/>
        </w:rPr>
        <w:t>决定响应文件的响应性只根据响应文件本身的真实无误的内容，而不依据外部的证据。</w:t>
      </w:r>
    </w:p>
    <w:p w14:paraId="7502E2EF">
      <w:pPr>
        <w:pStyle w:val="9"/>
        <w:adjustRightInd w:val="0"/>
        <w:snapToGrid w:val="0"/>
        <w:spacing w:line="360" w:lineRule="auto"/>
        <w:rPr>
          <w:rFonts w:cs="宋体"/>
          <w:b/>
          <w:kern w:val="0"/>
          <w:sz w:val="24"/>
          <w:szCs w:val="24"/>
        </w:rPr>
      </w:pPr>
      <w:r>
        <w:rPr>
          <w:rFonts w:hint="eastAsia" w:cs="宋体"/>
          <w:b/>
          <w:kern w:val="0"/>
          <w:sz w:val="24"/>
          <w:szCs w:val="24"/>
        </w:rPr>
        <w:t>28.无效响应</w:t>
      </w:r>
    </w:p>
    <w:p w14:paraId="578E214E">
      <w:pPr>
        <w:pStyle w:val="9"/>
        <w:adjustRightInd w:val="0"/>
        <w:snapToGrid w:val="0"/>
        <w:spacing w:line="360" w:lineRule="auto"/>
        <w:ind w:firstLine="470" w:firstLineChars="196"/>
        <w:rPr>
          <w:rFonts w:hAnsi="宋体" w:cs="宋体"/>
          <w:b/>
          <w:kern w:val="0"/>
          <w:sz w:val="24"/>
          <w:szCs w:val="24"/>
        </w:rPr>
      </w:pPr>
      <w:r>
        <w:rPr>
          <w:rFonts w:hint="eastAsia" w:cs="宋体"/>
          <w:kern w:val="0"/>
          <w:sz w:val="24"/>
          <w:szCs w:val="24"/>
        </w:rPr>
        <w:t>28.1</w:t>
      </w:r>
      <w:r>
        <w:rPr>
          <w:rFonts w:hint="eastAsia"/>
          <w:sz w:val="24"/>
          <w:szCs w:val="24"/>
        </w:rPr>
        <w:t>磋商小组在对资格性和符合性进行审查时，有下列情况之一的，属无效响应，</w:t>
      </w:r>
      <w:r>
        <w:rPr>
          <w:rFonts w:hint="eastAsia" w:cs="宋体"/>
          <w:kern w:val="0"/>
          <w:sz w:val="24"/>
          <w:szCs w:val="24"/>
        </w:rPr>
        <w:t>磋商小组应当告知有关供应商</w:t>
      </w:r>
      <w:r>
        <w:rPr>
          <w:rFonts w:hint="eastAsia"/>
          <w:sz w:val="24"/>
          <w:szCs w:val="24"/>
        </w:rPr>
        <w:t>：</w:t>
      </w:r>
    </w:p>
    <w:p w14:paraId="3CBDD794">
      <w:pPr>
        <w:adjustRightInd w:val="0"/>
        <w:snapToGrid w:val="0"/>
        <w:spacing w:line="360" w:lineRule="auto"/>
        <w:ind w:firstLine="480" w:firstLineChars="200"/>
        <w:rPr>
          <w:rFonts w:ascii="宋体" w:hAnsi="宋体"/>
          <w:sz w:val="24"/>
        </w:rPr>
      </w:pPr>
      <w:r>
        <w:rPr>
          <w:rFonts w:hint="eastAsia" w:ascii="宋体" w:hAnsi="宋体"/>
          <w:sz w:val="24"/>
        </w:rPr>
        <w:t>（1）供应商不具备本章第3.1款规定的供应商资格条件要求，或存在本章第3.3款情形的；</w:t>
      </w:r>
    </w:p>
    <w:p w14:paraId="4C76BABD">
      <w:pPr>
        <w:adjustRightInd w:val="0"/>
        <w:snapToGrid w:val="0"/>
        <w:spacing w:line="360" w:lineRule="auto"/>
        <w:ind w:firstLine="480" w:firstLineChars="200"/>
        <w:rPr>
          <w:rFonts w:ascii="宋体" w:hAnsi="宋体"/>
          <w:sz w:val="24"/>
        </w:rPr>
      </w:pPr>
      <w:r>
        <w:rPr>
          <w:rFonts w:hint="eastAsia" w:ascii="宋体" w:hAnsi="宋体"/>
          <w:sz w:val="24"/>
        </w:rPr>
        <w:t>（2）联合体不符合本章第3.2款规定的；</w:t>
      </w:r>
    </w:p>
    <w:p w14:paraId="63848362">
      <w:pPr>
        <w:adjustRightInd w:val="0"/>
        <w:snapToGrid w:val="0"/>
        <w:spacing w:line="360" w:lineRule="auto"/>
        <w:ind w:firstLine="480" w:firstLineChars="200"/>
        <w:rPr>
          <w:rFonts w:ascii="宋体" w:hAnsi="宋体"/>
          <w:sz w:val="24"/>
        </w:rPr>
      </w:pPr>
      <w:r>
        <w:rPr>
          <w:rFonts w:hint="eastAsia" w:ascii="宋体" w:hAnsi="宋体"/>
          <w:sz w:val="24"/>
        </w:rPr>
        <w:t>（3）应交未交磋商保证金或金额不足、磋商保证金缴纳形式不符合磋商文件要求的；</w:t>
      </w:r>
    </w:p>
    <w:p w14:paraId="122BCCB7">
      <w:pPr>
        <w:adjustRightInd w:val="0"/>
        <w:snapToGrid w:val="0"/>
        <w:spacing w:line="360" w:lineRule="auto"/>
        <w:ind w:firstLine="480" w:firstLineChars="200"/>
        <w:rPr>
          <w:rFonts w:ascii="宋体" w:hAnsi="宋体"/>
          <w:sz w:val="24"/>
        </w:rPr>
      </w:pPr>
      <w:r>
        <w:rPr>
          <w:rFonts w:hint="eastAsia" w:ascii="宋体" w:hAnsi="宋体"/>
          <w:sz w:val="24"/>
        </w:rPr>
        <w:t>（4）响应文件未按照磋商文件要求签署、盖章的；</w:t>
      </w:r>
    </w:p>
    <w:p w14:paraId="0B2E33A3">
      <w:pPr>
        <w:adjustRightInd w:val="0"/>
        <w:snapToGrid w:val="0"/>
        <w:spacing w:line="360" w:lineRule="auto"/>
        <w:ind w:firstLine="480" w:firstLineChars="200"/>
        <w:rPr>
          <w:rFonts w:ascii="宋体" w:hAnsi="宋体"/>
          <w:sz w:val="24"/>
        </w:rPr>
      </w:pPr>
      <w:r>
        <w:rPr>
          <w:rFonts w:hint="eastAsia" w:ascii="宋体" w:hAnsi="宋体"/>
          <w:sz w:val="24"/>
        </w:rPr>
        <w:t>（4）响应文件不满足本章第27.1款规定的实质性要求的；</w:t>
      </w:r>
    </w:p>
    <w:p w14:paraId="36E2BB89">
      <w:pPr>
        <w:adjustRightInd w:val="0"/>
        <w:snapToGrid w:val="0"/>
        <w:spacing w:line="360" w:lineRule="auto"/>
        <w:ind w:firstLine="480" w:firstLineChars="200"/>
        <w:rPr>
          <w:rFonts w:ascii="宋体" w:hAnsi="宋体"/>
          <w:sz w:val="24"/>
        </w:rPr>
      </w:pPr>
      <w:r>
        <w:rPr>
          <w:rFonts w:hint="eastAsia" w:ascii="宋体" w:hAnsi="宋体"/>
          <w:sz w:val="24"/>
        </w:rPr>
        <w:t>（5）报价超过采购项目预算的；</w:t>
      </w:r>
    </w:p>
    <w:p w14:paraId="3D827357">
      <w:pPr>
        <w:adjustRightInd w:val="0"/>
        <w:snapToGrid w:val="0"/>
        <w:spacing w:line="360" w:lineRule="auto"/>
        <w:ind w:firstLine="480" w:firstLineChars="200"/>
        <w:rPr>
          <w:rFonts w:ascii="宋体" w:hAnsi="宋体"/>
          <w:sz w:val="24"/>
        </w:rPr>
      </w:pPr>
      <w:r>
        <w:rPr>
          <w:rFonts w:hint="eastAsia" w:ascii="宋体" w:hAnsi="宋体"/>
          <w:sz w:val="24"/>
        </w:rPr>
        <w:t>（6）响应文件有效期不足的；</w:t>
      </w:r>
    </w:p>
    <w:p w14:paraId="605C04CB">
      <w:pPr>
        <w:adjustRightInd w:val="0"/>
        <w:snapToGrid w:val="0"/>
        <w:spacing w:line="360" w:lineRule="auto"/>
        <w:ind w:firstLine="480" w:firstLineChars="200"/>
        <w:rPr>
          <w:rFonts w:ascii="宋体" w:hAnsi="宋体"/>
          <w:sz w:val="24"/>
        </w:rPr>
      </w:pPr>
      <w:r>
        <w:rPr>
          <w:rFonts w:hint="eastAsia" w:ascii="宋体" w:hAnsi="宋体"/>
          <w:sz w:val="24"/>
        </w:rPr>
        <w:t>（7）响应文件不符合法律、规章、规范性文件和磋商文件规定及要求的。</w:t>
      </w:r>
    </w:p>
    <w:p w14:paraId="0D2EBB47">
      <w:pPr>
        <w:widowControl/>
        <w:adjustRightInd w:val="0"/>
        <w:snapToGrid w:val="0"/>
        <w:spacing w:line="360" w:lineRule="auto"/>
        <w:jc w:val="left"/>
        <w:rPr>
          <w:rFonts w:ascii="宋体" w:hAnsi="宋体" w:cs="宋体"/>
          <w:b/>
          <w:kern w:val="0"/>
          <w:sz w:val="24"/>
        </w:rPr>
      </w:pPr>
      <w:r>
        <w:rPr>
          <w:rFonts w:hint="eastAsia" w:ascii="宋体" w:hAnsi="宋体" w:cs="宋体"/>
          <w:b/>
          <w:kern w:val="0"/>
          <w:sz w:val="24"/>
        </w:rPr>
        <w:t>29.澄清</w:t>
      </w:r>
    </w:p>
    <w:p w14:paraId="4B7D877F">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4ECCEC02">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29.2 最后报价计算错误修正的原则：最后报价</w:t>
      </w:r>
      <w:r>
        <w:rPr>
          <w:rFonts w:hint="eastAsia" w:ascii="宋体" w:hAnsi="宋体" w:cs="Arial"/>
          <w:kern w:val="0"/>
          <w:sz w:val="24"/>
        </w:rPr>
        <w:t>的大写金额和小写金额不一致的，以大写金额为准；总价金额与按分项报价汇总金额不一致的，以分项报价金额计算结果为准；分项报价金额小数点有明显错位的，应以总价为准，并修改分项报价。</w:t>
      </w:r>
    </w:p>
    <w:p w14:paraId="19C3A721">
      <w:pPr>
        <w:widowControl/>
        <w:adjustRightInd w:val="0"/>
        <w:snapToGrid w:val="0"/>
        <w:spacing w:line="360" w:lineRule="auto"/>
        <w:jc w:val="left"/>
        <w:rPr>
          <w:rFonts w:ascii="宋体" w:hAnsi="宋体" w:cs="宋体"/>
          <w:b/>
          <w:kern w:val="0"/>
          <w:sz w:val="24"/>
        </w:rPr>
      </w:pPr>
      <w:r>
        <w:rPr>
          <w:rFonts w:hint="eastAsia" w:ascii="宋体" w:hAnsi="宋体" w:cs="宋体"/>
          <w:b/>
          <w:kern w:val="0"/>
          <w:sz w:val="24"/>
        </w:rPr>
        <w:t>30.磋商</w:t>
      </w:r>
    </w:p>
    <w:p w14:paraId="6982CE48">
      <w:pPr>
        <w:widowControl/>
        <w:adjustRightInd w:val="0"/>
        <w:snapToGrid w:val="0"/>
        <w:spacing w:line="360" w:lineRule="auto"/>
        <w:ind w:firstLine="420"/>
        <w:jc w:val="left"/>
        <w:rPr>
          <w:rFonts w:ascii="宋体" w:hAnsi="宋体" w:cs="宋体"/>
          <w:kern w:val="0"/>
          <w:sz w:val="24"/>
          <w:lang w:val="zh-CN"/>
        </w:rPr>
      </w:pPr>
      <w:r>
        <w:rPr>
          <w:rFonts w:hint="eastAsia" w:ascii="宋体" w:hAnsi="宋体" w:cs="宋体"/>
          <w:kern w:val="0"/>
          <w:sz w:val="24"/>
        </w:rPr>
        <w:t>30.1</w:t>
      </w:r>
      <w:r>
        <w:rPr>
          <w:rFonts w:hint="eastAsia" w:ascii="宋体" w:hAnsi="宋体"/>
          <w:sz w:val="24"/>
        </w:rPr>
        <w:t>本章第10.2项</w:t>
      </w:r>
      <w:r>
        <w:rPr>
          <w:rFonts w:hint="eastAsia" w:ascii="宋体" w:hAnsi="宋体" w:cs="宋体"/>
          <w:kern w:val="0"/>
          <w:sz w:val="24"/>
        </w:rPr>
        <w:t>未明确磋商文件实质性变动内容的，或者磋商文件明确了可能发生实质性变动内容，但在磋商过程中，</w:t>
      </w:r>
      <w:r>
        <w:rPr>
          <w:rFonts w:hint="eastAsia" w:ascii="宋体" w:hAnsi="宋体"/>
          <w:bCs/>
          <w:sz w:val="24"/>
        </w:rPr>
        <w:t>磋商小组</w:t>
      </w:r>
      <w:r>
        <w:rPr>
          <w:rFonts w:hint="eastAsia" w:ascii="宋体" w:hAnsi="宋体" w:cs="Arial"/>
          <w:kern w:val="0"/>
          <w:sz w:val="24"/>
        </w:rPr>
        <w:t>根据</w:t>
      </w:r>
      <w:r>
        <w:rPr>
          <w:rFonts w:hint="eastAsia" w:ascii="宋体" w:hAnsi="宋体" w:cs="宋体"/>
          <w:kern w:val="0"/>
          <w:sz w:val="24"/>
        </w:rPr>
        <w:t>磋商情况</w:t>
      </w:r>
      <w:r>
        <w:rPr>
          <w:rFonts w:hint="eastAsia" w:ascii="宋体" w:hAnsi="宋体"/>
          <w:bCs/>
          <w:sz w:val="24"/>
        </w:rPr>
        <w:t>认为</w:t>
      </w:r>
      <w:r>
        <w:rPr>
          <w:rFonts w:hint="eastAsia" w:ascii="宋体" w:hAnsi="宋体" w:cs="宋体"/>
          <w:kern w:val="0"/>
          <w:sz w:val="24"/>
        </w:rPr>
        <w:t>磋商文件无需发生实质性变动的，磋商小组应当直接与响应文件审查合格的供应商就价格组织多轮磋商。</w:t>
      </w:r>
    </w:p>
    <w:p w14:paraId="16AA3FD1">
      <w:pPr>
        <w:widowControl/>
        <w:tabs>
          <w:tab w:val="left" w:pos="1080"/>
          <w:tab w:val="left" w:pos="1260"/>
        </w:tabs>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（1）磋商结束后，磋商小组应当要求所有继续参加磋商的供应商在磋商小组规定时间内提交最后报价。</w:t>
      </w:r>
    </w:p>
    <w:p w14:paraId="2A5F2A0A">
      <w:pPr>
        <w:widowControl/>
        <w:tabs>
          <w:tab w:val="left" w:pos="1080"/>
          <w:tab w:val="left" w:pos="1260"/>
        </w:tabs>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（2）磋商文件明确可能发生实质性变动，但在磋商过程中</w:t>
      </w:r>
      <w:r>
        <w:rPr>
          <w:rFonts w:hint="eastAsia" w:ascii="宋体" w:hAnsi="宋体"/>
          <w:bCs/>
          <w:sz w:val="24"/>
        </w:rPr>
        <w:t>磋商小组</w:t>
      </w:r>
      <w:r>
        <w:rPr>
          <w:rFonts w:hint="eastAsia" w:ascii="宋体" w:hAnsi="宋体" w:cs="Arial"/>
          <w:kern w:val="0"/>
          <w:sz w:val="24"/>
        </w:rPr>
        <w:t>根据</w:t>
      </w:r>
      <w:r>
        <w:rPr>
          <w:rFonts w:hint="eastAsia" w:ascii="宋体" w:hAnsi="宋体" w:cs="宋体"/>
          <w:kern w:val="0"/>
          <w:sz w:val="24"/>
        </w:rPr>
        <w:t>磋商情况</w:t>
      </w:r>
      <w:r>
        <w:rPr>
          <w:rFonts w:hint="eastAsia" w:ascii="宋体" w:hAnsi="宋体"/>
          <w:bCs/>
          <w:sz w:val="24"/>
        </w:rPr>
        <w:t>认为</w:t>
      </w:r>
      <w:r>
        <w:rPr>
          <w:rFonts w:hint="eastAsia" w:ascii="宋体" w:hAnsi="宋体" w:cs="宋体"/>
          <w:kern w:val="0"/>
          <w:sz w:val="24"/>
        </w:rPr>
        <w:t>磋商文件无需发生实质性变动的，磋商小组不另行通知。</w:t>
      </w:r>
    </w:p>
    <w:p w14:paraId="2A5FDD87">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30.2</w:t>
      </w:r>
      <w:r>
        <w:rPr>
          <w:rFonts w:hint="eastAsia" w:ascii="宋体" w:hAnsi="宋体"/>
          <w:sz w:val="24"/>
        </w:rPr>
        <w:t>本章第10.2</w:t>
      </w:r>
      <w:r>
        <w:rPr>
          <w:rFonts w:hint="eastAsia" w:ascii="宋体" w:hAnsi="宋体" w:cs="宋体"/>
          <w:kern w:val="0"/>
          <w:sz w:val="24"/>
          <w:lang w:val="zh-CN"/>
        </w:rPr>
        <w:t>款</w:t>
      </w:r>
      <w:r>
        <w:rPr>
          <w:rFonts w:hint="eastAsia" w:ascii="宋体" w:hAnsi="宋体" w:cs="宋体"/>
          <w:kern w:val="0"/>
          <w:sz w:val="24"/>
        </w:rPr>
        <w:t>明确磋商文件实质性变动内容的，</w:t>
      </w:r>
      <w:r>
        <w:rPr>
          <w:rFonts w:hint="eastAsia" w:ascii="宋体" w:hAnsi="宋体"/>
          <w:bCs/>
          <w:sz w:val="24"/>
        </w:rPr>
        <w:t>磋商小组</w:t>
      </w:r>
      <w:r>
        <w:rPr>
          <w:rFonts w:hint="eastAsia" w:ascii="宋体" w:hAnsi="宋体" w:cs="宋体"/>
          <w:kern w:val="0"/>
          <w:sz w:val="24"/>
        </w:rPr>
        <w:t>可以组织多轮磋商。</w:t>
      </w:r>
      <w:r>
        <w:rPr>
          <w:rFonts w:hint="eastAsia" w:ascii="宋体" w:hAnsi="宋体"/>
          <w:bCs/>
          <w:sz w:val="24"/>
        </w:rPr>
        <w:t>在每一轮磋商中，磋商小组</w:t>
      </w:r>
      <w:r>
        <w:rPr>
          <w:rFonts w:hint="eastAsia" w:ascii="宋体" w:hAnsi="宋体" w:cs="宋体"/>
          <w:kern w:val="0"/>
          <w:sz w:val="24"/>
        </w:rPr>
        <w:t>可以</w:t>
      </w:r>
      <w:r>
        <w:rPr>
          <w:rFonts w:hint="eastAsia" w:ascii="宋体" w:hAnsi="宋体" w:cs="Arial"/>
          <w:kern w:val="0"/>
          <w:sz w:val="24"/>
        </w:rPr>
        <w:t>根据</w:t>
      </w:r>
      <w:r>
        <w:rPr>
          <w:rFonts w:hint="eastAsia" w:ascii="宋体" w:hAnsi="宋体" w:cs="宋体"/>
          <w:kern w:val="0"/>
          <w:sz w:val="24"/>
        </w:rPr>
        <w:t>磋商文件规定和磋商情况，</w:t>
      </w:r>
      <w:r>
        <w:rPr>
          <w:rFonts w:hint="eastAsia" w:ascii="宋体" w:hAnsi="宋体"/>
          <w:bCs/>
          <w:sz w:val="24"/>
        </w:rPr>
        <w:t>对磋商文件的</w:t>
      </w:r>
      <w:r>
        <w:rPr>
          <w:rFonts w:hint="eastAsia" w:ascii="宋体" w:hAnsi="宋体" w:cs="宋体"/>
          <w:kern w:val="0"/>
          <w:sz w:val="24"/>
        </w:rPr>
        <w:t>采购需求中的技术、服务要求以及合同草案条款</w:t>
      </w:r>
      <w:r>
        <w:rPr>
          <w:rFonts w:hint="eastAsia" w:ascii="宋体" w:hAnsi="宋体"/>
          <w:bCs/>
          <w:sz w:val="24"/>
        </w:rPr>
        <w:t>作实质性变动(磋商文件的实质性变动内容为磋商文件的组成部分)，并以书面形式要求</w:t>
      </w:r>
      <w:r>
        <w:rPr>
          <w:rFonts w:hint="eastAsia" w:ascii="宋体" w:hAnsi="宋体" w:cs="宋体"/>
          <w:kern w:val="0"/>
          <w:sz w:val="24"/>
        </w:rPr>
        <w:t>响应文件审查合格</w:t>
      </w:r>
      <w:r>
        <w:rPr>
          <w:rFonts w:hint="eastAsia" w:ascii="宋体" w:hAnsi="宋体"/>
          <w:bCs/>
          <w:sz w:val="24"/>
        </w:rPr>
        <w:t>的供应商，在规定的</w:t>
      </w:r>
      <w:r>
        <w:rPr>
          <w:rFonts w:hint="eastAsia" w:ascii="宋体" w:hAnsi="宋体" w:cs="宋体"/>
          <w:kern w:val="0"/>
          <w:sz w:val="24"/>
        </w:rPr>
        <w:t>截止时间前</w:t>
      </w:r>
      <w:r>
        <w:rPr>
          <w:rFonts w:hint="eastAsia" w:ascii="宋体" w:hAnsi="宋体"/>
          <w:bCs/>
          <w:sz w:val="24"/>
        </w:rPr>
        <w:t>重</w:t>
      </w:r>
      <w:r>
        <w:rPr>
          <w:rFonts w:hint="eastAsia" w:ascii="宋体" w:hAnsi="宋体" w:cs="宋体"/>
          <w:kern w:val="0"/>
          <w:sz w:val="24"/>
        </w:rPr>
        <w:t>新提交响应文件</w:t>
      </w:r>
      <w:r>
        <w:rPr>
          <w:rFonts w:hint="eastAsia" w:ascii="宋体" w:hAnsi="宋体"/>
          <w:bCs/>
          <w:sz w:val="24"/>
        </w:rPr>
        <w:t>。</w:t>
      </w:r>
      <w:r>
        <w:rPr>
          <w:rFonts w:hint="eastAsia" w:ascii="宋体" w:hAnsi="宋体" w:cs="宋体"/>
          <w:kern w:val="0"/>
          <w:sz w:val="24"/>
        </w:rPr>
        <w:t>磋商小组应当</w:t>
      </w:r>
      <w:r>
        <w:rPr>
          <w:rFonts w:hint="eastAsia" w:ascii="宋体" w:hAnsi="宋体"/>
          <w:sz w:val="24"/>
        </w:rPr>
        <w:t>根据本章第26.2</w:t>
      </w:r>
      <w:r>
        <w:rPr>
          <w:rFonts w:hint="eastAsia" w:ascii="宋体" w:hAnsi="宋体" w:cs="宋体"/>
          <w:kern w:val="0"/>
          <w:sz w:val="24"/>
          <w:lang w:val="zh-CN"/>
        </w:rPr>
        <w:t>款</w:t>
      </w:r>
      <w:r>
        <w:rPr>
          <w:rFonts w:hint="eastAsia" w:ascii="宋体" w:hAnsi="宋体"/>
          <w:sz w:val="24"/>
        </w:rPr>
        <w:t>规定</w:t>
      </w:r>
      <w:r>
        <w:rPr>
          <w:rFonts w:hint="eastAsia" w:ascii="宋体" w:hAnsi="宋体" w:cs="宋体"/>
          <w:kern w:val="0"/>
          <w:sz w:val="24"/>
        </w:rPr>
        <w:t>对供应商重新提交的响应文件进行审查。供应商重新提交的响应文件审查不合格的，不得进入下一轮磋商，也不得要求提交最后报价。</w:t>
      </w:r>
    </w:p>
    <w:p w14:paraId="7F760E54">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（1）磋商文件能够详细列明采购需求的技术、服务要求的，磋商结束后，磋商小组应当要求所有继续参加磋商的供应商在规定时间内提交最后报价。</w:t>
      </w:r>
    </w:p>
    <w:p w14:paraId="264F29BB">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0729E88">
      <w:pPr>
        <w:widowControl/>
        <w:adjustRightInd w:val="0"/>
        <w:snapToGrid w:val="0"/>
        <w:spacing w:line="360" w:lineRule="auto"/>
        <w:ind w:firstLine="420"/>
        <w:jc w:val="left"/>
        <w:rPr>
          <w:rFonts w:ascii="宋体" w:hAnsi="宋体"/>
          <w:bCs/>
          <w:sz w:val="24"/>
        </w:rPr>
      </w:pPr>
      <w:r>
        <w:rPr>
          <w:rFonts w:hint="eastAsia" w:ascii="宋体" w:hAnsi="宋体"/>
          <w:bCs/>
          <w:sz w:val="24"/>
        </w:rPr>
        <w:t>30.3重</w:t>
      </w:r>
      <w:r>
        <w:rPr>
          <w:rFonts w:hint="eastAsia" w:ascii="宋体" w:hAnsi="宋体" w:cs="宋体"/>
          <w:kern w:val="0"/>
          <w:sz w:val="24"/>
        </w:rPr>
        <w:t>新提交的响应文件</w:t>
      </w:r>
      <w:r>
        <w:rPr>
          <w:rFonts w:hint="eastAsia" w:ascii="宋体" w:hAnsi="宋体"/>
          <w:sz w:val="24"/>
        </w:rPr>
        <w:t>或者最后报价应按</w:t>
      </w:r>
      <w:r>
        <w:rPr>
          <w:rFonts w:hint="eastAsia" w:ascii="宋体" w:hAnsi="宋体" w:cs="宋体"/>
          <w:kern w:val="0"/>
          <w:sz w:val="24"/>
        </w:rPr>
        <w:t>本章第</w:t>
      </w:r>
      <w:r>
        <w:rPr>
          <w:rFonts w:hint="eastAsia" w:ascii="宋体" w:hAnsi="宋体"/>
          <w:sz w:val="24"/>
        </w:rPr>
        <w:t>21.3</w:t>
      </w:r>
      <w:r>
        <w:rPr>
          <w:rFonts w:hint="eastAsia" w:ascii="宋体" w:hAnsi="宋体" w:cs="宋体"/>
          <w:kern w:val="0"/>
          <w:sz w:val="24"/>
          <w:lang w:val="zh-CN"/>
        </w:rPr>
        <w:t>款</w:t>
      </w:r>
      <w:r>
        <w:rPr>
          <w:rFonts w:hint="eastAsia" w:ascii="宋体" w:hAnsi="宋体"/>
          <w:sz w:val="24"/>
        </w:rPr>
        <w:t>规定，</w:t>
      </w:r>
      <w:r>
        <w:rPr>
          <w:rFonts w:hint="eastAsia" w:ascii="宋体" w:hAnsi="宋体" w:cs="宋体"/>
          <w:kern w:val="0"/>
          <w:sz w:val="24"/>
        </w:rPr>
        <w:t>由其法定代表人或其委托代理人签字或者加盖供应商单位章，在规定时间内密封递交给磋商小组</w:t>
      </w:r>
      <w:r>
        <w:rPr>
          <w:rFonts w:hint="eastAsia" w:ascii="宋体" w:hAnsi="宋体"/>
          <w:bCs/>
          <w:sz w:val="24"/>
        </w:rPr>
        <w:t>。</w:t>
      </w:r>
    </w:p>
    <w:p w14:paraId="05FE712F">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30.4</w:t>
      </w:r>
      <w:r>
        <w:rPr>
          <w:rFonts w:hint="eastAsia" w:ascii="宋体" w:hAnsi="宋体" w:cs="宋体"/>
          <w:kern w:val="0"/>
          <w:sz w:val="24"/>
          <w:lang w:val="zh-CN"/>
        </w:rPr>
        <w:t>供应商的</w:t>
      </w:r>
      <w:r>
        <w:rPr>
          <w:rFonts w:hint="eastAsia" w:ascii="宋体" w:hAnsi="宋体"/>
          <w:bCs/>
          <w:sz w:val="24"/>
        </w:rPr>
        <w:t>最</w:t>
      </w:r>
      <w:r>
        <w:rPr>
          <w:rFonts w:hint="eastAsia" w:ascii="宋体" w:hAnsi="宋体" w:cs="宋体"/>
          <w:kern w:val="0"/>
          <w:sz w:val="24"/>
          <w:lang w:val="zh-CN"/>
        </w:rPr>
        <w:t>后</w:t>
      </w:r>
      <w:r>
        <w:rPr>
          <w:rFonts w:hint="eastAsia" w:ascii="宋体" w:hAnsi="宋体"/>
          <w:bCs/>
          <w:sz w:val="24"/>
        </w:rPr>
        <w:t>报价及</w:t>
      </w:r>
      <w:r>
        <w:rPr>
          <w:rFonts w:hint="eastAsia" w:ascii="宋体" w:hAnsi="宋体" w:cs="宋体"/>
          <w:kern w:val="0"/>
          <w:sz w:val="24"/>
        </w:rPr>
        <w:t>政府采购政策规定的价格扣除情况，磋商小组应召集所有参加最后报价的供应商当场开封</w:t>
      </w:r>
      <w:r>
        <w:rPr>
          <w:rFonts w:hint="eastAsia" w:ascii="宋体" w:hAnsi="宋体"/>
          <w:bCs/>
          <w:sz w:val="24"/>
        </w:rPr>
        <w:t>公布，并由供应商代表签字确认。</w:t>
      </w:r>
    </w:p>
    <w:p w14:paraId="402061F0">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30.5提交首次响应文件的供应商，在提交最后报价之前，可以根据磋商情况退出磋商，并书面通知采购代理机构或者磋商小组。</w:t>
      </w:r>
      <w:r>
        <w:rPr>
          <w:rFonts w:hint="eastAsia" w:ascii="宋体" w:hAnsi="宋体"/>
          <w:sz w:val="24"/>
        </w:rPr>
        <w:t>该通知由供应商法定代表人或其委托代理人签字。</w:t>
      </w:r>
      <w:r>
        <w:rPr>
          <w:rFonts w:hint="eastAsia" w:ascii="宋体" w:hAnsi="宋体" w:cs="宋体"/>
          <w:kern w:val="0"/>
          <w:sz w:val="24"/>
        </w:rPr>
        <w:t>采购代理机构按本章第</w:t>
      </w:r>
      <w:r>
        <w:rPr>
          <w:rFonts w:hint="eastAsia" w:ascii="宋体" w:hAnsi="宋体"/>
          <w:sz w:val="24"/>
        </w:rPr>
        <w:t>19.4</w:t>
      </w:r>
      <w:r>
        <w:rPr>
          <w:rFonts w:hint="eastAsia" w:ascii="宋体" w:hAnsi="宋体" w:cs="宋体"/>
          <w:kern w:val="0"/>
          <w:sz w:val="24"/>
          <w:lang w:val="zh-CN"/>
        </w:rPr>
        <w:t>款</w:t>
      </w:r>
      <w:r>
        <w:rPr>
          <w:rFonts w:hint="eastAsia" w:ascii="宋体" w:hAnsi="宋体"/>
          <w:sz w:val="24"/>
        </w:rPr>
        <w:t>规定</w:t>
      </w:r>
      <w:r>
        <w:rPr>
          <w:rFonts w:hint="eastAsia" w:ascii="宋体" w:hAnsi="宋体" w:cs="宋体"/>
          <w:kern w:val="0"/>
          <w:sz w:val="24"/>
        </w:rPr>
        <w:t>退还退出磋商的供应商的磋商保证金。</w:t>
      </w:r>
    </w:p>
    <w:p w14:paraId="328A1139">
      <w:pPr>
        <w:adjustRightInd w:val="0"/>
        <w:snapToGrid w:val="0"/>
        <w:spacing w:line="360" w:lineRule="auto"/>
        <w:ind w:firstLine="480" w:firstLineChars="200"/>
        <w:rPr>
          <w:rFonts w:ascii="宋体" w:hAnsi="宋体" w:cs="宋体"/>
          <w:kern w:val="0"/>
          <w:sz w:val="24"/>
        </w:rPr>
      </w:pPr>
      <w:r>
        <w:rPr>
          <w:rFonts w:hint="eastAsia" w:ascii="宋体" w:hAnsi="宋体"/>
          <w:bCs/>
          <w:sz w:val="24"/>
        </w:rPr>
        <w:t>30.6</w:t>
      </w:r>
      <w:r>
        <w:rPr>
          <w:rFonts w:hint="eastAsia" w:ascii="宋体" w:hAnsi="宋体" w:cs="宋体"/>
          <w:kern w:val="0"/>
          <w:sz w:val="24"/>
        </w:rPr>
        <w:t>提交首次响应文件的供应商，未按磋商文件规定及磋商小组要求提交最后报价(或者</w:t>
      </w:r>
      <w:r>
        <w:rPr>
          <w:rFonts w:hint="eastAsia" w:ascii="宋体" w:hAnsi="宋体"/>
          <w:bCs/>
          <w:sz w:val="24"/>
        </w:rPr>
        <w:t>重</w:t>
      </w:r>
      <w:r>
        <w:rPr>
          <w:rFonts w:hint="eastAsia" w:ascii="宋体" w:hAnsi="宋体" w:cs="宋体"/>
          <w:kern w:val="0"/>
          <w:sz w:val="24"/>
        </w:rPr>
        <w:t>新提交的响应文件和最后报价)，且又未按本章第</w:t>
      </w:r>
      <w:r>
        <w:rPr>
          <w:rFonts w:hint="eastAsia" w:ascii="宋体" w:hAnsi="宋体"/>
          <w:sz w:val="24"/>
        </w:rPr>
        <w:t>30.5</w:t>
      </w:r>
      <w:r>
        <w:rPr>
          <w:rFonts w:hint="eastAsia" w:ascii="宋体" w:hAnsi="宋体" w:cs="宋体"/>
          <w:kern w:val="0"/>
          <w:sz w:val="24"/>
          <w:lang w:val="zh-CN"/>
        </w:rPr>
        <w:t>款</w:t>
      </w:r>
      <w:r>
        <w:rPr>
          <w:rFonts w:hint="eastAsia" w:ascii="宋体" w:hAnsi="宋体"/>
          <w:sz w:val="24"/>
        </w:rPr>
        <w:t>规定</w:t>
      </w:r>
      <w:r>
        <w:rPr>
          <w:rFonts w:hint="eastAsia" w:ascii="宋体" w:hAnsi="宋体" w:cs="宋体"/>
          <w:kern w:val="0"/>
          <w:sz w:val="24"/>
        </w:rPr>
        <w:t>退出磋商的，供应商的磋商保证金不予退还。</w:t>
      </w:r>
    </w:p>
    <w:p w14:paraId="1F53A7C0">
      <w:pPr>
        <w:widowControl/>
        <w:adjustRightInd w:val="0"/>
        <w:snapToGrid w:val="0"/>
        <w:spacing w:line="360" w:lineRule="auto"/>
        <w:jc w:val="left"/>
        <w:rPr>
          <w:rFonts w:ascii="宋体" w:hAnsi="宋体"/>
          <w:b/>
          <w:bCs/>
          <w:sz w:val="24"/>
        </w:rPr>
      </w:pPr>
      <w:r>
        <w:rPr>
          <w:rFonts w:hint="eastAsia" w:ascii="宋体" w:hAnsi="宋体" w:cs="宋体"/>
          <w:b/>
          <w:kern w:val="0"/>
          <w:sz w:val="24"/>
        </w:rPr>
        <w:t>31.响应文件评审</w:t>
      </w:r>
    </w:p>
    <w:p w14:paraId="0732D3AB">
      <w:pPr>
        <w:widowControl/>
        <w:adjustRightInd w:val="0"/>
        <w:snapToGrid w:val="0"/>
        <w:spacing w:line="360" w:lineRule="auto"/>
        <w:ind w:firstLine="480" w:firstLineChars="200"/>
        <w:jc w:val="left"/>
        <w:rPr>
          <w:rFonts w:ascii="宋体" w:hAnsi="宋体"/>
          <w:bCs/>
          <w:sz w:val="24"/>
        </w:rPr>
      </w:pPr>
      <w:r>
        <w:rPr>
          <w:rFonts w:hint="eastAsia" w:ascii="宋体" w:hAnsi="宋体"/>
          <w:bCs/>
          <w:sz w:val="24"/>
        </w:rPr>
        <w:t>31.1经磋商确定最终采购需求和提交最后报价的供应商后，由磋商小组采用综合评分法对提交最后报价的供应商的响应文件和最后报价进行综合评价。</w:t>
      </w:r>
    </w:p>
    <w:p w14:paraId="37A9C812">
      <w:pPr>
        <w:widowControl/>
        <w:adjustRightInd w:val="0"/>
        <w:snapToGrid w:val="0"/>
        <w:spacing w:line="360" w:lineRule="auto"/>
        <w:ind w:firstLine="480" w:firstLineChars="200"/>
        <w:jc w:val="left"/>
        <w:rPr>
          <w:rFonts w:ascii="宋体" w:hAnsi="宋体"/>
          <w:bCs/>
          <w:sz w:val="24"/>
        </w:rPr>
      </w:pPr>
      <w:r>
        <w:rPr>
          <w:rFonts w:hint="eastAsia" w:ascii="宋体" w:hAnsi="宋体"/>
          <w:bCs/>
          <w:sz w:val="24"/>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b/>
          <w:bCs/>
          <w:sz w:val="24"/>
        </w:rPr>
        <w:t>磋商须知前附表。</w:t>
      </w:r>
    </w:p>
    <w:p w14:paraId="78BBF843">
      <w:pPr>
        <w:widowControl/>
        <w:adjustRightInd w:val="0"/>
        <w:snapToGrid w:val="0"/>
        <w:spacing w:beforeLines="50" w:line="360" w:lineRule="auto"/>
        <w:ind w:firstLine="480" w:firstLineChars="200"/>
        <w:jc w:val="left"/>
        <w:rPr>
          <w:rFonts w:ascii="宋体" w:hAnsi="宋体"/>
          <w:bCs/>
          <w:sz w:val="24"/>
        </w:rPr>
      </w:pPr>
      <w:r>
        <w:rPr>
          <w:rFonts w:hint="eastAsia" w:ascii="宋体" w:hAnsi="宋体" w:cs="宋体"/>
          <w:kern w:val="0"/>
          <w:sz w:val="24"/>
        </w:rPr>
        <w:t>31.3</w:t>
      </w:r>
      <w:r>
        <w:rPr>
          <w:rFonts w:hint="eastAsia" w:ascii="宋体" w:hAnsi="宋体"/>
          <w:sz w:val="24"/>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b/>
          <w:sz w:val="24"/>
        </w:rPr>
        <w:t>磋商须知前附表</w:t>
      </w:r>
      <w:r>
        <w:rPr>
          <w:rFonts w:hint="eastAsia" w:ascii="宋体" w:hAnsi="宋体"/>
          <w:sz w:val="24"/>
        </w:rPr>
        <w:t>。</w:t>
      </w:r>
    </w:p>
    <w:p w14:paraId="534FB97D">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31.4综合评分法中的价格分采用低价优先法计算，即满足磋商文件要求且经调整后的最后报价最低的供应商的价格为磋商基准价，其价格分为满分。其他供应商的价格分按照下列公式计算：</w:t>
      </w:r>
    </w:p>
    <w:p w14:paraId="5A47AE49">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磋商报价得分=（磋商基准价/最后磋商报价）×权值</w:t>
      </w:r>
    </w:p>
    <w:p w14:paraId="428CC36C">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项目评审过程中，不得去掉最后报价中的最高报价和最低报价。</w:t>
      </w:r>
    </w:p>
    <w:p w14:paraId="455F7013">
      <w:pPr>
        <w:widowControl/>
        <w:adjustRightInd w:val="0"/>
        <w:snapToGrid w:val="0"/>
        <w:spacing w:beforeLines="50" w:line="360" w:lineRule="auto"/>
        <w:ind w:firstLine="480" w:firstLineChars="200"/>
        <w:jc w:val="left"/>
        <w:rPr>
          <w:rFonts w:ascii="宋体" w:hAnsi="宋体"/>
          <w:sz w:val="24"/>
        </w:rPr>
      </w:pPr>
      <w:r>
        <w:rPr>
          <w:rFonts w:hint="eastAsia" w:ascii="宋体" w:hAnsi="宋体"/>
          <w:bCs/>
          <w:sz w:val="24"/>
        </w:rPr>
        <w:t>31.5</w:t>
      </w:r>
      <w:r>
        <w:rPr>
          <w:rFonts w:hint="eastAsia" w:ascii="宋体" w:hAnsi="宋体"/>
          <w:sz w:val="24"/>
        </w:rPr>
        <w:t>涉及政府采购政策优惠对供应商分值进行调整的，</w:t>
      </w:r>
      <w:r>
        <w:rPr>
          <w:rFonts w:hint="eastAsia" w:ascii="宋体" w:hAnsi="宋体"/>
          <w:bCs/>
          <w:sz w:val="24"/>
        </w:rPr>
        <w:t>按</w:t>
      </w:r>
      <w:r>
        <w:rPr>
          <w:rFonts w:hint="eastAsia" w:ascii="宋体" w:hAnsi="宋体"/>
          <w:b/>
          <w:sz w:val="24"/>
        </w:rPr>
        <w:t>磋商须知前附表</w:t>
      </w:r>
      <w:r>
        <w:rPr>
          <w:rFonts w:hint="eastAsia" w:ascii="宋体" w:hAnsi="宋体"/>
          <w:bCs/>
          <w:sz w:val="24"/>
        </w:rPr>
        <w:t>规定</w:t>
      </w:r>
      <w:r>
        <w:rPr>
          <w:rFonts w:hint="eastAsia" w:ascii="宋体" w:hAnsi="宋体"/>
          <w:sz w:val="24"/>
        </w:rPr>
        <w:t>调整供应商的技术、商务、价格</w:t>
      </w:r>
      <w:r>
        <w:rPr>
          <w:rFonts w:hint="eastAsia" w:ascii="宋体" w:hAnsi="宋体" w:cs="宋体"/>
          <w:kern w:val="0"/>
          <w:sz w:val="24"/>
        </w:rPr>
        <w:t>得分或总得分</w:t>
      </w:r>
      <w:r>
        <w:rPr>
          <w:rFonts w:hint="eastAsia" w:ascii="宋体" w:hAnsi="宋体"/>
          <w:sz w:val="24"/>
        </w:rPr>
        <w:t>。</w:t>
      </w:r>
    </w:p>
    <w:p w14:paraId="5146362B">
      <w:pPr>
        <w:adjustRightInd w:val="0"/>
        <w:snapToGrid w:val="0"/>
        <w:spacing w:beforeLines="50" w:line="360" w:lineRule="auto"/>
        <w:ind w:firstLine="480" w:firstLineChars="200"/>
        <w:rPr>
          <w:rFonts w:ascii="宋体" w:hAnsi="宋体"/>
          <w:sz w:val="24"/>
        </w:rPr>
      </w:pPr>
      <w:r>
        <w:rPr>
          <w:rFonts w:hint="eastAsia" w:ascii="宋体" w:hAnsi="宋体"/>
          <w:sz w:val="24"/>
        </w:rPr>
        <w:t>31.6涉及多处或部分获得政府采购政策优惠的，其多处或部分享受政府采购优惠政策的计算方法见</w:t>
      </w:r>
      <w:r>
        <w:rPr>
          <w:rFonts w:hint="eastAsia" w:ascii="宋体" w:hAnsi="宋体"/>
          <w:b/>
          <w:sz w:val="24"/>
        </w:rPr>
        <w:t>磋商须知前附表</w:t>
      </w:r>
      <w:r>
        <w:rPr>
          <w:rFonts w:hint="eastAsia" w:ascii="宋体" w:hAnsi="宋体"/>
          <w:sz w:val="24"/>
        </w:rPr>
        <w:t>相关规定。</w:t>
      </w:r>
    </w:p>
    <w:p w14:paraId="6FDAFC4C">
      <w:pPr>
        <w:widowControl/>
        <w:adjustRightInd w:val="0"/>
        <w:snapToGrid w:val="0"/>
        <w:spacing w:beforeLines="50" w:line="360" w:lineRule="auto"/>
        <w:ind w:firstLine="480" w:firstLineChars="200"/>
        <w:jc w:val="left"/>
        <w:rPr>
          <w:rFonts w:ascii="宋体" w:hAnsi="宋体"/>
          <w:sz w:val="24"/>
        </w:rPr>
      </w:pPr>
      <w:r>
        <w:rPr>
          <w:rFonts w:hint="eastAsia" w:ascii="宋体" w:hAnsi="宋体" w:cs="宋体"/>
          <w:kern w:val="0"/>
          <w:sz w:val="24"/>
        </w:rPr>
        <w:t>31.7</w:t>
      </w:r>
      <w:r>
        <w:rPr>
          <w:rFonts w:hint="eastAsia" w:ascii="宋体" w:hAnsi="宋体"/>
          <w:sz w:val="24"/>
        </w:rPr>
        <w:t>评审时，磋商小组各成员应当独立对每个供应商的</w:t>
      </w:r>
      <w:r>
        <w:rPr>
          <w:rFonts w:hint="eastAsia" w:ascii="宋体" w:hAnsi="宋体"/>
          <w:bCs/>
          <w:sz w:val="24"/>
        </w:rPr>
        <w:t>响应文件</w:t>
      </w:r>
      <w:r>
        <w:rPr>
          <w:rFonts w:hint="eastAsia" w:ascii="宋体" w:hAnsi="宋体"/>
          <w:sz w:val="24"/>
        </w:rPr>
        <w:t>进行评价、评分，并按照政府采购优惠政策对最后报价进行价格扣除和技术、商务、价格加分后，汇总各供应商的总得分。</w:t>
      </w:r>
    </w:p>
    <w:p w14:paraId="6B4F04CC">
      <w:pPr>
        <w:widowControl/>
        <w:adjustRightInd w:val="0"/>
        <w:snapToGrid w:val="0"/>
        <w:spacing w:line="360" w:lineRule="auto"/>
        <w:jc w:val="left"/>
        <w:rPr>
          <w:rFonts w:ascii="宋体" w:hAnsi="宋体"/>
          <w:b/>
          <w:bCs/>
          <w:sz w:val="24"/>
        </w:rPr>
      </w:pPr>
      <w:r>
        <w:rPr>
          <w:rFonts w:hint="eastAsia" w:ascii="宋体" w:hAnsi="宋体"/>
          <w:b/>
          <w:bCs/>
          <w:sz w:val="24"/>
        </w:rPr>
        <w:t>32</w:t>
      </w:r>
      <w:r>
        <w:rPr>
          <w:rFonts w:hint="eastAsia" w:ascii="宋体" w:hAnsi="宋体" w:cs="宋体"/>
          <w:b/>
          <w:kern w:val="0"/>
          <w:sz w:val="24"/>
        </w:rPr>
        <w:t>.</w:t>
      </w:r>
      <w:r>
        <w:rPr>
          <w:rFonts w:hint="eastAsia" w:ascii="宋体" w:hAnsi="宋体"/>
          <w:b/>
          <w:bCs/>
          <w:sz w:val="24"/>
        </w:rPr>
        <w:t>提出成交供应商</w:t>
      </w:r>
    </w:p>
    <w:p w14:paraId="79A6E4A1">
      <w:pPr>
        <w:widowControl/>
        <w:spacing w:line="420" w:lineRule="atLeast"/>
        <w:jc w:val="left"/>
        <w:rPr>
          <w:rFonts w:ascii="宋体" w:hAnsi="宋体"/>
          <w:bCs/>
          <w:sz w:val="24"/>
        </w:rPr>
      </w:pPr>
      <w:r>
        <w:rPr>
          <w:rFonts w:hint="eastAsia" w:ascii="宋体" w:hAnsi="宋体" w:cs="宋体"/>
          <w:kern w:val="0"/>
          <w:sz w:val="24"/>
        </w:rPr>
        <w:t xml:space="preserve">    32.1</w:t>
      </w:r>
      <w:r>
        <w:rPr>
          <w:rFonts w:hint="eastAsia" w:ascii="宋体" w:hAnsi="宋体"/>
          <w:bCs/>
          <w:sz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cs="宋体"/>
          <w:kern w:val="0"/>
          <w:sz w:val="24"/>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bCs/>
          <w:sz w:val="24"/>
        </w:rPr>
        <w:t>可以推荐2家成交候选供应商。</w:t>
      </w:r>
    </w:p>
    <w:p w14:paraId="77DB0FBE">
      <w:pPr>
        <w:widowControl/>
        <w:spacing w:line="420" w:lineRule="atLeast"/>
        <w:rPr>
          <w:rFonts w:ascii="宋体" w:hAnsi="宋体" w:cs="宋体"/>
          <w:kern w:val="0"/>
          <w:sz w:val="24"/>
        </w:rPr>
      </w:pPr>
    </w:p>
    <w:p w14:paraId="021BC7B9">
      <w:pPr>
        <w:tabs>
          <w:tab w:val="left" w:pos="0"/>
        </w:tabs>
        <w:adjustRightInd w:val="0"/>
        <w:snapToGrid w:val="0"/>
        <w:spacing w:line="360" w:lineRule="auto"/>
        <w:rPr>
          <w:rFonts w:ascii="宋体" w:hAnsi="宋体"/>
          <w:b/>
          <w:bCs/>
          <w:sz w:val="24"/>
        </w:rPr>
      </w:pPr>
      <w:r>
        <w:rPr>
          <w:rFonts w:hint="eastAsia" w:ascii="宋体" w:hAnsi="宋体"/>
          <w:b/>
          <w:bCs/>
          <w:sz w:val="24"/>
        </w:rPr>
        <w:t>33.确定成交供应商</w:t>
      </w:r>
    </w:p>
    <w:p w14:paraId="7BF3C53F">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33.1采购代理机构应当在评审结束后2个工作日内将评审报告送采购人确认。</w:t>
      </w:r>
    </w:p>
    <w:p w14:paraId="61E0C746">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33.2采购人应当在收到评审报告后5个工作日内，从评审报告提出的成交候选供应商中，按照排序由高到低的原则确定成交供应商，也可以书面授权磋商小组直接确定成交供应商。</w:t>
      </w:r>
    </w:p>
    <w:p w14:paraId="5CF7ED55">
      <w:pPr>
        <w:pStyle w:val="9"/>
        <w:adjustRightInd w:val="0"/>
        <w:snapToGrid w:val="0"/>
        <w:spacing w:line="360" w:lineRule="auto"/>
        <w:ind w:left="723" w:hanging="723" w:hangingChars="300"/>
        <w:rPr>
          <w:rFonts w:hAnsi="宋体"/>
          <w:b/>
          <w:sz w:val="24"/>
          <w:szCs w:val="24"/>
        </w:rPr>
      </w:pPr>
      <w:r>
        <w:rPr>
          <w:rFonts w:hint="eastAsia" w:hAnsi="宋体"/>
          <w:b/>
          <w:sz w:val="24"/>
          <w:szCs w:val="24"/>
        </w:rPr>
        <w:t>34.磋商终止</w:t>
      </w:r>
    </w:p>
    <w:p w14:paraId="1E942582">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bCs/>
          <w:sz w:val="24"/>
        </w:rPr>
        <w:t>34.1</w:t>
      </w:r>
      <w:r>
        <w:rPr>
          <w:rFonts w:hint="eastAsia" w:ascii="宋体" w:hAnsi="宋体" w:cs="宋体"/>
          <w:kern w:val="0"/>
          <w:sz w:val="24"/>
        </w:rPr>
        <w:t>出现下列情形之一的，采购人或者采购代理机构应当终止竞争性磋商采购活动，</w:t>
      </w:r>
      <w:r>
        <w:rPr>
          <w:rFonts w:hint="eastAsia" w:ascii="宋体" w:hAnsi="宋体"/>
          <w:sz w:val="24"/>
        </w:rPr>
        <w:t>在本章第37.1款指定的媒体上</w:t>
      </w:r>
      <w:r>
        <w:rPr>
          <w:rFonts w:hint="eastAsia" w:ascii="宋体" w:hAnsi="宋体" w:cs="宋体"/>
          <w:kern w:val="0"/>
          <w:sz w:val="24"/>
        </w:rPr>
        <w:t>发布项目终止公告并说明原因，重新开展采购活动：</w:t>
      </w:r>
    </w:p>
    <w:p w14:paraId="1146A4D9">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（1）因情况变化，不再符合规定的竞争性磋商采购方式适用情形的；</w:t>
      </w:r>
    </w:p>
    <w:p w14:paraId="326610D5">
      <w:pPr>
        <w:widowControl/>
        <w:adjustRightInd w:val="0"/>
        <w:snapToGrid w:val="0"/>
        <w:spacing w:line="360" w:lineRule="auto"/>
        <w:ind w:firstLine="420"/>
        <w:jc w:val="left"/>
        <w:rPr>
          <w:rFonts w:ascii="宋体" w:hAnsi="宋体" w:cs="宋体"/>
          <w:kern w:val="0"/>
          <w:sz w:val="24"/>
        </w:rPr>
      </w:pPr>
      <w:r>
        <w:rPr>
          <w:rFonts w:hint="eastAsia" w:ascii="宋体" w:hAnsi="宋体" w:cs="宋体"/>
          <w:kern w:val="0"/>
          <w:sz w:val="24"/>
        </w:rPr>
        <w:t>（2）出现影响采购公正的违法、违规行为的；</w:t>
      </w:r>
    </w:p>
    <w:p w14:paraId="08E5BB16">
      <w:pPr>
        <w:widowControl/>
        <w:adjustRightInd w:val="0"/>
        <w:snapToGrid w:val="0"/>
        <w:spacing w:line="360" w:lineRule="auto"/>
        <w:ind w:firstLine="420"/>
        <w:jc w:val="left"/>
        <w:rPr>
          <w:rFonts w:ascii="宋体" w:hAnsi="宋体"/>
          <w:bCs/>
          <w:sz w:val="24"/>
        </w:rPr>
      </w:pPr>
      <w:r>
        <w:rPr>
          <w:rFonts w:hint="eastAsia" w:ascii="宋体" w:hAnsi="宋体" w:cs="宋体"/>
          <w:kern w:val="0"/>
          <w:sz w:val="24"/>
        </w:rPr>
        <w:t>（3）</w:t>
      </w:r>
      <w:r>
        <w:rPr>
          <w:rFonts w:hint="eastAsia" w:ascii="宋体" w:hAnsi="宋体"/>
          <w:bCs/>
          <w:sz w:val="24"/>
        </w:rPr>
        <w:t>除《政府采购竞争性磋商采购方式管理暂行办法》(财库〔2014〕214号)</w:t>
      </w:r>
      <w:r>
        <w:rPr>
          <w:rFonts w:hint="eastAsia" w:ascii="宋体" w:hAnsi="宋体" w:cs="宋体"/>
          <w:kern w:val="0"/>
          <w:sz w:val="24"/>
        </w:rPr>
        <w:t>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sz w:val="24"/>
        </w:rPr>
        <w:t>情形外，在采购过程中符合要求的供应商(社会资本)只有2家的，经专家评审仍具有竞争性的，竞争性磋商采购活动可以继续进行。</w:t>
      </w:r>
    </w:p>
    <w:p w14:paraId="67E57FF6">
      <w:pPr>
        <w:widowControl/>
        <w:adjustRightInd w:val="0"/>
        <w:snapToGrid w:val="0"/>
        <w:spacing w:line="360" w:lineRule="auto"/>
        <w:ind w:firstLine="420"/>
        <w:jc w:val="left"/>
        <w:rPr>
          <w:rFonts w:ascii="宋体" w:hAnsi="宋体"/>
          <w:bCs/>
          <w:sz w:val="24"/>
        </w:rPr>
      </w:pPr>
      <w:r>
        <w:rPr>
          <w:rFonts w:hint="eastAsia" w:ascii="宋体" w:hAnsi="宋体" w:cs="宋体"/>
          <w:kern w:val="0"/>
          <w:sz w:val="24"/>
        </w:rPr>
        <w:t>（4）因重大变故，采购任务取消的。</w:t>
      </w:r>
    </w:p>
    <w:p w14:paraId="22569D19">
      <w:pPr>
        <w:widowControl/>
        <w:adjustRightInd w:val="0"/>
        <w:snapToGrid w:val="0"/>
        <w:spacing w:line="360" w:lineRule="auto"/>
        <w:jc w:val="left"/>
        <w:rPr>
          <w:rFonts w:ascii="宋体" w:hAnsi="宋体" w:cs="宋体"/>
          <w:b/>
          <w:kern w:val="0"/>
          <w:sz w:val="24"/>
        </w:rPr>
      </w:pPr>
      <w:r>
        <w:rPr>
          <w:rFonts w:hint="eastAsia" w:ascii="宋体" w:hAnsi="宋体" w:cs="宋体"/>
          <w:b/>
          <w:kern w:val="0"/>
          <w:sz w:val="24"/>
        </w:rPr>
        <w:t>35．重新评审</w:t>
      </w:r>
    </w:p>
    <w:p w14:paraId="333AE052">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2244E87C">
      <w:pPr>
        <w:adjustRightInd w:val="0"/>
        <w:snapToGrid w:val="0"/>
        <w:spacing w:line="360" w:lineRule="auto"/>
        <w:rPr>
          <w:rFonts w:ascii="宋体" w:hAnsi="宋体"/>
          <w:b/>
          <w:bCs/>
          <w:sz w:val="24"/>
        </w:rPr>
      </w:pPr>
      <w:r>
        <w:rPr>
          <w:rFonts w:hint="eastAsia" w:ascii="宋体" w:hAnsi="宋体"/>
          <w:b/>
          <w:bCs/>
          <w:sz w:val="24"/>
        </w:rPr>
        <w:t>36.保密及串通行为</w:t>
      </w:r>
    </w:p>
    <w:p w14:paraId="2B4DA557">
      <w:pPr>
        <w:adjustRightInd w:val="0"/>
        <w:snapToGrid w:val="0"/>
        <w:spacing w:line="360" w:lineRule="auto"/>
        <w:ind w:firstLine="480" w:firstLineChars="200"/>
        <w:rPr>
          <w:rFonts w:ascii="宋体" w:hAnsi="宋体"/>
          <w:sz w:val="24"/>
        </w:rPr>
      </w:pPr>
      <w:r>
        <w:rPr>
          <w:rFonts w:hint="eastAsia" w:ascii="宋体" w:hAnsi="宋体"/>
          <w:sz w:val="24"/>
        </w:rPr>
        <w:t>36.1磋商小组成员以及与评审工作有关的人员不得泄露评审情况以及评审过程中获悉的国家秘密、商业秘密。</w:t>
      </w:r>
    </w:p>
    <w:p w14:paraId="71215C93">
      <w:pPr>
        <w:adjustRightInd w:val="0"/>
        <w:snapToGrid w:val="0"/>
        <w:spacing w:line="360" w:lineRule="auto"/>
        <w:ind w:firstLine="480" w:firstLineChars="200"/>
        <w:rPr>
          <w:rFonts w:ascii="宋体" w:hAnsi="宋体"/>
          <w:sz w:val="24"/>
        </w:rPr>
      </w:pPr>
      <w:r>
        <w:rPr>
          <w:rFonts w:hint="eastAsia" w:ascii="宋体" w:hAnsi="宋体"/>
          <w:sz w:val="24"/>
        </w:rPr>
        <w:t>36.2</w:t>
      </w:r>
      <w:r>
        <w:rPr>
          <w:rFonts w:hint="eastAsia" w:ascii="宋体" w:hAnsi="宋体" w:cs="宋体"/>
          <w:kern w:val="0"/>
          <w:sz w:val="24"/>
        </w:rPr>
        <w:t>供应商</w:t>
      </w:r>
      <w:r>
        <w:rPr>
          <w:rFonts w:hint="eastAsia" w:ascii="宋体" w:hAnsi="宋体"/>
          <w:sz w:val="24"/>
        </w:rPr>
        <w:t>不得与</w:t>
      </w:r>
      <w:r>
        <w:rPr>
          <w:rFonts w:hint="eastAsia" w:ascii="宋体" w:hAnsi="宋体" w:cs="宋体"/>
          <w:kern w:val="0"/>
          <w:sz w:val="24"/>
        </w:rPr>
        <w:t>采购人、采购代理机构、其他供应商恶意</w:t>
      </w:r>
      <w:r>
        <w:rPr>
          <w:rFonts w:hint="eastAsia" w:ascii="宋体" w:hAnsi="宋体"/>
          <w:sz w:val="24"/>
        </w:rPr>
        <w:t>串通；不得向</w:t>
      </w:r>
      <w:r>
        <w:rPr>
          <w:rFonts w:hint="eastAsia" w:ascii="宋体" w:hAnsi="宋体" w:cs="宋体"/>
          <w:kern w:val="0"/>
          <w:sz w:val="24"/>
        </w:rPr>
        <w:t>采购人、采购代理机构</w:t>
      </w:r>
      <w:r>
        <w:rPr>
          <w:rFonts w:hint="eastAsia" w:ascii="宋体" w:hAnsi="宋体"/>
          <w:sz w:val="24"/>
        </w:rPr>
        <w:t>或者磋商小组成员行贿或者提供其他不正当利益；不得提供虚假资料谋取成交；不得以任何方式干扰、影响采购工作。</w:t>
      </w:r>
    </w:p>
    <w:p w14:paraId="2F8B6672">
      <w:pPr>
        <w:pStyle w:val="15"/>
        <w:adjustRightInd w:val="0"/>
        <w:snapToGrid w:val="0"/>
        <w:spacing w:before="0" w:beforeAutospacing="0" w:after="0" w:afterAutospacing="0" w:line="360" w:lineRule="auto"/>
        <w:ind w:firstLine="480" w:firstLineChars="200"/>
        <w:rPr>
          <w:lang w:val="zh-CN"/>
        </w:rPr>
      </w:pPr>
      <w:r>
        <w:rPr>
          <w:rFonts w:hint="eastAsia" w:cs="Arial"/>
        </w:rPr>
        <w:t>36.3</w:t>
      </w:r>
      <w:r>
        <w:rPr>
          <w:rFonts w:hint="eastAsia"/>
          <w:lang w:val="zh-CN"/>
        </w:rPr>
        <w:t>有下列情形之一的，属于恶意串通，对供应商依照政府采购法第七十七条第一款的规定追究法律责任：</w:t>
      </w:r>
    </w:p>
    <w:p w14:paraId="7872487E">
      <w:pPr>
        <w:pStyle w:val="15"/>
        <w:adjustRightInd w:val="0"/>
        <w:snapToGrid w:val="0"/>
        <w:spacing w:before="0" w:beforeAutospacing="0" w:after="0" w:afterAutospacing="0" w:line="360" w:lineRule="auto"/>
        <w:ind w:firstLine="480" w:firstLineChars="200"/>
        <w:rPr>
          <w:lang w:val="zh-CN"/>
        </w:rPr>
      </w:pPr>
      <w:r>
        <w:rPr>
          <w:rFonts w:hint="eastAsia"/>
          <w:lang w:val="zh-CN"/>
        </w:rPr>
        <w:t>（一）供应商直接或者间接从采购人或者采购代理机构处获得其他供应商的相关情况并修改其投标文件或者响应文件；</w:t>
      </w:r>
    </w:p>
    <w:p w14:paraId="7DA6383E">
      <w:pPr>
        <w:pStyle w:val="15"/>
        <w:adjustRightInd w:val="0"/>
        <w:snapToGrid w:val="0"/>
        <w:spacing w:before="0" w:beforeAutospacing="0" w:after="0" w:afterAutospacing="0" w:line="360" w:lineRule="auto"/>
        <w:ind w:firstLine="480" w:firstLineChars="200"/>
        <w:rPr>
          <w:lang w:val="zh-CN"/>
        </w:rPr>
      </w:pPr>
      <w:r>
        <w:rPr>
          <w:rFonts w:hint="eastAsia"/>
          <w:lang w:val="zh-CN"/>
        </w:rPr>
        <w:t>（二）供应商按照采购人或者采购代理机构的授意撤换、修改投标文件或者响应文件；</w:t>
      </w:r>
    </w:p>
    <w:p w14:paraId="4CACAF2B">
      <w:pPr>
        <w:pStyle w:val="15"/>
        <w:adjustRightInd w:val="0"/>
        <w:snapToGrid w:val="0"/>
        <w:spacing w:before="0" w:beforeAutospacing="0" w:after="0" w:afterAutospacing="0" w:line="360" w:lineRule="auto"/>
        <w:ind w:firstLine="480" w:firstLineChars="200"/>
        <w:rPr>
          <w:lang w:val="zh-CN"/>
        </w:rPr>
      </w:pPr>
      <w:r>
        <w:rPr>
          <w:rFonts w:hint="eastAsia"/>
          <w:lang w:val="zh-CN"/>
        </w:rPr>
        <w:t>（三）供应商之间协商报价、技术方案等投标文件或者响应文件的实质性内容；</w:t>
      </w:r>
    </w:p>
    <w:p w14:paraId="4AFFD9A2">
      <w:pPr>
        <w:pStyle w:val="15"/>
        <w:adjustRightInd w:val="0"/>
        <w:snapToGrid w:val="0"/>
        <w:spacing w:before="0" w:beforeAutospacing="0" w:after="0" w:afterAutospacing="0" w:line="360" w:lineRule="auto"/>
        <w:ind w:firstLine="480" w:firstLineChars="200"/>
        <w:rPr>
          <w:lang w:val="zh-CN"/>
        </w:rPr>
      </w:pPr>
      <w:r>
        <w:rPr>
          <w:rFonts w:hint="eastAsia"/>
          <w:lang w:val="zh-CN"/>
        </w:rPr>
        <w:t>（四）属于同一集团、协会、商会等组织成员的供应商按照该组织要求协同参加政府采购活动；</w:t>
      </w:r>
    </w:p>
    <w:p w14:paraId="38DD44B4">
      <w:pPr>
        <w:pStyle w:val="15"/>
        <w:adjustRightInd w:val="0"/>
        <w:snapToGrid w:val="0"/>
        <w:spacing w:before="0" w:beforeAutospacing="0" w:after="0" w:afterAutospacing="0" w:line="360" w:lineRule="auto"/>
        <w:ind w:firstLine="480" w:firstLineChars="200"/>
        <w:rPr>
          <w:lang w:val="zh-CN"/>
        </w:rPr>
      </w:pPr>
      <w:r>
        <w:rPr>
          <w:rFonts w:hint="eastAsia"/>
          <w:lang w:val="zh-CN"/>
        </w:rPr>
        <w:t>（五）供应商之间事先约定由某一特定供应商中标、成交；</w:t>
      </w:r>
    </w:p>
    <w:p w14:paraId="0AEAD7EE">
      <w:pPr>
        <w:pStyle w:val="15"/>
        <w:adjustRightInd w:val="0"/>
        <w:snapToGrid w:val="0"/>
        <w:spacing w:before="0" w:beforeAutospacing="0" w:after="0" w:afterAutospacing="0" w:line="360" w:lineRule="auto"/>
        <w:ind w:firstLine="480" w:firstLineChars="200"/>
        <w:rPr>
          <w:lang w:val="zh-CN"/>
        </w:rPr>
      </w:pPr>
      <w:r>
        <w:rPr>
          <w:rFonts w:hint="eastAsia"/>
          <w:lang w:val="zh-CN"/>
        </w:rPr>
        <w:t>（六）供应商之间商定部分供应商放弃参加政府采购活动或者放弃中标、成交；</w:t>
      </w:r>
    </w:p>
    <w:p w14:paraId="3FFA1AC4">
      <w:pPr>
        <w:pStyle w:val="15"/>
        <w:adjustRightInd w:val="0"/>
        <w:snapToGrid w:val="0"/>
        <w:spacing w:before="0" w:beforeAutospacing="0" w:after="0" w:afterAutospacing="0" w:line="360" w:lineRule="auto"/>
        <w:ind w:firstLine="480" w:firstLineChars="200"/>
        <w:rPr>
          <w:lang w:val="zh-CN"/>
        </w:rPr>
      </w:pPr>
      <w:r>
        <w:rPr>
          <w:rFonts w:hint="eastAsia"/>
          <w:lang w:val="zh-CN"/>
        </w:rPr>
        <w:t>（七）供应商与采购人或者采购代理机构之间、供应商相互之间，为谋求特定供应商中标、成交或者排斥其他供应商的其他串通行为。</w:t>
      </w:r>
    </w:p>
    <w:p w14:paraId="1813BD48">
      <w:pPr>
        <w:adjustRightInd w:val="0"/>
        <w:snapToGrid w:val="0"/>
        <w:spacing w:line="360" w:lineRule="auto"/>
        <w:rPr>
          <w:rFonts w:ascii="黑体" w:hAnsi="宋体" w:eastAsia="黑体"/>
          <w:sz w:val="24"/>
        </w:rPr>
      </w:pPr>
      <w:r>
        <w:rPr>
          <w:rFonts w:hint="eastAsia" w:ascii="黑体" w:hAnsi="宋体" w:eastAsia="黑体"/>
          <w:sz w:val="24"/>
        </w:rPr>
        <w:t>六、成交结果信息公布与授予合同</w:t>
      </w:r>
    </w:p>
    <w:p w14:paraId="08832EAF">
      <w:pPr>
        <w:adjustRightInd w:val="0"/>
        <w:snapToGrid w:val="0"/>
        <w:spacing w:line="360" w:lineRule="auto"/>
        <w:rPr>
          <w:rFonts w:ascii="宋体" w:hAnsi="宋体"/>
          <w:b/>
          <w:bCs/>
          <w:sz w:val="24"/>
        </w:rPr>
      </w:pPr>
      <w:r>
        <w:rPr>
          <w:rFonts w:hint="eastAsia" w:ascii="宋体" w:hAnsi="宋体"/>
          <w:b/>
          <w:bCs/>
          <w:sz w:val="24"/>
        </w:rPr>
        <w:t>37.成交信息的公布</w:t>
      </w:r>
    </w:p>
    <w:p w14:paraId="534B2A2F">
      <w:pPr>
        <w:pStyle w:val="9"/>
        <w:adjustRightInd w:val="0"/>
        <w:snapToGrid w:val="0"/>
        <w:spacing w:line="360" w:lineRule="auto"/>
        <w:ind w:firstLine="480" w:firstLineChars="200"/>
        <w:rPr>
          <w:rFonts w:hAnsi="宋体"/>
          <w:sz w:val="24"/>
          <w:szCs w:val="24"/>
        </w:rPr>
      </w:pPr>
      <w:r>
        <w:rPr>
          <w:rFonts w:hint="eastAsia" w:hAnsi="宋体"/>
          <w:sz w:val="24"/>
          <w:szCs w:val="24"/>
        </w:rPr>
        <w:t>37.1成交供应商确定后2个工作日内，成交结果信息将在</w:t>
      </w:r>
      <w:r>
        <w:rPr>
          <w:rFonts w:hint="eastAsia" w:hAnsi="宋体"/>
          <w:b/>
          <w:sz w:val="24"/>
          <w:szCs w:val="24"/>
        </w:rPr>
        <w:t>磋商须知前附表</w:t>
      </w:r>
      <w:r>
        <w:rPr>
          <w:rFonts w:hint="eastAsia" w:hAnsi="宋体"/>
          <w:sz w:val="24"/>
          <w:szCs w:val="24"/>
        </w:rPr>
        <w:t>指定的媒体上公布。</w:t>
      </w:r>
    </w:p>
    <w:p w14:paraId="5D615A7A">
      <w:pPr>
        <w:adjustRightInd w:val="0"/>
        <w:snapToGrid w:val="0"/>
        <w:spacing w:line="360" w:lineRule="auto"/>
        <w:rPr>
          <w:rFonts w:ascii="宋体" w:hAnsi="宋体"/>
          <w:b/>
          <w:bCs/>
          <w:sz w:val="24"/>
        </w:rPr>
      </w:pPr>
      <w:r>
        <w:rPr>
          <w:rFonts w:hint="eastAsia" w:ascii="宋体" w:hAnsi="宋体"/>
          <w:b/>
          <w:bCs/>
          <w:sz w:val="24"/>
        </w:rPr>
        <w:t>38.询问及质疑</w:t>
      </w:r>
    </w:p>
    <w:p w14:paraId="0836643A">
      <w:pPr>
        <w:adjustRightInd w:val="0"/>
        <w:snapToGrid w:val="0"/>
        <w:spacing w:line="360" w:lineRule="auto"/>
        <w:ind w:firstLine="480" w:firstLineChars="200"/>
        <w:jc w:val="left"/>
        <w:rPr>
          <w:rFonts w:hAnsi="宋体"/>
          <w:sz w:val="24"/>
        </w:rPr>
      </w:pPr>
      <w:r>
        <w:rPr>
          <w:rFonts w:hint="eastAsia" w:ascii="宋体" w:hAnsi="宋体"/>
          <w:sz w:val="24"/>
        </w:rPr>
        <w:t>38.1供应商对政府采购活动事项有疑问的，可以向采购人或采购代理机构提出询问。</w:t>
      </w:r>
    </w:p>
    <w:p w14:paraId="1B2979C4">
      <w:pPr>
        <w:adjustRightInd w:val="0"/>
        <w:snapToGrid w:val="0"/>
        <w:spacing w:line="360" w:lineRule="auto"/>
        <w:ind w:firstLine="480" w:firstLineChars="200"/>
        <w:jc w:val="left"/>
        <w:rPr>
          <w:rFonts w:ascii="宋体" w:hAnsi="宋体"/>
          <w:sz w:val="24"/>
        </w:rPr>
      </w:pPr>
      <w:r>
        <w:rPr>
          <w:rFonts w:hint="eastAsia" w:ascii="宋体" w:hAnsi="宋体"/>
          <w:sz w:val="24"/>
        </w:rPr>
        <w:t>38.2供应商若认为磋商文件、采购过程和成交结果使自己的权益受到损害，可以按法律、行政法规及湖南省财政厅规范性文件规定向采购人或采购代理机构提出质疑。</w:t>
      </w:r>
    </w:p>
    <w:p w14:paraId="65FB6A9E">
      <w:pPr>
        <w:adjustRightInd w:val="0"/>
        <w:snapToGrid w:val="0"/>
        <w:spacing w:line="360" w:lineRule="auto"/>
        <w:rPr>
          <w:rFonts w:ascii="宋体" w:hAnsi="宋体"/>
          <w:b/>
          <w:bCs/>
          <w:sz w:val="24"/>
        </w:rPr>
      </w:pPr>
      <w:r>
        <w:rPr>
          <w:rFonts w:hint="eastAsia" w:ascii="宋体" w:hAnsi="宋体"/>
          <w:b/>
          <w:bCs/>
          <w:sz w:val="24"/>
        </w:rPr>
        <w:t>39.成交通知</w:t>
      </w:r>
    </w:p>
    <w:p w14:paraId="72383145">
      <w:pPr>
        <w:pStyle w:val="9"/>
        <w:adjustRightInd w:val="0"/>
        <w:snapToGrid w:val="0"/>
        <w:spacing w:line="360" w:lineRule="auto"/>
        <w:ind w:firstLine="480" w:firstLineChars="200"/>
        <w:rPr>
          <w:rFonts w:hAnsi="宋体"/>
          <w:sz w:val="24"/>
          <w:szCs w:val="24"/>
        </w:rPr>
      </w:pPr>
      <w:r>
        <w:rPr>
          <w:rFonts w:hint="eastAsia" w:hAnsi="宋体"/>
          <w:sz w:val="24"/>
          <w:szCs w:val="24"/>
        </w:rPr>
        <w:t>39.1成交供应商确定后，采购人或采购代理机构将以书面形式向成交供应商发出成交通知书。成交通知书对采购人和成交供应商具有同等法律效力。</w:t>
      </w:r>
    </w:p>
    <w:p w14:paraId="5C0F0390">
      <w:pPr>
        <w:pStyle w:val="9"/>
        <w:adjustRightInd w:val="0"/>
        <w:snapToGrid w:val="0"/>
        <w:spacing w:line="360" w:lineRule="auto"/>
        <w:ind w:firstLine="480" w:firstLineChars="200"/>
        <w:rPr>
          <w:rFonts w:hAnsi="宋体"/>
          <w:sz w:val="24"/>
          <w:szCs w:val="24"/>
        </w:rPr>
      </w:pPr>
      <w:r>
        <w:rPr>
          <w:rFonts w:hint="eastAsia" w:hAnsi="宋体"/>
          <w:sz w:val="24"/>
          <w:szCs w:val="24"/>
        </w:rPr>
        <w:t>39.2 成交通知书是合同文件的组成部分。</w:t>
      </w:r>
    </w:p>
    <w:p w14:paraId="51B7D6E3">
      <w:pPr>
        <w:tabs>
          <w:tab w:val="left" w:pos="7560"/>
          <w:tab w:val="left" w:pos="7740"/>
          <w:tab w:val="left" w:pos="7920"/>
        </w:tabs>
        <w:autoSpaceDN w:val="0"/>
        <w:adjustRightInd w:val="0"/>
        <w:snapToGrid w:val="0"/>
        <w:spacing w:line="360" w:lineRule="auto"/>
        <w:ind w:firstLine="480" w:firstLineChars="200"/>
        <w:rPr>
          <w:rFonts w:ascii="宋体" w:hAnsi="宋体"/>
          <w:sz w:val="24"/>
        </w:rPr>
      </w:pPr>
      <w:r>
        <w:rPr>
          <w:rFonts w:hint="eastAsia" w:ascii="宋体" w:hAnsi="宋体" w:cs="宋体"/>
          <w:kern w:val="0"/>
          <w:sz w:val="24"/>
        </w:rPr>
        <w:t xml:space="preserve">39.3 </w:t>
      </w:r>
      <w:r>
        <w:rPr>
          <w:rFonts w:hint="eastAsia" w:ascii="宋体" w:hAnsi="宋体"/>
          <w:sz w:val="24"/>
        </w:rPr>
        <w:t>成交供应商在收到采购代理机构的成交通知书后10日内，应按照</w:t>
      </w:r>
      <w:r>
        <w:rPr>
          <w:rFonts w:hint="eastAsia" w:ascii="宋体" w:hAnsi="宋体"/>
          <w:b/>
          <w:sz w:val="24"/>
        </w:rPr>
        <w:t>磋商须知前附表</w:t>
      </w:r>
      <w:r>
        <w:rPr>
          <w:rFonts w:hint="eastAsia" w:ascii="宋体" w:hAnsi="宋体"/>
          <w:sz w:val="24"/>
        </w:rPr>
        <w:t>的规定，向采购人提交履约担保。联合体成交的，履约担保由联合体各方或联合体中牵头人的名义提交。</w:t>
      </w:r>
    </w:p>
    <w:p w14:paraId="02FF0A81">
      <w:pPr>
        <w:pStyle w:val="9"/>
        <w:adjustRightInd w:val="0"/>
        <w:snapToGrid w:val="0"/>
        <w:spacing w:line="360" w:lineRule="auto"/>
        <w:ind w:firstLine="480" w:firstLineChars="200"/>
        <w:rPr>
          <w:rFonts w:hAnsi="宋体"/>
          <w:sz w:val="24"/>
          <w:szCs w:val="24"/>
        </w:rPr>
      </w:pPr>
      <w:r>
        <w:rPr>
          <w:rFonts w:hint="eastAsia" w:hAnsi="宋体"/>
          <w:sz w:val="24"/>
          <w:szCs w:val="24"/>
        </w:rPr>
        <w:t>39.4 成交供应商</w:t>
      </w:r>
      <w:r>
        <w:rPr>
          <w:rFonts w:hint="eastAsia" w:hAnsi="宋体"/>
          <w:spacing w:val="4"/>
          <w:sz w:val="24"/>
          <w:szCs w:val="24"/>
        </w:rPr>
        <w:t>没有按照本章第39.3</w:t>
      </w:r>
      <w:r>
        <w:rPr>
          <w:rFonts w:hint="eastAsia" w:hAnsi="宋体" w:cs="宋体"/>
          <w:kern w:val="0"/>
          <w:sz w:val="24"/>
          <w:szCs w:val="24"/>
          <w:lang w:val="zh-CN"/>
        </w:rPr>
        <w:t>款</w:t>
      </w:r>
      <w:r>
        <w:rPr>
          <w:rFonts w:hint="eastAsia" w:hAnsi="宋体"/>
          <w:spacing w:val="4"/>
          <w:sz w:val="24"/>
          <w:szCs w:val="24"/>
        </w:rPr>
        <w:t>规定</w:t>
      </w:r>
      <w:r>
        <w:rPr>
          <w:rFonts w:hint="eastAsia" w:hAnsi="宋体"/>
          <w:sz w:val="24"/>
          <w:szCs w:val="24"/>
        </w:rPr>
        <w:t>提交履约担保的</w:t>
      </w:r>
      <w:r>
        <w:rPr>
          <w:rFonts w:hint="eastAsia" w:hAnsi="宋体"/>
          <w:spacing w:val="4"/>
          <w:sz w:val="24"/>
          <w:szCs w:val="24"/>
        </w:rPr>
        <w:t>，视为放弃</w:t>
      </w:r>
      <w:r>
        <w:rPr>
          <w:rFonts w:hint="eastAsia" w:hAnsi="宋体"/>
          <w:sz w:val="24"/>
          <w:szCs w:val="24"/>
        </w:rPr>
        <w:t>成交资格</w:t>
      </w:r>
      <w:r>
        <w:rPr>
          <w:rFonts w:hint="eastAsia" w:hAnsi="宋体"/>
          <w:spacing w:val="4"/>
          <w:sz w:val="24"/>
          <w:szCs w:val="24"/>
        </w:rPr>
        <w:t>，</w:t>
      </w:r>
      <w:r>
        <w:rPr>
          <w:rFonts w:hint="eastAsia" w:hAnsi="宋体"/>
          <w:spacing w:val="2"/>
          <w:sz w:val="24"/>
          <w:szCs w:val="24"/>
        </w:rPr>
        <w:t>其保证金不予退还。</w:t>
      </w:r>
    </w:p>
    <w:p w14:paraId="7992A86A">
      <w:pPr>
        <w:adjustRightInd w:val="0"/>
        <w:snapToGrid w:val="0"/>
        <w:spacing w:line="360" w:lineRule="auto"/>
        <w:rPr>
          <w:rFonts w:ascii="宋体" w:hAnsi="宋体"/>
          <w:b/>
          <w:bCs/>
          <w:sz w:val="24"/>
        </w:rPr>
      </w:pPr>
      <w:r>
        <w:rPr>
          <w:rFonts w:hint="eastAsia" w:ascii="宋体" w:hAnsi="宋体"/>
          <w:b/>
          <w:bCs/>
          <w:sz w:val="24"/>
        </w:rPr>
        <w:t>40.签订合同</w:t>
      </w:r>
    </w:p>
    <w:p w14:paraId="480EF528">
      <w:pPr>
        <w:pStyle w:val="9"/>
        <w:adjustRightInd w:val="0"/>
        <w:snapToGrid w:val="0"/>
        <w:spacing w:line="360" w:lineRule="auto"/>
        <w:ind w:firstLine="480" w:firstLineChars="200"/>
        <w:rPr>
          <w:rFonts w:hAnsi="宋体"/>
          <w:sz w:val="24"/>
          <w:szCs w:val="24"/>
        </w:rPr>
      </w:pPr>
      <w:r>
        <w:rPr>
          <w:rFonts w:hint="eastAsia" w:hAnsi="宋体"/>
          <w:sz w:val="24"/>
          <w:szCs w:val="24"/>
        </w:rPr>
        <w:t>40.1成交供应商应当在成交通知书发出之日起30日内与采购人签订政府采购合同。</w:t>
      </w:r>
    </w:p>
    <w:p w14:paraId="64426BBA">
      <w:pPr>
        <w:pStyle w:val="9"/>
        <w:adjustRightInd w:val="0"/>
        <w:snapToGrid w:val="0"/>
        <w:spacing w:line="360" w:lineRule="auto"/>
        <w:ind w:firstLine="480" w:firstLineChars="200"/>
        <w:rPr>
          <w:rFonts w:hAnsi="宋体"/>
          <w:sz w:val="24"/>
          <w:szCs w:val="24"/>
        </w:rPr>
      </w:pPr>
      <w:r>
        <w:rPr>
          <w:rFonts w:hint="eastAsia" w:hAnsi="宋体"/>
          <w:sz w:val="24"/>
          <w:szCs w:val="24"/>
        </w:rPr>
        <w:t>40.2磋商文件、成交供应商的响应文件等均为签订政府采购合同的依据。</w:t>
      </w:r>
    </w:p>
    <w:p w14:paraId="7E0EB871">
      <w:pPr>
        <w:pStyle w:val="9"/>
        <w:adjustRightInd w:val="0"/>
        <w:snapToGrid w:val="0"/>
        <w:spacing w:line="360" w:lineRule="auto"/>
        <w:ind w:firstLine="480" w:firstLineChars="200"/>
        <w:rPr>
          <w:rFonts w:hint="eastAsia" w:ascii="宋体" w:hAnsi="宋体" w:eastAsia="宋体"/>
          <w:sz w:val="24"/>
          <w:szCs w:val="24"/>
        </w:rPr>
      </w:pPr>
      <w:r>
        <w:rPr>
          <w:rFonts w:hint="eastAsia" w:hAnsi="宋体"/>
          <w:sz w:val="24"/>
          <w:szCs w:val="24"/>
        </w:rPr>
        <w:t>40.3 成交供应商应当按照合同约定履行义务。成交供应商不得向他人转让成交项目</w:t>
      </w:r>
      <w:r>
        <w:rPr>
          <w:rFonts w:hint="eastAsia" w:ascii="宋体" w:hAnsi="宋体" w:eastAsia="宋体"/>
          <w:sz w:val="24"/>
          <w:szCs w:val="24"/>
        </w:rPr>
        <w:t>，也不得将成交项目分包后分别向他人转让。</w:t>
      </w:r>
    </w:p>
    <w:p w14:paraId="3CE9BCA8">
      <w:pPr>
        <w:pStyle w:val="9"/>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40.4 成交供应商有下列情形之一的，责令限期改正，情节严重的，列入不良行为记录名单，在1至3年内禁止参加政府采购活动，并予以通报：</w:t>
      </w:r>
    </w:p>
    <w:p w14:paraId="69EF1791">
      <w:pPr>
        <w:pStyle w:val="9"/>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（一）成交后无正当理由不与采购人签订合同的；</w:t>
      </w:r>
    </w:p>
    <w:p w14:paraId="454FC684">
      <w:pPr>
        <w:pStyle w:val="9"/>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（二）未按照采购文件确定的事项签订政府采购合同，或者与采购人另行订立背离合同实质性内容的协议的；</w:t>
      </w:r>
    </w:p>
    <w:p w14:paraId="40DFC518">
      <w:pPr>
        <w:pStyle w:val="9"/>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（三）拒绝履行合同义务的；</w:t>
      </w:r>
    </w:p>
    <w:p w14:paraId="5F9124F1">
      <w:pPr>
        <w:pStyle w:val="9"/>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（四）违反法律、规章、规范性文件规定的。</w:t>
      </w:r>
    </w:p>
    <w:p w14:paraId="629C20BD">
      <w:pPr>
        <w:adjustRightInd w:val="0"/>
        <w:snapToGrid w:val="0"/>
        <w:spacing w:line="360" w:lineRule="auto"/>
        <w:rPr>
          <w:rFonts w:ascii="黑体" w:hAnsi="宋体" w:eastAsia="黑体"/>
          <w:sz w:val="24"/>
        </w:rPr>
      </w:pPr>
      <w:r>
        <w:rPr>
          <w:rFonts w:hint="eastAsia" w:ascii="黑体" w:hAnsi="宋体" w:eastAsia="黑体"/>
          <w:sz w:val="24"/>
        </w:rPr>
        <w:t>七、其他规定</w:t>
      </w:r>
    </w:p>
    <w:p w14:paraId="2ABAE2AB">
      <w:pPr>
        <w:adjustRightInd w:val="0"/>
        <w:snapToGrid w:val="0"/>
        <w:spacing w:line="360" w:lineRule="auto"/>
        <w:jc w:val="left"/>
        <w:rPr>
          <w:rFonts w:ascii="宋体" w:hAnsi="宋体"/>
          <w:b/>
          <w:sz w:val="24"/>
        </w:rPr>
      </w:pPr>
      <w:r>
        <w:rPr>
          <w:rFonts w:hint="eastAsia" w:ascii="宋体" w:hAnsi="宋体"/>
          <w:b/>
          <w:sz w:val="24"/>
        </w:rPr>
        <w:t>41.1采购代理服务费</w:t>
      </w:r>
    </w:p>
    <w:p w14:paraId="3D367EBD">
      <w:pPr>
        <w:tabs>
          <w:tab w:val="left" w:pos="420"/>
          <w:tab w:val="left" w:pos="7560"/>
          <w:tab w:val="left" w:pos="7740"/>
          <w:tab w:val="left" w:pos="7920"/>
        </w:tabs>
        <w:adjustRightInd w:val="0"/>
        <w:snapToGrid w:val="0"/>
        <w:spacing w:line="360" w:lineRule="auto"/>
        <w:ind w:firstLine="480" w:firstLineChars="200"/>
        <w:rPr>
          <w:rFonts w:ascii="宋体" w:hAnsi="宋体"/>
          <w:sz w:val="24"/>
        </w:rPr>
      </w:pPr>
      <w:r>
        <w:rPr>
          <w:rFonts w:hint="eastAsia" w:ascii="宋体" w:hAnsi="宋体"/>
          <w:sz w:val="24"/>
        </w:rPr>
        <w:t>41.1采购代理机构应按</w:t>
      </w:r>
      <w:r>
        <w:rPr>
          <w:rFonts w:hint="eastAsia" w:ascii="宋体" w:hAnsi="宋体"/>
          <w:b/>
          <w:sz w:val="24"/>
        </w:rPr>
        <w:t>磋商须知前附表</w:t>
      </w:r>
      <w:r>
        <w:rPr>
          <w:rFonts w:hint="eastAsia" w:ascii="宋体" w:hAnsi="宋体"/>
          <w:sz w:val="24"/>
        </w:rPr>
        <w:t>规定收取采购代理服务费。</w:t>
      </w:r>
    </w:p>
    <w:p w14:paraId="48C55711">
      <w:pPr>
        <w:tabs>
          <w:tab w:val="left" w:pos="420"/>
          <w:tab w:val="left" w:pos="7560"/>
          <w:tab w:val="left" w:pos="7740"/>
          <w:tab w:val="left" w:pos="7920"/>
        </w:tabs>
        <w:adjustRightInd w:val="0"/>
        <w:snapToGrid w:val="0"/>
        <w:spacing w:line="360" w:lineRule="auto"/>
        <w:ind w:firstLine="480" w:firstLineChars="200"/>
        <w:rPr>
          <w:rFonts w:ascii="宋体" w:hAnsi="宋体"/>
          <w:sz w:val="24"/>
        </w:rPr>
      </w:pPr>
      <w:r>
        <w:rPr>
          <w:rFonts w:hint="eastAsia" w:ascii="宋体" w:hAnsi="宋体"/>
          <w:sz w:val="24"/>
        </w:rPr>
        <w:t>41.2集中采购机构不得收取采购代理服务费。</w:t>
      </w:r>
    </w:p>
    <w:p w14:paraId="27C7EE98">
      <w:pPr>
        <w:tabs>
          <w:tab w:val="left" w:pos="420"/>
          <w:tab w:val="left" w:pos="7560"/>
          <w:tab w:val="left" w:pos="7740"/>
          <w:tab w:val="left" w:pos="7920"/>
        </w:tabs>
        <w:adjustRightInd w:val="0"/>
        <w:snapToGrid w:val="0"/>
        <w:spacing w:line="360" w:lineRule="auto"/>
        <w:rPr>
          <w:rFonts w:hAnsi="宋体"/>
          <w:b/>
          <w:sz w:val="24"/>
        </w:rPr>
      </w:pPr>
      <w:r>
        <w:rPr>
          <w:rFonts w:hint="eastAsia" w:ascii="宋体" w:hAnsi="宋体"/>
          <w:b/>
          <w:sz w:val="24"/>
        </w:rPr>
        <w:t>42.</w:t>
      </w:r>
      <w:r>
        <w:rPr>
          <w:rFonts w:hint="eastAsia" w:hAnsi="宋体"/>
          <w:b/>
          <w:sz w:val="24"/>
        </w:rPr>
        <w:t>其他规定</w:t>
      </w:r>
    </w:p>
    <w:p w14:paraId="1EEA0071">
      <w:pPr>
        <w:tabs>
          <w:tab w:val="left" w:pos="420"/>
          <w:tab w:val="left" w:pos="7560"/>
          <w:tab w:val="left" w:pos="7740"/>
          <w:tab w:val="left" w:pos="7920"/>
        </w:tabs>
        <w:adjustRightInd w:val="0"/>
        <w:snapToGrid w:val="0"/>
        <w:spacing w:line="360" w:lineRule="auto"/>
        <w:ind w:firstLine="480" w:firstLineChars="200"/>
        <w:rPr>
          <w:rFonts w:ascii="宋体" w:hAnsi="宋体" w:cs="宋体"/>
          <w:b/>
          <w:sz w:val="24"/>
        </w:rPr>
      </w:pPr>
      <w:r>
        <w:rPr>
          <w:rFonts w:hint="eastAsia" w:ascii="宋体" w:hAnsi="宋体"/>
          <w:sz w:val="24"/>
        </w:rPr>
        <w:t>42.1磋商文件</w:t>
      </w:r>
      <w:r>
        <w:rPr>
          <w:rFonts w:hint="eastAsia" w:hAnsi="宋体"/>
          <w:sz w:val="24"/>
        </w:rPr>
        <w:t>的其他规定</w:t>
      </w:r>
      <w:r>
        <w:rPr>
          <w:rFonts w:hint="eastAsia" w:ascii="宋体" w:hAnsi="宋体"/>
          <w:sz w:val="24"/>
        </w:rPr>
        <w:t>见</w:t>
      </w:r>
      <w:r>
        <w:rPr>
          <w:rFonts w:hint="eastAsia" w:ascii="宋体" w:hAnsi="宋体"/>
          <w:b/>
          <w:sz w:val="24"/>
        </w:rPr>
        <w:t>磋商须知前附表</w:t>
      </w:r>
      <w:r>
        <w:rPr>
          <w:rFonts w:hint="eastAsia" w:ascii="宋体" w:hAnsi="宋体"/>
          <w:sz w:val="24"/>
        </w:rPr>
        <w:t>。</w:t>
      </w:r>
    </w:p>
    <w:p w14:paraId="58B94993">
      <w:pPr>
        <w:adjustRightInd w:val="0"/>
        <w:snapToGrid w:val="0"/>
        <w:spacing w:beforeLines="50" w:line="360" w:lineRule="auto"/>
        <w:jc w:val="center"/>
        <w:rPr>
          <w:rFonts w:ascii="宋体" w:hAnsi="宋体" w:cs="宋体"/>
          <w:b/>
          <w:sz w:val="32"/>
          <w:szCs w:val="32"/>
        </w:rPr>
      </w:pPr>
    </w:p>
    <w:p w14:paraId="5849DADA">
      <w:pPr>
        <w:pStyle w:val="23"/>
        <w:ind w:firstLine="643"/>
        <w:rPr>
          <w:rFonts w:ascii="宋体" w:hAnsi="宋体" w:cs="宋体"/>
          <w:b/>
          <w:sz w:val="32"/>
          <w:szCs w:val="32"/>
        </w:rPr>
      </w:pPr>
    </w:p>
    <w:p w14:paraId="083BF42A"/>
    <w:p w14:paraId="64903E52">
      <w:pPr>
        <w:adjustRightInd w:val="0"/>
        <w:snapToGrid w:val="0"/>
        <w:spacing w:beforeLines="50" w:line="360" w:lineRule="auto"/>
        <w:jc w:val="center"/>
        <w:rPr>
          <w:rFonts w:ascii="宋体" w:hAnsi="宋体" w:cs="宋体"/>
          <w:b/>
          <w:sz w:val="32"/>
          <w:szCs w:val="32"/>
        </w:rPr>
      </w:pPr>
    </w:p>
    <w:p w14:paraId="3AB39883">
      <w:pPr>
        <w:adjustRightInd w:val="0"/>
        <w:snapToGrid w:val="0"/>
        <w:spacing w:beforeLines="50" w:line="360" w:lineRule="auto"/>
        <w:jc w:val="center"/>
        <w:rPr>
          <w:rFonts w:ascii="宋体" w:hAnsi="宋体" w:cs="宋体"/>
          <w:b/>
          <w:sz w:val="32"/>
          <w:szCs w:val="32"/>
        </w:rPr>
      </w:pPr>
    </w:p>
    <w:p w14:paraId="16B08E5A">
      <w:pPr>
        <w:adjustRightInd w:val="0"/>
        <w:snapToGrid w:val="0"/>
        <w:spacing w:beforeLines="50" w:line="360" w:lineRule="auto"/>
        <w:jc w:val="center"/>
        <w:rPr>
          <w:rFonts w:ascii="宋体" w:hAnsi="宋体" w:cs="宋体"/>
          <w:b/>
          <w:sz w:val="32"/>
          <w:szCs w:val="32"/>
        </w:rPr>
      </w:pPr>
    </w:p>
    <w:p w14:paraId="4C716207">
      <w:pPr>
        <w:adjustRightInd w:val="0"/>
        <w:snapToGrid w:val="0"/>
        <w:spacing w:beforeLines="50" w:line="360" w:lineRule="auto"/>
        <w:jc w:val="center"/>
        <w:rPr>
          <w:rFonts w:ascii="宋体" w:hAnsi="宋体" w:cs="宋体"/>
          <w:b/>
          <w:sz w:val="32"/>
          <w:szCs w:val="32"/>
        </w:rPr>
      </w:pPr>
    </w:p>
    <w:p w14:paraId="48B4EA01">
      <w:pPr>
        <w:adjustRightInd w:val="0"/>
        <w:snapToGrid w:val="0"/>
        <w:spacing w:beforeLines="50" w:line="360" w:lineRule="auto"/>
        <w:jc w:val="center"/>
        <w:rPr>
          <w:rFonts w:ascii="宋体" w:hAnsi="宋体" w:cs="宋体"/>
          <w:b/>
          <w:sz w:val="32"/>
          <w:szCs w:val="32"/>
        </w:rPr>
      </w:pPr>
    </w:p>
    <w:p w14:paraId="3932C872">
      <w:pPr>
        <w:adjustRightInd w:val="0"/>
        <w:snapToGrid w:val="0"/>
        <w:spacing w:beforeLines="50" w:line="360" w:lineRule="auto"/>
        <w:jc w:val="both"/>
        <w:rPr>
          <w:rFonts w:ascii="宋体" w:hAnsi="宋体" w:cs="宋体"/>
          <w:b/>
          <w:sz w:val="32"/>
          <w:szCs w:val="32"/>
        </w:rPr>
      </w:pPr>
    </w:p>
    <w:p w14:paraId="0AD0DEEA">
      <w:pPr>
        <w:rPr>
          <w:rFonts w:hint="eastAsia" w:ascii="宋体" w:hAnsi="宋体" w:cs="宋体"/>
          <w:b/>
          <w:sz w:val="32"/>
          <w:szCs w:val="32"/>
        </w:rPr>
      </w:pPr>
      <w:bookmarkStart w:id="33" w:name="_Toc11659"/>
      <w:r>
        <w:rPr>
          <w:rFonts w:hint="eastAsia" w:ascii="宋体" w:hAnsi="宋体" w:cs="宋体"/>
          <w:b/>
          <w:sz w:val="32"/>
          <w:szCs w:val="32"/>
        </w:rPr>
        <w:br w:type="page"/>
      </w:r>
    </w:p>
    <w:p w14:paraId="339481F7">
      <w:pPr>
        <w:adjustRightInd w:val="0"/>
        <w:snapToGrid w:val="0"/>
        <w:spacing w:beforeLines="50" w:line="360" w:lineRule="auto"/>
        <w:jc w:val="center"/>
        <w:outlineLvl w:val="0"/>
        <w:rPr>
          <w:rFonts w:hint="eastAsia" w:ascii="宋体" w:hAnsi="宋体" w:cs="宋体"/>
          <w:b/>
          <w:sz w:val="32"/>
          <w:szCs w:val="32"/>
        </w:rPr>
      </w:pPr>
      <w:r>
        <w:rPr>
          <w:rFonts w:hint="eastAsia" w:ascii="宋体" w:hAnsi="宋体" w:cs="宋体"/>
          <w:b/>
          <w:sz w:val="32"/>
          <w:szCs w:val="32"/>
        </w:rPr>
        <w:t>第三章政府采购合同协议书</w:t>
      </w:r>
      <w:bookmarkEnd w:id="33"/>
    </w:p>
    <w:p w14:paraId="04779D4D">
      <w:pPr>
        <w:adjustRightInd w:val="0"/>
        <w:snapToGrid w:val="0"/>
        <w:spacing w:beforeLines="50" w:line="360" w:lineRule="auto"/>
        <w:jc w:val="center"/>
        <w:outlineLvl w:val="0"/>
        <w:rPr>
          <w:rFonts w:ascii="宋体" w:hAnsi="宋体" w:cs="宋体"/>
          <w:sz w:val="24"/>
        </w:rPr>
      </w:pPr>
      <w:r>
        <w:rPr>
          <w:rFonts w:hint="eastAsia" w:ascii="宋体" w:hAnsi="宋体" w:cs="宋体"/>
          <w:b/>
          <w:sz w:val="32"/>
          <w:szCs w:val="32"/>
        </w:rPr>
        <w:t>（此为合同参考版本，具体内容以最终签订文本为准。）</w:t>
      </w:r>
    </w:p>
    <w:p w14:paraId="1A1E5AB2">
      <w:pPr>
        <w:adjustRightInd w:val="0"/>
        <w:snapToGrid w:val="0"/>
        <w:spacing w:beforeLines="50"/>
        <w:ind w:firstLine="5460" w:firstLineChars="2600"/>
        <w:rPr>
          <w:rFonts w:ascii="宋体" w:hAnsi="宋体"/>
          <w:b/>
          <w:color w:val="000000"/>
          <w:szCs w:val="21"/>
        </w:rPr>
      </w:pPr>
      <w:r>
        <w:rPr>
          <w:rFonts w:hint="eastAsia" w:ascii="宋体" w:hAnsi="宋体"/>
          <w:color w:val="000000"/>
          <w:szCs w:val="21"/>
        </w:rPr>
        <w:t>采购合同编号：</w:t>
      </w:r>
    </w:p>
    <w:p w14:paraId="6158508F">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采购人（全称）：</w:t>
      </w:r>
      <w:r>
        <w:rPr>
          <w:rFonts w:hint="eastAsia" w:ascii="宋体" w:hAnsi="宋体" w:eastAsia="宋体" w:cs="Times New Roman"/>
          <w:szCs w:val="21"/>
          <w:u w:val="single"/>
        </w:rPr>
        <w:t xml:space="preserve">                             </w:t>
      </w:r>
      <w:r>
        <w:rPr>
          <w:rFonts w:hint="eastAsia" w:ascii="宋体" w:hAnsi="宋体" w:eastAsia="宋体" w:cs="Times New Roman"/>
          <w:szCs w:val="21"/>
        </w:rPr>
        <w:t>（甲方）</w:t>
      </w:r>
    </w:p>
    <w:p w14:paraId="3A5B622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供应商（全称）：</w:t>
      </w:r>
      <w:r>
        <w:rPr>
          <w:rFonts w:hint="eastAsia" w:ascii="宋体" w:hAnsi="宋体" w:eastAsia="宋体" w:cs="Times New Roman"/>
          <w:szCs w:val="21"/>
          <w:u w:val="single"/>
        </w:rPr>
        <w:t xml:space="preserve">                             </w:t>
      </w:r>
      <w:r>
        <w:rPr>
          <w:rFonts w:hint="eastAsia" w:ascii="宋体" w:hAnsi="宋体" w:eastAsia="宋体" w:cs="Times New Roman"/>
          <w:szCs w:val="21"/>
        </w:rPr>
        <w:t>（乙方）</w:t>
      </w:r>
    </w:p>
    <w:p w14:paraId="1B3C095B">
      <w:pPr>
        <w:widowControl w:val="0"/>
        <w:adjustRightInd w:val="0"/>
        <w:snapToGrid w:val="0"/>
        <w:spacing w:after="0" w:line="360" w:lineRule="auto"/>
        <w:ind w:left="420" w:leftChars="200"/>
        <w:jc w:val="both"/>
        <w:rPr>
          <w:rFonts w:hint="eastAsia" w:ascii="宋体" w:hAnsi="宋体" w:eastAsia="宋体" w:cs="Times New Roman"/>
          <w:kern w:val="2"/>
          <w:sz w:val="21"/>
          <w:szCs w:val="21"/>
          <w:lang w:val="en-US" w:eastAsia="zh-CN" w:bidi="ar-SA"/>
        </w:rPr>
      </w:pPr>
    </w:p>
    <w:p w14:paraId="115F7A04">
      <w:pPr>
        <w:widowControl w:val="0"/>
        <w:adjustRightInd w:val="0"/>
        <w:snapToGrid w:val="0"/>
        <w:spacing w:after="0" w:line="360" w:lineRule="auto"/>
        <w:ind w:left="0" w:leftChars="0" w:firstLine="420" w:firstLine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为了保护甲、乙双方合法权益，根据《中华人民共和国民法典》、《中华人民共和国政府采购法》及其他有关法律、法规、规章，双方签订本合同协议书。</w:t>
      </w:r>
    </w:p>
    <w:p w14:paraId="39434D70">
      <w:pPr>
        <w:adjustRightInd w:val="0"/>
        <w:snapToGrid w:val="0"/>
        <w:spacing w:line="360"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1.项目信息</w:t>
      </w:r>
    </w:p>
    <w:p w14:paraId="5681BE92">
      <w:pPr>
        <w:widowControl w:val="0"/>
        <w:adjustRightInd w:val="0"/>
        <w:snapToGrid w:val="0"/>
        <w:spacing w:after="0" w:line="360" w:lineRule="auto"/>
        <w:ind w:left="420" w:left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（1）采购项目名称：</w:t>
      </w:r>
      <w:r>
        <w:rPr>
          <w:rFonts w:ascii="宋体" w:hAnsi="宋体" w:eastAsia="宋体" w:cs="Times New Roman"/>
          <w:kern w:val="2"/>
          <w:sz w:val="21"/>
          <w:szCs w:val="21"/>
          <w:u w:val="single"/>
          <w:lang w:val="en-US" w:eastAsia="zh-CN" w:bidi="ar-SA"/>
        </w:rPr>
        <w:t xml:space="preserve">                                          </w:t>
      </w:r>
    </w:p>
    <w:p w14:paraId="02785CC5">
      <w:pPr>
        <w:widowControl w:val="0"/>
        <w:adjustRightInd w:val="0"/>
        <w:snapToGrid w:val="0"/>
        <w:spacing w:after="0" w:line="360" w:lineRule="auto"/>
        <w:ind w:left="420" w:left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（2）采购代理编号：</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4DD42313">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（3）项目内容：</w:t>
      </w:r>
      <w:r>
        <w:rPr>
          <w:rFonts w:hint="eastAsia" w:ascii="宋体" w:hAnsi="宋体" w:eastAsia="宋体" w:cs="Times New Roman"/>
          <w:szCs w:val="21"/>
          <w:u w:val="single"/>
        </w:rPr>
        <w:t xml:space="preserve">                             </w:t>
      </w:r>
    </w:p>
    <w:p w14:paraId="2E3C673B">
      <w:pPr>
        <w:adjustRightInd w:val="0"/>
        <w:snapToGrid w:val="0"/>
        <w:spacing w:line="360" w:lineRule="auto"/>
        <w:ind w:firstLine="840" w:firstLineChars="400"/>
        <w:rPr>
          <w:rFonts w:hint="eastAsia" w:ascii="宋体" w:hAnsi="宋体" w:eastAsia="宋体" w:cs="Times New Roman"/>
          <w:szCs w:val="21"/>
        </w:rPr>
      </w:pPr>
      <w:r>
        <w:rPr>
          <w:rFonts w:hint="eastAsia" w:ascii="宋体" w:hAnsi="宋体" w:eastAsia="宋体" w:cs="Times New Roman"/>
          <w:szCs w:val="21"/>
        </w:rPr>
        <w:t>（工程项目）承包范围：</w:t>
      </w:r>
      <w:r>
        <w:rPr>
          <w:rFonts w:hint="eastAsia" w:ascii="宋体" w:hAnsi="宋体" w:eastAsia="宋体" w:cs="Times New Roman"/>
          <w:szCs w:val="21"/>
          <w:u w:val="single"/>
        </w:rPr>
        <w:t xml:space="preserve">        /         </w:t>
      </w:r>
      <w:r>
        <w:rPr>
          <w:rFonts w:hint="eastAsia" w:ascii="宋体" w:hAnsi="宋体" w:eastAsia="宋体" w:cs="Times New Roman"/>
          <w:szCs w:val="21"/>
        </w:rPr>
        <w:t>项目经理：</w:t>
      </w:r>
      <w:r>
        <w:rPr>
          <w:rFonts w:hint="eastAsia" w:ascii="宋体" w:hAnsi="宋体" w:eastAsia="宋体" w:cs="Times New Roman"/>
          <w:szCs w:val="21"/>
          <w:u w:val="single"/>
        </w:rPr>
        <w:t xml:space="preserve">      /        </w:t>
      </w:r>
      <w:r>
        <w:rPr>
          <w:rFonts w:hint="eastAsia" w:ascii="宋体" w:hAnsi="宋体" w:eastAsia="宋体" w:cs="Times New Roman"/>
          <w:szCs w:val="21"/>
        </w:rPr>
        <w:t xml:space="preserve"> 。</w:t>
      </w:r>
    </w:p>
    <w:p w14:paraId="30F04380">
      <w:pPr>
        <w:adjustRightInd w:val="0"/>
        <w:snapToGrid w:val="0"/>
        <w:spacing w:line="360" w:lineRule="auto"/>
        <w:ind w:firstLine="413" w:firstLineChars="196"/>
        <w:rPr>
          <w:rFonts w:hint="eastAsia" w:ascii="宋体" w:hAnsi="宋体" w:eastAsia="宋体" w:cs="Times New Roman"/>
          <w:b/>
          <w:szCs w:val="21"/>
        </w:rPr>
      </w:pPr>
      <w:r>
        <w:rPr>
          <w:rFonts w:hint="eastAsia" w:ascii="宋体" w:hAnsi="宋体" w:eastAsia="宋体" w:cs="Times New Roman"/>
          <w:b/>
          <w:szCs w:val="21"/>
        </w:rPr>
        <w:t>2.合同金额</w:t>
      </w:r>
    </w:p>
    <w:p w14:paraId="746643BA">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（1）合同金额小写：</w:t>
      </w:r>
      <w:r>
        <w:rPr>
          <w:rFonts w:hint="eastAsia" w:ascii="宋体" w:hAnsi="宋体" w:eastAsia="宋体" w:cs="Times New Roman"/>
          <w:szCs w:val="21"/>
          <w:u w:val="single"/>
        </w:rPr>
        <w:t xml:space="preserve">                      </w:t>
      </w:r>
    </w:p>
    <w:p w14:paraId="0F0EF8B6">
      <w:pPr>
        <w:adjustRightInd w:val="0"/>
        <w:snapToGrid w:val="0"/>
        <w:spacing w:line="360" w:lineRule="auto"/>
        <w:ind w:firstLine="1260" w:firstLineChars="600"/>
        <w:rPr>
          <w:rFonts w:hint="eastAsia" w:ascii="宋体" w:hAnsi="宋体" w:eastAsia="宋体" w:cs="Times New Roman"/>
          <w:b/>
          <w:szCs w:val="21"/>
        </w:rPr>
      </w:pPr>
      <w:r>
        <w:rPr>
          <w:rFonts w:hint="eastAsia" w:ascii="宋体" w:hAnsi="宋体" w:eastAsia="宋体" w:cs="Times New Roman"/>
          <w:szCs w:val="21"/>
        </w:rPr>
        <w:t>大写：</w:t>
      </w:r>
      <w:r>
        <w:rPr>
          <w:rFonts w:hint="eastAsia" w:ascii="宋体" w:hAnsi="宋体" w:eastAsia="宋体" w:cs="Times New Roman"/>
          <w:szCs w:val="21"/>
          <w:u w:val="single"/>
        </w:rPr>
        <w:t xml:space="preserve">                      </w:t>
      </w:r>
    </w:p>
    <w:p w14:paraId="281EF8CA">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（2）具体标的见附件。</w:t>
      </w:r>
    </w:p>
    <w:p w14:paraId="3623CD0F">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（3）合同价格形式：</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75EB680C">
      <w:pPr>
        <w:adjustRightInd w:val="0"/>
        <w:snapToGrid w:val="0"/>
        <w:spacing w:line="360" w:lineRule="auto"/>
        <w:ind w:firstLine="422" w:firstLineChars="200"/>
        <w:rPr>
          <w:rFonts w:hint="eastAsia" w:ascii="宋体" w:hAnsi="宋体" w:eastAsia="宋体" w:cs="Times New Roman"/>
          <w:szCs w:val="21"/>
          <w:u w:val="single"/>
        </w:rPr>
      </w:pPr>
      <w:r>
        <w:rPr>
          <w:rFonts w:hint="eastAsia" w:ascii="宋体" w:hAnsi="宋体" w:eastAsia="宋体" w:cs="Times New Roman"/>
          <w:b/>
          <w:szCs w:val="21"/>
        </w:rPr>
        <w:t>3.履行合同的期限、地点及方式</w:t>
      </w:r>
      <w:r>
        <w:rPr>
          <w:rFonts w:hint="eastAsia" w:ascii="宋体" w:hAnsi="宋体" w:eastAsia="宋体" w:cs="Times New Roman"/>
          <w:szCs w:val="21"/>
          <w:u w:val="single"/>
        </w:rPr>
        <w:t xml:space="preserve"> </w:t>
      </w:r>
    </w:p>
    <w:p w14:paraId="0EB216CA">
      <w:pPr>
        <w:adjustRightInd w:val="0"/>
        <w:snapToGrid w:val="0"/>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起始日期：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日，完成日期：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日。总日历天数：</w:t>
      </w:r>
      <w:r>
        <w:rPr>
          <w:rFonts w:hint="eastAsia" w:ascii="宋体" w:hAnsi="宋体" w:eastAsia="宋体" w:cs="Times New Roman"/>
          <w:szCs w:val="21"/>
          <w:u w:val="single"/>
        </w:rPr>
        <w:t xml:space="preserve">     </w:t>
      </w:r>
      <w:r>
        <w:rPr>
          <w:rFonts w:hint="eastAsia" w:ascii="宋体" w:hAnsi="宋体" w:eastAsia="宋体" w:cs="Times New Roman"/>
          <w:szCs w:val="21"/>
        </w:rPr>
        <w:t>天。</w:t>
      </w:r>
    </w:p>
    <w:p w14:paraId="76A49F50">
      <w:pPr>
        <w:adjustRightInd w:val="0"/>
        <w:snapToGrid w:val="0"/>
        <w:spacing w:line="360" w:lineRule="auto"/>
        <w:ind w:firstLine="630" w:firstLineChars="300"/>
        <w:rPr>
          <w:rFonts w:hint="eastAsia" w:ascii="宋体" w:hAnsi="宋体" w:eastAsia="宋体" w:cs="Times New Roman"/>
          <w:szCs w:val="21"/>
          <w:u w:val="single"/>
        </w:rPr>
      </w:pPr>
      <w:r>
        <w:rPr>
          <w:rFonts w:hint="eastAsia" w:ascii="宋体" w:hAnsi="宋体" w:eastAsia="宋体" w:cs="Times New Roman"/>
          <w:szCs w:val="21"/>
        </w:rPr>
        <w:t>地点</w:t>
      </w:r>
      <w:r>
        <w:rPr>
          <w:rFonts w:hint="eastAsia" w:ascii="宋体" w:hAnsi="宋体" w:eastAsia="宋体" w:cs="Times New Roman"/>
          <w:b/>
          <w:szCs w:val="21"/>
        </w:rPr>
        <w:t>：</w:t>
      </w:r>
      <w:r>
        <w:rPr>
          <w:rFonts w:hint="eastAsia" w:ascii="宋体" w:hAnsi="宋体" w:eastAsia="宋体" w:cs="Times New Roman"/>
          <w:szCs w:val="21"/>
          <w:u w:val="single"/>
        </w:rPr>
        <w:t xml:space="preserve">                             </w:t>
      </w:r>
    </w:p>
    <w:p w14:paraId="546998F3">
      <w:pPr>
        <w:adjustRightInd w:val="0"/>
        <w:snapToGrid w:val="0"/>
        <w:spacing w:line="360" w:lineRule="auto"/>
        <w:ind w:firstLine="630" w:firstLineChars="300"/>
        <w:rPr>
          <w:rFonts w:hint="eastAsia" w:ascii="宋体" w:hAnsi="宋体" w:eastAsia="宋体" w:cs="Times New Roman"/>
          <w:szCs w:val="21"/>
        </w:rPr>
      </w:pPr>
      <w:r>
        <w:rPr>
          <w:rFonts w:hint="eastAsia" w:ascii="宋体" w:hAnsi="宋体" w:eastAsia="宋体" w:cs="Times New Roman"/>
          <w:szCs w:val="21"/>
        </w:rPr>
        <w:t>方式：</w:t>
      </w:r>
      <w:r>
        <w:rPr>
          <w:rFonts w:hint="eastAsia" w:ascii="宋体" w:hAnsi="宋体" w:eastAsia="宋体" w:cs="Times New Roman"/>
          <w:szCs w:val="21"/>
          <w:u w:val="single"/>
        </w:rPr>
        <w:t xml:space="preserve">                             </w:t>
      </w:r>
    </w:p>
    <w:p w14:paraId="52FCD161">
      <w:pPr>
        <w:adjustRightInd w:val="0"/>
        <w:snapToGrid w:val="0"/>
        <w:spacing w:line="360"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4.付款：</w:t>
      </w:r>
    </w:p>
    <w:p w14:paraId="240F81D3">
      <w:pPr>
        <w:adjustRightInd w:val="0"/>
        <w:snapToGrid w:val="0"/>
        <w:spacing w:line="360" w:lineRule="auto"/>
        <w:ind w:firstLine="630" w:firstLineChars="300"/>
        <w:rPr>
          <w:rFonts w:hint="eastAsia" w:ascii="宋体" w:hAnsi="宋体" w:eastAsia="宋体" w:cs="Times New Roman"/>
          <w:bCs/>
          <w:szCs w:val="21"/>
        </w:rPr>
      </w:pPr>
      <w:r>
        <w:rPr>
          <w:rFonts w:hint="eastAsia" w:ascii="宋体" w:hAnsi="宋体" w:eastAsia="宋体" w:cs="Times New Roman"/>
          <w:szCs w:val="21"/>
        </w:rPr>
        <w:t>1、</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w:t>
      </w:r>
    </w:p>
    <w:p w14:paraId="4F1729FB">
      <w:pPr>
        <w:adjustRightInd w:val="0"/>
        <w:snapToGrid w:val="0"/>
        <w:spacing w:line="360"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5.解决合同纠纷方式</w:t>
      </w:r>
    </w:p>
    <w:p w14:paraId="2060DF3D">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首先通过双方协商解决，协商解决不成，则通过以下途径之一解决纠纷：</w:t>
      </w:r>
    </w:p>
    <w:p w14:paraId="455311A6">
      <w:pPr>
        <w:adjustRightInd w:val="0"/>
        <w:snapToGrid w:val="0"/>
        <w:spacing w:line="360" w:lineRule="auto"/>
        <w:ind w:firstLine="840" w:firstLineChars="400"/>
        <w:rPr>
          <w:rFonts w:hint="eastAsia" w:ascii="宋体" w:hAnsi="宋体" w:eastAsia="宋体" w:cs="Times New Roman"/>
          <w:szCs w:val="21"/>
        </w:rPr>
      </w:pPr>
      <w:r>
        <w:rPr>
          <w:rFonts w:hint="eastAsia" w:ascii="宋体" w:hAnsi="宋体" w:eastAsia="宋体" w:cs="Times New Roman"/>
          <w:szCs w:val="21"/>
        </w:rPr>
        <w:t>□ 提请仲裁       ■ 向人民法院提起诉讼</w:t>
      </w:r>
    </w:p>
    <w:p w14:paraId="5E5BF2CA">
      <w:pPr>
        <w:adjustRightInd w:val="0"/>
        <w:snapToGrid w:val="0"/>
        <w:spacing w:line="360"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6.组成合同的文件</w:t>
      </w:r>
    </w:p>
    <w:p w14:paraId="5EE224D9">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本协议书与下列文件一起构成合同文件，如下述文件之间有任何抵触、矛盾或歧义，应按以下顺序解释：</w:t>
      </w:r>
    </w:p>
    <w:p w14:paraId="7475987A">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（1）在采购或合同履行过程中乙方作出的承诺以及双方协商达成的变更或补充协议</w:t>
      </w:r>
    </w:p>
    <w:p w14:paraId="4453FBCA">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（2）成交通知书</w:t>
      </w:r>
    </w:p>
    <w:p w14:paraId="54774A4A">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（3）响应文件</w:t>
      </w:r>
    </w:p>
    <w:p w14:paraId="4B95F8F3">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（4）政府采购合同格式条款及其附件</w:t>
      </w:r>
    </w:p>
    <w:p w14:paraId="40769ED9">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（5）专用合同条款</w:t>
      </w:r>
    </w:p>
    <w:p w14:paraId="727DEE29">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（6）通用合同条款（如果有）</w:t>
      </w:r>
    </w:p>
    <w:p w14:paraId="6D5CAFA0">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（7）标准、规范及有关技术文件，图纸，已标价工程量清单或预算书（如果有）</w:t>
      </w:r>
    </w:p>
    <w:p w14:paraId="4919A83F">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（8）其他合同文件。</w:t>
      </w:r>
    </w:p>
    <w:p w14:paraId="7E6873A3">
      <w:pPr>
        <w:adjustRightInd w:val="0"/>
        <w:snapToGrid w:val="0"/>
        <w:spacing w:line="360" w:lineRule="auto"/>
        <w:ind w:firstLine="310" w:firstLineChars="147"/>
        <w:rPr>
          <w:rFonts w:hint="eastAsia" w:ascii="宋体" w:hAnsi="宋体" w:eastAsia="宋体" w:cs="Times New Roman"/>
          <w:b/>
          <w:szCs w:val="21"/>
        </w:rPr>
      </w:pPr>
      <w:r>
        <w:rPr>
          <w:rFonts w:hint="eastAsia" w:ascii="宋体" w:hAnsi="宋体" w:eastAsia="宋体" w:cs="Times New Roman"/>
          <w:b/>
          <w:szCs w:val="21"/>
        </w:rPr>
        <w:t>7.合同生效</w:t>
      </w:r>
    </w:p>
    <w:p w14:paraId="2D814413">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本合同自</w:t>
      </w:r>
      <w:r>
        <w:rPr>
          <w:rFonts w:hint="eastAsia" w:ascii="宋体" w:hAnsi="宋体" w:eastAsia="宋体" w:cs="Times New Roman"/>
          <w:szCs w:val="21"/>
          <w:u w:val="single"/>
        </w:rPr>
        <w:t xml:space="preserve">                               </w:t>
      </w:r>
      <w:r>
        <w:rPr>
          <w:rFonts w:hint="eastAsia" w:ascii="宋体" w:hAnsi="宋体" w:eastAsia="宋体" w:cs="Times New Roman"/>
          <w:szCs w:val="21"/>
        </w:rPr>
        <w:t>生效。</w:t>
      </w:r>
    </w:p>
    <w:p w14:paraId="1803BF17">
      <w:pPr>
        <w:adjustRightInd w:val="0"/>
        <w:snapToGrid w:val="0"/>
        <w:spacing w:line="360" w:lineRule="auto"/>
        <w:ind w:firstLine="310" w:firstLineChars="147"/>
        <w:rPr>
          <w:rFonts w:hint="eastAsia" w:ascii="宋体" w:hAnsi="宋体" w:eastAsia="宋体" w:cs="Times New Roman"/>
          <w:b/>
          <w:szCs w:val="21"/>
        </w:rPr>
      </w:pPr>
      <w:r>
        <w:rPr>
          <w:rFonts w:hint="eastAsia" w:ascii="宋体" w:hAnsi="宋体" w:eastAsia="宋体" w:cs="Times New Roman"/>
          <w:b/>
          <w:szCs w:val="21"/>
        </w:rPr>
        <w:t>8.合同份数</w:t>
      </w:r>
    </w:p>
    <w:p w14:paraId="2F3AE027">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本合同一式</w:t>
      </w:r>
      <w:r>
        <w:rPr>
          <w:rFonts w:hint="eastAsia" w:ascii="宋体" w:hAnsi="宋体" w:eastAsia="宋体" w:cs="Times New Roman"/>
          <w:szCs w:val="21"/>
          <w:u w:val="single"/>
        </w:rPr>
        <w:t xml:space="preserve">    </w:t>
      </w:r>
      <w:r>
        <w:rPr>
          <w:rFonts w:hint="eastAsia" w:ascii="宋体" w:hAnsi="宋体" w:eastAsia="宋体" w:cs="Times New Roman"/>
          <w:szCs w:val="21"/>
        </w:rPr>
        <w:t>份，采购人执</w:t>
      </w:r>
      <w:r>
        <w:rPr>
          <w:rFonts w:hint="eastAsia" w:ascii="宋体" w:hAnsi="宋体" w:eastAsia="宋体" w:cs="Times New Roman"/>
          <w:szCs w:val="21"/>
          <w:u w:val="single"/>
        </w:rPr>
        <w:t xml:space="preserve">   </w:t>
      </w:r>
      <w:r>
        <w:rPr>
          <w:rFonts w:hint="eastAsia" w:ascii="宋体" w:hAnsi="宋体" w:eastAsia="宋体" w:cs="Times New Roman"/>
          <w:szCs w:val="21"/>
        </w:rPr>
        <w:t>份，供应商执</w:t>
      </w:r>
      <w:r>
        <w:rPr>
          <w:rFonts w:hint="eastAsia" w:ascii="宋体" w:hAnsi="宋体" w:eastAsia="宋体" w:cs="Times New Roman"/>
          <w:szCs w:val="21"/>
          <w:u w:val="single"/>
        </w:rPr>
        <w:t xml:space="preserve">   </w:t>
      </w:r>
      <w:r>
        <w:rPr>
          <w:rFonts w:hint="eastAsia" w:ascii="宋体" w:hAnsi="宋体" w:eastAsia="宋体" w:cs="Times New Roman"/>
          <w:szCs w:val="21"/>
        </w:rPr>
        <w:t>份，均具有同等法律效力。</w:t>
      </w:r>
    </w:p>
    <w:p w14:paraId="202DD24E">
      <w:pPr>
        <w:adjustRightInd w:val="0"/>
        <w:snapToGrid w:val="0"/>
        <w:spacing w:line="360" w:lineRule="auto"/>
        <w:rPr>
          <w:rFonts w:hint="eastAsia" w:ascii="宋体" w:hAnsi="宋体" w:eastAsia="宋体" w:cs="Times New Roman"/>
          <w:szCs w:val="21"/>
        </w:rPr>
      </w:pPr>
    </w:p>
    <w:p w14:paraId="5B8D3011">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合同订立时间：</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E1DE041">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合同订立地点：</w:t>
      </w:r>
      <w:r>
        <w:rPr>
          <w:rFonts w:hint="eastAsia" w:ascii="宋体" w:hAnsi="宋体" w:eastAsia="宋体" w:cs="Times New Roman"/>
          <w:szCs w:val="21"/>
          <w:u w:val="single"/>
        </w:rPr>
        <w:t xml:space="preserve">                           </w:t>
      </w:r>
    </w:p>
    <w:p w14:paraId="28936CAB">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 xml:space="preserve">    </w:t>
      </w:r>
    </w:p>
    <w:p w14:paraId="54425FA9">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甲      方：（公章）                     乙      方：（公章）</w:t>
      </w:r>
    </w:p>
    <w:p w14:paraId="37F0F42B">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法定代表人：</w:t>
      </w:r>
      <w:r>
        <w:rPr>
          <w:rFonts w:hint="eastAsia" w:ascii="宋体" w:hAnsi="宋体" w:eastAsia="宋体" w:cs="Times New Roman"/>
          <w:szCs w:val="21"/>
          <w:u w:val="single"/>
        </w:rPr>
        <w:t xml:space="preserve">                   </w:t>
      </w:r>
    </w:p>
    <w:p w14:paraId="306C0F0A">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委托代理人：</w:t>
      </w:r>
      <w:r>
        <w:rPr>
          <w:rFonts w:hint="eastAsia" w:ascii="宋体" w:hAnsi="宋体" w:eastAsia="宋体" w:cs="Times New Roman"/>
          <w:szCs w:val="21"/>
          <w:u w:val="single"/>
        </w:rPr>
        <w:t xml:space="preserve">                   </w:t>
      </w:r>
    </w:p>
    <w:p w14:paraId="3B120030">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电      话：</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电      话：</w:t>
      </w:r>
      <w:r>
        <w:rPr>
          <w:rFonts w:hint="eastAsia" w:ascii="宋体" w:hAnsi="宋体" w:eastAsia="宋体" w:cs="Times New Roman"/>
          <w:szCs w:val="21"/>
          <w:u w:val="single"/>
        </w:rPr>
        <w:t xml:space="preserve">                   </w:t>
      </w:r>
    </w:p>
    <w:p w14:paraId="3E1EB3B6">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传      真：</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传      真：</w:t>
      </w:r>
      <w:r>
        <w:rPr>
          <w:rFonts w:hint="eastAsia" w:ascii="宋体" w:hAnsi="宋体" w:eastAsia="宋体" w:cs="Times New Roman"/>
          <w:szCs w:val="21"/>
          <w:u w:val="single"/>
        </w:rPr>
        <w:t xml:space="preserve">                   </w:t>
      </w:r>
    </w:p>
    <w:p w14:paraId="28EE9AC6">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 xml:space="preserve">                                    开 户 银 行：</w:t>
      </w:r>
      <w:r>
        <w:rPr>
          <w:rFonts w:hint="eastAsia" w:ascii="宋体" w:hAnsi="宋体" w:eastAsia="宋体" w:cs="Times New Roman"/>
          <w:szCs w:val="21"/>
          <w:u w:val="single"/>
        </w:rPr>
        <w:t xml:space="preserve">                   </w:t>
      </w:r>
    </w:p>
    <w:p w14:paraId="18DA9E3E">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帐       号：</w:t>
      </w:r>
      <w:r>
        <w:rPr>
          <w:rFonts w:hint="eastAsia" w:ascii="宋体" w:hAnsi="宋体" w:eastAsia="宋体" w:cs="Times New Roman"/>
          <w:szCs w:val="21"/>
          <w:u w:val="single"/>
        </w:rPr>
        <w:t xml:space="preserve">                  </w:t>
      </w:r>
    </w:p>
    <w:p w14:paraId="7298BEBF">
      <w:pPr>
        <w:rPr>
          <w:rFonts w:hint="eastAsia" w:ascii="宋体" w:hAnsi="宋体" w:eastAsia="宋体" w:cs="Times New Roman"/>
          <w:szCs w:val="21"/>
          <w:u w:val="single"/>
        </w:rPr>
      </w:pPr>
      <w:r>
        <w:rPr>
          <w:rFonts w:hint="eastAsia" w:ascii="宋体" w:hAnsi="宋体" w:eastAsia="宋体" w:cs="Times New Roman"/>
          <w:szCs w:val="21"/>
          <w:u w:val="single"/>
        </w:rPr>
        <w:br w:type="page"/>
      </w:r>
    </w:p>
    <w:p w14:paraId="5FF6D9C5">
      <w:pPr>
        <w:tabs>
          <w:tab w:val="left" w:pos="8820"/>
          <w:tab w:val="left" w:pos="9345"/>
          <w:tab w:val="left" w:pos="9765"/>
        </w:tabs>
        <w:adjustRightInd w:val="0"/>
        <w:snapToGrid w:val="0"/>
        <w:spacing w:before="156" w:beforeLines="50" w:line="360" w:lineRule="auto"/>
        <w:ind w:right="384" w:rightChars="183"/>
        <w:jc w:val="center"/>
        <w:rPr>
          <w:rFonts w:hint="eastAsia" w:ascii="黑体" w:hAnsi="华文中宋" w:eastAsia="黑体" w:cs="Times New Roman"/>
          <w:bCs/>
          <w:sz w:val="30"/>
          <w:szCs w:val="30"/>
        </w:rPr>
      </w:pPr>
      <w:r>
        <w:rPr>
          <w:rFonts w:hint="eastAsia" w:ascii="黑体" w:hAnsi="华文中宋" w:eastAsia="黑体" w:cs="Times New Roman"/>
          <w:bCs/>
          <w:sz w:val="30"/>
          <w:szCs w:val="30"/>
        </w:rPr>
        <w:t>二、政府采购合同通用条款</w:t>
      </w:r>
    </w:p>
    <w:p w14:paraId="0FE0D2B4">
      <w:pPr>
        <w:tabs>
          <w:tab w:val="left" w:pos="8820"/>
          <w:tab w:val="left" w:pos="9345"/>
          <w:tab w:val="left" w:pos="9765"/>
        </w:tabs>
        <w:adjustRightInd w:val="0"/>
        <w:snapToGrid w:val="0"/>
        <w:spacing w:before="156" w:beforeLines="50" w:line="360" w:lineRule="auto"/>
        <w:ind w:right="384" w:rightChars="183"/>
        <w:jc w:val="center"/>
        <w:rPr>
          <w:rFonts w:hint="eastAsia" w:ascii="黑体" w:hAnsi="华文中宋" w:eastAsia="黑体" w:cs="Times New Roman"/>
          <w:b/>
          <w:bCs/>
          <w:sz w:val="36"/>
          <w:szCs w:val="36"/>
        </w:rPr>
      </w:pPr>
      <w:r>
        <w:rPr>
          <w:rFonts w:hint="eastAsia" w:ascii="黑体" w:hAnsi="华文中宋" w:eastAsia="黑体" w:cs="Times New Roman"/>
          <w:b/>
          <w:bCs/>
          <w:sz w:val="36"/>
          <w:szCs w:val="36"/>
        </w:rPr>
        <w:t>政府采购合同通用条款</w:t>
      </w:r>
    </w:p>
    <w:p w14:paraId="5C0AA469">
      <w:pPr>
        <w:adjustRightInd w:val="0"/>
        <w:snapToGrid w:val="0"/>
        <w:spacing w:line="360" w:lineRule="auto"/>
        <w:ind w:firstLine="420" w:firstLineChars="200"/>
        <w:rPr>
          <w:rFonts w:hint="eastAsia" w:ascii="黑体" w:hAnsi="宋体" w:eastAsia="黑体" w:cs="Times New Roman"/>
          <w:b/>
          <w:sz w:val="30"/>
          <w:szCs w:val="30"/>
        </w:rPr>
      </w:pPr>
      <w:r>
        <w:rPr>
          <w:rFonts w:hint="eastAsia" w:ascii="宋体" w:hAnsi="宋体" w:eastAsia="宋体" w:cs="Times New Roman"/>
          <w:bCs/>
          <w:szCs w:val="21"/>
        </w:rPr>
        <w:t>服务类政府采购合同格式文本省级以上政府部门或行业组织有标准或示范文本的，应按照其文本确定合同格式。没有文本的，按照《中华人民共和国民法典》及采购项目特点自行拟任特定文本确定合同格式。</w:t>
      </w:r>
    </w:p>
    <w:p w14:paraId="4BE8CA66">
      <w:pPr>
        <w:adjustRightInd w:val="0"/>
        <w:snapToGrid w:val="0"/>
        <w:spacing w:line="360" w:lineRule="auto"/>
        <w:rPr>
          <w:rFonts w:hint="eastAsia" w:ascii="宋体" w:hAnsi="宋体" w:eastAsia="宋体" w:cs="Times New Roman"/>
          <w:szCs w:val="21"/>
        </w:rPr>
      </w:pPr>
    </w:p>
    <w:p w14:paraId="6E4774EF">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2440495E">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0AD7E958">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7BE6CEE9">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3A35A772">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071F125E">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373C7123">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14C73698">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4C067889">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35C0F6EE">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72C6E364">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67C7FD4D">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5DEDB9D8">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08E9D944">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3DCF1F88">
      <w:pPr>
        <w:tabs>
          <w:tab w:val="left" w:pos="8820"/>
          <w:tab w:val="left" w:pos="9345"/>
          <w:tab w:val="left" w:pos="9765"/>
        </w:tabs>
        <w:adjustRightInd w:val="0"/>
        <w:snapToGrid w:val="0"/>
        <w:spacing w:before="156" w:beforeLines="50" w:line="360" w:lineRule="auto"/>
        <w:ind w:right="384" w:rightChars="183"/>
        <w:rPr>
          <w:rFonts w:hint="eastAsia" w:ascii="黑体" w:hAnsi="华文中宋" w:eastAsia="黑体" w:cs="Times New Roman"/>
          <w:bCs/>
          <w:sz w:val="30"/>
          <w:szCs w:val="30"/>
        </w:rPr>
      </w:pPr>
    </w:p>
    <w:p w14:paraId="0C409286">
      <w:pPr>
        <w:tabs>
          <w:tab w:val="left" w:pos="8820"/>
          <w:tab w:val="left" w:pos="9345"/>
          <w:tab w:val="left" w:pos="9765"/>
        </w:tabs>
        <w:adjustRightInd w:val="0"/>
        <w:snapToGrid w:val="0"/>
        <w:spacing w:before="156" w:beforeLines="50" w:line="360" w:lineRule="auto"/>
        <w:ind w:right="384" w:rightChars="183"/>
        <w:jc w:val="center"/>
        <w:rPr>
          <w:rFonts w:hint="eastAsia" w:ascii="黑体" w:hAnsi="宋体" w:eastAsia="黑体" w:cs="Times New Roman"/>
          <w:bCs/>
          <w:sz w:val="32"/>
          <w:szCs w:val="32"/>
        </w:rPr>
      </w:pPr>
      <w:r>
        <w:rPr>
          <w:rFonts w:hint="eastAsia" w:ascii="黑体" w:hAnsi="华文中宋" w:eastAsia="黑体" w:cs="Times New Roman"/>
          <w:bCs/>
          <w:sz w:val="30"/>
          <w:szCs w:val="30"/>
        </w:rPr>
        <w:t>三、采购合同专用条款</w:t>
      </w:r>
    </w:p>
    <w:p w14:paraId="79E5020E">
      <w:pPr>
        <w:spacing w:line="360" w:lineRule="exact"/>
        <w:rPr>
          <w:rFonts w:hint="eastAsia" w:ascii="黑体" w:hAnsi="宋体" w:eastAsia="黑体" w:cs="Times New Roman"/>
          <w:bCs/>
          <w:sz w:val="32"/>
          <w:szCs w:val="32"/>
        </w:rPr>
      </w:pPr>
    </w:p>
    <w:p w14:paraId="03AB693E">
      <w:pPr>
        <w:widowControl w:val="0"/>
        <w:snapToGrid w:val="0"/>
        <w:spacing w:after="120"/>
        <w:ind w:left="105" w:leftChars="50"/>
        <w:jc w:val="center"/>
        <w:rPr>
          <w:rFonts w:hint="eastAsia" w:ascii="黑体" w:hAnsi="华文中宋" w:eastAsia="黑体" w:cs="Times New Roman"/>
          <w:b/>
          <w:bCs/>
          <w:kern w:val="2"/>
          <w:sz w:val="36"/>
          <w:szCs w:val="36"/>
          <w:lang w:val="en-US" w:eastAsia="zh-CN" w:bidi="ar-SA"/>
        </w:rPr>
      </w:pPr>
      <w:r>
        <w:rPr>
          <w:rFonts w:hint="eastAsia" w:ascii="黑体" w:hAnsi="华文中宋" w:eastAsia="黑体" w:cs="Times New Roman"/>
          <w:b/>
          <w:bCs/>
          <w:kern w:val="2"/>
          <w:sz w:val="36"/>
          <w:szCs w:val="36"/>
          <w:lang w:val="en-US" w:eastAsia="zh-CN" w:bidi="ar-SA"/>
        </w:rPr>
        <w:t>采购合同专用条款</w:t>
      </w:r>
    </w:p>
    <w:tbl>
      <w:tblPr>
        <w:tblStyle w:val="18"/>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12"/>
        <w:gridCol w:w="1853"/>
        <w:gridCol w:w="5498"/>
      </w:tblGrid>
      <w:tr w14:paraId="45E344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1E95EE01">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49360D5E">
            <w:pPr>
              <w:adjustRightInd w:val="0"/>
              <w:snapToGrid w:val="0"/>
              <w:jc w:val="center"/>
              <w:rPr>
                <w:rFonts w:ascii="宋体" w:hAnsi="宋体" w:eastAsia="宋体" w:cs="Times New Roman"/>
                <w:szCs w:val="21"/>
              </w:rPr>
            </w:pPr>
            <w:r>
              <w:rPr>
                <w:rFonts w:hint="eastAsia" w:ascii="宋体" w:hAnsi="宋体" w:eastAsia="宋体" w:cs="Times New Roman"/>
                <w:szCs w:val="21"/>
              </w:rPr>
              <w:t>第1.1款</w:t>
            </w:r>
          </w:p>
        </w:tc>
        <w:tc>
          <w:tcPr>
            <w:tcW w:w="1022" w:type="pct"/>
            <w:noWrap w:val="0"/>
            <w:vAlign w:val="center"/>
          </w:tcPr>
          <w:p w14:paraId="1AFCCB60">
            <w:pPr>
              <w:adjustRightInd w:val="0"/>
              <w:snapToGrid w:val="0"/>
              <w:jc w:val="left"/>
              <w:rPr>
                <w:rFonts w:ascii="宋体" w:hAnsi="宋体" w:eastAsia="宋体" w:cs="Times New Roman"/>
                <w:szCs w:val="21"/>
              </w:rPr>
            </w:pPr>
            <w:r>
              <w:rPr>
                <w:rFonts w:hint="eastAsia" w:ascii="宋体" w:hAnsi="宋体" w:eastAsia="宋体" w:cs="Times New Roman"/>
                <w:szCs w:val="21"/>
              </w:rPr>
              <w:t xml:space="preserve">采购人名称、地址 </w:t>
            </w:r>
          </w:p>
        </w:tc>
        <w:tc>
          <w:tcPr>
            <w:tcW w:w="3032" w:type="pct"/>
            <w:noWrap w:val="0"/>
            <w:vAlign w:val="center"/>
          </w:tcPr>
          <w:p w14:paraId="0965F614">
            <w:pPr>
              <w:pStyle w:val="30"/>
              <w:widowControl/>
              <w:adjustRightInd w:val="0"/>
              <w:snapToGrid w:val="0"/>
              <w:spacing w:line="360" w:lineRule="auto"/>
              <w:rPr>
                <w:rFonts w:hint="eastAsia" w:ascii="宋体" w:hAnsi="宋体" w:eastAsia="宋体" w:cs="宋体"/>
                <w:szCs w:val="21"/>
                <w:lang w:eastAsia="zh-CN"/>
              </w:rPr>
            </w:pPr>
            <w:r>
              <w:rPr>
                <w:rFonts w:hint="eastAsia" w:ascii="宋体" w:hAnsi="宋体" w:eastAsia="宋体" w:cs="宋体"/>
                <w:szCs w:val="21"/>
              </w:rPr>
              <w:t>名称：</w:t>
            </w:r>
            <w:r>
              <w:rPr>
                <w:rFonts w:hint="eastAsia" w:ascii="宋体" w:hAnsi="宋体" w:eastAsia="宋体" w:cs="宋体"/>
                <w:szCs w:val="21"/>
                <w:lang w:eastAsia="zh-CN"/>
              </w:rPr>
              <w:t>湖南省广播电视微波总站</w:t>
            </w:r>
          </w:p>
          <w:p w14:paraId="3CC4F459">
            <w:pPr>
              <w:pStyle w:val="31"/>
              <w:adjustRightInd w:val="0"/>
              <w:snapToGrid w:val="0"/>
              <w:jc w:val="left"/>
              <w:rPr>
                <w:rFonts w:hint="eastAsia" w:ascii="宋体" w:hAnsi="宋体" w:eastAsia="宋体" w:cs="Times New Roman"/>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长沙市开福区金鹰影视文化城</w:t>
            </w:r>
          </w:p>
        </w:tc>
      </w:tr>
      <w:tr w14:paraId="75B586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62F5DD34">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551AB060">
            <w:pPr>
              <w:adjustRightInd w:val="0"/>
              <w:snapToGrid w:val="0"/>
              <w:jc w:val="center"/>
              <w:rPr>
                <w:rFonts w:ascii="宋体" w:hAnsi="宋体" w:eastAsia="宋体" w:cs="Times New Roman"/>
                <w:szCs w:val="21"/>
              </w:rPr>
            </w:pPr>
            <w:r>
              <w:rPr>
                <w:rFonts w:hint="eastAsia" w:ascii="宋体" w:hAnsi="宋体" w:eastAsia="宋体" w:cs="Times New Roman"/>
                <w:szCs w:val="21"/>
              </w:rPr>
              <w:t>第1.2（6）项</w:t>
            </w:r>
          </w:p>
        </w:tc>
        <w:tc>
          <w:tcPr>
            <w:tcW w:w="1022" w:type="pct"/>
            <w:noWrap w:val="0"/>
            <w:vAlign w:val="center"/>
          </w:tcPr>
          <w:p w14:paraId="334A9AA7">
            <w:pPr>
              <w:adjustRightInd w:val="0"/>
              <w:snapToGrid w:val="0"/>
              <w:jc w:val="left"/>
              <w:rPr>
                <w:rFonts w:ascii="宋体" w:hAnsi="宋体" w:eastAsia="宋体" w:cs="Times New Roman"/>
                <w:szCs w:val="21"/>
              </w:rPr>
            </w:pPr>
            <w:r>
              <w:rPr>
                <w:rFonts w:hint="eastAsia" w:ascii="宋体" w:hAnsi="宋体" w:eastAsia="宋体" w:cs="Times New Roman"/>
                <w:szCs w:val="21"/>
              </w:rPr>
              <w:t>项目现场</w:t>
            </w:r>
          </w:p>
        </w:tc>
        <w:tc>
          <w:tcPr>
            <w:tcW w:w="3032" w:type="pct"/>
            <w:noWrap w:val="0"/>
            <w:vAlign w:val="center"/>
          </w:tcPr>
          <w:p w14:paraId="4F8D6B3F">
            <w:pPr>
              <w:pStyle w:val="31"/>
              <w:adjustRightInd w:val="0"/>
              <w:snapToGrid w:val="0"/>
              <w:jc w:val="left"/>
              <w:rPr>
                <w:rFonts w:ascii="宋体" w:hAnsi="宋体" w:eastAsia="宋体" w:cs="Times New Roman"/>
                <w:szCs w:val="21"/>
              </w:rPr>
            </w:pPr>
            <w:r>
              <w:rPr>
                <w:rFonts w:hint="eastAsia" w:ascii="宋体" w:hAnsi="宋体" w:eastAsia="宋体" w:cs="宋体"/>
                <w:szCs w:val="21"/>
              </w:rPr>
              <w:t>采购人指定地址</w:t>
            </w:r>
          </w:p>
        </w:tc>
      </w:tr>
      <w:tr w14:paraId="4931D1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74EF5D82">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7FC3AA42">
            <w:pPr>
              <w:adjustRightInd w:val="0"/>
              <w:snapToGrid w:val="0"/>
              <w:jc w:val="center"/>
              <w:rPr>
                <w:rFonts w:ascii="宋体" w:hAnsi="宋体" w:eastAsia="宋体" w:cs="Times New Roman"/>
                <w:szCs w:val="21"/>
              </w:rPr>
            </w:pPr>
            <w:r>
              <w:rPr>
                <w:rFonts w:hint="eastAsia" w:ascii="宋体" w:hAnsi="宋体" w:eastAsia="宋体" w:cs="Times New Roman"/>
                <w:szCs w:val="21"/>
              </w:rPr>
              <w:t>第5.1款</w:t>
            </w:r>
          </w:p>
        </w:tc>
        <w:tc>
          <w:tcPr>
            <w:tcW w:w="1022" w:type="pct"/>
            <w:noWrap w:val="0"/>
            <w:vAlign w:val="center"/>
          </w:tcPr>
          <w:p w14:paraId="671B5025">
            <w:pPr>
              <w:adjustRightInd w:val="0"/>
              <w:snapToGrid w:val="0"/>
              <w:jc w:val="left"/>
              <w:rPr>
                <w:rFonts w:ascii="宋体" w:hAnsi="宋体" w:eastAsia="宋体" w:cs="Times New Roman"/>
                <w:szCs w:val="21"/>
              </w:rPr>
            </w:pPr>
            <w:r>
              <w:rPr>
                <w:rFonts w:hint="eastAsia" w:ascii="宋体" w:hAnsi="宋体" w:eastAsia="宋体" w:cs="Times New Roman"/>
                <w:szCs w:val="21"/>
              </w:rPr>
              <w:t>履行合同的时间、地点及方式</w:t>
            </w:r>
          </w:p>
        </w:tc>
        <w:tc>
          <w:tcPr>
            <w:tcW w:w="3032" w:type="pct"/>
            <w:noWrap w:val="0"/>
            <w:vAlign w:val="center"/>
          </w:tcPr>
          <w:p w14:paraId="44069D8D">
            <w:pPr>
              <w:pStyle w:val="31"/>
              <w:adjustRightInd w:val="0"/>
              <w:snapToGrid w:val="0"/>
              <w:jc w:val="left"/>
              <w:rPr>
                <w:rFonts w:ascii="宋体" w:hAnsi="宋体" w:eastAsia="宋体" w:cs="Times New Roman"/>
                <w:szCs w:val="21"/>
              </w:rPr>
            </w:pPr>
            <w:r>
              <w:rPr>
                <w:rFonts w:hint="eastAsia" w:ascii="宋体" w:hAnsi="宋体" w:eastAsia="宋体" w:cs="宋体"/>
                <w:szCs w:val="21"/>
              </w:rPr>
              <w:t>详见第四章“</w:t>
            </w:r>
            <w:r>
              <w:rPr>
                <w:rFonts w:hint="eastAsia" w:ascii="宋体" w:hAnsi="宋体" w:eastAsia="宋体" w:cs="Times New Roman"/>
                <w:szCs w:val="21"/>
              </w:rPr>
              <w:t>采购需求</w:t>
            </w:r>
            <w:r>
              <w:rPr>
                <w:rFonts w:hint="eastAsia" w:ascii="宋体" w:hAnsi="宋体" w:eastAsia="宋体" w:cs="宋体"/>
                <w:szCs w:val="21"/>
              </w:rPr>
              <w:t>”</w:t>
            </w:r>
          </w:p>
        </w:tc>
      </w:tr>
      <w:tr w14:paraId="2020CA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4C78F27C">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6FBE5ECE">
            <w:pPr>
              <w:adjustRightInd w:val="0"/>
              <w:snapToGrid w:val="0"/>
              <w:jc w:val="center"/>
              <w:rPr>
                <w:rFonts w:ascii="宋体" w:hAnsi="宋体" w:eastAsia="宋体" w:cs="Times New Roman"/>
                <w:szCs w:val="21"/>
              </w:rPr>
            </w:pPr>
            <w:r>
              <w:rPr>
                <w:rFonts w:hint="eastAsia" w:ascii="宋体" w:hAnsi="宋体" w:eastAsia="宋体" w:cs="Times New Roman"/>
                <w:szCs w:val="21"/>
              </w:rPr>
              <w:t>第9.2（1） 项</w:t>
            </w:r>
          </w:p>
        </w:tc>
        <w:tc>
          <w:tcPr>
            <w:tcW w:w="1022" w:type="pct"/>
            <w:noWrap w:val="0"/>
            <w:vAlign w:val="center"/>
          </w:tcPr>
          <w:p w14:paraId="20FEB0BC">
            <w:pPr>
              <w:adjustRightInd w:val="0"/>
              <w:snapToGrid w:val="0"/>
              <w:jc w:val="left"/>
              <w:rPr>
                <w:rFonts w:ascii="宋体" w:hAnsi="宋体" w:eastAsia="宋体" w:cs="Times New Roman"/>
                <w:szCs w:val="21"/>
              </w:rPr>
            </w:pPr>
            <w:r>
              <w:rPr>
                <w:rFonts w:hint="eastAsia" w:ascii="宋体" w:hAnsi="宋体" w:eastAsia="宋体" w:cs="Times New Roman"/>
                <w:szCs w:val="21"/>
              </w:rPr>
              <w:t>质量保证期</w:t>
            </w:r>
          </w:p>
        </w:tc>
        <w:tc>
          <w:tcPr>
            <w:tcW w:w="3032" w:type="pct"/>
            <w:noWrap w:val="0"/>
            <w:vAlign w:val="center"/>
          </w:tcPr>
          <w:p w14:paraId="13E9A08D">
            <w:pPr>
              <w:pStyle w:val="31"/>
              <w:autoSpaceDE w:val="0"/>
              <w:autoSpaceDN w:val="0"/>
              <w:adjustRightInd w:val="0"/>
              <w:snapToGrid w:val="0"/>
              <w:jc w:val="left"/>
              <w:rPr>
                <w:rFonts w:ascii="宋体" w:hAnsi="宋体" w:eastAsia="宋体" w:cs="Times New Roman"/>
                <w:szCs w:val="21"/>
              </w:rPr>
            </w:pPr>
            <w:r>
              <w:rPr>
                <w:rFonts w:hint="eastAsia" w:ascii="宋体" w:hAnsi="宋体" w:eastAsia="宋体" w:cs="宋体"/>
                <w:szCs w:val="21"/>
              </w:rPr>
              <w:t>详见第四章“</w:t>
            </w:r>
            <w:r>
              <w:rPr>
                <w:rFonts w:hint="eastAsia" w:ascii="宋体" w:hAnsi="宋体" w:eastAsia="宋体" w:cs="Times New Roman"/>
                <w:szCs w:val="21"/>
              </w:rPr>
              <w:t>采购需求</w:t>
            </w:r>
            <w:r>
              <w:rPr>
                <w:rFonts w:hint="eastAsia" w:ascii="宋体" w:hAnsi="宋体" w:eastAsia="宋体" w:cs="宋体"/>
                <w:szCs w:val="21"/>
              </w:rPr>
              <w:t>”</w:t>
            </w:r>
          </w:p>
        </w:tc>
      </w:tr>
      <w:tr w14:paraId="29696A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57B2C3A9">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2350F6B5">
            <w:pPr>
              <w:adjustRightInd w:val="0"/>
              <w:snapToGrid w:val="0"/>
              <w:jc w:val="center"/>
              <w:rPr>
                <w:rFonts w:ascii="宋体" w:hAnsi="宋体" w:eastAsia="宋体" w:cs="Times New Roman"/>
                <w:szCs w:val="21"/>
              </w:rPr>
            </w:pPr>
            <w:r>
              <w:rPr>
                <w:rFonts w:hint="eastAsia" w:ascii="宋体" w:hAnsi="宋体" w:eastAsia="宋体" w:cs="Times New Roman"/>
                <w:szCs w:val="21"/>
              </w:rPr>
              <w:t>第9.2（3） 项</w:t>
            </w:r>
          </w:p>
        </w:tc>
        <w:tc>
          <w:tcPr>
            <w:tcW w:w="1022" w:type="pct"/>
            <w:noWrap w:val="0"/>
            <w:vAlign w:val="center"/>
          </w:tcPr>
          <w:p w14:paraId="487F71F8">
            <w:pPr>
              <w:adjustRightInd w:val="0"/>
              <w:snapToGrid w:val="0"/>
              <w:jc w:val="left"/>
              <w:rPr>
                <w:rFonts w:ascii="宋体" w:hAnsi="宋体" w:eastAsia="宋体" w:cs="Times New Roman"/>
                <w:szCs w:val="21"/>
              </w:rPr>
            </w:pPr>
            <w:r>
              <w:rPr>
                <w:rFonts w:hint="eastAsia" w:ascii="宋体" w:hAnsi="宋体" w:eastAsia="宋体" w:cs="Times New Roman"/>
                <w:szCs w:val="21"/>
              </w:rPr>
              <w:t>响应时间</w:t>
            </w:r>
          </w:p>
        </w:tc>
        <w:tc>
          <w:tcPr>
            <w:tcW w:w="3032" w:type="pct"/>
            <w:noWrap w:val="0"/>
            <w:vAlign w:val="center"/>
          </w:tcPr>
          <w:p w14:paraId="1BBD35CA">
            <w:pPr>
              <w:pStyle w:val="31"/>
              <w:adjustRightInd w:val="0"/>
              <w:snapToGrid w:val="0"/>
              <w:jc w:val="left"/>
              <w:rPr>
                <w:rFonts w:ascii="宋体" w:hAnsi="宋体" w:eastAsia="宋体" w:cs="Times New Roman"/>
                <w:szCs w:val="21"/>
              </w:rPr>
            </w:pPr>
            <w:r>
              <w:rPr>
                <w:rFonts w:hint="eastAsia" w:ascii="宋体" w:hAnsi="宋体" w:eastAsia="宋体" w:cs="宋体"/>
                <w:szCs w:val="21"/>
              </w:rPr>
              <w:t>详见第四章“</w:t>
            </w:r>
            <w:r>
              <w:rPr>
                <w:rFonts w:hint="eastAsia" w:ascii="宋体" w:hAnsi="宋体" w:eastAsia="宋体" w:cs="Times New Roman"/>
                <w:szCs w:val="21"/>
              </w:rPr>
              <w:t>采购需求</w:t>
            </w:r>
            <w:r>
              <w:rPr>
                <w:rFonts w:hint="eastAsia" w:ascii="宋体" w:hAnsi="宋体" w:eastAsia="宋体" w:cs="宋体"/>
                <w:szCs w:val="21"/>
              </w:rPr>
              <w:t>”</w:t>
            </w:r>
          </w:p>
        </w:tc>
      </w:tr>
      <w:tr w14:paraId="19DDB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4E5D92EC">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66290899">
            <w:pPr>
              <w:adjustRightInd w:val="0"/>
              <w:snapToGrid w:val="0"/>
              <w:jc w:val="center"/>
              <w:rPr>
                <w:rFonts w:ascii="宋体" w:hAnsi="宋体" w:eastAsia="宋体" w:cs="Times New Roman"/>
                <w:szCs w:val="21"/>
              </w:rPr>
            </w:pPr>
            <w:r>
              <w:rPr>
                <w:rFonts w:hint="eastAsia" w:ascii="宋体" w:hAnsi="宋体" w:eastAsia="宋体" w:cs="Times New Roman"/>
                <w:szCs w:val="21"/>
              </w:rPr>
              <w:t>第13.5款</w:t>
            </w:r>
          </w:p>
        </w:tc>
        <w:tc>
          <w:tcPr>
            <w:tcW w:w="1022" w:type="pct"/>
            <w:noWrap w:val="0"/>
            <w:vAlign w:val="center"/>
          </w:tcPr>
          <w:p w14:paraId="129AA51E">
            <w:pPr>
              <w:adjustRightInd w:val="0"/>
              <w:snapToGrid w:val="0"/>
              <w:jc w:val="left"/>
              <w:rPr>
                <w:rFonts w:ascii="宋体" w:hAnsi="宋体" w:eastAsia="宋体" w:cs="Times New Roman"/>
                <w:szCs w:val="21"/>
              </w:rPr>
            </w:pPr>
            <w:r>
              <w:rPr>
                <w:rFonts w:hint="eastAsia" w:ascii="宋体" w:hAnsi="宋体" w:eastAsia="宋体" w:cs="Times New Roman"/>
                <w:szCs w:val="21"/>
              </w:rPr>
              <w:t>合同价款支付方式</w:t>
            </w:r>
            <w:r>
              <w:rPr>
                <w:rFonts w:hint="eastAsia" w:ascii="宋体" w:hAnsi="宋体" w:eastAsia="宋体" w:cs="Times New Roman"/>
                <w:bCs/>
                <w:szCs w:val="21"/>
              </w:rPr>
              <w:t>和条件</w:t>
            </w:r>
          </w:p>
        </w:tc>
        <w:tc>
          <w:tcPr>
            <w:tcW w:w="3032" w:type="pct"/>
            <w:noWrap w:val="0"/>
            <w:vAlign w:val="center"/>
          </w:tcPr>
          <w:p w14:paraId="2831DCC6">
            <w:pPr>
              <w:pStyle w:val="31"/>
              <w:adjustRightInd w:val="0"/>
              <w:snapToGrid w:val="0"/>
              <w:jc w:val="left"/>
              <w:rPr>
                <w:rFonts w:ascii="宋体" w:hAnsi="宋体" w:eastAsia="宋体" w:cs="Times New Roman"/>
                <w:szCs w:val="21"/>
              </w:rPr>
            </w:pPr>
            <w:r>
              <w:rPr>
                <w:rFonts w:hint="eastAsia" w:ascii="宋体" w:hAnsi="宋体" w:eastAsia="宋体" w:cs="宋体"/>
                <w:szCs w:val="21"/>
              </w:rPr>
              <w:t>详见第四章“</w:t>
            </w:r>
            <w:r>
              <w:rPr>
                <w:rFonts w:hint="eastAsia" w:ascii="宋体" w:hAnsi="宋体" w:eastAsia="宋体" w:cs="Times New Roman"/>
                <w:szCs w:val="21"/>
              </w:rPr>
              <w:t>采购需求</w:t>
            </w:r>
            <w:r>
              <w:rPr>
                <w:rFonts w:hint="eastAsia" w:ascii="宋体" w:hAnsi="宋体" w:eastAsia="宋体" w:cs="宋体"/>
                <w:szCs w:val="21"/>
              </w:rPr>
              <w:t>”</w:t>
            </w:r>
          </w:p>
        </w:tc>
      </w:tr>
      <w:tr w14:paraId="791780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67B07B24">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4CED0611">
            <w:pPr>
              <w:adjustRightInd w:val="0"/>
              <w:snapToGrid w:val="0"/>
              <w:jc w:val="center"/>
              <w:rPr>
                <w:rFonts w:ascii="宋体" w:hAnsi="宋体" w:eastAsia="宋体" w:cs="Times New Roman"/>
                <w:szCs w:val="21"/>
              </w:rPr>
            </w:pPr>
            <w:r>
              <w:rPr>
                <w:rFonts w:hint="eastAsia" w:ascii="宋体" w:hAnsi="宋体" w:eastAsia="宋体" w:cs="Times New Roman"/>
                <w:szCs w:val="21"/>
              </w:rPr>
              <w:t>第14.2（6） 项</w:t>
            </w:r>
          </w:p>
        </w:tc>
        <w:tc>
          <w:tcPr>
            <w:tcW w:w="1022" w:type="pct"/>
            <w:noWrap w:val="0"/>
            <w:vAlign w:val="center"/>
          </w:tcPr>
          <w:p w14:paraId="27D014A5">
            <w:pPr>
              <w:adjustRightInd w:val="0"/>
              <w:snapToGrid w:val="0"/>
              <w:jc w:val="left"/>
              <w:rPr>
                <w:rFonts w:ascii="宋体" w:hAnsi="宋体" w:eastAsia="宋体" w:cs="Times New Roman"/>
                <w:szCs w:val="21"/>
              </w:rPr>
            </w:pPr>
            <w:r>
              <w:rPr>
                <w:rFonts w:hint="eastAsia" w:ascii="宋体" w:hAnsi="宋体" w:eastAsia="宋体" w:cs="Times New Roman"/>
                <w:szCs w:val="21"/>
              </w:rPr>
              <w:t>伴随服务</w:t>
            </w:r>
          </w:p>
        </w:tc>
        <w:tc>
          <w:tcPr>
            <w:tcW w:w="3032" w:type="pct"/>
            <w:noWrap w:val="0"/>
            <w:vAlign w:val="center"/>
          </w:tcPr>
          <w:p w14:paraId="4A538CEC">
            <w:pPr>
              <w:pStyle w:val="31"/>
              <w:adjustRightInd w:val="0"/>
              <w:snapToGrid w:val="0"/>
              <w:jc w:val="left"/>
              <w:rPr>
                <w:rFonts w:ascii="宋体" w:hAnsi="宋体" w:eastAsia="宋体" w:cs="Times New Roman"/>
                <w:szCs w:val="21"/>
              </w:rPr>
            </w:pPr>
            <w:r>
              <w:rPr>
                <w:rFonts w:hint="eastAsia" w:ascii="宋体" w:hAnsi="宋体" w:eastAsia="宋体" w:cs="Times New Roman"/>
                <w:szCs w:val="21"/>
              </w:rPr>
              <w:t>详见第四章“采购需求”</w:t>
            </w:r>
          </w:p>
        </w:tc>
      </w:tr>
      <w:tr w14:paraId="05C8FB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317165CB">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78DAF433">
            <w:pPr>
              <w:adjustRightInd w:val="0"/>
              <w:snapToGrid w:val="0"/>
              <w:jc w:val="center"/>
              <w:rPr>
                <w:rFonts w:ascii="宋体" w:hAnsi="宋体" w:eastAsia="宋体" w:cs="Times New Roman"/>
                <w:bCs/>
                <w:szCs w:val="21"/>
              </w:rPr>
            </w:pPr>
            <w:r>
              <w:rPr>
                <w:rFonts w:hint="eastAsia" w:ascii="宋体" w:hAnsi="宋体" w:eastAsia="宋体" w:cs="Times New Roman"/>
                <w:szCs w:val="21"/>
              </w:rPr>
              <w:t>第20.2款</w:t>
            </w:r>
          </w:p>
        </w:tc>
        <w:tc>
          <w:tcPr>
            <w:tcW w:w="1022" w:type="pct"/>
            <w:noWrap w:val="0"/>
            <w:vAlign w:val="center"/>
          </w:tcPr>
          <w:p w14:paraId="071E6AD6">
            <w:pPr>
              <w:adjustRightInd w:val="0"/>
              <w:snapToGrid w:val="0"/>
              <w:jc w:val="left"/>
              <w:rPr>
                <w:rFonts w:ascii="宋体" w:hAnsi="宋体" w:eastAsia="宋体" w:cs="Times New Roman"/>
                <w:bCs/>
                <w:szCs w:val="21"/>
              </w:rPr>
            </w:pPr>
            <w:r>
              <w:rPr>
                <w:rFonts w:hint="eastAsia" w:ascii="宋体" w:hAnsi="宋体" w:eastAsia="宋体" w:cs="Times New Roman"/>
                <w:szCs w:val="21"/>
              </w:rPr>
              <w:t>解决争议的方式</w:t>
            </w:r>
          </w:p>
        </w:tc>
        <w:tc>
          <w:tcPr>
            <w:tcW w:w="3032" w:type="pct"/>
            <w:noWrap w:val="0"/>
            <w:vAlign w:val="center"/>
          </w:tcPr>
          <w:p w14:paraId="0190999A">
            <w:pPr>
              <w:pStyle w:val="31"/>
              <w:adjustRightInd w:val="0"/>
              <w:snapToGrid w:val="0"/>
              <w:jc w:val="left"/>
              <w:rPr>
                <w:rFonts w:ascii="宋体" w:hAnsi="宋体" w:eastAsia="宋体" w:cs="Times New Roman"/>
                <w:szCs w:val="21"/>
              </w:rPr>
            </w:pPr>
            <w:r>
              <w:rPr>
                <w:rFonts w:hint="eastAsia" w:ascii="宋体" w:hAnsi="宋体" w:eastAsia="宋体" w:cs="Times New Roman"/>
                <w:szCs w:val="21"/>
              </w:rPr>
              <w:t xml:space="preserve">☑ </w:t>
            </w:r>
            <w:r>
              <w:rPr>
                <w:rFonts w:ascii="Wingdings 2" w:hAnsi="Wingdings 2" w:eastAsia="宋体" w:cs="MS Mincho"/>
                <w:szCs w:val="21"/>
              </w:rPr>
              <w:t></w:t>
            </w:r>
            <w:r>
              <w:rPr>
                <w:rFonts w:hint="eastAsia" w:ascii="宋体" w:hAnsi="宋体" w:eastAsia="宋体" w:cs="Times New Roman"/>
                <w:szCs w:val="21"/>
              </w:rPr>
              <w:t>诉讼</w:t>
            </w:r>
          </w:p>
          <w:p w14:paraId="16ED4762">
            <w:pPr>
              <w:pStyle w:val="31"/>
              <w:adjustRightInd w:val="0"/>
              <w:snapToGrid w:val="0"/>
              <w:jc w:val="left"/>
              <w:rPr>
                <w:rFonts w:ascii="宋体" w:hAnsi="宋体" w:eastAsia="宋体" w:cs="Times New Roman"/>
                <w:szCs w:val="21"/>
              </w:rPr>
            </w:pPr>
            <w:r>
              <w:rPr>
                <w:rFonts w:hint="eastAsia" w:ascii="宋体" w:hAnsi="宋体" w:eastAsia="宋体" w:cs="Times New Roman"/>
                <w:szCs w:val="21"/>
              </w:rPr>
              <w:t>□   仲裁</w:t>
            </w:r>
          </w:p>
        </w:tc>
      </w:tr>
      <w:tr w14:paraId="7C4D8E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44" w:type="pct"/>
            <w:noWrap w:val="0"/>
            <w:vAlign w:val="center"/>
          </w:tcPr>
          <w:p w14:paraId="72D4F32E">
            <w:pPr>
              <w:adjustRightInd w:val="0"/>
              <w:snapToGrid w:val="0"/>
              <w:jc w:val="center"/>
              <w:rPr>
                <w:rFonts w:ascii="宋体" w:hAnsi="宋体" w:eastAsia="宋体" w:cs="Times New Roman"/>
                <w:szCs w:val="21"/>
              </w:rPr>
            </w:pPr>
            <w:r>
              <w:rPr>
                <w:rFonts w:hint="eastAsia" w:ascii="宋体" w:hAnsi="宋体" w:eastAsia="宋体" w:cs="Times New Roman"/>
                <w:szCs w:val="21"/>
              </w:rPr>
              <w:t>第三章</w:t>
            </w:r>
          </w:p>
          <w:p w14:paraId="1C5EFE04">
            <w:pPr>
              <w:adjustRightInd w:val="0"/>
              <w:snapToGrid w:val="0"/>
              <w:jc w:val="center"/>
              <w:rPr>
                <w:rFonts w:ascii="宋体" w:hAnsi="宋体" w:eastAsia="宋体" w:cs="Times New Roman"/>
                <w:szCs w:val="21"/>
              </w:rPr>
            </w:pPr>
            <w:r>
              <w:rPr>
                <w:rFonts w:hint="eastAsia" w:ascii="宋体" w:hAnsi="宋体" w:eastAsia="宋体" w:cs="Times New Roman"/>
                <w:szCs w:val="21"/>
              </w:rPr>
              <w:t>第23.1款</w:t>
            </w:r>
          </w:p>
        </w:tc>
        <w:tc>
          <w:tcPr>
            <w:tcW w:w="1022" w:type="pct"/>
            <w:noWrap w:val="0"/>
            <w:vAlign w:val="center"/>
          </w:tcPr>
          <w:p w14:paraId="0A8D1000">
            <w:pPr>
              <w:adjustRightInd w:val="0"/>
              <w:snapToGrid w:val="0"/>
              <w:jc w:val="left"/>
              <w:rPr>
                <w:rFonts w:ascii="宋体" w:hAnsi="宋体" w:eastAsia="宋体" w:cs="Times New Roman"/>
                <w:szCs w:val="21"/>
              </w:rPr>
            </w:pPr>
            <w:r>
              <w:rPr>
                <w:rFonts w:hint="eastAsia" w:ascii="宋体" w:hAnsi="宋体" w:eastAsia="宋体" w:cs="Times New Roman"/>
                <w:bCs/>
                <w:szCs w:val="21"/>
              </w:rPr>
              <w:t>合同未尽事项</w:t>
            </w:r>
          </w:p>
        </w:tc>
        <w:tc>
          <w:tcPr>
            <w:tcW w:w="3032" w:type="pct"/>
            <w:noWrap w:val="0"/>
            <w:vAlign w:val="center"/>
          </w:tcPr>
          <w:p w14:paraId="3494C2A3">
            <w:pPr>
              <w:pStyle w:val="31"/>
              <w:adjustRightInd w:val="0"/>
              <w:snapToGrid w:val="0"/>
              <w:jc w:val="left"/>
              <w:rPr>
                <w:rFonts w:ascii="宋体" w:hAnsi="宋体" w:eastAsia="宋体" w:cs="Times New Roman"/>
                <w:szCs w:val="21"/>
              </w:rPr>
            </w:pPr>
            <w:r>
              <w:rPr>
                <w:rFonts w:hint="eastAsia" w:ascii="宋体" w:hAnsi="宋体" w:eastAsia="宋体" w:cs="宋体"/>
                <w:szCs w:val="21"/>
              </w:rPr>
              <w:t>由甲乙双方共同协商解决。</w:t>
            </w:r>
          </w:p>
        </w:tc>
      </w:tr>
    </w:tbl>
    <w:p w14:paraId="63176D59">
      <w:pPr>
        <w:adjustRightInd w:val="0"/>
        <w:snapToGrid w:val="0"/>
        <w:spacing w:line="360" w:lineRule="auto"/>
        <w:jc w:val="center"/>
        <w:rPr>
          <w:rFonts w:hint="eastAsia" w:ascii="宋体" w:hAnsi="宋体" w:eastAsia="宋体" w:cs="Times New Roman"/>
          <w:szCs w:val="21"/>
          <w:u w:val="single"/>
        </w:rPr>
      </w:pPr>
    </w:p>
    <w:p w14:paraId="496BBBB6">
      <w:pPr>
        <w:jc w:val="center"/>
        <w:outlineLvl w:val="0"/>
        <w:rPr>
          <w:rFonts w:ascii="仿宋_GB2312" w:hAnsi="黑体" w:eastAsia="仿宋_GB2312"/>
          <w:b/>
          <w:sz w:val="28"/>
          <w:szCs w:val="28"/>
        </w:rPr>
      </w:pPr>
      <w:r>
        <w:rPr>
          <w:rFonts w:hint="eastAsia"/>
          <w:color w:val="000000"/>
        </w:rPr>
        <w:br w:type="page"/>
      </w:r>
      <w:bookmarkStart w:id="34" w:name="_Toc27766"/>
      <w:r>
        <w:rPr>
          <w:rFonts w:hint="eastAsia" w:ascii="宋体" w:hAnsi="宋体" w:cs="宋体"/>
          <w:b/>
          <w:sz w:val="32"/>
          <w:szCs w:val="32"/>
        </w:rPr>
        <w:t>第四章采购需求</w:t>
      </w:r>
      <w:bookmarkEnd w:id="34"/>
      <w:bookmarkStart w:id="35" w:name="_Toc30451"/>
      <w:bookmarkStart w:id="36" w:name="_Toc11879751"/>
      <w:bookmarkStart w:id="37" w:name="_Toc11879250"/>
      <w:bookmarkStart w:id="38" w:name="_Toc11879750"/>
    </w:p>
    <w:p w14:paraId="5D2D5FCE">
      <w:pPr>
        <w:widowControl w:val="0"/>
        <w:spacing w:after="120"/>
        <w:ind w:left="0" w:leftChars="0" w:firstLine="0" w:firstLineChars="0"/>
        <w:jc w:val="center"/>
        <w:rPr>
          <w:rFonts w:hint="default" w:ascii="Times New Roman" w:hAnsi="Times New Roman" w:eastAsia="宋体" w:cs="Times New Roman"/>
          <w:color w:val="000000" w:themeColor="text1"/>
          <w:kern w:val="2"/>
          <w:sz w:val="36"/>
          <w:szCs w:val="36"/>
          <w:lang w:val="en-US" w:eastAsia="zh-CN" w:bidi="ar-SA"/>
          <w14:textFill>
            <w14:solidFill>
              <w14:schemeClr w14:val="tx1"/>
            </w14:solidFill>
          </w14:textFill>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采 购 需 求 一 览 表</w:t>
      </w:r>
    </w:p>
    <w:tbl>
      <w:tblPr>
        <w:tblStyle w:val="18"/>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4530"/>
        <w:gridCol w:w="1680"/>
        <w:gridCol w:w="1995"/>
      </w:tblGrid>
      <w:tr w14:paraId="6819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2498840">
            <w:pPr>
              <w:keepNext w:val="0"/>
              <w:keepLines w:val="0"/>
              <w:widowControl/>
              <w:suppressLineNumbers w:val="0"/>
              <w:jc w:val="center"/>
              <w:textAlignment w:val="center"/>
              <w:rPr>
                <w:rFonts w:ascii="仿宋_GB2312" w:hAnsi="宋体" w:eastAsia="仿宋_GB2312" w:cs="仿宋_GB2312"/>
                <w:b/>
                <w:bCs/>
                <w:i w:val="0"/>
                <w:iCs w:val="0"/>
                <w:color w:val="000000" w:themeColor="text1"/>
                <w:sz w:val="28"/>
                <w:szCs w:val="28"/>
                <w:u w:val="none"/>
                <w14:textFill>
                  <w14:solidFill>
                    <w14:schemeClr w14:val="tx1"/>
                  </w14:solidFill>
                </w14:textFill>
              </w:rPr>
            </w:pPr>
            <w:r>
              <w:rPr>
                <w:rFonts w:hint="default"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序</w:t>
            </w:r>
            <w:r>
              <w:rPr>
                <w:rStyle w:val="32"/>
                <w:rFonts w:hAnsi="宋体"/>
                <w:color w:val="000000" w:themeColor="text1"/>
                <w:lang w:val="en-US" w:eastAsia="zh-CN" w:bidi="ar"/>
                <w14:textFill>
                  <w14:solidFill>
                    <w14:schemeClr w14:val="tx1"/>
                  </w14:solidFill>
                </w14:textFill>
              </w:rPr>
              <w:t>号</w:t>
            </w:r>
          </w:p>
        </w:tc>
        <w:tc>
          <w:tcPr>
            <w:tcW w:w="4530" w:type="dxa"/>
            <w:tcBorders>
              <w:top w:val="single" w:color="000000" w:sz="8" w:space="0"/>
              <w:left w:val="single" w:color="000000" w:sz="8" w:space="0"/>
              <w:bottom w:val="single" w:color="000000" w:sz="8" w:space="0"/>
              <w:right w:val="single" w:color="000000" w:sz="8" w:space="0"/>
            </w:tcBorders>
            <w:noWrap w:val="0"/>
            <w:vAlign w:val="center"/>
          </w:tcPr>
          <w:p w14:paraId="226AD3C7">
            <w:pPr>
              <w:keepNext w:val="0"/>
              <w:keepLines w:val="0"/>
              <w:widowControl/>
              <w:suppressLineNumbers w:val="0"/>
              <w:jc w:val="center"/>
              <w:textAlignment w:val="center"/>
              <w:rPr>
                <w:rFonts w:hint="default" w:ascii="仿宋_GB2312" w:hAnsi="宋体" w:eastAsia="仿宋_GB2312" w:cs="仿宋_GB2312"/>
                <w:b/>
                <w:bCs/>
                <w:i w:val="0"/>
                <w:iCs w:val="0"/>
                <w:color w:val="000000" w:themeColor="text1"/>
                <w:sz w:val="28"/>
                <w:szCs w:val="28"/>
                <w:u w:val="none"/>
                <w14:textFill>
                  <w14:solidFill>
                    <w14:schemeClr w14:val="tx1"/>
                  </w14:solidFill>
                </w14:textFill>
              </w:rPr>
            </w:pPr>
            <w:r>
              <w:rPr>
                <w:rFonts w:hint="default"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高山台站站点名称</w:t>
            </w:r>
          </w:p>
        </w:tc>
        <w:tc>
          <w:tcPr>
            <w:tcW w:w="1680" w:type="dxa"/>
            <w:tcBorders>
              <w:top w:val="single" w:color="000000" w:sz="8" w:space="0"/>
              <w:left w:val="single" w:color="000000" w:sz="8" w:space="0"/>
              <w:bottom w:val="single" w:color="000000" w:sz="8" w:space="0"/>
              <w:right w:val="single" w:color="000000" w:sz="8" w:space="0"/>
            </w:tcBorders>
            <w:noWrap w:val="0"/>
            <w:vAlign w:val="center"/>
          </w:tcPr>
          <w:p w14:paraId="10B48CF7">
            <w:pPr>
              <w:keepNext w:val="0"/>
              <w:keepLines w:val="0"/>
              <w:widowControl/>
              <w:suppressLineNumbers w:val="0"/>
              <w:jc w:val="center"/>
              <w:textAlignment w:val="center"/>
              <w:rPr>
                <w:rFonts w:hint="default" w:ascii="仿宋_GB2312" w:hAnsi="宋体" w:eastAsia="仿宋_GB2312" w:cs="仿宋_GB2312"/>
                <w:b/>
                <w:bCs/>
                <w:i w:val="0"/>
                <w:iCs w:val="0"/>
                <w:color w:val="000000" w:themeColor="text1"/>
                <w:sz w:val="28"/>
                <w:szCs w:val="28"/>
                <w:u w:val="none"/>
                <w14:textFill>
                  <w14:solidFill>
                    <w14:schemeClr w14:val="tx1"/>
                  </w14:solidFill>
                </w14:textFill>
              </w:rPr>
            </w:pPr>
            <w:r>
              <w:rPr>
                <w:rFonts w:hint="default"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组合电源柜数</w:t>
            </w:r>
            <w:r>
              <w:rPr>
                <w:rStyle w:val="32"/>
                <w:rFonts w:hAnsi="宋体"/>
                <w:color w:val="000000" w:themeColor="text1"/>
                <w:lang w:val="en-US" w:eastAsia="zh-CN" w:bidi="ar"/>
                <w14:textFill>
                  <w14:solidFill>
                    <w14:schemeClr w14:val="tx1"/>
                  </w14:solidFill>
                </w14:textFill>
              </w:rPr>
              <w:t>量</w:t>
            </w:r>
          </w:p>
        </w:tc>
        <w:tc>
          <w:tcPr>
            <w:tcW w:w="1995" w:type="dxa"/>
            <w:tcBorders>
              <w:top w:val="single" w:color="000000" w:sz="8" w:space="0"/>
              <w:left w:val="single" w:color="000000" w:sz="8" w:space="0"/>
              <w:bottom w:val="single" w:color="000000" w:sz="8" w:space="0"/>
              <w:right w:val="single" w:color="000000" w:sz="8" w:space="0"/>
            </w:tcBorders>
            <w:noWrap w:val="0"/>
            <w:vAlign w:val="center"/>
          </w:tcPr>
          <w:p w14:paraId="0C19AC40">
            <w:pPr>
              <w:keepNext w:val="0"/>
              <w:keepLines w:val="0"/>
              <w:widowControl/>
              <w:suppressLineNumbers w:val="0"/>
              <w:jc w:val="center"/>
              <w:textAlignment w:val="center"/>
              <w:rPr>
                <w:rFonts w:hint="default" w:ascii="仿宋_GB2312" w:hAnsi="宋体" w:eastAsia="仿宋_GB2312" w:cs="仿宋_GB2312"/>
                <w:b/>
                <w:bCs/>
                <w:i w:val="0"/>
                <w:iCs w:val="0"/>
                <w:color w:val="000000" w:themeColor="text1"/>
                <w:sz w:val="28"/>
                <w:szCs w:val="28"/>
                <w:u w:val="none"/>
                <w14:textFill>
                  <w14:solidFill>
                    <w14:schemeClr w14:val="tx1"/>
                  </w14:solidFill>
                </w14:textFill>
              </w:rPr>
            </w:pPr>
            <w:r>
              <w:rPr>
                <w:rFonts w:hint="default" w:ascii="仿宋_GB2312" w:hAnsi="宋体" w:eastAsia="仿宋_GB2312" w:cs="仿宋_GB2312"/>
                <w:b/>
                <w:bCs/>
                <w:i w:val="0"/>
                <w:iCs w:val="0"/>
                <w:color w:val="000000" w:themeColor="text1"/>
                <w:kern w:val="0"/>
                <w:sz w:val="28"/>
                <w:szCs w:val="28"/>
                <w:u w:val="none"/>
                <w:lang w:val="en-US" w:eastAsia="zh-CN" w:bidi="ar"/>
                <w14:textFill>
                  <w14:solidFill>
                    <w14:schemeClr w14:val="tx1"/>
                  </w14:solidFill>
                </w14:textFill>
              </w:rPr>
              <w:t>开关电源模块数量</w:t>
            </w:r>
          </w:p>
        </w:tc>
      </w:tr>
      <w:tr w14:paraId="0433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120156F8">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4530" w:type="dxa"/>
            <w:tcBorders>
              <w:top w:val="nil"/>
              <w:left w:val="single" w:color="000000" w:sz="8" w:space="0"/>
              <w:bottom w:val="single" w:color="000000" w:sz="8" w:space="0"/>
              <w:right w:val="single" w:color="000000" w:sz="8" w:space="0"/>
            </w:tcBorders>
            <w:noWrap w:val="0"/>
            <w:vAlign w:val="top"/>
          </w:tcPr>
          <w:p w14:paraId="27B05A2D">
            <w:pPr>
              <w:keepNext w:val="0"/>
              <w:keepLines w:val="0"/>
              <w:widowControl/>
              <w:suppressLineNumbers w:val="0"/>
              <w:jc w:val="left"/>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长沙德雅苑</w:t>
            </w:r>
          </w:p>
        </w:tc>
        <w:tc>
          <w:tcPr>
            <w:tcW w:w="1680" w:type="dxa"/>
            <w:tcBorders>
              <w:top w:val="nil"/>
              <w:left w:val="single" w:color="000000" w:sz="8" w:space="0"/>
              <w:bottom w:val="single" w:color="000000" w:sz="8" w:space="0"/>
              <w:right w:val="single" w:color="000000" w:sz="8" w:space="0"/>
            </w:tcBorders>
            <w:noWrap w:val="0"/>
            <w:vAlign w:val="top"/>
          </w:tcPr>
          <w:p w14:paraId="682648C4">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7205E40A">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r>
      <w:tr w14:paraId="63DFD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221AB3CA">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w:t>
            </w:r>
          </w:p>
        </w:tc>
        <w:tc>
          <w:tcPr>
            <w:tcW w:w="4530" w:type="dxa"/>
            <w:tcBorders>
              <w:top w:val="single" w:color="000000" w:sz="8" w:space="0"/>
              <w:left w:val="single" w:color="000000" w:sz="8" w:space="0"/>
              <w:bottom w:val="single" w:color="000000" w:sz="8" w:space="0"/>
              <w:right w:val="single" w:color="000000" w:sz="8" w:space="0"/>
            </w:tcBorders>
            <w:noWrap w:val="0"/>
            <w:vAlign w:val="top"/>
          </w:tcPr>
          <w:p w14:paraId="2692C5C5">
            <w:pPr>
              <w:keepNext w:val="0"/>
              <w:keepLines w:val="0"/>
              <w:widowControl/>
              <w:suppressLineNumbers w:val="0"/>
              <w:jc w:val="left"/>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湖南省南岳电视调频发射台</w:t>
            </w:r>
          </w:p>
        </w:tc>
        <w:tc>
          <w:tcPr>
            <w:tcW w:w="1680" w:type="dxa"/>
            <w:tcBorders>
              <w:top w:val="nil"/>
              <w:left w:val="single" w:color="000000" w:sz="8" w:space="0"/>
              <w:bottom w:val="single" w:color="000000" w:sz="8" w:space="0"/>
              <w:right w:val="single" w:color="000000" w:sz="8" w:space="0"/>
            </w:tcBorders>
            <w:noWrap w:val="0"/>
            <w:vAlign w:val="top"/>
          </w:tcPr>
          <w:p w14:paraId="7A3EAF84">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747FFD5A">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4</w:t>
            </w:r>
          </w:p>
        </w:tc>
      </w:tr>
      <w:tr w14:paraId="07C8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7FE71961">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BF0E165">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益阳电视调频转播台</w:t>
            </w:r>
          </w:p>
        </w:tc>
        <w:tc>
          <w:tcPr>
            <w:tcW w:w="1680" w:type="dxa"/>
            <w:tcBorders>
              <w:top w:val="nil"/>
              <w:left w:val="single" w:color="000000" w:sz="8" w:space="0"/>
              <w:bottom w:val="single" w:color="000000" w:sz="8" w:space="0"/>
              <w:right w:val="single" w:color="000000" w:sz="8" w:space="0"/>
            </w:tcBorders>
            <w:noWrap w:val="0"/>
            <w:vAlign w:val="top"/>
          </w:tcPr>
          <w:p w14:paraId="14B0427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31B04DE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100E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3A5BCFD0">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4</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6C86AEF">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常德电视调频转播台</w:t>
            </w:r>
          </w:p>
        </w:tc>
        <w:tc>
          <w:tcPr>
            <w:tcW w:w="1680" w:type="dxa"/>
            <w:tcBorders>
              <w:top w:val="nil"/>
              <w:left w:val="single" w:color="000000" w:sz="8" w:space="0"/>
              <w:bottom w:val="single" w:color="000000" w:sz="8" w:space="0"/>
              <w:right w:val="single" w:color="000000" w:sz="8" w:space="0"/>
            </w:tcBorders>
            <w:noWrap w:val="0"/>
            <w:vAlign w:val="top"/>
          </w:tcPr>
          <w:p w14:paraId="4FF32728">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51D48FE8">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4788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1EC1BF9D">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5</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81F4B30">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湖南省石门电视转播台</w:t>
            </w:r>
          </w:p>
        </w:tc>
        <w:tc>
          <w:tcPr>
            <w:tcW w:w="1680" w:type="dxa"/>
            <w:tcBorders>
              <w:top w:val="nil"/>
              <w:left w:val="single" w:color="000000" w:sz="8" w:space="0"/>
              <w:bottom w:val="single" w:color="000000" w:sz="8" w:space="0"/>
              <w:right w:val="single" w:color="000000" w:sz="8" w:space="0"/>
            </w:tcBorders>
            <w:noWrap w:val="0"/>
            <w:vAlign w:val="top"/>
          </w:tcPr>
          <w:p w14:paraId="0FD0E346">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21B8621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1D3AC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1D7ECAB3">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6</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8660F80">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慈利县太平山电视调频转播台</w:t>
            </w:r>
          </w:p>
        </w:tc>
        <w:tc>
          <w:tcPr>
            <w:tcW w:w="1680" w:type="dxa"/>
            <w:tcBorders>
              <w:top w:val="nil"/>
              <w:left w:val="single" w:color="000000" w:sz="8" w:space="0"/>
              <w:bottom w:val="single" w:color="000000" w:sz="8" w:space="0"/>
              <w:right w:val="single" w:color="000000" w:sz="8" w:space="0"/>
            </w:tcBorders>
            <w:noWrap w:val="0"/>
            <w:vAlign w:val="top"/>
          </w:tcPr>
          <w:p w14:paraId="7CF667DC">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0DF70D2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4EE5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7CA628F1">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7</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DED714E">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张家界市广播电视微波总站</w:t>
            </w:r>
          </w:p>
        </w:tc>
        <w:tc>
          <w:tcPr>
            <w:tcW w:w="1680" w:type="dxa"/>
            <w:tcBorders>
              <w:top w:val="nil"/>
              <w:left w:val="single" w:color="000000" w:sz="8" w:space="0"/>
              <w:bottom w:val="single" w:color="000000" w:sz="8" w:space="0"/>
              <w:right w:val="single" w:color="000000" w:sz="8" w:space="0"/>
            </w:tcBorders>
            <w:noWrap w:val="0"/>
            <w:vAlign w:val="top"/>
          </w:tcPr>
          <w:p w14:paraId="69289FA1">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22D59DC9">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15D2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03C746F3">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8</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9EE684F">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湘西自治州七六零二台</w:t>
            </w:r>
          </w:p>
        </w:tc>
        <w:tc>
          <w:tcPr>
            <w:tcW w:w="1680" w:type="dxa"/>
            <w:tcBorders>
              <w:top w:val="nil"/>
              <w:left w:val="single" w:color="000000" w:sz="8" w:space="0"/>
              <w:bottom w:val="single" w:color="000000" w:sz="8" w:space="0"/>
              <w:right w:val="single" w:color="000000" w:sz="8" w:space="0"/>
            </w:tcBorders>
            <w:noWrap w:val="0"/>
            <w:vAlign w:val="top"/>
          </w:tcPr>
          <w:p w14:paraId="3F5B709F">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1ED7C7C6">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5763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189AB819">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9</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B4E70FD">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湘西自治州羊峰山电视调频转播台</w:t>
            </w:r>
          </w:p>
        </w:tc>
        <w:tc>
          <w:tcPr>
            <w:tcW w:w="1680" w:type="dxa"/>
            <w:tcBorders>
              <w:top w:val="nil"/>
              <w:left w:val="single" w:color="000000" w:sz="8" w:space="0"/>
              <w:bottom w:val="single" w:color="000000" w:sz="8" w:space="0"/>
              <w:right w:val="single" w:color="000000" w:sz="8" w:space="0"/>
            </w:tcBorders>
            <w:noWrap w:val="0"/>
            <w:vAlign w:val="top"/>
          </w:tcPr>
          <w:p w14:paraId="4A8E178C">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6B78AE6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4017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7484FF03">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10</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DDE2A04">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湘西古丈五里坡发射台</w:t>
            </w:r>
          </w:p>
        </w:tc>
        <w:tc>
          <w:tcPr>
            <w:tcW w:w="1680" w:type="dxa"/>
            <w:tcBorders>
              <w:top w:val="nil"/>
              <w:left w:val="single" w:color="000000" w:sz="8" w:space="0"/>
              <w:bottom w:val="single" w:color="000000" w:sz="8" w:space="0"/>
              <w:right w:val="single" w:color="000000" w:sz="8" w:space="0"/>
            </w:tcBorders>
            <w:noWrap w:val="0"/>
            <w:vAlign w:val="top"/>
          </w:tcPr>
          <w:p w14:paraId="37A28E30">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41C75A71">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3972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0EA637A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11</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E3F422A">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怀化市大中坡电视转播台</w:t>
            </w:r>
          </w:p>
        </w:tc>
        <w:tc>
          <w:tcPr>
            <w:tcW w:w="1680" w:type="dxa"/>
            <w:tcBorders>
              <w:top w:val="nil"/>
              <w:left w:val="single" w:color="000000" w:sz="8" w:space="0"/>
              <w:bottom w:val="single" w:color="000000" w:sz="8" w:space="0"/>
              <w:right w:val="single" w:color="000000" w:sz="8" w:space="0"/>
            </w:tcBorders>
            <w:noWrap w:val="0"/>
            <w:vAlign w:val="top"/>
          </w:tcPr>
          <w:p w14:paraId="1992A6E1">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5F902D1B">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52D8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58749866">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12</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7D78FE8">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怀化市六九零二台</w:t>
            </w:r>
          </w:p>
        </w:tc>
        <w:tc>
          <w:tcPr>
            <w:tcW w:w="1680" w:type="dxa"/>
            <w:tcBorders>
              <w:top w:val="nil"/>
              <w:left w:val="single" w:color="000000" w:sz="8" w:space="0"/>
              <w:bottom w:val="single" w:color="000000" w:sz="8" w:space="0"/>
              <w:right w:val="single" w:color="000000" w:sz="8" w:space="0"/>
            </w:tcBorders>
            <w:noWrap w:val="0"/>
            <w:vAlign w:val="top"/>
          </w:tcPr>
          <w:p w14:paraId="272F6636">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47F289F7">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7000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311A41B0">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13</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B51CA49">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邵阳电视发射台</w:t>
            </w:r>
          </w:p>
        </w:tc>
        <w:tc>
          <w:tcPr>
            <w:tcW w:w="1680" w:type="dxa"/>
            <w:tcBorders>
              <w:top w:val="nil"/>
              <w:left w:val="single" w:color="000000" w:sz="8" w:space="0"/>
              <w:bottom w:val="single" w:color="000000" w:sz="8" w:space="0"/>
              <w:right w:val="single" w:color="000000" w:sz="8" w:space="0"/>
            </w:tcBorders>
            <w:noWrap w:val="0"/>
            <w:vAlign w:val="top"/>
          </w:tcPr>
          <w:p w14:paraId="2DA28F5F">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4E05E528">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79810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5117B5CC">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14</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496C118">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邵阳隆回小沙江微波站</w:t>
            </w:r>
          </w:p>
        </w:tc>
        <w:tc>
          <w:tcPr>
            <w:tcW w:w="1680" w:type="dxa"/>
            <w:tcBorders>
              <w:top w:val="nil"/>
              <w:left w:val="single" w:color="000000" w:sz="8" w:space="0"/>
              <w:bottom w:val="single" w:color="000000" w:sz="8" w:space="0"/>
              <w:right w:val="single" w:color="000000" w:sz="8" w:space="0"/>
            </w:tcBorders>
            <w:noWrap w:val="0"/>
            <w:vAlign w:val="top"/>
          </w:tcPr>
          <w:p w14:paraId="57897C53">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4DBACA4D">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5EB1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11BC8D58">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15</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EECEF22">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永州市大华山电视调频转播台</w:t>
            </w:r>
          </w:p>
        </w:tc>
        <w:tc>
          <w:tcPr>
            <w:tcW w:w="1680" w:type="dxa"/>
            <w:tcBorders>
              <w:top w:val="nil"/>
              <w:left w:val="single" w:color="000000" w:sz="8" w:space="0"/>
              <w:bottom w:val="single" w:color="000000" w:sz="8" w:space="0"/>
              <w:right w:val="single" w:color="000000" w:sz="8" w:space="0"/>
            </w:tcBorders>
            <w:noWrap w:val="0"/>
            <w:vAlign w:val="top"/>
          </w:tcPr>
          <w:p w14:paraId="56020EB8">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6EF7F400">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7D1C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45E0DEC5">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16</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FD215EF">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永州市羊毛岭电视调频转播台</w:t>
            </w:r>
          </w:p>
        </w:tc>
        <w:tc>
          <w:tcPr>
            <w:tcW w:w="1680" w:type="dxa"/>
            <w:tcBorders>
              <w:top w:val="nil"/>
              <w:left w:val="single" w:color="000000" w:sz="8" w:space="0"/>
              <w:bottom w:val="single" w:color="000000" w:sz="8" w:space="0"/>
              <w:right w:val="single" w:color="000000" w:sz="8" w:space="0"/>
            </w:tcBorders>
            <w:noWrap w:val="0"/>
            <w:vAlign w:val="top"/>
          </w:tcPr>
          <w:p w14:paraId="4C8B713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26DDEF28">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7CD3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66A9C221">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17</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B0CEC6A">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永州铜山岭电视调频转播台</w:t>
            </w:r>
          </w:p>
        </w:tc>
        <w:tc>
          <w:tcPr>
            <w:tcW w:w="1680" w:type="dxa"/>
            <w:tcBorders>
              <w:top w:val="nil"/>
              <w:left w:val="single" w:color="000000" w:sz="8" w:space="0"/>
              <w:bottom w:val="single" w:color="000000" w:sz="8" w:space="0"/>
              <w:right w:val="single" w:color="000000" w:sz="8" w:space="0"/>
            </w:tcBorders>
            <w:noWrap w:val="0"/>
            <w:vAlign w:val="top"/>
          </w:tcPr>
          <w:p w14:paraId="0CD8F63A">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606CBC8B">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2823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57E454F5">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18</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C2E9321">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永州阳明山微波站</w:t>
            </w:r>
          </w:p>
        </w:tc>
        <w:tc>
          <w:tcPr>
            <w:tcW w:w="1680" w:type="dxa"/>
            <w:tcBorders>
              <w:top w:val="nil"/>
              <w:left w:val="single" w:color="000000" w:sz="8" w:space="0"/>
              <w:bottom w:val="single" w:color="000000" w:sz="8" w:space="0"/>
              <w:right w:val="single" w:color="000000" w:sz="8" w:space="0"/>
            </w:tcBorders>
            <w:noWrap w:val="0"/>
            <w:vAlign w:val="top"/>
          </w:tcPr>
          <w:p w14:paraId="5EC2B6C6">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41264EFB">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5197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114FD29B">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19</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CF3CECD">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郴州电视调频转播台-苏仙岭</w:t>
            </w:r>
          </w:p>
        </w:tc>
        <w:tc>
          <w:tcPr>
            <w:tcW w:w="1680" w:type="dxa"/>
            <w:tcBorders>
              <w:top w:val="nil"/>
              <w:left w:val="single" w:color="000000" w:sz="8" w:space="0"/>
              <w:bottom w:val="single" w:color="000000" w:sz="8" w:space="0"/>
              <w:right w:val="single" w:color="000000" w:sz="8" w:space="0"/>
            </w:tcBorders>
            <w:noWrap w:val="0"/>
            <w:vAlign w:val="top"/>
          </w:tcPr>
          <w:p w14:paraId="4E5D9B44">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45E4822A">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28ED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27C11EB2">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20</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8595CF2">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郴州电视调频转播台-泗州山</w:t>
            </w:r>
          </w:p>
        </w:tc>
        <w:tc>
          <w:tcPr>
            <w:tcW w:w="1680" w:type="dxa"/>
            <w:tcBorders>
              <w:top w:val="nil"/>
              <w:left w:val="single" w:color="000000" w:sz="8" w:space="0"/>
              <w:bottom w:val="single" w:color="000000" w:sz="8" w:space="0"/>
              <w:right w:val="single" w:color="000000" w:sz="8" w:space="0"/>
            </w:tcBorders>
            <w:noWrap w:val="0"/>
            <w:vAlign w:val="top"/>
          </w:tcPr>
          <w:p w14:paraId="582DDACD">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1050CD00">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51F0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56902F05">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21</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69D0F97">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冷水江电视转播台-白果岭</w:t>
            </w:r>
          </w:p>
        </w:tc>
        <w:tc>
          <w:tcPr>
            <w:tcW w:w="1680" w:type="dxa"/>
            <w:tcBorders>
              <w:top w:val="nil"/>
              <w:left w:val="single" w:color="000000" w:sz="8" w:space="0"/>
              <w:bottom w:val="single" w:color="000000" w:sz="8" w:space="0"/>
              <w:right w:val="single" w:color="000000" w:sz="8" w:space="0"/>
            </w:tcBorders>
            <w:noWrap w:val="0"/>
            <w:vAlign w:val="top"/>
          </w:tcPr>
          <w:p w14:paraId="67049987">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513780AC">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449B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6FBE8D89">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22</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843D9BF">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娄底市电视转播台-苦竹山</w:t>
            </w:r>
          </w:p>
        </w:tc>
        <w:tc>
          <w:tcPr>
            <w:tcW w:w="1680" w:type="dxa"/>
            <w:tcBorders>
              <w:top w:val="nil"/>
              <w:left w:val="single" w:color="000000" w:sz="8" w:space="0"/>
              <w:bottom w:val="single" w:color="000000" w:sz="8" w:space="0"/>
              <w:right w:val="single" w:color="000000" w:sz="8" w:space="0"/>
            </w:tcBorders>
            <w:noWrap w:val="0"/>
            <w:vAlign w:val="top"/>
          </w:tcPr>
          <w:p w14:paraId="23D71FA9">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1EB215EE">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11C4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000000" w:sz="8" w:space="0"/>
              <w:right w:val="single" w:color="000000" w:sz="8" w:space="0"/>
            </w:tcBorders>
            <w:noWrap w:val="0"/>
            <w:vAlign w:val="top"/>
          </w:tcPr>
          <w:p w14:paraId="4FEEF4F5">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23</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AB54EB2">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岳阳电视转播台-达摩岭</w:t>
            </w:r>
          </w:p>
        </w:tc>
        <w:tc>
          <w:tcPr>
            <w:tcW w:w="1680" w:type="dxa"/>
            <w:tcBorders>
              <w:top w:val="nil"/>
              <w:left w:val="single" w:color="000000" w:sz="8" w:space="0"/>
              <w:bottom w:val="single" w:color="000000" w:sz="8" w:space="0"/>
              <w:right w:val="single" w:color="000000" w:sz="8" w:space="0"/>
            </w:tcBorders>
            <w:noWrap w:val="0"/>
            <w:vAlign w:val="top"/>
          </w:tcPr>
          <w:p w14:paraId="42D83501">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5B1EBAFF">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5B06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nil"/>
              <w:left w:val="single" w:color="000000" w:sz="8" w:space="0"/>
              <w:bottom w:val="single" w:color="auto" w:sz="4" w:space="0"/>
              <w:right w:val="single" w:color="000000" w:sz="8" w:space="0"/>
            </w:tcBorders>
            <w:noWrap w:val="0"/>
            <w:vAlign w:val="top"/>
          </w:tcPr>
          <w:p w14:paraId="1E4147A7">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24</w:t>
            </w:r>
          </w:p>
        </w:tc>
        <w:tc>
          <w:tcPr>
            <w:tcW w:w="0" w:type="auto"/>
            <w:tcBorders>
              <w:top w:val="single" w:color="000000" w:sz="8" w:space="0"/>
              <w:left w:val="single" w:color="000000" w:sz="8" w:space="0"/>
              <w:bottom w:val="single" w:color="auto" w:sz="4" w:space="0"/>
              <w:right w:val="single" w:color="000000" w:sz="8" w:space="0"/>
            </w:tcBorders>
            <w:noWrap/>
            <w:vAlign w:val="center"/>
          </w:tcPr>
          <w:p w14:paraId="3406E949">
            <w:pPr>
              <w:keepNext w:val="0"/>
              <w:keepLines w:val="0"/>
              <w:widowControl/>
              <w:suppressLineNumbers w:val="0"/>
              <w:jc w:val="left"/>
              <w:textAlignment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岳阳电视转播台-金</w:t>
            </w: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鹗</w:t>
            </w: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山</w:t>
            </w:r>
          </w:p>
        </w:tc>
        <w:tc>
          <w:tcPr>
            <w:tcW w:w="1680" w:type="dxa"/>
            <w:tcBorders>
              <w:top w:val="nil"/>
              <w:left w:val="single" w:color="000000" w:sz="8" w:space="0"/>
              <w:bottom w:val="single" w:color="000000" w:sz="8" w:space="0"/>
              <w:right w:val="single" w:color="000000" w:sz="8" w:space="0"/>
            </w:tcBorders>
            <w:noWrap w:val="0"/>
            <w:vAlign w:val="top"/>
          </w:tcPr>
          <w:p w14:paraId="45899436">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1</w:t>
            </w:r>
          </w:p>
        </w:tc>
        <w:tc>
          <w:tcPr>
            <w:tcW w:w="1995" w:type="dxa"/>
            <w:tcBorders>
              <w:top w:val="nil"/>
              <w:left w:val="single" w:color="000000" w:sz="8" w:space="0"/>
              <w:bottom w:val="single" w:color="000000" w:sz="8" w:space="0"/>
              <w:right w:val="single" w:color="000000" w:sz="8" w:space="0"/>
            </w:tcBorders>
            <w:noWrap w:val="0"/>
            <w:vAlign w:val="top"/>
          </w:tcPr>
          <w:p w14:paraId="6692DFD7">
            <w:pPr>
              <w:keepNext w:val="0"/>
              <w:keepLines w:val="0"/>
              <w:widowControl/>
              <w:suppressLineNumbers w:val="0"/>
              <w:jc w:val="center"/>
              <w:textAlignment w:val="top"/>
              <w:rPr>
                <w:rFonts w:hint="default" w:ascii="仿宋_GB2312" w:hAnsi="宋体" w:eastAsia="仿宋_GB2312" w:cs="仿宋_GB2312"/>
                <w:i w:val="0"/>
                <w:iCs w:val="0"/>
                <w:color w:val="000000" w:themeColor="text1"/>
                <w:sz w:val="28"/>
                <w:szCs w:val="28"/>
                <w:u w:val="none"/>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3</w:t>
            </w:r>
          </w:p>
        </w:tc>
      </w:tr>
      <w:tr w14:paraId="61E1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0" w:type="dxa"/>
            <w:tcBorders>
              <w:top w:val="single" w:color="auto" w:sz="4" w:space="0"/>
              <w:left w:val="single" w:color="auto" w:sz="4" w:space="0"/>
              <w:bottom w:val="single" w:color="auto" w:sz="4" w:space="0"/>
              <w:right w:val="single" w:color="000000" w:sz="8" w:space="0"/>
            </w:tcBorders>
            <w:noWrap w:val="0"/>
            <w:vAlign w:val="top"/>
          </w:tcPr>
          <w:p w14:paraId="268BE641">
            <w:pPr>
              <w:jc w:val="center"/>
              <w:rPr>
                <w:rFonts w:hint="default" w:ascii="仿宋_GB2312" w:hAnsi="宋体" w:eastAsia="仿宋_GB2312" w:cs="仿宋_GB2312"/>
                <w:i w:val="0"/>
                <w:iCs w:val="0"/>
                <w:color w:val="000000" w:themeColor="text1"/>
                <w:sz w:val="28"/>
                <w:szCs w:val="28"/>
                <w:u w:val="none"/>
                <w14:textFill>
                  <w14:solidFill>
                    <w14:schemeClr w14:val="tx1"/>
                  </w14:solidFill>
                </w14:textFill>
              </w:rPr>
            </w:pPr>
          </w:p>
        </w:tc>
        <w:tc>
          <w:tcPr>
            <w:tcW w:w="0" w:type="auto"/>
            <w:tcBorders>
              <w:top w:val="single" w:color="auto" w:sz="4" w:space="0"/>
              <w:left w:val="single" w:color="000000" w:sz="8" w:space="0"/>
              <w:bottom w:val="single" w:color="auto" w:sz="4" w:space="0"/>
              <w:right w:val="single" w:color="auto" w:sz="4" w:space="0"/>
            </w:tcBorders>
            <w:noWrap/>
            <w:vAlign w:val="center"/>
          </w:tcPr>
          <w:p w14:paraId="190AAFBE">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合计</w:t>
            </w:r>
          </w:p>
        </w:tc>
        <w:tc>
          <w:tcPr>
            <w:tcW w:w="1680" w:type="dxa"/>
            <w:tcBorders>
              <w:top w:val="nil"/>
              <w:left w:val="single" w:color="auto" w:sz="4" w:space="0"/>
              <w:bottom w:val="nil"/>
              <w:right w:val="single" w:color="000000" w:sz="8" w:space="0"/>
            </w:tcBorders>
            <w:noWrap w:val="0"/>
            <w:vAlign w:val="top"/>
          </w:tcPr>
          <w:p w14:paraId="1A8A8DAC">
            <w:pPr>
              <w:keepNext w:val="0"/>
              <w:keepLines w:val="0"/>
              <w:widowControl/>
              <w:suppressLineNumbers w:val="0"/>
              <w:jc w:val="center"/>
              <w:textAlignment w:val="top"/>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24</w:t>
            </w:r>
          </w:p>
        </w:tc>
        <w:tc>
          <w:tcPr>
            <w:tcW w:w="1995" w:type="dxa"/>
            <w:tcBorders>
              <w:top w:val="nil"/>
              <w:left w:val="single" w:color="000000" w:sz="8" w:space="0"/>
              <w:bottom w:val="nil"/>
              <w:right w:val="single" w:color="000000" w:sz="8" w:space="0"/>
            </w:tcBorders>
            <w:noWrap w:val="0"/>
            <w:vAlign w:val="top"/>
          </w:tcPr>
          <w:p w14:paraId="7254D99E">
            <w:pPr>
              <w:keepNext w:val="0"/>
              <w:keepLines w:val="0"/>
              <w:widowControl/>
              <w:suppressLineNumbers w:val="0"/>
              <w:jc w:val="center"/>
              <w:textAlignment w:val="top"/>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8"/>
                <w:szCs w:val="28"/>
                <w:u w:val="none"/>
                <w:lang w:val="en-US" w:eastAsia="zh-CN" w:bidi="ar"/>
                <w14:textFill>
                  <w14:solidFill>
                    <w14:schemeClr w14:val="tx1"/>
                  </w14:solidFill>
                </w14:textFill>
              </w:rPr>
              <w:t>72</w:t>
            </w:r>
          </w:p>
        </w:tc>
      </w:tr>
    </w:tbl>
    <w:p w14:paraId="200BFFC2">
      <w:pPr>
        <w:numPr>
          <w:ilvl w:val="0"/>
          <w:numId w:val="0"/>
        </w:numPr>
        <w:spacing w:line="360" w:lineRule="exact"/>
        <w:jc w:val="both"/>
        <w:rPr>
          <w:rFonts w:hint="eastAsia" w:ascii="黑体" w:hAnsi="Times New Roman" w:eastAsia="黑体" w:cs="Times New Roman"/>
          <w:b/>
          <w:color w:val="000000" w:themeColor="text1"/>
          <w:sz w:val="32"/>
          <w:szCs w:val="32"/>
          <w14:textFill>
            <w14:solidFill>
              <w14:schemeClr w14:val="tx1"/>
            </w14:solidFill>
          </w14:textFill>
        </w:rPr>
      </w:pPr>
    </w:p>
    <w:p w14:paraId="497D99C9">
      <w:pPr>
        <w:keepNext/>
        <w:widowControl w:val="0"/>
        <w:jc w:val="center"/>
        <w:outlineLvl w:val="0"/>
        <w:rPr>
          <w:rFonts w:ascii="Times New Roman" w:hAnsi="Times New Roman" w:eastAsia="宋体" w:cs="Times New Roman"/>
          <w:b/>
          <w:bCs/>
          <w:color w:val="000000" w:themeColor="text1"/>
          <w:kern w:val="2"/>
          <w:sz w:val="24"/>
          <w:szCs w:val="20"/>
          <w:lang w:val="en-US" w:eastAsia="zh-CN" w:bidi="ar-SA"/>
          <w14:textFill>
            <w14:solidFill>
              <w14:schemeClr w14:val="tx1"/>
            </w14:solidFill>
          </w14:textFill>
        </w:rPr>
      </w:pPr>
    </w:p>
    <w:p w14:paraId="6392F28E">
      <w:pPr>
        <w:keepNext/>
        <w:widowControl w:val="0"/>
        <w:numPr>
          <w:ilvl w:val="0"/>
          <w:numId w:val="2"/>
        </w:numPr>
        <w:bidi w:val="0"/>
        <w:jc w:val="both"/>
        <w:outlineLvl w:val="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bookmarkStart w:id="39" w:name="_Toc17208"/>
      <w:bookmarkStart w:id="40" w:name="_Toc30138"/>
      <w:bookmarkStart w:id="41" w:name="_Toc27791"/>
      <w:bookmarkStart w:id="42" w:name="_Toc5638"/>
      <w:bookmarkStart w:id="43" w:name="_Toc23284"/>
      <w:bookmarkStart w:id="44" w:name="_Toc13752"/>
      <w:bookmarkStart w:id="45" w:name="_Toc18991"/>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项目背景</w:t>
      </w:r>
      <w:bookmarkEnd w:id="39"/>
      <w:bookmarkEnd w:id="40"/>
      <w:bookmarkEnd w:id="41"/>
      <w:bookmarkEnd w:id="42"/>
      <w:bookmarkEnd w:id="43"/>
      <w:bookmarkEnd w:id="44"/>
      <w:bookmarkEnd w:id="45"/>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ab/>
      </w:r>
    </w:p>
    <w:p w14:paraId="19ED0C34">
      <w:pPr>
        <w:spacing w:line="560" w:lineRule="exact"/>
        <w:ind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电源系统是机房的重要电力保障设备，是整个通信系统的心脏，它能够保障电子设备的正常运行，从而保证整个微波网络的正常通信。后备电源</w:t>
      </w:r>
      <w:r>
        <w:rPr>
          <w:rFonts w:hint="default" w:ascii="宋体" w:hAnsi="宋体" w:eastAsia="宋体" w:cs="宋体"/>
          <w:color w:val="000000" w:themeColor="text1"/>
          <w:sz w:val="24"/>
          <w:lang w:val="en-US" w:eastAsia="zh-CN"/>
          <w14:textFill>
            <w14:solidFill>
              <w14:schemeClr w14:val="tx1"/>
            </w14:solidFill>
          </w14:textFill>
        </w:rPr>
        <w:t>可以应对各种突发情况，如电源故障、电压波动、电力中断等，避免设备因突然断电而受到损害</w:t>
      </w:r>
      <w:r>
        <w:rPr>
          <w:rFonts w:hint="eastAsia" w:ascii="宋体" w:hAnsi="宋体" w:eastAsia="宋体" w:cs="宋体"/>
          <w:color w:val="000000" w:themeColor="text1"/>
          <w:sz w:val="24"/>
          <w:lang w:val="en-US" w:eastAsia="zh-CN"/>
          <w14:textFill>
            <w14:solidFill>
              <w14:schemeClr w14:val="tx1"/>
            </w14:solidFill>
          </w14:textFill>
        </w:rPr>
        <w:t>。数字微波网自2016年建成投入使用以来，有24个站点电源系统中的组合电源开关柜及48V直流电源模块一直没有更换，且备件已不生产。这种情况导致整体电源系统安全隐患严重，已严重威胁湖南省数字微波网的传输安全。</w:t>
      </w:r>
    </w:p>
    <w:p w14:paraId="48F2DA01">
      <w:pPr>
        <w:numPr>
          <w:ilvl w:val="0"/>
          <w:numId w:val="2"/>
        </w:numPr>
        <w:ind w:left="0" w:leftChars="0" w:firstLine="0" w:firstLineChars="0"/>
        <w:jc w:val="both"/>
        <w:rPr>
          <w:rFonts w:hint="default" w:ascii="宋体" w:hAnsi="宋体" w:eastAsia="宋体" w:cs="宋体"/>
          <w:color w:val="000000" w:themeColor="text1"/>
          <w:sz w:val="24"/>
          <w:lang w:val="en-US" w:eastAsia="zh-CN"/>
          <w14:textFill>
            <w14:solidFill>
              <w14:schemeClr w14:val="tx1"/>
            </w14:solidFill>
          </w14:textFill>
        </w:rPr>
      </w:pPr>
      <w:bookmarkStart w:id="46" w:name="_Toc14018"/>
      <w:bookmarkStart w:id="47" w:name="_Toc22642"/>
      <w:bookmarkStart w:id="48" w:name="_Toc29692"/>
      <w:bookmarkStart w:id="49" w:name="_Toc18950"/>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项目目的</w:t>
      </w:r>
      <w:bookmarkEnd w:id="46"/>
      <w:bookmarkEnd w:id="47"/>
      <w:bookmarkEnd w:id="48"/>
      <w:bookmarkEnd w:id="49"/>
    </w:p>
    <w:p w14:paraId="0290D753">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本项目主要针对数字微波网台站电源系统进行改造升级。对全省24个台站老化电源柜及其同期安装的进出线缆进行整体更换。更换后的组合电源柜具备远程监测功能，并纳入总站2025年建设完成的数字微波网智慧运维态势感知系统统一监管。项目实施后，实现全网电源运行数据实时监测，通过数据分析及时预警及处理故障；将大幅度提高全省数字微波网的稳定性与安全性，确保中央及湖南省广播电视节目无线覆盖安全播出。</w:t>
      </w:r>
    </w:p>
    <w:p w14:paraId="4AF5EC3E">
      <w:pPr>
        <w:spacing w:line="560" w:lineRule="exact"/>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w:t>
      </w:r>
      <w:r>
        <w:rPr>
          <w:rFonts w:hint="eastAsia" w:ascii="宋体" w:hAnsi="宋体" w:eastAsia="宋体" w:cs="宋体"/>
          <w:b/>
          <w:bCs/>
          <w:color w:val="000000" w:themeColor="text1"/>
          <w:sz w:val="24"/>
          <w:lang w:val="en-US" w:eastAsia="zh-CN"/>
          <w14:textFill>
            <w14:solidFill>
              <w14:schemeClr w14:val="tx1"/>
            </w14:solidFill>
          </w14:textFill>
        </w:rPr>
        <w:t>技术标准/规范</w:t>
      </w:r>
    </w:p>
    <w:p w14:paraId="3E004BB9">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YD/T 1058-2015 《通信用高频开关电源系统》</w:t>
      </w:r>
    </w:p>
    <w:p w14:paraId="4677E65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YD/T 731-2008《通信用高频开关整流器》</w:t>
      </w:r>
    </w:p>
    <w:p w14:paraId="5795224D">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YD/T 585-2010《通信用配电设备》</w:t>
      </w:r>
    </w:p>
    <w:p w14:paraId="6D29330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YD/T 1051-2010 《通信局（站）电源系统总技术要求》</w:t>
      </w:r>
    </w:p>
    <w:p w14:paraId="2462D048">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YD/T 5040-2005 《通信电源设备安装工程设计规范》</w:t>
      </w:r>
    </w:p>
    <w:p w14:paraId="58808DD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YD/T 983-1998《通信电源设备电磁兼容性限值及测量方法》</w:t>
      </w:r>
    </w:p>
    <w:p w14:paraId="7FAB11D9">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YD/T 944-2007 《通信电源设备的防雷技术要求和测试方法》</w:t>
      </w:r>
    </w:p>
    <w:p w14:paraId="6113CC51">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 5083-2005   《电信设备抗地震性能检测规范》</w:t>
      </w:r>
    </w:p>
    <w:p w14:paraId="3B7B4147">
      <w:pPr>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YD 5096-2016 《通信用电源设备抗地震性能检测规范》</w:t>
      </w:r>
    </w:p>
    <w:p w14:paraId="257591D2">
      <w:pPr>
        <w:spacing w:line="56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GB5023</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额定电压 450/750V及以下聚氯乙烯绝缘电缆第4部分:固定布线用护套电缆</w:t>
      </w:r>
      <w:r>
        <w:rPr>
          <w:rFonts w:hint="eastAsia" w:ascii="宋体" w:hAnsi="宋体" w:eastAsia="宋体" w:cs="宋体"/>
          <w:color w:val="000000" w:themeColor="text1"/>
          <w:sz w:val="24"/>
          <w:lang w:eastAsia="zh-CN"/>
          <w14:textFill>
            <w14:solidFill>
              <w14:schemeClr w14:val="tx1"/>
            </w14:solidFill>
          </w14:textFill>
        </w:rPr>
        <w:t>》</w:t>
      </w:r>
    </w:p>
    <w:p w14:paraId="709F8610">
      <w:pPr>
        <w:numPr>
          <w:ilvl w:val="0"/>
          <w:numId w:val="3"/>
        </w:numPr>
        <w:spacing w:line="560" w:lineRule="exact"/>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技术参数要求</w:t>
      </w:r>
    </w:p>
    <w:p w14:paraId="262A260D">
      <w:pPr>
        <w:spacing w:line="56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本项目为交钥匙工程</w:t>
      </w:r>
    </w:p>
    <w:p w14:paraId="33C10468">
      <w:pPr>
        <w:spacing w:line="56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4.1、整体需求</w:t>
      </w:r>
    </w:p>
    <w:p w14:paraId="02177511">
      <w:pPr>
        <w:spacing w:line="560" w:lineRule="exact"/>
        <w:ind w:left="1439" w:leftChars="228" w:hanging="960" w:hangingChars="4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4.1.1  投标人需要提供单台直流容量不少于600A组合电源柜，配置额定输出电压为48V的开关电源模块，模块额定最大输出电流≥50A，可配置模块数量≥4；</w:t>
      </w:r>
    </w:p>
    <w:p w14:paraId="4CCBD06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4.1.2  投标人提供的组合电源柜应遵循交直分离原则，建议采用上直下交的布局方式；</w:t>
      </w:r>
    </w:p>
    <w:p w14:paraId="655E9064">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0" w:name="_Toc138749365"/>
      <w:r>
        <w:rPr>
          <w:rFonts w:hint="eastAsia" w:ascii="宋体" w:hAnsi="宋体" w:eastAsia="宋体" w:cs="宋体"/>
          <w:color w:val="000000" w:themeColor="text1"/>
          <w:sz w:val="24"/>
          <w:lang w:val="en-US" w:eastAsia="zh-CN"/>
          <w14:textFill>
            <w14:solidFill>
              <w14:schemeClr w14:val="tx1"/>
            </w14:solidFill>
          </w14:textFill>
        </w:rPr>
        <w:t>4.1.3  投标人提供的组合电源柜宽度600mm，深度450mm-600mm，高度1600mm-2000mm；</w:t>
      </w:r>
    </w:p>
    <w:p w14:paraId="788DB7FD">
      <w:pPr>
        <w:spacing w:line="560" w:lineRule="exact"/>
        <w:ind w:left="1439" w:leftChars="228" w:hanging="960" w:hangingChars="4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4.1.4  本次招标要求组合电源柜的电源交流输入为100A/3P*2,交流输出在满足直流模块输入要求外，交流输出不少于63A/3P*1、32A/3P*1、32A/1P*3、20A/1P*3;</w:t>
      </w:r>
    </w:p>
    <w:p w14:paraId="4E65B32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4.1.5  本次招标要求组合电源柜直流输出分路数量不少于：</w:t>
      </w:r>
    </w:p>
    <w:p w14:paraId="16E7B348">
      <w:pPr>
        <w:spacing w:line="560" w:lineRule="exact"/>
        <w:ind w:firstLine="1440" w:firstLineChars="6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电池：2组500A*2（熔断器）</w:t>
      </w:r>
    </w:p>
    <w:p w14:paraId="53615422">
      <w:pPr>
        <w:spacing w:line="560" w:lineRule="exact"/>
        <w:ind w:firstLine="1440" w:firstLineChars="6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负载：200A×2（熔断器），100A×2（熔断器）、63A×2（熔断器）、</w:t>
      </w:r>
    </w:p>
    <w:p w14:paraId="383DA022">
      <w:pPr>
        <w:spacing w:line="560" w:lineRule="exact"/>
        <w:ind w:firstLine="2160" w:firstLineChars="9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32A×4（空开）、16A×4（空开）；</w:t>
      </w:r>
    </w:p>
    <w:p w14:paraId="5AFEFBA9">
      <w:pPr>
        <w:widowControl w:val="0"/>
        <w:spacing w:after="120" w:line="360" w:lineRule="auto"/>
        <w:ind w:left="1439" w:leftChars="228" w:hanging="960" w:hangingChars="40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4.1.6 本次招标要求完成组合电源柜监控单元与总站现有态势感知系统数据对接，总站现有态势感知系统能实时监控此次采购的组合电源柜；</w:t>
      </w:r>
    </w:p>
    <w:p w14:paraId="32799E7D">
      <w:pPr>
        <w:spacing w:line="360" w:lineRule="auto"/>
        <w:ind w:left="1439" w:leftChars="228" w:hanging="960" w:hangingChars="4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4.1.7 投标人需将原电源柜交直流输入输出电缆（除蓄电池连接线外）全部更换。投标人提供的电缆应为铜芯，其中380V输入电缆为4*16mm2，总长度约720米；220V交流输出电缆为3*6mm2，总长度约330米；48V直流输出电缆为2*6mm2，总长度约280米；具体电缆长度以现场实际需求为准。原有蓄电池连接线需无损连接到组合电源柜指定位置；投标人提供的电缆应达到GB5023《额定电压 450/750V及以下聚氯乙烯绝缘电缆第4部分:固定布线用护套电缆》要求；</w:t>
      </w:r>
    </w:p>
    <w:p w14:paraId="3513404A">
      <w:pPr>
        <w:widowControl w:val="0"/>
        <w:spacing w:after="120" w:line="360" w:lineRule="auto"/>
        <w:ind w:left="1439" w:leftChars="228" w:hanging="960" w:hangingChars="40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▲4.1.8 投标人须提供承诺函（格式自拟），承诺每组作业人员中至少有1人具备有效期内应急管理部门考核颁发的《中华人民共和国特种作业操作证（低压电工）》。  </w:t>
      </w:r>
    </w:p>
    <w:p w14:paraId="0EC090C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▲4.1.9 投标人须提供承诺函（格式自拟），承诺本项目施工时间≤45个日历日，起始时间为中标通知书送出时间。</w:t>
      </w:r>
    </w:p>
    <w:p w14:paraId="7E963B5D">
      <w:pPr>
        <w:spacing w:line="56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4.2、组合电源柜工作环境</w:t>
      </w:r>
      <w:bookmarkEnd w:id="50"/>
      <w:r>
        <w:rPr>
          <w:rFonts w:hint="eastAsia" w:ascii="宋体" w:hAnsi="宋体" w:eastAsia="宋体" w:cs="宋体"/>
          <w:color w:val="000000" w:themeColor="text1"/>
          <w:sz w:val="24"/>
          <w:lang w:val="en-US" w:eastAsia="zh-CN"/>
          <w14:textFill>
            <w14:solidFill>
              <w14:schemeClr w14:val="tx1"/>
            </w14:solidFill>
          </w14:textFill>
        </w:rPr>
        <w:t>需求</w:t>
      </w:r>
    </w:p>
    <w:p w14:paraId="5FDDD80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4.2.1温度范围要求：</w:t>
      </w:r>
    </w:p>
    <w:p w14:paraId="732E459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工作温度：-5℃～40℃</w:t>
      </w:r>
    </w:p>
    <w:p w14:paraId="67BD729B">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4.2.2相对湿度范围要求：</w:t>
      </w:r>
    </w:p>
    <w:p w14:paraId="028C9198">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工作相对湿度：≤90％（40±2℃时）</w:t>
      </w:r>
    </w:p>
    <w:p w14:paraId="3986E7D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4.2.3大气压力要求：</w:t>
      </w:r>
    </w:p>
    <w:p w14:paraId="0016CDA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70～106kPa</w:t>
      </w:r>
    </w:p>
    <w:p w14:paraId="1044E544">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4.2.4振动性能要求：</w:t>
      </w:r>
    </w:p>
    <w:p w14:paraId="2335A60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应能承受频率为10～55Hz 、振幅为0.35mm的正弦波振动。</w:t>
      </w:r>
    </w:p>
    <w:p w14:paraId="7162198D">
      <w:pPr>
        <w:spacing w:line="56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bookmarkStart w:id="51" w:name="_Toc138749366"/>
      <w:r>
        <w:rPr>
          <w:rFonts w:hint="eastAsia" w:ascii="宋体" w:hAnsi="宋体" w:eastAsia="宋体" w:cs="宋体"/>
          <w:color w:val="000000" w:themeColor="text1"/>
          <w:sz w:val="24"/>
          <w:lang w:val="en-US" w:eastAsia="zh-CN"/>
          <w14:textFill>
            <w14:solidFill>
              <w14:schemeClr w14:val="tx1"/>
            </w14:solidFill>
          </w14:textFill>
        </w:rPr>
        <w:t>4.3、组合电源柜总体</w:t>
      </w:r>
      <w:bookmarkEnd w:id="51"/>
      <w:r>
        <w:rPr>
          <w:rFonts w:hint="eastAsia" w:ascii="宋体" w:hAnsi="宋体" w:eastAsia="宋体" w:cs="宋体"/>
          <w:color w:val="000000" w:themeColor="text1"/>
          <w:sz w:val="24"/>
          <w:lang w:val="en-US" w:eastAsia="zh-CN"/>
          <w14:textFill>
            <w14:solidFill>
              <w14:schemeClr w14:val="tx1"/>
            </w14:solidFill>
          </w14:textFill>
        </w:rPr>
        <w:t>技术需求</w:t>
      </w:r>
    </w:p>
    <w:p w14:paraId="4D25DF0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4.3.1交流输入要求</w:t>
      </w:r>
    </w:p>
    <w:p w14:paraId="2EED2A1D">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电压：三相四线制380V，允许电压变动范围：323～418V。</w:t>
      </w:r>
    </w:p>
    <w:p w14:paraId="5D4FE27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4.3.2功率因数要求：</w:t>
      </w:r>
    </w:p>
    <w:p w14:paraId="32BEBC2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2" w:name="OLE_LINK2"/>
      <w:r>
        <w:rPr>
          <w:rFonts w:hint="eastAsia" w:ascii="宋体" w:hAnsi="宋体" w:eastAsia="宋体" w:cs="宋体"/>
          <w:color w:val="000000" w:themeColor="text1"/>
          <w:sz w:val="24"/>
          <w:lang w:val="en-US" w:eastAsia="zh-CN"/>
          <w14:textFill>
            <w14:solidFill>
              <w14:schemeClr w14:val="tx1"/>
            </w14:solidFill>
          </w14:textFill>
        </w:rPr>
        <w:t>①当输入额定电压、输出满载时，系统的输入功率因数应不小于99.7％；</w:t>
      </w:r>
    </w:p>
    <w:p w14:paraId="21786E4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②当输入额定电压、50％负载时，系统的输入功率因数应不小于99.0％；</w:t>
      </w:r>
    </w:p>
    <w:p w14:paraId="43CF6034">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③要求提供负载率为50％和100％等情况下的功率因数。</w:t>
      </w:r>
      <w:bookmarkEnd w:id="52"/>
    </w:p>
    <w:p w14:paraId="30AF640E">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4.3.3谐波要求：</w:t>
      </w:r>
    </w:p>
    <w:p w14:paraId="65E2F58B">
      <w:pPr>
        <w:numPr>
          <w:ilvl w:val="0"/>
          <w:numId w:val="4"/>
        </w:num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当输入额定电压、输出满载时，系统的输入电流谐波成分应≤5％。</w:t>
      </w:r>
    </w:p>
    <w:p w14:paraId="1FA50097">
      <w:pPr>
        <w:numPr>
          <w:ilvl w:val="0"/>
          <w:numId w:val="0"/>
        </w:num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（2）请提供负载率为50％时的系统输入电流谐波值。</w:t>
      </w:r>
    </w:p>
    <w:p w14:paraId="047418B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4.3.4均分负载（并机工作）性能要求：</w:t>
      </w:r>
    </w:p>
    <w:p w14:paraId="4D81B83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系统中整流模块应能并联工作，并且能按比例均分负载（负载为50%～100％额定输出电流时），其不平衡度应优于输出额定电流的土5％。当某个整流模块出现异常时，应不影响系统的正常工作。</w:t>
      </w:r>
    </w:p>
    <w:p w14:paraId="68089E1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4.3.5输出电压可调节范围要求：</w:t>
      </w:r>
    </w:p>
    <w:p w14:paraId="702AA93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（1）系统在稳压工作的基础上，应能与蓄电池并联以浮充工作方式和均充工作方式向通信设备供电。</w:t>
      </w:r>
    </w:p>
    <w:p w14:paraId="6A03247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（2）系统输出电压可调节范围：-43.2～-57.6V。系统的直流输出电压值在其可调范围内应能手动或自动连续可调。</w:t>
      </w:r>
    </w:p>
    <w:p w14:paraId="691C4DC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（3）请给出电压调节范围具体数据，以及均充电压上下限、浮充电压上下限。</w:t>
      </w:r>
    </w:p>
    <w:p w14:paraId="798B66D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4.3.6稳压精度要求：</w:t>
      </w:r>
    </w:p>
    <w:p w14:paraId="7B6B848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不同交流输入电压与负载进行组合情况下,模块直流输出电压与输出电压整定值的差值应不超过输出电压整定值的±0.2％；</w:t>
      </w:r>
    </w:p>
    <w:p w14:paraId="2E8E661C">
      <w:pPr>
        <w:spacing w:line="56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▲4.3.7蓄电池管理功能要求：</w:t>
      </w:r>
      <w:bookmarkStart w:id="53" w:name="OLE_LINK4"/>
    </w:p>
    <w:p w14:paraId="5AC41D13">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需提供所投产品第三方检测机构出具的具备CMA标志的检测报告。</w:t>
      </w:r>
      <w:bookmarkEnd w:id="53"/>
    </w:p>
    <w:p w14:paraId="56082E1F">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（1）系统应具有能接入2组蓄电池的装置。</w:t>
      </w:r>
    </w:p>
    <w:p w14:paraId="2316FF38">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（2）系统应具备对蓄电池进行均充充电及浮充充电状态进行手动或自动转换功能。</w:t>
      </w:r>
    </w:p>
    <w:p w14:paraId="210CBD2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（3）系统在对蓄电池进行均充充电时，应具有限流充电功能，并且限流值能根据需要进行调整。</w:t>
      </w:r>
    </w:p>
    <w:p w14:paraId="413024A3">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（4）系统应能根据蓄电池环境温度，对系统的输出电压进行温度补偿。</w:t>
      </w:r>
    </w:p>
    <w:p w14:paraId="2D0FA98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（5）在蓄电池放电及均充时，系统应具备对蓄电池容量进行估算的功能。</w:t>
      </w:r>
    </w:p>
    <w:p w14:paraId="2FBB282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4.3.8保护功能要求：</w:t>
      </w:r>
    </w:p>
    <w:p w14:paraId="244A3FF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（1）交流输入过、欠电压保护：系统应能监视输入电压的变化，当交流输入电压值过高或过低，可能会影响系统安全工作时，系统可以自动关机保护；当输入电压正常后，系统应能自动恢复工作。</w:t>
      </w:r>
    </w:p>
    <w:p w14:paraId="1E85C9D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直流输出过、欠电压保护：系统直流输出电压的过、欠电压值可由制造厂商根据用户要求设定，当系统的直流输出电压值达到其设定值时，应能自动告警。过压时应能自动关机保护：故障排除后，必须手动才能恢复工作。欠压时，系统应能自动关机保护；故障排除后，可自动或手动恢复。</w:t>
      </w:r>
    </w:p>
    <w:p w14:paraId="4F17A2CE">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（3）直流输出电流限制或输出功率限制功能：</w:t>
      </w:r>
    </w:p>
    <w:p w14:paraId="7AD68BB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①系统直流输出电流的限流范围可在其标称值的20％～110％之间调整，当输出电流达到限流值时，系统以限流值输出。</w:t>
      </w:r>
    </w:p>
    <w:p w14:paraId="5A37935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②如系统采用恒功率整流模块，当系统直流输出功率达到恒功率值时，系统应以限功率方式输出。</w:t>
      </w:r>
    </w:p>
    <w:p w14:paraId="2FACD34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（4）直流输出过流及短路保护：系统应有过流与短路的自动保护功能，过流或短路故障排除后，应能自动或人工恢复正常工作状态。</w:t>
      </w:r>
    </w:p>
    <w:p w14:paraId="1C226FD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蓄电池欠压保护：直流配电部分可以在蓄电池电压低于系统设定值时，自动一次或分次切断蓄电池输出，而在该设备的输出电压升高后自动或人工接入蓄电池。在需要时，蓄电池欠压保护功能应可手动关闭。</w:t>
      </w:r>
    </w:p>
    <w:p w14:paraId="4209179F">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（6）温度过高保护：当系统所处的环境温度超过系统保护点时，系统应自动降额输出或停机：当环境温度下降到保护点后，系统应能自动恢复正常输出。</w:t>
      </w:r>
    </w:p>
    <w:p w14:paraId="25156B4F">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4.3.9告警性能要求：</w:t>
      </w:r>
    </w:p>
    <w:p w14:paraId="440D3BA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系统在各种保护功能动作的同时，应能自动发出相应的可闻可见告警信号，警铃（或蜂鸣器）响、灯亮（灯闪烁）等。同时，应能通过通信接口将告警信号传送到近端、远端监控设备上，部分告警可通过干接点将告警信号送至机外告警设备，所送的告警信号应能区分故障的类别。</w:t>
      </w:r>
    </w:p>
    <w:p w14:paraId="73BC8E7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（2）系统应具有告警记录和查询功能，告警记录可随时刷新；系统应能保存告警信息</w:t>
      </w:r>
      <w:r>
        <w:rPr>
          <w:rFonts w:hint="default" w:ascii="Arial" w:hAnsi="Arial" w:eastAsia="宋体" w:cs="Arial"/>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1000条；告警信息在系统完全无电状况下应继续保存。</w:t>
      </w:r>
    </w:p>
    <w:p w14:paraId="10C0533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4.3.10防雷性能要求：</w:t>
      </w:r>
    </w:p>
    <w:p w14:paraId="336A4AE4">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交流输入端应装有浪涌保护装置，至少能承受电压脉冲（10/700μs，5kV）和电流脉冲（8/20us，In＝20kA）的冲击。浪涌保护器宜采取“3＋1”工作模式。</w:t>
      </w:r>
    </w:p>
    <w:p w14:paraId="63447D3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4.3.11接地性能要求：</w:t>
      </w:r>
    </w:p>
    <w:p w14:paraId="0228ACA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（1）系统应具有铜质工作地排和铜质保护地排，且应有明显的标志，接地点应用铜螺母（直径≥M8），接地线截面积应不小于l0mm2。</w:t>
      </w:r>
    </w:p>
    <w:p w14:paraId="4B8424D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（2）配电部分外壳、所有可触及的金属零部件与接地螺母间的电阻应不大于0.1Ω。</w:t>
      </w:r>
    </w:p>
    <w:p w14:paraId="02F8D52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4.3.12安全要求：</w:t>
      </w:r>
    </w:p>
    <w:p w14:paraId="2D6000D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（1）绝缘电阻：在环境温度为15℃～35℃，相对湿度为90%，试验电压为直流500V 时，交流电路和直流电路对地、交流部分对直流部分的绝缘电阻均不低于2MΩ。</w:t>
      </w:r>
    </w:p>
    <w:p w14:paraId="3BBC3E5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（2）抗电强度：</w:t>
      </w:r>
    </w:p>
    <w:p w14:paraId="5486111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①交流电路对地、对直流电路应能承受50Hz、有效值为2500V 的正弦交流电压或等效其峰值的3535V 直流电压1min 且无击穿或飞弧现象。</w:t>
      </w:r>
    </w:p>
    <w:p w14:paraId="048E8BB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②直流输出对机壳应能承受50Hz有效值为1000 V的正弦交流电压或等效其峰值为1414V 直流电压1min 且无击穿或飞弧现象。</w:t>
      </w:r>
    </w:p>
    <w:p w14:paraId="20E2B3C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（3）系统接触电流：系统接触电流应不大于3.5mA。</w:t>
      </w:r>
    </w:p>
    <w:p w14:paraId="7AE4E64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（4）材料阻燃性能：系统所用的PCB 的阻燃等级应达到GB 4943中规定的V-0要求，塑胶导线的阻燃等级应达到GB/T 18380.1-2001 中规定的DZ-1要求，其他绝缘材料的阻燃等级应达到GB 4943 中规定的V-1要求。</w:t>
      </w:r>
    </w:p>
    <w:p w14:paraId="692AB768">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4.3.13系统电磁兼容性要求：</w:t>
      </w:r>
    </w:p>
    <w:p w14:paraId="47FE557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（1）传导骚扰限值：传导骚扰限值应符合YD/T 983-1998中第5.1条的要求。</w:t>
      </w:r>
    </w:p>
    <w:p w14:paraId="4923293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（2）辐射骚扰限值：辐射骚扰限值应符合YD/T 983-1998中第5.2条要求。</w:t>
      </w:r>
    </w:p>
    <w:p w14:paraId="179FC77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（3）静电放电抗扰性：系统机柜应能保护产品抵御静电的破坏，其保护能力应符合YD/T 983-1998第7.3条表9中“静电放电”的要求，应能承受不低于8kV 静电电压的冲击。</w:t>
      </w:r>
    </w:p>
    <w:p w14:paraId="44BEE7FB">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4.3.14可靠性指标要求：</w:t>
      </w:r>
    </w:p>
    <w:p w14:paraId="499284F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（1）系统可靠性MTBF≥5×10</w:t>
      </w:r>
      <w:r>
        <w:rPr>
          <w:rFonts w:hint="eastAsia" w:ascii="宋体" w:hAnsi="宋体" w:eastAsia="宋体" w:cs="宋体"/>
          <w:color w:val="000000" w:themeColor="text1"/>
          <w:sz w:val="24"/>
          <w:vertAlign w:val="superscript"/>
          <w:lang w:val="en-US" w:eastAsia="zh-CN"/>
          <w14:textFill>
            <w14:solidFill>
              <w14:schemeClr w14:val="tx1"/>
            </w14:solidFill>
          </w14:textFill>
        </w:rPr>
        <w:t>4</w:t>
      </w:r>
      <w:r>
        <w:rPr>
          <w:rFonts w:hint="eastAsia" w:ascii="宋体" w:hAnsi="宋体" w:eastAsia="宋体" w:cs="宋体"/>
          <w:color w:val="000000" w:themeColor="text1"/>
          <w:sz w:val="24"/>
          <w:lang w:val="en-US" w:eastAsia="zh-CN"/>
          <w14:textFill>
            <w14:solidFill>
              <w14:schemeClr w14:val="tx1"/>
            </w14:solidFill>
          </w14:textFill>
        </w:rPr>
        <w:t>h；</w:t>
      </w:r>
    </w:p>
    <w:p w14:paraId="5DA7CF6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（2）整流模块的可靠性MTBF≥1×10</w:t>
      </w:r>
      <w:r>
        <w:rPr>
          <w:rFonts w:hint="eastAsia" w:ascii="宋体" w:hAnsi="宋体" w:eastAsia="宋体" w:cs="宋体"/>
          <w:color w:val="000000" w:themeColor="text1"/>
          <w:sz w:val="24"/>
          <w:vertAlign w:val="superscript"/>
          <w:lang w:val="en-US" w:eastAsia="zh-CN"/>
          <w14:textFill>
            <w14:solidFill>
              <w14:schemeClr w14:val="tx1"/>
            </w14:solidFill>
          </w14:textFill>
        </w:rPr>
        <w:t>5</w:t>
      </w:r>
      <w:r>
        <w:rPr>
          <w:rFonts w:hint="eastAsia" w:ascii="宋体" w:hAnsi="宋体" w:eastAsia="宋体" w:cs="宋体"/>
          <w:color w:val="000000" w:themeColor="text1"/>
          <w:sz w:val="24"/>
          <w:lang w:val="en-US" w:eastAsia="zh-CN"/>
          <w14:textFill>
            <w14:solidFill>
              <w14:schemeClr w14:val="tx1"/>
            </w14:solidFill>
          </w14:textFill>
        </w:rPr>
        <w:t>h；</w:t>
      </w:r>
    </w:p>
    <w:p w14:paraId="6C3757A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4" w:name="_Toc138749367"/>
      <w:r>
        <w:rPr>
          <w:rFonts w:hint="eastAsia" w:ascii="宋体" w:hAnsi="宋体" w:eastAsia="宋体" w:cs="宋体"/>
          <w:color w:val="000000" w:themeColor="text1"/>
          <w:sz w:val="24"/>
          <w:lang w:val="en-US" w:eastAsia="zh-CN"/>
          <w14:textFill>
            <w14:solidFill>
              <w14:schemeClr w14:val="tx1"/>
            </w14:solidFill>
          </w14:textFill>
        </w:rPr>
        <w:t>4.4、交流配电单元</w:t>
      </w:r>
      <w:bookmarkEnd w:id="54"/>
    </w:p>
    <w:p w14:paraId="0B0082F4">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4.4.1交流输入输出分路：交流输入、输出分路所用断路器应符合GB14048的相关技术要求。交流输入开关的容量应与机架容量对应。</w:t>
      </w:r>
    </w:p>
    <w:p w14:paraId="0F15554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4.4.2要求输入主电路接头间的相序和极性排列应满足国家标准GB/T 4720的有关规定。</w:t>
      </w:r>
    </w:p>
    <w:p w14:paraId="12DEFAF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5" w:name="_Toc138749368"/>
      <w:r>
        <w:rPr>
          <w:rFonts w:hint="eastAsia" w:ascii="宋体" w:hAnsi="宋体" w:eastAsia="宋体" w:cs="宋体"/>
          <w:color w:val="000000" w:themeColor="text1"/>
          <w:sz w:val="24"/>
          <w:lang w:val="en-US" w:eastAsia="zh-CN"/>
          <w14:textFill>
            <w14:solidFill>
              <w14:schemeClr w14:val="tx1"/>
            </w14:solidFill>
          </w14:textFill>
        </w:rPr>
        <w:t>4.5、整流模块</w:t>
      </w:r>
      <w:bookmarkEnd w:id="55"/>
    </w:p>
    <w:p w14:paraId="0E0DAB2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4.5.1负载效应：</w:t>
      </w:r>
    </w:p>
    <w:p w14:paraId="50494A03">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不同负载情况下的直流输出电压与输出电压整定值的差值应不超过输出电压整定值的±0.5％。</w:t>
      </w:r>
    </w:p>
    <w:p w14:paraId="282BF48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4.5.2源效应：</w:t>
      </w:r>
    </w:p>
    <w:p w14:paraId="6B036BE3">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不同交流输入电压情况下的直流输出电压与输出电压整定值的差值应不超过输出电压整定值的±0.1%。</w:t>
      </w:r>
    </w:p>
    <w:p w14:paraId="71EBA41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4.5.3温度系数：</w:t>
      </w:r>
    </w:p>
    <w:p w14:paraId="03CFA8F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相对于20℃环境温度情况下，温度每变化1 ℃时的直流输出电压与输出电压整定值的差值应不超过输出电压整定值的±0.02%。</w:t>
      </w:r>
    </w:p>
    <w:p w14:paraId="5D6C616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4.5.4负载效应恢复时间（动态响应）：</w:t>
      </w:r>
    </w:p>
    <w:p w14:paraId="5CF54B2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由于负载的阶跃变化（突变）引起的直流输出电压变化后的恢复时间应不大于200μs，其超调量应不超过输出电压整定值的±5 ％（注：恢复时间是指直流输出电压变化量上升至大于稳压精度处开始，恢复至小于等于并不再超过稳压精度处为止的这段时间）。</w:t>
      </w:r>
    </w:p>
    <w:p w14:paraId="7C60095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4.5.5开关机过冲幅度：</w:t>
      </w:r>
    </w:p>
    <w:p w14:paraId="7BB1139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由于开关机引起直流输出电压变化的最大峰值应不超过直流输出电压整定值的±10％。</w:t>
      </w:r>
    </w:p>
    <w:p w14:paraId="11BC2EF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4.5.6启动冲击电流：</w:t>
      </w:r>
    </w:p>
    <w:p w14:paraId="1FE64FA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由于启动引起的输入冲击电流应不大于额定输入电压条件下最大稳态输入电流峰值的150%。</w:t>
      </w:r>
    </w:p>
    <w:p w14:paraId="7A4AFD7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4.5.7软启动功能：</w:t>
      </w:r>
    </w:p>
    <w:p w14:paraId="00A75FC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整流模块应具有软启动功能，软启动时间不大于10s。</w:t>
      </w:r>
    </w:p>
    <w:p w14:paraId="316EF11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4.5.8整流模块应可热插拔。</w:t>
      </w:r>
    </w:p>
    <w:p w14:paraId="65F2D22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6" w:name="_Toc138749369"/>
      <w:r>
        <w:rPr>
          <w:rFonts w:hint="eastAsia" w:ascii="宋体" w:hAnsi="宋体" w:eastAsia="宋体" w:cs="宋体"/>
          <w:color w:val="000000" w:themeColor="text1"/>
          <w:sz w:val="24"/>
          <w:lang w:val="en-US" w:eastAsia="zh-CN"/>
          <w14:textFill>
            <w14:solidFill>
              <w14:schemeClr w14:val="tx1"/>
            </w14:solidFill>
          </w14:textFill>
        </w:rPr>
        <w:t>4.6、直流配电单元</w:t>
      </w:r>
      <w:bookmarkEnd w:id="56"/>
    </w:p>
    <w:p w14:paraId="52E51D9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4.6.1直流配电放电回路电压降在满载时应小于500mV。</w:t>
      </w:r>
    </w:p>
    <w:p w14:paraId="524F299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4.6.2直流输出分路：</w:t>
      </w:r>
    </w:p>
    <w:p w14:paraId="34739F9D">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（1）要求63A及以上的输出分路必须采用直流熔断器，63A以下的分路应采用断路器。</w:t>
      </w:r>
    </w:p>
    <w:p w14:paraId="7627BF2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（2）直流输出分路所用断路器应符合GB10963的相关技术要求。</w:t>
      </w:r>
    </w:p>
    <w:p w14:paraId="5B3B934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（3）采用的熔断器（或断路器）部件应具有通用性。</w:t>
      </w:r>
    </w:p>
    <w:p w14:paraId="4B718E4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4.6.3直流配电单元的主回路、电池回路分路分别装有直流分流器，可分别测量总电流、电池充、放电电流和负载总电流，并采用数字显示方式，显示误差±2％以下。</w:t>
      </w:r>
    </w:p>
    <w:p w14:paraId="7171778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4.6.4直流配电单元应有两路蓄电池充放电端子，当其中一路不能工作时，另外一路应能正常供电。蓄电池输入应有保护装置,保护装置的容量应与直流配电屏容量相适应。</w:t>
      </w:r>
    </w:p>
    <w:p w14:paraId="62D50CB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4.6.5机架直流母排应采用铜质母线排，正极接线排应预留足够的接线孔洞和空间。架内32A分路输入电源导线截面按不低于63A容量设计，63A分路输入电源导线截面按不低于100A容量设计。</w:t>
      </w:r>
    </w:p>
    <w:p w14:paraId="5518814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7" w:name="_Toc138749370"/>
      <w:r>
        <w:rPr>
          <w:rFonts w:hint="eastAsia" w:ascii="宋体" w:hAnsi="宋体" w:eastAsia="宋体" w:cs="宋体"/>
          <w:color w:val="000000" w:themeColor="text1"/>
          <w:sz w:val="24"/>
          <w:lang w:val="en-US" w:eastAsia="zh-CN"/>
          <w14:textFill>
            <w14:solidFill>
              <w14:schemeClr w14:val="tx1"/>
            </w14:solidFill>
          </w14:textFill>
        </w:rPr>
        <w:t>4.7、监控模块</w:t>
      </w:r>
      <w:bookmarkEnd w:id="57"/>
    </w:p>
    <w:p w14:paraId="41C9C4F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4.7.1系统应具有下列主要功能：</w:t>
      </w:r>
    </w:p>
    <w:p w14:paraId="060AFEDF">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（1）实时监视系统工作状态；</w:t>
      </w:r>
    </w:p>
    <w:p w14:paraId="5E5DA95C">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（2）采集和存储系统运行参数；</w:t>
      </w:r>
    </w:p>
    <w:p w14:paraId="607FF33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（3）设置参数的掉电存储功能；</w:t>
      </w:r>
    </w:p>
    <w:p w14:paraId="249F8F8E">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（4）按照局（站）监控中心的命令对被控设备进行控制，通信协议应符合YD/T 1363.3的要求。</w:t>
      </w:r>
    </w:p>
    <w:p w14:paraId="26ADDC1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4.7.2设备应具备RS232或RS485/422、RJ45标准通讯接口，支持modbus协议，并提供与通讯接口配套使用的通讯线缆，各种告警信号输出端子。实现下列遥控、遥信和遥测功能：</w:t>
      </w:r>
    </w:p>
    <w:p w14:paraId="069C3ACD">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（1）交流配电部分：</w:t>
      </w:r>
    </w:p>
    <w:p w14:paraId="2DF577F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遥测：三相输入电压，三相输入电流；</w:t>
      </w:r>
    </w:p>
    <w:p w14:paraId="28F4641B">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遥信：输入过压/欠压，缺相。</w:t>
      </w:r>
    </w:p>
    <w:p w14:paraId="1C2721CB">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（2）整流模块：</w:t>
      </w:r>
    </w:p>
    <w:p w14:paraId="5D583C6B">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遥测：整流模块输出电压，每个整流模块输出电流；</w:t>
      </w:r>
    </w:p>
    <w:p w14:paraId="6FD112C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遥信：每个整流模块工作状态（开/关机，限流/不限流），故障/正常；</w:t>
      </w:r>
    </w:p>
    <w:p w14:paraId="2F69181D">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遥控：开/关机，均/浮充/测试。</w:t>
      </w:r>
    </w:p>
    <w:p w14:paraId="643AFDC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（3）直流配电部分：</w:t>
      </w:r>
    </w:p>
    <w:p w14:paraId="6585A80E">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遥测：输出电压，总负载电流，蓄电池充、放电电流：</w:t>
      </w:r>
    </w:p>
    <w:p w14:paraId="7FB0DF0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遥信：输出电压过压／欠压，蓄电池熔丝状态，均/浮充/测试，主要分路熔丝／开关状态。</w:t>
      </w:r>
    </w:p>
    <w:p w14:paraId="7121A9E8">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4.7.3系统应能通过继电器干接点实现下列遥信功能。</w:t>
      </w:r>
    </w:p>
    <w:p w14:paraId="4FF96A8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（1）遥信项目：输入电源中断、故障；输出电压过高、过低；整流模块故障；控制模块故障；熔丝故障。</w:t>
      </w:r>
    </w:p>
    <w:p w14:paraId="720603B6">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（2）遥信输出条件：每一告警提供一副继电器干接点，告警发生时接点应闭合。</w:t>
      </w:r>
    </w:p>
    <w:p w14:paraId="7E1D372F">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4.7.4监控模块应有整流模块历史告警信息，监控模块能保存告警信息</w:t>
      </w:r>
      <w:r>
        <w:rPr>
          <w:rFonts w:hint="default" w:ascii="Arial" w:hAnsi="Arial" w:eastAsia="宋体" w:cs="Arial"/>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1000条，告警信息应能分类存储和显示。</w:t>
      </w:r>
    </w:p>
    <w:p w14:paraId="321227DE">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4.7.5监控模块应具有在线测试蓄电池组容量功能。</w:t>
      </w:r>
    </w:p>
    <w:p w14:paraId="5D1386FA">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8" w:name="_Toc138749371"/>
      <w:r>
        <w:rPr>
          <w:rFonts w:hint="eastAsia" w:ascii="宋体" w:hAnsi="宋体" w:eastAsia="宋体" w:cs="宋体"/>
          <w:color w:val="000000" w:themeColor="text1"/>
          <w:sz w:val="24"/>
          <w:lang w:val="en-US" w:eastAsia="zh-CN"/>
          <w14:textFill>
            <w14:solidFill>
              <w14:schemeClr w14:val="tx1"/>
            </w14:solidFill>
          </w14:textFill>
        </w:rPr>
        <w:t>4.8、外观与结构</w:t>
      </w:r>
      <w:bookmarkEnd w:id="58"/>
    </w:p>
    <w:p w14:paraId="1747E431">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4.8.1组合电源柜面板平整，镀层牢固，漆面匀称，所有标记、标牌清晰可辨，无剥落、锈蚀、裂痕、明显变形等不良现象。机壳应采用冷轧钢板。</w:t>
      </w:r>
    </w:p>
    <w:p w14:paraId="71741DB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4.8.2抗震性能：组合电源设备应满足YD5083-2005及YD5096-2005规范的抗震性能要求。</w:t>
      </w:r>
    </w:p>
    <w:p w14:paraId="3476A1A4">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4.8.3通风散热：组合电源柜结构设计应有利于自然通风和散热。</w:t>
      </w:r>
    </w:p>
    <w:p w14:paraId="1714C01C">
      <w:pPr>
        <w:spacing w:line="560" w:lineRule="exact"/>
        <w:ind w:left="2399" w:leftChars="228" w:hanging="1920" w:hangingChars="8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4.8.4设备维护：组合开关电源除能满足前后双面维护外，提供屏前（单面）维护，可方便的更换交直流元器件。</w:t>
      </w:r>
    </w:p>
    <w:p w14:paraId="3C216A09">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4.8.5标识</w:t>
      </w:r>
    </w:p>
    <w:p w14:paraId="347C120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安全标识应符合GB 4943-2001 标准中1.7的要求。</w:t>
      </w:r>
    </w:p>
    <w:p w14:paraId="77E3EB14">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59" w:name="_Toc138749372"/>
      <w:r>
        <w:rPr>
          <w:rFonts w:hint="eastAsia" w:ascii="宋体" w:hAnsi="宋体" w:eastAsia="宋体" w:cs="宋体"/>
          <w:color w:val="000000" w:themeColor="text1"/>
          <w:sz w:val="24"/>
          <w:lang w:val="en-US" w:eastAsia="zh-CN"/>
          <w14:textFill>
            <w14:solidFill>
              <w14:schemeClr w14:val="tx1"/>
            </w14:solidFill>
          </w14:textFill>
        </w:rPr>
        <w:t>4.9、补充要求</w:t>
      </w:r>
      <w:bookmarkEnd w:id="59"/>
    </w:p>
    <w:p w14:paraId="170F6A6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4.9.1组合式开关电源柜内适当位置按照国标、行标的相关规定，标示产品铭牌、安全警示标志；不同极性、不同属性电源电缆的颜色或色标应明确标识。</w:t>
      </w:r>
    </w:p>
    <w:p w14:paraId="21D6B7A2">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4.9.2组合式开关电源柜内直流正极、负极，交流三相、零、地，智能接口RS485、RS232必须用中文或英文文字清晰标记。 </w:t>
      </w:r>
    </w:p>
    <w:p w14:paraId="17B2EFED">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4.9.3组合式开关电源柜内应装贴或印刷机柜内部电气连接拓扑结构图，各路配电端子必须顺序唯一编号，并且一一对应。</w:t>
      </w:r>
    </w:p>
    <w:p w14:paraId="6C94C50E">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60" w:name="_Toc138749373"/>
      <w:r>
        <w:rPr>
          <w:rFonts w:hint="eastAsia" w:ascii="宋体" w:hAnsi="宋体" w:eastAsia="宋体" w:cs="宋体"/>
          <w:color w:val="000000" w:themeColor="text1"/>
          <w:sz w:val="24"/>
          <w:lang w:val="en-US" w:eastAsia="zh-CN"/>
          <w14:textFill>
            <w14:solidFill>
              <w14:schemeClr w14:val="tx1"/>
            </w14:solidFill>
          </w14:textFill>
        </w:rPr>
        <w:t>4.10、节能环保</w:t>
      </w:r>
      <w:bookmarkEnd w:id="60"/>
    </w:p>
    <w:p w14:paraId="51A5F1EF">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（1）整流模块效率</w:t>
      </w:r>
    </w:p>
    <w:p w14:paraId="7BAA154E">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①在负载率为100%情况下，整流模块效率应不低于95％。</w:t>
      </w:r>
    </w:p>
    <w:p w14:paraId="26440E08">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②在负载率为50%情况下，整流模块效率应不低于96％。</w:t>
      </w:r>
    </w:p>
    <w:p w14:paraId="01F5223F">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（2）系统效率</w:t>
      </w:r>
    </w:p>
    <w:p w14:paraId="7A325895">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①在负载率为100%情况下，系统效率应不低于95％。</w:t>
      </w:r>
    </w:p>
    <w:p w14:paraId="43FB2679">
      <w:pPr>
        <w:spacing w:line="560" w:lineRule="exact"/>
        <w:ind w:firstLine="480" w:firstLineChars="200"/>
        <w:rPr>
          <w:rFonts w:hint="default"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②在负载率为50%情况下，整流模块效率应不低于96％。</w:t>
      </w:r>
    </w:p>
    <w:p w14:paraId="1DCBEDF3">
      <w:pPr>
        <w:spacing w:line="560" w:lineRule="exact"/>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五、验收标准</w:t>
      </w:r>
    </w:p>
    <w:p w14:paraId="0509EAC7">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1、项目验收国家有强制性规定的，按国家规定执行，验收费用由成交供应商承担，验收报告作为申请付款的凭证之一。</w:t>
      </w:r>
    </w:p>
    <w:p w14:paraId="78AF4E23">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2、验收过程中产生纠纷的，由相关部门认定,如为成交供应商原因造成的，由成交供应商承担检测费用；否则，由采购人承担。</w:t>
      </w:r>
    </w:p>
    <w:p w14:paraId="036840A3">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3、验收分为到货初验与终验二次。</w:t>
      </w:r>
    </w:p>
    <w:p w14:paraId="1F21F90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到货初验是在所有设备到达指定现场后进行，主要依据采购清单所规定的货物规格、数量等；</w:t>
      </w:r>
    </w:p>
    <w:p w14:paraId="61A3AEB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终验是在中标人完成合同项下每个台站所有设备安装调试后进行，其各项性能指标达到投标文件所承诺各项技术参数（招标文件要求），同时需确认湖南省数字微波网正常运行；</w:t>
      </w:r>
    </w:p>
    <w:p w14:paraId="771B6DF0">
      <w:pPr>
        <w:spacing w:line="560" w:lineRule="exact"/>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14:paraId="520032FC">
      <w:pPr>
        <w:spacing w:line="560" w:lineRule="exact"/>
        <w:rPr>
          <w:rFonts w:hint="eastAsia" w:ascii="Times New Roman" w:hAnsi="Times New Roman" w:eastAsia="宋体" w:cs="宋体"/>
          <w:b/>
          <w:bCs/>
          <w:color w:val="000000" w:themeColor="text1"/>
          <w:sz w:val="24"/>
          <w14:textFill>
            <w14:solidFill>
              <w14:schemeClr w14:val="tx1"/>
            </w14:solidFill>
          </w14:textFill>
        </w:rPr>
      </w:pPr>
      <w:r>
        <w:rPr>
          <w:rFonts w:hint="eastAsia" w:ascii="Times New Roman" w:hAnsi="Times New Roman" w:eastAsia="宋体" w:cs="宋体"/>
          <w:b/>
          <w:bCs/>
          <w:color w:val="000000" w:themeColor="text1"/>
          <w:sz w:val="24"/>
          <w14:textFill>
            <w14:solidFill>
              <w14:schemeClr w14:val="tx1"/>
            </w14:solidFill>
          </w14:textFill>
        </w:rPr>
        <w:t>六、其它要求</w:t>
      </w:r>
    </w:p>
    <w:p w14:paraId="34CD9BDF">
      <w:pPr>
        <w:numPr>
          <w:ilvl w:val="0"/>
          <w:numId w:val="5"/>
        </w:numPr>
        <w:spacing w:before="157" w:beforeLines="50" w:after="157" w:afterLines="50" w:line="360" w:lineRule="auto"/>
        <w:ind w:left="0" w:firstLine="420"/>
        <w:outlineLvl w:val="1"/>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质量保证期</w:t>
      </w:r>
    </w:p>
    <w:p w14:paraId="3EBEF866">
      <w:pPr>
        <w:spacing w:before="157" w:beforeLines="50" w:after="157" w:afterLines="50" w:line="360" w:lineRule="auto"/>
        <w:ind w:firstLine="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项目整体竣工验收后</w:t>
      </w:r>
      <w:r>
        <w:rPr>
          <w:rFonts w:hint="eastAsia" w:ascii="宋体" w:hAnsi="宋体" w:eastAsia="宋体" w:cs="宋体"/>
          <w:color w:val="000000" w:themeColor="text1"/>
          <w:kern w:val="0"/>
          <w:sz w:val="24"/>
          <w:szCs w:val="24"/>
          <w14:textFill>
            <w14:solidFill>
              <w14:schemeClr w14:val="tx1"/>
            </w14:solidFill>
          </w14:textFill>
        </w:rPr>
        <w:t>一年。</w:t>
      </w:r>
    </w:p>
    <w:p w14:paraId="03513D87">
      <w:pPr>
        <w:numPr>
          <w:ilvl w:val="0"/>
          <w:numId w:val="5"/>
        </w:numPr>
        <w:spacing w:before="157" w:beforeLines="50" w:after="157" w:afterLines="50" w:line="360" w:lineRule="auto"/>
        <w:ind w:left="0" w:firstLine="420"/>
        <w:outlineLvl w:val="1"/>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合同价款支付方式和条件</w:t>
      </w:r>
    </w:p>
    <w:p w14:paraId="01ACC380">
      <w:pPr>
        <w:numPr>
          <w:ilvl w:val="0"/>
          <w:numId w:val="6"/>
        </w:numPr>
        <w:spacing w:before="157" w:beforeLines="50" w:after="157" w:afterLines="50" w:line="360" w:lineRule="auto"/>
        <w:ind w:left="425"/>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支付方式：国库集中支付</w:t>
      </w:r>
    </w:p>
    <w:p w14:paraId="1D35A401">
      <w:pPr>
        <w:numPr>
          <w:ilvl w:val="0"/>
          <w:numId w:val="6"/>
        </w:numPr>
        <w:spacing w:before="157" w:beforeLines="50" w:after="157" w:afterLines="50" w:line="360" w:lineRule="auto"/>
        <w:ind w:left="425"/>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支付单位：</w:t>
      </w:r>
      <w:r>
        <w:rPr>
          <w:rFonts w:hint="eastAsia" w:ascii="宋体" w:hAnsi="宋体" w:eastAsia="宋体" w:cs="宋体"/>
          <w:color w:val="000000" w:themeColor="text1"/>
          <w:sz w:val="24"/>
          <w:lang w:eastAsia="zh-CN"/>
          <w14:textFill>
            <w14:solidFill>
              <w14:schemeClr w14:val="tx1"/>
            </w14:solidFill>
          </w14:textFill>
        </w:rPr>
        <w:t>湖南省广播电视微波总站</w:t>
      </w:r>
    </w:p>
    <w:p w14:paraId="259A6B3E">
      <w:pPr>
        <w:numPr>
          <w:ilvl w:val="0"/>
          <w:numId w:val="0"/>
        </w:numPr>
        <w:spacing w:before="157" w:beforeLines="50" w:after="157" w:afterLines="50" w:line="360" w:lineRule="auto"/>
        <w:ind w:left="425" w:leftChars="0"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付款条件：全部货物到货验收合格后</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个工作日内支付合同款项</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14:textFill>
            <w14:solidFill>
              <w14:schemeClr w14:val="tx1"/>
            </w14:solidFill>
          </w14:textFill>
        </w:rPr>
        <w:t>验完成后支付到合同款项</w:t>
      </w:r>
      <w:r>
        <w:rPr>
          <w:rFonts w:hint="eastAsia" w:ascii="宋体" w:hAnsi="宋体" w:eastAsia="宋体" w:cs="宋体"/>
          <w:color w:val="000000" w:themeColor="text1"/>
          <w:sz w:val="24"/>
          <w:szCs w:val="24"/>
          <w:lang w:val="en-US" w:eastAsia="zh-CN"/>
          <w14:textFill>
            <w14:solidFill>
              <w14:schemeClr w14:val="tx1"/>
            </w14:solidFill>
          </w14:textFill>
        </w:rPr>
        <w:t>100</w:t>
      </w:r>
      <w:r>
        <w:rPr>
          <w:rFonts w:hint="eastAsia" w:ascii="宋体" w:hAnsi="宋体" w:eastAsia="宋体" w:cs="宋体"/>
          <w:color w:val="000000" w:themeColor="text1"/>
          <w:sz w:val="24"/>
          <w:szCs w:val="24"/>
          <w14:textFill>
            <w14:solidFill>
              <w14:schemeClr w14:val="tx1"/>
            </w14:solidFill>
          </w14:textFill>
        </w:rPr>
        <w:t>%。</w:t>
      </w:r>
    </w:p>
    <w:p w14:paraId="463FCFC1">
      <w:pPr>
        <w:widowControl/>
        <w:spacing w:line="5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本项目采用费用包干方式计取，供应商应根据项目要求和实际情况，考虑项目所需费用。一旦成交，在项目实施中出现任何遗漏，均由成交人免费提供，采购人不再支付任何费用。</w:t>
      </w:r>
    </w:p>
    <w:p w14:paraId="70ACC1B1">
      <w:pPr>
        <w:widowControl/>
        <w:spacing w:line="56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（三）</w:t>
      </w:r>
      <w:r>
        <w:rPr>
          <w:rFonts w:hint="eastAsia" w:ascii="宋体" w:hAnsi="宋体" w:eastAsia="宋体" w:cs="宋体"/>
          <w:color w:val="000000" w:themeColor="text1"/>
          <w:sz w:val="24"/>
          <w14:textFill>
            <w14:solidFill>
              <w14:schemeClr w14:val="tx1"/>
            </w14:solidFill>
          </w14:textFill>
        </w:rPr>
        <w:t>未尽事宜按国家相关规定及行业标准执行。</w:t>
      </w:r>
    </w:p>
    <w:p w14:paraId="6BB8457F">
      <w:pPr>
        <w:widowControl/>
        <w:spacing w:line="56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（四）</w:t>
      </w:r>
      <w:r>
        <w:rPr>
          <w:rFonts w:hint="eastAsia" w:ascii="宋体" w:hAnsi="宋体" w:eastAsia="宋体" w:cs="宋体"/>
          <w:color w:val="000000" w:themeColor="text1"/>
          <w:sz w:val="24"/>
          <w14:textFill>
            <w14:solidFill>
              <w14:schemeClr w14:val="tx1"/>
            </w14:solidFill>
          </w14:textFill>
        </w:rPr>
        <w:t>供应商在磋商前可</w:t>
      </w:r>
      <w:r>
        <w:rPr>
          <w:rFonts w:hint="eastAsia" w:ascii="宋体" w:hAnsi="宋体" w:cs="宋体"/>
          <w:color w:val="000000" w:themeColor="text1"/>
          <w:sz w:val="24"/>
          <w:lang w:val="en-US" w:eastAsia="zh-CN"/>
          <w14:textFill>
            <w14:solidFill>
              <w14:schemeClr w14:val="tx1"/>
            </w14:solidFill>
          </w14:textFill>
        </w:rPr>
        <w:t>自行</w:t>
      </w:r>
      <w:r>
        <w:rPr>
          <w:rFonts w:hint="eastAsia" w:ascii="宋体" w:hAnsi="宋体" w:eastAsia="宋体" w:cs="宋体"/>
          <w:color w:val="000000" w:themeColor="text1"/>
          <w:sz w:val="24"/>
          <w14:textFill>
            <w14:solidFill>
              <w14:schemeClr w14:val="tx1"/>
            </w14:solidFill>
          </w14:textFill>
        </w:rPr>
        <w:t>踏勘现场，踏勘期间发生的意外自负，有关费用自理。</w:t>
      </w:r>
    </w:p>
    <w:p w14:paraId="4AB1CCFE">
      <w:pPr>
        <w:spacing w:line="400" w:lineRule="exact"/>
        <w:rPr>
          <w:rFonts w:hint="eastAsia" w:ascii="仿宋_GB2312" w:hAnsi="黑体" w:eastAsia="仿宋_GB2312"/>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（五）</w:t>
      </w:r>
      <w:r>
        <w:rPr>
          <w:rFonts w:ascii="宋体" w:hAnsi="宋体" w:eastAsia="宋体" w:cs="宋体"/>
          <w:b/>
          <w:bCs/>
          <w:color w:val="000000" w:themeColor="text1"/>
          <w:sz w:val="24"/>
          <w14:textFill>
            <w14:solidFill>
              <w14:schemeClr w14:val="tx1"/>
            </w14:solidFill>
          </w14:textFill>
        </w:rPr>
        <w:t>对于上述项目要求，</w:t>
      </w:r>
      <w:r>
        <w:rPr>
          <w:rFonts w:hint="eastAsia" w:ascii="宋体" w:hAnsi="宋体" w:eastAsia="宋体" w:cs="宋体"/>
          <w:b/>
          <w:bCs/>
          <w:color w:val="000000" w:themeColor="text1"/>
          <w:sz w:val="24"/>
          <w14:textFill>
            <w14:solidFill>
              <w14:schemeClr w14:val="tx1"/>
            </w14:solidFill>
          </w14:textFill>
        </w:rPr>
        <w:t>供应商</w:t>
      </w:r>
      <w:r>
        <w:rPr>
          <w:rFonts w:ascii="宋体" w:hAnsi="宋体" w:eastAsia="宋体" w:cs="宋体"/>
          <w:b/>
          <w:bCs/>
          <w:color w:val="000000" w:themeColor="text1"/>
          <w:sz w:val="24"/>
          <w14:textFill>
            <w14:solidFill>
              <w14:schemeClr w14:val="tx1"/>
            </w14:solidFill>
          </w14:textFill>
        </w:rPr>
        <w:t>应在响应文件中进行回应，作出承诺及说明。</w:t>
      </w:r>
    </w:p>
    <w:p w14:paraId="465D90E6">
      <w:pPr>
        <w:spacing w:after="160" w:line="400" w:lineRule="exact"/>
        <w:ind w:firstLine="480" w:firstLineChars="200"/>
        <w:jc w:val="left"/>
        <w:rPr>
          <w:rFonts w:hint="eastAsia" w:ascii="宋体" w:hAnsi="宋体" w:eastAsia="宋体" w:cs="宋体"/>
          <w:color w:val="000000"/>
          <w:sz w:val="24"/>
        </w:rPr>
      </w:pPr>
    </w:p>
    <w:p w14:paraId="18939F9C">
      <w:pPr>
        <w:spacing w:line="500" w:lineRule="exact"/>
        <w:jc w:val="both"/>
        <w:rPr>
          <w:rFonts w:hint="eastAsia" w:ascii="宋体" w:hAnsi="宋体" w:cs="宋体"/>
          <w:b/>
          <w:sz w:val="32"/>
          <w:szCs w:val="32"/>
        </w:rPr>
      </w:pPr>
    </w:p>
    <w:p w14:paraId="347FF935">
      <w:pPr>
        <w:spacing w:line="500" w:lineRule="exact"/>
        <w:jc w:val="center"/>
        <w:rPr>
          <w:rFonts w:hint="eastAsia" w:ascii="宋体" w:hAnsi="宋体" w:cs="宋体"/>
          <w:b/>
          <w:sz w:val="32"/>
          <w:szCs w:val="32"/>
        </w:rPr>
      </w:pPr>
    </w:p>
    <w:p w14:paraId="0FB35B7A">
      <w:pPr>
        <w:rPr>
          <w:rFonts w:hint="eastAsia" w:ascii="宋体" w:hAnsi="宋体" w:cs="宋体"/>
          <w:b/>
          <w:sz w:val="32"/>
          <w:szCs w:val="32"/>
        </w:rPr>
      </w:pPr>
      <w:r>
        <w:rPr>
          <w:rFonts w:hint="eastAsia" w:ascii="宋体" w:hAnsi="宋体" w:cs="宋体"/>
          <w:b/>
          <w:sz w:val="32"/>
          <w:szCs w:val="32"/>
        </w:rPr>
        <w:br w:type="page"/>
      </w:r>
    </w:p>
    <w:p w14:paraId="2E7AD7E0">
      <w:pPr>
        <w:spacing w:line="500" w:lineRule="exact"/>
        <w:jc w:val="center"/>
        <w:rPr>
          <w:rFonts w:hint="eastAsia" w:ascii="宋体" w:hAnsi="宋体" w:cs="宋体"/>
          <w:b/>
          <w:sz w:val="32"/>
          <w:szCs w:val="32"/>
        </w:rPr>
      </w:pPr>
    </w:p>
    <w:p w14:paraId="72951A4B">
      <w:pPr>
        <w:spacing w:line="500" w:lineRule="exact"/>
        <w:jc w:val="center"/>
        <w:rPr>
          <w:rFonts w:ascii="宋体" w:hAnsi="宋体" w:cs="宋体"/>
          <w:b/>
          <w:sz w:val="32"/>
          <w:szCs w:val="32"/>
        </w:rPr>
      </w:pPr>
      <w:r>
        <w:rPr>
          <w:rFonts w:hint="eastAsia" w:ascii="宋体" w:hAnsi="宋体" w:cs="宋体"/>
          <w:b/>
          <w:sz w:val="32"/>
          <w:szCs w:val="32"/>
        </w:rPr>
        <w:t>第五章响应文件组成</w:t>
      </w:r>
      <w:bookmarkEnd w:id="35"/>
      <w:bookmarkEnd w:id="36"/>
      <w:bookmarkEnd w:id="37"/>
      <w:bookmarkEnd w:id="38"/>
    </w:p>
    <w:p w14:paraId="7A0FEAE5">
      <w:pPr>
        <w:spacing w:line="360" w:lineRule="auto"/>
        <w:rPr>
          <w:rFonts w:ascii="宋体" w:hAnsi="宋体" w:cs="宋体"/>
        </w:rPr>
      </w:pPr>
    </w:p>
    <w:p w14:paraId="6ECD6CF0">
      <w:pPr>
        <w:spacing w:line="360" w:lineRule="auto"/>
        <w:rPr>
          <w:rFonts w:hint="eastAsia" w:ascii="宋体" w:hAnsi="Times New Roman" w:eastAsia="宋体" w:cs="Times New Roman"/>
        </w:rPr>
      </w:pPr>
      <w:r>
        <w:rPr>
          <w:rFonts w:hint="eastAsia" w:ascii="宋体" w:hAnsi="Times New Roman" w:eastAsia="宋体" w:cs="Times New Roman"/>
        </w:rPr>
        <w:t>供应商的响应文件应包含以下八个部分：</w:t>
      </w:r>
    </w:p>
    <w:p w14:paraId="0F6095DF">
      <w:pPr>
        <w:adjustRightInd w:val="0"/>
        <w:snapToGrid w:val="0"/>
        <w:spacing w:line="360" w:lineRule="auto"/>
        <w:jc w:val="left"/>
        <w:outlineLvl w:val="0"/>
        <w:rPr>
          <w:rFonts w:hint="eastAsia" w:ascii="宋体" w:hAnsi="宋体" w:eastAsia="宋体" w:cs="Times New Roman"/>
          <w:b/>
          <w:szCs w:val="21"/>
        </w:rPr>
      </w:pPr>
      <w:r>
        <w:rPr>
          <w:rFonts w:hint="eastAsia" w:ascii="宋体" w:hAnsi="宋体" w:eastAsia="宋体" w:cs="Times New Roman"/>
          <w:b/>
          <w:szCs w:val="21"/>
        </w:rPr>
        <w:t>一、磋商响应声明</w:t>
      </w:r>
    </w:p>
    <w:p w14:paraId="0461D3CD">
      <w:pPr>
        <w:adjustRightInd w:val="0"/>
        <w:snapToGrid w:val="0"/>
        <w:spacing w:line="360" w:lineRule="auto"/>
        <w:jc w:val="left"/>
        <w:outlineLvl w:val="0"/>
        <w:rPr>
          <w:rFonts w:hint="eastAsia" w:ascii="宋体" w:hAnsi="宋体" w:eastAsia="宋体" w:cs="Times New Roman"/>
          <w:b/>
          <w:szCs w:val="21"/>
        </w:rPr>
      </w:pPr>
      <w:r>
        <w:rPr>
          <w:rFonts w:hint="eastAsia" w:ascii="宋体" w:hAnsi="宋体" w:eastAsia="宋体" w:cs="Times New Roman"/>
          <w:b/>
          <w:szCs w:val="21"/>
        </w:rPr>
        <w:t>二、供应商的资格证明资料</w:t>
      </w:r>
    </w:p>
    <w:p w14:paraId="6AE73E77">
      <w:pPr>
        <w:widowControl w:val="0"/>
        <w:adjustRightInd w:val="0"/>
        <w:snapToGrid w:val="0"/>
        <w:spacing w:line="360" w:lineRule="auto"/>
        <w:jc w:val="both"/>
        <w:rPr>
          <w:rFonts w:hint="eastAsia" w:ascii="宋体" w:hAnsi="宋体" w:eastAsia="宋体" w:cs="Courier New"/>
          <w:b/>
          <w:kern w:val="2"/>
          <w:sz w:val="21"/>
          <w:szCs w:val="21"/>
          <w:lang w:val="en-US" w:eastAsia="zh-CN" w:bidi="ar-SA"/>
        </w:rPr>
      </w:pPr>
      <w:r>
        <w:rPr>
          <w:rFonts w:hint="eastAsia" w:ascii="宋体" w:hAnsi="宋体" w:eastAsia="宋体" w:cs="Courier New"/>
          <w:b/>
          <w:kern w:val="2"/>
          <w:sz w:val="21"/>
          <w:szCs w:val="21"/>
          <w:lang w:val="en-US" w:eastAsia="zh-CN" w:bidi="ar-SA"/>
        </w:rPr>
        <w:t>三、货物或服务方案说明</w:t>
      </w:r>
    </w:p>
    <w:p w14:paraId="0E432863">
      <w:pPr>
        <w:adjustRightInd w:val="0"/>
        <w:snapToGrid w:val="0"/>
        <w:spacing w:line="360" w:lineRule="auto"/>
        <w:rPr>
          <w:rFonts w:hint="eastAsia" w:ascii="Times New Roman" w:hAnsi="宋体" w:eastAsia="宋体" w:cs="Times New Roman"/>
          <w:b/>
        </w:rPr>
      </w:pPr>
      <w:r>
        <w:rPr>
          <w:rFonts w:hint="eastAsia" w:ascii="Times New Roman" w:hAnsi="宋体" w:eastAsia="宋体" w:cs="Times New Roman"/>
          <w:b/>
        </w:rPr>
        <w:t>四、技术/商务响应与偏离表</w:t>
      </w:r>
    </w:p>
    <w:p w14:paraId="4F0C7C17">
      <w:pPr>
        <w:widowControl w:val="0"/>
        <w:adjustRightInd w:val="0"/>
        <w:snapToGrid w:val="0"/>
        <w:spacing w:line="360" w:lineRule="auto"/>
        <w:jc w:val="both"/>
        <w:rPr>
          <w:rFonts w:hint="eastAsia" w:ascii="宋体" w:hAnsi="宋体" w:eastAsia="宋体" w:cs="Courier New"/>
          <w:b/>
          <w:kern w:val="2"/>
          <w:sz w:val="21"/>
          <w:szCs w:val="21"/>
          <w:lang w:val="en-US" w:eastAsia="zh-CN" w:bidi="ar-SA"/>
        </w:rPr>
      </w:pPr>
      <w:r>
        <w:rPr>
          <w:rFonts w:hint="eastAsia" w:ascii="宋体" w:hAnsi="宋体" w:eastAsia="宋体" w:cs="Courier New"/>
          <w:b/>
          <w:kern w:val="2"/>
          <w:sz w:val="21"/>
          <w:szCs w:val="21"/>
          <w:lang w:val="en-US" w:eastAsia="zh-CN" w:bidi="ar-SA"/>
        </w:rPr>
        <w:t>五、提供享受政府采购政策的证明资料和清单表</w:t>
      </w:r>
    </w:p>
    <w:p w14:paraId="4CC2BBA1">
      <w:pPr>
        <w:widowControl w:val="0"/>
        <w:adjustRightInd w:val="0"/>
        <w:snapToGrid w:val="0"/>
        <w:spacing w:line="360" w:lineRule="auto"/>
        <w:jc w:val="both"/>
        <w:rPr>
          <w:rFonts w:hint="eastAsia" w:ascii="宋体" w:hAnsi="宋体" w:eastAsia="宋体" w:cs="Courier New"/>
          <w:b/>
          <w:kern w:val="2"/>
          <w:sz w:val="21"/>
          <w:szCs w:val="21"/>
          <w:lang w:val="en-US" w:eastAsia="zh-CN" w:bidi="ar-SA"/>
        </w:rPr>
      </w:pPr>
      <w:r>
        <w:rPr>
          <w:rFonts w:hint="eastAsia" w:ascii="宋体" w:hAnsi="宋体" w:eastAsia="宋体" w:cs="Courier New"/>
          <w:b/>
          <w:bCs/>
          <w:kern w:val="2"/>
          <w:sz w:val="21"/>
          <w:szCs w:val="21"/>
          <w:lang w:val="en-US" w:eastAsia="zh-CN" w:bidi="ar-SA"/>
        </w:rPr>
        <w:t>六</w:t>
      </w:r>
      <w:r>
        <w:rPr>
          <w:rFonts w:hint="eastAsia" w:ascii="宋体" w:hAnsi="宋体" w:eastAsia="宋体" w:cs="Courier New"/>
          <w:b/>
          <w:kern w:val="2"/>
          <w:sz w:val="21"/>
          <w:szCs w:val="21"/>
          <w:lang w:val="en-US" w:eastAsia="zh-CN" w:bidi="ar-SA"/>
        </w:rPr>
        <w:t>、报价一览表及分项价格表</w:t>
      </w:r>
    </w:p>
    <w:p w14:paraId="750948FD">
      <w:pPr>
        <w:widowControl w:val="0"/>
        <w:adjustRightInd w:val="0"/>
        <w:snapToGrid w:val="0"/>
        <w:spacing w:line="360" w:lineRule="auto"/>
        <w:jc w:val="both"/>
        <w:rPr>
          <w:rFonts w:hint="eastAsia" w:ascii="宋体" w:hAnsi="宋体" w:eastAsia="宋体" w:cs="Courier New"/>
          <w:b/>
          <w:kern w:val="2"/>
          <w:sz w:val="21"/>
          <w:szCs w:val="21"/>
          <w:lang w:val="en-US" w:eastAsia="zh-CN" w:bidi="ar-SA"/>
        </w:rPr>
      </w:pPr>
      <w:r>
        <w:rPr>
          <w:rFonts w:hint="eastAsia" w:ascii="宋体" w:hAnsi="宋体" w:eastAsia="宋体" w:cs="Courier New"/>
          <w:b/>
          <w:kern w:val="2"/>
          <w:sz w:val="21"/>
          <w:szCs w:val="21"/>
          <w:lang w:val="en-US" w:eastAsia="zh-CN" w:bidi="ar-SA"/>
        </w:rPr>
        <w:t>七、供应商认为需提供的其它资料</w:t>
      </w:r>
    </w:p>
    <w:p w14:paraId="6D908542">
      <w:pPr>
        <w:widowControl w:val="0"/>
        <w:adjustRightInd w:val="0"/>
        <w:snapToGrid w:val="0"/>
        <w:spacing w:line="360" w:lineRule="auto"/>
        <w:jc w:val="both"/>
        <w:rPr>
          <w:rFonts w:hint="eastAsia" w:ascii="宋体" w:hAnsi="宋体" w:eastAsia="宋体" w:cs="Courier New"/>
          <w:b/>
          <w:kern w:val="2"/>
          <w:sz w:val="21"/>
          <w:szCs w:val="21"/>
          <w:lang w:val="en-US" w:eastAsia="zh-CN" w:bidi="ar-SA"/>
        </w:rPr>
      </w:pPr>
      <w:r>
        <w:rPr>
          <w:rFonts w:hint="eastAsia" w:ascii="宋体" w:hAnsi="宋体" w:eastAsia="宋体" w:cs="Courier New"/>
          <w:b/>
          <w:kern w:val="2"/>
          <w:sz w:val="21"/>
          <w:szCs w:val="21"/>
          <w:lang w:val="en-US" w:eastAsia="zh-CN" w:bidi="ar-SA"/>
        </w:rPr>
        <w:t>八、最后报价</w:t>
      </w:r>
    </w:p>
    <w:p w14:paraId="61735DD4">
      <w:pPr>
        <w:pStyle w:val="27"/>
        <w:ind w:left="0"/>
      </w:pPr>
    </w:p>
    <w:p w14:paraId="6FF97426">
      <w:pPr>
        <w:pStyle w:val="9"/>
        <w:adjustRightInd w:val="0"/>
        <w:snapToGrid w:val="0"/>
        <w:spacing w:line="360" w:lineRule="auto"/>
        <w:jc w:val="center"/>
      </w:pPr>
    </w:p>
    <w:p w14:paraId="53D7488E">
      <w:pPr>
        <w:adjustRightInd w:val="0"/>
        <w:snapToGrid w:val="0"/>
        <w:spacing w:line="360" w:lineRule="auto"/>
        <w:jc w:val="center"/>
        <w:rPr>
          <w:rFonts w:ascii="宋体" w:hAnsi="宋体"/>
          <w:b/>
          <w:bCs/>
          <w:sz w:val="84"/>
          <w:szCs w:val="84"/>
        </w:rPr>
      </w:pPr>
    </w:p>
    <w:p w14:paraId="54615EB1">
      <w:pPr>
        <w:pStyle w:val="29"/>
        <w:ind w:firstLine="420"/>
        <w:sectPr>
          <w:headerReference r:id="rId10" w:type="default"/>
          <w:footerReference r:id="rId11" w:type="default"/>
          <w:pgSz w:w="11911" w:h="16838"/>
          <w:pgMar w:top="1440" w:right="1531" w:bottom="1440" w:left="1531" w:header="1020" w:footer="952" w:gutter="0"/>
          <w:pgNumType w:fmt="decimal"/>
          <w:cols w:space="0" w:num="1"/>
        </w:sectPr>
      </w:pPr>
    </w:p>
    <w:p w14:paraId="0A20C981">
      <w:pPr>
        <w:spacing w:line="360" w:lineRule="exact"/>
        <w:jc w:val="center"/>
        <w:rPr>
          <w:rFonts w:hint="eastAsia" w:ascii="黑体" w:hAnsi="Times New Roman" w:eastAsia="黑体" w:cs="Times New Roman"/>
          <w:b/>
          <w:sz w:val="32"/>
          <w:szCs w:val="32"/>
        </w:rPr>
      </w:pPr>
      <w:r>
        <w:rPr>
          <w:rFonts w:hint="eastAsia" w:ascii="黑体" w:hAnsi="Times New Roman" w:eastAsia="黑体" w:cs="Times New Roman"/>
          <w:b/>
          <w:sz w:val="32"/>
          <w:szCs w:val="32"/>
        </w:rPr>
        <w:t>一、</w:t>
      </w:r>
      <w:r>
        <w:rPr>
          <w:rFonts w:hint="eastAsia" w:ascii="黑体" w:hAnsi="宋体" w:eastAsia="黑体" w:cs="Times New Roman"/>
          <w:b/>
          <w:sz w:val="32"/>
          <w:szCs w:val="32"/>
        </w:rPr>
        <w:t>磋商响应声明</w:t>
      </w:r>
    </w:p>
    <w:p w14:paraId="7AFDFA82">
      <w:pPr>
        <w:adjustRightInd w:val="0"/>
        <w:snapToGrid w:val="0"/>
        <w:spacing w:line="360" w:lineRule="auto"/>
        <w:rPr>
          <w:rFonts w:hint="eastAsia" w:ascii="仿宋_GB2312" w:hAnsi="宋体" w:eastAsia="仿宋_GB2312" w:cs="Times New Roman"/>
          <w:sz w:val="24"/>
        </w:rPr>
      </w:pPr>
    </w:p>
    <w:p w14:paraId="173CB81D">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(采购人或采购代理机构)：</w:t>
      </w:r>
    </w:p>
    <w:p w14:paraId="261B02C5">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我方已仔细研究了</w:t>
      </w:r>
      <w:r>
        <w:rPr>
          <w:rFonts w:hint="eastAsia" w:ascii="宋体" w:hAnsi="宋体" w:eastAsia="宋体" w:cs="Times New Roman"/>
          <w:szCs w:val="21"/>
          <w:u w:val="single"/>
        </w:rPr>
        <w:t xml:space="preserve">                 (</w:t>
      </w:r>
      <w:r>
        <w:rPr>
          <w:rFonts w:hint="eastAsia" w:ascii="宋体" w:hAnsi="宋体" w:eastAsia="宋体" w:cs="Times New Roman"/>
          <w:szCs w:val="21"/>
        </w:rPr>
        <w:t>项目名称)的竞争性磋商文件（采购代理编号：</w:t>
      </w:r>
      <w:r>
        <w:rPr>
          <w:rFonts w:hint="eastAsia" w:ascii="宋体" w:hAnsi="宋体" w:eastAsia="宋体" w:cs="Times New Roman"/>
          <w:szCs w:val="21"/>
          <w:u w:val="single"/>
        </w:rPr>
        <w:t xml:space="preserve">           </w:t>
      </w:r>
      <w:r>
        <w:rPr>
          <w:rFonts w:hint="eastAsia" w:ascii="宋体" w:hAnsi="宋体" w:eastAsia="宋体" w:cs="Times New Roman"/>
          <w:szCs w:val="21"/>
        </w:rPr>
        <w:t>）的全部内容，</w:t>
      </w:r>
      <w:r>
        <w:rPr>
          <w:rFonts w:hint="eastAsia" w:ascii="Times New Roman" w:hAnsi="宋体" w:eastAsia="宋体" w:cs="Times New Roman"/>
        </w:rPr>
        <w:t>知悉参加竞争性磋商的风险，我方承诺接受磋商文件的全部条款且无任何异议。</w:t>
      </w:r>
    </w:p>
    <w:p w14:paraId="6846B117">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一、我方同意在磋商文件中规定的提交首次响应文件截止时间起</w:t>
      </w:r>
      <w:r>
        <w:rPr>
          <w:rFonts w:hint="eastAsia" w:ascii="宋体" w:hAnsi="宋体" w:eastAsia="宋体" w:cs="Courier New"/>
          <w:kern w:val="2"/>
          <w:sz w:val="21"/>
          <w:szCs w:val="21"/>
          <w:u w:val="single"/>
          <w:lang w:val="en-US" w:eastAsia="zh-CN" w:bidi="ar-SA"/>
        </w:rPr>
        <w:t xml:space="preserve"> 90 </w:t>
      </w:r>
      <w:r>
        <w:rPr>
          <w:rFonts w:hint="eastAsia" w:ascii="宋体" w:hAnsi="宋体" w:eastAsia="宋体" w:cs="Courier New"/>
          <w:kern w:val="2"/>
          <w:sz w:val="21"/>
          <w:szCs w:val="21"/>
          <w:lang w:val="en-US" w:eastAsia="zh-CN" w:bidi="ar-SA"/>
        </w:rPr>
        <w:t>日内(响应文件有效期)遵守本响应文件中的承诺且在此期限期满之前均具有法律约束力。</w:t>
      </w:r>
    </w:p>
    <w:p w14:paraId="0D55E045">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二、我方提交响应文件正本一份和副本一式</w:t>
      </w:r>
      <w:r>
        <w:rPr>
          <w:rFonts w:hint="eastAsia" w:ascii="宋体" w:hAnsi="宋体" w:eastAsia="宋体" w:cs="Courier New"/>
          <w:kern w:val="2"/>
          <w:sz w:val="21"/>
          <w:szCs w:val="21"/>
          <w:u w:val="none"/>
          <w:lang w:val="en-US" w:eastAsia="zh-CN" w:bidi="ar-SA"/>
        </w:rPr>
        <w:t>贰</w:t>
      </w:r>
      <w:r>
        <w:rPr>
          <w:rFonts w:hint="eastAsia" w:ascii="宋体" w:hAnsi="宋体" w:eastAsia="宋体" w:cs="Courier New"/>
          <w:kern w:val="2"/>
          <w:sz w:val="21"/>
          <w:szCs w:val="21"/>
          <w:lang w:val="en-US" w:eastAsia="zh-CN" w:bidi="ar-SA"/>
        </w:rPr>
        <w:t>份，并保证响应文件提供的数据和资料全部内容真实、合法、准确和完整，我们对此负责，并愿承担由此引起的法律责任。</w:t>
      </w:r>
    </w:p>
    <w:p w14:paraId="1A316255">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三、我方愿意向贵方提供任何与本项采购有关的数据、情况和技术资料。若贵方需要，我方愿意提供我方作出的一切承诺的证明资料。</w:t>
      </w:r>
    </w:p>
    <w:p w14:paraId="54D67B18">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四、我方愿意按磋商文件规定和磋商小组要求重新提交响应文件和最后报价。</w:t>
      </w:r>
    </w:p>
    <w:p w14:paraId="526D77F9">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五、我方承诺遵守《中华人民共和国政府采购法》的有关规定，保证在获得成交资格后，按照磋商文件确定的事项签订政府采购合同，履行双方所签订的合同，并承担合同规定的责任和义务。</w:t>
      </w:r>
    </w:p>
    <w:p w14:paraId="5DCCAC21">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 xml:space="preserve">六、我方在此声明： </w:t>
      </w:r>
    </w:p>
    <w:p w14:paraId="6DF7FB11">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（一）我方与采购人或采购代理机构不存在隶属关系或者其他利害关系。</w:t>
      </w:r>
    </w:p>
    <w:p w14:paraId="676A4B14">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（二）我方与参加本项目的其他供应商不存在直接控股、管理关系，或者与其他供应商法定代表人（或者负责人）为同一人。</w:t>
      </w:r>
    </w:p>
    <w:p w14:paraId="02F109DA">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（三）我方未为本项目前期准备提供设计或咨询服务。</w:t>
      </w:r>
    </w:p>
    <w:p w14:paraId="39D7D0D4">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（四）我方承诺（承诺期：成立三年以上的，为提交首次响应文件截止时间前三年内；成立不足三年的，为实际时间）：</w:t>
      </w:r>
    </w:p>
    <w:p w14:paraId="6CAA0B8A">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1、我方依法缴纳了各项税费及各项社会保障资金，没有偷税、漏税及欠缴行为。</w:t>
      </w:r>
    </w:p>
    <w:p w14:paraId="69C1059B">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2、我方在经营活动中没有存在下列重大违法记录：</w:t>
      </w:r>
    </w:p>
    <w:p w14:paraId="0453FA8A">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(1)受到刑事处罚；</w:t>
      </w:r>
    </w:p>
    <w:p w14:paraId="382861A4">
      <w:pPr>
        <w:widowControl w:val="0"/>
        <w:adjustRightInd w:val="0"/>
        <w:snapToGrid w:val="0"/>
        <w:spacing w:line="360" w:lineRule="auto"/>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(2)受到200万元以上的罚款、责令停产停业、在一至三年内禁止参加政府采购活动、暂扣或者吊销许可证、暂扣或者吊销执照的行政处罚。</w:t>
      </w:r>
    </w:p>
    <w:p w14:paraId="3C2DB5D2">
      <w:pPr>
        <w:adjustRightInd w:val="0"/>
        <w:snapToGrid w:val="0"/>
        <w:spacing w:line="360" w:lineRule="auto"/>
        <w:ind w:right="24"/>
        <w:rPr>
          <w:rFonts w:hint="eastAsia" w:ascii="宋体" w:hAnsi="宋体" w:eastAsia="宋体" w:cs="Times New Roman"/>
          <w:szCs w:val="21"/>
        </w:rPr>
      </w:pPr>
      <w:r>
        <w:rPr>
          <w:rFonts w:hint="eastAsia" w:ascii="宋体" w:hAnsi="宋体" w:eastAsia="宋体" w:cs="Times New Roman"/>
          <w:bCs/>
          <w:szCs w:val="21"/>
        </w:rPr>
        <w:t>附件1：</w:t>
      </w:r>
      <w:r>
        <w:rPr>
          <w:rFonts w:hint="eastAsia" w:ascii="宋体" w:hAnsi="宋体" w:eastAsia="宋体" w:cs="Times New Roman"/>
          <w:szCs w:val="21"/>
        </w:rPr>
        <w:t>法定代表人身份证明</w:t>
      </w:r>
    </w:p>
    <w:p w14:paraId="05FD49BA">
      <w:pPr>
        <w:adjustRightInd w:val="0"/>
        <w:snapToGrid w:val="0"/>
        <w:spacing w:line="360" w:lineRule="auto"/>
        <w:ind w:right="24"/>
        <w:rPr>
          <w:rFonts w:hint="eastAsia" w:ascii="宋体" w:hAnsi="宋体" w:eastAsia="宋体" w:cs="Times New Roman"/>
          <w:szCs w:val="21"/>
        </w:rPr>
      </w:pPr>
      <w:r>
        <w:rPr>
          <w:rFonts w:hint="eastAsia" w:ascii="宋体" w:hAnsi="宋体" w:eastAsia="宋体" w:cs="Times New Roman"/>
          <w:bCs/>
          <w:szCs w:val="21"/>
        </w:rPr>
        <w:t>附件2</w:t>
      </w:r>
      <w:r>
        <w:rPr>
          <w:rFonts w:hint="eastAsia" w:ascii="宋体" w:hAnsi="宋体" w:eastAsia="宋体" w:cs="Times New Roman"/>
          <w:szCs w:val="21"/>
        </w:rPr>
        <w:t>：法定代表人授权书</w:t>
      </w:r>
    </w:p>
    <w:p w14:paraId="2197F29E">
      <w:pPr>
        <w:widowControl w:val="0"/>
        <w:adjustRightInd w:val="0"/>
        <w:snapToGrid w:val="0"/>
        <w:spacing w:line="360" w:lineRule="auto"/>
        <w:jc w:val="both"/>
        <w:rPr>
          <w:rFonts w:hint="eastAsia" w:ascii="宋体" w:hAnsi="宋体" w:eastAsia="宋体" w:cs="Courier New"/>
          <w:kern w:val="2"/>
          <w:sz w:val="21"/>
          <w:szCs w:val="21"/>
          <w:lang w:val="en-US" w:eastAsia="zh-CN" w:bidi="ar-SA"/>
        </w:rPr>
      </w:pPr>
    </w:p>
    <w:p w14:paraId="0DCF130D">
      <w:pPr>
        <w:widowControl w:val="0"/>
        <w:adjustRightInd w:val="0"/>
        <w:snapToGrid w:val="0"/>
        <w:spacing w:line="360" w:lineRule="auto"/>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供应商名称(盖单位章)：</w:t>
      </w:r>
    </w:p>
    <w:p w14:paraId="505AF37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法定代表人或其委托代理人 (签字)：</w:t>
      </w:r>
      <w:r>
        <w:rPr>
          <w:rFonts w:hint="eastAsia" w:ascii="宋体" w:hAnsi="宋体" w:eastAsia="宋体" w:cs="Times New Roman"/>
          <w:szCs w:val="21"/>
          <w:u w:val="single"/>
        </w:rPr>
        <w:t xml:space="preserve">            </w:t>
      </w:r>
    </w:p>
    <w:p w14:paraId="16A11202">
      <w:pPr>
        <w:rPr>
          <w:rFonts w:hint="eastAsia" w:ascii="黑体" w:hAnsi="黑体" w:eastAsia="黑体" w:cs="Times New Roman"/>
          <w:bCs/>
          <w:sz w:val="30"/>
          <w:szCs w:val="30"/>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r>
        <w:rPr>
          <w:rFonts w:hint="eastAsia" w:ascii="黑体" w:hAnsi="黑体" w:eastAsia="黑体" w:cs="Times New Roman"/>
          <w:bCs/>
          <w:sz w:val="30"/>
          <w:szCs w:val="30"/>
        </w:rPr>
        <w:br w:type="page"/>
      </w:r>
    </w:p>
    <w:p w14:paraId="0DB9248B">
      <w:pPr>
        <w:adjustRightInd w:val="0"/>
        <w:snapToGrid w:val="0"/>
        <w:spacing w:line="360" w:lineRule="auto"/>
        <w:ind w:right="24"/>
        <w:rPr>
          <w:rFonts w:hint="eastAsia" w:ascii="黑体" w:hAnsi="黑体" w:eastAsia="黑体" w:cs="Times New Roman"/>
          <w:bCs/>
          <w:sz w:val="30"/>
          <w:szCs w:val="30"/>
        </w:rPr>
      </w:pPr>
      <w:r>
        <w:rPr>
          <w:rFonts w:hint="eastAsia" w:ascii="黑体" w:hAnsi="黑体" w:eastAsia="黑体" w:cs="Times New Roman"/>
          <w:bCs/>
          <w:sz w:val="30"/>
          <w:szCs w:val="30"/>
        </w:rPr>
        <w:t>附件1</w:t>
      </w:r>
    </w:p>
    <w:p w14:paraId="62043243">
      <w:pPr>
        <w:jc w:val="center"/>
        <w:rPr>
          <w:rFonts w:hint="eastAsia" w:ascii="黑体" w:hAnsi="黑体" w:eastAsia="黑体" w:cs="Times New Roman"/>
          <w:b/>
          <w:sz w:val="30"/>
          <w:szCs w:val="30"/>
        </w:rPr>
      </w:pPr>
      <w:r>
        <w:rPr>
          <w:rFonts w:hint="eastAsia" w:ascii="黑体" w:hAnsi="黑体" w:eastAsia="黑体" w:cs="Times New Roman"/>
          <w:b/>
          <w:sz w:val="30"/>
          <w:szCs w:val="30"/>
        </w:rPr>
        <w:t>法定代表人身份证明</w:t>
      </w:r>
    </w:p>
    <w:p w14:paraId="043F485B">
      <w:pPr>
        <w:snapToGrid w:val="0"/>
        <w:spacing w:line="480" w:lineRule="auto"/>
        <w:rPr>
          <w:rFonts w:hint="eastAsia" w:ascii="宋体" w:hAnsi="宋体" w:eastAsia="宋体" w:cs="Times New Roman"/>
          <w:szCs w:val="21"/>
        </w:rPr>
      </w:pPr>
    </w:p>
    <w:p w14:paraId="1B3F8700">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Times New Roman"/>
          <w:szCs w:val="21"/>
        </w:rPr>
        <w:t>供应商</w:t>
      </w:r>
      <w:r>
        <w:rPr>
          <w:rFonts w:hint="eastAsia" w:ascii="宋体" w:hAnsi="宋体" w:eastAsia="宋体" w:cs="宋体"/>
          <w:kern w:val="0"/>
          <w:szCs w:val="21"/>
        </w:rPr>
        <w:t>名称：</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7B37F15A">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注册号：</w:t>
      </w:r>
      <w:r>
        <w:rPr>
          <w:rFonts w:hint="eastAsia" w:ascii="宋体" w:hAnsi="宋体" w:eastAsia="宋体" w:cs="宋体"/>
          <w:kern w:val="0"/>
          <w:szCs w:val="21"/>
          <w:u w:val="single"/>
        </w:rPr>
        <w:t xml:space="preserve">                  </w:t>
      </w:r>
    </w:p>
    <w:p w14:paraId="70CC88F1">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注册地址：</w:t>
      </w:r>
      <w:r>
        <w:rPr>
          <w:rFonts w:hint="eastAsia" w:ascii="宋体" w:hAnsi="宋体" w:eastAsia="宋体" w:cs="宋体"/>
          <w:kern w:val="0"/>
          <w:szCs w:val="21"/>
          <w:u w:val="single"/>
        </w:rPr>
        <w:t xml:space="preserve">                                    </w:t>
      </w:r>
    </w:p>
    <w:p w14:paraId="6F9BE3AE">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 xml:space="preserve">成立时间：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日</w:t>
      </w:r>
    </w:p>
    <w:p w14:paraId="074039C9">
      <w:pPr>
        <w:autoSpaceDE w:val="0"/>
        <w:autoSpaceDN w:val="0"/>
        <w:adjustRightInd w:val="0"/>
        <w:snapToGri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经营期限：</w:t>
      </w:r>
      <w:r>
        <w:rPr>
          <w:rFonts w:hint="eastAsia" w:ascii="宋体" w:hAnsi="宋体" w:eastAsia="宋体" w:cs="宋体"/>
          <w:kern w:val="0"/>
          <w:szCs w:val="21"/>
          <w:u w:val="single"/>
        </w:rPr>
        <w:t xml:space="preserve">                  </w:t>
      </w:r>
    </w:p>
    <w:p w14:paraId="1E3BD849">
      <w:pPr>
        <w:autoSpaceDE w:val="0"/>
        <w:autoSpaceDN w:val="0"/>
        <w:adjustRightInd w:val="0"/>
        <w:snapToGri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经营范围：主营：</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；兼营：</w:t>
      </w:r>
      <w:r>
        <w:rPr>
          <w:rFonts w:hint="eastAsia" w:ascii="宋体" w:hAnsi="宋体" w:eastAsia="宋体" w:cs="宋体"/>
          <w:kern w:val="0"/>
          <w:szCs w:val="21"/>
          <w:u w:val="single"/>
        </w:rPr>
        <w:t xml:space="preserve">              </w:t>
      </w:r>
    </w:p>
    <w:p w14:paraId="7567D62C">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姓名：</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性别：</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年龄：</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系</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Times New Roman"/>
          <w:szCs w:val="21"/>
        </w:rPr>
        <w:t>供应商</w:t>
      </w:r>
      <w:r>
        <w:rPr>
          <w:rFonts w:hint="eastAsia" w:ascii="宋体" w:hAnsi="宋体" w:eastAsia="宋体" w:cs="宋体"/>
          <w:kern w:val="0"/>
          <w:szCs w:val="21"/>
        </w:rPr>
        <w:t>名称）的法定代表人。</w:t>
      </w:r>
    </w:p>
    <w:p w14:paraId="25FEDC5A">
      <w:pPr>
        <w:autoSpaceDE w:val="0"/>
        <w:autoSpaceDN w:val="0"/>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特此证明。</w:t>
      </w:r>
    </w:p>
    <w:p w14:paraId="38085A90">
      <w:pPr>
        <w:autoSpaceDE w:val="0"/>
        <w:autoSpaceDN w:val="0"/>
        <w:adjustRightInd w:val="0"/>
        <w:snapToGrid w:val="0"/>
        <w:spacing w:line="360" w:lineRule="auto"/>
        <w:jc w:val="left"/>
        <w:rPr>
          <w:rFonts w:hint="eastAsia" w:ascii="宋体" w:hAnsi="宋体" w:eastAsia="宋体" w:cs="宋体"/>
          <w:kern w:val="0"/>
          <w:szCs w:val="21"/>
          <w:lang w:val="en-US" w:eastAsia="zh-CN"/>
        </w:rPr>
      </w:pPr>
      <w:r>
        <w:rPr>
          <w:rFonts w:hint="eastAsia" w:ascii="宋体" w:hAnsi="宋体" w:eastAsia="宋体" w:cs="Times New Roman"/>
          <w:szCs w:val="21"/>
        </w:rPr>
        <w:t>附：法定代表人身份证复印件</w:t>
      </w:r>
      <w:r>
        <w:rPr>
          <w:rFonts w:hint="eastAsia" w:ascii="宋体" w:hAnsi="宋体" w:eastAsia="宋体" w:cs="Times New Roman"/>
          <w:szCs w:val="21"/>
          <w:lang w:val="en-US" w:eastAsia="zh-CN"/>
        </w:rPr>
        <w:t>正反面</w:t>
      </w:r>
    </w:p>
    <w:p w14:paraId="117DC215">
      <w:pPr>
        <w:snapToGrid w:val="0"/>
        <w:spacing w:line="480" w:lineRule="auto"/>
        <w:rPr>
          <w:rFonts w:hint="eastAsia" w:ascii="宋体" w:hAnsi="宋体" w:eastAsia="宋体" w:cs="Times New Roman"/>
          <w:szCs w:val="21"/>
        </w:rPr>
      </w:pPr>
    </w:p>
    <w:p w14:paraId="1E756863">
      <w:pPr>
        <w:snapToGrid w:val="0"/>
        <w:rPr>
          <w:rFonts w:hint="eastAsia" w:ascii="宋体" w:hAnsi="宋体" w:eastAsia="宋体" w:cs="Times New Roman"/>
          <w:szCs w:val="21"/>
        </w:rPr>
      </w:pPr>
    </w:p>
    <w:p w14:paraId="553C37F9">
      <w:pPr>
        <w:snapToGrid w:val="0"/>
        <w:rPr>
          <w:rFonts w:hint="eastAsia" w:ascii="宋体" w:hAnsi="宋体" w:eastAsia="宋体" w:cs="Times New Roman"/>
          <w:szCs w:val="21"/>
        </w:rPr>
      </w:pPr>
    </w:p>
    <w:p w14:paraId="2F8491FC">
      <w:pPr>
        <w:snapToGrid w:val="0"/>
        <w:rPr>
          <w:rFonts w:hint="eastAsia" w:ascii="宋体" w:hAnsi="宋体" w:eastAsia="宋体" w:cs="Times New Roman"/>
          <w:szCs w:val="21"/>
        </w:rPr>
      </w:pPr>
    </w:p>
    <w:p w14:paraId="5DE90412">
      <w:pPr>
        <w:snapToGrid w:val="0"/>
        <w:rPr>
          <w:rFonts w:hint="eastAsia" w:ascii="宋体" w:hAnsi="宋体" w:eastAsia="宋体" w:cs="Times New Roman"/>
          <w:szCs w:val="21"/>
        </w:rPr>
      </w:pPr>
    </w:p>
    <w:p w14:paraId="690EE8CA">
      <w:pPr>
        <w:adjustRightInd w:val="0"/>
        <w:snapToGrid w:val="0"/>
        <w:spacing w:line="360" w:lineRule="auto"/>
        <w:rPr>
          <w:rFonts w:hint="eastAsia" w:ascii="宋体" w:hAnsi="宋体" w:eastAsia="宋体" w:cs="Times New Roman"/>
          <w:szCs w:val="21"/>
        </w:rPr>
      </w:pPr>
    </w:p>
    <w:p w14:paraId="4F16F571">
      <w:pPr>
        <w:adjustRightInd w:val="0"/>
        <w:snapToGrid w:val="0"/>
        <w:spacing w:line="360" w:lineRule="auto"/>
        <w:ind w:right="420"/>
        <w:rPr>
          <w:rFonts w:hint="eastAsia" w:ascii="宋体" w:hAnsi="宋体" w:eastAsia="宋体" w:cs="Times New Roman"/>
          <w:szCs w:val="21"/>
        </w:rPr>
      </w:pPr>
      <w:r>
        <w:rPr>
          <w:rFonts w:hint="eastAsia" w:ascii="宋体" w:hAnsi="宋体" w:eastAsia="宋体" w:cs="Times New Roman"/>
          <w:szCs w:val="21"/>
        </w:rPr>
        <w:t>供应商名称（盖单位章）：</w:t>
      </w:r>
    </w:p>
    <w:p w14:paraId="4C6182F9">
      <w:pPr>
        <w:adjustRightInd w:val="0"/>
        <w:snapToGrid w:val="0"/>
        <w:spacing w:line="360" w:lineRule="auto"/>
        <w:ind w:right="420"/>
        <w:rPr>
          <w:rFonts w:hint="eastAsia" w:ascii="仿宋_GB2312" w:hAnsi="宋体" w:eastAsia="仿宋_GB2312"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p w14:paraId="3AFD9394">
      <w:pPr>
        <w:adjustRightInd w:val="0"/>
        <w:snapToGrid w:val="0"/>
        <w:spacing w:before="156" w:beforeLines="50" w:line="360" w:lineRule="auto"/>
        <w:rPr>
          <w:rFonts w:hint="eastAsia" w:ascii="仿宋_GB2312" w:hAnsi="宋体" w:eastAsia="仿宋_GB2312" w:cs="Times New Roman"/>
          <w:szCs w:val="21"/>
        </w:rPr>
      </w:pPr>
    </w:p>
    <w:p w14:paraId="162A5E92">
      <w:pPr>
        <w:adjustRightInd w:val="0"/>
        <w:snapToGrid w:val="0"/>
        <w:spacing w:before="156" w:beforeLines="50" w:line="360" w:lineRule="auto"/>
        <w:rPr>
          <w:rFonts w:hint="eastAsia" w:ascii="仿宋_GB2312" w:hAnsi="宋体" w:eastAsia="仿宋_GB2312" w:cs="Times New Roman"/>
          <w:szCs w:val="21"/>
        </w:rPr>
      </w:pPr>
    </w:p>
    <w:p w14:paraId="7D8F013C">
      <w:pPr>
        <w:adjustRightInd w:val="0"/>
        <w:snapToGrid w:val="0"/>
        <w:spacing w:before="156" w:beforeLines="50" w:line="360" w:lineRule="auto"/>
        <w:rPr>
          <w:rFonts w:hint="eastAsia" w:ascii="黑体" w:hAnsi="黑体" w:eastAsia="黑体" w:cs="Times New Roman"/>
          <w:bCs/>
          <w:sz w:val="30"/>
          <w:szCs w:val="30"/>
        </w:rPr>
      </w:pPr>
    </w:p>
    <w:p w14:paraId="1B3D793C">
      <w:pPr>
        <w:pStyle w:val="11"/>
        <w:jc w:val="center"/>
        <w:rPr>
          <w:rFonts w:ascii="宋体" w:hAnsi="宋体" w:cs="宋体"/>
          <w:b/>
          <w:sz w:val="28"/>
          <w:szCs w:val="28"/>
        </w:rPr>
      </w:pPr>
      <w:r>
        <w:rPr>
          <w:rFonts w:hint="eastAsia" w:ascii="黑体" w:hAnsi="黑体" w:eastAsia="黑体" w:cs="Times New Roman"/>
          <w:sz w:val="30"/>
          <w:szCs w:val="30"/>
        </w:rPr>
        <w:t>（需另外单独准备一份，开标现场时递交）</w:t>
      </w:r>
    </w:p>
    <w:p w14:paraId="63E8381D">
      <w:pPr>
        <w:pStyle w:val="11"/>
        <w:rPr>
          <w:rFonts w:ascii="宋体" w:hAnsi="宋体" w:cs="宋体"/>
          <w:bCs/>
          <w:sz w:val="30"/>
          <w:szCs w:val="30"/>
        </w:rPr>
      </w:pPr>
    </w:p>
    <w:p w14:paraId="31A07356">
      <w:pPr>
        <w:adjustRightInd w:val="0"/>
        <w:snapToGrid w:val="0"/>
        <w:spacing w:beforeLines="50" w:line="360" w:lineRule="auto"/>
        <w:rPr>
          <w:rFonts w:ascii="宋体" w:hAnsi="宋体" w:cs="宋体"/>
          <w:bCs/>
          <w:sz w:val="30"/>
          <w:szCs w:val="30"/>
        </w:rPr>
      </w:pPr>
    </w:p>
    <w:p w14:paraId="209F333D">
      <w:pPr>
        <w:adjustRightInd w:val="0"/>
        <w:snapToGrid w:val="0"/>
        <w:spacing w:beforeLines="50" w:line="360" w:lineRule="auto"/>
        <w:rPr>
          <w:rFonts w:ascii="宋体" w:hAnsi="宋体" w:cs="宋体"/>
          <w:bCs/>
          <w:sz w:val="30"/>
          <w:szCs w:val="30"/>
        </w:rPr>
      </w:pPr>
    </w:p>
    <w:p w14:paraId="2D06DA0F">
      <w:pPr>
        <w:rPr>
          <w:rFonts w:hint="eastAsia"/>
          <w:b/>
          <w:bCs/>
          <w:kern w:val="0"/>
          <w:sz w:val="28"/>
          <w:szCs w:val="28"/>
        </w:rPr>
      </w:pPr>
      <w:r>
        <w:rPr>
          <w:rFonts w:hint="eastAsia"/>
          <w:b/>
          <w:bCs/>
          <w:kern w:val="0"/>
          <w:sz w:val="28"/>
          <w:szCs w:val="28"/>
        </w:rPr>
        <w:br w:type="page"/>
      </w:r>
    </w:p>
    <w:p w14:paraId="0401DC71">
      <w:pPr>
        <w:adjustRightInd w:val="0"/>
        <w:snapToGrid w:val="0"/>
        <w:spacing w:before="156" w:beforeLines="50" w:line="360" w:lineRule="auto"/>
        <w:rPr>
          <w:rFonts w:hint="eastAsia" w:ascii="黑体" w:hAnsi="黑体" w:eastAsia="黑体" w:cs="Times New Roman"/>
          <w:sz w:val="30"/>
          <w:szCs w:val="30"/>
        </w:rPr>
      </w:pPr>
      <w:r>
        <w:rPr>
          <w:rFonts w:hint="eastAsia" w:ascii="黑体" w:hAnsi="黑体" w:eastAsia="黑体" w:cs="Times New Roman"/>
          <w:bCs/>
          <w:sz w:val="30"/>
          <w:szCs w:val="30"/>
        </w:rPr>
        <w:t>附件2</w:t>
      </w:r>
    </w:p>
    <w:p w14:paraId="2F8BECDC">
      <w:pPr>
        <w:jc w:val="center"/>
        <w:rPr>
          <w:rFonts w:hint="eastAsia" w:ascii="黑体" w:hAnsi="黑体" w:eastAsia="黑体" w:cs="Times New Roman"/>
          <w:b/>
          <w:sz w:val="30"/>
          <w:szCs w:val="30"/>
        </w:rPr>
      </w:pPr>
      <w:r>
        <w:rPr>
          <w:rFonts w:hint="eastAsia" w:ascii="黑体" w:hAnsi="黑体" w:eastAsia="黑体" w:cs="Times New Roman"/>
          <w:b/>
          <w:sz w:val="30"/>
          <w:szCs w:val="30"/>
        </w:rPr>
        <w:t>法定代表人授权委托书</w:t>
      </w:r>
    </w:p>
    <w:p w14:paraId="6AF208E6">
      <w:pPr>
        <w:adjustRightInd w:val="0"/>
        <w:snapToGrid w:val="0"/>
        <w:spacing w:line="360" w:lineRule="auto"/>
        <w:jc w:val="center"/>
        <w:rPr>
          <w:rFonts w:hint="eastAsia" w:ascii="黑体" w:hAnsi="华文中宋" w:eastAsia="黑体" w:cs="Times New Roman"/>
          <w:b/>
          <w:sz w:val="28"/>
          <w:szCs w:val="28"/>
        </w:rPr>
      </w:pPr>
    </w:p>
    <w:p w14:paraId="7C098615">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本人</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（姓名、职务）系</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Times New Roman"/>
          <w:szCs w:val="21"/>
        </w:rPr>
        <w:t>供应商</w:t>
      </w:r>
      <w:r>
        <w:rPr>
          <w:rFonts w:hint="eastAsia" w:ascii="宋体" w:hAnsi="宋体" w:eastAsia="宋体" w:cs="宋体"/>
          <w:kern w:val="0"/>
          <w:szCs w:val="21"/>
        </w:rPr>
        <w:t>名称）的法定代表人，现授权</w:t>
      </w:r>
      <w:r>
        <w:rPr>
          <w:rFonts w:hint="eastAsia" w:ascii="宋体" w:hAnsi="宋体" w:eastAsia="宋体" w:cs="宋体"/>
          <w:kern w:val="0"/>
          <w:szCs w:val="21"/>
          <w:u w:val="single"/>
        </w:rPr>
        <w:t xml:space="preserve">          </w:t>
      </w:r>
      <w:r>
        <w:rPr>
          <w:rFonts w:hint="eastAsia" w:ascii="宋体" w:hAnsi="宋体" w:eastAsia="宋体" w:cs="宋体"/>
          <w:kern w:val="0"/>
          <w:szCs w:val="21"/>
        </w:rPr>
        <w:t>（姓名、职务）为我方代理人。代理人根据授权，以我方名义：(1)签署、澄清、补正、修改、撤回、提交</w:t>
      </w:r>
      <w:r>
        <w:rPr>
          <w:rFonts w:hint="eastAsia" w:ascii="宋体" w:hAnsi="宋体" w:eastAsia="宋体" w:cs="宋体"/>
          <w:kern w:val="0"/>
          <w:szCs w:val="21"/>
          <w:u w:val="single"/>
        </w:rPr>
        <w:t xml:space="preserve">                     </w:t>
      </w:r>
      <w:r>
        <w:rPr>
          <w:rFonts w:hint="eastAsia" w:ascii="宋体" w:hAnsi="宋体" w:eastAsia="宋体" w:cs="宋体"/>
          <w:kern w:val="0"/>
          <w:szCs w:val="21"/>
        </w:rPr>
        <w:t>（项目名称、采购代理编号）响应文件；(2)签署并重新提交响应文件及最后报价；(3)签订合同和处理有关事宜，其法律后果由我方承担；（4）询问、质疑、投诉等相关事项，其法律后果由我方承担。</w:t>
      </w:r>
    </w:p>
    <w:p w14:paraId="44DB9D7A">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p>
    <w:p w14:paraId="41994977">
      <w:pPr>
        <w:autoSpaceDE w:val="0"/>
        <w:autoSpaceDN w:val="0"/>
        <w:adjustRightInd w:val="0"/>
        <w:snapToGrid w:val="0"/>
        <w:spacing w:before="156" w:beforeLines="50"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委托期限：</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p>
    <w:p w14:paraId="13B15453">
      <w:pPr>
        <w:spacing w:line="360" w:lineRule="auto"/>
        <w:ind w:firstLine="435"/>
        <w:rPr>
          <w:rFonts w:hint="eastAsia" w:ascii="宋体" w:hAnsi="宋体" w:eastAsia="宋体" w:cs="宋体"/>
          <w:kern w:val="0"/>
          <w:szCs w:val="21"/>
        </w:rPr>
      </w:pPr>
      <w:r>
        <w:rPr>
          <w:rFonts w:hint="eastAsia" w:ascii="宋体" w:hAnsi="宋体" w:eastAsia="宋体" w:cs="宋体"/>
          <w:kern w:val="0"/>
          <w:szCs w:val="21"/>
        </w:rPr>
        <w:t>代理人无转委托权。</w:t>
      </w:r>
    </w:p>
    <w:p w14:paraId="5092643D">
      <w:pPr>
        <w:spacing w:line="360" w:lineRule="auto"/>
        <w:ind w:firstLine="435"/>
        <w:rPr>
          <w:rFonts w:hint="eastAsia" w:ascii="宋体" w:hAnsi="宋体" w:eastAsia="宋体" w:cs="Times New Roman"/>
          <w:szCs w:val="21"/>
        </w:rPr>
      </w:pPr>
      <w:r>
        <w:rPr>
          <w:rFonts w:hint="eastAsia" w:ascii="宋体" w:hAnsi="宋体" w:eastAsia="宋体" w:cs="Times New Roman"/>
          <w:szCs w:val="21"/>
        </w:rPr>
        <w:t>本授权书于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日签字生效，特此声明。</w:t>
      </w:r>
    </w:p>
    <w:p w14:paraId="115DAD35">
      <w:pPr>
        <w:adjustRightInd w:val="0"/>
        <w:snapToGrid w:val="0"/>
        <w:spacing w:before="156" w:beforeLines="50"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附：委托代理人身份证复印件</w:t>
      </w:r>
      <w:r>
        <w:rPr>
          <w:rFonts w:hint="eastAsia" w:ascii="宋体" w:hAnsi="宋体" w:eastAsia="宋体" w:cs="Times New Roman"/>
          <w:szCs w:val="21"/>
          <w:lang w:val="en-US" w:eastAsia="zh-CN"/>
        </w:rPr>
        <w:t>正反面</w:t>
      </w:r>
      <w:r>
        <w:rPr>
          <w:rFonts w:hint="eastAsia" w:ascii="宋体" w:hAnsi="宋体" w:eastAsia="宋体" w:cs="Times New Roman"/>
          <w:szCs w:val="21"/>
        </w:rPr>
        <w:t>及法定代表人身份证明(附件1，原件)、委托代理人近三个社保证明。</w:t>
      </w:r>
    </w:p>
    <w:p w14:paraId="5CF4FFF0">
      <w:pPr>
        <w:adjustRightInd w:val="0"/>
        <w:snapToGrid w:val="0"/>
        <w:spacing w:line="360" w:lineRule="auto"/>
        <w:ind w:right="420"/>
        <w:rPr>
          <w:rFonts w:hint="eastAsia" w:ascii="宋体" w:hAnsi="宋体" w:eastAsia="宋体" w:cs="Times New Roman"/>
          <w:szCs w:val="21"/>
        </w:rPr>
      </w:pPr>
    </w:p>
    <w:p w14:paraId="2B811964">
      <w:pPr>
        <w:adjustRightInd w:val="0"/>
        <w:snapToGrid w:val="0"/>
        <w:spacing w:line="360" w:lineRule="auto"/>
        <w:ind w:right="420"/>
        <w:rPr>
          <w:rFonts w:hint="eastAsia" w:ascii="宋体" w:hAnsi="宋体" w:eastAsia="宋体" w:cs="Times New Roman"/>
          <w:szCs w:val="21"/>
        </w:rPr>
      </w:pPr>
    </w:p>
    <w:p w14:paraId="79C774B0">
      <w:pPr>
        <w:adjustRightInd w:val="0"/>
        <w:snapToGrid w:val="0"/>
        <w:spacing w:line="360" w:lineRule="auto"/>
        <w:ind w:right="420"/>
        <w:rPr>
          <w:rFonts w:hint="eastAsia" w:ascii="宋体" w:hAnsi="宋体" w:eastAsia="宋体" w:cs="Times New Roman"/>
          <w:szCs w:val="21"/>
        </w:rPr>
      </w:pPr>
    </w:p>
    <w:p w14:paraId="14BBAC9F">
      <w:pPr>
        <w:adjustRightInd w:val="0"/>
        <w:snapToGrid w:val="0"/>
        <w:spacing w:line="360" w:lineRule="auto"/>
        <w:ind w:right="420"/>
        <w:rPr>
          <w:rFonts w:hint="eastAsia" w:ascii="宋体" w:hAnsi="宋体" w:eastAsia="宋体" w:cs="Times New Roman"/>
          <w:szCs w:val="21"/>
        </w:rPr>
      </w:pPr>
    </w:p>
    <w:p w14:paraId="1ED4487D">
      <w:pPr>
        <w:adjustRightInd w:val="0"/>
        <w:snapToGrid w:val="0"/>
        <w:spacing w:line="360" w:lineRule="auto"/>
        <w:ind w:right="420"/>
        <w:rPr>
          <w:rFonts w:hint="eastAsia" w:ascii="宋体" w:hAnsi="宋体" w:eastAsia="宋体" w:cs="Times New Roman"/>
          <w:szCs w:val="21"/>
        </w:rPr>
      </w:pPr>
    </w:p>
    <w:p w14:paraId="30B9B715">
      <w:pPr>
        <w:adjustRightInd w:val="0"/>
        <w:snapToGrid w:val="0"/>
        <w:spacing w:line="360" w:lineRule="auto"/>
        <w:ind w:right="420"/>
        <w:rPr>
          <w:rFonts w:hint="eastAsia" w:ascii="宋体" w:hAnsi="宋体" w:eastAsia="宋体" w:cs="Times New Roman"/>
          <w:szCs w:val="21"/>
        </w:rPr>
      </w:pPr>
    </w:p>
    <w:p w14:paraId="2BFAA29F">
      <w:pPr>
        <w:adjustRightInd w:val="0"/>
        <w:snapToGrid w:val="0"/>
        <w:spacing w:line="360" w:lineRule="auto"/>
        <w:ind w:right="420"/>
        <w:rPr>
          <w:rFonts w:hint="eastAsia" w:ascii="宋体" w:hAnsi="宋体" w:eastAsia="宋体" w:cs="Times New Roman"/>
          <w:szCs w:val="21"/>
        </w:rPr>
      </w:pPr>
    </w:p>
    <w:p w14:paraId="024EC09E">
      <w:pPr>
        <w:adjustRightInd w:val="0"/>
        <w:snapToGrid w:val="0"/>
        <w:spacing w:line="360" w:lineRule="auto"/>
        <w:ind w:right="420"/>
        <w:rPr>
          <w:rFonts w:hint="eastAsia" w:ascii="宋体" w:hAnsi="宋体" w:eastAsia="宋体" w:cs="Times New Roman"/>
          <w:szCs w:val="21"/>
        </w:rPr>
      </w:pPr>
      <w:r>
        <w:rPr>
          <w:rFonts w:hint="eastAsia" w:ascii="宋体" w:hAnsi="宋体" w:eastAsia="宋体" w:cs="Times New Roman"/>
          <w:szCs w:val="21"/>
        </w:rPr>
        <w:t>供应商名称（盖单位章）：</w:t>
      </w:r>
      <w:r>
        <w:rPr>
          <w:rFonts w:hint="eastAsia" w:ascii="宋体" w:hAnsi="宋体" w:eastAsia="宋体" w:cs="Times New Roman"/>
          <w:szCs w:val="21"/>
          <w:u w:val="single"/>
        </w:rPr>
        <w:t xml:space="preserve">                 </w:t>
      </w:r>
    </w:p>
    <w:p w14:paraId="34683E45">
      <w:pPr>
        <w:adjustRightInd w:val="0"/>
        <w:snapToGrid w:val="0"/>
        <w:spacing w:line="360" w:lineRule="auto"/>
        <w:ind w:right="420"/>
        <w:rPr>
          <w:rFonts w:hint="eastAsia" w:ascii="宋体" w:hAnsi="宋体" w:eastAsia="宋体" w:cs="Times New Roman"/>
          <w:szCs w:val="21"/>
        </w:rPr>
      </w:pPr>
      <w:r>
        <w:rPr>
          <w:rFonts w:hint="eastAsia" w:ascii="宋体" w:hAnsi="宋体" w:eastAsia="宋体" w:cs="Times New Roman"/>
          <w:szCs w:val="21"/>
        </w:rPr>
        <w:t>法定代表人（签字）：</w:t>
      </w:r>
      <w:r>
        <w:rPr>
          <w:rFonts w:hint="eastAsia" w:ascii="宋体" w:hAnsi="宋体" w:eastAsia="宋体" w:cs="Times New Roman"/>
          <w:szCs w:val="21"/>
          <w:u w:val="single"/>
        </w:rPr>
        <w:t xml:space="preserve">                     </w:t>
      </w:r>
    </w:p>
    <w:p w14:paraId="375B2D1A">
      <w:pPr>
        <w:adjustRightInd w:val="0"/>
        <w:snapToGrid w:val="0"/>
        <w:spacing w:line="360" w:lineRule="auto"/>
        <w:ind w:right="420"/>
        <w:rPr>
          <w:rFonts w:hint="eastAsia" w:ascii="宋体" w:hAnsi="宋体" w:eastAsia="宋体" w:cs="Times New Roman"/>
          <w:szCs w:val="21"/>
        </w:rPr>
      </w:pPr>
      <w:r>
        <w:rPr>
          <w:rFonts w:hint="eastAsia" w:ascii="宋体" w:hAnsi="宋体" w:eastAsia="宋体" w:cs="Times New Roman"/>
          <w:szCs w:val="21"/>
        </w:rPr>
        <w:t>委托代理人（签字）：</w:t>
      </w:r>
      <w:r>
        <w:rPr>
          <w:rFonts w:hint="eastAsia" w:ascii="宋体" w:hAnsi="宋体" w:eastAsia="宋体" w:cs="Times New Roman"/>
          <w:szCs w:val="21"/>
          <w:u w:val="single"/>
        </w:rPr>
        <w:t xml:space="preserve">                     </w:t>
      </w:r>
    </w:p>
    <w:p w14:paraId="1A072EAF">
      <w:pPr>
        <w:adjustRightInd w:val="0"/>
        <w:snapToGrid w:val="0"/>
        <w:spacing w:line="360" w:lineRule="auto"/>
        <w:ind w:right="24"/>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90E1266">
      <w:pPr>
        <w:spacing w:line="360" w:lineRule="exact"/>
        <w:rPr>
          <w:rFonts w:hint="eastAsia" w:ascii="宋体" w:hAnsi="Times New Roman" w:eastAsia="宋体" w:cs="Times New Roman"/>
          <w:b/>
        </w:rPr>
      </w:pPr>
    </w:p>
    <w:p w14:paraId="2DB00C1A">
      <w:pPr>
        <w:spacing w:line="360" w:lineRule="exact"/>
        <w:rPr>
          <w:rFonts w:hint="eastAsia" w:ascii="宋体" w:hAnsi="Times New Roman" w:eastAsia="宋体" w:cs="Times New Roman"/>
          <w:b/>
        </w:rPr>
      </w:pPr>
    </w:p>
    <w:p w14:paraId="042DD621">
      <w:pPr>
        <w:spacing w:line="360" w:lineRule="exact"/>
        <w:rPr>
          <w:rFonts w:hint="eastAsia" w:ascii="宋体" w:hAnsi="Times New Roman" w:eastAsia="宋体" w:cs="Times New Roman"/>
          <w:b/>
        </w:rPr>
      </w:pPr>
    </w:p>
    <w:p w14:paraId="7D65AB0F">
      <w:pPr>
        <w:spacing w:line="360" w:lineRule="exact"/>
        <w:rPr>
          <w:rFonts w:hint="eastAsia" w:ascii="宋体" w:hAnsi="Times New Roman" w:eastAsia="宋体" w:cs="Times New Roman"/>
          <w:b/>
        </w:rPr>
      </w:pPr>
    </w:p>
    <w:p w14:paraId="04FBDFF1">
      <w:pPr>
        <w:pStyle w:val="11"/>
        <w:jc w:val="center"/>
        <w:rPr>
          <w:rFonts w:ascii="宋体" w:hAnsi="宋体" w:cs="宋体"/>
          <w:b/>
          <w:sz w:val="28"/>
          <w:szCs w:val="28"/>
        </w:rPr>
      </w:pPr>
      <w:r>
        <w:rPr>
          <w:rFonts w:hint="eastAsia" w:ascii="黑体" w:hAnsi="黑体" w:eastAsia="黑体" w:cs="Times New Roman"/>
          <w:sz w:val="30"/>
          <w:szCs w:val="30"/>
        </w:rPr>
        <w:t>（需另外单独准备一份，开标现场时递交）</w:t>
      </w:r>
    </w:p>
    <w:p w14:paraId="310498FE">
      <w:pPr>
        <w:adjustRightInd w:val="0"/>
        <w:snapToGrid w:val="0"/>
        <w:spacing w:line="360" w:lineRule="auto"/>
        <w:jc w:val="center"/>
        <w:rPr>
          <w:rFonts w:hint="eastAsia" w:ascii="黑体" w:hAnsi="宋体" w:eastAsia="黑体" w:cs="Times New Roman"/>
          <w:b/>
          <w:bCs/>
          <w:sz w:val="32"/>
          <w:szCs w:val="32"/>
        </w:rPr>
      </w:pPr>
      <w:bookmarkStart w:id="61" w:name="_Toc11879753"/>
      <w:r>
        <w:rPr>
          <w:rFonts w:hint="eastAsia" w:ascii="宋体" w:hAnsi="宋体" w:cs="宋体"/>
          <w:b/>
          <w:sz w:val="32"/>
          <w:szCs w:val="32"/>
        </w:rPr>
        <w:br w:type="page"/>
      </w:r>
      <w:bookmarkEnd w:id="61"/>
      <w:r>
        <w:rPr>
          <w:rFonts w:hint="eastAsia" w:ascii="黑体" w:hAnsi="宋体" w:eastAsia="黑体" w:cs="Times New Roman"/>
          <w:b/>
          <w:sz w:val="32"/>
          <w:szCs w:val="32"/>
        </w:rPr>
        <w:t>二</w:t>
      </w:r>
      <w:r>
        <w:rPr>
          <w:rFonts w:hint="eastAsia" w:ascii="黑体" w:hAnsi="Times New Roman" w:eastAsia="黑体" w:cs="Times New Roman"/>
          <w:b/>
          <w:sz w:val="32"/>
          <w:szCs w:val="32"/>
        </w:rPr>
        <w:t>、</w:t>
      </w:r>
      <w:r>
        <w:rPr>
          <w:rFonts w:hint="eastAsia" w:ascii="黑体" w:hAnsi="宋体" w:eastAsia="黑体" w:cs="Times New Roman"/>
          <w:b/>
          <w:sz w:val="32"/>
          <w:szCs w:val="32"/>
        </w:rPr>
        <w:t>供应商</w:t>
      </w:r>
      <w:r>
        <w:rPr>
          <w:rFonts w:hint="eastAsia" w:ascii="黑体" w:hAnsi="宋体" w:eastAsia="黑体" w:cs="Times New Roman"/>
          <w:b/>
          <w:bCs/>
          <w:sz w:val="32"/>
          <w:szCs w:val="32"/>
        </w:rPr>
        <w:t>的资格证明资料</w:t>
      </w:r>
    </w:p>
    <w:p w14:paraId="708EC530">
      <w:pPr>
        <w:spacing w:line="480" w:lineRule="exact"/>
        <w:rPr>
          <w:rFonts w:hint="eastAsia" w:ascii="黑体" w:hAnsi="黑体" w:eastAsia="黑体" w:cs="Times New Roman"/>
          <w:sz w:val="30"/>
          <w:szCs w:val="30"/>
        </w:rPr>
      </w:pPr>
      <w:r>
        <w:rPr>
          <w:rFonts w:hint="eastAsia" w:ascii="黑体" w:hAnsi="黑体" w:eastAsia="黑体" w:cs="Times New Roman"/>
          <w:sz w:val="30"/>
          <w:szCs w:val="30"/>
        </w:rPr>
        <w:t>附件3                 供应商基本情况表</w:t>
      </w:r>
    </w:p>
    <w:p w14:paraId="1F52D001">
      <w:pPr>
        <w:spacing w:line="480" w:lineRule="exact"/>
        <w:rPr>
          <w:rFonts w:hint="eastAsia" w:ascii="黑体" w:hAnsi="黑体" w:eastAsia="黑体" w:cs="Times New Roman"/>
          <w:sz w:val="30"/>
          <w:szCs w:val="30"/>
        </w:rPr>
      </w:pPr>
    </w:p>
    <w:p w14:paraId="5633CE56">
      <w:pPr>
        <w:adjustRightInd w:val="0"/>
        <w:snapToGrid w:val="0"/>
        <w:spacing w:line="360" w:lineRule="auto"/>
        <w:rPr>
          <w:rFonts w:ascii="宋体" w:hAnsi="宋体" w:eastAsia="宋体" w:cs="Times New Roman"/>
          <w:szCs w:val="21"/>
        </w:rPr>
      </w:pPr>
      <w:r>
        <w:rPr>
          <w:rFonts w:hint="eastAsia" w:ascii="宋体" w:hAnsi="宋体" w:eastAsia="宋体" w:cs="Times New Roman"/>
          <w:szCs w:val="21"/>
        </w:rPr>
        <w:t>盖供应商单位章</w:t>
      </w:r>
    </w:p>
    <w:tbl>
      <w:tblPr>
        <w:tblStyle w:val="18"/>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371F3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6659CB04">
            <w:pPr>
              <w:topLinePunct/>
              <w:spacing w:line="440" w:lineRule="exact"/>
              <w:jc w:val="center"/>
              <w:rPr>
                <w:rFonts w:ascii="宋体" w:hAnsi="宋体" w:eastAsia="宋体" w:cs="Times New Roman"/>
                <w:szCs w:val="21"/>
              </w:rPr>
            </w:pPr>
            <w:r>
              <w:rPr>
                <w:rFonts w:hint="eastAsia" w:ascii="宋体" w:hAnsi="宋体" w:eastAsia="宋体" w:cs="Times New Roman"/>
                <w:szCs w:val="21"/>
              </w:rPr>
              <w:t>供应商</w:t>
            </w:r>
            <w:r>
              <w:rPr>
                <w:rFonts w:ascii="宋体" w:hAnsi="宋体" w:eastAsia="宋体" w:cs="Times New Roman"/>
                <w:szCs w:val="21"/>
              </w:rPr>
              <w:t>名称</w:t>
            </w:r>
          </w:p>
        </w:tc>
        <w:tc>
          <w:tcPr>
            <w:tcW w:w="7200" w:type="dxa"/>
            <w:gridSpan w:val="7"/>
            <w:tcBorders>
              <w:top w:val="double" w:color="auto" w:sz="4" w:space="0"/>
              <w:left w:val="single" w:color="auto" w:sz="6" w:space="0"/>
              <w:bottom w:val="single" w:color="auto" w:sz="6" w:space="0"/>
              <w:right w:val="double" w:color="auto" w:sz="4" w:space="0"/>
            </w:tcBorders>
            <w:noWrap w:val="0"/>
            <w:vAlign w:val="center"/>
          </w:tcPr>
          <w:p w14:paraId="439E1EE2">
            <w:pPr>
              <w:topLinePunct/>
              <w:spacing w:line="440" w:lineRule="exact"/>
              <w:jc w:val="center"/>
              <w:rPr>
                <w:rFonts w:ascii="宋体" w:hAnsi="宋体" w:eastAsia="宋体" w:cs="Times New Roman"/>
                <w:szCs w:val="21"/>
              </w:rPr>
            </w:pPr>
          </w:p>
        </w:tc>
      </w:tr>
      <w:tr w14:paraId="1EB2F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450CF61">
            <w:pPr>
              <w:topLinePunct/>
              <w:spacing w:line="440" w:lineRule="exact"/>
              <w:jc w:val="center"/>
              <w:rPr>
                <w:rFonts w:ascii="宋体" w:hAnsi="宋体" w:eastAsia="宋体" w:cs="Times New Roman"/>
                <w:szCs w:val="21"/>
              </w:rPr>
            </w:pPr>
            <w:r>
              <w:rPr>
                <w:rFonts w:ascii="宋体" w:hAnsi="宋体" w:eastAsia="宋体" w:cs="Times New Roman"/>
                <w:szCs w:val="21"/>
              </w:rPr>
              <w:t>法定代表人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443650B3">
            <w:pPr>
              <w:topLinePunct/>
              <w:spacing w:line="440" w:lineRule="exact"/>
              <w:jc w:val="center"/>
              <w:rPr>
                <w:rFonts w:ascii="宋体" w:hAnsi="宋体" w:eastAsia="宋体" w:cs="Times New Roman"/>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186DC5F4">
            <w:pPr>
              <w:topLinePunct/>
              <w:spacing w:line="440" w:lineRule="exact"/>
              <w:jc w:val="center"/>
              <w:rPr>
                <w:rFonts w:ascii="宋体" w:hAnsi="宋体" w:eastAsia="宋体" w:cs="Times New Roman"/>
                <w:szCs w:val="21"/>
              </w:rPr>
            </w:pPr>
            <w:r>
              <w:rPr>
                <w:rFonts w:ascii="宋体" w:hAnsi="宋体" w:eastAsia="宋体" w:cs="Times New Roman"/>
                <w:szCs w:val="21"/>
              </w:rPr>
              <w:t>邮政编码</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6C40BAA5">
            <w:pPr>
              <w:topLinePunct/>
              <w:spacing w:line="440" w:lineRule="exact"/>
              <w:jc w:val="center"/>
              <w:rPr>
                <w:rFonts w:ascii="宋体" w:hAnsi="宋体" w:eastAsia="宋体" w:cs="Times New Roman"/>
                <w:szCs w:val="21"/>
              </w:rPr>
            </w:pPr>
          </w:p>
        </w:tc>
      </w:tr>
      <w:tr w14:paraId="525F4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476A9600">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委托代理</w:t>
            </w:r>
            <w:r>
              <w:rPr>
                <w:rFonts w:ascii="宋体" w:hAnsi="宋体" w:eastAsia="宋体" w:cs="Times New Roman"/>
                <w:szCs w:val="21"/>
              </w:rPr>
              <w:t>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679C7581">
            <w:pPr>
              <w:topLinePunct/>
              <w:spacing w:line="440" w:lineRule="exact"/>
              <w:jc w:val="center"/>
              <w:rPr>
                <w:rFonts w:ascii="宋体" w:hAnsi="宋体" w:eastAsia="宋体" w:cs="Times New Roman"/>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1DF6215E">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电子邮箱</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26479EB5">
            <w:pPr>
              <w:topLinePunct/>
              <w:spacing w:line="440" w:lineRule="exact"/>
              <w:jc w:val="center"/>
              <w:rPr>
                <w:rFonts w:ascii="宋体" w:hAnsi="宋体" w:eastAsia="宋体" w:cs="Times New Roman"/>
                <w:szCs w:val="21"/>
              </w:rPr>
            </w:pPr>
          </w:p>
        </w:tc>
      </w:tr>
      <w:tr w14:paraId="07E20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2E0D67C7">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4830E2C6">
            <w:pPr>
              <w:topLinePunct/>
              <w:spacing w:line="440" w:lineRule="exact"/>
              <w:jc w:val="center"/>
              <w:rPr>
                <w:rFonts w:hint="eastAsia" w:ascii="宋体" w:hAnsi="宋体" w:eastAsia="宋体" w:cs="Times New Roman"/>
                <w:szCs w:val="21"/>
              </w:rPr>
            </w:pPr>
          </w:p>
        </w:tc>
        <w:tc>
          <w:tcPr>
            <w:tcW w:w="1329" w:type="dxa"/>
            <w:tcBorders>
              <w:top w:val="single" w:color="auto" w:sz="6" w:space="0"/>
              <w:left w:val="single" w:color="auto" w:sz="6" w:space="0"/>
              <w:bottom w:val="single" w:color="auto" w:sz="6" w:space="0"/>
              <w:right w:val="single" w:color="auto" w:sz="6" w:space="0"/>
            </w:tcBorders>
            <w:noWrap w:val="0"/>
            <w:vAlign w:val="center"/>
          </w:tcPr>
          <w:p w14:paraId="6F6F751A">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员工总人数</w:t>
            </w:r>
          </w:p>
        </w:tc>
        <w:tc>
          <w:tcPr>
            <w:tcW w:w="1911" w:type="dxa"/>
            <w:tcBorders>
              <w:top w:val="single" w:color="auto" w:sz="6" w:space="0"/>
              <w:left w:val="single" w:color="auto" w:sz="6" w:space="0"/>
              <w:bottom w:val="single" w:color="auto" w:sz="6" w:space="0"/>
              <w:right w:val="double" w:color="auto" w:sz="4" w:space="0"/>
            </w:tcBorders>
            <w:noWrap w:val="0"/>
            <w:vAlign w:val="center"/>
          </w:tcPr>
          <w:p w14:paraId="133AF2D2">
            <w:pPr>
              <w:topLinePunct/>
              <w:spacing w:line="440" w:lineRule="exact"/>
              <w:jc w:val="center"/>
              <w:rPr>
                <w:rFonts w:hint="eastAsia" w:ascii="宋体" w:hAnsi="宋体" w:eastAsia="宋体" w:cs="Times New Roman"/>
                <w:szCs w:val="21"/>
              </w:rPr>
            </w:pPr>
          </w:p>
        </w:tc>
      </w:tr>
      <w:tr w14:paraId="519C5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61762D1B">
            <w:pPr>
              <w:topLinePunct/>
              <w:spacing w:line="440" w:lineRule="exact"/>
              <w:jc w:val="center"/>
              <w:rPr>
                <w:rFonts w:ascii="宋体" w:hAnsi="宋体" w:eastAsia="宋体" w:cs="Times New Roman"/>
                <w:szCs w:val="21"/>
              </w:rPr>
            </w:pPr>
            <w:r>
              <w:rPr>
                <w:rFonts w:hint="eastAsia" w:ascii="宋体" w:hAnsi="宋体" w:eastAsia="宋体" w:cs="Times New Roman"/>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3B7AF0D">
            <w:pPr>
              <w:topLinePunct/>
              <w:spacing w:line="440" w:lineRule="exact"/>
              <w:jc w:val="center"/>
              <w:rPr>
                <w:rFonts w:ascii="宋体" w:hAnsi="宋体" w:eastAsia="宋体" w:cs="Times New Roman"/>
                <w:szCs w:val="21"/>
              </w:rPr>
            </w:pPr>
            <w:r>
              <w:rPr>
                <w:rFonts w:hint="eastAsia" w:ascii="宋体" w:hAnsi="宋体" w:eastAsia="宋体" w:cs="Times New Roman"/>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68773261">
            <w:pPr>
              <w:topLinePunct/>
              <w:spacing w:line="440" w:lineRule="exact"/>
              <w:jc w:val="center"/>
              <w:rPr>
                <w:rFonts w:ascii="宋体" w:hAnsi="宋体" w:eastAsia="宋体"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2AD22716">
            <w:pPr>
              <w:topLinePunct/>
              <w:spacing w:line="440" w:lineRule="exact"/>
              <w:ind w:firstLine="105" w:firstLineChars="50"/>
              <w:jc w:val="center"/>
              <w:rPr>
                <w:rFonts w:ascii="宋体" w:hAnsi="宋体" w:eastAsia="宋体" w:cs="Times New Roman"/>
                <w:szCs w:val="21"/>
              </w:rPr>
            </w:pPr>
            <w:r>
              <w:rPr>
                <w:rFonts w:hint="eastAsia" w:ascii="宋体" w:hAnsi="宋体" w:eastAsia="宋体" w:cs="Times New Roman"/>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1249561">
            <w:pPr>
              <w:topLinePunct/>
              <w:spacing w:line="440" w:lineRule="exact"/>
              <w:ind w:firstLine="105" w:firstLineChars="50"/>
              <w:jc w:val="center"/>
              <w:rPr>
                <w:rFonts w:ascii="宋体" w:hAnsi="宋体" w:eastAsia="宋体" w:cs="Times New Roman"/>
                <w:szCs w:val="21"/>
              </w:rPr>
            </w:pPr>
          </w:p>
        </w:tc>
      </w:tr>
      <w:tr w14:paraId="064D5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0185162A">
            <w:pPr>
              <w:topLinePunct/>
              <w:spacing w:line="440" w:lineRule="exact"/>
              <w:jc w:val="center"/>
              <w:rPr>
                <w:rFonts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1A62E60F">
            <w:pPr>
              <w:topLinePunct/>
              <w:spacing w:line="440" w:lineRule="exact"/>
              <w:jc w:val="center"/>
              <w:rPr>
                <w:rFonts w:ascii="宋体" w:hAnsi="宋体" w:eastAsia="宋体" w:cs="Times New Roman"/>
                <w:szCs w:val="21"/>
              </w:rPr>
            </w:pPr>
            <w:r>
              <w:rPr>
                <w:rFonts w:hint="eastAsia" w:ascii="宋体" w:hAnsi="宋体" w:eastAsia="宋体" w:cs="Times New Roman"/>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7DBD9C7C">
            <w:pPr>
              <w:topLinePunct/>
              <w:spacing w:line="440" w:lineRule="exact"/>
              <w:jc w:val="center"/>
              <w:rPr>
                <w:rFonts w:ascii="宋体" w:hAnsi="宋体" w:eastAsia="宋体"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59C7926A">
            <w:pPr>
              <w:topLinePunct/>
              <w:spacing w:line="440" w:lineRule="exact"/>
              <w:ind w:firstLine="105" w:firstLineChars="50"/>
              <w:jc w:val="center"/>
              <w:rPr>
                <w:rFonts w:ascii="宋体" w:hAnsi="宋体" w:eastAsia="宋体" w:cs="Times New Roman"/>
                <w:szCs w:val="21"/>
              </w:rPr>
            </w:pPr>
            <w:r>
              <w:rPr>
                <w:rFonts w:hint="eastAsia" w:ascii="宋体" w:hAnsi="宋体" w:eastAsia="宋体" w:cs="Times New Roman"/>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F079375">
            <w:pPr>
              <w:topLinePunct/>
              <w:spacing w:line="440" w:lineRule="exact"/>
              <w:ind w:firstLine="105" w:firstLineChars="50"/>
              <w:jc w:val="center"/>
              <w:rPr>
                <w:rFonts w:ascii="宋体" w:hAnsi="宋体" w:eastAsia="宋体" w:cs="Times New Roman"/>
                <w:szCs w:val="21"/>
              </w:rPr>
            </w:pPr>
          </w:p>
        </w:tc>
      </w:tr>
      <w:tr w14:paraId="0DFE5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6B18E8E">
            <w:pPr>
              <w:topLinePunct/>
              <w:spacing w:line="440" w:lineRule="exact"/>
              <w:jc w:val="center"/>
              <w:rPr>
                <w:rFonts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573D0EF3">
            <w:pPr>
              <w:topLinePunct/>
              <w:spacing w:line="440" w:lineRule="exact"/>
              <w:jc w:val="center"/>
              <w:rPr>
                <w:rFonts w:ascii="宋体" w:hAnsi="宋体" w:eastAsia="宋体" w:cs="Times New Roman"/>
                <w:szCs w:val="21"/>
              </w:rPr>
            </w:pPr>
            <w:r>
              <w:rPr>
                <w:rFonts w:hint="eastAsia" w:ascii="宋体" w:hAnsi="宋体" w:eastAsia="宋体" w:cs="Times New Roman"/>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3BCA665">
            <w:pPr>
              <w:topLinePunct/>
              <w:spacing w:line="440" w:lineRule="exact"/>
              <w:ind w:firstLine="105" w:firstLineChars="50"/>
              <w:jc w:val="center"/>
              <w:rPr>
                <w:rFonts w:ascii="宋体" w:hAnsi="宋体" w:eastAsia="宋体" w:cs="Times New Roman"/>
                <w:szCs w:val="21"/>
              </w:rPr>
            </w:pPr>
          </w:p>
        </w:tc>
      </w:tr>
      <w:tr w14:paraId="261AE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4F1F6B30">
            <w:pPr>
              <w:topLinePunct/>
              <w:spacing w:line="440" w:lineRule="exact"/>
              <w:jc w:val="center"/>
              <w:rPr>
                <w:rFonts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6CFDC4CF">
            <w:pPr>
              <w:topLinePunct/>
              <w:spacing w:line="440" w:lineRule="exact"/>
              <w:jc w:val="center"/>
              <w:rPr>
                <w:rFonts w:ascii="宋体" w:hAnsi="宋体" w:eastAsia="宋体" w:cs="Times New Roman"/>
                <w:szCs w:val="21"/>
              </w:rPr>
            </w:pPr>
            <w:r>
              <w:rPr>
                <w:rFonts w:hint="eastAsia" w:ascii="宋体" w:hAnsi="宋体" w:eastAsia="宋体" w:cs="Times New Roman"/>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8B69956">
            <w:pPr>
              <w:topLinePunct/>
              <w:spacing w:line="440" w:lineRule="exact"/>
              <w:ind w:firstLine="105" w:firstLineChars="50"/>
              <w:jc w:val="center"/>
              <w:rPr>
                <w:rFonts w:ascii="宋体" w:hAnsi="宋体" w:eastAsia="宋体" w:cs="Times New Roman"/>
                <w:szCs w:val="21"/>
              </w:rPr>
            </w:pPr>
          </w:p>
        </w:tc>
      </w:tr>
      <w:tr w14:paraId="2114D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3CAE6B0C">
            <w:pPr>
              <w:topLinePunct/>
              <w:spacing w:line="440" w:lineRule="exact"/>
              <w:jc w:val="center"/>
              <w:rPr>
                <w:rFonts w:ascii="宋体" w:hAnsi="宋体" w:eastAsia="宋体" w:cs="Times New Roman"/>
                <w:szCs w:val="21"/>
              </w:rPr>
            </w:pPr>
            <w:r>
              <w:rPr>
                <w:rFonts w:hint="eastAsia" w:ascii="宋体" w:hAnsi="宋体" w:eastAsia="宋体" w:cs="Times New Roman"/>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0E1FE439">
            <w:pPr>
              <w:topLinePunct/>
              <w:spacing w:line="440" w:lineRule="exact"/>
              <w:jc w:val="center"/>
              <w:rPr>
                <w:rFonts w:ascii="宋体" w:hAnsi="宋体" w:eastAsia="宋体" w:cs="Times New Roman"/>
                <w:szCs w:val="21"/>
              </w:rPr>
            </w:pPr>
          </w:p>
        </w:tc>
      </w:tr>
      <w:tr w14:paraId="16A47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B3E98B5">
            <w:pPr>
              <w:topLinePunct/>
              <w:spacing w:line="440" w:lineRule="exact"/>
              <w:jc w:val="center"/>
              <w:rPr>
                <w:rFonts w:ascii="宋体" w:hAnsi="宋体" w:eastAsia="宋体" w:cs="Times New Roman"/>
                <w:szCs w:val="21"/>
              </w:rPr>
            </w:pPr>
            <w:r>
              <w:rPr>
                <w:rFonts w:hint="eastAsia" w:ascii="宋体" w:hAnsi="宋体" w:eastAsia="宋体" w:cs="Times New Roman"/>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05D98B34">
            <w:pPr>
              <w:topLinePunct/>
              <w:spacing w:line="440" w:lineRule="exact"/>
              <w:jc w:val="center"/>
              <w:rPr>
                <w:rFonts w:ascii="宋体" w:hAnsi="宋体" w:eastAsia="宋体" w:cs="Times New Roman"/>
                <w:szCs w:val="21"/>
              </w:rPr>
            </w:pPr>
          </w:p>
        </w:tc>
      </w:tr>
      <w:tr w14:paraId="566A5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5331189">
            <w:pPr>
              <w:topLinePunct/>
              <w:spacing w:line="440" w:lineRule="exact"/>
              <w:jc w:val="center"/>
              <w:rPr>
                <w:rFonts w:ascii="宋体" w:hAnsi="宋体" w:eastAsia="宋体" w:cs="Times New Roman"/>
                <w:szCs w:val="21"/>
              </w:rPr>
            </w:pPr>
            <w:r>
              <w:rPr>
                <w:rFonts w:ascii="宋体" w:hAnsi="宋体" w:eastAsia="宋体" w:cs="Times New Roman"/>
                <w:szCs w:val="21"/>
              </w:rPr>
              <w:t>资质</w:t>
            </w:r>
            <w:r>
              <w:rPr>
                <w:rFonts w:hint="eastAsia" w:ascii="宋体" w:hAnsi="宋体" w:eastAsia="宋体" w:cs="Times New Roman"/>
                <w:szCs w:val="21"/>
              </w:rPr>
              <w:t>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649F2289">
            <w:pPr>
              <w:topLinePunct/>
              <w:spacing w:line="440" w:lineRule="exact"/>
              <w:jc w:val="center"/>
              <w:rPr>
                <w:rFonts w:ascii="宋体" w:hAnsi="宋体" w:eastAsia="宋体" w:cs="Times New Roman"/>
                <w:szCs w:val="21"/>
              </w:rPr>
            </w:pPr>
            <w:r>
              <w:rPr>
                <w:rFonts w:ascii="宋体" w:hAnsi="宋体" w:eastAsia="宋体" w:cs="Times New Roman"/>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F3FD382">
            <w:pPr>
              <w:topLinePunct/>
              <w:spacing w:line="440" w:lineRule="exact"/>
              <w:jc w:val="center"/>
              <w:rPr>
                <w:rFonts w:ascii="宋体" w:hAnsi="宋体" w:eastAsia="宋体" w:cs="Times New Roman"/>
                <w:szCs w:val="21"/>
              </w:rPr>
            </w:pPr>
            <w:r>
              <w:rPr>
                <w:rFonts w:hint="eastAsia" w:ascii="宋体" w:hAnsi="宋体" w:eastAsia="宋体" w:cs="Times New Roman"/>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10F49822">
            <w:pPr>
              <w:topLinePunct/>
              <w:spacing w:line="440" w:lineRule="exact"/>
              <w:jc w:val="center"/>
              <w:rPr>
                <w:rFonts w:ascii="宋体" w:hAnsi="宋体" w:eastAsia="宋体" w:cs="Times New Roman"/>
                <w:szCs w:val="21"/>
              </w:rPr>
            </w:pPr>
            <w:r>
              <w:rPr>
                <w:rFonts w:hint="eastAsia" w:ascii="宋体" w:hAnsi="宋体" w:eastAsia="宋体" w:cs="Times New Roman"/>
                <w:szCs w:val="21"/>
              </w:rPr>
              <w:t>有效期</w:t>
            </w:r>
          </w:p>
        </w:tc>
      </w:tr>
      <w:tr w14:paraId="02557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7FA4035D">
            <w:pPr>
              <w:topLinePunct/>
              <w:spacing w:line="440" w:lineRule="exact"/>
              <w:jc w:val="center"/>
              <w:rPr>
                <w:rFonts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E1BC69A">
            <w:pPr>
              <w:topLinePunct/>
              <w:spacing w:line="440" w:lineRule="exact"/>
              <w:jc w:val="center"/>
              <w:rPr>
                <w:rFonts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58F25721">
            <w:pPr>
              <w:topLinePunct/>
              <w:spacing w:line="440" w:lineRule="exact"/>
              <w:jc w:val="center"/>
              <w:rPr>
                <w:rFonts w:ascii="宋体" w:hAnsi="宋体" w:eastAsia="宋体"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9FE5B08">
            <w:pPr>
              <w:topLinePunct/>
              <w:spacing w:line="440" w:lineRule="exact"/>
              <w:jc w:val="center"/>
              <w:rPr>
                <w:rFonts w:ascii="宋体" w:hAnsi="宋体" w:eastAsia="宋体" w:cs="Times New Roman"/>
                <w:szCs w:val="21"/>
              </w:rPr>
            </w:pPr>
          </w:p>
        </w:tc>
      </w:tr>
      <w:tr w14:paraId="1BE6B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6D82245">
            <w:pPr>
              <w:topLinePunct/>
              <w:spacing w:line="440" w:lineRule="exact"/>
              <w:jc w:val="center"/>
              <w:rPr>
                <w:rFonts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53B4823">
            <w:pPr>
              <w:topLinePunct/>
              <w:spacing w:line="440" w:lineRule="exact"/>
              <w:jc w:val="center"/>
              <w:rPr>
                <w:rFonts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D385CF1">
            <w:pPr>
              <w:topLinePunct/>
              <w:spacing w:line="440" w:lineRule="exact"/>
              <w:jc w:val="center"/>
              <w:rPr>
                <w:rFonts w:ascii="宋体" w:hAnsi="宋体" w:eastAsia="宋体"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B10A6EA">
            <w:pPr>
              <w:topLinePunct/>
              <w:spacing w:line="440" w:lineRule="exact"/>
              <w:jc w:val="center"/>
              <w:rPr>
                <w:rFonts w:ascii="宋体" w:hAnsi="宋体" w:eastAsia="宋体" w:cs="Times New Roman"/>
                <w:szCs w:val="21"/>
              </w:rPr>
            </w:pPr>
          </w:p>
        </w:tc>
      </w:tr>
      <w:tr w14:paraId="09BEE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03A1EABE">
            <w:pPr>
              <w:topLinePunct/>
              <w:spacing w:line="440" w:lineRule="exact"/>
              <w:jc w:val="center"/>
              <w:rPr>
                <w:rFonts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773A79D6">
            <w:pPr>
              <w:topLinePunct/>
              <w:spacing w:line="440" w:lineRule="exact"/>
              <w:jc w:val="center"/>
              <w:rPr>
                <w:rFonts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07ACEADF">
            <w:pPr>
              <w:topLinePunct/>
              <w:spacing w:line="440" w:lineRule="exact"/>
              <w:jc w:val="center"/>
              <w:rPr>
                <w:rFonts w:ascii="宋体" w:hAnsi="宋体" w:eastAsia="宋体"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33A17EC">
            <w:pPr>
              <w:topLinePunct/>
              <w:spacing w:line="440" w:lineRule="exact"/>
              <w:jc w:val="center"/>
              <w:rPr>
                <w:rFonts w:ascii="宋体" w:hAnsi="宋体" w:eastAsia="宋体" w:cs="Times New Roman"/>
                <w:szCs w:val="21"/>
              </w:rPr>
            </w:pPr>
          </w:p>
        </w:tc>
      </w:tr>
      <w:tr w14:paraId="34B28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44152E4C">
            <w:pPr>
              <w:topLinePunct/>
              <w:spacing w:line="440" w:lineRule="exact"/>
              <w:jc w:val="center"/>
              <w:rPr>
                <w:rFonts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4937C85C">
            <w:pPr>
              <w:topLinePunct/>
              <w:spacing w:line="440" w:lineRule="exact"/>
              <w:jc w:val="center"/>
              <w:rPr>
                <w:rFonts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72EEEFED">
            <w:pPr>
              <w:topLinePunct/>
              <w:spacing w:line="440" w:lineRule="exact"/>
              <w:jc w:val="center"/>
              <w:rPr>
                <w:rFonts w:ascii="宋体" w:hAnsi="宋体" w:eastAsia="宋体" w:cs="Times New Roman"/>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BDE1E74">
            <w:pPr>
              <w:topLinePunct/>
              <w:spacing w:line="440" w:lineRule="exact"/>
              <w:jc w:val="center"/>
              <w:rPr>
                <w:rFonts w:ascii="宋体" w:hAnsi="宋体" w:eastAsia="宋体" w:cs="Times New Roman"/>
                <w:szCs w:val="21"/>
              </w:rPr>
            </w:pPr>
          </w:p>
        </w:tc>
      </w:tr>
      <w:tr w14:paraId="32B3F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3B68BA02">
            <w:pPr>
              <w:topLinePunct/>
              <w:spacing w:line="440" w:lineRule="exact"/>
              <w:jc w:val="center"/>
              <w:rPr>
                <w:rFonts w:ascii="宋体" w:hAnsi="宋体" w:eastAsia="宋体" w:cs="Times New Roman"/>
                <w:szCs w:val="21"/>
              </w:rPr>
            </w:pPr>
            <w:r>
              <w:rPr>
                <w:rFonts w:ascii="宋体" w:hAnsi="宋体" w:eastAsia="宋体" w:cs="Times New Roman"/>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1F4F9128">
            <w:pPr>
              <w:topLinePunct/>
              <w:spacing w:line="440" w:lineRule="exact"/>
              <w:rPr>
                <w:rFonts w:hint="eastAsia" w:ascii="黑体" w:hAnsi="宋体" w:eastAsia="黑体" w:cs="Times New Roman"/>
                <w:szCs w:val="21"/>
              </w:rPr>
            </w:pPr>
            <w:r>
              <w:rPr>
                <w:rFonts w:hint="eastAsia" w:ascii="黑体" w:hAnsi="宋体" w:eastAsia="黑体" w:cs="Times New Roman"/>
                <w:szCs w:val="21"/>
              </w:rPr>
              <w:t>附《营业执照》（副本）复印件</w:t>
            </w:r>
          </w:p>
        </w:tc>
      </w:tr>
    </w:tbl>
    <w:p w14:paraId="2B835222">
      <w:pPr>
        <w:spacing w:line="480" w:lineRule="exact"/>
        <w:rPr>
          <w:rFonts w:hint="eastAsia" w:ascii="黑体" w:hAnsi="Times New Roman" w:eastAsia="黑体" w:cs="Times New Roman"/>
          <w:sz w:val="30"/>
          <w:szCs w:val="30"/>
        </w:rPr>
      </w:pPr>
    </w:p>
    <w:p w14:paraId="77CB718E">
      <w:pPr>
        <w:spacing w:line="480" w:lineRule="exact"/>
        <w:rPr>
          <w:rFonts w:hint="eastAsia" w:ascii="黑体" w:hAnsi="Times New Roman" w:eastAsia="黑体" w:cs="Times New Roman"/>
          <w:sz w:val="30"/>
          <w:szCs w:val="30"/>
        </w:rPr>
      </w:pPr>
      <w:r>
        <w:rPr>
          <w:rFonts w:hint="eastAsia" w:ascii="黑体" w:hAnsi="Times New Roman" w:eastAsia="黑体" w:cs="Times New Roman"/>
          <w:sz w:val="30"/>
          <w:szCs w:val="30"/>
        </w:rPr>
        <w:t xml:space="preserve">附件4         </w:t>
      </w:r>
    </w:p>
    <w:p w14:paraId="3CC3A7DA">
      <w:pPr>
        <w:spacing w:line="480" w:lineRule="exact"/>
        <w:jc w:val="center"/>
        <w:rPr>
          <w:rFonts w:hint="eastAsia" w:ascii="黑体" w:hAnsi="Times New Roman" w:eastAsia="黑体" w:cs="Times New Roman"/>
          <w:sz w:val="30"/>
          <w:szCs w:val="30"/>
        </w:rPr>
      </w:pPr>
      <w:r>
        <w:rPr>
          <w:rFonts w:hint="eastAsia" w:ascii="黑体" w:hAnsi="Times New Roman" w:eastAsia="黑体" w:cs="Times New Roman"/>
          <w:sz w:val="30"/>
          <w:szCs w:val="30"/>
        </w:rPr>
        <w:t>磋商文件规定的基本资格条件证明资料</w:t>
      </w:r>
    </w:p>
    <w:p w14:paraId="1AB9CA3A">
      <w:pPr>
        <w:spacing w:line="480" w:lineRule="exact"/>
        <w:rPr>
          <w:rFonts w:hint="eastAsia" w:ascii="黑体" w:hAnsi="宋体" w:eastAsia="黑体" w:cs="Times New Roman"/>
          <w:szCs w:val="21"/>
        </w:rPr>
      </w:pPr>
    </w:p>
    <w:p w14:paraId="527E7B99">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1、供应商基本资格条件：符合《中华人民共和国政府采购法》第二十二条规定的供应商条件，并提供以下资格证明文件：</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（1）法人提交企业法人营业执照副本(或者法人登记证书)以及组织机构代码证副本复印件；</w:t>
      </w:r>
    </w:p>
    <w:p w14:paraId="542F9426">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（2）依法缴纳税收和社会保险费的证明材料：各提供下列材料之一：</w:t>
      </w:r>
    </w:p>
    <w:p w14:paraId="4B3CDE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411070EC">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缴纳社会保险证明资料：《社会保险登记证》复印件，或者近三个月内任意一个月依法缴纳社会保险的证明（缴费凭证复印件），或者委托他人缴纳的委托代办协议和近三个月内任意一个月的缴纳证明（收据复印件），或者法定征收机关出具的依法免缴保险费的证明原件。</w:t>
      </w:r>
    </w:p>
    <w:p w14:paraId="032CE2C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（3）法人提交法定代表人身份证明原件或者法定代表人授权委托书原件及提供被授权人在供应商单位近三个月内任意一个月的社保证明，并附法定代表人身份证明原件；自然人提交身份证明复印件；</w:t>
      </w:r>
    </w:p>
    <w:p w14:paraId="0A89A1FD">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（4）提供2025年度经会计师事务所审计的财务报告复印件（至少包含资产负债表、利润表和现金流量表），公司注册时间不足一年的，提供银行出具的资信证明。</w:t>
      </w:r>
    </w:p>
    <w:p w14:paraId="5F152F2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（5）其他说明：非法人组织参与磋商需提供的相关证明材料。</w:t>
      </w:r>
    </w:p>
    <w:p w14:paraId="23FB29A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①供应商具有实行了“三证合一”登记制度改革的新证，视同为持有工商营业执照、组织机构代码证和税务登记证；供应商具有实行了“五证合一”登记制度改革的新证，视同为持有工商营业执照、组织机构代码证、税务登记证、社会保险登记证和统计证。供应商自己注明是“三证合一”或“五证合一”。</w:t>
      </w:r>
    </w:p>
    <w:p w14:paraId="6BC36867">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②近三个月指2026年4月至2026年6月。</w:t>
      </w:r>
    </w:p>
    <w:p w14:paraId="6866A88D">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imes New Roman" w:hAnsi="Times New Roman" w:eastAsia="宋体" w:cs="Times New Roman"/>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供应商特定资格条件：</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lang w:eastAsia="zh-CN"/>
        </w:rPr>
        <w:t>。</w:t>
      </w:r>
    </w:p>
    <w:p w14:paraId="705868B2">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单位负责人为同一人或者存在直接控股、管理关系的不同投标人，不得参加同一合同项下的政府采购活动。</w:t>
      </w:r>
    </w:p>
    <w:p w14:paraId="44ACD05F">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列入失信被执行人、重大税收违法案件当事人名单，列入政府采购严重违法失信行为记录名单的，拒绝其参与政府采购活动。</w:t>
      </w:r>
    </w:p>
    <w:p w14:paraId="5FF421F9">
      <w:pPr>
        <w:adjustRightInd w:val="0"/>
        <w:snapToGrid w:val="0"/>
        <w:spacing w:line="360" w:lineRule="auto"/>
        <w:ind w:firstLine="420" w:firstLineChars="200"/>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本次招标不接受联合体投标。</w:t>
      </w:r>
    </w:p>
    <w:p w14:paraId="3F823C06">
      <w:pPr>
        <w:spacing w:line="48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根据《湖南省财政厅关于政府采购促进中小企业发展有关措施的通知》相关规定，供应商凭《湖南省政府采购供应商资格承诺函》（格式详见磋商文件）参与政府采购活动，无需提供财务状况、缴纳税收和社会保障资金等资格证明材料、参加政府采购活动前3年内在经营活动中没有重大违法记录的声明。</w:t>
      </w:r>
    </w:p>
    <w:p w14:paraId="1FC4C024">
      <w:pPr>
        <w:spacing w:line="480" w:lineRule="exact"/>
        <w:jc w:val="left"/>
        <w:rPr>
          <w:rFonts w:hint="eastAsia" w:ascii="宋体" w:hAnsi="宋体" w:eastAsia="宋体" w:cs="宋体"/>
          <w:b/>
          <w:bCs/>
          <w:color w:val="auto"/>
          <w:szCs w:val="21"/>
          <w:highlight w:val="none"/>
          <w:lang w:val="en-US" w:eastAsia="zh-CN"/>
        </w:rPr>
      </w:pPr>
    </w:p>
    <w:p w14:paraId="43371282">
      <w:pPr>
        <w:spacing w:line="360" w:lineRule="auto"/>
        <w:jc w:val="center"/>
        <w:outlineLvl w:val="2"/>
        <w:rPr>
          <w:rFonts w:ascii="Times New Roman" w:hAnsi="Times New Roman" w:eastAsia="宋体" w:cs="Times New Roman"/>
          <w:b/>
          <w:sz w:val="24"/>
          <w:szCs w:val="22"/>
        </w:rPr>
      </w:pPr>
      <w:r>
        <w:rPr>
          <w:rFonts w:hint="eastAsia" w:ascii="宋体" w:hAnsi="宋体" w:eastAsia="宋体" w:cs="Times New Roman"/>
          <w:b/>
          <w:bCs/>
          <w:sz w:val="24"/>
        </w:rPr>
        <w:br w:type="page"/>
      </w:r>
      <w:r>
        <w:rPr>
          <w:rFonts w:ascii="Times New Roman" w:hAnsi="Times New Roman" w:eastAsia="宋体" w:cs="Times New Roman"/>
          <w:b/>
          <w:sz w:val="24"/>
          <w:szCs w:val="22"/>
        </w:rPr>
        <w:t>参加政府采购活动前三年内在经营活动中没有重大违法记录的书面声明</w:t>
      </w:r>
    </w:p>
    <w:p w14:paraId="53D808EF">
      <w:pPr>
        <w:widowControl w:val="0"/>
        <w:spacing w:before="12" w:after="120"/>
        <w:jc w:val="both"/>
        <w:rPr>
          <w:rFonts w:ascii="Times New Roman" w:hAnsi="Times New Roman" w:eastAsia="宋体" w:cs="Times New Roman"/>
          <w:b/>
          <w:kern w:val="2"/>
          <w:sz w:val="33"/>
          <w:szCs w:val="24"/>
          <w:lang w:val="en-US" w:eastAsia="zh-CN" w:bidi="ar-SA"/>
        </w:rPr>
      </w:pPr>
    </w:p>
    <w:p w14:paraId="618691FC">
      <w:pPr>
        <w:widowControl w:val="0"/>
        <w:tabs>
          <w:tab w:val="left" w:pos="1929"/>
        </w:tabs>
        <w:spacing w:after="120"/>
        <w:ind w:left="249"/>
        <w:jc w:val="both"/>
        <w:rPr>
          <w:rFonts w:ascii="Times New Roman" w:hAnsi="Times New Roman" w:eastAsia="宋体" w:cs="Times New Roman"/>
          <w:kern w:val="2"/>
          <w:sz w:val="24"/>
          <w:szCs w:val="24"/>
          <w:lang w:val="en-US" w:eastAsia="zh-CN" w:bidi="ar-SA"/>
        </w:rPr>
      </w:pPr>
      <w:bookmarkStart w:id="62" w:name="致______________(采购代理机构)："/>
      <w:bookmarkEnd w:id="62"/>
      <w:r>
        <w:rPr>
          <w:rFonts w:ascii="Times New Roman" w:hAnsi="Times New Roman" w:eastAsia="宋体" w:cs="Times New Roman"/>
          <w:kern w:val="2"/>
          <w:sz w:val="24"/>
          <w:szCs w:val="24"/>
          <w:lang w:val="en-US" w:eastAsia="zh-CN" w:bidi="ar-SA"/>
        </w:rPr>
        <w:t>致</w:t>
      </w:r>
      <w:r>
        <w:rPr>
          <w:rFonts w:ascii="Times New Roman" w:hAnsi="Times New Roman" w:eastAsia="宋体" w:cs="Times New Roman"/>
          <w:kern w:val="2"/>
          <w:sz w:val="24"/>
          <w:szCs w:val="24"/>
          <w:u w:val="single"/>
          <w:lang w:val="en-US" w:eastAsia="zh-CN" w:bidi="ar-SA"/>
        </w:rPr>
        <w:tab/>
      </w:r>
      <w:r>
        <w:rPr>
          <w:rFonts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采购人或</w:t>
      </w:r>
      <w:r>
        <w:rPr>
          <w:rFonts w:ascii="Times New Roman" w:hAnsi="Times New Roman" w:eastAsia="宋体" w:cs="Times New Roman"/>
          <w:kern w:val="2"/>
          <w:sz w:val="24"/>
          <w:szCs w:val="24"/>
          <w:lang w:val="en-US" w:eastAsia="zh-CN" w:bidi="ar-SA"/>
        </w:rPr>
        <w:t>采购代理机构)：</w:t>
      </w:r>
    </w:p>
    <w:p w14:paraId="562A0390">
      <w:pPr>
        <w:widowControl w:val="0"/>
        <w:spacing w:before="142" w:after="120" w:line="364" w:lineRule="auto"/>
        <w:ind w:right="256" w:firstLine="480" w:firstLineChars="2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我单位郑重声明，参加本政府采购项目前 3 年内在经营活动中没有重大违法记录（重大违法记录是指供应商因违法经营受到刑事处罚或责令停产停业、吊销许可证或者执照、较大数额等行政处罚）。</w:t>
      </w:r>
    </w:p>
    <w:p w14:paraId="4A5F1351">
      <w:pPr>
        <w:widowControl w:val="0"/>
        <w:spacing w:before="142" w:after="120" w:line="364" w:lineRule="auto"/>
        <w:ind w:right="256" w:firstLine="240" w:firstLineChars="1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我单位对上述声明的真实性负责。如有虚假，将依法承担相应责任。</w:t>
      </w:r>
    </w:p>
    <w:p w14:paraId="5ED0AD23">
      <w:pPr>
        <w:widowControl w:val="0"/>
        <w:spacing w:before="142" w:after="120" w:line="364" w:lineRule="auto"/>
        <w:ind w:right="256" w:firstLine="240" w:firstLineChars="100"/>
        <w:jc w:val="both"/>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特此声明。</w:t>
      </w:r>
    </w:p>
    <w:p w14:paraId="5C4466C8">
      <w:pPr>
        <w:widowControl w:val="0"/>
        <w:spacing w:before="142" w:after="120" w:line="364" w:lineRule="auto"/>
        <w:ind w:right="256" w:firstLine="240" w:firstLineChars="100"/>
        <w:jc w:val="both"/>
        <w:rPr>
          <w:rFonts w:ascii="Times New Roman" w:hAnsi="Times New Roman" w:eastAsia="宋体" w:cs="Times New Roman"/>
          <w:kern w:val="2"/>
          <w:sz w:val="24"/>
          <w:szCs w:val="24"/>
          <w:lang w:val="en-US" w:eastAsia="zh-CN" w:bidi="ar-SA"/>
        </w:rPr>
      </w:pPr>
    </w:p>
    <w:p w14:paraId="3C382BE9">
      <w:pPr>
        <w:widowControl w:val="0"/>
        <w:adjustRightInd w:val="0"/>
        <w:snapToGrid w:val="0"/>
        <w:spacing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供应商名称(盖单位章)：</w:t>
      </w:r>
    </w:p>
    <w:p w14:paraId="4D8C32F9">
      <w:pPr>
        <w:adjustRightInd w:val="0"/>
        <w:snapToGrid w:val="0"/>
        <w:spacing w:line="360" w:lineRule="auto"/>
        <w:jc w:val="center"/>
        <w:rPr>
          <w:rFonts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法定代表人或其委托代理人 (签字)：</w:t>
      </w:r>
    </w:p>
    <w:p w14:paraId="38016092">
      <w:pPr>
        <w:spacing w:line="480" w:lineRule="exact"/>
        <w:jc w:val="center"/>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751BED57">
      <w:pPr>
        <w:spacing w:line="480" w:lineRule="exact"/>
        <w:jc w:val="right"/>
        <w:rPr>
          <w:rFonts w:hint="eastAsia" w:ascii="宋体" w:hAnsi="宋体" w:eastAsia="宋体" w:cs="宋体"/>
          <w:sz w:val="24"/>
        </w:rPr>
      </w:pPr>
    </w:p>
    <w:p w14:paraId="6F7FEC41">
      <w:pPr>
        <w:adjustRightInd w:val="0"/>
        <w:snapToGrid w:val="0"/>
        <w:spacing w:line="360" w:lineRule="auto"/>
        <w:ind w:right="23" w:rightChars="11"/>
        <w:jc w:val="center"/>
        <w:outlineLvl w:val="1"/>
        <w:rPr>
          <w:rFonts w:ascii="宋体" w:hAnsi="宋体" w:eastAsia="宋体" w:cs="宋体"/>
          <w:b/>
          <w:bCs/>
          <w:color w:val="000000"/>
          <w:kern w:val="0"/>
          <w:sz w:val="24"/>
        </w:rPr>
      </w:pPr>
      <w:r>
        <w:rPr>
          <w:rFonts w:hint="eastAsia" w:ascii="宋体" w:hAnsi="宋体" w:eastAsia="宋体" w:cs="宋体"/>
          <w:sz w:val="24"/>
        </w:rPr>
        <w:br w:type="page"/>
      </w:r>
      <w:bookmarkStart w:id="63" w:name="_Toc10354"/>
      <w:r>
        <w:rPr>
          <w:rFonts w:hint="eastAsia" w:ascii="宋体" w:hAnsi="宋体" w:eastAsia="宋体" w:cs="宋体"/>
          <w:b/>
          <w:bCs/>
          <w:color w:val="000000"/>
          <w:kern w:val="0"/>
          <w:sz w:val="24"/>
        </w:rPr>
        <w:t>湖南省政府采购供应商资格承诺函</w:t>
      </w:r>
      <w:bookmarkEnd w:id="63"/>
    </w:p>
    <w:p w14:paraId="46010B8B">
      <w:pPr>
        <w:widowControl/>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53F0AD5F">
      <w:pPr>
        <w:widowControl/>
        <w:spacing w:line="360" w:lineRule="auto"/>
        <w:ind w:firstLine="480" w:firstLineChars="200"/>
        <w:jc w:val="left"/>
        <w:rPr>
          <w:rFonts w:ascii="宋体" w:hAnsi="宋体" w:eastAsia="宋体" w:cs="宋体"/>
          <w:color w:val="000000"/>
          <w:kern w:val="0"/>
          <w:sz w:val="24"/>
        </w:rPr>
      </w:pPr>
      <w:r>
        <w:rPr>
          <w:rFonts w:hint="eastAsia" w:ascii="宋体" w:hAnsi="宋体" w:eastAsia="宋体" w:cs="宋体"/>
          <w:color w:val="000000"/>
          <w:kern w:val="0"/>
          <w:sz w:val="24"/>
        </w:rPr>
        <w:t>按照《政府采购促进中小企业发展管理办法》（财库〔2020〕46 号），本公司企业规模为：大型□中型□小型□微型□</w:t>
      </w:r>
      <w:r>
        <w:rPr>
          <w:rFonts w:ascii="宋体" w:hAnsi="宋体" w:eastAsia="宋体" w:cs="宋体"/>
          <w:color w:val="000000"/>
          <w:kern w:val="0"/>
          <w:sz w:val="24"/>
        </w:rPr>
        <w:t xml:space="preserve"> </w:t>
      </w:r>
    </w:p>
    <w:p w14:paraId="1EA063C7">
      <w:pPr>
        <w:widowControl/>
        <w:spacing w:line="360" w:lineRule="auto"/>
        <w:jc w:val="left"/>
        <w:rPr>
          <w:rFonts w:ascii="宋体" w:hAnsi="宋体" w:eastAsia="宋体" w:cs="宋体"/>
          <w:color w:val="000000"/>
          <w:kern w:val="0"/>
          <w:sz w:val="24"/>
        </w:rPr>
      </w:pPr>
    </w:p>
    <w:p w14:paraId="3DA62D33">
      <w:pPr>
        <w:widowControl/>
        <w:spacing w:line="360" w:lineRule="auto"/>
        <w:ind w:firstLine="5520" w:firstLineChars="2300"/>
        <w:jc w:val="left"/>
        <w:rPr>
          <w:rFonts w:ascii="宋体" w:hAnsi="宋体" w:eastAsia="宋体" w:cs="宋体"/>
          <w:color w:val="000000"/>
          <w:kern w:val="0"/>
          <w:sz w:val="24"/>
        </w:rPr>
      </w:pPr>
      <w:r>
        <w:rPr>
          <w:rFonts w:hint="eastAsia" w:ascii="宋体" w:hAnsi="宋体" w:eastAsia="宋体" w:cs="宋体"/>
          <w:color w:val="000000"/>
          <w:kern w:val="0"/>
          <w:sz w:val="24"/>
        </w:rPr>
        <w:t>公司（单位）名称（盖章）</w:t>
      </w:r>
    </w:p>
    <w:p w14:paraId="21C8CB9E">
      <w:pPr>
        <w:widowControl/>
        <w:spacing w:line="360" w:lineRule="auto"/>
        <w:ind w:firstLine="6240" w:firstLineChars="2600"/>
        <w:jc w:val="left"/>
        <w:rPr>
          <w:rFonts w:ascii="宋体" w:hAnsi="宋体" w:eastAsia="宋体" w:cs="宋体"/>
          <w:color w:val="000000"/>
          <w:kern w:val="0"/>
          <w:sz w:val="24"/>
        </w:rPr>
      </w:pP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日</w:t>
      </w:r>
    </w:p>
    <w:p w14:paraId="16E334F7">
      <w:pPr>
        <w:widowControl/>
        <w:spacing w:line="360" w:lineRule="auto"/>
        <w:jc w:val="left"/>
        <w:rPr>
          <w:rFonts w:ascii="宋体" w:hAnsi="宋体" w:eastAsia="宋体" w:cs="宋体"/>
          <w:color w:val="000000"/>
          <w:kern w:val="0"/>
          <w:sz w:val="24"/>
        </w:rPr>
      </w:pPr>
    </w:p>
    <w:p w14:paraId="0C3F9C15">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机构代码：注册登记机构：</w:t>
      </w:r>
    </w:p>
    <w:p w14:paraId="16A61352">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日期：有效期：</w:t>
      </w:r>
    </w:p>
    <w:p w14:paraId="3E007AA8">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注册资本：地址：</w:t>
      </w:r>
    </w:p>
    <w:p w14:paraId="0E9C84A6">
      <w:pPr>
        <w:widowControl/>
        <w:spacing w:line="360" w:lineRule="auto"/>
        <w:jc w:val="left"/>
        <w:rPr>
          <w:rFonts w:ascii="宋体" w:hAnsi="宋体" w:eastAsia="宋体" w:cs="宋体"/>
          <w:color w:val="000000"/>
          <w:kern w:val="0"/>
          <w:sz w:val="24"/>
          <w:u w:val="single"/>
        </w:rPr>
      </w:pPr>
      <w:r>
        <w:rPr>
          <w:rFonts w:hint="eastAsia" w:ascii="宋体" w:hAnsi="宋体" w:eastAsia="宋体" w:cs="宋体"/>
          <w:color w:val="000000"/>
          <w:kern w:val="0"/>
          <w:sz w:val="24"/>
        </w:rPr>
        <w:t>经济行业：经济性质：</w:t>
      </w:r>
    </w:p>
    <w:p w14:paraId="62DC7FA9">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法定代表人（负责人）姓名（签字）：</w:t>
      </w:r>
    </w:p>
    <w:p w14:paraId="291A2739">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身份证号：</w:t>
      </w:r>
    </w:p>
    <w:p w14:paraId="7AF00A35">
      <w:pPr>
        <w:widowControl/>
        <w:spacing w:line="360" w:lineRule="auto"/>
        <w:jc w:val="left"/>
        <w:rPr>
          <w:rFonts w:ascii="宋体" w:hAnsi="宋体" w:eastAsia="宋体" w:cs="宋体"/>
          <w:color w:val="000000"/>
          <w:kern w:val="0"/>
          <w:sz w:val="24"/>
          <w:u w:val="single"/>
        </w:rPr>
      </w:pPr>
      <w:r>
        <w:rPr>
          <w:rFonts w:hint="eastAsia" w:ascii="宋体" w:hAnsi="宋体" w:eastAsia="宋体" w:cs="宋体"/>
          <w:color w:val="000000"/>
          <w:kern w:val="0"/>
          <w:sz w:val="24"/>
        </w:rPr>
        <w:t>手机号：</w:t>
      </w:r>
    </w:p>
    <w:p w14:paraId="6F08278C">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授权代表人姓名（签字）:</w:t>
      </w:r>
    </w:p>
    <w:p w14:paraId="42D937EA">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身份证号:</w:t>
      </w:r>
    </w:p>
    <w:p w14:paraId="1755CFEE">
      <w:pPr>
        <w:widowControl/>
        <w:spacing w:line="360" w:lineRule="auto"/>
        <w:jc w:val="left"/>
        <w:rPr>
          <w:rFonts w:hint="eastAsia" w:ascii="宋体" w:hAnsi="宋体" w:eastAsia="宋体" w:cs="宋体"/>
          <w:kern w:val="0"/>
          <w:szCs w:val="21"/>
          <w:u w:val="single"/>
          <w:lang w:eastAsia="zh-CN"/>
        </w:rPr>
        <w:sectPr>
          <w:pgSz w:w="11906" w:h="16838"/>
          <w:pgMar w:top="1440" w:right="1531" w:bottom="1440" w:left="1531" w:header="851" w:footer="992" w:gutter="0"/>
          <w:pgNumType w:fmt="decimal"/>
          <w:cols w:space="720" w:num="1"/>
          <w:docGrid w:type="lines" w:linePitch="312" w:charSpace="0"/>
        </w:sectPr>
      </w:pPr>
      <w:r>
        <w:rPr>
          <w:rFonts w:hint="eastAsia" w:ascii="宋体" w:hAnsi="宋体" w:eastAsia="宋体" w:cs="宋体"/>
          <w:color w:val="000000"/>
          <w:kern w:val="0"/>
          <w:sz w:val="24"/>
        </w:rPr>
        <w:t>手机</w:t>
      </w:r>
      <w:r>
        <w:rPr>
          <w:rFonts w:hint="eastAsia" w:ascii="宋体" w:hAnsi="宋体" w:eastAsia="宋体" w:cs="宋体"/>
          <w:color w:val="000000"/>
          <w:kern w:val="0"/>
          <w:sz w:val="24"/>
          <w:lang w:eastAsia="zh-CN"/>
        </w:rPr>
        <w:t>：</w:t>
      </w:r>
    </w:p>
    <w:p w14:paraId="3208FD72">
      <w:pPr>
        <w:spacing w:line="480" w:lineRule="exact"/>
        <w:rPr>
          <w:rFonts w:hint="eastAsia" w:ascii="黑体" w:hAnsi="Times New Roman" w:eastAsia="黑体" w:cs="Times New Roman"/>
          <w:sz w:val="30"/>
          <w:szCs w:val="30"/>
        </w:rPr>
      </w:pPr>
      <w:r>
        <w:rPr>
          <w:rFonts w:hint="eastAsia" w:ascii="黑体" w:hAnsi="Times New Roman" w:eastAsia="黑体" w:cs="Times New Roman"/>
          <w:sz w:val="30"/>
          <w:szCs w:val="30"/>
        </w:rPr>
        <w:t>附件5        磋商文件规定的特定资格条件证明资料</w:t>
      </w:r>
    </w:p>
    <w:p w14:paraId="12F5570B">
      <w:pPr>
        <w:spacing w:line="480" w:lineRule="exact"/>
        <w:rPr>
          <w:rFonts w:hint="eastAsia" w:ascii="宋体" w:hAnsi="宋体" w:eastAsia="宋体" w:cs="Times New Roman"/>
          <w:szCs w:val="21"/>
        </w:rPr>
      </w:pPr>
    </w:p>
    <w:p w14:paraId="073A55B5">
      <w:pPr>
        <w:spacing w:line="480" w:lineRule="exact"/>
        <w:rPr>
          <w:rFonts w:hint="eastAsia" w:ascii="宋体" w:hAnsi="宋体" w:eastAsia="宋体" w:cs="Times New Roman"/>
          <w:szCs w:val="21"/>
        </w:rPr>
      </w:pPr>
      <w:r>
        <w:rPr>
          <w:rFonts w:hint="eastAsia" w:ascii="宋体" w:hAnsi="宋体" w:eastAsia="宋体" w:cs="Times New Roman"/>
          <w:szCs w:val="21"/>
        </w:rPr>
        <w:t>备注：提供第二章 磋商须知第3.1款供应商特定资格条件证明资料的复印件。</w:t>
      </w:r>
    </w:p>
    <w:p w14:paraId="062BE92F">
      <w:pPr>
        <w:spacing w:line="480" w:lineRule="exact"/>
        <w:rPr>
          <w:rFonts w:hint="eastAsia" w:ascii="宋体" w:hAnsi="宋体" w:eastAsia="宋体" w:cs="Times New Roman"/>
          <w:szCs w:val="21"/>
        </w:rPr>
      </w:pPr>
    </w:p>
    <w:p w14:paraId="0F5A5CF1">
      <w:pPr>
        <w:spacing w:line="480" w:lineRule="exact"/>
        <w:rPr>
          <w:rFonts w:hint="eastAsia" w:ascii="黑体" w:hAnsi="Times New Roman" w:eastAsia="黑体" w:cs="Times New Roman"/>
          <w:sz w:val="30"/>
          <w:szCs w:val="30"/>
        </w:rPr>
      </w:pPr>
    </w:p>
    <w:p w14:paraId="14AA253F">
      <w:pPr>
        <w:spacing w:line="480" w:lineRule="exact"/>
        <w:rPr>
          <w:rFonts w:hint="eastAsia" w:ascii="黑体" w:hAnsi="Times New Roman" w:eastAsia="黑体" w:cs="Times New Roman"/>
          <w:sz w:val="30"/>
          <w:szCs w:val="30"/>
        </w:rPr>
      </w:pPr>
    </w:p>
    <w:p w14:paraId="5600E064">
      <w:pPr>
        <w:spacing w:line="480" w:lineRule="exact"/>
        <w:rPr>
          <w:rFonts w:hint="eastAsia" w:ascii="黑体" w:hAnsi="Times New Roman" w:eastAsia="黑体" w:cs="Times New Roman"/>
          <w:sz w:val="30"/>
          <w:szCs w:val="30"/>
        </w:rPr>
      </w:pPr>
    </w:p>
    <w:p w14:paraId="240C7339">
      <w:pPr>
        <w:spacing w:line="480" w:lineRule="exact"/>
        <w:rPr>
          <w:rFonts w:hint="eastAsia" w:ascii="黑体" w:hAnsi="Times New Roman" w:eastAsia="黑体" w:cs="Times New Roman"/>
          <w:sz w:val="30"/>
          <w:szCs w:val="30"/>
        </w:rPr>
      </w:pPr>
    </w:p>
    <w:p w14:paraId="4BEF838F">
      <w:pPr>
        <w:spacing w:line="480" w:lineRule="exact"/>
        <w:rPr>
          <w:rFonts w:hint="eastAsia" w:ascii="黑体" w:hAnsi="Times New Roman" w:eastAsia="黑体" w:cs="Times New Roman"/>
          <w:sz w:val="30"/>
          <w:szCs w:val="30"/>
        </w:rPr>
      </w:pPr>
    </w:p>
    <w:p w14:paraId="3365FBC3">
      <w:pPr>
        <w:spacing w:line="480" w:lineRule="exact"/>
        <w:rPr>
          <w:rFonts w:hint="eastAsia" w:ascii="黑体" w:hAnsi="Times New Roman" w:eastAsia="黑体" w:cs="Times New Roman"/>
          <w:sz w:val="30"/>
          <w:szCs w:val="30"/>
        </w:rPr>
      </w:pPr>
    </w:p>
    <w:p w14:paraId="6D0C7F17">
      <w:pPr>
        <w:spacing w:line="480" w:lineRule="exact"/>
        <w:rPr>
          <w:rFonts w:hint="eastAsia" w:ascii="黑体" w:hAnsi="Times New Roman" w:eastAsia="黑体" w:cs="Times New Roman"/>
          <w:sz w:val="30"/>
          <w:szCs w:val="30"/>
        </w:rPr>
      </w:pPr>
    </w:p>
    <w:p w14:paraId="1512C6C2">
      <w:pPr>
        <w:spacing w:line="480" w:lineRule="exact"/>
        <w:rPr>
          <w:rFonts w:hint="eastAsia" w:ascii="黑体" w:hAnsi="Times New Roman" w:eastAsia="黑体" w:cs="Times New Roman"/>
          <w:sz w:val="30"/>
          <w:szCs w:val="30"/>
        </w:rPr>
      </w:pPr>
    </w:p>
    <w:p w14:paraId="4A1879DC">
      <w:pPr>
        <w:spacing w:line="480" w:lineRule="exact"/>
        <w:rPr>
          <w:rFonts w:hint="eastAsia" w:ascii="黑体" w:hAnsi="Times New Roman" w:eastAsia="黑体" w:cs="Times New Roman"/>
          <w:sz w:val="30"/>
          <w:szCs w:val="30"/>
        </w:rPr>
      </w:pPr>
    </w:p>
    <w:p w14:paraId="1CA17F6C">
      <w:pPr>
        <w:spacing w:line="480" w:lineRule="exact"/>
        <w:rPr>
          <w:rFonts w:hint="eastAsia" w:ascii="黑体" w:hAnsi="Times New Roman" w:eastAsia="黑体" w:cs="Times New Roman"/>
          <w:sz w:val="30"/>
          <w:szCs w:val="30"/>
        </w:rPr>
      </w:pPr>
    </w:p>
    <w:p w14:paraId="7E0CE7A0">
      <w:pPr>
        <w:spacing w:line="480" w:lineRule="exact"/>
        <w:rPr>
          <w:rFonts w:hint="eastAsia" w:ascii="黑体" w:hAnsi="Times New Roman" w:eastAsia="黑体" w:cs="Times New Roman"/>
          <w:sz w:val="30"/>
          <w:szCs w:val="30"/>
        </w:rPr>
      </w:pPr>
    </w:p>
    <w:p w14:paraId="78A926D7">
      <w:pPr>
        <w:spacing w:line="480" w:lineRule="exact"/>
        <w:rPr>
          <w:rFonts w:hint="eastAsia" w:ascii="黑体" w:hAnsi="Times New Roman" w:eastAsia="黑体" w:cs="Times New Roman"/>
          <w:sz w:val="30"/>
          <w:szCs w:val="30"/>
        </w:rPr>
      </w:pPr>
    </w:p>
    <w:p w14:paraId="08714D76">
      <w:pPr>
        <w:spacing w:line="480" w:lineRule="exact"/>
        <w:rPr>
          <w:rFonts w:hint="eastAsia" w:ascii="黑体" w:hAnsi="Times New Roman" w:eastAsia="黑体" w:cs="Times New Roman"/>
          <w:sz w:val="30"/>
          <w:szCs w:val="30"/>
        </w:rPr>
      </w:pPr>
    </w:p>
    <w:p w14:paraId="046B88C7">
      <w:pPr>
        <w:spacing w:line="480" w:lineRule="exact"/>
        <w:rPr>
          <w:rFonts w:hint="eastAsia" w:ascii="黑体" w:hAnsi="Times New Roman" w:eastAsia="黑体" w:cs="Times New Roman"/>
          <w:sz w:val="30"/>
          <w:szCs w:val="30"/>
        </w:rPr>
      </w:pPr>
    </w:p>
    <w:p w14:paraId="6E86258B">
      <w:pPr>
        <w:spacing w:line="480" w:lineRule="exact"/>
        <w:rPr>
          <w:rFonts w:hint="eastAsia" w:ascii="黑体" w:hAnsi="Times New Roman" w:eastAsia="黑体" w:cs="Times New Roman"/>
          <w:sz w:val="30"/>
          <w:szCs w:val="30"/>
        </w:rPr>
      </w:pPr>
    </w:p>
    <w:p w14:paraId="21D194AF">
      <w:pPr>
        <w:spacing w:line="480" w:lineRule="exact"/>
        <w:rPr>
          <w:rFonts w:hint="eastAsia" w:ascii="黑体" w:hAnsi="Times New Roman" w:eastAsia="黑体" w:cs="Times New Roman"/>
          <w:sz w:val="30"/>
          <w:szCs w:val="30"/>
        </w:rPr>
      </w:pPr>
    </w:p>
    <w:p w14:paraId="52133DB6">
      <w:pPr>
        <w:spacing w:line="480" w:lineRule="exact"/>
        <w:rPr>
          <w:rFonts w:hint="eastAsia" w:ascii="黑体" w:hAnsi="Times New Roman" w:eastAsia="黑体" w:cs="Times New Roman"/>
          <w:sz w:val="30"/>
          <w:szCs w:val="30"/>
        </w:rPr>
      </w:pPr>
    </w:p>
    <w:p w14:paraId="2B0F6366">
      <w:pPr>
        <w:spacing w:line="480" w:lineRule="exact"/>
        <w:rPr>
          <w:rFonts w:hint="eastAsia" w:ascii="黑体" w:hAnsi="Times New Roman" w:eastAsia="黑体" w:cs="Times New Roman"/>
          <w:sz w:val="30"/>
          <w:szCs w:val="30"/>
        </w:rPr>
      </w:pPr>
    </w:p>
    <w:p w14:paraId="257F5690">
      <w:pPr>
        <w:spacing w:line="480" w:lineRule="exact"/>
        <w:rPr>
          <w:rFonts w:hint="eastAsia" w:ascii="黑体" w:hAnsi="Times New Roman" w:eastAsia="黑体" w:cs="Times New Roman"/>
          <w:sz w:val="30"/>
          <w:szCs w:val="30"/>
        </w:rPr>
      </w:pPr>
    </w:p>
    <w:p w14:paraId="4AE96129">
      <w:pPr>
        <w:spacing w:line="480" w:lineRule="exact"/>
        <w:rPr>
          <w:rFonts w:hint="eastAsia" w:ascii="黑体" w:hAnsi="Times New Roman" w:eastAsia="黑体" w:cs="Times New Roman"/>
          <w:sz w:val="30"/>
          <w:szCs w:val="30"/>
        </w:rPr>
      </w:pPr>
    </w:p>
    <w:p w14:paraId="142A011B">
      <w:pPr>
        <w:spacing w:line="480" w:lineRule="exact"/>
        <w:rPr>
          <w:rFonts w:hint="eastAsia" w:ascii="黑体" w:hAnsi="Times New Roman" w:eastAsia="黑体" w:cs="Times New Roman"/>
          <w:sz w:val="30"/>
          <w:szCs w:val="30"/>
        </w:rPr>
      </w:pPr>
    </w:p>
    <w:p w14:paraId="3648C9D8">
      <w:pPr>
        <w:spacing w:line="480" w:lineRule="exact"/>
        <w:rPr>
          <w:rFonts w:hint="eastAsia" w:ascii="黑体" w:hAnsi="Times New Roman" w:eastAsia="黑体" w:cs="Times New Roman"/>
          <w:sz w:val="30"/>
          <w:szCs w:val="30"/>
        </w:rPr>
      </w:pPr>
    </w:p>
    <w:p w14:paraId="515384A9">
      <w:pPr>
        <w:spacing w:line="480" w:lineRule="exact"/>
        <w:rPr>
          <w:rFonts w:hint="eastAsia" w:ascii="黑体" w:hAnsi="Times New Roman" w:eastAsia="黑体" w:cs="Times New Roman"/>
          <w:sz w:val="30"/>
          <w:szCs w:val="30"/>
        </w:rPr>
      </w:pPr>
    </w:p>
    <w:p w14:paraId="3E65EE5B">
      <w:pPr>
        <w:adjustRightInd w:val="0"/>
        <w:snapToGrid w:val="0"/>
        <w:spacing w:line="360" w:lineRule="auto"/>
        <w:rPr>
          <w:rFonts w:hint="eastAsia" w:ascii="黑体" w:hAnsi="黑体" w:eastAsia="黑体" w:cs="Times New Roman"/>
          <w:bCs/>
          <w:sz w:val="30"/>
          <w:szCs w:val="30"/>
        </w:rPr>
      </w:pPr>
    </w:p>
    <w:p w14:paraId="4FB548D3">
      <w:pPr>
        <w:adjustRightInd w:val="0"/>
        <w:snapToGrid w:val="0"/>
        <w:spacing w:line="360" w:lineRule="auto"/>
        <w:rPr>
          <w:rFonts w:hint="eastAsia" w:ascii="黑体" w:hAnsi="黑体" w:eastAsia="黑体" w:cs="Times New Roman"/>
          <w:bCs/>
          <w:sz w:val="30"/>
          <w:szCs w:val="30"/>
        </w:rPr>
      </w:pPr>
    </w:p>
    <w:p w14:paraId="3108E92B">
      <w:pPr>
        <w:adjustRightInd w:val="0"/>
        <w:snapToGrid w:val="0"/>
        <w:spacing w:line="360" w:lineRule="auto"/>
        <w:rPr>
          <w:rFonts w:hint="eastAsia" w:ascii="黑体" w:hAnsi="Times New Roman" w:eastAsia="黑体" w:cs="Times New Roman"/>
          <w:b/>
          <w:sz w:val="30"/>
          <w:szCs w:val="30"/>
        </w:rPr>
      </w:pPr>
      <w:r>
        <w:rPr>
          <w:rFonts w:hint="eastAsia" w:ascii="黑体" w:hAnsi="Times New Roman" w:eastAsia="黑体" w:cs="Times New Roman"/>
          <w:b/>
          <w:sz w:val="30"/>
          <w:szCs w:val="30"/>
        </w:rPr>
        <w:t>附件6                 其他证明资料或说明</w:t>
      </w:r>
    </w:p>
    <w:p w14:paraId="5537E7D5">
      <w:pPr>
        <w:adjustRightInd w:val="0"/>
        <w:snapToGrid w:val="0"/>
        <w:spacing w:line="360" w:lineRule="auto"/>
        <w:rPr>
          <w:rFonts w:hint="eastAsia" w:ascii="黑体" w:hAnsi="Times New Roman" w:eastAsia="黑体" w:cs="Times New Roman"/>
          <w:szCs w:val="21"/>
        </w:rPr>
      </w:pPr>
    </w:p>
    <w:p w14:paraId="3C3DE67A">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提供磋商文件或评分标准需要提供的相关证明文件复印件</w:t>
      </w:r>
    </w:p>
    <w:p w14:paraId="38F7A22D">
      <w:pPr>
        <w:adjustRightInd w:val="0"/>
        <w:snapToGrid w:val="0"/>
        <w:spacing w:line="360" w:lineRule="auto"/>
        <w:jc w:val="center"/>
        <w:rPr>
          <w:rFonts w:hint="eastAsia" w:ascii="黑体" w:hAnsi="Times New Roman" w:eastAsia="黑体" w:cs="Times New Roman"/>
          <w:b/>
          <w:sz w:val="32"/>
          <w:szCs w:val="32"/>
        </w:rPr>
      </w:pPr>
    </w:p>
    <w:p w14:paraId="331A8811">
      <w:pPr>
        <w:adjustRightInd w:val="0"/>
        <w:snapToGrid w:val="0"/>
        <w:spacing w:line="360" w:lineRule="auto"/>
        <w:jc w:val="center"/>
        <w:rPr>
          <w:rFonts w:hint="eastAsia" w:ascii="黑体" w:hAnsi="Times New Roman" w:eastAsia="黑体" w:cs="Times New Roman"/>
          <w:b/>
          <w:sz w:val="32"/>
          <w:szCs w:val="32"/>
        </w:rPr>
      </w:pPr>
    </w:p>
    <w:p w14:paraId="3D1C975E">
      <w:pPr>
        <w:adjustRightInd w:val="0"/>
        <w:snapToGrid w:val="0"/>
        <w:spacing w:line="360" w:lineRule="auto"/>
        <w:jc w:val="center"/>
        <w:rPr>
          <w:rFonts w:hint="eastAsia" w:ascii="黑体" w:hAnsi="Times New Roman" w:eastAsia="黑体" w:cs="Times New Roman"/>
          <w:b/>
          <w:sz w:val="32"/>
          <w:szCs w:val="32"/>
        </w:rPr>
      </w:pPr>
    </w:p>
    <w:p w14:paraId="67686D2A">
      <w:pPr>
        <w:adjustRightInd w:val="0"/>
        <w:snapToGrid w:val="0"/>
        <w:spacing w:line="360" w:lineRule="auto"/>
        <w:jc w:val="center"/>
        <w:rPr>
          <w:rFonts w:hint="eastAsia" w:ascii="黑体" w:hAnsi="Times New Roman" w:eastAsia="黑体" w:cs="Times New Roman"/>
          <w:b/>
          <w:sz w:val="32"/>
          <w:szCs w:val="32"/>
        </w:rPr>
      </w:pPr>
    </w:p>
    <w:p w14:paraId="61DE9ADC">
      <w:pPr>
        <w:adjustRightInd w:val="0"/>
        <w:snapToGrid w:val="0"/>
        <w:spacing w:line="360" w:lineRule="auto"/>
        <w:jc w:val="center"/>
        <w:rPr>
          <w:rFonts w:hint="eastAsia" w:ascii="黑体" w:hAnsi="Times New Roman" w:eastAsia="黑体" w:cs="Times New Roman"/>
          <w:b/>
          <w:sz w:val="32"/>
          <w:szCs w:val="32"/>
        </w:rPr>
      </w:pPr>
    </w:p>
    <w:p w14:paraId="3C7F7D9D">
      <w:pPr>
        <w:adjustRightInd w:val="0"/>
        <w:snapToGrid w:val="0"/>
        <w:spacing w:line="360" w:lineRule="auto"/>
        <w:jc w:val="center"/>
        <w:rPr>
          <w:rFonts w:hint="eastAsia" w:ascii="黑体" w:hAnsi="Times New Roman" w:eastAsia="黑体" w:cs="Times New Roman"/>
          <w:b/>
          <w:sz w:val="32"/>
          <w:szCs w:val="32"/>
        </w:rPr>
      </w:pPr>
    </w:p>
    <w:p w14:paraId="7CB5CEB9">
      <w:pPr>
        <w:adjustRightInd w:val="0"/>
        <w:snapToGrid w:val="0"/>
        <w:spacing w:line="360" w:lineRule="auto"/>
        <w:jc w:val="center"/>
        <w:rPr>
          <w:rFonts w:hint="eastAsia" w:ascii="黑体" w:hAnsi="Times New Roman" w:eastAsia="黑体" w:cs="Times New Roman"/>
          <w:b/>
          <w:sz w:val="32"/>
          <w:szCs w:val="32"/>
        </w:rPr>
      </w:pPr>
    </w:p>
    <w:p w14:paraId="3DBEA43F">
      <w:pPr>
        <w:adjustRightInd w:val="0"/>
        <w:snapToGrid w:val="0"/>
        <w:spacing w:line="360" w:lineRule="auto"/>
        <w:jc w:val="center"/>
        <w:rPr>
          <w:rFonts w:hint="eastAsia" w:ascii="黑体" w:hAnsi="Times New Roman" w:eastAsia="黑体" w:cs="Times New Roman"/>
          <w:b/>
          <w:sz w:val="32"/>
          <w:szCs w:val="32"/>
        </w:rPr>
      </w:pPr>
    </w:p>
    <w:p w14:paraId="772456F1">
      <w:pPr>
        <w:adjustRightInd w:val="0"/>
        <w:snapToGrid w:val="0"/>
        <w:spacing w:line="360" w:lineRule="auto"/>
        <w:jc w:val="center"/>
        <w:rPr>
          <w:rFonts w:hint="eastAsia" w:ascii="黑体" w:hAnsi="Times New Roman" w:eastAsia="黑体" w:cs="Times New Roman"/>
          <w:b/>
          <w:sz w:val="32"/>
          <w:szCs w:val="32"/>
        </w:rPr>
      </w:pPr>
    </w:p>
    <w:p w14:paraId="5F5A2F1B">
      <w:pPr>
        <w:adjustRightInd w:val="0"/>
        <w:snapToGrid w:val="0"/>
        <w:spacing w:line="360" w:lineRule="auto"/>
        <w:jc w:val="center"/>
        <w:rPr>
          <w:rFonts w:hint="eastAsia" w:ascii="黑体" w:hAnsi="Times New Roman" w:eastAsia="黑体" w:cs="Times New Roman"/>
          <w:b/>
          <w:sz w:val="32"/>
          <w:szCs w:val="32"/>
        </w:rPr>
      </w:pPr>
    </w:p>
    <w:p w14:paraId="29AB15A7">
      <w:pPr>
        <w:adjustRightInd w:val="0"/>
        <w:snapToGrid w:val="0"/>
        <w:spacing w:line="360" w:lineRule="auto"/>
        <w:jc w:val="center"/>
        <w:rPr>
          <w:rFonts w:hint="eastAsia" w:ascii="黑体" w:hAnsi="Times New Roman" w:eastAsia="黑体" w:cs="Times New Roman"/>
          <w:b/>
          <w:sz w:val="32"/>
          <w:szCs w:val="32"/>
        </w:rPr>
      </w:pPr>
    </w:p>
    <w:p w14:paraId="420DBFEF">
      <w:pPr>
        <w:adjustRightInd w:val="0"/>
        <w:snapToGrid w:val="0"/>
        <w:spacing w:line="360" w:lineRule="auto"/>
        <w:jc w:val="center"/>
        <w:rPr>
          <w:rFonts w:hint="eastAsia" w:ascii="黑体" w:hAnsi="Times New Roman" w:eastAsia="黑体" w:cs="Times New Roman"/>
          <w:b/>
          <w:sz w:val="32"/>
          <w:szCs w:val="32"/>
        </w:rPr>
      </w:pPr>
    </w:p>
    <w:p w14:paraId="13EE6B07">
      <w:pPr>
        <w:adjustRightInd w:val="0"/>
        <w:snapToGrid w:val="0"/>
        <w:spacing w:line="360" w:lineRule="auto"/>
        <w:jc w:val="center"/>
        <w:rPr>
          <w:rFonts w:hint="eastAsia" w:ascii="黑体" w:hAnsi="Times New Roman" w:eastAsia="黑体" w:cs="Times New Roman"/>
          <w:b/>
          <w:sz w:val="32"/>
          <w:szCs w:val="32"/>
        </w:rPr>
      </w:pPr>
    </w:p>
    <w:p w14:paraId="6DDC9270">
      <w:pPr>
        <w:adjustRightInd w:val="0"/>
        <w:snapToGrid w:val="0"/>
        <w:spacing w:line="360" w:lineRule="auto"/>
        <w:jc w:val="center"/>
        <w:rPr>
          <w:rFonts w:hint="eastAsia" w:ascii="黑体" w:hAnsi="Times New Roman" w:eastAsia="黑体" w:cs="Times New Roman"/>
          <w:b/>
          <w:sz w:val="32"/>
          <w:szCs w:val="32"/>
        </w:rPr>
      </w:pPr>
    </w:p>
    <w:p w14:paraId="13CCA5F5">
      <w:pPr>
        <w:adjustRightInd w:val="0"/>
        <w:snapToGrid w:val="0"/>
        <w:spacing w:line="360" w:lineRule="auto"/>
        <w:jc w:val="center"/>
        <w:rPr>
          <w:rFonts w:hint="eastAsia" w:ascii="黑体" w:hAnsi="Times New Roman" w:eastAsia="黑体" w:cs="Times New Roman"/>
          <w:b/>
          <w:sz w:val="32"/>
          <w:szCs w:val="32"/>
        </w:rPr>
      </w:pPr>
    </w:p>
    <w:p w14:paraId="39CEF79B">
      <w:pPr>
        <w:adjustRightInd w:val="0"/>
        <w:snapToGrid w:val="0"/>
        <w:spacing w:line="360" w:lineRule="auto"/>
        <w:jc w:val="center"/>
        <w:rPr>
          <w:rFonts w:hint="eastAsia" w:ascii="黑体" w:hAnsi="Times New Roman" w:eastAsia="黑体" w:cs="Times New Roman"/>
          <w:b/>
          <w:sz w:val="32"/>
          <w:szCs w:val="32"/>
        </w:rPr>
      </w:pPr>
    </w:p>
    <w:p w14:paraId="170281D6">
      <w:pPr>
        <w:adjustRightInd w:val="0"/>
        <w:snapToGrid w:val="0"/>
        <w:spacing w:line="360" w:lineRule="auto"/>
        <w:jc w:val="center"/>
        <w:rPr>
          <w:rFonts w:hint="eastAsia" w:ascii="黑体" w:hAnsi="Times New Roman" w:eastAsia="黑体" w:cs="Times New Roman"/>
          <w:b/>
          <w:sz w:val="32"/>
          <w:szCs w:val="32"/>
        </w:rPr>
      </w:pPr>
    </w:p>
    <w:p w14:paraId="23D74A77">
      <w:pPr>
        <w:adjustRightInd w:val="0"/>
        <w:snapToGrid w:val="0"/>
        <w:spacing w:line="360" w:lineRule="auto"/>
        <w:jc w:val="center"/>
        <w:rPr>
          <w:rFonts w:hint="eastAsia" w:ascii="黑体" w:hAnsi="Times New Roman" w:eastAsia="黑体" w:cs="Times New Roman"/>
          <w:b/>
          <w:sz w:val="32"/>
          <w:szCs w:val="32"/>
        </w:rPr>
      </w:pPr>
    </w:p>
    <w:p w14:paraId="3E0EAF84">
      <w:pPr>
        <w:adjustRightInd w:val="0"/>
        <w:snapToGrid w:val="0"/>
        <w:spacing w:line="360" w:lineRule="auto"/>
        <w:jc w:val="center"/>
        <w:rPr>
          <w:rFonts w:hint="eastAsia" w:ascii="黑体" w:hAnsi="Times New Roman" w:eastAsia="黑体" w:cs="Times New Roman"/>
          <w:b/>
          <w:sz w:val="32"/>
          <w:szCs w:val="32"/>
        </w:rPr>
      </w:pPr>
    </w:p>
    <w:p w14:paraId="2C446FBA">
      <w:pPr>
        <w:adjustRightInd w:val="0"/>
        <w:snapToGrid w:val="0"/>
        <w:spacing w:line="360" w:lineRule="auto"/>
        <w:rPr>
          <w:rFonts w:hint="eastAsia" w:ascii="黑体" w:hAnsi="Times New Roman" w:eastAsia="黑体" w:cs="Times New Roman"/>
          <w:b/>
          <w:sz w:val="32"/>
          <w:szCs w:val="32"/>
        </w:rPr>
      </w:pPr>
    </w:p>
    <w:p w14:paraId="60419F48">
      <w:pPr>
        <w:adjustRightInd w:val="0"/>
        <w:snapToGrid w:val="0"/>
        <w:spacing w:line="360" w:lineRule="auto"/>
        <w:jc w:val="center"/>
        <w:rPr>
          <w:rFonts w:hint="eastAsia" w:ascii="黑体" w:hAnsi="Times New Roman" w:eastAsia="黑体" w:cs="Times New Roman"/>
          <w:b/>
          <w:sz w:val="32"/>
          <w:szCs w:val="32"/>
        </w:rPr>
      </w:pPr>
      <w:r>
        <w:rPr>
          <w:rFonts w:hint="eastAsia" w:ascii="黑体" w:hAnsi="Times New Roman" w:eastAsia="黑体" w:cs="Times New Roman"/>
          <w:b/>
          <w:sz w:val="32"/>
          <w:szCs w:val="32"/>
        </w:rPr>
        <w:t>三、货物或服务方案说明</w:t>
      </w:r>
    </w:p>
    <w:p w14:paraId="593324F6">
      <w:pPr>
        <w:adjustRightInd w:val="0"/>
        <w:snapToGrid w:val="0"/>
        <w:rPr>
          <w:rFonts w:hint="eastAsia" w:ascii="黑体" w:hAnsi="Times New Roman" w:eastAsia="黑体" w:cs="Times New Roman"/>
          <w:sz w:val="30"/>
          <w:szCs w:val="30"/>
        </w:rPr>
      </w:pPr>
      <w:r>
        <w:rPr>
          <w:rFonts w:hint="eastAsia" w:ascii="黑体" w:hAnsi="Times New Roman" w:eastAsia="黑体" w:cs="Times New Roman"/>
          <w:sz w:val="30"/>
          <w:szCs w:val="30"/>
        </w:rPr>
        <w:t>附件7-1：</w:t>
      </w:r>
    </w:p>
    <w:p w14:paraId="2BF4E277">
      <w:pPr>
        <w:adjustRightInd w:val="0"/>
        <w:snapToGrid w:val="0"/>
        <w:jc w:val="center"/>
        <w:rPr>
          <w:rFonts w:hint="eastAsia" w:ascii="黑体" w:hAnsi="宋体" w:eastAsia="黑体" w:cs="Times New Roman"/>
          <w:b/>
          <w:sz w:val="30"/>
          <w:szCs w:val="30"/>
        </w:rPr>
      </w:pPr>
      <w:r>
        <w:rPr>
          <w:rFonts w:hint="eastAsia" w:ascii="黑体" w:hAnsi="宋体" w:eastAsia="黑体" w:cs="Times New Roman"/>
          <w:b/>
          <w:sz w:val="30"/>
          <w:szCs w:val="30"/>
        </w:rPr>
        <w:t xml:space="preserve">   服务方案说明</w:t>
      </w:r>
    </w:p>
    <w:p w14:paraId="636F1452">
      <w:pPr>
        <w:adjustRightInd w:val="0"/>
        <w:snapToGrid w:val="0"/>
        <w:rPr>
          <w:rFonts w:hint="eastAsia" w:ascii="宋体" w:hAnsi="宋体" w:eastAsia="宋体" w:cs="Times New Roman"/>
          <w:szCs w:val="21"/>
        </w:rPr>
      </w:pPr>
    </w:p>
    <w:p w14:paraId="3101FF6B">
      <w:pPr>
        <w:adjustRightInd w:val="0"/>
        <w:snapToGrid w:val="0"/>
        <w:spacing w:line="360" w:lineRule="auto"/>
        <w:jc w:val="center"/>
        <w:rPr>
          <w:rFonts w:hint="eastAsia" w:ascii="仿宋_GB2312" w:hAnsi="宋体" w:eastAsia="仿宋_GB2312" w:cs="Times New Roman"/>
          <w:szCs w:val="21"/>
        </w:rPr>
      </w:pPr>
      <w:r>
        <w:rPr>
          <w:rFonts w:hint="eastAsia" w:ascii="仿宋_GB2312" w:hAnsi="宋体" w:eastAsia="仿宋_GB2312" w:cs="Times New Roman"/>
          <w:szCs w:val="21"/>
        </w:rPr>
        <w:t>服务类项目供应商应根据第四章规定编写服务方案或服务大纲。</w:t>
      </w:r>
    </w:p>
    <w:p w14:paraId="3140718D">
      <w:pPr>
        <w:adjustRightInd w:val="0"/>
        <w:snapToGrid w:val="0"/>
        <w:rPr>
          <w:rFonts w:hint="eastAsia" w:ascii="宋体" w:hAnsi="宋体" w:eastAsia="宋体" w:cs="Times New Roman"/>
          <w:szCs w:val="21"/>
        </w:rPr>
      </w:pPr>
    </w:p>
    <w:p w14:paraId="22C6DB22">
      <w:pPr>
        <w:adjustRightInd w:val="0"/>
        <w:snapToGrid w:val="0"/>
        <w:rPr>
          <w:rFonts w:hint="eastAsia" w:ascii="宋体" w:hAnsi="宋体" w:eastAsia="宋体" w:cs="Times New Roman"/>
          <w:szCs w:val="21"/>
        </w:rPr>
      </w:pPr>
    </w:p>
    <w:p w14:paraId="016B7822">
      <w:pPr>
        <w:spacing w:line="480" w:lineRule="exact"/>
        <w:jc w:val="both"/>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包括但不限于：(1)项目理解；(2)项目实施方案；(3)质量保障措施</w:t>
      </w:r>
    </w:p>
    <w:p w14:paraId="60AE3FCA">
      <w:pPr>
        <w:adjustRightInd w:val="0"/>
        <w:snapToGrid w:val="0"/>
        <w:rPr>
          <w:rFonts w:hint="default" w:ascii="宋体" w:hAnsi="宋体" w:eastAsia="宋体" w:cs="Times New Roman"/>
          <w:szCs w:val="21"/>
          <w:lang w:val="en-US" w:eastAsia="zh-CN"/>
        </w:rPr>
      </w:pPr>
    </w:p>
    <w:p w14:paraId="5AF35D6E">
      <w:pPr>
        <w:adjustRightInd w:val="0"/>
        <w:snapToGrid w:val="0"/>
        <w:rPr>
          <w:rFonts w:hint="eastAsia" w:ascii="宋体" w:hAnsi="宋体" w:eastAsia="宋体" w:cs="Times New Roman"/>
          <w:szCs w:val="21"/>
        </w:rPr>
      </w:pPr>
    </w:p>
    <w:p w14:paraId="3CCED4BD">
      <w:pPr>
        <w:adjustRightInd w:val="0"/>
        <w:snapToGrid w:val="0"/>
        <w:rPr>
          <w:rFonts w:hint="eastAsia" w:ascii="宋体" w:hAnsi="宋体" w:eastAsia="宋体" w:cs="Times New Roman"/>
          <w:szCs w:val="21"/>
        </w:rPr>
      </w:pPr>
    </w:p>
    <w:p w14:paraId="2087F011">
      <w:pPr>
        <w:adjustRightInd w:val="0"/>
        <w:snapToGrid w:val="0"/>
        <w:rPr>
          <w:rFonts w:hint="eastAsia" w:ascii="宋体" w:hAnsi="宋体" w:eastAsia="宋体" w:cs="Times New Roman"/>
          <w:szCs w:val="21"/>
        </w:rPr>
      </w:pPr>
    </w:p>
    <w:p w14:paraId="492D9BB1">
      <w:pPr>
        <w:adjustRightInd w:val="0"/>
        <w:snapToGrid w:val="0"/>
        <w:rPr>
          <w:rFonts w:hint="eastAsia" w:ascii="宋体" w:hAnsi="宋体" w:eastAsia="宋体" w:cs="Times New Roman"/>
          <w:szCs w:val="21"/>
        </w:rPr>
      </w:pPr>
    </w:p>
    <w:p w14:paraId="0E26207C">
      <w:pPr>
        <w:adjustRightInd w:val="0"/>
        <w:snapToGrid w:val="0"/>
        <w:rPr>
          <w:rFonts w:hint="eastAsia" w:ascii="宋体" w:hAnsi="宋体" w:eastAsia="宋体" w:cs="Times New Roman"/>
          <w:szCs w:val="21"/>
        </w:rPr>
      </w:pPr>
    </w:p>
    <w:p w14:paraId="2E210F9E">
      <w:pPr>
        <w:widowControl w:val="0"/>
        <w:adjustRightInd w:val="0"/>
        <w:snapToGrid w:val="0"/>
        <w:spacing w:line="360" w:lineRule="auto"/>
        <w:jc w:val="both"/>
        <w:outlineLvl w:val="0"/>
        <w:rPr>
          <w:rFonts w:hint="eastAsia" w:ascii="宋体" w:hAnsi="宋体" w:eastAsia="宋体" w:cs="Times New Roman"/>
          <w:bCs/>
          <w:kern w:val="2"/>
          <w:sz w:val="21"/>
          <w:szCs w:val="21"/>
          <w:lang w:val="en-US" w:eastAsia="zh-CN" w:bidi="ar-SA"/>
        </w:rPr>
      </w:pPr>
      <w:r>
        <w:rPr>
          <w:rFonts w:hint="eastAsia" w:ascii="宋体" w:hAnsi="宋体" w:eastAsia="宋体" w:cs="Times New Roman"/>
          <w:kern w:val="2"/>
          <w:sz w:val="21"/>
          <w:szCs w:val="21"/>
          <w:lang w:val="en-US" w:eastAsia="zh-CN" w:bidi="ar-SA"/>
        </w:rPr>
        <w:t>供应商名称(盖单位章)：</w:t>
      </w:r>
      <w:r>
        <w:rPr>
          <w:rFonts w:hint="eastAsia" w:ascii="宋体" w:hAnsi="宋体" w:eastAsia="宋体" w:cs="Times New Roman"/>
          <w:kern w:val="2"/>
          <w:sz w:val="21"/>
          <w:szCs w:val="21"/>
          <w:u w:val="single"/>
          <w:lang w:val="en-US" w:eastAsia="zh-CN" w:bidi="ar-SA"/>
        </w:rPr>
        <w:t xml:space="preserve">                </w:t>
      </w:r>
    </w:p>
    <w:p w14:paraId="075770AC">
      <w:pPr>
        <w:adjustRightInd w:val="0"/>
        <w:snapToGrid w:val="0"/>
        <w:spacing w:line="360" w:lineRule="auto"/>
        <w:outlineLvl w:val="0"/>
        <w:rPr>
          <w:rFonts w:hint="eastAsia" w:ascii="宋体" w:hAnsi="宋体" w:eastAsia="宋体" w:cs="Times New Roman"/>
          <w:szCs w:val="21"/>
        </w:rPr>
      </w:pPr>
      <w:r>
        <w:rPr>
          <w:rFonts w:hint="eastAsia" w:ascii="宋体" w:hAnsi="宋体" w:eastAsia="宋体" w:cs="Times New Roman"/>
          <w:szCs w:val="21"/>
        </w:rPr>
        <w:t>法定代表人或其委托代理人(签字)：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00ED83E1">
      <w:pPr>
        <w:spacing w:line="360" w:lineRule="exact"/>
        <w:rPr>
          <w:rFonts w:hint="eastAsia" w:ascii="宋体" w:hAnsi="Times New Roman" w:eastAsia="宋体" w:cs="Times New Roman"/>
        </w:rPr>
      </w:pPr>
      <w:r>
        <w:rPr>
          <w:rFonts w:hint="eastAsia" w:ascii="宋体" w:hAnsi="宋体" w:eastAsia="宋体" w:cs="Times New Roman"/>
          <w:szCs w:val="21"/>
        </w:rPr>
        <w:t xml:space="preserve">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14:paraId="576551AE">
      <w:pPr>
        <w:adjustRightInd w:val="0"/>
        <w:snapToGrid w:val="0"/>
        <w:spacing w:line="360" w:lineRule="auto"/>
        <w:rPr>
          <w:rFonts w:hint="eastAsia" w:ascii="宋体" w:hAnsi="宋体" w:eastAsia="宋体" w:cs="Times New Roman"/>
          <w:szCs w:val="21"/>
        </w:rPr>
      </w:pPr>
    </w:p>
    <w:p w14:paraId="719BC3A7">
      <w:pPr>
        <w:adjustRightInd w:val="0"/>
        <w:snapToGrid w:val="0"/>
        <w:rPr>
          <w:rFonts w:hint="eastAsia" w:ascii="宋体" w:hAnsi="宋体" w:eastAsia="宋体" w:cs="Times New Roman"/>
          <w:szCs w:val="21"/>
        </w:rPr>
      </w:pPr>
    </w:p>
    <w:p w14:paraId="2B86AAC5">
      <w:pPr>
        <w:adjustRightInd w:val="0"/>
        <w:snapToGrid w:val="0"/>
        <w:rPr>
          <w:rFonts w:hint="eastAsia" w:ascii="宋体" w:hAnsi="宋体" w:eastAsia="宋体" w:cs="Times New Roman"/>
          <w:szCs w:val="21"/>
        </w:rPr>
      </w:pPr>
    </w:p>
    <w:p w14:paraId="02903723">
      <w:pPr>
        <w:adjustRightInd w:val="0"/>
        <w:snapToGrid w:val="0"/>
        <w:rPr>
          <w:rFonts w:hint="eastAsia" w:ascii="宋体" w:hAnsi="宋体" w:eastAsia="宋体" w:cs="Times New Roman"/>
          <w:szCs w:val="21"/>
        </w:rPr>
      </w:pPr>
    </w:p>
    <w:p w14:paraId="25A9D404">
      <w:pPr>
        <w:adjustRightInd w:val="0"/>
        <w:snapToGrid w:val="0"/>
        <w:rPr>
          <w:rFonts w:hint="eastAsia" w:ascii="宋体" w:hAnsi="宋体" w:eastAsia="宋体" w:cs="Times New Roman"/>
          <w:szCs w:val="21"/>
        </w:rPr>
      </w:pPr>
    </w:p>
    <w:p w14:paraId="7D8FFCB0">
      <w:pPr>
        <w:adjustRightInd w:val="0"/>
        <w:snapToGrid w:val="0"/>
        <w:rPr>
          <w:rFonts w:hint="eastAsia" w:ascii="宋体" w:hAnsi="宋体" w:eastAsia="宋体" w:cs="Times New Roman"/>
          <w:szCs w:val="21"/>
        </w:rPr>
      </w:pPr>
    </w:p>
    <w:p w14:paraId="4065FD10">
      <w:pPr>
        <w:adjustRightInd w:val="0"/>
        <w:snapToGrid w:val="0"/>
        <w:rPr>
          <w:rFonts w:hint="eastAsia" w:ascii="宋体" w:hAnsi="宋体" w:eastAsia="宋体" w:cs="Times New Roman"/>
          <w:szCs w:val="21"/>
        </w:rPr>
      </w:pPr>
    </w:p>
    <w:p w14:paraId="7CDD747A">
      <w:pPr>
        <w:adjustRightInd w:val="0"/>
        <w:snapToGrid w:val="0"/>
        <w:rPr>
          <w:rFonts w:hint="eastAsia" w:ascii="宋体" w:hAnsi="宋体" w:eastAsia="宋体" w:cs="Times New Roman"/>
          <w:szCs w:val="21"/>
        </w:rPr>
      </w:pPr>
    </w:p>
    <w:p w14:paraId="50788B33">
      <w:pPr>
        <w:adjustRightInd w:val="0"/>
        <w:snapToGrid w:val="0"/>
        <w:rPr>
          <w:rFonts w:hint="eastAsia" w:ascii="宋体" w:hAnsi="宋体" w:eastAsia="宋体" w:cs="Times New Roman"/>
          <w:szCs w:val="21"/>
        </w:rPr>
      </w:pPr>
    </w:p>
    <w:p w14:paraId="1114CF50">
      <w:pPr>
        <w:adjustRightInd w:val="0"/>
        <w:snapToGrid w:val="0"/>
        <w:rPr>
          <w:rFonts w:hint="eastAsia" w:ascii="宋体" w:hAnsi="宋体" w:eastAsia="宋体" w:cs="Times New Roman"/>
          <w:szCs w:val="21"/>
        </w:rPr>
      </w:pPr>
    </w:p>
    <w:p w14:paraId="48912220">
      <w:pPr>
        <w:adjustRightInd w:val="0"/>
        <w:snapToGrid w:val="0"/>
        <w:rPr>
          <w:rFonts w:hint="eastAsia" w:ascii="宋体" w:hAnsi="宋体" w:eastAsia="宋体" w:cs="Times New Roman"/>
          <w:szCs w:val="21"/>
        </w:rPr>
      </w:pPr>
    </w:p>
    <w:p w14:paraId="0F11CE35">
      <w:pPr>
        <w:adjustRightInd w:val="0"/>
        <w:snapToGrid w:val="0"/>
        <w:rPr>
          <w:rFonts w:hint="eastAsia" w:ascii="宋体" w:hAnsi="宋体" w:eastAsia="宋体" w:cs="Times New Roman"/>
          <w:szCs w:val="21"/>
        </w:rPr>
      </w:pPr>
    </w:p>
    <w:p w14:paraId="73C64A54">
      <w:pPr>
        <w:adjustRightInd w:val="0"/>
        <w:snapToGrid w:val="0"/>
        <w:rPr>
          <w:rFonts w:hint="eastAsia" w:ascii="宋体" w:hAnsi="宋体" w:eastAsia="宋体" w:cs="Times New Roman"/>
          <w:szCs w:val="21"/>
        </w:rPr>
      </w:pPr>
    </w:p>
    <w:p w14:paraId="114575DE">
      <w:pPr>
        <w:adjustRightInd w:val="0"/>
        <w:snapToGrid w:val="0"/>
        <w:rPr>
          <w:rFonts w:hint="eastAsia" w:ascii="宋体" w:hAnsi="宋体" w:eastAsia="宋体" w:cs="Times New Roman"/>
          <w:szCs w:val="21"/>
        </w:rPr>
      </w:pPr>
    </w:p>
    <w:p w14:paraId="105C04BD">
      <w:pPr>
        <w:adjustRightInd w:val="0"/>
        <w:snapToGrid w:val="0"/>
        <w:rPr>
          <w:rFonts w:hint="eastAsia" w:ascii="宋体" w:hAnsi="宋体" w:eastAsia="宋体" w:cs="Times New Roman"/>
          <w:szCs w:val="21"/>
        </w:rPr>
      </w:pPr>
    </w:p>
    <w:p w14:paraId="6B3865FB">
      <w:pPr>
        <w:adjustRightInd w:val="0"/>
        <w:snapToGrid w:val="0"/>
        <w:rPr>
          <w:rFonts w:hint="eastAsia" w:ascii="宋体" w:hAnsi="宋体" w:eastAsia="宋体" w:cs="Times New Roman"/>
          <w:szCs w:val="21"/>
        </w:rPr>
      </w:pPr>
    </w:p>
    <w:p w14:paraId="6C970982">
      <w:pPr>
        <w:adjustRightInd w:val="0"/>
        <w:snapToGrid w:val="0"/>
        <w:rPr>
          <w:rFonts w:hint="eastAsia" w:ascii="宋体" w:hAnsi="宋体" w:eastAsia="宋体" w:cs="Times New Roman"/>
          <w:szCs w:val="21"/>
        </w:rPr>
      </w:pPr>
    </w:p>
    <w:p w14:paraId="20DAC464">
      <w:pPr>
        <w:adjustRightInd w:val="0"/>
        <w:snapToGrid w:val="0"/>
        <w:rPr>
          <w:rFonts w:hint="eastAsia" w:ascii="宋体" w:hAnsi="宋体" w:eastAsia="宋体" w:cs="Times New Roman"/>
          <w:szCs w:val="21"/>
        </w:rPr>
      </w:pPr>
    </w:p>
    <w:p w14:paraId="398F0934">
      <w:pPr>
        <w:adjustRightInd w:val="0"/>
        <w:snapToGrid w:val="0"/>
        <w:rPr>
          <w:rFonts w:hint="eastAsia" w:ascii="宋体" w:hAnsi="宋体" w:eastAsia="宋体" w:cs="Times New Roman"/>
          <w:szCs w:val="21"/>
        </w:rPr>
      </w:pPr>
    </w:p>
    <w:p w14:paraId="548DCAE3">
      <w:pPr>
        <w:adjustRightInd w:val="0"/>
        <w:snapToGrid w:val="0"/>
        <w:rPr>
          <w:rFonts w:hint="eastAsia" w:ascii="宋体" w:hAnsi="宋体" w:eastAsia="宋体" w:cs="Times New Roman"/>
          <w:szCs w:val="21"/>
        </w:rPr>
      </w:pPr>
    </w:p>
    <w:p w14:paraId="7CE23293">
      <w:pPr>
        <w:adjustRightInd w:val="0"/>
        <w:snapToGrid w:val="0"/>
        <w:rPr>
          <w:rFonts w:hint="eastAsia" w:ascii="宋体" w:hAnsi="宋体" w:eastAsia="宋体" w:cs="Times New Roman"/>
          <w:szCs w:val="21"/>
        </w:rPr>
      </w:pPr>
    </w:p>
    <w:p w14:paraId="5D1786C7">
      <w:pPr>
        <w:adjustRightInd w:val="0"/>
        <w:snapToGrid w:val="0"/>
        <w:rPr>
          <w:rFonts w:hint="eastAsia" w:ascii="宋体" w:hAnsi="宋体" w:eastAsia="宋体" w:cs="Times New Roman"/>
          <w:szCs w:val="21"/>
        </w:rPr>
      </w:pPr>
    </w:p>
    <w:p w14:paraId="143F86C4">
      <w:pPr>
        <w:adjustRightInd w:val="0"/>
        <w:snapToGrid w:val="0"/>
        <w:rPr>
          <w:rFonts w:hint="eastAsia" w:ascii="宋体" w:hAnsi="宋体" w:eastAsia="宋体" w:cs="Times New Roman"/>
          <w:szCs w:val="21"/>
        </w:rPr>
      </w:pPr>
    </w:p>
    <w:p w14:paraId="540EC010">
      <w:pPr>
        <w:adjustRightInd w:val="0"/>
        <w:snapToGrid w:val="0"/>
        <w:rPr>
          <w:rFonts w:hint="eastAsia" w:ascii="宋体" w:hAnsi="宋体" w:eastAsia="宋体" w:cs="Times New Roman"/>
          <w:szCs w:val="21"/>
        </w:rPr>
      </w:pPr>
    </w:p>
    <w:p w14:paraId="250E54A5">
      <w:pPr>
        <w:adjustRightInd w:val="0"/>
        <w:snapToGrid w:val="0"/>
        <w:rPr>
          <w:rFonts w:hint="eastAsia" w:ascii="宋体" w:hAnsi="宋体" w:eastAsia="宋体" w:cs="Times New Roman"/>
          <w:szCs w:val="21"/>
        </w:rPr>
      </w:pPr>
    </w:p>
    <w:p w14:paraId="150FBA15">
      <w:pPr>
        <w:adjustRightInd w:val="0"/>
        <w:snapToGrid w:val="0"/>
        <w:rPr>
          <w:rFonts w:hint="eastAsia" w:ascii="宋体" w:hAnsi="宋体" w:eastAsia="宋体" w:cs="Times New Roman"/>
          <w:szCs w:val="21"/>
        </w:rPr>
      </w:pPr>
    </w:p>
    <w:p w14:paraId="6E2064CD">
      <w:pPr>
        <w:adjustRightInd w:val="0"/>
        <w:snapToGrid w:val="0"/>
        <w:rPr>
          <w:rFonts w:hint="eastAsia" w:ascii="宋体" w:hAnsi="宋体" w:eastAsia="宋体" w:cs="Times New Roman"/>
          <w:szCs w:val="21"/>
        </w:rPr>
      </w:pPr>
    </w:p>
    <w:p w14:paraId="69468492">
      <w:pPr>
        <w:adjustRightInd w:val="0"/>
        <w:snapToGrid w:val="0"/>
        <w:rPr>
          <w:rFonts w:hint="eastAsia" w:ascii="宋体" w:hAnsi="宋体" w:eastAsia="宋体" w:cs="Times New Roman"/>
          <w:szCs w:val="21"/>
        </w:rPr>
      </w:pPr>
    </w:p>
    <w:p w14:paraId="505E2947">
      <w:pPr>
        <w:adjustRightInd w:val="0"/>
        <w:snapToGrid w:val="0"/>
        <w:rPr>
          <w:rFonts w:hint="eastAsia" w:ascii="黑体" w:hAnsi="Times New Roman" w:eastAsia="黑体" w:cs="Times New Roman"/>
          <w:sz w:val="30"/>
          <w:szCs w:val="30"/>
        </w:rPr>
      </w:pPr>
      <w:r>
        <w:rPr>
          <w:rFonts w:hint="eastAsia" w:ascii="黑体" w:hAnsi="Times New Roman" w:eastAsia="黑体" w:cs="Times New Roman"/>
          <w:sz w:val="30"/>
          <w:szCs w:val="30"/>
        </w:rPr>
        <w:br w:type="page"/>
      </w:r>
      <w:r>
        <w:rPr>
          <w:rFonts w:hint="eastAsia" w:ascii="黑体" w:hAnsi="Times New Roman" w:eastAsia="黑体" w:cs="Times New Roman"/>
          <w:sz w:val="30"/>
          <w:szCs w:val="30"/>
        </w:rPr>
        <w:t>附件7-2：</w:t>
      </w:r>
    </w:p>
    <w:p w14:paraId="7F823F3C">
      <w:pPr>
        <w:adjustRightInd w:val="0"/>
        <w:snapToGrid w:val="0"/>
        <w:spacing w:line="360" w:lineRule="auto"/>
        <w:rPr>
          <w:rFonts w:hint="eastAsia" w:ascii="宋体" w:hAnsi="宋体" w:eastAsia="宋体" w:cs="Times New Roman"/>
          <w:sz w:val="30"/>
          <w:szCs w:val="30"/>
        </w:rPr>
      </w:pPr>
    </w:p>
    <w:p w14:paraId="10BAE59D">
      <w:pPr>
        <w:spacing w:line="360" w:lineRule="atLeast"/>
        <w:jc w:val="center"/>
        <w:rPr>
          <w:rFonts w:hint="eastAsia" w:ascii="黑体" w:hAnsi="Times New Roman" w:eastAsia="黑体" w:cs="Times New Roman"/>
          <w:sz w:val="30"/>
          <w:szCs w:val="30"/>
        </w:rPr>
      </w:pPr>
      <w:r>
        <w:rPr>
          <w:rFonts w:hint="eastAsia" w:ascii="黑体" w:hAnsi="Times New Roman" w:eastAsia="黑体" w:cs="Times New Roman"/>
          <w:sz w:val="30"/>
          <w:szCs w:val="30"/>
        </w:rPr>
        <w:t>主要人员简历表</w:t>
      </w:r>
    </w:p>
    <w:p w14:paraId="371EEF69">
      <w:pPr>
        <w:spacing w:line="360" w:lineRule="atLeast"/>
        <w:jc w:val="center"/>
        <w:rPr>
          <w:rFonts w:hint="eastAsia" w:ascii="宋体" w:hAnsi="Times New Roman" w:eastAsia="宋体" w:cs="Times New Roman"/>
          <w:sz w:val="28"/>
          <w:szCs w:val="28"/>
        </w:rPr>
      </w:pPr>
    </w:p>
    <w:tbl>
      <w:tblPr>
        <w:tblStyle w:val="18"/>
        <w:tblW w:w="850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14:paraId="61761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noWrap w:val="0"/>
            <w:vAlign w:val="center"/>
          </w:tcPr>
          <w:p w14:paraId="220045D5">
            <w:pPr>
              <w:spacing w:line="360" w:lineRule="atLeast"/>
              <w:jc w:val="center"/>
              <w:rPr>
                <w:rFonts w:hint="eastAsia" w:ascii="宋体" w:hAnsi="Times New Roman" w:eastAsia="宋体" w:cs="Times New Roman"/>
              </w:rPr>
            </w:pPr>
            <w:r>
              <w:rPr>
                <w:rFonts w:hint="eastAsia" w:ascii="宋体" w:hAnsi="Times New Roman" w:eastAsia="宋体" w:cs="Times New Roman"/>
              </w:rPr>
              <w:t>姓</w:t>
            </w:r>
            <w:r>
              <w:rPr>
                <w:rFonts w:ascii="宋体" w:hAnsi="Times New Roman" w:eastAsia="宋体" w:cs="Times New Roman"/>
              </w:rPr>
              <w:t xml:space="preserve">   </w:t>
            </w:r>
            <w:r>
              <w:rPr>
                <w:rFonts w:hint="eastAsia" w:ascii="宋体" w:hAnsi="Times New Roman" w:eastAsia="宋体" w:cs="Times New Roman"/>
              </w:rPr>
              <w:t>名</w:t>
            </w:r>
          </w:p>
        </w:tc>
        <w:tc>
          <w:tcPr>
            <w:tcW w:w="2468" w:type="dxa"/>
            <w:noWrap w:val="0"/>
            <w:vAlign w:val="center"/>
          </w:tcPr>
          <w:p w14:paraId="1EED7C89">
            <w:pPr>
              <w:spacing w:line="360" w:lineRule="atLeast"/>
              <w:jc w:val="center"/>
              <w:rPr>
                <w:rFonts w:hint="eastAsia" w:ascii="宋体" w:hAnsi="Times New Roman" w:eastAsia="宋体" w:cs="Times New Roman"/>
              </w:rPr>
            </w:pPr>
          </w:p>
        </w:tc>
        <w:tc>
          <w:tcPr>
            <w:tcW w:w="2340" w:type="dxa"/>
            <w:gridSpan w:val="3"/>
            <w:noWrap w:val="0"/>
            <w:vAlign w:val="center"/>
          </w:tcPr>
          <w:p w14:paraId="3DA70525">
            <w:pPr>
              <w:spacing w:line="360" w:lineRule="atLeast"/>
              <w:jc w:val="center"/>
              <w:rPr>
                <w:rFonts w:hint="eastAsia" w:ascii="宋体" w:hAnsi="Times New Roman" w:eastAsia="宋体" w:cs="Times New Roman"/>
              </w:rPr>
            </w:pPr>
            <w:r>
              <w:rPr>
                <w:rFonts w:hint="eastAsia" w:ascii="宋体" w:hAnsi="Times New Roman" w:eastAsia="宋体" w:cs="Times New Roman"/>
              </w:rPr>
              <w:t>性</w:t>
            </w:r>
            <w:r>
              <w:rPr>
                <w:rFonts w:ascii="宋体" w:hAnsi="Times New Roman" w:eastAsia="宋体" w:cs="Times New Roman"/>
              </w:rPr>
              <w:t xml:space="preserve">  </w:t>
            </w:r>
            <w:r>
              <w:rPr>
                <w:rFonts w:hint="eastAsia" w:ascii="宋体" w:hAnsi="Times New Roman" w:eastAsia="宋体" w:cs="Times New Roman"/>
              </w:rPr>
              <w:t>别</w:t>
            </w:r>
          </w:p>
        </w:tc>
        <w:tc>
          <w:tcPr>
            <w:tcW w:w="1663" w:type="dxa"/>
            <w:noWrap w:val="0"/>
            <w:vAlign w:val="center"/>
          </w:tcPr>
          <w:p w14:paraId="64DF5414">
            <w:pPr>
              <w:spacing w:line="360" w:lineRule="atLeast"/>
              <w:jc w:val="center"/>
              <w:rPr>
                <w:rFonts w:hint="eastAsia" w:ascii="宋体" w:hAnsi="Times New Roman" w:eastAsia="宋体" w:cs="Times New Roman"/>
              </w:rPr>
            </w:pPr>
          </w:p>
        </w:tc>
      </w:tr>
      <w:tr w14:paraId="1F574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noWrap w:val="0"/>
            <w:vAlign w:val="center"/>
          </w:tcPr>
          <w:p w14:paraId="0FF4FEA6">
            <w:pPr>
              <w:spacing w:line="360" w:lineRule="atLeast"/>
              <w:jc w:val="center"/>
              <w:rPr>
                <w:rFonts w:hint="eastAsia" w:ascii="宋体" w:hAnsi="Times New Roman" w:eastAsia="宋体" w:cs="Times New Roman"/>
              </w:rPr>
            </w:pPr>
            <w:r>
              <w:rPr>
                <w:rFonts w:hint="eastAsia" w:ascii="宋体" w:hAnsi="Times New Roman" w:eastAsia="宋体" w:cs="Times New Roman"/>
              </w:rPr>
              <w:t>职</w:t>
            </w:r>
            <w:r>
              <w:rPr>
                <w:rFonts w:ascii="宋体" w:hAnsi="Times New Roman" w:eastAsia="宋体" w:cs="Times New Roman"/>
              </w:rPr>
              <w:t xml:space="preserve">   </w:t>
            </w:r>
            <w:r>
              <w:rPr>
                <w:rFonts w:hint="eastAsia" w:ascii="宋体" w:hAnsi="Times New Roman" w:eastAsia="宋体" w:cs="Times New Roman"/>
              </w:rPr>
              <w:t>务</w:t>
            </w:r>
          </w:p>
        </w:tc>
        <w:tc>
          <w:tcPr>
            <w:tcW w:w="2468" w:type="dxa"/>
            <w:noWrap w:val="0"/>
            <w:vAlign w:val="center"/>
          </w:tcPr>
          <w:p w14:paraId="7D9220A1">
            <w:pPr>
              <w:spacing w:line="360" w:lineRule="atLeast"/>
              <w:jc w:val="center"/>
              <w:rPr>
                <w:rFonts w:hint="eastAsia" w:ascii="宋体" w:hAnsi="Times New Roman" w:eastAsia="宋体" w:cs="Times New Roman"/>
              </w:rPr>
            </w:pPr>
          </w:p>
        </w:tc>
        <w:tc>
          <w:tcPr>
            <w:tcW w:w="2340" w:type="dxa"/>
            <w:gridSpan w:val="3"/>
            <w:noWrap w:val="0"/>
            <w:vAlign w:val="center"/>
          </w:tcPr>
          <w:p w14:paraId="38E5AFF5">
            <w:pPr>
              <w:spacing w:line="360" w:lineRule="atLeast"/>
              <w:jc w:val="center"/>
              <w:rPr>
                <w:rFonts w:hint="eastAsia" w:ascii="宋体" w:hAnsi="Times New Roman" w:eastAsia="宋体" w:cs="Times New Roman"/>
              </w:rPr>
            </w:pPr>
            <w:r>
              <w:rPr>
                <w:rFonts w:hint="eastAsia" w:ascii="宋体" w:hAnsi="Times New Roman" w:eastAsia="宋体" w:cs="Times New Roman"/>
              </w:rPr>
              <w:t>职</w:t>
            </w:r>
            <w:r>
              <w:rPr>
                <w:rFonts w:ascii="宋体" w:hAnsi="Times New Roman" w:eastAsia="宋体" w:cs="Times New Roman"/>
              </w:rPr>
              <w:t xml:space="preserve">  </w:t>
            </w:r>
            <w:r>
              <w:rPr>
                <w:rFonts w:hint="eastAsia" w:ascii="宋体" w:hAnsi="Times New Roman" w:eastAsia="宋体" w:cs="Times New Roman"/>
              </w:rPr>
              <w:t>称</w:t>
            </w:r>
          </w:p>
        </w:tc>
        <w:tc>
          <w:tcPr>
            <w:tcW w:w="1663" w:type="dxa"/>
            <w:noWrap w:val="0"/>
            <w:vAlign w:val="center"/>
          </w:tcPr>
          <w:p w14:paraId="00282FDC">
            <w:pPr>
              <w:spacing w:line="360" w:lineRule="atLeast"/>
              <w:jc w:val="center"/>
              <w:rPr>
                <w:rFonts w:hint="eastAsia" w:ascii="宋体" w:hAnsi="Times New Roman" w:eastAsia="宋体" w:cs="Times New Roman"/>
              </w:rPr>
            </w:pPr>
          </w:p>
        </w:tc>
      </w:tr>
      <w:tr w14:paraId="2F7725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noWrap w:val="0"/>
            <w:vAlign w:val="center"/>
          </w:tcPr>
          <w:p w14:paraId="13D90333">
            <w:pPr>
              <w:spacing w:line="360" w:lineRule="atLeast"/>
              <w:jc w:val="center"/>
              <w:rPr>
                <w:rFonts w:hint="eastAsia" w:ascii="宋体" w:hAnsi="Times New Roman" w:eastAsia="宋体" w:cs="Times New Roman"/>
              </w:rPr>
            </w:pPr>
            <w:r>
              <w:rPr>
                <w:rFonts w:hint="eastAsia" w:ascii="宋体" w:hAnsi="Times New Roman" w:eastAsia="宋体" w:cs="Times New Roman"/>
              </w:rPr>
              <w:t>毕业学校、专业</w:t>
            </w:r>
          </w:p>
        </w:tc>
        <w:tc>
          <w:tcPr>
            <w:tcW w:w="6471" w:type="dxa"/>
            <w:gridSpan w:val="5"/>
            <w:noWrap w:val="0"/>
            <w:vAlign w:val="center"/>
          </w:tcPr>
          <w:p w14:paraId="5BE8F00F">
            <w:pPr>
              <w:spacing w:line="360" w:lineRule="atLeast"/>
              <w:jc w:val="center"/>
              <w:rPr>
                <w:rFonts w:hint="eastAsia" w:ascii="宋体" w:hAnsi="Times New Roman" w:eastAsia="宋体" w:cs="Times New Roman"/>
              </w:rPr>
            </w:pPr>
          </w:p>
        </w:tc>
      </w:tr>
      <w:tr w14:paraId="587055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0"/>
            <w:vAlign w:val="center"/>
          </w:tcPr>
          <w:p w14:paraId="3EA66435">
            <w:pPr>
              <w:spacing w:line="360" w:lineRule="atLeast"/>
              <w:jc w:val="center"/>
              <w:rPr>
                <w:rFonts w:hint="eastAsia" w:ascii="宋体" w:hAnsi="Times New Roman" w:eastAsia="宋体" w:cs="Times New Roman"/>
              </w:rPr>
            </w:pPr>
            <w:r>
              <w:rPr>
                <w:rFonts w:hint="eastAsia" w:ascii="宋体" w:hAnsi="Times New Roman" w:eastAsia="宋体" w:cs="Times New Roman"/>
              </w:rPr>
              <w:t>身份证号</w:t>
            </w:r>
          </w:p>
        </w:tc>
        <w:tc>
          <w:tcPr>
            <w:tcW w:w="2468" w:type="dxa"/>
            <w:noWrap w:val="0"/>
            <w:vAlign w:val="center"/>
          </w:tcPr>
          <w:p w14:paraId="42C521B9">
            <w:pPr>
              <w:spacing w:line="360" w:lineRule="atLeast"/>
              <w:jc w:val="center"/>
              <w:rPr>
                <w:rFonts w:hint="eastAsia" w:ascii="宋体" w:hAnsi="Times New Roman" w:eastAsia="宋体" w:cs="Times New Roman"/>
              </w:rPr>
            </w:pPr>
          </w:p>
        </w:tc>
        <w:tc>
          <w:tcPr>
            <w:tcW w:w="2340" w:type="dxa"/>
            <w:gridSpan w:val="3"/>
            <w:noWrap w:val="0"/>
            <w:vAlign w:val="center"/>
          </w:tcPr>
          <w:p w14:paraId="267C8AC1">
            <w:pPr>
              <w:spacing w:line="360" w:lineRule="atLeast"/>
              <w:jc w:val="center"/>
              <w:rPr>
                <w:rFonts w:hint="eastAsia" w:ascii="宋体" w:hAnsi="Times New Roman" w:eastAsia="宋体" w:cs="Times New Roman"/>
              </w:rPr>
            </w:pPr>
            <w:r>
              <w:rPr>
                <w:rFonts w:hint="eastAsia" w:ascii="宋体" w:hAnsi="Times New Roman" w:eastAsia="宋体" w:cs="Times New Roman"/>
              </w:rPr>
              <w:t>拟在本合同任职</w:t>
            </w:r>
          </w:p>
        </w:tc>
        <w:tc>
          <w:tcPr>
            <w:tcW w:w="1663" w:type="dxa"/>
            <w:noWrap w:val="0"/>
            <w:vAlign w:val="center"/>
          </w:tcPr>
          <w:p w14:paraId="52E0E449">
            <w:pPr>
              <w:spacing w:line="360" w:lineRule="atLeast"/>
              <w:ind w:right="-105" w:rightChars="-50"/>
              <w:jc w:val="center"/>
              <w:rPr>
                <w:rFonts w:hint="eastAsia" w:ascii="宋体" w:hAnsi="Times New Roman" w:eastAsia="宋体" w:cs="Times New Roman"/>
              </w:rPr>
            </w:pPr>
          </w:p>
        </w:tc>
      </w:tr>
      <w:tr w14:paraId="7C369A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0"/>
            <w:vAlign w:val="center"/>
          </w:tcPr>
          <w:p w14:paraId="7190D727">
            <w:pPr>
              <w:spacing w:line="360" w:lineRule="atLeast"/>
              <w:jc w:val="center"/>
              <w:rPr>
                <w:rFonts w:hint="eastAsia" w:ascii="宋体" w:hAnsi="Times New Roman" w:eastAsia="宋体" w:cs="Times New Roman"/>
              </w:rPr>
            </w:pPr>
            <w:r>
              <w:rPr>
                <w:rFonts w:hint="eastAsia" w:ascii="宋体" w:hAnsi="Times New Roman" w:eastAsia="宋体" w:cs="Times New Roman"/>
              </w:rPr>
              <w:t>执业资格证</w:t>
            </w:r>
          </w:p>
        </w:tc>
        <w:tc>
          <w:tcPr>
            <w:tcW w:w="2468" w:type="dxa"/>
            <w:noWrap w:val="0"/>
            <w:vAlign w:val="center"/>
          </w:tcPr>
          <w:p w14:paraId="4F8EB008">
            <w:pPr>
              <w:spacing w:line="360" w:lineRule="atLeast"/>
              <w:jc w:val="center"/>
              <w:rPr>
                <w:rFonts w:hint="eastAsia" w:ascii="宋体" w:hAnsi="Times New Roman" w:eastAsia="宋体" w:cs="Times New Roman"/>
              </w:rPr>
            </w:pPr>
          </w:p>
        </w:tc>
        <w:tc>
          <w:tcPr>
            <w:tcW w:w="2340" w:type="dxa"/>
            <w:gridSpan w:val="3"/>
            <w:noWrap w:val="0"/>
            <w:vAlign w:val="center"/>
          </w:tcPr>
          <w:p w14:paraId="08891D24">
            <w:pPr>
              <w:spacing w:line="360" w:lineRule="atLeast"/>
              <w:jc w:val="center"/>
              <w:rPr>
                <w:rFonts w:hint="eastAsia" w:ascii="宋体" w:hAnsi="Times New Roman" w:eastAsia="宋体" w:cs="Times New Roman"/>
              </w:rPr>
            </w:pPr>
            <w:r>
              <w:rPr>
                <w:rFonts w:hint="eastAsia" w:ascii="宋体" w:hAnsi="Times New Roman" w:eastAsia="宋体" w:cs="Times New Roman"/>
              </w:rPr>
              <w:t>执业资格证书号</w:t>
            </w:r>
          </w:p>
        </w:tc>
        <w:tc>
          <w:tcPr>
            <w:tcW w:w="1663" w:type="dxa"/>
            <w:noWrap w:val="0"/>
            <w:vAlign w:val="center"/>
          </w:tcPr>
          <w:p w14:paraId="25723359">
            <w:pPr>
              <w:spacing w:line="360" w:lineRule="atLeast"/>
              <w:ind w:right="-105" w:rightChars="-50"/>
              <w:jc w:val="center"/>
              <w:rPr>
                <w:rFonts w:hint="eastAsia" w:ascii="宋体" w:hAnsi="Times New Roman" w:eastAsia="宋体" w:cs="Times New Roman"/>
              </w:rPr>
            </w:pPr>
          </w:p>
        </w:tc>
      </w:tr>
      <w:tr w14:paraId="418775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noWrap w:val="0"/>
            <w:vAlign w:val="center"/>
          </w:tcPr>
          <w:p w14:paraId="316D2178">
            <w:pPr>
              <w:spacing w:line="360" w:lineRule="atLeast"/>
              <w:rPr>
                <w:rFonts w:hint="eastAsia" w:ascii="宋体" w:hAnsi="Times New Roman" w:eastAsia="宋体" w:cs="Times New Roman"/>
              </w:rPr>
            </w:pPr>
            <w:r>
              <w:rPr>
                <w:rFonts w:hint="eastAsia" w:ascii="宋体" w:hAnsi="Times New Roman" w:eastAsia="宋体" w:cs="Times New Roman"/>
              </w:rPr>
              <w:t>近三年承担项目情况</w:t>
            </w:r>
          </w:p>
        </w:tc>
      </w:tr>
      <w:tr w14:paraId="1D69AF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371AFF79">
            <w:pPr>
              <w:spacing w:line="360" w:lineRule="atLeast"/>
              <w:jc w:val="center"/>
              <w:rPr>
                <w:rFonts w:hint="eastAsia" w:ascii="宋体" w:hAnsi="Times New Roman" w:eastAsia="宋体" w:cs="Times New Roman"/>
              </w:rPr>
            </w:pPr>
            <w:r>
              <w:rPr>
                <w:rFonts w:hint="eastAsia" w:ascii="宋体" w:hAnsi="Times New Roman" w:eastAsia="宋体" w:cs="Times New Roman"/>
              </w:rPr>
              <w:t>时间</w:t>
            </w:r>
          </w:p>
        </w:tc>
        <w:tc>
          <w:tcPr>
            <w:tcW w:w="3636" w:type="dxa"/>
            <w:gridSpan w:val="3"/>
            <w:noWrap w:val="0"/>
            <w:vAlign w:val="center"/>
          </w:tcPr>
          <w:p w14:paraId="30BBF52A">
            <w:pPr>
              <w:spacing w:line="360" w:lineRule="atLeast"/>
              <w:jc w:val="center"/>
              <w:rPr>
                <w:rFonts w:hint="eastAsia" w:ascii="宋体" w:hAnsi="Times New Roman" w:eastAsia="宋体" w:cs="Times New Roman"/>
              </w:rPr>
            </w:pPr>
            <w:r>
              <w:rPr>
                <w:rFonts w:hint="eastAsia" w:ascii="宋体" w:hAnsi="Times New Roman" w:eastAsia="宋体" w:cs="Times New Roman"/>
              </w:rPr>
              <w:t>类似项目名称</w:t>
            </w:r>
          </w:p>
        </w:tc>
        <w:tc>
          <w:tcPr>
            <w:tcW w:w="1404" w:type="dxa"/>
            <w:noWrap w:val="0"/>
            <w:vAlign w:val="center"/>
          </w:tcPr>
          <w:p w14:paraId="46295875">
            <w:pPr>
              <w:spacing w:line="360" w:lineRule="atLeast"/>
              <w:jc w:val="center"/>
              <w:rPr>
                <w:rFonts w:hint="eastAsia" w:ascii="宋体" w:hAnsi="Times New Roman" w:eastAsia="宋体" w:cs="Times New Roman"/>
              </w:rPr>
            </w:pPr>
            <w:r>
              <w:rPr>
                <w:rFonts w:hint="eastAsia" w:ascii="宋体" w:hAnsi="Times New Roman" w:eastAsia="宋体" w:cs="Times New Roman"/>
              </w:rPr>
              <w:t>担任职务</w:t>
            </w:r>
          </w:p>
        </w:tc>
        <w:tc>
          <w:tcPr>
            <w:tcW w:w="2203" w:type="dxa"/>
            <w:gridSpan w:val="2"/>
            <w:noWrap w:val="0"/>
            <w:vAlign w:val="center"/>
          </w:tcPr>
          <w:p w14:paraId="1933B037">
            <w:pPr>
              <w:spacing w:line="360" w:lineRule="atLeast"/>
              <w:jc w:val="center"/>
              <w:rPr>
                <w:rFonts w:hint="eastAsia" w:ascii="宋体" w:hAnsi="Times New Roman" w:eastAsia="宋体" w:cs="Times New Roman"/>
              </w:rPr>
            </w:pPr>
            <w:r>
              <w:rPr>
                <w:rFonts w:hint="eastAsia" w:ascii="宋体" w:hAnsi="Times New Roman" w:eastAsia="宋体" w:cs="Times New Roman"/>
              </w:rPr>
              <w:t>项目单位名称及电话</w:t>
            </w:r>
          </w:p>
        </w:tc>
      </w:tr>
      <w:tr w14:paraId="200FE7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0601C7C9">
            <w:pPr>
              <w:spacing w:line="360" w:lineRule="atLeast"/>
              <w:jc w:val="center"/>
              <w:rPr>
                <w:rFonts w:hint="eastAsia" w:ascii="宋体" w:hAnsi="Times New Roman" w:eastAsia="宋体" w:cs="Times New Roman"/>
              </w:rPr>
            </w:pPr>
          </w:p>
        </w:tc>
        <w:tc>
          <w:tcPr>
            <w:tcW w:w="3636" w:type="dxa"/>
            <w:gridSpan w:val="3"/>
            <w:noWrap w:val="0"/>
            <w:vAlign w:val="center"/>
          </w:tcPr>
          <w:p w14:paraId="0D6FEEDB">
            <w:pPr>
              <w:spacing w:line="360" w:lineRule="atLeast"/>
              <w:jc w:val="center"/>
              <w:rPr>
                <w:rFonts w:hint="eastAsia" w:ascii="宋体" w:hAnsi="Times New Roman" w:eastAsia="宋体" w:cs="Times New Roman"/>
              </w:rPr>
            </w:pPr>
          </w:p>
        </w:tc>
        <w:tc>
          <w:tcPr>
            <w:tcW w:w="1404" w:type="dxa"/>
            <w:noWrap w:val="0"/>
            <w:vAlign w:val="center"/>
          </w:tcPr>
          <w:p w14:paraId="02AA4817">
            <w:pPr>
              <w:spacing w:line="360" w:lineRule="atLeast"/>
              <w:jc w:val="center"/>
              <w:rPr>
                <w:rFonts w:hint="eastAsia" w:ascii="宋体" w:hAnsi="Times New Roman" w:eastAsia="宋体" w:cs="Times New Roman"/>
              </w:rPr>
            </w:pPr>
          </w:p>
        </w:tc>
        <w:tc>
          <w:tcPr>
            <w:tcW w:w="2203" w:type="dxa"/>
            <w:gridSpan w:val="2"/>
            <w:noWrap w:val="0"/>
            <w:vAlign w:val="center"/>
          </w:tcPr>
          <w:p w14:paraId="16B546F8">
            <w:pPr>
              <w:spacing w:line="360" w:lineRule="atLeast"/>
              <w:jc w:val="center"/>
              <w:rPr>
                <w:rFonts w:hint="eastAsia" w:ascii="宋体" w:hAnsi="Times New Roman" w:eastAsia="宋体" w:cs="Times New Roman"/>
              </w:rPr>
            </w:pPr>
          </w:p>
        </w:tc>
      </w:tr>
      <w:tr w14:paraId="7BEF9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16508CDA">
            <w:pPr>
              <w:spacing w:line="360" w:lineRule="atLeast"/>
              <w:jc w:val="center"/>
              <w:rPr>
                <w:rFonts w:hint="eastAsia" w:ascii="宋体" w:hAnsi="Times New Roman" w:eastAsia="宋体" w:cs="Times New Roman"/>
              </w:rPr>
            </w:pPr>
          </w:p>
        </w:tc>
        <w:tc>
          <w:tcPr>
            <w:tcW w:w="3636" w:type="dxa"/>
            <w:gridSpan w:val="3"/>
            <w:noWrap w:val="0"/>
            <w:vAlign w:val="center"/>
          </w:tcPr>
          <w:p w14:paraId="7A94C83E">
            <w:pPr>
              <w:spacing w:line="360" w:lineRule="atLeast"/>
              <w:jc w:val="center"/>
              <w:rPr>
                <w:rFonts w:hint="eastAsia" w:ascii="宋体" w:hAnsi="Times New Roman" w:eastAsia="宋体" w:cs="Times New Roman"/>
              </w:rPr>
            </w:pPr>
          </w:p>
        </w:tc>
        <w:tc>
          <w:tcPr>
            <w:tcW w:w="1404" w:type="dxa"/>
            <w:noWrap w:val="0"/>
            <w:vAlign w:val="center"/>
          </w:tcPr>
          <w:p w14:paraId="1B85E399">
            <w:pPr>
              <w:spacing w:line="360" w:lineRule="atLeast"/>
              <w:jc w:val="center"/>
              <w:rPr>
                <w:rFonts w:hint="eastAsia" w:ascii="宋体" w:hAnsi="Times New Roman" w:eastAsia="宋体" w:cs="Times New Roman"/>
              </w:rPr>
            </w:pPr>
          </w:p>
        </w:tc>
        <w:tc>
          <w:tcPr>
            <w:tcW w:w="2203" w:type="dxa"/>
            <w:gridSpan w:val="2"/>
            <w:noWrap w:val="0"/>
            <w:vAlign w:val="center"/>
          </w:tcPr>
          <w:p w14:paraId="308BFF64">
            <w:pPr>
              <w:spacing w:line="360" w:lineRule="atLeast"/>
              <w:jc w:val="center"/>
              <w:rPr>
                <w:rFonts w:hint="eastAsia" w:ascii="宋体" w:hAnsi="Times New Roman" w:eastAsia="宋体" w:cs="Times New Roman"/>
              </w:rPr>
            </w:pPr>
          </w:p>
        </w:tc>
      </w:tr>
      <w:tr w14:paraId="0FDF3F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766ED3E2">
            <w:pPr>
              <w:spacing w:line="360" w:lineRule="atLeast"/>
              <w:jc w:val="center"/>
              <w:rPr>
                <w:rFonts w:hint="eastAsia" w:ascii="宋体" w:hAnsi="Times New Roman" w:eastAsia="宋体" w:cs="Times New Roman"/>
              </w:rPr>
            </w:pPr>
          </w:p>
        </w:tc>
        <w:tc>
          <w:tcPr>
            <w:tcW w:w="3636" w:type="dxa"/>
            <w:gridSpan w:val="3"/>
            <w:noWrap w:val="0"/>
            <w:vAlign w:val="center"/>
          </w:tcPr>
          <w:p w14:paraId="62F9FE66">
            <w:pPr>
              <w:spacing w:line="360" w:lineRule="atLeast"/>
              <w:jc w:val="center"/>
              <w:rPr>
                <w:rFonts w:hint="eastAsia" w:ascii="宋体" w:hAnsi="Times New Roman" w:eastAsia="宋体" w:cs="Times New Roman"/>
              </w:rPr>
            </w:pPr>
          </w:p>
        </w:tc>
        <w:tc>
          <w:tcPr>
            <w:tcW w:w="1404" w:type="dxa"/>
            <w:noWrap w:val="0"/>
            <w:vAlign w:val="center"/>
          </w:tcPr>
          <w:p w14:paraId="2D536DFF">
            <w:pPr>
              <w:spacing w:line="360" w:lineRule="atLeast"/>
              <w:jc w:val="center"/>
              <w:rPr>
                <w:rFonts w:hint="eastAsia" w:ascii="宋体" w:hAnsi="Times New Roman" w:eastAsia="宋体" w:cs="Times New Roman"/>
              </w:rPr>
            </w:pPr>
          </w:p>
        </w:tc>
        <w:tc>
          <w:tcPr>
            <w:tcW w:w="2203" w:type="dxa"/>
            <w:gridSpan w:val="2"/>
            <w:noWrap w:val="0"/>
            <w:vAlign w:val="center"/>
          </w:tcPr>
          <w:p w14:paraId="44D7F4A2">
            <w:pPr>
              <w:spacing w:line="360" w:lineRule="atLeast"/>
              <w:jc w:val="center"/>
              <w:rPr>
                <w:rFonts w:hint="eastAsia" w:ascii="宋体" w:hAnsi="Times New Roman" w:eastAsia="宋体" w:cs="Times New Roman"/>
              </w:rPr>
            </w:pPr>
          </w:p>
        </w:tc>
      </w:tr>
      <w:tr w14:paraId="5E566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74E6522B">
            <w:pPr>
              <w:spacing w:line="360" w:lineRule="atLeast"/>
              <w:jc w:val="center"/>
              <w:rPr>
                <w:rFonts w:hint="eastAsia" w:ascii="宋体" w:hAnsi="Times New Roman" w:eastAsia="宋体" w:cs="Times New Roman"/>
              </w:rPr>
            </w:pPr>
          </w:p>
        </w:tc>
        <w:tc>
          <w:tcPr>
            <w:tcW w:w="3636" w:type="dxa"/>
            <w:gridSpan w:val="3"/>
            <w:noWrap w:val="0"/>
            <w:vAlign w:val="center"/>
          </w:tcPr>
          <w:p w14:paraId="26AB0934">
            <w:pPr>
              <w:spacing w:line="360" w:lineRule="atLeast"/>
              <w:jc w:val="center"/>
              <w:rPr>
                <w:rFonts w:hint="eastAsia" w:ascii="宋体" w:hAnsi="Times New Roman" w:eastAsia="宋体" w:cs="Times New Roman"/>
              </w:rPr>
            </w:pPr>
          </w:p>
        </w:tc>
        <w:tc>
          <w:tcPr>
            <w:tcW w:w="1404" w:type="dxa"/>
            <w:noWrap w:val="0"/>
            <w:vAlign w:val="center"/>
          </w:tcPr>
          <w:p w14:paraId="6B6ED94F">
            <w:pPr>
              <w:spacing w:line="360" w:lineRule="atLeast"/>
              <w:jc w:val="center"/>
              <w:rPr>
                <w:rFonts w:hint="eastAsia" w:ascii="宋体" w:hAnsi="Times New Roman" w:eastAsia="宋体" w:cs="Times New Roman"/>
              </w:rPr>
            </w:pPr>
          </w:p>
        </w:tc>
        <w:tc>
          <w:tcPr>
            <w:tcW w:w="2203" w:type="dxa"/>
            <w:gridSpan w:val="2"/>
            <w:noWrap w:val="0"/>
            <w:vAlign w:val="center"/>
          </w:tcPr>
          <w:p w14:paraId="0F8A1837">
            <w:pPr>
              <w:spacing w:line="360" w:lineRule="atLeast"/>
              <w:jc w:val="center"/>
              <w:rPr>
                <w:rFonts w:hint="eastAsia" w:ascii="宋体" w:hAnsi="Times New Roman" w:eastAsia="宋体" w:cs="Times New Roman"/>
              </w:rPr>
            </w:pPr>
          </w:p>
        </w:tc>
      </w:tr>
      <w:tr w14:paraId="22A80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0F2DDBF3">
            <w:pPr>
              <w:spacing w:line="360" w:lineRule="atLeast"/>
              <w:jc w:val="center"/>
              <w:rPr>
                <w:rFonts w:hint="eastAsia" w:ascii="宋体" w:hAnsi="Times New Roman" w:eastAsia="宋体" w:cs="Times New Roman"/>
              </w:rPr>
            </w:pPr>
          </w:p>
        </w:tc>
        <w:tc>
          <w:tcPr>
            <w:tcW w:w="3636" w:type="dxa"/>
            <w:gridSpan w:val="3"/>
            <w:noWrap w:val="0"/>
            <w:vAlign w:val="center"/>
          </w:tcPr>
          <w:p w14:paraId="55D25FE2">
            <w:pPr>
              <w:spacing w:line="360" w:lineRule="atLeast"/>
              <w:jc w:val="center"/>
              <w:rPr>
                <w:rFonts w:hint="eastAsia" w:ascii="宋体" w:hAnsi="Times New Roman" w:eastAsia="宋体" w:cs="Times New Roman"/>
              </w:rPr>
            </w:pPr>
          </w:p>
        </w:tc>
        <w:tc>
          <w:tcPr>
            <w:tcW w:w="1404" w:type="dxa"/>
            <w:noWrap w:val="0"/>
            <w:vAlign w:val="center"/>
          </w:tcPr>
          <w:p w14:paraId="1120A93D">
            <w:pPr>
              <w:spacing w:line="360" w:lineRule="atLeast"/>
              <w:jc w:val="center"/>
              <w:rPr>
                <w:rFonts w:hint="eastAsia" w:ascii="宋体" w:hAnsi="Times New Roman" w:eastAsia="宋体" w:cs="Times New Roman"/>
              </w:rPr>
            </w:pPr>
          </w:p>
        </w:tc>
        <w:tc>
          <w:tcPr>
            <w:tcW w:w="2203" w:type="dxa"/>
            <w:gridSpan w:val="2"/>
            <w:noWrap w:val="0"/>
            <w:vAlign w:val="center"/>
          </w:tcPr>
          <w:p w14:paraId="0AF199DB">
            <w:pPr>
              <w:spacing w:line="360" w:lineRule="atLeast"/>
              <w:jc w:val="center"/>
              <w:rPr>
                <w:rFonts w:hint="eastAsia" w:ascii="宋体" w:hAnsi="Times New Roman" w:eastAsia="宋体" w:cs="Times New Roman"/>
              </w:rPr>
            </w:pPr>
          </w:p>
        </w:tc>
      </w:tr>
      <w:tr w14:paraId="26862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7D509D9A">
            <w:pPr>
              <w:spacing w:line="360" w:lineRule="atLeast"/>
              <w:jc w:val="center"/>
              <w:rPr>
                <w:rFonts w:hint="eastAsia" w:ascii="宋体" w:hAnsi="Times New Roman" w:eastAsia="宋体" w:cs="Times New Roman"/>
              </w:rPr>
            </w:pPr>
          </w:p>
        </w:tc>
        <w:tc>
          <w:tcPr>
            <w:tcW w:w="3636" w:type="dxa"/>
            <w:gridSpan w:val="3"/>
            <w:noWrap w:val="0"/>
            <w:vAlign w:val="center"/>
          </w:tcPr>
          <w:p w14:paraId="58B49477">
            <w:pPr>
              <w:spacing w:line="360" w:lineRule="atLeast"/>
              <w:jc w:val="center"/>
              <w:rPr>
                <w:rFonts w:hint="eastAsia" w:ascii="宋体" w:hAnsi="Times New Roman" w:eastAsia="宋体" w:cs="Times New Roman"/>
              </w:rPr>
            </w:pPr>
          </w:p>
        </w:tc>
        <w:tc>
          <w:tcPr>
            <w:tcW w:w="1404" w:type="dxa"/>
            <w:noWrap w:val="0"/>
            <w:vAlign w:val="center"/>
          </w:tcPr>
          <w:p w14:paraId="1E9C67B6">
            <w:pPr>
              <w:spacing w:line="360" w:lineRule="atLeast"/>
              <w:jc w:val="center"/>
              <w:rPr>
                <w:rFonts w:hint="eastAsia" w:ascii="宋体" w:hAnsi="Times New Roman" w:eastAsia="宋体" w:cs="Times New Roman"/>
              </w:rPr>
            </w:pPr>
          </w:p>
        </w:tc>
        <w:tc>
          <w:tcPr>
            <w:tcW w:w="2203" w:type="dxa"/>
            <w:gridSpan w:val="2"/>
            <w:noWrap w:val="0"/>
            <w:vAlign w:val="center"/>
          </w:tcPr>
          <w:p w14:paraId="2B89441D">
            <w:pPr>
              <w:spacing w:line="360" w:lineRule="atLeast"/>
              <w:jc w:val="center"/>
              <w:rPr>
                <w:rFonts w:hint="eastAsia" w:ascii="宋体" w:hAnsi="Times New Roman" w:eastAsia="宋体" w:cs="Times New Roman"/>
              </w:rPr>
            </w:pPr>
          </w:p>
        </w:tc>
      </w:tr>
      <w:tr w14:paraId="431AF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574CFA53">
            <w:pPr>
              <w:spacing w:line="360" w:lineRule="atLeast"/>
              <w:jc w:val="center"/>
              <w:rPr>
                <w:rFonts w:hint="eastAsia" w:ascii="宋体" w:hAnsi="Times New Roman" w:eastAsia="宋体" w:cs="Times New Roman"/>
              </w:rPr>
            </w:pPr>
          </w:p>
        </w:tc>
        <w:tc>
          <w:tcPr>
            <w:tcW w:w="3636" w:type="dxa"/>
            <w:gridSpan w:val="3"/>
            <w:noWrap w:val="0"/>
            <w:vAlign w:val="center"/>
          </w:tcPr>
          <w:p w14:paraId="2BD9F353">
            <w:pPr>
              <w:spacing w:line="360" w:lineRule="atLeast"/>
              <w:jc w:val="center"/>
              <w:rPr>
                <w:rFonts w:hint="eastAsia" w:ascii="宋体" w:hAnsi="Times New Roman" w:eastAsia="宋体" w:cs="Times New Roman"/>
              </w:rPr>
            </w:pPr>
          </w:p>
        </w:tc>
        <w:tc>
          <w:tcPr>
            <w:tcW w:w="1404" w:type="dxa"/>
            <w:noWrap w:val="0"/>
            <w:vAlign w:val="center"/>
          </w:tcPr>
          <w:p w14:paraId="79391D5D">
            <w:pPr>
              <w:spacing w:line="360" w:lineRule="atLeast"/>
              <w:jc w:val="center"/>
              <w:rPr>
                <w:rFonts w:hint="eastAsia" w:ascii="宋体" w:hAnsi="Times New Roman" w:eastAsia="宋体" w:cs="Times New Roman"/>
              </w:rPr>
            </w:pPr>
          </w:p>
        </w:tc>
        <w:tc>
          <w:tcPr>
            <w:tcW w:w="2203" w:type="dxa"/>
            <w:gridSpan w:val="2"/>
            <w:noWrap w:val="0"/>
            <w:vAlign w:val="center"/>
          </w:tcPr>
          <w:p w14:paraId="422B7B3E">
            <w:pPr>
              <w:spacing w:line="360" w:lineRule="atLeast"/>
              <w:jc w:val="center"/>
              <w:rPr>
                <w:rFonts w:hint="eastAsia" w:ascii="宋体" w:hAnsi="Times New Roman" w:eastAsia="宋体" w:cs="Times New Roman"/>
              </w:rPr>
            </w:pPr>
          </w:p>
        </w:tc>
      </w:tr>
      <w:tr w14:paraId="766FE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186D0123">
            <w:pPr>
              <w:spacing w:line="360" w:lineRule="atLeast"/>
              <w:jc w:val="center"/>
              <w:rPr>
                <w:rFonts w:hint="eastAsia" w:ascii="宋体" w:hAnsi="Times New Roman" w:eastAsia="宋体" w:cs="Times New Roman"/>
              </w:rPr>
            </w:pPr>
          </w:p>
        </w:tc>
        <w:tc>
          <w:tcPr>
            <w:tcW w:w="3636" w:type="dxa"/>
            <w:gridSpan w:val="3"/>
            <w:noWrap w:val="0"/>
            <w:vAlign w:val="center"/>
          </w:tcPr>
          <w:p w14:paraId="6219AC52">
            <w:pPr>
              <w:spacing w:line="360" w:lineRule="atLeast"/>
              <w:jc w:val="center"/>
              <w:rPr>
                <w:rFonts w:hint="eastAsia" w:ascii="宋体" w:hAnsi="Times New Roman" w:eastAsia="宋体" w:cs="Times New Roman"/>
              </w:rPr>
            </w:pPr>
          </w:p>
        </w:tc>
        <w:tc>
          <w:tcPr>
            <w:tcW w:w="1404" w:type="dxa"/>
            <w:noWrap w:val="0"/>
            <w:vAlign w:val="center"/>
          </w:tcPr>
          <w:p w14:paraId="6990A017">
            <w:pPr>
              <w:spacing w:line="360" w:lineRule="atLeast"/>
              <w:jc w:val="center"/>
              <w:rPr>
                <w:rFonts w:hint="eastAsia" w:ascii="宋体" w:hAnsi="Times New Roman" w:eastAsia="宋体" w:cs="Times New Roman"/>
              </w:rPr>
            </w:pPr>
          </w:p>
        </w:tc>
        <w:tc>
          <w:tcPr>
            <w:tcW w:w="2203" w:type="dxa"/>
            <w:gridSpan w:val="2"/>
            <w:noWrap w:val="0"/>
            <w:vAlign w:val="center"/>
          </w:tcPr>
          <w:p w14:paraId="4B1645F0">
            <w:pPr>
              <w:spacing w:line="360" w:lineRule="atLeast"/>
              <w:jc w:val="center"/>
              <w:rPr>
                <w:rFonts w:hint="eastAsia" w:ascii="宋体" w:hAnsi="Times New Roman" w:eastAsia="宋体" w:cs="Times New Roman"/>
              </w:rPr>
            </w:pPr>
          </w:p>
        </w:tc>
      </w:tr>
      <w:tr w14:paraId="16C627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14:paraId="07785268">
            <w:pPr>
              <w:spacing w:line="360" w:lineRule="atLeast"/>
              <w:jc w:val="center"/>
              <w:rPr>
                <w:rFonts w:hint="eastAsia" w:ascii="宋体" w:hAnsi="Times New Roman" w:eastAsia="宋体" w:cs="Times New Roman"/>
              </w:rPr>
            </w:pPr>
          </w:p>
        </w:tc>
        <w:tc>
          <w:tcPr>
            <w:tcW w:w="3636" w:type="dxa"/>
            <w:gridSpan w:val="3"/>
            <w:noWrap w:val="0"/>
            <w:vAlign w:val="center"/>
          </w:tcPr>
          <w:p w14:paraId="14BBC818">
            <w:pPr>
              <w:spacing w:line="360" w:lineRule="atLeast"/>
              <w:jc w:val="center"/>
              <w:rPr>
                <w:rFonts w:hint="eastAsia" w:ascii="宋体" w:hAnsi="Times New Roman" w:eastAsia="宋体" w:cs="Times New Roman"/>
              </w:rPr>
            </w:pPr>
          </w:p>
        </w:tc>
        <w:tc>
          <w:tcPr>
            <w:tcW w:w="1404" w:type="dxa"/>
            <w:noWrap w:val="0"/>
            <w:vAlign w:val="center"/>
          </w:tcPr>
          <w:p w14:paraId="24C5AAA6">
            <w:pPr>
              <w:spacing w:line="360" w:lineRule="atLeast"/>
              <w:jc w:val="center"/>
              <w:rPr>
                <w:rFonts w:hint="eastAsia" w:ascii="宋体" w:hAnsi="Times New Roman" w:eastAsia="宋体" w:cs="Times New Roman"/>
              </w:rPr>
            </w:pPr>
          </w:p>
        </w:tc>
        <w:tc>
          <w:tcPr>
            <w:tcW w:w="2203" w:type="dxa"/>
            <w:gridSpan w:val="2"/>
            <w:noWrap w:val="0"/>
            <w:vAlign w:val="center"/>
          </w:tcPr>
          <w:p w14:paraId="6B968077">
            <w:pPr>
              <w:spacing w:line="360" w:lineRule="atLeast"/>
              <w:jc w:val="center"/>
              <w:rPr>
                <w:rFonts w:hint="eastAsia" w:ascii="宋体" w:hAnsi="Times New Roman" w:eastAsia="宋体" w:cs="Times New Roman"/>
              </w:rPr>
            </w:pPr>
          </w:p>
        </w:tc>
      </w:tr>
    </w:tbl>
    <w:p w14:paraId="1B6E1F22">
      <w:pPr>
        <w:spacing w:line="360" w:lineRule="atLeast"/>
        <w:rPr>
          <w:rFonts w:hint="eastAsia" w:ascii="仿宋_GB2312" w:hAnsi="Times New Roman" w:eastAsia="仿宋_GB2312" w:cs="Times New Roman"/>
        </w:rPr>
      </w:pPr>
      <w:r>
        <w:rPr>
          <w:rFonts w:hint="eastAsia" w:ascii="仿宋_GB2312" w:hAnsi="宋体" w:eastAsia="仿宋_GB2312" w:cs="Times New Roman"/>
          <w:szCs w:val="21"/>
        </w:rPr>
        <w:t>说明</w:t>
      </w:r>
      <w:r>
        <w:rPr>
          <w:rFonts w:hint="eastAsia" w:ascii="仿宋_GB2312" w:hAnsi="Times New Roman" w:eastAsia="仿宋_GB2312" w:cs="Times New Roman"/>
        </w:rPr>
        <w:t>：</w:t>
      </w:r>
      <w:r>
        <w:rPr>
          <w:rFonts w:hint="eastAsia" w:ascii="仿宋_GB2312" w:hAnsi="宋体" w:eastAsia="仿宋_GB2312" w:cs="Times New Roman"/>
          <w:szCs w:val="21"/>
        </w:rPr>
        <w:t>主要人员证书、</w:t>
      </w:r>
      <w:r>
        <w:rPr>
          <w:rFonts w:hint="eastAsia" w:ascii="仿宋_GB2312" w:hAnsi="Times New Roman" w:eastAsia="仿宋_GB2312" w:cs="Times New Roman"/>
        </w:rPr>
        <w:t>类似项目证明资料等按第二章第</w:t>
      </w:r>
      <w:r>
        <w:rPr>
          <w:rFonts w:hint="eastAsia" w:ascii="仿宋_GB2312" w:hAnsi="宋体" w:eastAsia="仿宋_GB2312" w:cs="Times New Roman"/>
        </w:rPr>
        <w:t>42.1款</w:t>
      </w:r>
      <w:r>
        <w:rPr>
          <w:rFonts w:hint="eastAsia" w:ascii="仿宋_GB2312" w:hAnsi="Times New Roman" w:eastAsia="仿宋_GB2312" w:cs="Times New Roman"/>
        </w:rPr>
        <w:t>或第四章要求提供。</w:t>
      </w:r>
    </w:p>
    <w:p w14:paraId="51739F7A">
      <w:pPr>
        <w:adjustRightInd w:val="0"/>
        <w:snapToGrid w:val="0"/>
        <w:spacing w:line="360" w:lineRule="auto"/>
        <w:rPr>
          <w:rFonts w:hint="eastAsia" w:ascii="宋体" w:hAnsi="宋体" w:eastAsia="宋体" w:cs="Times New Roman"/>
          <w:szCs w:val="21"/>
        </w:rPr>
      </w:pPr>
    </w:p>
    <w:p w14:paraId="7B4B9ABB">
      <w:pPr>
        <w:rPr>
          <w:rFonts w:hint="eastAsia" w:ascii="宋体" w:hAnsi="宋体" w:eastAsia="宋体" w:cs="Times New Roman"/>
          <w:szCs w:val="21"/>
        </w:rPr>
      </w:pPr>
    </w:p>
    <w:p w14:paraId="4FD8085E">
      <w:pPr>
        <w:widowControl w:val="0"/>
        <w:adjustRightInd w:val="0"/>
        <w:snapToGrid w:val="0"/>
        <w:spacing w:line="360" w:lineRule="auto"/>
        <w:jc w:val="both"/>
        <w:outlineLvl w:val="0"/>
        <w:rPr>
          <w:rFonts w:hint="eastAsia" w:ascii="宋体" w:hAnsi="宋体" w:eastAsia="宋体" w:cs="Times New Roman"/>
          <w:bCs/>
          <w:kern w:val="2"/>
          <w:sz w:val="21"/>
          <w:szCs w:val="21"/>
          <w:lang w:val="en-US" w:eastAsia="zh-CN" w:bidi="ar-SA"/>
        </w:rPr>
      </w:pPr>
      <w:r>
        <w:rPr>
          <w:rFonts w:hint="eastAsia" w:ascii="宋体" w:hAnsi="宋体" w:eastAsia="宋体" w:cs="Times New Roman"/>
          <w:kern w:val="2"/>
          <w:sz w:val="21"/>
          <w:szCs w:val="21"/>
          <w:lang w:val="en-US" w:eastAsia="zh-CN" w:bidi="ar-SA"/>
        </w:rPr>
        <w:t>供应商名称(盖单位章)：</w:t>
      </w:r>
      <w:r>
        <w:rPr>
          <w:rFonts w:hint="eastAsia" w:ascii="宋体" w:hAnsi="宋体" w:eastAsia="宋体" w:cs="Times New Roman"/>
          <w:kern w:val="2"/>
          <w:sz w:val="21"/>
          <w:szCs w:val="21"/>
          <w:u w:val="single"/>
          <w:lang w:val="en-US" w:eastAsia="zh-CN" w:bidi="ar-SA"/>
        </w:rPr>
        <w:t xml:space="preserve">                </w:t>
      </w:r>
    </w:p>
    <w:p w14:paraId="4583B3FE">
      <w:pPr>
        <w:adjustRightInd w:val="0"/>
        <w:snapToGrid w:val="0"/>
        <w:spacing w:line="360" w:lineRule="auto"/>
        <w:outlineLvl w:val="0"/>
        <w:rPr>
          <w:rFonts w:hint="eastAsia" w:ascii="宋体" w:hAnsi="宋体" w:eastAsia="宋体" w:cs="Times New Roman"/>
          <w:szCs w:val="21"/>
        </w:rPr>
      </w:pPr>
      <w:r>
        <w:rPr>
          <w:rFonts w:hint="eastAsia" w:ascii="宋体" w:hAnsi="宋体" w:eastAsia="宋体" w:cs="Times New Roman"/>
          <w:szCs w:val="21"/>
        </w:rPr>
        <w:t>法定代表人或其委托代理人(签字)：</w:t>
      </w:r>
      <w:r>
        <w:rPr>
          <w:rFonts w:hint="eastAsia" w:ascii="宋体" w:hAnsi="宋体" w:eastAsia="宋体" w:cs="Times New Roman"/>
          <w:szCs w:val="21"/>
          <w:u w:val="single"/>
        </w:rPr>
        <w:t xml:space="preserve">              </w:t>
      </w:r>
      <w:r>
        <w:rPr>
          <w:rFonts w:hint="eastAsia" w:ascii="宋体" w:hAnsi="宋体" w:eastAsia="宋体" w:cs="Times New Roman"/>
          <w:szCs w:val="21"/>
        </w:rPr>
        <w:t>_</w:t>
      </w:r>
    </w:p>
    <w:p w14:paraId="748AC33F">
      <w:pPr>
        <w:spacing w:line="360" w:lineRule="exact"/>
        <w:rPr>
          <w:rFonts w:hint="eastAsia" w:ascii="宋体" w:hAnsi="Times New Roman" w:eastAsia="宋体" w:cs="Times New Roman"/>
        </w:rPr>
      </w:pPr>
      <w:r>
        <w:rPr>
          <w:rFonts w:hint="eastAsia" w:ascii="宋体" w:hAnsi="宋体" w:eastAsia="宋体" w:cs="Times New Roman"/>
          <w:szCs w:val="21"/>
        </w:rPr>
        <w:t xml:space="preserve">日期：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14:paraId="0C817518">
      <w:pPr>
        <w:adjustRightInd w:val="0"/>
        <w:snapToGrid w:val="0"/>
        <w:spacing w:line="360" w:lineRule="auto"/>
        <w:rPr>
          <w:rFonts w:hint="eastAsia" w:ascii="仿宋_GB2312" w:hAnsi="宋体" w:eastAsia="仿宋_GB2312" w:cs="Times New Roman"/>
          <w:bCs/>
          <w:szCs w:val="21"/>
        </w:rPr>
      </w:pPr>
    </w:p>
    <w:p w14:paraId="0B0162EB">
      <w:pPr>
        <w:adjustRightInd w:val="0"/>
        <w:snapToGrid w:val="0"/>
        <w:spacing w:line="360" w:lineRule="auto"/>
        <w:jc w:val="center"/>
        <w:outlineLvl w:val="0"/>
        <w:rPr>
          <w:rFonts w:hint="eastAsia" w:ascii="黑体" w:hAnsi="宋体" w:eastAsia="黑体" w:cs="Times New Roman"/>
          <w:b/>
          <w:sz w:val="30"/>
          <w:szCs w:val="30"/>
        </w:rPr>
      </w:pPr>
      <w:r>
        <w:rPr>
          <w:rFonts w:hint="eastAsia" w:ascii="黑体" w:hAnsi="Times New Roman" w:eastAsia="黑体" w:cs="Times New Roman"/>
          <w:b/>
          <w:sz w:val="30"/>
          <w:szCs w:val="30"/>
        </w:rPr>
        <w:t>四、</w:t>
      </w:r>
      <w:r>
        <w:rPr>
          <w:rFonts w:hint="eastAsia" w:ascii="黑体" w:hAnsi="宋体" w:eastAsia="黑体" w:cs="Times New Roman"/>
          <w:b/>
          <w:sz w:val="30"/>
          <w:szCs w:val="30"/>
        </w:rPr>
        <w:t>技术/</w:t>
      </w:r>
      <w:r>
        <w:rPr>
          <w:rFonts w:hint="eastAsia" w:ascii="黑体" w:hAnsi="Times New Roman" w:eastAsia="黑体" w:cs="Times New Roman"/>
          <w:b/>
          <w:sz w:val="30"/>
          <w:szCs w:val="30"/>
        </w:rPr>
        <w:t>商务</w:t>
      </w:r>
      <w:r>
        <w:rPr>
          <w:rFonts w:hint="eastAsia" w:ascii="黑体" w:hAnsi="宋体" w:eastAsia="黑体" w:cs="Times New Roman"/>
          <w:b/>
          <w:sz w:val="30"/>
          <w:szCs w:val="30"/>
        </w:rPr>
        <w:t>响应与偏离表</w:t>
      </w:r>
    </w:p>
    <w:p w14:paraId="0421B91F">
      <w:pPr>
        <w:adjustRightInd w:val="0"/>
        <w:snapToGrid w:val="0"/>
        <w:ind w:left="-88" w:leftChars="-42" w:firstLine="315" w:firstLineChars="150"/>
        <w:rPr>
          <w:rFonts w:hint="eastAsia" w:ascii="宋体" w:hAnsi="宋体" w:eastAsia="宋体" w:cs="Times New Roman"/>
          <w:szCs w:val="21"/>
          <w:u w:val="single"/>
        </w:rPr>
      </w:pPr>
    </w:p>
    <w:tbl>
      <w:tblPr>
        <w:tblStyle w:val="18"/>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72FE57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noWrap/>
            <w:vAlign w:val="center"/>
          </w:tcPr>
          <w:p w14:paraId="7DCAEAAD">
            <w:pPr>
              <w:adjustRightInd w:val="0"/>
              <w:snapToGrid w:val="0"/>
              <w:spacing w:before="50" w:line="360" w:lineRule="auto"/>
              <w:ind w:left="-88" w:leftChars="-42"/>
              <w:jc w:val="center"/>
              <w:rPr>
                <w:rFonts w:ascii="宋体" w:hAnsi="宋体" w:eastAsia="宋体" w:cs="宋体"/>
                <w:color w:val="000000"/>
                <w:szCs w:val="21"/>
              </w:rPr>
            </w:pPr>
            <w:r>
              <w:rPr>
                <w:rFonts w:hint="eastAsia" w:ascii="宋体" w:hAnsi="宋体" w:eastAsia="宋体" w:cs="宋体"/>
                <w:bCs/>
                <w:color w:val="000000"/>
                <w:szCs w:val="21"/>
              </w:rPr>
              <w:t>序</w:t>
            </w:r>
            <w:r>
              <w:rPr>
                <w:rFonts w:hint="eastAsia" w:ascii="宋体" w:hAnsi="宋体" w:eastAsia="宋体" w:cs="宋体"/>
                <w:color w:val="000000"/>
                <w:szCs w:val="21"/>
              </w:rPr>
              <w:t>号</w:t>
            </w:r>
          </w:p>
        </w:tc>
        <w:tc>
          <w:tcPr>
            <w:tcW w:w="2410" w:type="dxa"/>
            <w:noWrap/>
            <w:vAlign w:val="center"/>
          </w:tcPr>
          <w:p w14:paraId="2F167150">
            <w:pPr>
              <w:adjustRightInd w:val="0"/>
              <w:snapToGrid w:val="0"/>
              <w:spacing w:before="50" w:line="360" w:lineRule="auto"/>
              <w:ind w:left="-88" w:leftChars="-42"/>
              <w:jc w:val="center"/>
              <w:rPr>
                <w:rFonts w:ascii="宋体" w:hAnsi="宋体" w:eastAsia="宋体" w:cs="宋体"/>
                <w:color w:val="000000"/>
                <w:szCs w:val="21"/>
              </w:rPr>
            </w:pPr>
            <w:r>
              <w:rPr>
                <w:rFonts w:hint="eastAsia" w:ascii="宋体" w:hAnsi="宋体" w:eastAsia="宋体" w:cs="宋体"/>
                <w:color w:val="000000"/>
                <w:szCs w:val="21"/>
              </w:rPr>
              <w:t>磋商文件章节</w:t>
            </w:r>
            <w:r>
              <w:rPr>
                <w:rFonts w:hint="eastAsia" w:ascii="宋体" w:hAnsi="宋体" w:eastAsia="宋体" w:cs="宋体"/>
                <w:bCs/>
                <w:color w:val="000000"/>
                <w:szCs w:val="21"/>
              </w:rPr>
              <w:t>条</w:t>
            </w:r>
            <w:r>
              <w:rPr>
                <w:rFonts w:hint="eastAsia" w:ascii="宋体" w:hAnsi="宋体" w:eastAsia="宋体" w:cs="宋体"/>
                <w:color w:val="000000"/>
                <w:szCs w:val="21"/>
              </w:rPr>
              <w:t>款号</w:t>
            </w:r>
          </w:p>
        </w:tc>
        <w:tc>
          <w:tcPr>
            <w:tcW w:w="1985" w:type="dxa"/>
            <w:noWrap/>
            <w:vAlign w:val="center"/>
          </w:tcPr>
          <w:p w14:paraId="15243967">
            <w:pPr>
              <w:adjustRightInd w:val="0"/>
              <w:snapToGrid w:val="0"/>
              <w:spacing w:before="50" w:line="360" w:lineRule="auto"/>
              <w:ind w:left="-88" w:leftChars="-42"/>
              <w:jc w:val="center"/>
              <w:rPr>
                <w:rFonts w:ascii="宋体" w:hAnsi="宋体" w:eastAsia="宋体" w:cs="宋体"/>
                <w:color w:val="000000"/>
                <w:szCs w:val="21"/>
              </w:rPr>
            </w:pPr>
            <w:r>
              <w:rPr>
                <w:rFonts w:hint="eastAsia" w:ascii="宋体" w:hAnsi="宋体" w:eastAsia="宋体" w:cs="宋体"/>
                <w:color w:val="000000"/>
              </w:rPr>
              <w:t>磋商文件要求</w:t>
            </w:r>
          </w:p>
        </w:tc>
        <w:tc>
          <w:tcPr>
            <w:tcW w:w="2082" w:type="dxa"/>
            <w:tcBorders>
              <w:right w:val="single" w:color="auto" w:sz="4" w:space="0"/>
            </w:tcBorders>
            <w:noWrap/>
            <w:vAlign w:val="center"/>
          </w:tcPr>
          <w:p w14:paraId="62202E03">
            <w:pPr>
              <w:adjustRightInd w:val="0"/>
              <w:snapToGrid w:val="0"/>
              <w:spacing w:before="50" w:line="360" w:lineRule="auto"/>
              <w:jc w:val="center"/>
              <w:rPr>
                <w:rFonts w:ascii="宋体" w:hAnsi="宋体" w:eastAsia="宋体" w:cs="宋体"/>
                <w:color w:val="000000"/>
                <w:szCs w:val="21"/>
              </w:rPr>
            </w:pPr>
            <w:r>
              <w:rPr>
                <w:rFonts w:hint="eastAsia" w:ascii="宋体" w:hAnsi="宋体" w:eastAsia="宋体" w:cs="宋体"/>
                <w:color w:val="000000"/>
              </w:rPr>
              <w:t>响应文件的应答</w:t>
            </w:r>
          </w:p>
        </w:tc>
        <w:tc>
          <w:tcPr>
            <w:tcW w:w="1942" w:type="dxa"/>
            <w:tcBorders>
              <w:left w:val="single" w:color="auto" w:sz="4" w:space="0"/>
            </w:tcBorders>
            <w:noWrap/>
            <w:vAlign w:val="center"/>
          </w:tcPr>
          <w:p w14:paraId="10EDA8D2">
            <w:pPr>
              <w:adjustRightInd w:val="0"/>
              <w:snapToGrid w:val="0"/>
              <w:spacing w:before="50" w:line="360" w:lineRule="auto"/>
              <w:ind w:left="-88" w:leftChars="-42"/>
              <w:jc w:val="center"/>
              <w:rPr>
                <w:rFonts w:ascii="宋体" w:hAnsi="宋体" w:eastAsia="宋体" w:cs="宋体"/>
                <w:color w:val="000000"/>
                <w:szCs w:val="21"/>
              </w:rPr>
            </w:pPr>
            <w:r>
              <w:rPr>
                <w:rFonts w:hint="eastAsia" w:ascii="宋体" w:hAnsi="宋体" w:eastAsia="宋体" w:cs="宋体"/>
                <w:color w:val="000000"/>
                <w:szCs w:val="21"/>
              </w:rPr>
              <w:t>偏离说明</w:t>
            </w:r>
          </w:p>
        </w:tc>
      </w:tr>
      <w:tr w14:paraId="3FE60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ign w:val="center"/>
          </w:tcPr>
          <w:p w14:paraId="1D41B955">
            <w:pPr>
              <w:adjustRightInd w:val="0"/>
              <w:snapToGrid w:val="0"/>
              <w:spacing w:before="50" w:line="360" w:lineRule="auto"/>
              <w:ind w:left="-88" w:leftChars="-42"/>
              <w:jc w:val="center"/>
              <w:rPr>
                <w:rFonts w:ascii="宋体" w:hAnsi="宋体" w:eastAsia="宋体" w:cs="宋体"/>
                <w:color w:val="000000"/>
                <w:szCs w:val="21"/>
              </w:rPr>
            </w:pPr>
          </w:p>
        </w:tc>
        <w:tc>
          <w:tcPr>
            <w:tcW w:w="2410" w:type="dxa"/>
            <w:noWrap/>
            <w:vAlign w:val="center"/>
          </w:tcPr>
          <w:p w14:paraId="33714F9F">
            <w:pPr>
              <w:adjustRightInd w:val="0"/>
              <w:snapToGrid w:val="0"/>
              <w:spacing w:before="50" w:line="360" w:lineRule="auto"/>
              <w:ind w:left="-88" w:leftChars="-42"/>
              <w:jc w:val="center"/>
              <w:rPr>
                <w:rFonts w:ascii="宋体" w:hAnsi="宋体" w:eastAsia="宋体" w:cs="宋体"/>
                <w:color w:val="000000"/>
                <w:szCs w:val="21"/>
              </w:rPr>
            </w:pPr>
          </w:p>
        </w:tc>
        <w:tc>
          <w:tcPr>
            <w:tcW w:w="1985" w:type="dxa"/>
            <w:noWrap/>
          </w:tcPr>
          <w:p w14:paraId="0D180923">
            <w:pPr>
              <w:adjustRightInd w:val="0"/>
              <w:snapToGrid w:val="0"/>
              <w:spacing w:before="50" w:line="360" w:lineRule="auto"/>
              <w:rPr>
                <w:rFonts w:ascii="宋体" w:hAnsi="宋体" w:eastAsia="宋体" w:cs="宋体"/>
                <w:color w:val="000000"/>
              </w:rPr>
            </w:pPr>
          </w:p>
        </w:tc>
        <w:tc>
          <w:tcPr>
            <w:tcW w:w="2082" w:type="dxa"/>
            <w:tcBorders>
              <w:right w:val="single" w:color="auto" w:sz="4" w:space="0"/>
            </w:tcBorders>
            <w:noWrap/>
          </w:tcPr>
          <w:p w14:paraId="4B152094">
            <w:pPr>
              <w:adjustRightInd w:val="0"/>
              <w:snapToGrid w:val="0"/>
              <w:spacing w:before="50" w:line="360" w:lineRule="auto"/>
              <w:rPr>
                <w:rFonts w:ascii="宋体" w:hAnsi="宋体" w:eastAsia="宋体" w:cs="宋体"/>
                <w:color w:val="000000"/>
              </w:rPr>
            </w:pPr>
          </w:p>
        </w:tc>
        <w:tc>
          <w:tcPr>
            <w:tcW w:w="1942" w:type="dxa"/>
            <w:tcBorders>
              <w:left w:val="single" w:color="auto" w:sz="4" w:space="0"/>
            </w:tcBorders>
            <w:noWrap/>
          </w:tcPr>
          <w:p w14:paraId="5D01599E">
            <w:pPr>
              <w:adjustRightInd w:val="0"/>
              <w:snapToGrid w:val="0"/>
              <w:spacing w:before="50" w:line="360" w:lineRule="auto"/>
              <w:ind w:left="-88" w:leftChars="-42"/>
              <w:jc w:val="center"/>
              <w:rPr>
                <w:rFonts w:ascii="宋体" w:hAnsi="宋体" w:eastAsia="宋体" w:cs="宋体"/>
                <w:color w:val="000000"/>
                <w:szCs w:val="21"/>
              </w:rPr>
            </w:pPr>
          </w:p>
        </w:tc>
      </w:tr>
      <w:tr w14:paraId="67CC2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ign w:val="center"/>
          </w:tcPr>
          <w:p w14:paraId="324D1EEC">
            <w:pPr>
              <w:adjustRightInd w:val="0"/>
              <w:snapToGrid w:val="0"/>
              <w:spacing w:before="50" w:line="360" w:lineRule="auto"/>
              <w:ind w:left="-88" w:leftChars="-42"/>
              <w:jc w:val="center"/>
              <w:rPr>
                <w:rFonts w:ascii="宋体" w:hAnsi="宋体" w:eastAsia="宋体" w:cs="宋体"/>
                <w:color w:val="000000"/>
                <w:szCs w:val="21"/>
              </w:rPr>
            </w:pPr>
          </w:p>
        </w:tc>
        <w:tc>
          <w:tcPr>
            <w:tcW w:w="2410" w:type="dxa"/>
            <w:noWrap/>
            <w:vAlign w:val="center"/>
          </w:tcPr>
          <w:p w14:paraId="66A9D696">
            <w:pPr>
              <w:adjustRightInd w:val="0"/>
              <w:snapToGrid w:val="0"/>
              <w:spacing w:before="50" w:line="360" w:lineRule="auto"/>
              <w:ind w:left="-88" w:leftChars="-42"/>
              <w:jc w:val="center"/>
              <w:rPr>
                <w:rFonts w:ascii="宋体" w:hAnsi="宋体" w:eastAsia="宋体" w:cs="宋体"/>
                <w:color w:val="000000"/>
                <w:szCs w:val="21"/>
              </w:rPr>
            </w:pPr>
          </w:p>
        </w:tc>
        <w:tc>
          <w:tcPr>
            <w:tcW w:w="1985" w:type="dxa"/>
            <w:noWrap/>
            <w:vAlign w:val="center"/>
          </w:tcPr>
          <w:p w14:paraId="7D5DC8D2">
            <w:pPr>
              <w:adjustRightInd w:val="0"/>
              <w:snapToGrid w:val="0"/>
              <w:spacing w:before="50" w:line="360" w:lineRule="auto"/>
              <w:ind w:left="-88" w:leftChars="-42"/>
              <w:jc w:val="center"/>
              <w:rPr>
                <w:rFonts w:ascii="宋体" w:hAnsi="宋体" w:eastAsia="宋体" w:cs="宋体"/>
                <w:color w:val="000000"/>
                <w:szCs w:val="21"/>
              </w:rPr>
            </w:pPr>
          </w:p>
        </w:tc>
        <w:tc>
          <w:tcPr>
            <w:tcW w:w="2082" w:type="dxa"/>
            <w:tcBorders>
              <w:right w:val="single" w:color="auto" w:sz="4" w:space="0"/>
            </w:tcBorders>
            <w:noWrap/>
            <w:vAlign w:val="center"/>
          </w:tcPr>
          <w:p w14:paraId="062C346B">
            <w:pPr>
              <w:adjustRightInd w:val="0"/>
              <w:snapToGrid w:val="0"/>
              <w:spacing w:before="50" w:line="360" w:lineRule="auto"/>
              <w:ind w:left="-88" w:leftChars="-42"/>
              <w:jc w:val="center"/>
              <w:rPr>
                <w:rFonts w:ascii="宋体" w:hAnsi="宋体" w:eastAsia="宋体" w:cs="宋体"/>
                <w:color w:val="000000"/>
                <w:szCs w:val="21"/>
              </w:rPr>
            </w:pPr>
          </w:p>
        </w:tc>
        <w:tc>
          <w:tcPr>
            <w:tcW w:w="1942" w:type="dxa"/>
            <w:tcBorders>
              <w:left w:val="single" w:color="auto" w:sz="4" w:space="0"/>
            </w:tcBorders>
            <w:noWrap/>
            <w:vAlign w:val="center"/>
          </w:tcPr>
          <w:p w14:paraId="0D2E5792">
            <w:pPr>
              <w:adjustRightInd w:val="0"/>
              <w:snapToGrid w:val="0"/>
              <w:spacing w:before="50" w:line="360" w:lineRule="auto"/>
              <w:ind w:left="-88" w:leftChars="-42"/>
              <w:jc w:val="center"/>
              <w:rPr>
                <w:rFonts w:ascii="宋体" w:hAnsi="宋体" w:eastAsia="宋体" w:cs="宋体"/>
                <w:color w:val="000000"/>
                <w:szCs w:val="21"/>
              </w:rPr>
            </w:pPr>
          </w:p>
        </w:tc>
      </w:tr>
      <w:tr w14:paraId="16D3E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ign w:val="center"/>
          </w:tcPr>
          <w:p w14:paraId="707E0184">
            <w:pPr>
              <w:adjustRightInd w:val="0"/>
              <w:snapToGrid w:val="0"/>
              <w:spacing w:before="50" w:line="360" w:lineRule="auto"/>
              <w:ind w:left="-88" w:leftChars="-42"/>
              <w:jc w:val="center"/>
              <w:rPr>
                <w:rFonts w:ascii="宋体" w:hAnsi="宋体" w:eastAsia="宋体" w:cs="宋体"/>
                <w:color w:val="000000"/>
                <w:szCs w:val="21"/>
              </w:rPr>
            </w:pPr>
          </w:p>
        </w:tc>
        <w:tc>
          <w:tcPr>
            <w:tcW w:w="2410" w:type="dxa"/>
            <w:noWrap/>
            <w:vAlign w:val="center"/>
          </w:tcPr>
          <w:p w14:paraId="2E1B8277">
            <w:pPr>
              <w:adjustRightInd w:val="0"/>
              <w:snapToGrid w:val="0"/>
              <w:spacing w:before="50" w:line="360" w:lineRule="auto"/>
              <w:ind w:left="-88" w:leftChars="-42"/>
              <w:jc w:val="center"/>
              <w:rPr>
                <w:rFonts w:ascii="宋体" w:hAnsi="宋体" w:eastAsia="宋体" w:cs="宋体"/>
                <w:color w:val="000000"/>
                <w:szCs w:val="21"/>
              </w:rPr>
            </w:pPr>
          </w:p>
        </w:tc>
        <w:tc>
          <w:tcPr>
            <w:tcW w:w="1985" w:type="dxa"/>
            <w:noWrap/>
            <w:vAlign w:val="center"/>
          </w:tcPr>
          <w:p w14:paraId="09796FCE">
            <w:pPr>
              <w:adjustRightInd w:val="0"/>
              <w:snapToGrid w:val="0"/>
              <w:spacing w:before="50" w:line="360" w:lineRule="auto"/>
              <w:ind w:left="-88" w:leftChars="-42"/>
              <w:jc w:val="center"/>
              <w:rPr>
                <w:rFonts w:ascii="宋体" w:hAnsi="宋体" w:eastAsia="宋体" w:cs="宋体"/>
                <w:color w:val="000000"/>
                <w:szCs w:val="21"/>
              </w:rPr>
            </w:pPr>
          </w:p>
        </w:tc>
        <w:tc>
          <w:tcPr>
            <w:tcW w:w="2082" w:type="dxa"/>
            <w:tcBorders>
              <w:right w:val="single" w:color="auto" w:sz="4" w:space="0"/>
            </w:tcBorders>
            <w:noWrap/>
            <w:vAlign w:val="center"/>
          </w:tcPr>
          <w:p w14:paraId="2A92234B">
            <w:pPr>
              <w:adjustRightInd w:val="0"/>
              <w:snapToGrid w:val="0"/>
              <w:spacing w:before="50" w:line="360" w:lineRule="auto"/>
              <w:ind w:left="-88" w:leftChars="-42"/>
              <w:jc w:val="center"/>
              <w:rPr>
                <w:rFonts w:ascii="宋体" w:hAnsi="宋体" w:eastAsia="宋体" w:cs="宋体"/>
                <w:color w:val="000000"/>
                <w:szCs w:val="21"/>
              </w:rPr>
            </w:pPr>
          </w:p>
        </w:tc>
        <w:tc>
          <w:tcPr>
            <w:tcW w:w="1942" w:type="dxa"/>
            <w:tcBorders>
              <w:left w:val="single" w:color="auto" w:sz="4" w:space="0"/>
            </w:tcBorders>
            <w:noWrap/>
            <w:vAlign w:val="center"/>
          </w:tcPr>
          <w:p w14:paraId="3E7121F3">
            <w:pPr>
              <w:adjustRightInd w:val="0"/>
              <w:snapToGrid w:val="0"/>
              <w:spacing w:before="50" w:line="360" w:lineRule="auto"/>
              <w:ind w:left="-88" w:leftChars="-42"/>
              <w:jc w:val="center"/>
              <w:rPr>
                <w:rFonts w:ascii="宋体" w:hAnsi="宋体" w:eastAsia="宋体" w:cs="宋体"/>
                <w:color w:val="000000"/>
                <w:szCs w:val="21"/>
              </w:rPr>
            </w:pPr>
          </w:p>
        </w:tc>
      </w:tr>
      <w:tr w14:paraId="1D28BB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ign w:val="center"/>
          </w:tcPr>
          <w:p w14:paraId="5A41FFB4">
            <w:pPr>
              <w:adjustRightInd w:val="0"/>
              <w:snapToGrid w:val="0"/>
              <w:spacing w:before="50" w:line="360" w:lineRule="auto"/>
              <w:ind w:left="-88" w:leftChars="-42"/>
              <w:jc w:val="center"/>
              <w:rPr>
                <w:rFonts w:ascii="宋体" w:hAnsi="宋体" w:eastAsia="宋体" w:cs="宋体"/>
                <w:color w:val="000000"/>
                <w:szCs w:val="21"/>
              </w:rPr>
            </w:pPr>
          </w:p>
        </w:tc>
        <w:tc>
          <w:tcPr>
            <w:tcW w:w="2410" w:type="dxa"/>
            <w:noWrap/>
            <w:vAlign w:val="center"/>
          </w:tcPr>
          <w:p w14:paraId="2D604618">
            <w:pPr>
              <w:adjustRightInd w:val="0"/>
              <w:snapToGrid w:val="0"/>
              <w:spacing w:before="50" w:line="360" w:lineRule="auto"/>
              <w:ind w:left="-88" w:leftChars="-42"/>
              <w:jc w:val="center"/>
              <w:rPr>
                <w:rFonts w:ascii="宋体" w:hAnsi="宋体" w:eastAsia="宋体" w:cs="宋体"/>
                <w:color w:val="000000"/>
                <w:szCs w:val="21"/>
              </w:rPr>
            </w:pPr>
          </w:p>
        </w:tc>
        <w:tc>
          <w:tcPr>
            <w:tcW w:w="1985" w:type="dxa"/>
            <w:noWrap/>
            <w:vAlign w:val="center"/>
          </w:tcPr>
          <w:p w14:paraId="42452A4B">
            <w:pPr>
              <w:adjustRightInd w:val="0"/>
              <w:snapToGrid w:val="0"/>
              <w:spacing w:before="50" w:line="360" w:lineRule="auto"/>
              <w:ind w:left="-88" w:leftChars="-42"/>
              <w:jc w:val="center"/>
              <w:rPr>
                <w:rFonts w:ascii="宋体" w:hAnsi="宋体" w:eastAsia="宋体" w:cs="宋体"/>
                <w:color w:val="000000"/>
                <w:szCs w:val="21"/>
              </w:rPr>
            </w:pPr>
          </w:p>
        </w:tc>
        <w:tc>
          <w:tcPr>
            <w:tcW w:w="2082" w:type="dxa"/>
            <w:tcBorders>
              <w:right w:val="single" w:color="auto" w:sz="4" w:space="0"/>
            </w:tcBorders>
            <w:noWrap/>
            <w:vAlign w:val="center"/>
          </w:tcPr>
          <w:p w14:paraId="379290FA">
            <w:pPr>
              <w:adjustRightInd w:val="0"/>
              <w:snapToGrid w:val="0"/>
              <w:spacing w:before="50" w:line="360" w:lineRule="auto"/>
              <w:ind w:left="-88" w:leftChars="-42"/>
              <w:jc w:val="center"/>
              <w:rPr>
                <w:rFonts w:ascii="宋体" w:hAnsi="宋体" w:eastAsia="宋体" w:cs="宋体"/>
                <w:color w:val="000000"/>
                <w:szCs w:val="21"/>
              </w:rPr>
            </w:pPr>
          </w:p>
        </w:tc>
        <w:tc>
          <w:tcPr>
            <w:tcW w:w="1942" w:type="dxa"/>
            <w:tcBorders>
              <w:left w:val="single" w:color="auto" w:sz="4" w:space="0"/>
            </w:tcBorders>
            <w:noWrap/>
            <w:vAlign w:val="center"/>
          </w:tcPr>
          <w:p w14:paraId="751C23B9">
            <w:pPr>
              <w:adjustRightInd w:val="0"/>
              <w:snapToGrid w:val="0"/>
              <w:spacing w:before="50" w:line="360" w:lineRule="auto"/>
              <w:ind w:left="-88" w:leftChars="-42"/>
              <w:jc w:val="center"/>
              <w:rPr>
                <w:rFonts w:ascii="宋体" w:hAnsi="宋体" w:eastAsia="宋体" w:cs="宋体"/>
                <w:color w:val="000000"/>
                <w:szCs w:val="21"/>
              </w:rPr>
            </w:pPr>
          </w:p>
        </w:tc>
      </w:tr>
      <w:tr w14:paraId="57F8E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ign w:val="center"/>
          </w:tcPr>
          <w:p w14:paraId="779BF3EE">
            <w:pPr>
              <w:adjustRightInd w:val="0"/>
              <w:snapToGrid w:val="0"/>
              <w:spacing w:before="50" w:line="360" w:lineRule="auto"/>
              <w:ind w:left="-88" w:leftChars="-42"/>
              <w:jc w:val="center"/>
              <w:rPr>
                <w:rFonts w:ascii="宋体" w:hAnsi="宋体" w:eastAsia="宋体" w:cs="宋体"/>
                <w:color w:val="000000"/>
                <w:szCs w:val="21"/>
              </w:rPr>
            </w:pPr>
          </w:p>
        </w:tc>
        <w:tc>
          <w:tcPr>
            <w:tcW w:w="2410" w:type="dxa"/>
            <w:noWrap/>
            <w:vAlign w:val="center"/>
          </w:tcPr>
          <w:p w14:paraId="71D8F89E">
            <w:pPr>
              <w:adjustRightInd w:val="0"/>
              <w:snapToGrid w:val="0"/>
              <w:spacing w:before="50" w:line="360" w:lineRule="auto"/>
              <w:ind w:left="-88" w:leftChars="-42"/>
              <w:jc w:val="center"/>
              <w:rPr>
                <w:rFonts w:ascii="宋体" w:hAnsi="宋体" w:eastAsia="宋体" w:cs="宋体"/>
                <w:color w:val="000000"/>
                <w:szCs w:val="21"/>
              </w:rPr>
            </w:pPr>
          </w:p>
        </w:tc>
        <w:tc>
          <w:tcPr>
            <w:tcW w:w="1985" w:type="dxa"/>
            <w:noWrap/>
            <w:vAlign w:val="center"/>
          </w:tcPr>
          <w:p w14:paraId="1DB12AC5">
            <w:pPr>
              <w:adjustRightInd w:val="0"/>
              <w:snapToGrid w:val="0"/>
              <w:spacing w:before="50" w:line="360" w:lineRule="auto"/>
              <w:ind w:left="-88" w:leftChars="-42"/>
              <w:jc w:val="center"/>
              <w:rPr>
                <w:rFonts w:ascii="宋体" w:hAnsi="宋体" w:eastAsia="宋体" w:cs="宋体"/>
                <w:color w:val="000000"/>
                <w:szCs w:val="21"/>
              </w:rPr>
            </w:pPr>
          </w:p>
        </w:tc>
        <w:tc>
          <w:tcPr>
            <w:tcW w:w="2082" w:type="dxa"/>
            <w:tcBorders>
              <w:right w:val="single" w:color="auto" w:sz="4" w:space="0"/>
            </w:tcBorders>
            <w:noWrap/>
            <w:vAlign w:val="center"/>
          </w:tcPr>
          <w:p w14:paraId="5B2EB344">
            <w:pPr>
              <w:adjustRightInd w:val="0"/>
              <w:snapToGrid w:val="0"/>
              <w:spacing w:before="50" w:line="360" w:lineRule="auto"/>
              <w:ind w:left="-88" w:leftChars="-42"/>
              <w:jc w:val="center"/>
              <w:rPr>
                <w:rFonts w:ascii="宋体" w:hAnsi="宋体" w:eastAsia="宋体" w:cs="宋体"/>
                <w:color w:val="000000"/>
                <w:szCs w:val="21"/>
              </w:rPr>
            </w:pPr>
          </w:p>
        </w:tc>
        <w:tc>
          <w:tcPr>
            <w:tcW w:w="1942" w:type="dxa"/>
            <w:tcBorders>
              <w:left w:val="single" w:color="auto" w:sz="4" w:space="0"/>
            </w:tcBorders>
            <w:noWrap/>
            <w:vAlign w:val="center"/>
          </w:tcPr>
          <w:p w14:paraId="1045A902">
            <w:pPr>
              <w:adjustRightInd w:val="0"/>
              <w:snapToGrid w:val="0"/>
              <w:spacing w:before="50" w:line="360" w:lineRule="auto"/>
              <w:ind w:left="-88" w:leftChars="-42"/>
              <w:jc w:val="center"/>
              <w:rPr>
                <w:rFonts w:ascii="宋体" w:hAnsi="宋体" w:eastAsia="宋体" w:cs="宋体"/>
                <w:color w:val="000000"/>
                <w:szCs w:val="21"/>
              </w:rPr>
            </w:pPr>
          </w:p>
        </w:tc>
      </w:tr>
      <w:tr w14:paraId="494F91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ign w:val="center"/>
          </w:tcPr>
          <w:p w14:paraId="55D031E7">
            <w:pPr>
              <w:adjustRightInd w:val="0"/>
              <w:snapToGrid w:val="0"/>
              <w:spacing w:before="50" w:line="360" w:lineRule="auto"/>
              <w:ind w:left="-88" w:leftChars="-42"/>
              <w:jc w:val="center"/>
              <w:rPr>
                <w:rFonts w:ascii="宋体" w:hAnsi="宋体" w:eastAsia="宋体" w:cs="宋体"/>
                <w:color w:val="000000"/>
                <w:szCs w:val="21"/>
              </w:rPr>
            </w:pPr>
          </w:p>
        </w:tc>
        <w:tc>
          <w:tcPr>
            <w:tcW w:w="2410" w:type="dxa"/>
            <w:noWrap/>
            <w:vAlign w:val="center"/>
          </w:tcPr>
          <w:p w14:paraId="78989F78">
            <w:pPr>
              <w:adjustRightInd w:val="0"/>
              <w:snapToGrid w:val="0"/>
              <w:spacing w:before="50" w:line="360" w:lineRule="auto"/>
              <w:ind w:left="-88" w:leftChars="-42"/>
              <w:jc w:val="center"/>
              <w:rPr>
                <w:rFonts w:ascii="宋体" w:hAnsi="宋体" w:eastAsia="宋体" w:cs="宋体"/>
                <w:color w:val="000000"/>
                <w:szCs w:val="21"/>
              </w:rPr>
            </w:pPr>
          </w:p>
        </w:tc>
        <w:tc>
          <w:tcPr>
            <w:tcW w:w="1985" w:type="dxa"/>
            <w:noWrap/>
            <w:vAlign w:val="center"/>
          </w:tcPr>
          <w:p w14:paraId="6B69F0A0">
            <w:pPr>
              <w:adjustRightInd w:val="0"/>
              <w:snapToGrid w:val="0"/>
              <w:spacing w:before="50" w:line="360" w:lineRule="auto"/>
              <w:ind w:left="-88" w:leftChars="-42"/>
              <w:jc w:val="center"/>
              <w:rPr>
                <w:rFonts w:ascii="宋体" w:hAnsi="宋体" w:eastAsia="宋体" w:cs="宋体"/>
                <w:color w:val="000000"/>
                <w:szCs w:val="21"/>
              </w:rPr>
            </w:pPr>
          </w:p>
        </w:tc>
        <w:tc>
          <w:tcPr>
            <w:tcW w:w="2082" w:type="dxa"/>
            <w:tcBorders>
              <w:right w:val="single" w:color="auto" w:sz="4" w:space="0"/>
            </w:tcBorders>
            <w:noWrap/>
            <w:vAlign w:val="center"/>
          </w:tcPr>
          <w:p w14:paraId="0E602841">
            <w:pPr>
              <w:adjustRightInd w:val="0"/>
              <w:snapToGrid w:val="0"/>
              <w:spacing w:before="50" w:line="360" w:lineRule="auto"/>
              <w:ind w:left="-88" w:leftChars="-42"/>
              <w:jc w:val="center"/>
              <w:rPr>
                <w:rFonts w:ascii="宋体" w:hAnsi="宋体" w:eastAsia="宋体" w:cs="宋体"/>
                <w:color w:val="000000"/>
                <w:szCs w:val="21"/>
              </w:rPr>
            </w:pPr>
          </w:p>
        </w:tc>
        <w:tc>
          <w:tcPr>
            <w:tcW w:w="1942" w:type="dxa"/>
            <w:tcBorders>
              <w:left w:val="single" w:color="auto" w:sz="4" w:space="0"/>
            </w:tcBorders>
            <w:noWrap/>
            <w:vAlign w:val="center"/>
          </w:tcPr>
          <w:p w14:paraId="7D7D27B8">
            <w:pPr>
              <w:adjustRightInd w:val="0"/>
              <w:snapToGrid w:val="0"/>
              <w:spacing w:before="50" w:line="360" w:lineRule="auto"/>
              <w:ind w:left="-88" w:leftChars="-42"/>
              <w:jc w:val="center"/>
              <w:rPr>
                <w:rFonts w:ascii="宋体" w:hAnsi="宋体" w:eastAsia="宋体" w:cs="宋体"/>
                <w:color w:val="000000"/>
                <w:szCs w:val="21"/>
              </w:rPr>
            </w:pPr>
          </w:p>
        </w:tc>
      </w:tr>
      <w:tr w14:paraId="73BD1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noWrap/>
            <w:vAlign w:val="center"/>
          </w:tcPr>
          <w:p w14:paraId="51F45125">
            <w:pPr>
              <w:adjustRightInd w:val="0"/>
              <w:snapToGrid w:val="0"/>
              <w:spacing w:before="50" w:line="360" w:lineRule="auto"/>
              <w:ind w:left="-88" w:leftChars="-42"/>
              <w:jc w:val="center"/>
              <w:rPr>
                <w:rFonts w:ascii="宋体" w:hAnsi="宋体" w:eastAsia="宋体" w:cs="宋体"/>
                <w:color w:val="000000"/>
                <w:szCs w:val="21"/>
              </w:rPr>
            </w:pPr>
          </w:p>
        </w:tc>
        <w:tc>
          <w:tcPr>
            <w:tcW w:w="2410" w:type="dxa"/>
            <w:noWrap/>
            <w:vAlign w:val="center"/>
          </w:tcPr>
          <w:p w14:paraId="16116DAB">
            <w:pPr>
              <w:adjustRightInd w:val="0"/>
              <w:snapToGrid w:val="0"/>
              <w:spacing w:before="50" w:line="360" w:lineRule="auto"/>
              <w:ind w:left="-88" w:leftChars="-42"/>
              <w:jc w:val="center"/>
              <w:rPr>
                <w:rFonts w:ascii="宋体" w:hAnsi="宋体" w:eastAsia="宋体" w:cs="宋体"/>
                <w:color w:val="000000"/>
                <w:szCs w:val="21"/>
              </w:rPr>
            </w:pPr>
          </w:p>
        </w:tc>
        <w:tc>
          <w:tcPr>
            <w:tcW w:w="1985" w:type="dxa"/>
            <w:noWrap/>
            <w:vAlign w:val="center"/>
          </w:tcPr>
          <w:p w14:paraId="17F28876">
            <w:pPr>
              <w:adjustRightInd w:val="0"/>
              <w:snapToGrid w:val="0"/>
              <w:spacing w:before="50" w:line="360" w:lineRule="auto"/>
              <w:ind w:left="-88" w:leftChars="-42"/>
              <w:jc w:val="center"/>
              <w:rPr>
                <w:rFonts w:ascii="宋体" w:hAnsi="宋体" w:eastAsia="宋体" w:cs="宋体"/>
                <w:color w:val="000000"/>
                <w:szCs w:val="21"/>
              </w:rPr>
            </w:pPr>
          </w:p>
        </w:tc>
        <w:tc>
          <w:tcPr>
            <w:tcW w:w="4024" w:type="dxa"/>
            <w:gridSpan w:val="2"/>
            <w:noWrap/>
            <w:vAlign w:val="center"/>
          </w:tcPr>
          <w:p w14:paraId="4C4E8463">
            <w:pPr>
              <w:adjustRightInd w:val="0"/>
              <w:snapToGrid w:val="0"/>
              <w:spacing w:before="50" w:line="360" w:lineRule="auto"/>
              <w:ind w:firstLine="422" w:firstLineChars="200"/>
              <w:jc w:val="left"/>
              <w:rPr>
                <w:rFonts w:ascii="宋体" w:hAnsi="宋体" w:eastAsia="宋体" w:cs="宋体"/>
                <w:b/>
                <w:color w:val="000000"/>
                <w:szCs w:val="21"/>
              </w:rPr>
            </w:pPr>
            <w:r>
              <w:rPr>
                <w:rFonts w:hint="eastAsia" w:ascii="宋体" w:hAnsi="宋体" w:eastAsia="宋体" w:cs="宋体"/>
                <w:b/>
                <w:color w:val="000000"/>
                <w:szCs w:val="21"/>
              </w:rPr>
              <w:t>供应商保证：我单位对磋商文件的其他商务、</w:t>
            </w:r>
            <w:r>
              <w:rPr>
                <w:rFonts w:hint="eastAsia" w:ascii="宋体" w:hAnsi="宋体" w:eastAsia="宋体" w:cs="宋体"/>
                <w:b/>
                <w:color w:val="000000"/>
                <w:szCs w:val="21"/>
                <w:lang w:val="en-US" w:eastAsia="zh-CN"/>
              </w:rPr>
              <w:t>技术、</w:t>
            </w:r>
            <w:r>
              <w:rPr>
                <w:rFonts w:hint="eastAsia" w:ascii="宋体" w:hAnsi="宋体" w:eastAsia="宋体" w:cs="宋体"/>
                <w:b/>
                <w:color w:val="000000"/>
                <w:szCs w:val="21"/>
              </w:rPr>
              <w:t>合同条款完全响应，无偏离。</w:t>
            </w:r>
          </w:p>
        </w:tc>
      </w:tr>
    </w:tbl>
    <w:p w14:paraId="07B6A4C9">
      <w:pPr>
        <w:adjustRightInd w:val="0"/>
        <w:snapToGrid w:val="0"/>
        <w:spacing w:line="360" w:lineRule="auto"/>
        <w:ind w:left="-88" w:leftChars="-42"/>
        <w:rPr>
          <w:rFonts w:hint="eastAsia" w:ascii="仿宋_GB2312" w:hAnsi="宋体" w:eastAsia="仿宋_GB2312" w:cs="Times New Roman"/>
          <w:szCs w:val="21"/>
        </w:rPr>
      </w:pPr>
      <w:r>
        <w:rPr>
          <w:rFonts w:hint="eastAsia" w:ascii="仿宋_GB2312" w:hAnsi="宋体" w:eastAsia="仿宋_GB2312" w:cs="Times New Roman"/>
          <w:szCs w:val="21"/>
        </w:rPr>
        <w:t>说明：1、“响应与偏离”应注明“响应”或“偏离”。</w:t>
      </w:r>
    </w:p>
    <w:p w14:paraId="74D83755">
      <w:pPr>
        <w:adjustRightInd w:val="0"/>
        <w:snapToGrid w:val="0"/>
        <w:spacing w:line="360" w:lineRule="auto"/>
        <w:rPr>
          <w:rFonts w:hint="eastAsia" w:ascii="仿宋_GB2312" w:hAnsi="宋体" w:eastAsia="仿宋_GB2312" w:cs="Times New Roman"/>
          <w:szCs w:val="21"/>
        </w:rPr>
      </w:pPr>
      <w:r>
        <w:rPr>
          <w:rFonts w:hint="eastAsia" w:ascii="仿宋_GB2312" w:hAnsi="宋体" w:eastAsia="仿宋_GB2312" w:cs="Times New Roman"/>
          <w:b/>
          <w:szCs w:val="21"/>
        </w:rPr>
        <w:t xml:space="preserve">     </w:t>
      </w:r>
      <w:r>
        <w:rPr>
          <w:rFonts w:hint="eastAsia" w:ascii="仿宋_GB2312" w:hAnsi="宋体" w:eastAsia="仿宋_GB2312" w:cs="Times New Roman"/>
          <w:szCs w:val="21"/>
        </w:rPr>
        <w:t>2、属磋商文件规定可能变动的内容在“说明”栏中注明。</w:t>
      </w:r>
    </w:p>
    <w:p w14:paraId="5485F82F">
      <w:pPr>
        <w:widowControl w:val="0"/>
        <w:adjustRightInd w:val="0"/>
        <w:snapToGrid w:val="0"/>
        <w:spacing w:line="360" w:lineRule="auto"/>
        <w:jc w:val="both"/>
        <w:outlineLvl w:val="0"/>
        <w:rPr>
          <w:rFonts w:hint="eastAsia" w:ascii="宋体" w:hAnsi="宋体" w:eastAsia="宋体" w:cs="Times New Roman"/>
          <w:kern w:val="2"/>
          <w:sz w:val="21"/>
          <w:szCs w:val="21"/>
          <w:lang w:val="en-US" w:eastAsia="zh-CN" w:bidi="ar-SA"/>
        </w:rPr>
      </w:pPr>
    </w:p>
    <w:p w14:paraId="293D57B0">
      <w:pPr>
        <w:rPr>
          <w:rFonts w:hint="eastAsia" w:ascii="Times New Roman" w:hAnsi="Times New Roman" w:eastAsia="宋体" w:cs="Times New Roman"/>
        </w:rPr>
      </w:pPr>
    </w:p>
    <w:p w14:paraId="7C214BC2">
      <w:pPr>
        <w:rPr>
          <w:rFonts w:hint="eastAsia" w:ascii="Times New Roman" w:hAnsi="Times New Roman" w:eastAsia="宋体" w:cs="Times New Roman"/>
        </w:rPr>
      </w:pPr>
    </w:p>
    <w:p w14:paraId="55945001">
      <w:pPr>
        <w:rPr>
          <w:rFonts w:hint="eastAsia" w:ascii="Times New Roman" w:hAnsi="Times New Roman" w:eastAsia="宋体" w:cs="Times New Roman"/>
        </w:rPr>
      </w:pPr>
    </w:p>
    <w:p w14:paraId="23029A2F">
      <w:pPr>
        <w:rPr>
          <w:rFonts w:hint="eastAsia" w:ascii="Times New Roman" w:hAnsi="Times New Roman" w:eastAsia="宋体" w:cs="Times New Roman"/>
        </w:rPr>
      </w:pPr>
    </w:p>
    <w:p w14:paraId="2B87CC2D">
      <w:pPr>
        <w:rPr>
          <w:rFonts w:hint="eastAsia" w:ascii="Times New Roman" w:hAnsi="Times New Roman" w:eastAsia="宋体" w:cs="Times New Roman"/>
        </w:rPr>
      </w:pPr>
    </w:p>
    <w:p w14:paraId="5CF3F34F">
      <w:pPr>
        <w:rPr>
          <w:rFonts w:hint="eastAsia" w:ascii="Times New Roman" w:hAnsi="Times New Roman" w:eastAsia="宋体" w:cs="Times New Roman"/>
        </w:rPr>
      </w:pPr>
    </w:p>
    <w:p w14:paraId="18DCBAD6">
      <w:pPr>
        <w:widowControl w:val="0"/>
        <w:adjustRightInd w:val="0"/>
        <w:snapToGrid w:val="0"/>
        <w:spacing w:line="360" w:lineRule="auto"/>
        <w:jc w:val="both"/>
        <w:outlineLvl w:val="0"/>
        <w:rPr>
          <w:rFonts w:hint="eastAsia" w:ascii="宋体" w:hAnsi="宋体" w:eastAsia="宋体" w:cs="Times New Roman"/>
          <w:bCs/>
          <w:kern w:val="2"/>
          <w:sz w:val="21"/>
          <w:szCs w:val="21"/>
          <w:lang w:val="en-US" w:eastAsia="zh-CN" w:bidi="ar-SA"/>
        </w:rPr>
      </w:pPr>
      <w:r>
        <w:rPr>
          <w:rFonts w:hint="eastAsia" w:ascii="宋体" w:hAnsi="宋体" w:eastAsia="宋体" w:cs="Times New Roman"/>
          <w:kern w:val="2"/>
          <w:sz w:val="21"/>
          <w:szCs w:val="21"/>
          <w:lang w:val="en-US" w:eastAsia="zh-CN" w:bidi="ar-SA"/>
        </w:rPr>
        <w:t>供应商名称(盖单位章)：</w:t>
      </w:r>
      <w:r>
        <w:rPr>
          <w:rFonts w:hint="eastAsia" w:ascii="宋体" w:hAnsi="宋体" w:eastAsia="宋体" w:cs="Times New Roman"/>
          <w:kern w:val="2"/>
          <w:sz w:val="21"/>
          <w:szCs w:val="21"/>
          <w:u w:val="single"/>
          <w:lang w:val="en-US" w:eastAsia="zh-CN" w:bidi="ar-SA"/>
        </w:rPr>
        <w:t xml:space="preserve">                   </w:t>
      </w:r>
    </w:p>
    <w:p w14:paraId="194B8DAB">
      <w:pPr>
        <w:adjustRightInd w:val="0"/>
        <w:snapToGrid w:val="0"/>
        <w:spacing w:line="360" w:lineRule="auto"/>
        <w:outlineLvl w:val="0"/>
        <w:rPr>
          <w:rFonts w:hint="eastAsia" w:ascii="宋体" w:hAnsi="宋体" w:eastAsia="宋体" w:cs="Times New Roman"/>
          <w:szCs w:val="21"/>
        </w:rPr>
      </w:pPr>
      <w:r>
        <w:rPr>
          <w:rFonts w:hint="eastAsia" w:ascii="宋体" w:hAnsi="宋体" w:eastAsia="宋体" w:cs="Times New Roman"/>
          <w:szCs w:val="21"/>
        </w:rPr>
        <w:t>法定代表人或其委托代理人(签字)：</w:t>
      </w:r>
      <w:r>
        <w:rPr>
          <w:rFonts w:hint="eastAsia" w:ascii="宋体" w:hAnsi="宋体" w:eastAsia="宋体" w:cs="Times New Roman"/>
          <w:szCs w:val="21"/>
          <w:u w:val="single"/>
        </w:rPr>
        <w:t xml:space="preserve">                   </w:t>
      </w:r>
    </w:p>
    <w:p w14:paraId="2B7857C2">
      <w:pPr>
        <w:adjustRightInd w:val="0"/>
        <w:snapToGrid w:val="0"/>
        <w:spacing w:line="360" w:lineRule="auto"/>
        <w:outlineLvl w:val="0"/>
        <w:rPr>
          <w:rFonts w:hint="eastAsia" w:ascii="宋体" w:hAnsi="宋体" w:eastAsia="宋体" w:cs="Times New Roman"/>
          <w:szCs w:val="21"/>
        </w:rPr>
      </w:pPr>
      <w:r>
        <w:rPr>
          <w:rFonts w:hint="eastAsia" w:ascii="宋体" w:hAnsi="宋体" w:eastAsia="宋体" w:cs="Times New Roman"/>
          <w:szCs w:val="21"/>
        </w:rPr>
        <w:t xml:space="preserve">日          期：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14:paraId="420B8EEF">
      <w:pPr>
        <w:adjustRightInd w:val="0"/>
        <w:snapToGrid w:val="0"/>
        <w:spacing w:line="360" w:lineRule="auto"/>
        <w:rPr>
          <w:rFonts w:hint="eastAsia" w:ascii="宋体" w:hAnsi="宋体" w:eastAsia="宋体" w:cs="Times New Roman"/>
          <w:szCs w:val="21"/>
        </w:rPr>
      </w:pPr>
    </w:p>
    <w:p w14:paraId="4195243D">
      <w:pPr>
        <w:tabs>
          <w:tab w:val="left" w:pos="3600"/>
        </w:tabs>
        <w:adjustRightInd w:val="0"/>
        <w:snapToGrid w:val="0"/>
        <w:jc w:val="center"/>
        <w:rPr>
          <w:rFonts w:hint="eastAsia" w:ascii="黑体" w:hAnsi="宋体" w:eastAsia="黑体" w:cs="Times New Roman"/>
          <w:b/>
          <w:sz w:val="30"/>
          <w:szCs w:val="30"/>
        </w:rPr>
      </w:pPr>
      <w:r>
        <w:rPr>
          <w:rFonts w:hint="eastAsia" w:ascii="黑体" w:hAnsi="Times New Roman" w:eastAsia="黑体" w:cs="Times New Roman"/>
          <w:b/>
          <w:sz w:val="30"/>
          <w:szCs w:val="30"/>
        </w:rPr>
        <w:br w:type="page"/>
      </w:r>
      <w:r>
        <w:rPr>
          <w:rFonts w:hint="eastAsia" w:ascii="黑体" w:hAnsi="Times New Roman" w:eastAsia="黑体" w:cs="Times New Roman"/>
          <w:b/>
          <w:sz w:val="30"/>
          <w:szCs w:val="30"/>
        </w:rPr>
        <w:t>五、</w:t>
      </w:r>
      <w:r>
        <w:rPr>
          <w:rFonts w:hint="eastAsia" w:ascii="黑体" w:hAnsi="宋体" w:eastAsia="黑体" w:cs="Times New Roman"/>
          <w:b/>
          <w:sz w:val="30"/>
          <w:szCs w:val="30"/>
        </w:rPr>
        <w:t>提供享受政府采购政策的证明材料和清单表</w:t>
      </w:r>
    </w:p>
    <w:p w14:paraId="75409F41">
      <w:pPr>
        <w:tabs>
          <w:tab w:val="left" w:pos="3600"/>
        </w:tabs>
        <w:adjustRightInd w:val="0"/>
        <w:snapToGrid w:val="0"/>
        <w:jc w:val="center"/>
        <w:rPr>
          <w:rFonts w:hint="eastAsia" w:ascii="黑体" w:hAnsi="宋体" w:eastAsia="黑体" w:cs="Times New Roman"/>
          <w:b/>
          <w:sz w:val="32"/>
          <w:szCs w:val="32"/>
        </w:rPr>
      </w:pPr>
    </w:p>
    <w:p w14:paraId="63E7B177">
      <w:pPr>
        <w:rPr>
          <w:rFonts w:hint="eastAsia" w:ascii="黑体" w:hAnsi="宋体" w:eastAsia="黑体" w:cs="Times New Roman"/>
          <w:sz w:val="30"/>
          <w:szCs w:val="30"/>
        </w:rPr>
      </w:pPr>
      <w:r>
        <w:rPr>
          <w:rFonts w:hint="eastAsia" w:ascii="黑体" w:hAnsi="宋体" w:eastAsia="黑体" w:cs="Times New Roman"/>
          <w:sz w:val="30"/>
          <w:szCs w:val="30"/>
        </w:rPr>
        <w:t>附件</w:t>
      </w:r>
      <w:r>
        <w:rPr>
          <w:rFonts w:ascii="黑体" w:hAnsi="宋体" w:eastAsia="黑体" w:cs="Times New Roman"/>
          <w:sz w:val="30"/>
          <w:szCs w:val="30"/>
        </w:rPr>
        <w:t>8</w:t>
      </w:r>
      <w:r>
        <w:rPr>
          <w:rFonts w:hint="eastAsia" w:ascii="黑体" w:hAnsi="宋体" w:eastAsia="黑体" w:cs="Times New Roman"/>
          <w:sz w:val="30"/>
          <w:szCs w:val="30"/>
        </w:rPr>
        <w:t>-1</w:t>
      </w:r>
    </w:p>
    <w:p w14:paraId="1653A5DA">
      <w:pPr>
        <w:pStyle w:val="33"/>
        <w:keepNext/>
        <w:keepLines/>
        <w:spacing w:before="260" w:after="260" w:line="416" w:lineRule="auto"/>
        <w:ind w:firstLine="3080"/>
        <w:outlineLvl w:val="2"/>
        <w:rPr>
          <w:rStyle w:val="20"/>
          <w:rFonts w:ascii="黑体" w:hAnsi="黑体" w:eastAsia="黑体" w:cs="Times New Roman"/>
          <w:b/>
          <w:bCs/>
          <w:sz w:val="28"/>
          <w:szCs w:val="28"/>
        </w:rPr>
      </w:pPr>
      <w:r>
        <w:rPr>
          <w:rStyle w:val="20"/>
          <w:rFonts w:ascii="黑体" w:hAnsi="黑体" w:eastAsia="黑体" w:cs="Times New Roman"/>
          <w:bCs/>
          <w:sz w:val="28"/>
          <w:szCs w:val="28"/>
        </w:rPr>
        <w:t>中小企业声明函</w:t>
      </w:r>
    </w:p>
    <w:p w14:paraId="086332EB">
      <w:pPr>
        <w:pStyle w:val="33"/>
        <w:spacing w:line="360" w:lineRule="auto"/>
        <w:ind w:firstLine="3080" w:firstLineChars="1100"/>
        <w:rPr>
          <w:rStyle w:val="20"/>
          <w:rFonts w:ascii="黑体" w:hAnsi="黑体" w:eastAsia="黑体" w:cs="Times New Roman"/>
          <w:sz w:val="28"/>
          <w:szCs w:val="28"/>
        </w:rPr>
      </w:pPr>
      <w:r>
        <w:rPr>
          <w:rStyle w:val="20"/>
          <w:rFonts w:hint="eastAsia" w:ascii="黑体" w:hAnsi="黑体" w:eastAsia="黑体" w:cs="Times New Roman"/>
          <w:bCs/>
          <w:sz w:val="28"/>
          <w:szCs w:val="28"/>
        </w:rPr>
        <w:t xml:space="preserve"> (适用于中小企业)</w:t>
      </w:r>
    </w:p>
    <w:p w14:paraId="57B76E5C">
      <w:pPr>
        <w:pStyle w:val="33"/>
        <w:adjustRightInd w:val="0"/>
        <w:snapToGrid w:val="0"/>
        <w:spacing w:before="50" w:line="360" w:lineRule="auto"/>
        <w:ind w:left="-88" w:leftChars="-42" w:firstLine="420" w:firstLineChars="200"/>
        <w:rPr>
          <w:rStyle w:val="20"/>
          <w:rFonts w:ascii="宋体" w:hAnsi="宋体" w:eastAsia="宋体" w:cs="Times New Roman"/>
          <w:szCs w:val="21"/>
        </w:rPr>
      </w:pPr>
      <w:r>
        <w:rPr>
          <w:rStyle w:val="20"/>
          <w:rFonts w:hint="eastAsia" w:ascii="宋体" w:hAnsi="宋体" w:eastAsia="宋体" w:cs="Times New Roman"/>
          <w:szCs w:val="21"/>
        </w:rPr>
        <w:t>本公司（联合体）郑重声明，根据《政府采购促进中小企业发展管理办法》（财库﹝</w:t>
      </w:r>
      <w:r>
        <w:rPr>
          <w:rStyle w:val="20"/>
          <w:rFonts w:ascii="宋体" w:hAnsi="宋体" w:eastAsia="宋体" w:cs="Times New Roman"/>
          <w:szCs w:val="21"/>
        </w:rPr>
        <w:t xml:space="preserve">2020﹞46 </w:t>
      </w:r>
      <w:r>
        <w:rPr>
          <w:rStyle w:val="20"/>
          <w:rFonts w:hint="eastAsia" w:ascii="宋体" w:hAnsi="宋体" w:eastAsia="宋体" w:cs="Times New Roman"/>
          <w:szCs w:val="21"/>
        </w:rPr>
        <w:t>号）的规定，本公司（联合体）参加</w:t>
      </w:r>
      <w:r>
        <w:rPr>
          <w:rStyle w:val="20"/>
          <w:rFonts w:ascii="宋体" w:hAnsi="宋体" w:eastAsia="宋体" w:cs="Times New Roman"/>
          <w:szCs w:val="21"/>
        </w:rPr>
        <w:t xml:space="preserve"> </w:t>
      </w:r>
      <w:r>
        <w:rPr>
          <w:rStyle w:val="20"/>
          <w:rFonts w:hint="eastAsia" w:ascii="宋体" w:hAnsi="宋体" w:eastAsia="宋体" w:cs="Times New Roman"/>
          <w:szCs w:val="21"/>
        </w:rPr>
        <w:t>（单位名称）</w:t>
      </w:r>
      <w:r>
        <w:rPr>
          <w:rStyle w:val="20"/>
          <w:rFonts w:ascii="宋体" w:hAnsi="宋体" w:eastAsia="宋体" w:cs="Times New Roman"/>
          <w:szCs w:val="21"/>
        </w:rPr>
        <w:t xml:space="preserve"> </w:t>
      </w:r>
      <w:r>
        <w:rPr>
          <w:rStyle w:val="20"/>
          <w:rFonts w:hint="eastAsia" w:ascii="宋体" w:hAnsi="宋体" w:eastAsia="宋体" w:cs="Times New Roman"/>
          <w:szCs w:val="21"/>
        </w:rPr>
        <w:t>的</w:t>
      </w:r>
      <w:r>
        <w:rPr>
          <w:rStyle w:val="20"/>
          <w:rFonts w:ascii="宋体" w:hAnsi="宋体" w:eastAsia="宋体" w:cs="Times New Roman"/>
          <w:szCs w:val="21"/>
        </w:rPr>
        <w:t xml:space="preserve"> </w:t>
      </w:r>
      <w:r>
        <w:rPr>
          <w:rStyle w:val="20"/>
          <w:rFonts w:hint="eastAsia" w:ascii="宋体" w:hAnsi="宋体" w:eastAsia="宋体" w:cs="Times New Roman"/>
          <w:szCs w:val="21"/>
        </w:rPr>
        <w:t>（项目名称）</w:t>
      </w:r>
      <w:r>
        <w:rPr>
          <w:rStyle w:val="20"/>
          <w:rFonts w:ascii="宋体" w:hAnsi="宋体" w:eastAsia="宋体" w:cs="Times New Roman"/>
          <w:szCs w:val="21"/>
        </w:rPr>
        <w:t xml:space="preserve"> </w:t>
      </w:r>
      <w:r>
        <w:rPr>
          <w:rStyle w:val="20"/>
          <w:rFonts w:hint="eastAsia"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700361AA">
      <w:pPr>
        <w:pStyle w:val="33"/>
        <w:adjustRightInd w:val="0"/>
        <w:snapToGrid w:val="0"/>
        <w:spacing w:before="50" w:line="360" w:lineRule="auto"/>
        <w:ind w:left="-88" w:leftChars="-42" w:firstLine="420" w:firstLineChars="200"/>
        <w:rPr>
          <w:rStyle w:val="20"/>
          <w:rFonts w:ascii="宋体" w:hAnsi="宋体" w:eastAsia="宋体" w:cs="Times New Roman"/>
          <w:szCs w:val="21"/>
        </w:rPr>
      </w:pPr>
      <w:r>
        <w:rPr>
          <w:rStyle w:val="20"/>
          <w:rFonts w:ascii="宋体" w:hAnsi="宋体" w:eastAsia="宋体" w:cs="Times New Roman"/>
          <w:szCs w:val="21"/>
        </w:rPr>
        <w:t xml:space="preserve">1. </w:t>
      </w:r>
      <w:r>
        <w:rPr>
          <w:rStyle w:val="20"/>
          <w:rFonts w:hint="eastAsia" w:ascii="宋体" w:hAnsi="宋体" w:eastAsia="宋体" w:cs="Times New Roman"/>
          <w:szCs w:val="21"/>
          <w:u w:val="single"/>
        </w:rPr>
        <w:t>（标的名称）</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，属于</w:t>
      </w:r>
      <w:r>
        <w:rPr>
          <w:rStyle w:val="20"/>
          <w:rFonts w:ascii="宋体" w:hAnsi="宋体" w:eastAsia="宋体" w:cs="Times New Roman"/>
          <w:szCs w:val="21"/>
          <w:u w:val="single"/>
        </w:rPr>
        <w:t xml:space="preserve"> </w:t>
      </w:r>
      <w:r>
        <w:rPr>
          <w:rStyle w:val="20"/>
          <w:rFonts w:hint="eastAsia" w:ascii="宋体" w:hAnsi="宋体" w:eastAsia="宋体" w:cs="Times New Roman"/>
          <w:b/>
          <w:bCs/>
          <w:szCs w:val="21"/>
          <w:u w:val="single"/>
        </w:rPr>
        <w:t>（</w:t>
      </w:r>
      <w:r>
        <w:rPr>
          <w:rStyle w:val="20"/>
          <w:rFonts w:hint="eastAsia" w:ascii="宋体" w:hAnsi="宋体" w:cs="Times New Roman"/>
          <w:b/>
          <w:bCs/>
          <w:szCs w:val="21"/>
          <w:u w:val="single"/>
          <w:lang w:val="en-US" w:eastAsia="zh-CN"/>
        </w:rPr>
        <w:t>其他未列明</w:t>
      </w:r>
      <w:r>
        <w:rPr>
          <w:rStyle w:val="20"/>
          <w:rFonts w:hint="eastAsia" w:ascii="宋体" w:hAnsi="宋体" w:eastAsia="宋体" w:cs="Times New Roman"/>
          <w:b/>
          <w:bCs/>
          <w:szCs w:val="21"/>
          <w:u w:val="single"/>
        </w:rPr>
        <w:t>）</w:t>
      </w:r>
      <w:r>
        <w:rPr>
          <w:rStyle w:val="20"/>
          <w:rFonts w:hint="eastAsia" w:ascii="宋体" w:hAnsi="宋体" w:eastAsia="宋体" w:cs="Times New Roman"/>
          <w:szCs w:val="21"/>
        </w:rPr>
        <w:t>行业</w:t>
      </w:r>
      <w:r>
        <w:rPr>
          <w:rStyle w:val="20"/>
          <w:rFonts w:ascii="宋体" w:hAnsi="宋体" w:eastAsia="宋体" w:cs="Times New Roman"/>
          <w:szCs w:val="21"/>
        </w:rPr>
        <w:t xml:space="preserve"> </w:t>
      </w:r>
      <w:r>
        <w:rPr>
          <w:rStyle w:val="20"/>
          <w:rFonts w:hint="eastAsia" w:ascii="宋体" w:hAnsi="宋体" w:eastAsia="宋体" w:cs="Times New Roman"/>
          <w:szCs w:val="21"/>
        </w:rPr>
        <w:t>；制造商为</w:t>
      </w:r>
      <w:r>
        <w:rPr>
          <w:rStyle w:val="20"/>
          <w:rFonts w:ascii="宋体" w:hAnsi="宋体" w:eastAsia="宋体" w:cs="Times New Roman"/>
          <w:szCs w:val="21"/>
        </w:rPr>
        <w:t xml:space="preserve"> </w:t>
      </w:r>
      <w:r>
        <w:rPr>
          <w:rStyle w:val="20"/>
          <w:rFonts w:hint="eastAsia" w:ascii="宋体" w:hAnsi="宋体" w:eastAsia="宋体" w:cs="Times New Roman"/>
          <w:szCs w:val="21"/>
          <w:u w:val="single"/>
        </w:rPr>
        <w:t>（企业名称）</w:t>
      </w:r>
      <w:r>
        <w:rPr>
          <w:rStyle w:val="20"/>
          <w:rFonts w:ascii="宋体" w:hAnsi="宋体" w:eastAsia="宋体" w:cs="Times New Roman"/>
          <w:szCs w:val="21"/>
        </w:rPr>
        <w:t xml:space="preserve"> </w:t>
      </w:r>
      <w:r>
        <w:rPr>
          <w:rStyle w:val="20"/>
          <w:rFonts w:hint="eastAsia" w:ascii="宋体" w:hAnsi="宋体" w:eastAsia="宋体" w:cs="Times New Roman"/>
          <w:szCs w:val="21"/>
        </w:rPr>
        <w:t>，从业人员</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人，营业收入为</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万元，资产总额为</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万元，属于</w:t>
      </w:r>
      <w:r>
        <w:rPr>
          <w:rStyle w:val="20"/>
          <w:rFonts w:ascii="宋体" w:hAnsi="宋体" w:eastAsia="宋体" w:cs="Times New Roman"/>
          <w:szCs w:val="21"/>
          <w:u w:val="single"/>
        </w:rPr>
        <w:t xml:space="preserve"> </w:t>
      </w:r>
      <w:r>
        <w:rPr>
          <w:rStyle w:val="20"/>
          <w:rFonts w:hint="eastAsia" w:ascii="宋体" w:hAnsi="宋体" w:eastAsia="宋体" w:cs="Times New Roman"/>
          <w:szCs w:val="21"/>
          <w:u w:val="single"/>
        </w:rPr>
        <w:t>（中型企业、小型企业、微型企业）</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w:t>
      </w:r>
    </w:p>
    <w:p w14:paraId="2C5910E0">
      <w:pPr>
        <w:pStyle w:val="33"/>
        <w:adjustRightInd w:val="0"/>
        <w:snapToGrid w:val="0"/>
        <w:spacing w:before="50" w:line="360" w:lineRule="auto"/>
        <w:ind w:left="-88" w:leftChars="-42" w:firstLine="420" w:firstLineChars="200"/>
        <w:rPr>
          <w:rStyle w:val="20"/>
          <w:rFonts w:ascii="宋体" w:hAnsi="宋体" w:eastAsia="宋体" w:cs="Times New Roman"/>
          <w:szCs w:val="21"/>
        </w:rPr>
      </w:pPr>
      <w:r>
        <w:rPr>
          <w:rStyle w:val="20"/>
          <w:rFonts w:ascii="宋体" w:hAnsi="宋体" w:eastAsia="宋体" w:cs="Times New Roman"/>
          <w:szCs w:val="21"/>
        </w:rPr>
        <w:t xml:space="preserve">2. </w:t>
      </w:r>
      <w:r>
        <w:rPr>
          <w:rStyle w:val="20"/>
          <w:rFonts w:hint="eastAsia" w:ascii="宋体" w:hAnsi="宋体" w:eastAsia="宋体" w:cs="Times New Roman"/>
          <w:szCs w:val="21"/>
          <w:u w:val="single"/>
        </w:rPr>
        <w:t>（标的名称）</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，属于</w:t>
      </w:r>
      <w:r>
        <w:rPr>
          <w:rStyle w:val="20"/>
          <w:rFonts w:ascii="宋体" w:hAnsi="宋体" w:eastAsia="宋体" w:cs="Times New Roman"/>
          <w:szCs w:val="21"/>
          <w:u w:val="single"/>
        </w:rPr>
        <w:t xml:space="preserve"> </w:t>
      </w:r>
      <w:r>
        <w:rPr>
          <w:rStyle w:val="20"/>
          <w:rFonts w:hint="eastAsia" w:ascii="宋体" w:hAnsi="宋体" w:eastAsia="宋体" w:cs="Times New Roman"/>
          <w:b/>
          <w:bCs/>
          <w:szCs w:val="21"/>
          <w:u w:val="single"/>
        </w:rPr>
        <w:t>（</w:t>
      </w:r>
      <w:r>
        <w:rPr>
          <w:rStyle w:val="20"/>
          <w:rFonts w:hint="eastAsia" w:ascii="宋体" w:hAnsi="宋体" w:eastAsia="宋体" w:cs="Times New Roman"/>
          <w:b/>
          <w:bCs/>
          <w:szCs w:val="21"/>
          <w:u w:val="single"/>
          <w:lang w:val="en-US" w:eastAsia="zh-CN"/>
        </w:rPr>
        <w:t>其他未列明</w:t>
      </w:r>
      <w:r>
        <w:rPr>
          <w:rStyle w:val="20"/>
          <w:rFonts w:hint="eastAsia" w:ascii="宋体" w:hAnsi="宋体" w:eastAsia="宋体" w:cs="Times New Roman"/>
          <w:b/>
          <w:bCs/>
          <w:szCs w:val="21"/>
          <w:u w:val="single"/>
        </w:rPr>
        <w:t>）</w:t>
      </w:r>
      <w:r>
        <w:rPr>
          <w:rStyle w:val="20"/>
          <w:rFonts w:hint="eastAsia" w:ascii="宋体" w:hAnsi="宋体" w:eastAsia="宋体" w:cs="Times New Roman"/>
          <w:szCs w:val="21"/>
        </w:rPr>
        <w:t>行业</w:t>
      </w:r>
      <w:r>
        <w:rPr>
          <w:rStyle w:val="20"/>
          <w:rFonts w:ascii="宋体" w:hAnsi="宋体" w:eastAsia="宋体" w:cs="Times New Roman"/>
          <w:szCs w:val="21"/>
        </w:rPr>
        <w:t xml:space="preserve"> </w:t>
      </w:r>
      <w:r>
        <w:rPr>
          <w:rStyle w:val="20"/>
          <w:rFonts w:hint="eastAsia" w:ascii="宋体" w:hAnsi="宋体" w:eastAsia="宋体" w:cs="Times New Roman"/>
          <w:szCs w:val="21"/>
        </w:rPr>
        <w:t>；制造商为</w:t>
      </w:r>
      <w:r>
        <w:rPr>
          <w:rStyle w:val="20"/>
          <w:rFonts w:ascii="宋体" w:hAnsi="宋体" w:eastAsia="宋体" w:cs="Times New Roman"/>
          <w:szCs w:val="21"/>
        </w:rPr>
        <w:t xml:space="preserve"> </w:t>
      </w:r>
      <w:r>
        <w:rPr>
          <w:rStyle w:val="20"/>
          <w:rFonts w:hint="eastAsia" w:ascii="宋体" w:hAnsi="宋体" w:eastAsia="宋体" w:cs="Times New Roman"/>
          <w:szCs w:val="21"/>
          <w:u w:val="single"/>
        </w:rPr>
        <w:t>（企业名称）</w:t>
      </w:r>
      <w:r>
        <w:rPr>
          <w:rStyle w:val="20"/>
          <w:rFonts w:ascii="宋体" w:hAnsi="宋体" w:eastAsia="宋体" w:cs="Times New Roman"/>
          <w:szCs w:val="21"/>
        </w:rPr>
        <w:t xml:space="preserve"> </w:t>
      </w:r>
      <w:r>
        <w:rPr>
          <w:rStyle w:val="20"/>
          <w:rFonts w:hint="eastAsia" w:ascii="宋体" w:hAnsi="宋体" w:eastAsia="宋体" w:cs="Times New Roman"/>
          <w:szCs w:val="21"/>
        </w:rPr>
        <w:t>，从业人员</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人，营业收入为</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万元，资产总额为</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万元，属于</w:t>
      </w:r>
      <w:r>
        <w:rPr>
          <w:rStyle w:val="20"/>
          <w:rFonts w:ascii="宋体" w:hAnsi="宋体" w:eastAsia="宋体" w:cs="Times New Roman"/>
          <w:szCs w:val="21"/>
          <w:u w:val="single"/>
        </w:rPr>
        <w:t xml:space="preserve"> </w:t>
      </w:r>
      <w:r>
        <w:rPr>
          <w:rStyle w:val="20"/>
          <w:rFonts w:hint="eastAsia" w:ascii="宋体" w:hAnsi="宋体" w:eastAsia="宋体" w:cs="Times New Roman"/>
          <w:szCs w:val="21"/>
          <w:u w:val="single"/>
        </w:rPr>
        <w:t>（中型企业、小型企业、微型企业）</w:t>
      </w:r>
      <w:r>
        <w:rPr>
          <w:rStyle w:val="20"/>
          <w:rFonts w:ascii="宋体" w:hAnsi="宋体" w:eastAsia="宋体" w:cs="Times New Roman"/>
          <w:szCs w:val="21"/>
          <w:u w:val="single"/>
        </w:rPr>
        <w:t xml:space="preserve"> </w:t>
      </w:r>
      <w:r>
        <w:rPr>
          <w:rStyle w:val="20"/>
          <w:rFonts w:hint="eastAsia" w:ascii="宋体" w:hAnsi="宋体" w:eastAsia="宋体" w:cs="Times New Roman"/>
          <w:szCs w:val="21"/>
        </w:rPr>
        <w:t>；</w:t>
      </w:r>
    </w:p>
    <w:p w14:paraId="5F4F7B6F">
      <w:pPr>
        <w:pStyle w:val="33"/>
        <w:adjustRightInd w:val="0"/>
        <w:snapToGrid w:val="0"/>
        <w:spacing w:before="50" w:line="360" w:lineRule="auto"/>
        <w:ind w:left="-88" w:leftChars="-42" w:firstLine="420" w:firstLineChars="200"/>
        <w:rPr>
          <w:rStyle w:val="20"/>
          <w:rFonts w:ascii="宋体" w:hAnsi="宋体" w:eastAsia="宋体" w:cs="Times New Roman"/>
          <w:szCs w:val="21"/>
        </w:rPr>
      </w:pPr>
      <w:r>
        <w:rPr>
          <w:rStyle w:val="20"/>
          <w:rFonts w:hint="eastAsia" w:ascii="宋体" w:hAnsi="宋体" w:eastAsia="宋体" w:cs="Times New Roman"/>
          <w:szCs w:val="21"/>
        </w:rPr>
        <w:t>……</w:t>
      </w:r>
    </w:p>
    <w:p w14:paraId="650621FB">
      <w:pPr>
        <w:pStyle w:val="33"/>
        <w:adjustRightInd w:val="0"/>
        <w:snapToGrid w:val="0"/>
        <w:spacing w:before="50" w:line="360" w:lineRule="auto"/>
        <w:ind w:left="-88" w:leftChars="-42" w:firstLine="420" w:firstLineChars="200"/>
        <w:rPr>
          <w:rStyle w:val="20"/>
          <w:rFonts w:ascii="宋体" w:hAnsi="宋体" w:eastAsia="宋体" w:cs="Times New Roman"/>
          <w:szCs w:val="21"/>
        </w:rPr>
      </w:pPr>
      <w:r>
        <w:rPr>
          <w:rStyle w:val="20"/>
          <w:rFonts w:hint="eastAsia" w:ascii="宋体" w:hAnsi="宋体" w:eastAsia="宋体" w:cs="Times New Roman"/>
          <w:szCs w:val="21"/>
        </w:rPr>
        <w:t>以上企业，不属于大企业的分支机构，不存在控股股东为大企业的情形，也不存在与大企业的负责人为同一人的情形。</w:t>
      </w:r>
    </w:p>
    <w:p w14:paraId="2B21D1ED">
      <w:pPr>
        <w:pStyle w:val="33"/>
        <w:adjustRightInd w:val="0"/>
        <w:snapToGrid w:val="0"/>
        <w:spacing w:before="50" w:line="360" w:lineRule="auto"/>
        <w:ind w:left="-88" w:leftChars="-42" w:firstLine="420" w:firstLineChars="200"/>
        <w:rPr>
          <w:rStyle w:val="20"/>
          <w:rFonts w:ascii="宋体" w:hAnsi="宋体" w:eastAsia="宋体" w:cs="Times New Roman"/>
          <w:szCs w:val="21"/>
        </w:rPr>
      </w:pPr>
      <w:r>
        <w:rPr>
          <w:rStyle w:val="20"/>
          <w:rFonts w:hint="eastAsia" w:ascii="宋体" w:hAnsi="宋体" w:eastAsia="宋体" w:cs="Times New Roman"/>
          <w:szCs w:val="21"/>
        </w:rPr>
        <w:t>本企业对上述声明内容的真实性负责。如有虚假，将依法承担相应责任。</w:t>
      </w:r>
    </w:p>
    <w:p w14:paraId="6FF5363B">
      <w:pPr>
        <w:pStyle w:val="33"/>
        <w:adjustRightInd w:val="0"/>
        <w:snapToGrid w:val="0"/>
        <w:spacing w:before="50" w:line="360" w:lineRule="auto"/>
        <w:ind w:left="-88" w:leftChars="-42" w:firstLine="420" w:firstLineChars="200"/>
        <w:rPr>
          <w:rStyle w:val="20"/>
          <w:rFonts w:ascii="宋体" w:hAnsi="宋体" w:eastAsia="宋体" w:cs="Times New Roman"/>
          <w:szCs w:val="21"/>
        </w:rPr>
      </w:pPr>
      <w:r>
        <w:rPr>
          <w:rStyle w:val="20"/>
          <w:rFonts w:hint="eastAsia" w:ascii="宋体" w:hAnsi="宋体" w:eastAsia="宋体" w:cs="Times New Roman"/>
          <w:szCs w:val="21"/>
        </w:rPr>
        <w:t>企业名称（单位电子签章）：</w:t>
      </w:r>
    </w:p>
    <w:p w14:paraId="33BB4C92">
      <w:pPr>
        <w:spacing w:line="440" w:lineRule="exact"/>
        <w:ind w:firstLine="420" w:firstLineChars="200"/>
        <w:rPr>
          <w:rFonts w:hint="eastAsia" w:ascii="宋体" w:hAnsi="宋体" w:eastAsia="宋体" w:cs="宋体"/>
          <w:sz w:val="24"/>
        </w:rPr>
      </w:pPr>
      <w:r>
        <w:rPr>
          <w:rStyle w:val="20"/>
          <w:rFonts w:hint="eastAsia" w:ascii="宋体" w:hAnsi="宋体" w:eastAsia="宋体" w:cs="Times New Roman"/>
          <w:szCs w:val="21"/>
        </w:rPr>
        <w:t>日</w:t>
      </w:r>
      <w:r>
        <w:rPr>
          <w:rStyle w:val="20"/>
          <w:rFonts w:ascii="宋体" w:hAnsi="宋体" w:eastAsia="宋体" w:cs="Times New Roman"/>
          <w:szCs w:val="21"/>
        </w:rPr>
        <w:t xml:space="preserve"> </w:t>
      </w:r>
      <w:r>
        <w:rPr>
          <w:rStyle w:val="20"/>
          <w:rFonts w:hint="eastAsia" w:ascii="宋体" w:hAnsi="宋体" w:eastAsia="宋体" w:cs="Times New Roman"/>
          <w:szCs w:val="21"/>
        </w:rPr>
        <w:t>期：</w:t>
      </w:r>
    </w:p>
    <w:p w14:paraId="65C75417">
      <w:pPr>
        <w:spacing w:line="440" w:lineRule="exact"/>
        <w:ind w:firstLine="480" w:firstLineChars="200"/>
        <w:rPr>
          <w:rFonts w:hint="eastAsia" w:ascii="宋体" w:hAnsi="宋体" w:eastAsia="宋体" w:cs="宋体"/>
          <w:sz w:val="24"/>
        </w:rPr>
      </w:pPr>
    </w:p>
    <w:p w14:paraId="0EA4D15F">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说明：1、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p>
    <w:p w14:paraId="67BB17B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2、从业人员、营业收入、资产总额填报上一年度数据，无上一年度数据的新成立企业可不填报资产总额。</w:t>
      </w:r>
    </w:p>
    <w:p w14:paraId="5112FE80">
      <w:pPr>
        <w:widowControl/>
        <w:adjustRightInd w:val="0"/>
        <w:snapToGrid w:val="0"/>
        <w:spacing w:before="156" w:beforeLines="50" w:line="360" w:lineRule="auto"/>
        <w:jc w:val="left"/>
        <w:rPr>
          <w:rFonts w:hint="eastAsia" w:ascii="宋体" w:hAnsi="宋体" w:eastAsia="宋体" w:cs="Times New Roman"/>
          <w:b/>
          <w:bCs/>
          <w:szCs w:val="21"/>
        </w:rPr>
      </w:pPr>
      <w:r>
        <w:rPr>
          <w:rFonts w:ascii="宋体" w:hAnsi="宋体" w:eastAsia="宋体" w:cs="宋体"/>
          <w:spacing w:val="6"/>
          <w:kern w:val="0"/>
          <w:szCs w:val="21"/>
        </w:rPr>
        <w:br w:type="page"/>
      </w:r>
      <w:r>
        <w:rPr>
          <w:rFonts w:hint="eastAsia" w:ascii="黑体" w:hAnsi="宋体" w:eastAsia="黑体" w:cs="Times New Roman"/>
          <w:sz w:val="30"/>
          <w:szCs w:val="30"/>
        </w:rPr>
        <w:t>附件8-2</w:t>
      </w:r>
    </w:p>
    <w:p w14:paraId="27ECAC61">
      <w:pPr>
        <w:widowControl/>
        <w:adjustRightInd w:val="0"/>
        <w:snapToGrid w:val="0"/>
        <w:spacing w:line="360" w:lineRule="auto"/>
        <w:rPr>
          <w:rFonts w:hint="eastAsia" w:ascii="黑体" w:hAnsi="华文中宋" w:eastAsia="黑体" w:cs="宋体"/>
          <w:bCs/>
          <w:spacing w:val="6"/>
          <w:kern w:val="0"/>
          <w:sz w:val="30"/>
          <w:szCs w:val="30"/>
        </w:rPr>
      </w:pPr>
    </w:p>
    <w:p w14:paraId="4C17C7A4">
      <w:pPr>
        <w:widowControl/>
        <w:adjustRightInd w:val="0"/>
        <w:snapToGrid w:val="0"/>
        <w:spacing w:line="360" w:lineRule="auto"/>
        <w:jc w:val="center"/>
        <w:rPr>
          <w:rFonts w:ascii="宋体" w:hAnsi="宋体" w:eastAsia="宋体" w:cs="Times New Roman"/>
          <w:spacing w:val="6"/>
        </w:rPr>
      </w:pPr>
      <w:r>
        <w:rPr>
          <w:rFonts w:hint="eastAsia" w:ascii="黑体" w:hAnsi="华文中宋" w:eastAsia="黑体" w:cs="宋体"/>
          <w:bCs/>
          <w:spacing w:val="6"/>
          <w:kern w:val="0"/>
          <w:sz w:val="30"/>
          <w:szCs w:val="30"/>
        </w:rPr>
        <w:t>残疾人福利性单位声明函</w:t>
      </w:r>
    </w:p>
    <w:p w14:paraId="3CE8AF76">
      <w:pPr>
        <w:adjustRightInd w:val="0"/>
        <w:snapToGrid w:val="0"/>
        <w:spacing w:line="360" w:lineRule="auto"/>
        <w:jc w:val="center"/>
        <w:rPr>
          <w:rFonts w:ascii="宋体" w:hAnsi="宋体" w:eastAsia="宋体" w:cs="Times New Roman"/>
          <w:b/>
          <w:spacing w:val="6"/>
          <w:szCs w:val="21"/>
        </w:rPr>
      </w:pPr>
      <w:r>
        <w:rPr>
          <w:rFonts w:hint="eastAsia" w:ascii="宋体" w:hAnsi="宋体" w:eastAsia="宋体" w:cs="Times New Roman"/>
          <w:b/>
          <w:spacing w:val="6"/>
          <w:szCs w:val="21"/>
        </w:rPr>
        <w:t>(不属于残疾人福利性单位的无需填写)</w:t>
      </w:r>
    </w:p>
    <w:p w14:paraId="6F2117E2">
      <w:pPr>
        <w:adjustRightInd w:val="0"/>
        <w:snapToGrid w:val="0"/>
        <w:spacing w:line="360" w:lineRule="auto"/>
        <w:ind w:firstLine="444" w:firstLineChars="200"/>
        <w:rPr>
          <w:rFonts w:ascii="宋体" w:hAnsi="宋体" w:eastAsia="宋体" w:cs="Times New Roman"/>
          <w:spacing w:val="6"/>
          <w:szCs w:val="21"/>
        </w:rPr>
      </w:pPr>
    </w:p>
    <w:p w14:paraId="522CECA2">
      <w:pPr>
        <w:adjustRightInd w:val="0"/>
        <w:snapToGrid w:val="0"/>
        <w:spacing w:line="360" w:lineRule="auto"/>
        <w:ind w:firstLine="444" w:firstLineChars="200"/>
        <w:rPr>
          <w:rFonts w:ascii="宋体" w:hAnsi="宋体" w:eastAsia="宋体" w:cs="Times New Roman"/>
          <w:spacing w:val="6"/>
          <w:szCs w:val="21"/>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〔2017〕141</w:t>
      </w:r>
      <w:r>
        <w:rPr>
          <w:rFonts w:hint="eastAsia" w:ascii="宋体" w:hAnsi="宋体" w:eastAsia="宋体" w:cs="Times New Roman"/>
          <w:spacing w:val="6"/>
          <w:szCs w:val="21"/>
        </w:rPr>
        <w:t>号）的规定，本单位为符合条件的残疾人福利性单位，且本单位参加</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单位的</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项目采购活动提供本单位制造的货物（由本单位承担工程/提供服务），或者提供其他残疾人福利性单位制造的货物（不包括使用非残疾人福利性单位注册商标的货物）。</w:t>
      </w:r>
    </w:p>
    <w:p w14:paraId="56A357BA">
      <w:pPr>
        <w:adjustRightInd w:val="0"/>
        <w:snapToGrid w:val="0"/>
        <w:spacing w:line="360" w:lineRule="auto"/>
        <w:ind w:firstLine="444" w:firstLineChars="200"/>
        <w:rPr>
          <w:rFonts w:ascii="宋体" w:hAnsi="宋体" w:eastAsia="宋体" w:cs="Times New Roman"/>
          <w:spacing w:val="6"/>
          <w:szCs w:val="21"/>
        </w:rPr>
      </w:pPr>
      <w:r>
        <w:rPr>
          <w:rFonts w:hint="eastAsia" w:ascii="宋体" w:hAnsi="宋体" w:eastAsia="宋体" w:cs="Times New Roman"/>
          <w:spacing w:val="6"/>
          <w:szCs w:val="21"/>
        </w:rPr>
        <w:t>本单位对上述声明的真实性负责。如有虚假，将依法承担相应责任。</w:t>
      </w:r>
    </w:p>
    <w:p w14:paraId="0B2DA1A5">
      <w:pPr>
        <w:adjustRightInd w:val="0"/>
        <w:snapToGrid w:val="0"/>
        <w:spacing w:line="360" w:lineRule="auto"/>
        <w:ind w:firstLine="444" w:firstLineChars="200"/>
        <w:rPr>
          <w:rFonts w:ascii="宋体" w:hAnsi="宋体" w:eastAsia="宋体" w:cs="Times New Roman"/>
          <w:spacing w:val="6"/>
          <w:szCs w:val="21"/>
        </w:rPr>
      </w:pPr>
    </w:p>
    <w:p w14:paraId="7CFC510B">
      <w:pPr>
        <w:adjustRightInd w:val="0"/>
        <w:snapToGrid w:val="0"/>
        <w:spacing w:line="360" w:lineRule="auto"/>
        <w:ind w:firstLine="444" w:firstLineChars="200"/>
        <w:rPr>
          <w:rFonts w:ascii="宋体" w:hAnsi="宋体" w:eastAsia="宋体" w:cs="Times New Roman"/>
          <w:spacing w:val="6"/>
          <w:szCs w:val="21"/>
        </w:rPr>
      </w:pPr>
    </w:p>
    <w:p w14:paraId="65CE4666">
      <w:pPr>
        <w:tabs>
          <w:tab w:val="left" w:pos="4860"/>
        </w:tabs>
        <w:adjustRightInd w:val="0"/>
        <w:snapToGrid w:val="0"/>
        <w:spacing w:line="360" w:lineRule="auto"/>
        <w:ind w:right="1560" w:firstLine="444" w:firstLineChars="200"/>
        <w:jc w:val="center"/>
        <w:rPr>
          <w:rFonts w:ascii="宋体" w:hAnsi="宋体" w:eastAsia="宋体" w:cs="Times New Roman"/>
          <w:spacing w:val="6"/>
          <w:szCs w:val="21"/>
        </w:rPr>
      </w:pPr>
      <w:r>
        <w:rPr>
          <w:rFonts w:hint="eastAsia" w:ascii="宋体" w:hAnsi="宋体" w:eastAsia="宋体" w:cs="Times New Roman"/>
          <w:spacing w:val="6"/>
          <w:szCs w:val="21"/>
        </w:rPr>
        <w:t xml:space="preserve">               单位名称（盖章）：</w:t>
      </w:r>
    </w:p>
    <w:p w14:paraId="4F53414B">
      <w:pPr>
        <w:tabs>
          <w:tab w:val="left" w:pos="4860"/>
        </w:tabs>
        <w:adjustRightInd w:val="0"/>
        <w:snapToGrid w:val="0"/>
        <w:spacing w:line="360" w:lineRule="auto"/>
        <w:ind w:right="1560" w:firstLine="444" w:firstLineChars="200"/>
        <w:jc w:val="center"/>
        <w:rPr>
          <w:rFonts w:ascii="宋体" w:hAnsi="宋体" w:eastAsia="宋体" w:cs="Times New Roman"/>
          <w:spacing w:val="6"/>
          <w:szCs w:val="21"/>
        </w:rPr>
      </w:pPr>
      <w:r>
        <w:rPr>
          <w:rFonts w:hint="eastAsia" w:ascii="宋体" w:hAnsi="宋体" w:eastAsia="宋体" w:cs="Times New Roman"/>
          <w:spacing w:val="6"/>
          <w:szCs w:val="21"/>
        </w:rPr>
        <w:t xml:space="preserve">       日  期：</w:t>
      </w:r>
    </w:p>
    <w:p w14:paraId="4350ABCD">
      <w:pPr>
        <w:widowControl/>
        <w:adjustRightInd w:val="0"/>
        <w:snapToGrid w:val="0"/>
        <w:spacing w:line="360" w:lineRule="auto"/>
        <w:jc w:val="left"/>
        <w:rPr>
          <w:rFonts w:ascii="宋体" w:hAnsi="宋体" w:eastAsia="宋体" w:cs="宋体"/>
          <w:kern w:val="0"/>
          <w:szCs w:val="21"/>
        </w:rPr>
      </w:pPr>
    </w:p>
    <w:p w14:paraId="240905FD">
      <w:pPr>
        <w:keepNext/>
        <w:keepLines/>
        <w:widowControl w:val="0"/>
        <w:spacing w:before="0" w:after="0" w:line="416" w:lineRule="auto"/>
        <w:jc w:val="both"/>
        <w:outlineLvl w:val="2"/>
        <w:rPr>
          <w:rFonts w:ascii="宋体" w:hAnsi="宋体" w:eastAsia="宋体" w:cs="Times New Roman"/>
          <w:b/>
          <w:bCs/>
          <w:kern w:val="2"/>
          <w:sz w:val="21"/>
          <w:szCs w:val="21"/>
          <w:lang w:val="en-US" w:eastAsia="zh-CN" w:bidi="ar-SA"/>
        </w:rPr>
      </w:pPr>
      <w:bookmarkStart w:id="64" w:name="_Toc34637807"/>
      <w:bookmarkStart w:id="65" w:name="_Toc22201165"/>
      <w:r>
        <w:rPr>
          <w:rFonts w:hint="eastAsia" w:ascii="黑体" w:hAnsi="宋体" w:eastAsia="黑体" w:cs="Times New Roman"/>
          <w:b w:val="0"/>
          <w:bCs w:val="0"/>
          <w:kern w:val="2"/>
          <w:sz w:val="30"/>
          <w:szCs w:val="30"/>
          <w:lang w:val="en-US" w:eastAsia="zh-CN" w:bidi="ar-SA"/>
        </w:rPr>
        <w:br w:type="page"/>
      </w:r>
      <w:r>
        <w:rPr>
          <w:rFonts w:hint="eastAsia" w:ascii="黑体" w:hAnsi="宋体" w:eastAsia="黑体" w:cs="Times New Roman"/>
          <w:b w:val="0"/>
          <w:bCs w:val="0"/>
          <w:kern w:val="2"/>
          <w:sz w:val="30"/>
          <w:szCs w:val="30"/>
          <w:lang w:val="en-US" w:eastAsia="zh-CN" w:bidi="ar-SA"/>
        </w:rPr>
        <w:t xml:space="preserve">附件8-3 </w:t>
      </w:r>
      <w:bookmarkEnd w:id="64"/>
      <w:bookmarkEnd w:id="65"/>
    </w:p>
    <w:p w14:paraId="3E05610B">
      <w:pPr>
        <w:jc w:val="center"/>
        <w:rPr>
          <w:rFonts w:hint="eastAsia" w:ascii="黑体" w:hAnsi="华文中宋" w:eastAsia="黑体" w:cs="宋体"/>
          <w:bCs/>
          <w:spacing w:val="6"/>
          <w:kern w:val="0"/>
          <w:sz w:val="30"/>
          <w:szCs w:val="30"/>
        </w:rPr>
      </w:pPr>
      <w:r>
        <w:rPr>
          <w:rFonts w:hint="eastAsia" w:ascii="黑体" w:hAnsi="华文中宋" w:eastAsia="黑体" w:cs="宋体"/>
          <w:bCs/>
          <w:spacing w:val="6"/>
          <w:kern w:val="0"/>
          <w:sz w:val="30"/>
          <w:szCs w:val="30"/>
        </w:rPr>
        <w:t>监狱企业证明资料</w:t>
      </w:r>
    </w:p>
    <w:p w14:paraId="41F170F9">
      <w:pPr>
        <w:adjustRightInd w:val="0"/>
        <w:snapToGrid w:val="0"/>
        <w:spacing w:line="360" w:lineRule="auto"/>
        <w:jc w:val="center"/>
        <w:rPr>
          <w:rFonts w:ascii="宋体" w:hAnsi="宋体" w:eastAsia="宋体" w:cs="Times New Roman"/>
          <w:b/>
          <w:spacing w:val="6"/>
          <w:szCs w:val="21"/>
        </w:rPr>
      </w:pPr>
      <w:r>
        <w:rPr>
          <w:rFonts w:hint="eastAsia" w:ascii="宋体" w:hAnsi="宋体" w:eastAsia="宋体" w:cs="Times New Roman"/>
          <w:b/>
          <w:spacing w:val="6"/>
          <w:szCs w:val="21"/>
        </w:rPr>
        <w:t>(不属于监狱企业的无需提供)</w:t>
      </w:r>
    </w:p>
    <w:p w14:paraId="3D83A8D5">
      <w:pPr>
        <w:adjustRightInd w:val="0"/>
        <w:snapToGrid w:val="0"/>
        <w:spacing w:line="360" w:lineRule="auto"/>
        <w:rPr>
          <w:rFonts w:ascii="宋体" w:hAnsi="宋体" w:eastAsia="宋体" w:cs="Times New Roman"/>
          <w:szCs w:val="21"/>
        </w:rPr>
      </w:pPr>
    </w:p>
    <w:p w14:paraId="66B2D75D">
      <w:pPr>
        <w:adjustRightInd w:val="0"/>
        <w:snapToGrid w:val="0"/>
        <w:spacing w:line="360" w:lineRule="auto"/>
        <w:ind w:firstLine="444" w:firstLineChars="200"/>
        <w:rPr>
          <w:rFonts w:ascii="宋体" w:hAnsi="宋体" w:eastAsia="宋体" w:cs="Times New Roman"/>
          <w:szCs w:val="21"/>
        </w:rPr>
      </w:pPr>
      <w:r>
        <w:rPr>
          <w:rFonts w:hint="eastAsia" w:ascii="宋体" w:hAnsi="宋体" w:eastAsia="宋体" w:cs="宋体"/>
          <w:bCs/>
          <w:spacing w:val="6"/>
          <w:kern w:val="0"/>
          <w:szCs w:val="21"/>
        </w:rPr>
        <w:t>备注：</w:t>
      </w:r>
      <w:r>
        <w:rPr>
          <w:rFonts w:hint="eastAsia" w:ascii="宋体" w:hAnsi="宋体" w:eastAsia="宋体" w:cs="Times New Roman"/>
          <w:szCs w:val="21"/>
        </w:rPr>
        <w:t>按</w:t>
      </w:r>
      <w:r>
        <w:rPr>
          <w:rFonts w:hint="eastAsia" w:ascii="宋体" w:hAnsi="宋体" w:eastAsia="宋体" w:cs="Times New Roman"/>
          <w:spacing w:val="6"/>
          <w:szCs w:val="21"/>
        </w:rPr>
        <w:t>《</w:t>
      </w:r>
      <w:r>
        <w:rPr>
          <w:rFonts w:hint="eastAsia" w:ascii="宋体" w:hAnsi="宋体" w:eastAsia="宋体" w:cs="Times New Roman"/>
          <w:szCs w:val="21"/>
        </w:rPr>
        <w:t>财政部 司法部关于政府采购支持监狱企业发展有关问题的通知</w:t>
      </w:r>
      <w:r>
        <w:rPr>
          <w:rFonts w:hint="eastAsia" w:ascii="宋体" w:hAnsi="宋体" w:eastAsia="宋体" w:cs="Times New Roman"/>
          <w:spacing w:val="6"/>
          <w:szCs w:val="21"/>
        </w:rPr>
        <w:t>》</w:t>
      </w:r>
      <w:r>
        <w:rPr>
          <w:rFonts w:hint="eastAsia" w:ascii="宋体" w:hAnsi="宋体" w:eastAsia="宋体" w:cs="Times New Roman"/>
          <w:szCs w:val="21"/>
        </w:rPr>
        <w:t>(财库〔2014〕68号)文件规定提供证明文件（复印件）。</w:t>
      </w:r>
    </w:p>
    <w:p w14:paraId="2DBF3FC8">
      <w:pPr>
        <w:adjustRightInd w:val="0"/>
        <w:snapToGrid w:val="0"/>
        <w:spacing w:line="360" w:lineRule="auto"/>
        <w:ind w:firstLine="420" w:firstLineChars="200"/>
        <w:rPr>
          <w:rFonts w:ascii="宋体" w:hAnsi="宋体" w:eastAsia="宋体" w:cs="Times New Roman"/>
          <w:szCs w:val="21"/>
        </w:rPr>
      </w:pPr>
    </w:p>
    <w:p w14:paraId="2DD3E915">
      <w:pPr>
        <w:adjustRightInd w:val="0"/>
        <w:snapToGrid w:val="0"/>
        <w:spacing w:line="360" w:lineRule="auto"/>
        <w:ind w:firstLine="420" w:firstLineChars="200"/>
        <w:rPr>
          <w:rFonts w:ascii="宋体" w:hAnsi="宋体" w:eastAsia="宋体" w:cs="Times New Roman"/>
          <w:szCs w:val="21"/>
        </w:rPr>
      </w:pPr>
    </w:p>
    <w:p w14:paraId="004779C8">
      <w:pPr>
        <w:jc w:val="center"/>
        <w:rPr>
          <w:rFonts w:ascii="Times New Roman" w:hAnsi="华文中宋" w:eastAsia="黑体" w:cs="宋体"/>
          <w:spacing w:val="6"/>
          <w:kern w:val="0"/>
        </w:rPr>
      </w:pPr>
    </w:p>
    <w:p w14:paraId="52B4C200">
      <w:pPr>
        <w:jc w:val="center"/>
        <w:rPr>
          <w:rFonts w:hint="eastAsia" w:ascii="黑体" w:hAnsi="宋体" w:eastAsia="黑体" w:cs="Times New Roman"/>
          <w:b/>
          <w:sz w:val="32"/>
          <w:szCs w:val="32"/>
        </w:rPr>
      </w:pPr>
      <w:r>
        <w:rPr>
          <w:rFonts w:hAnsi="华文中宋" w:eastAsia="黑体" w:cs="宋体"/>
          <w:spacing w:val="6"/>
          <w:kern w:val="0"/>
        </w:rPr>
        <w:br w:type="page"/>
      </w:r>
      <w:r>
        <w:rPr>
          <w:rFonts w:hint="eastAsia" w:ascii="黑体" w:hAnsi="宋体" w:eastAsia="黑体" w:cs="Times New Roman"/>
          <w:b/>
          <w:sz w:val="32"/>
          <w:szCs w:val="32"/>
        </w:rPr>
        <w:t>六</w:t>
      </w:r>
      <w:r>
        <w:rPr>
          <w:rFonts w:hint="eastAsia" w:ascii="黑体" w:hAnsi="Times New Roman" w:eastAsia="黑体" w:cs="Times New Roman"/>
          <w:b/>
          <w:bCs/>
          <w:sz w:val="32"/>
          <w:szCs w:val="32"/>
        </w:rPr>
        <w:t>、</w:t>
      </w:r>
      <w:r>
        <w:rPr>
          <w:rFonts w:hint="eastAsia" w:ascii="黑体" w:hAnsi="宋体" w:eastAsia="黑体" w:cs="Times New Roman"/>
          <w:b/>
          <w:sz w:val="32"/>
          <w:szCs w:val="32"/>
        </w:rPr>
        <w:t>报价一览表及报价文件</w:t>
      </w:r>
    </w:p>
    <w:p w14:paraId="0E3D25BB">
      <w:pPr>
        <w:adjustRightInd w:val="0"/>
        <w:snapToGrid w:val="0"/>
        <w:rPr>
          <w:rFonts w:ascii="黑体" w:hAnsi="黑体" w:eastAsia="黑体" w:cs="Times New Roman"/>
          <w:sz w:val="30"/>
          <w:szCs w:val="30"/>
        </w:rPr>
      </w:pPr>
      <w:r>
        <w:rPr>
          <w:rFonts w:hint="eastAsia" w:ascii="黑体" w:hAnsi="黑体" w:eastAsia="黑体" w:cs="Times New Roman"/>
          <w:sz w:val="30"/>
          <w:szCs w:val="30"/>
        </w:rPr>
        <w:t>附件9-1</w:t>
      </w:r>
    </w:p>
    <w:p w14:paraId="771EA19A">
      <w:pPr>
        <w:adjustRightInd w:val="0"/>
        <w:snapToGrid w:val="0"/>
        <w:spacing w:line="360" w:lineRule="auto"/>
        <w:rPr>
          <w:rFonts w:hint="eastAsia" w:ascii="仿宋_GB2312" w:hAnsi="宋体" w:eastAsia="仿宋_GB2312" w:cs="Times New Roman"/>
          <w:szCs w:val="21"/>
        </w:rPr>
      </w:pPr>
    </w:p>
    <w:p w14:paraId="1BC9F2FD">
      <w:pPr>
        <w:adjustRightInd w:val="0"/>
        <w:snapToGrid w:val="0"/>
        <w:jc w:val="center"/>
        <w:rPr>
          <w:rFonts w:hint="eastAsia" w:ascii="黑体" w:hAnsi="宋体" w:eastAsia="黑体" w:cs="Times New Roman"/>
          <w:bCs/>
          <w:sz w:val="30"/>
          <w:szCs w:val="30"/>
        </w:rPr>
      </w:pPr>
    </w:p>
    <w:p w14:paraId="6E3D671A">
      <w:pPr>
        <w:adjustRightInd w:val="0"/>
        <w:snapToGrid w:val="0"/>
        <w:jc w:val="center"/>
        <w:rPr>
          <w:rFonts w:ascii="黑体" w:hAnsi="宋体" w:eastAsia="黑体" w:cs="Times New Roman"/>
          <w:sz w:val="30"/>
          <w:szCs w:val="30"/>
        </w:rPr>
      </w:pPr>
      <w:r>
        <w:rPr>
          <w:rFonts w:hint="eastAsia" w:ascii="黑体" w:hAnsi="宋体" w:eastAsia="黑体" w:cs="Times New Roman"/>
          <w:bCs/>
          <w:sz w:val="30"/>
          <w:szCs w:val="30"/>
        </w:rPr>
        <w:t>报价一览表</w:t>
      </w:r>
    </w:p>
    <w:p w14:paraId="66F0AA67">
      <w:pPr>
        <w:adjustRightInd w:val="0"/>
        <w:snapToGrid w:val="0"/>
        <w:rPr>
          <w:rFonts w:hint="eastAsia" w:ascii="黑体" w:hAnsi="宋体" w:eastAsia="黑体" w:cs="Times New Roman"/>
          <w:sz w:val="24"/>
        </w:rPr>
      </w:pP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710"/>
        <w:gridCol w:w="1620"/>
        <w:gridCol w:w="2520"/>
      </w:tblGrid>
      <w:tr w14:paraId="3F43D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970" w:type="dxa"/>
            <w:tcBorders>
              <w:top w:val="double" w:color="auto" w:sz="4" w:space="0"/>
              <w:left w:val="double" w:color="auto" w:sz="4" w:space="0"/>
              <w:right w:val="single" w:color="auto" w:sz="6" w:space="0"/>
            </w:tcBorders>
            <w:noWrap w:val="0"/>
            <w:vAlign w:val="center"/>
          </w:tcPr>
          <w:p w14:paraId="0EF07A45">
            <w:pPr>
              <w:tabs>
                <w:tab w:val="left" w:pos="403"/>
                <w:tab w:val="center" w:pos="3781"/>
              </w:tabs>
              <w:spacing w:line="360" w:lineRule="auto"/>
              <w:ind w:right="-5206" w:rightChars="-2479" w:firstLine="420" w:firstLineChars="200"/>
              <w:jc w:val="left"/>
              <w:rPr>
                <w:rFonts w:ascii="宋体" w:hAnsi="宋体" w:eastAsia="宋体" w:cs="Times New Roman"/>
                <w:szCs w:val="21"/>
              </w:rPr>
            </w:pPr>
            <w:r>
              <w:rPr>
                <w:rFonts w:ascii="宋体" w:hAnsi="宋体" w:eastAsia="宋体" w:cs="Times New Roman"/>
                <w:szCs w:val="21"/>
              </w:rPr>
              <w:t>项目名称</w:t>
            </w:r>
            <w:r>
              <w:rPr>
                <w:rFonts w:ascii="宋体" w:hAnsi="宋体" w:eastAsia="宋体" w:cs="Times New Roman"/>
                <w:szCs w:val="21"/>
              </w:rPr>
              <w:tab/>
            </w:r>
            <w:r>
              <w:rPr>
                <w:rFonts w:ascii="宋体" w:hAnsi="宋体" w:eastAsia="宋体" w:cs="Times New Roman"/>
                <w:szCs w:val="21"/>
              </w:rPr>
              <w:t>项目名称</w:t>
            </w:r>
          </w:p>
        </w:tc>
        <w:tc>
          <w:tcPr>
            <w:tcW w:w="2710" w:type="dxa"/>
            <w:tcBorders>
              <w:top w:val="double" w:color="auto" w:sz="4" w:space="0"/>
              <w:left w:val="single" w:color="auto" w:sz="6" w:space="0"/>
              <w:right w:val="single" w:color="auto" w:sz="6" w:space="0"/>
            </w:tcBorders>
            <w:noWrap w:val="0"/>
            <w:vAlign w:val="center"/>
          </w:tcPr>
          <w:p w14:paraId="7B07334B">
            <w:pPr>
              <w:spacing w:line="360" w:lineRule="auto"/>
              <w:jc w:val="center"/>
              <w:rPr>
                <w:rFonts w:ascii="宋体" w:hAnsi="宋体" w:eastAsia="宋体" w:cs="Times New Roman"/>
                <w:szCs w:val="21"/>
              </w:rPr>
            </w:pPr>
          </w:p>
        </w:tc>
        <w:tc>
          <w:tcPr>
            <w:tcW w:w="1620" w:type="dxa"/>
            <w:tcBorders>
              <w:top w:val="double" w:color="auto" w:sz="4" w:space="0"/>
              <w:left w:val="single" w:color="auto" w:sz="6" w:space="0"/>
              <w:right w:val="single" w:color="auto" w:sz="6" w:space="0"/>
            </w:tcBorders>
            <w:noWrap w:val="0"/>
            <w:vAlign w:val="center"/>
          </w:tcPr>
          <w:p w14:paraId="33CBF1A2">
            <w:pPr>
              <w:spacing w:line="360" w:lineRule="auto"/>
              <w:jc w:val="center"/>
              <w:rPr>
                <w:rFonts w:hint="eastAsia" w:ascii="宋体" w:hAnsi="宋体" w:eastAsia="宋体" w:cs="Times New Roman"/>
                <w:szCs w:val="21"/>
              </w:rPr>
            </w:pPr>
            <w:r>
              <w:rPr>
                <w:rFonts w:hint="eastAsia" w:ascii="宋体" w:hAnsi="宋体" w:eastAsia="宋体" w:cs="Times New Roman"/>
                <w:szCs w:val="21"/>
              </w:rPr>
              <w:t>采购代理</w:t>
            </w:r>
            <w:r>
              <w:rPr>
                <w:rFonts w:ascii="宋体" w:hAnsi="宋体" w:eastAsia="宋体" w:cs="Times New Roman"/>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14:paraId="43207350">
            <w:pPr>
              <w:spacing w:line="360" w:lineRule="auto"/>
              <w:jc w:val="center"/>
              <w:rPr>
                <w:rFonts w:ascii="宋体" w:hAnsi="宋体" w:eastAsia="宋体" w:cs="Times New Roman"/>
                <w:szCs w:val="21"/>
              </w:rPr>
            </w:pPr>
          </w:p>
        </w:tc>
      </w:tr>
      <w:tr w14:paraId="3C637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70" w:type="dxa"/>
            <w:tcBorders>
              <w:top w:val="single" w:color="auto" w:sz="6" w:space="0"/>
              <w:left w:val="double" w:color="auto" w:sz="4" w:space="0"/>
              <w:bottom w:val="single" w:color="auto" w:sz="6" w:space="0"/>
              <w:right w:val="single" w:color="auto" w:sz="6" w:space="0"/>
            </w:tcBorders>
            <w:noWrap w:val="0"/>
            <w:vAlign w:val="center"/>
          </w:tcPr>
          <w:p w14:paraId="0952E3C2">
            <w:pPr>
              <w:spacing w:line="360" w:lineRule="auto"/>
              <w:jc w:val="center"/>
              <w:rPr>
                <w:rFonts w:hint="eastAsia" w:ascii="宋体" w:hAnsi="宋体" w:eastAsia="宋体" w:cs="Times New Roman"/>
                <w:szCs w:val="21"/>
              </w:rPr>
            </w:pPr>
            <w:r>
              <w:rPr>
                <w:rFonts w:hint="eastAsia" w:ascii="宋体" w:hAnsi="宋体" w:eastAsia="宋体" w:cs="Times New Roman"/>
                <w:szCs w:val="21"/>
              </w:rPr>
              <w:t>投标总价</w:t>
            </w:r>
          </w:p>
        </w:tc>
        <w:tc>
          <w:tcPr>
            <w:tcW w:w="6850" w:type="dxa"/>
            <w:gridSpan w:val="3"/>
            <w:tcBorders>
              <w:top w:val="single" w:color="auto" w:sz="6" w:space="0"/>
              <w:left w:val="single" w:color="auto" w:sz="6" w:space="0"/>
              <w:bottom w:val="single" w:color="auto" w:sz="6" w:space="0"/>
              <w:right w:val="double" w:color="auto" w:sz="4" w:space="0"/>
            </w:tcBorders>
            <w:noWrap w:val="0"/>
            <w:vAlign w:val="center"/>
          </w:tcPr>
          <w:p w14:paraId="2C19C53B">
            <w:pPr>
              <w:spacing w:line="360" w:lineRule="auto"/>
              <w:rPr>
                <w:rFonts w:hint="eastAsia" w:ascii="Times New Roman" w:hAnsi="Times New Roman" w:eastAsia="宋体" w:cs="Times New Roman"/>
              </w:rPr>
            </w:pPr>
            <w:r>
              <w:rPr>
                <w:rFonts w:hint="eastAsia" w:ascii="Times New Roman" w:hAnsi="Times New Roman" w:eastAsia="宋体" w:cs="Times New Roman"/>
              </w:rPr>
              <w:t>大写：</w:t>
            </w:r>
            <w:r>
              <w:rPr>
                <w:rFonts w:hint="eastAsia" w:ascii="Times New Roman" w:hAnsi="Times New Roman" w:eastAsia="宋体" w:cs="Times New Roman"/>
                <w:u w:val="single"/>
              </w:rPr>
              <w:t xml:space="preserve">                   </w:t>
            </w:r>
            <w:r>
              <w:rPr>
                <w:rFonts w:hint="eastAsia" w:ascii="Times New Roman" w:hAnsi="Times New Roman" w:eastAsia="宋体" w:cs="Times New Roman"/>
              </w:rPr>
              <w:t>元</w:t>
            </w:r>
          </w:p>
          <w:p w14:paraId="38F1FFE2">
            <w:pPr>
              <w:spacing w:line="360" w:lineRule="auto"/>
              <w:rPr>
                <w:rFonts w:ascii="Times New Roman" w:hAnsi="Times New Roman" w:eastAsia="宋体" w:cs="Times New Roman"/>
              </w:rPr>
            </w:pPr>
            <w:r>
              <w:rPr>
                <w:rFonts w:hint="eastAsia" w:ascii="Times New Roman" w:hAnsi="Times New Roman" w:eastAsia="宋体" w:cs="Times New Roman"/>
              </w:rPr>
              <w:t>小写：</w:t>
            </w:r>
            <w:r>
              <w:rPr>
                <w:rFonts w:hint="eastAsia" w:ascii="Times New Roman" w:hAnsi="Times New Roman" w:eastAsia="宋体" w:cs="Times New Roman"/>
                <w:u w:val="single"/>
              </w:rPr>
              <w:t xml:space="preserve">                   </w:t>
            </w:r>
            <w:r>
              <w:rPr>
                <w:rFonts w:hint="eastAsia" w:ascii="Times New Roman" w:hAnsi="Times New Roman" w:eastAsia="宋体" w:cs="Times New Roman"/>
              </w:rPr>
              <w:t>元</w:t>
            </w:r>
          </w:p>
        </w:tc>
      </w:tr>
      <w:tr w14:paraId="27DDA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0" w:type="dxa"/>
            <w:tcBorders>
              <w:top w:val="single" w:color="auto" w:sz="6" w:space="0"/>
              <w:left w:val="double" w:color="auto" w:sz="4" w:space="0"/>
              <w:bottom w:val="single" w:color="auto" w:sz="6" w:space="0"/>
              <w:right w:val="single" w:color="auto" w:sz="6" w:space="0"/>
            </w:tcBorders>
            <w:noWrap w:val="0"/>
            <w:vAlign w:val="center"/>
          </w:tcPr>
          <w:p w14:paraId="61EBF6A4">
            <w:pPr>
              <w:spacing w:line="360" w:lineRule="auto"/>
              <w:jc w:val="center"/>
              <w:rPr>
                <w:rFonts w:hint="eastAsia" w:ascii="宋体" w:hAnsi="宋体" w:eastAsia="宋体" w:cs="Times New Roman"/>
                <w:szCs w:val="21"/>
              </w:rPr>
            </w:pPr>
            <w:r>
              <w:rPr>
                <w:rFonts w:hint="eastAsia" w:ascii="宋体" w:hAnsi="宋体" w:eastAsia="宋体" w:cs="Times New Roman"/>
                <w:szCs w:val="21"/>
                <w:lang w:val="en-US" w:eastAsia="zh-CN"/>
              </w:rPr>
              <w:t>履约</w:t>
            </w:r>
            <w:r>
              <w:rPr>
                <w:rFonts w:hint="eastAsia" w:ascii="宋体" w:hAnsi="宋体" w:eastAsia="宋体" w:cs="Times New Roman"/>
                <w:szCs w:val="21"/>
              </w:rPr>
              <w:t>期限</w:t>
            </w:r>
          </w:p>
        </w:tc>
        <w:tc>
          <w:tcPr>
            <w:tcW w:w="6850" w:type="dxa"/>
            <w:gridSpan w:val="3"/>
            <w:tcBorders>
              <w:top w:val="single" w:color="auto" w:sz="6" w:space="0"/>
              <w:left w:val="single" w:color="auto" w:sz="6" w:space="0"/>
              <w:bottom w:val="single" w:color="auto" w:sz="6" w:space="0"/>
              <w:right w:val="double" w:color="auto" w:sz="4" w:space="0"/>
            </w:tcBorders>
            <w:noWrap w:val="0"/>
            <w:vAlign w:val="center"/>
          </w:tcPr>
          <w:p w14:paraId="57B5C894">
            <w:pPr>
              <w:spacing w:line="360" w:lineRule="auto"/>
              <w:jc w:val="left"/>
              <w:rPr>
                <w:rFonts w:hint="eastAsia" w:ascii="宋体" w:hAnsi="宋体" w:eastAsia="宋体" w:cs="Times New Roman"/>
                <w:szCs w:val="21"/>
              </w:rPr>
            </w:pPr>
            <w:r>
              <w:rPr>
                <w:rFonts w:hint="eastAsia" w:ascii="宋体" w:hAnsi="宋体" w:eastAsia="宋体" w:cs="Times New Roman"/>
                <w:szCs w:val="21"/>
              </w:rPr>
              <w:t>完全响应磋商文件要求</w:t>
            </w:r>
          </w:p>
        </w:tc>
      </w:tr>
      <w:tr w14:paraId="0C7E2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0" w:type="dxa"/>
            <w:tcBorders>
              <w:top w:val="single" w:color="auto" w:sz="6" w:space="0"/>
              <w:left w:val="double" w:color="auto" w:sz="4" w:space="0"/>
              <w:bottom w:val="single" w:color="auto" w:sz="6" w:space="0"/>
              <w:right w:val="single" w:color="auto" w:sz="6" w:space="0"/>
            </w:tcBorders>
            <w:noWrap w:val="0"/>
            <w:vAlign w:val="center"/>
          </w:tcPr>
          <w:p w14:paraId="3D867957">
            <w:pPr>
              <w:spacing w:line="360" w:lineRule="auto"/>
              <w:jc w:val="center"/>
              <w:rPr>
                <w:rFonts w:ascii="宋体" w:hAnsi="宋体" w:eastAsia="宋体" w:cs="Times New Roman"/>
                <w:szCs w:val="21"/>
              </w:rPr>
            </w:pPr>
            <w:r>
              <w:rPr>
                <w:rFonts w:hint="eastAsia" w:ascii="宋体" w:hAnsi="宋体" w:eastAsia="宋体" w:cs="Times New Roman"/>
                <w:szCs w:val="21"/>
              </w:rPr>
              <w:t>项目负责人</w:t>
            </w:r>
          </w:p>
        </w:tc>
        <w:tc>
          <w:tcPr>
            <w:tcW w:w="6850" w:type="dxa"/>
            <w:gridSpan w:val="3"/>
            <w:tcBorders>
              <w:top w:val="single" w:color="auto" w:sz="6" w:space="0"/>
              <w:left w:val="single" w:color="auto" w:sz="6" w:space="0"/>
              <w:bottom w:val="single" w:color="auto" w:sz="6" w:space="0"/>
              <w:right w:val="double" w:color="auto" w:sz="4" w:space="0"/>
            </w:tcBorders>
            <w:noWrap w:val="0"/>
            <w:vAlign w:val="center"/>
          </w:tcPr>
          <w:p w14:paraId="76C91356">
            <w:pPr>
              <w:spacing w:line="360" w:lineRule="auto"/>
              <w:rPr>
                <w:rFonts w:ascii="宋体" w:hAnsi="宋体" w:eastAsia="宋体" w:cs="Times New Roman"/>
                <w:szCs w:val="21"/>
              </w:rPr>
            </w:pPr>
          </w:p>
        </w:tc>
      </w:tr>
      <w:tr w14:paraId="5E024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70" w:type="dxa"/>
            <w:tcBorders>
              <w:top w:val="single" w:color="auto" w:sz="6" w:space="0"/>
              <w:left w:val="double" w:color="auto" w:sz="4" w:space="0"/>
              <w:bottom w:val="double" w:color="auto" w:sz="4" w:space="0"/>
              <w:right w:val="single" w:color="auto" w:sz="6" w:space="0"/>
            </w:tcBorders>
            <w:noWrap w:val="0"/>
            <w:vAlign w:val="center"/>
          </w:tcPr>
          <w:p w14:paraId="3CE4BB32">
            <w:pPr>
              <w:spacing w:line="420" w:lineRule="exact"/>
              <w:jc w:val="center"/>
              <w:rPr>
                <w:rFonts w:ascii="宋体" w:hAnsi="宋体" w:eastAsia="宋体" w:cs="Times New Roman"/>
                <w:szCs w:val="21"/>
              </w:rPr>
            </w:pPr>
            <w:r>
              <w:rPr>
                <w:rFonts w:ascii="宋体" w:hAnsi="宋体" w:eastAsia="宋体" w:cs="Times New Roman"/>
                <w:szCs w:val="21"/>
              </w:rPr>
              <w:t>备  注</w:t>
            </w:r>
          </w:p>
        </w:tc>
        <w:tc>
          <w:tcPr>
            <w:tcW w:w="6850" w:type="dxa"/>
            <w:gridSpan w:val="3"/>
            <w:tcBorders>
              <w:top w:val="single" w:color="auto" w:sz="6" w:space="0"/>
              <w:left w:val="single" w:color="auto" w:sz="6" w:space="0"/>
              <w:bottom w:val="double" w:color="auto" w:sz="4" w:space="0"/>
              <w:right w:val="double" w:color="auto" w:sz="4" w:space="0"/>
            </w:tcBorders>
            <w:noWrap w:val="0"/>
            <w:vAlign w:val="center"/>
          </w:tcPr>
          <w:p w14:paraId="104E46B7">
            <w:pPr>
              <w:spacing w:line="360" w:lineRule="auto"/>
              <w:rPr>
                <w:rFonts w:ascii="Times New Roman" w:hAnsi="Times New Roman" w:eastAsia="宋体" w:cs="Times New Roman"/>
              </w:rPr>
            </w:pPr>
          </w:p>
        </w:tc>
      </w:tr>
    </w:tbl>
    <w:p w14:paraId="33886F45">
      <w:pPr>
        <w:adjustRightInd w:val="0"/>
        <w:snapToGrid w:val="0"/>
        <w:spacing w:line="360" w:lineRule="auto"/>
        <w:ind w:left="-88" w:leftChars="-42"/>
        <w:rPr>
          <w:rFonts w:hint="eastAsia" w:ascii="宋体" w:hAnsi="宋体" w:eastAsia="宋体" w:cs="Times New Roman"/>
          <w:szCs w:val="21"/>
        </w:rPr>
      </w:pPr>
    </w:p>
    <w:p w14:paraId="00A98286">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供应商名称（盖单位章）：</w:t>
      </w:r>
    </w:p>
    <w:p w14:paraId="31B577F9">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法定代表人或其委托代理人签字：</w:t>
      </w:r>
      <w:r>
        <w:rPr>
          <w:rFonts w:hint="eastAsia" w:ascii="宋体" w:hAnsi="宋体" w:eastAsia="宋体" w:cs="Times New Roman"/>
          <w:szCs w:val="21"/>
          <w:u w:val="single"/>
        </w:rPr>
        <w:t xml:space="preserve">       </w:t>
      </w:r>
    </w:p>
    <w:p w14:paraId="61D4BC93">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7180E93D">
      <w:pPr>
        <w:adjustRightInd w:val="0"/>
        <w:snapToGrid w:val="0"/>
        <w:spacing w:line="360" w:lineRule="auto"/>
        <w:rPr>
          <w:rFonts w:hint="eastAsia" w:ascii="宋体" w:hAnsi="宋体" w:eastAsia="宋体" w:cs="Times New Roman"/>
          <w:szCs w:val="21"/>
        </w:rPr>
      </w:pPr>
    </w:p>
    <w:p w14:paraId="209B32FD">
      <w:pPr>
        <w:adjustRightInd w:val="0"/>
        <w:snapToGrid w:val="0"/>
        <w:spacing w:line="360" w:lineRule="auto"/>
        <w:rPr>
          <w:rFonts w:hint="eastAsia" w:ascii="宋体" w:hAnsi="宋体" w:eastAsia="宋体" w:cs="Times New Roman"/>
          <w:szCs w:val="21"/>
        </w:rPr>
      </w:pPr>
    </w:p>
    <w:p w14:paraId="3B48D4D0">
      <w:pPr>
        <w:adjustRightInd w:val="0"/>
        <w:snapToGrid w:val="0"/>
        <w:rPr>
          <w:rFonts w:hint="eastAsia" w:ascii="黑体" w:hAnsi="黑体" w:eastAsia="黑体" w:cs="Times New Roman"/>
          <w:sz w:val="30"/>
          <w:szCs w:val="30"/>
        </w:rPr>
      </w:pPr>
    </w:p>
    <w:p w14:paraId="04B06876">
      <w:pPr>
        <w:adjustRightInd w:val="0"/>
        <w:snapToGrid w:val="0"/>
        <w:rPr>
          <w:rFonts w:hint="eastAsia" w:ascii="黑体" w:hAnsi="黑体" w:eastAsia="黑体" w:cs="Times New Roman"/>
          <w:sz w:val="30"/>
          <w:szCs w:val="30"/>
        </w:rPr>
      </w:pPr>
    </w:p>
    <w:p w14:paraId="2ABFB8EB">
      <w:pPr>
        <w:adjustRightInd w:val="0"/>
        <w:snapToGrid w:val="0"/>
        <w:rPr>
          <w:rFonts w:hint="eastAsia" w:ascii="黑体" w:hAnsi="黑体" w:eastAsia="黑体"/>
          <w:sz w:val="30"/>
          <w:szCs w:val="30"/>
        </w:rPr>
        <w:sectPr>
          <w:headerReference r:id="rId12" w:type="default"/>
          <w:footerReference r:id="rId13" w:type="default"/>
          <w:pgSz w:w="11906" w:h="16838"/>
          <w:pgMar w:top="1474" w:right="1474" w:bottom="232" w:left="1588" w:header="851" w:footer="992" w:gutter="0"/>
          <w:cols w:space="720" w:num="1"/>
          <w:docGrid w:type="lines" w:linePitch="312" w:charSpace="0"/>
        </w:sectPr>
      </w:pPr>
    </w:p>
    <w:p w14:paraId="5AD600FA">
      <w:pPr>
        <w:adjustRightInd w:val="0"/>
        <w:snapToGrid w:val="0"/>
        <w:rPr>
          <w:rFonts w:hint="eastAsia" w:ascii="黑体" w:hAnsi="宋体" w:eastAsia="黑体" w:cs="Times New Roman"/>
          <w:sz w:val="30"/>
          <w:szCs w:val="30"/>
        </w:rPr>
      </w:pPr>
      <w:r>
        <w:rPr>
          <w:rFonts w:hint="eastAsia" w:ascii="黑体" w:hAnsi="宋体" w:eastAsia="黑体" w:cs="Times New Roman"/>
          <w:sz w:val="30"/>
          <w:szCs w:val="30"/>
        </w:rPr>
        <w:t>附件9-2</w:t>
      </w:r>
    </w:p>
    <w:p w14:paraId="3C6BC78F">
      <w:pPr>
        <w:adjustRightInd w:val="0"/>
        <w:snapToGrid w:val="0"/>
        <w:jc w:val="center"/>
        <w:rPr>
          <w:rFonts w:hint="eastAsia" w:ascii="黑体" w:hAnsi="宋体" w:eastAsia="黑体" w:cs="Times New Roman"/>
          <w:sz w:val="30"/>
          <w:szCs w:val="30"/>
        </w:rPr>
      </w:pPr>
      <w:r>
        <w:rPr>
          <w:rFonts w:hint="eastAsia" w:ascii="黑体" w:hAnsi="宋体" w:eastAsia="黑体" w:cs="Times New Roman"/>
          <w:sz w:val="30"/>
          <w:szCs w:val="30"/>
        </w:rPr>
        <w:t>分项价格表</w:t>
      </w:r>
    </w:p>
    <w:p w14:paraId="0FB7ECBB">
      <w:pPr>
        <w:spacing w:line="360" w:lineRule="exact"/>
        <w:ind w:firstLine="210" w:firstLineChars="100"/>
        <w:rPr>
          <w:rFonts w:hint="eastAsia" w:ascii="楷体_GB2312" w:hAnsi="Times New Roman" w:eastAsia="楷体_GB2312" w:cs="Times New Roman"/>
          <w:b/>
        </w:rPr>
      </w:pPr>
      <w:r>
        <w:rPr>
          <w:rFonts w:hint="eastAsia" w:ascii="楷体_GB2312" w:hAnsi="Times New Roman" w:eastAsia="楷体_GB2312" w:cs="Times New Roman"/>
          <w:b/>
        </w:rPr>
        <w:t>项目名称：</w:t>
      </w:r>
    </w:p>
    <w:p w14:paraId="0137FE80">
      <w:pPr>
        <w:spacing w:line="360" w:lineRule="exact"/>
        <w:ind w:firstLine="210" w:firstLineChars="100"/>
        <w:rPr>
          <w:rFonts w:hint="eastAsia" w:ascii="楷体_GB2312" w:hAnsi="Times New Roman" w:eastAsia="楷体_GB2312" w:cs="Times New Roman"/>
          <w:b/>
        </w:rPr>
      </w:pPr>
      <w:r>
        <w:rPr>
          <w:rFonts w:hint="eastAsia" w:ascii="楷体_GB2312" w:hAnsi="Times New Roman" w:eastAsia="楷体_GB2312" w:cs="Times New Roman"/>
          <w:b/>
        </w:rPr>
        <w:t>包号：                                                                                                       金额单位：元</w:t>
      </w:r>
    </w:p>
    <w:tbl>
      <w:tblPr>
        <w:tblStyle w:val="18"/>
        <w:tblW w:w="13081" w:type="dxa"/>
        <w:tblInd w:w="0" w:type="dxa"/>
        <w:tblLayout w:type="fixed"/>
        <w:tblCellMar>
          <w:top w:w="0" w:type="dxa"/>
          <w:left w:w="0" w:type="dxa"/>
          <w:bottom w:w="0" w:type="dxa"/>
          <w:right w:w="0" w:type="dxa"/>
        </w:tblCellMar>
      </w:tblPr>
      <w:tblGrid>
        <w:gridCol w:w="333"/>
        <w:gridCol w:w="1981"/>
        <w:gridCol w:w="2917"/>
        <w:gridCol w:w="2667"/>
        <w:gridCol w:w="1166"/>
        <w:gridCol w:w="1167"/>
        <w:gridCol w:w="1183"/>
        <w:gridCol w:w="1667"/>
      </w:tblGrid>
      <w:tr w14:paraId="03B839FF">
        <w:tblPrEx>
          <w:tblCellMar>
            <w:top w:w="0" w:type="dxa"/>
            <w:left w:w="0" w:type="dxa"/>
            <w:bottom w:w="0" w:type="dxa"/>
            <w:right w:w="0" w:type="dxa"/>
          </w:tblCellMar>
        </w:tblPrEx>
        <w:trPr>
          <w:trHeight w:val="415" w:hRule="exact"/>
        </w:trPr>
        <w:tc>
          <w:tcPr>
            <w:tcW w:w="2314" w:type="dxa"/>
            <w:gridSpan w:val="2"/>
            <w:vMerge w:val="restart"/>
            <w:tcBorders>
              <w:top w:val="double" w:color="auto" w:sz="4" w:space="0"/>
              <w:left w:val="double" w:color="auto" w:sz="4" w:space="0"/>
              <w:right w:val="single" w:color="auto" w:sz="6" w:space="0"/>
            </w:tcBorders>
            <w:noWrap/>
            <w:vAlign w:val="center"/>
          </w:tcPr>
          <w:p w14:paraId="2ACEEDE0">
            <w:pPr>
              <w:autoSpaceDE w:val="0"/>
              <w:autoSpaceDN w:val="0"/>
              <w:adjustRightInd w:val="0"/>
              <w:snapToGrid w:val="0"/>
              <w:spacing w:line="360" w:lineRule="auto"/>
              <w:ind w:right="-20"/>
              <w:jc w:val="center"/>
              <w:rPr>
                <w:rFonts w:ascii="宋体" w:hAnsi="宋体" w:eastAsia="宋体" w:cs="微软雅黑"/>
                <w:kern w:val="0"/>
                <w:position w:val="-1"/>
                <w:szCs w:val="21"/>
              </w:rPr>
            </w:pPr>
            <w:r>
              <w:rPr>
                <w:rFonts w:hint="eastAsia" w:ascii="宋体" w:hAnsi="宋体" w:eastAsia="宋体" w:cs="微软雅黑"/>
                <w:kern w:val="0"/>
                <w:position w:val="-1"/>
                <w:szCs w:val="21"/>
              </w:rPr>
              <w:t>标的名称</w:t>
            </w:r>
          </w:p>
        </w:tc>
        <w:tc>
          <w:tcPr>
            <w:tcW w:w="2917" w:type="dxa"/>
            <w:vMerge w:val="restart"/>
            <w:tcBorders>
              <w:top w:val="double" w:color="auto" w:sz="4" w:space="0"/>
              <w:left w:val="single" w:color="auto" w:sz="6" w:space="0"/>
              <w:bottom w:val="single" w:color="auto" w:sz="6" w:space="0"/>
              <w:right w:val="single" w:color="auto" w:sz="4" w:space="0"/>
            </w:tcBorders>
            <w:noWrap/>
            <w:vAlign w:val="center"/>
          </w:tcPr>
          <w:p w14:paraId="1F9ADBCE">
            <w:pPr>
              <w:autoSpaceDE w:val="0"/>
              <w:autoSpaceDN w:val="0"/>
              <w:adjustRightInd w:val="0"/>
              <w:snapToGrid w:val="0"/>
              <w:spacing w:line="360" w:lineRule="auto"/>
              <w:ind w:right="-20"/>
              <w:jc w:val="center"/>
              <w:rPr>
                <w:rFonts w:ascii="宋体" w:hAnsi="宋体" w:eastAsia="宋体" w:cs="Times New Roman"/>
                <w:szCs w:val="21"/>
              </w:rPr>
            </w:pPr>
            <w:r>
              <w:rPr>
                <w:rFonts w:hint="eastAsia" w:ascii="宋体" w:hAnsi="宋体" w:eastAsia="宋体" w:cs="Times New Roman"/>
                <w:szCs w:val="21"/>
              </w:rPr>
              <w:t>规格型号或产品说明</w:t>
            </w:r>
          </w:p>
        </w:tc>
        <w:tc>
          <w:tcPr>
            <w:tcW w:w="2667" w:type="dxa"/>
            <w:vMerge w:val="restart"/>
            <w:tcBorders>
              <w:top w:val="double" w:color="auto" w:sz="4" w:space="0"/>
              <w:left w:val="single" w:color="auto" w:sz="4" w:space="0"/>
              <w:bottom w:val="single" w:color="auto" w:sz="6" w:space="0"/>
              <w:right w:val="single" w:color="auto" w:sz="6" w:space="0"/>
            </w:tcBorders>
            <w:noWrap/>
            <w:vAlign w:val="center"/>
          </w:tcPr>
          <w:p w14:paraId="55909175">
            <w:pPr>
              <w:autoSpaceDE w:val="0"/>
              <w:autoSpaceDN w:val="0"/>
              <w:adjustRightInd w:val="0"/>
              <w:snapToGrid w:val="0"/>
              <w:spacing w:line="360" w:lineRule="auto"/>
              <w:ind w:right="-20"/>
              <w:jc w:val="center"/>
              <w:rPr>
                <w:rFonts w:ascii="宋体" w:hAnsi="宋体" w:eastAsia="宋体" w:cs="Times New Roman"/>
                <w:szCs w:val="21"/>
              </w:rPr>
            </w:pPr>
            <w:r>
              <w:rPr>
                <w:rFonts w:hint="eastAsia" w:ascii="宋体" w:hAnsi="宋体" w:eastAsia="宋体" w:cs="Times New Roman"/>
                <w:szCs w:val="21"/>
              </w:rPr>
              <w:t>品牌/产地</w:t>
            </w:r>
          </w:p>
        </w:tc>
        <w:tc>
          <w:tcPr>
            <w:tcW w:w="1166" w:type="dxa"/>
            <w:vMerge w:val="restart"/>
            <w:tcBorders>
              <w:top w:val="double" w:color="auto" w:sz="4" w:space="0"/>
              <w:left w:val="single" w:color="auto" w:sz="6" w:space="0"/>
              <w:right w:val="single" w:color="auto" w:sz="4" w:space="0"/>
            </w:tcBorders>
            <w:noWrap/>
            <w:vAlign w:val="center"/>
          </w:tcPr>
          <w:p w14:paraId="6BAF88DC">
            <w:pPr>
              <w:autoSpaceDE w:val="0"/>
              <w:autoSpaceDN w:val="0"/>
              <w:adjustRightInd w:val="0"/>
              <w:snapToGrid w:val="0"/>
              <w:spacing w:line="360" w:lineRule="auto"/>
              <w:ind w:right="-20"/>
              <w:jc w:val="center"/>
              <w:rPr>
                <w:rFonts w:ascii="宋体" w:hAnsi="宋体" w:eastAsia="宋体" w:cs="微软雅黑"/>
                <w:kern w:val="0"/>
                <w:position w:val="-1"/>
                <w:szCs w:val="21"/>
              </w:rPr>
            </w:pPr>
            <w:r>
              <w:rPr>
                <w:rFonts w:hint="eastAsia" w:ascii="宋体" w:hAnsi="宋体" w:eastAsia="宋体" w:cs="Times New Roman"/>
                <w:kern w:val="0"/>
                <w:szCs w:val="21"/>
              </w:rPr>
              <w:t>数量/单位</w:t>
            </w:r>
          </w:p>
        </w:tc>
        <w:tc>
          <w:tcPr>
            <w:tcW w:w="2350" w:type="dxa"/>
            <w:gridSpan w:val="2"/>
            <w:tcBorders>
              <w:top w:val="double" w:color="auto" w:sz="4" w:space="0"/>
              <w:left w:val="single" w:color="auto" w:sz="4" w:space="0"/>
              <w:bottom w:val="single" w:color="auto" w:sz="6" w:space="0"/>
              <w:right w:val="single" w:color="auto" w:sz="6" w:space="0"/>
            </w:tcBorders>
            <w:noWrap/>
            <w:vAlign w:val="center"/>
          </w:tcPr>
          <w:p w14:paraId="60D3F879">
            <w:pPr>
              <w:autoSpaceDE w:val="0"/>
              <w:autoSpaceDN w:val="0"/>
              <w:adjustRightInd w:val="0"/>
              <w:snapToGrid w:val="0"/>
              <w:spacing w:line="360" w:lineRule="auto"/>
              <w:ind w:right="-20"/>
              <w:jc w:val="center"/>
              <w:rPr>
                <w:rFonts w:ascii="宋体" w:hAnsi="宋体" w:eastAsia="宋体" w:cs="微软雅黑"/>
                <w:kern w:val="0"/>
                <w:position w:val="-1"/>
                <w:szCs w:val="21"/>
              </w:rPr>
            </w:pPr>
            <w:r>
              <w:rPr>
                <w:rFonts w:hint="eastAsia" w:ascii="宋体" w:hAnsi="宋体" w:eastAsia="宋体" w:cs="微软雅黑"/>
                <w:kern w:val="0"/>
                <w:position w:val="-1"/>
                <w:szCs w:val="21"/>
              </w:rPr>
              <w:t>金额（元）</w:t>
            </w:r>
          </w:p>
        </w:tc>
        <w:tc>
          <w:tcPr>
            <w:tcW w:w="1667" w:type="dxa"/>
            <w:vMerge w:val="restart"/>
            <w:tcBorders>
              <w:top w:val="double" w:color="auto" w:sz="4" w:space="0"/>
              <w:left w:val="single" w:color="auto" w:sz="6" w:space="0"/>
              <w:bottom w:val="single" w:color="auto" w:sz="6" w:space="0"/>
              <w:right w:val="double" w:color="auto" w:sz="4" w:space="0"/>
            </w:tcBorders>
            <w:noWrap/>
            <w:vAlign w:val="center"/>
          </w:tcPr>
          <w:p w14:paraId="1317573E">
            <w:pPr>
              <w:autoSpaceDE w:val="0"/>
              <w:autoSpaceDN w:val="0"/>
              <w:adjustRightInd w:val="0"/>
              <w:snapToGrid w:val="0"/>
              <w:spacing w:line="360" w:lineRule="auto"/>
              <w:ind w:right="-20"/>
              <w:jc w:val="center"/>
              <w:rPr>
                <w:rFonts w:ascii="宋体" w:hAnsi="宋体" w:eastAsia="宋体" w:cs="微软雅黑"/>
                <w:kern w:val="0"/>
                <w:position w:val="-1"/>
                <w:szCs w:val="21"/>
              </w:rPr>
            </w:pPr>
            <w:r>
              <w:rPr>
                <w:rFonts w:hint="eastAsia" w:ascii="宋体" w:hAnsi="宋体" w:eastAsia="宋体" w:cs="微软雅黑"/>
                <w:kern w:val="0"/>
                <w:position w:val="-1"/>
                <w:szCs w:val="21"/>
              </w:rPr>
              <w:t>备注</w:t>
            </w:r>
          </w:p>
        </w:tc>
      </w:tr>
      <w:tr w14:paraId="2A130221">
        <w:tblPrEx>
          <w:tblCellMar>
            <w:top w:w="0" w:type="dxa"/>
            <w:left w:w="0" w:type="dxa"/>
            <w:bottom w:w="0" w:type="dxa"/>
            <w:right w:w="0" w:type="dxa"/>
          </w:tblCellMar>
        </w:tblPrEx>
        <w:trPr>
          <w:trHeight w:val="873" w:hRule="exact"/>
        </w:trPr>
        <w:tc>
          <w:tcPr>
            <w:tcW w:w="2314" w:type="dxa"/>
            <w:gridSpan w:val="2"/>
            <w:vMerge w:val="continue"/>
            <w:tcBorders>
              <w:left w:val="double" w:color="auto" w:sz="4" w:space="0"/>
              <w:bottom w:val="single" w:color="auto" w:sz="6" w:space="0"/>
              <w:right w:val="single" w:color="auto" w:sz="6" w:space="0"/>
            </w:tcBorders>
            <w:noWrap/>
          </w:tcPr>
          <w:p w14:paraId="54D9E8D2">
            <w:pPr>
              <w:autoSpaceDE w:val="0"/>
              <w:autoSpaceDN w:val="0"/>
              <w:adjustRightInd w:val="0"/>
              <w:snapToGrid w:val="0"/>
              <w:spacing w:line="360" w:lineRule="auto"/>
              <w:ind w:left="352" w:right="-20"/>
              <w:jc w:val="left"/>
              <w:rPr>
                <w:rFonts w:ascii="宋体" w:hAnsi="宋体" w:eastAsia="宋体" w:cs="Times New Roman"/>
                <w:kern w:val="0"/>
                <w:szCs w:val="21"/>
              </w:rPr>
            </w:pPr>
          </w:p>
        </w:tc>
        <w:tc>
          <w:tcPr>
            <w:tcW w:w="2917" w:type="dxa"/>
            <w:vMerge w:val="continue"/>
            <w:tcBorders>
              <w:top w:val="single" w:color="auto" w:sz="6" w:space="0"/>
              <w:left w:val="single" w:color="auto" w:sz="6" w:space="0"/>
              <w:bottom w:val="single" w:color="auto" w:sz="6" w:space="0"/>
              <w:right w:val="single" w:color="auto" w:sz="4" w:space="0"/>
            </w:tcBorders>
            <w:noWrap/>
            <w:vAlign w:val="center"/>
          </w:tcPr>
          <w:p w14:paraId="1113690A">
            <w:pPr>
              <w:autoSpaceDE w:val="0"/>
              <w:autoSpaceDN w:val="0"/>
              <w:adjustRightInd w:val="0"/>
              <w:snapToGrid w:val="0"/>
              <w:spacing w:line="360" w:lineRule="auto"/>
              <w:ind w:right="-20"/>
              <w:jc w:val="center"/>
              <w:rPr>
                <w:rFonts w:ascii="宋体" w:hAnsi="宋体" w:eastAsia="宋体" w:cs="Times New Roman"/>
                <w:kern w:val="0"/>
                <w:szCs w:val="21"/>
              </w:rPr>
            </w:pPr>
          </w:p>
        </w:tc>
        <w:tc>
          <w:tcPr>
            <w:tcW w:w="2667" w:type="dxa"/>
            <w:vMerge w:val="continue"/>
            <w:tcBorders>
              <w:top w:val="single" w:color="auto" w:sz="6" w:space="0"/>
              <w:left w:val="single" w:color="auto" w:sz="4" w:space="0"/>
              <w:bottom w:val="single" w:color="auto" w:sz="6" w:space="0"/>
              <w:right w:val="single" w:color="auto" w:sz="6" w:space="0"/>
            </w:tcBorders>
            <w:noWrap/>
            <w:vAlign w:val="center"/>
          </w:tcPr>
          <w:p w14:paraId="0CDB1C98">
            <w:pPr>
              <w:autoSpaceDE w:val="0"/>
              <w:autoSpaceDN w:val="0"/>
              <w:adjustRightInd w:val="0"/>
              <w:snapToGrid w:val="0"/>
              <w:spacing w:line="360" w:lineRule="auto"/>
              <w:ind w:right="-20"/>
              <w:jc w:val="center"/>
              <w:rPr>
                <w:rFonts w:ascii="宋体" w:hAnsi="宋体" w:eastAsia="宋体" w:cs="Times New Roman"/>
                <w:kern w:val="0"/>
                <w:szCs w:val="21"/>
              </w:rPr>
            </w:pPr>
          </w:p>
        </w:tc>
        <w:tc>
          <w:tcPr>
            <w:tcW w:w="1166" w:type="dxa"/>
            <w:vMerge w:val="continue"/>
            <w:tcBorders>
              <w:left w:val="single" w:color="auto" w:sz="6" w:space="0"/>
              <w:bottom w:val="single" w:color="auto" w:sz="6" w:space="0"/>
              <w:right w:val="single" w:color="auto" w:sz="4" w:space="0"/>
            </w:tcBorders>
            <w:noWrap/>
            <w:vAlign w:val="center"/>
          </w:tcPr>
          <w:p w14:paraId="631BCB15">
            <w:pPr>
              <w:autoSpaceDE w:val="0"/>
              <w:autoSpaceDN w:val="0"/>
              <w:adjustRightInd w:val="0"/>
              <w:snapToGrid w:val="0"/>
              <w:spacing w:line="360" w:lineRule="auto"/>
              <w:ind w:right="-20"/>
              <w:jc w:val="center"/>
              <w:rPr>
                <w:rFonts w:ascii="宋体" w:hAnsi="宋体" w:eastAsia="宋体" w:cs="Times New Roman"/>
                <w:kern w:val="0"/>
                <w:szCs w:val="21"/>
              </w:rPr>
            </w:pPr>
          </w:p>
        </w:tc>
        <w:tc>
          <w:tcPr>
            <w:tcW w:w="1167" w:type="dxa"/>
            <w:tcBorders>
              <w:top w:val="single" w:color="auto" w:sz="6" w:space="0"/>
              <w:left w:val="single" w:color="auto" w:sz="4" w:space="0"/>
              <w:bottom w:val="single" w:color="auto" w:sz="6" w:space="0"/>
              <w:right w:val="single" w:color="auto" w:sz="4" w:space="0"/>
            </w:tcBorders>
            <w:noWrap/>
            <w:vAlign w:val="center"/>
          </w:tcPr>
          <w:p w14:paraId="13B4485E">
            <w:pPr>
              <w:autoSpaceDE w:val="0"/>
              <w:autoSpaceDN w:val="0"/>
              <w:adjustRightInd w:val="0"/>
              <w:snapToGrid w:val="0"/>
              <w:spacing w:line="360" w:lineRule="auto"/>
              <w:ind w:right="-20"/>
              <w:jc w:val="center"/>
              <w:rPr>
                <w:rFonts w:ascii="宋体" w:hAnsi="宋体" w:eastAsia="宋体" w:cs="Times New Roman"/>
                <w:kern w:val="0"/>
                <w:szCs w:val="21"/>
              </w:rPr>
            </w:pPr>
            <w:r>
              <w:rPr>
                <w:rFonts w:hint="eastAsia" w:ascii="宋体" w:hAnsi="宋体" w:eastAsia="宋体" w:cs="微软雅黑"/>
                <w:kern w:val="0"/>
                <w:position w:val="-1"/>
                <w:szCs w:val="21"/>
              </w:rPr>
              <w:t>单价</w:t>
            </w:r>
          </w:p>
        </w:tc>
        <w:tc>
          <w:tcPr>
            <w:tcW w:w="1183" w:type="dxa"/>
            <w:tcBorders>
              <w:top w:val="single" w:color="auto" w:sz="6" w:space="0"/>
              <w:left w:val="single" w:color="auto" w:sz="4" w:space="0"/>
              <w:bottom w:val="single" w:color="auto" w:sz="6" w:space="0"/>
              <w:right w:val="single" w:color="auto" w:sz="6" w:space="0"/>
            </w:tcBorders>
            <w:noWrap/>
            <w:vAlign w:val="center"/>
          </w:tcPr>
          <w:p w14:paraId="2BFBD4E5">
            <w:pPr>
              <w:autoSpaceDE w:val="0"/>
              <w:autoSpaceDN w:val="0"/>
              <w:adjustRightInd w:val="0"/>
              <w:snapToGrid w:val="0"/>
              <w:spacing w:line="360" w:lineRule="auto"/>
              <w:ind w:left="70" w:right="-20"/>
              <w:jc w:val="center"/>
              <w:rPr>
                <w:rFonts w:ascii="宋体" w:hAnsi="宋体" w:eastAsia="宋体" w:cs="Times New Roman"/>
                <w:kern w:val="0"/>
                <w:szCs w:val="21"/>
              </w:rPr>
            </w:pPr>
            <w:r>
              <w:rPr>
                <w:rFonts w:hint="eastAsia" w:ascii="宋体" w:hAnsi="宋体" w:eastAsia="宋体" w:cs="Times New Roman"/>
                <w:kern w:val="0"/>
                <w:szCs w:val="21"/>
              </w:rPr>
              <w:t>小计</w:t>
            </w:r>
          </w:p>
        </w:tc>
        <w:tc>
          <w:tcPr>
            <w:tcW w:w="1667" w:type="dxa"/>
            <w:vMerge w:val="continue"/>
            <w:tcBorders>
              <w:top w:val="single" w:color="auto" w:sz="6" w:space="0"/>
              <w:left w:val="single" w:color="auto" w:sz="6" w:space="0"/>
              <w:bottom w:val="single" w:color="auto" w:sz="6" w:space="0"/>
              <w:right w:val="double" w:color="auto" w:sz="4" w:space="0"/>
            </w:tcBorders>
            <w:noWrap/>
          </w:tcPr>
          <w:p w14:paraId="5714D84F">
            <w:pPr>
              <w:autoSpaceDE w:val="0"/>
              <w:autoSpaceDN w:val="0"/>
              <w:adjustRightInd w:val="0"/>
              <w:snapToGrid w:val="0"/>
              <w:spacing w:line="360" w:lineRule="auto"/>
              <w:ind w:left="422" w:right="-20"/>
              <w:jc w:val="left"/>
              <w:rPr>
                <w:rFonts w:ascii="宋体" w:hAnsi="宋体" w:eastAsia="宋体" w:cs="Times New Roman"/>
                <w:kern w:val="0"/>
                <w:szCs w:val="21"/>
              </w:rPr>
            </w:pPr>
          </w:p>
        </w:tc>
      </w:tr>
      <w:tr w14:paraId="7B9814F3">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noWrap/>
            <w:vAlign w:val="center"/>
          </w:tcPr>
          <w:p w14:paraId="05B3B5B4">
            <w:pPr>
              <w:jc w:val="center"/>
              <w:rPr>
                <w:rFonts w:ascii="宋体" w:hAnsi="宋体" w:eastAsia="宋体" w:cs="宋体"/>
              </w:rPr>
            </w:pPr>
            <w:r>
              <w:rPr>
                <w:rFonts w:hint="eastAsia" w:ascii="宋体" w:hAnsi="宋体" w:eastAsia="宋体" w:cs="宋体"/>
              </w:rPr>
              <w:t>1</w:t>
            </w:r>
          </w:p>
        </w:tc>
        <w:tc>
          <w:tcPr>
            <w:tcW w:w="1981" w:type="dxa"/>
            <w:tcBorders>
              <w:top w:val="single" w:color="auto" w:sz="6" w:space="0"/>
              <w:left w:val="single" w:color="auto" w:sz="6" w:space="0"/>
              <w:bottom w:val="single" w:color="auto" w:sz="6" w:space="0"/>
              <w:right w:val="single" w:color="auto" w:sz="6" w:space="0"/>
            </w:tcBorders>
            <w:noWrap/>
            <w:vAlign w:val="center"/>
          </w:tcPr>
          <w:p w14:paraId="56B2D9CA">
            <w:pPr>
              <w:autoSpaceDE w:val="0"/>
              <w:autoSpaceDN w:val="0"/>
              <w:adjustRightInd w:val="0"/>
              <w:snapToGrid w:val="0"/>
              <w:spacing w:line="360" w:lineRule="auto"/>
              <w:jc w:val="center"/>
              <w:rPr>
                <w:rFonts w:ascii="宋体" w:hAnsi="宋体" w:eastAsia="宋体" w:cs="Times New Roman"/>
                <w:kern w:val="0"/>
                <w:szCs w:val="21"/>
              </w:rPr>
            </w:pPr>
          </w:p>
        </w:tc>
        <w:tc>
          <w:tcPr>
            <w:tcW w:w="2917" w:type="dxa"/>
            <w:tcBorders>
              <w:top w:val="single" w:color="auto" w:sz="6" w:space="0"/>
              <w:left w:val="single" w:color="auto" w:sz="6" w:space="0"/>
              <w:bottom w:val="single" w:color="auto" w:sz="6" w:space="0"/>
              <w:right w:val="single" w:color="auto" w:sz="4" w:space="0"/>
            </w:tcBorders>
            <w:noWrap/>
          </w:tcPr>
          <w:p w14:paraId="06E7C17A">
            <w:pPr>
              <w:autoSpaceDE w:val="0"/>
              <w:autoSpaceDN w:val="0"/>
              <w:adjustRightInd w:val="0"/>
              <w:snapToGrid w:val="0"/>
              <w:spacing w:line="360" w:lineRule="auto"/>
              <w:jc w:val="left"/>
              <w:rPr>
                <w:rFonts w:ascii="宋体" w:hAnsi="宋体" w:eastAsia="宋体" w:cs="Times New Roman"/>
                <w:kern w:val="0"/>
                <w:szCs w:val="21"/>
              </w:rPr>
            </w:pPr>
          </w:p>
        </w:tc>
        <w:tc>
          <w:tcPr>
            <w:tcW w:w="2667" w:type="dxa"/>
            <w:tcBorders>
              <w:top w:val="single" w:color="auto" w:sz="6" w:space="0"/>
              <w:left w:val="single" w:color="auto" w:sz="4" w:space="0"/>
              <w:bottom w:val="single" w:color="auto" w:sz="6" w:space="0"/>
              <w:right w:val="single" w:color="auto" w:sz="6" w:space="0"/>
            </w:tcBorders>
            <w:noWrap/>
          </w:tcPr>
          <w:p w14:paraId="268E3850">
            <w:pPr>
              <w:autoSpaceDE w:val="0"/>
              <w:autoSpaceDN w:val="0"/>
              <w:adjustRightInd w:val="0"/>
              <w:snapToGrid w:val="0"/>
              <w:spacing w:line="360" w:lineRule="auto"/>
              <w:jc w:val="left"/>
              <w:rPr>
                <w:rFonts w:ascii="宋体" w:hAnsi="宋体" w:eastAsia="宋体" w:cs="Times New Roman"/>
                <w:kern w:val="0"/>
                <w:szCs w:val="21"/>
              </w:rPr>
            </w:pPr>
          </w:p>
        </w:tc>
        <w:tc>
          <w:tcPr>
            <w:tcW w:w="1166" w:type="dxa"/>
            <w:tcBorders>
              <w:top w:val="single" w:color="auto" w:sz="6" w:space="0"/>
              <w:left w:val="single" w:color="auto" w:sz="6" w:space="0"/>
              <w:bottom w:val="single" w:color="auto" w:sz="6" w:space="0"/>
              <w:right w:val="single" w:color="auto" w:sz="4" w:space="0"/>
            </w:tcBorders>
            <w:noWrap/>
          </w:tcPr>
          <w:p w14:paraId="0B6C79E9">
            <w:pPr>
              <w:autoSpaceDE w:val="0"/>
              <w:autoSpaceDN w:val="0"/>
              <w:adjustRightInd w:val="0"/>
              <w:snapToGrid w:val="0"/>
              <w:spacing w:line="360" w:lineRule="auto"/>
              <w:jc w:val="left"/>
              <w:rPr>
                <w:rFonts w:ascii="宋体" w:hAnsi="宋体" w:eastAsia="宋体" w:cs="Times New Roman"/>
                <w:kern w:val="0"/>
                <w:szCs w:val="21"/>
              </w:rPr>
            </w:pPr>
          </w:p>
        </w:tc>
        <w:tc>
          <w:tcPr>
            <w:tcW w:w="1167" w:type="dxa"/>
            <w:tcBorders>
              <w:top w:val="single" w:color="auto" w:sz="6" w:space="0"/>
              <w:left w:val="single" w:color="auto" w:sz="6" w:space="0"/>
              <w:bottom w:val="single" w:color="auto" w:sz="6" w:space="0"/>
              <w:right w:val="single" w:color="auto" w:sz="6" w:space="0"/>
            </w:tcBorders>
            <w:noWrap/>
          </w:tcPr>
          <w:p w14:paraId="2FC0EC84">
            <w:pPr>
              <w:autoSpaceDE w:val="0"/>
              <w:autoSpaceDN w:val="0"/>
              <w:adjustRightInd w:val="0"/>
              <w:snapToGrid w:val="0"/>
              <w:spacing w:line="360" w:lineRule="auto"/>
              <w:jc w:val="left"/>
              <w:rPr>
                <w:rFonts w:ascii="宋体" w:hAnsi="宋体" w:eastAsia="宋体" w:cs="Times New Roman"/>
                <w:kern w:val="0"/>
                <w:szCs w:val="21"/>
              </w:rPr>
            </w:pPr>
          </w:p>
        </w:tc>
        <w:tc>
          <w:tcPr>
            <w:tcW w:w="1183" w:type="dxa"/>
            <w:tcBorders>
              <w:top w:val="single" w:color="auto" w:sz="6" w:space="0"/>
              <w:left w:val="single" w:color="auto" w:sz="6" w:space="0"/>
              <w:bottom w:val="single" w:color="auto" w:sz="6" w:space="0"/>
              <w:right w:val="single" w:color="auto" w:sz="6" w:space="0"/>
            </w:tcBorders>
            <w:noWrap/>
          </w:tcPr>
          <w:p w14:paraId="6471CA8F">
            <w:pPr>
              <w:autoSpaceDE w:val="0"/>
              <w:autoSpaceDN w:val="0"/>
              <w:adjustRightInd w:val="0"/>
              <w:snapToGrid w:val="0"/>
              <w:spacing w:line="360" w:lineRule="auto"/>
              <w:jc w:val="left"/>
              <w:rPr>
                <w:rFonts w:ascii="宋体" w:hAnsi="宋体" w:eastAsia="宋体" w:cs="Times New Roman"/>
                <w:kern w:val="0"/>
                <w:szCs w:val="21"/>
              </w:rPr>
            </w:pPr>
          </w:p>
        </w:tc>
        <w:tc>
          <w:tcPr>
            <w:tcW w:w="1667" w:type="dxa"/>
            <w:tcBorders>
              <w:top w:val="single" w:color="auto" w:sz="6" w:space="0"/>
              <w:left w:val="single" w:color="auto" w:sz="6" w:space="0"/>
              <w:bottom w:val="single" w:color="auto" w:sz="6" w:space="0"/>
              <w:right w:val="double" w:color="auto" w:sz="4" w:space="0"/>
            </w:tcBorders>
            <w:noWrap/>
          </w:tcPr>
          <w:p w14:paraId="338DBEFE">
            <w:pPr>
              <w:autoSpaceDE w:val="0"/>
              <w:autoSpaceDN w:val="0"/>
              <w:adjustRightInd w:val="0"/>
              <w:snapToGrid w:val="0"/>
              <w:spacing w:line="360" w:lineRule="auto"/>
              <w:jc w:val="left"/>
              <w:rPr>
                <w:rFonts w:ascii="宋体" w:hAnsi="宋体" w:eastAsia="宋体" w:cs="Times New Roman"/>
                <w:kern w:val="0"/>
                <w:szCs w:val="21"/>
              </w:rPr>
            </w:pPr>
          </w:p>
        </w:tc>
      </w:tr>
      <w:tr w14:paraId="0D926DA2">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ign w:val="center"/>
          </w:tcPr>
          <w:p w14:paraId="02701A23">
            <w:pPr>
              <w:jc w:val="center"/>
              <w:rPr>
                <w:rFonts w:ascii="宋体" w:hAnsi="宋体" w:eastAsia="宋体" w:cs="宋体"/>
              </w:rPr>
            </w:pPr>
            <w:r>
              <w:rPr>
                <w:rFonts w:hint="eastAsia" w:ascii="宋体" w:hAnsi="宋体" w:eastAsia="宋体" w:cs="宋体"/>
              </w:rPr>
              <w:t>2</w:t>
            </w:r>
          </w:p>
        </w:tc>
        <w:tc>
          <w:tcPr>
            <w:tcW w:w="1981" w:type="dxa"/>
            <w:tcBorders>
              <w:top w:val="single" w:color="auto" w:sz="6" w:space="0"/>
              <w:left w:val="single" w:color="auto" w:sz="6" w:space="0"/>
              <w:bottom w:val="single" w:color="auto" w:sz="6" w:space="0"/>
              <w:right w:val="single" w:color="auto" w:sz="6" w:space="0"/>
            </w:tcBorders>
            <w:noWrap/>
            <w:vAlign w:val="center"/>
          </w:tcPr>
          <w:p w14:paraId="458E4AF2">
            <w:pPr>
              <w:autoSpaceDE w:val="0"/>
              <w:autoSpaceDN w:val="0"/>
              <w:adjustRightInd w:val="0"/>
              <w:snapToGrid w:val="0"/>
              <w:spacing w:line="360" w:lineRule="auto"/>
              <w:jc w:val="center"/>
              <w:rPr>
                <w:rFonts w:ascii="宋体" w:hAnsi="宋体" w:eastAsia="宋体" w:cs="Times New Roman"/>
                <w:kern w:val="0"/>
                <w:szCs w:val="21"/>
              </w:rPr>
            </w:pPr>
          </w:p>
        </w:tc>
        <w:tc>
          <w:tcPr>
            <w:tcW w:w="2917" w:type="dxa"/>
            <w:tcBorders>
              <w:top w:val="single" w:color="auto" w:sz="6" w:space="0"/>
              <w:left w:val="single" w:color="auto" w:sz="6" w:space="0"/>
              <w:bottom w:val="single" w:color="auto" w:sz="6" w:space="0"/>
              <w:right w:val="single" w:color="auto" w:sz="4" w:space="0"/>
            </w:tcBorders>
            <w:noWrap/>
          </w:tcPr>
          <w:p w14:paraId="1A89FCD9">
            <w:pPr>
              <w:autoSpaceDE w:val="0"/>
              <w:autoSpaceDN w:val="0"/>
              <w:adjustRightInd w:val="0"/>
              <w:snapToGrid w:val="0"/>
              <w:spacing w:line="360" w:lineRule="auto"/>
              <w:jc w:val="left"/>
              <w:rPr>
                <w:rFonts w:ascii="宋体" w:hAnsi="宋体" w:eastAsia="宋体" w:cs="Times New Roman"/>
                <w:kern w:val="0"/>
                <w:szCs w:val="21"/>
              </w:rPr>
            </w:pPr>
          </w:p>
        </w:tc>
        <w:tc>
          <w:tcPr>
            <w:tcW w:w="2667" w:type="dxa"/>
            <w:tcBorders>
              <w:top w:val="single" w:color="auto" w:sz="6" w:space="0"/>
              <w:left w:val="single" w:color="auto" w:sz="4" w:space="0"/>
              <w:bottom w:val="single" w:color="auto" w:sz="6" w:space="0"/>
              <w:right w:val="single" w:color="auto" w:sz="6" w:space="0"/>
            </w:tcBorders>
            <w:noWrap/>
          </w:tcPr>
          <w:p w14:paraId="37C08ECB">
            <w:pPr>
              <w:autoSpaceDE w:val="0"/>
              <w:autoSpaceDN w:val="0"/>
              <w:adjustRightInd w:val="0"/>
              <w:snapToGrid w:val="0"/>
              <w:spacing w:line="360" w:lineRule="auto"/>
              <w:jc w:val="left"/>
              <w:rPr>
                <w:rFonts w:ascii="宋体" w:hAnsi="宋体" w:eastAsia="宋体" w:cs="Times New Roman"/>
                <w:kern w:val="0"/>
                <w:szCs w:val="21"/>
              </w:rPr>
            </w:pPr>
          </w:p>
        </w:tc>
        <w:tc>
          <w:tcPr>
            <w:tcW w:w="1166" w:type="dxa"/>
            <w:tcBorders>
              <w:top w:val="single" w:color="auto" w:sz="6" w:space="0"/>
              <w:left w:val="single" w:color="auto" w:sz="6" w:space="0"/>
              <w:bottom w:val="single" w:color="auto" w:sz="6" w:space="0"/>
              <w:right w:val="single" w:color="auto" w:sz="4" w:space="0"/>
            </w:tcBorders>
            <w:noWrap/>
          </w:tcPr>
          <w:p w14:paraId="41294940">
            <w:pPr>
              <w:autoSpaceDE w:val="0"/>
              <w:autoSpaceDN w:val="0"/>
              <w:adjustRightInd w:val="0"/>
              <w:snapToGrid w:val="0"/>
              <w:spacing w:line="360" w:lineRule="auto"/>
              <w:jc w:val="left"/>
              <w:rPr>
                <w:rFonts w:ascii="宋体" w:hAnsi="宋体" w:eastAsia="宋体" w:cs="Times New Roman"/>
                <w:kern w:val="0"/>
                <w:szCs w:val="21"/>
              </w:rPr>
            </w:pPr>
          </w:p>
        </w:tc>
        <w:tc>
          <w:tcPr>
            <w:tcW w:w="1167" w:type="dxa"/>
            <w:tcBorders>
              <w:top w:val="single" w:color="auto" w:sz="6" w:space="0"/>
              <w:left w:val="single" w:color="auto" w:sz="6" w:space="0"/>
              <w:bottom w:val="single" w:color="auto" w:sz="6" w:space="0"/>
              <w:right w:val="single" w:color="auto" w:sz="6" w:space="0"/>
            </w:tcBorders>
            <w:noWrap/>
          </w:tcPr>
          <w:p w14:paraId="1261C59E">
            <w:pPr>
              <w:autoSpaceDE w:val="0"/>
              <w:autoSpaceDN w:val="0"/>
              <w:adjustRightInd w:val="0"/>
              <w:snapToGrid w:val="0"/>
              <w:spacing w:line="360" w:lineRule="auto"/>
              <w:jc w:val="left"/>
              <w:rPr>
                <w:rFonts w:ascii="宋体" w:hAnsi="宋体" w:eastAsia="宋体" w:cs="Times New Roman"/>
                <w:kern w:val="0"/>
                <w:szCs w:val="21"/>
              </w:rPr>
            </w:pPr>
          </w:p>
        </w:tc>
        <w:tc>
          <w:tcPr>
            <w:tcW w:w="1183" w:type="dxa"/>
            <w:tcBorders>
              <w:top w:val="single" w:color="auto" w:sz="6" w:space="0"/>
              <w:left w:val="single" w:color="auto" w:sz="6" w:space="0"/>
              <w:bottom w:val="single" w:color="auto" w:sz="6" w:space="0"/>
              <w:right w:val="single" w:color="auto" w:sz="6" w:space="0"/>
            </w:tcBorders>
            <w:noWrap/>
          </w:tcPr>
          <w:p w14:paraId="1747E2CF">
            <w:pPr>
              <w:autoSpaceDE w:val="0"/>
              <w:autoSpaceDN w:val="0"/>
              <w:adjustRightInd w:val="0"/>
              <w:snapToGrid w:val="0"/>
              <w:spacing w:line="360" w:lineRule="auto"/>
              <w:jc w:val="left"/>
              <w:rPr>
                <w:rFonts w:ascii="宋体" w:hAnsi="宋体" w:eastAsia="宋体" w:cs="Times New Roman"/>
                <w:kern w:val="0"/>
                <w:szCs w:val="21"/>
              </w:rPr>
            </w:pPr>
          </w:p>
        </w:tc>
        <w:tc>
          <w:tcPr>
            <w:tcW w:w="1667" w:type="dxa"/>
            <w:tcBorders>
              <w:top w:val="single" w:color="auto" w:sz="6" w:space="0"/>
              <w:left w:val="single" w:color="auto" w:sz="6" w:space="0"/>
              <w:bottom w:val="single" w:color="auto" w:sz="6" w:space="0"/>
              <w:right w:val="double" w:color="auto" w:sz="4" w:space="0"/>
            </w:tcBorders>
            <w:noWrap/>
          </w:tcPr>
          <w:p w14:paraId="3515A9F5">
            <w:pPr>
              <w:autoSpaceDE w:val="0"/>
              <w:autoSpaceDN w:val="0"/>
              <w:adjustRightInd w:val="0"/>
              <w:snapToGrid w:val="0"/>
              <w:spacing w:line="360" w:lineRule="auto"/>
              <w:jc w:val="left"/>
              <w:rPr>
                <w:rFonts w:ascii="宋体" w:hAnsi="宋体" w:eastAsia="宋体" w:cs="Times New Roman"/>
                <w:kern w:val="0"/>
                <w:szCs w:val="21"/>
              </w:rPr>
            </w:pPr>
          </w:p>
        </w:tc>
      </w:tr>
      <w:tr w14:paraId="0B22628D">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ign w:val="center"/>
          </w:tcPr>
          <w:p w14:paraId="502B54B8">
            <w:pPr>
              <w:jc w:val="center"/>
              <w:rPr>
                <w:rFonts w:ascii="宋体" w:hAnsi="宋体" w:eastAsia="宋体" w:cs="宋体"/>
              </w:rPr>
            </w:pPr>
            <w:r>
              <w:rPr>
                <w:rFonts w:hint="eastAsia" w:ascii="宋体" w:hAnsi="宋体" w:eastAsia="宋体" w:cs="宋体"/>
              </w:rPr>
              <w:t>3</w:t>
            </w:r>
          </w:p>
        </w:tc>
        <w:tc>
          <w:tcPr>
            <w:tcW w:w="1981" w:type="dxa"/>
            <w:tcBorders>
              <w:top w:val="single" w:color="auto" w:sz="6" w:space="0"/>
              <w:left w:val="single" w:color="auto" w:sz="6" w:space="0"/>
              <w:bottom w:val="single" w:color="auto" w:sz="6" w:space="0"/>
              <w:right w:val="single" w:color="auto" w:sz="6" w:space="0"/>
            </w:tcBorders>
            <w:noWrap/>
            <w:vAlign w:val="center"/>
          </w:tcPr>
          <w:p w14:paraId="0580DC2B">
            <w:pPr>
              <w:autoSpaceDE w:val="0"/>
              <w:autoSpaceDN w:val="0"/>
              <w:adjustRightInd w:val="0"/>
              <w:snapToGrid w:val="0"/>
              <w:spacing w:line="360" w:lineRule="auto"/>
              <w:jc w:val="center"/>
              <w:rPr>
                <w:rFonts w:ascii="宋体" w:hAnsi="宋体" w:eastAsia="宋体" w:cs="Times New Roman"/>
                <w:kern w:val="0"/>
                <w:szCs w:val="21"/>
              </w:rPr>
            </w:pPr>
          </w:p>
        </w:tc>
        <w:tc>
          <w:tcPr>
            <w:tcW w:w="2917" w:type="dxa"/>
            <w:tcBorders>
              <w:top w:val="single" w:color="auto" w:sz="6" w:space="0"/>
              <w:left w:val="single" w:color="auto" w:sz="6" w:space="0"/>
              <w:bottom w:val="single" w:color="auto" w:sz="6" w:space="0"/>
              <w:right w:val="single" w:color="auto" w:sz="4" w:space="0"/>
            </w:tcBorders>
            <w:noWrap/>
          </w:tcPr>
          <w:p w14:paraId="65DD43CE">
            <w:pPr>
              <w:autoSpaceDE w:val="0"/>
              <w:autoSpaceDN w:val="0"/>
              <w:adjustRightInd w:val="0"/>
              <w:snapToGrid w:val="0"/>
              <w:spacing w:line="360" w:lineRule="auto"/>
              <w:jc w:val="left"/>
              <w:rPr>
                <w:rFonts w:ascii="宋体" w:hAnsi="宋体" w:eastAsia="宋体" w:cs="Times New Roman"/>
                <w:kern w:val="0"/>
                <w:szCs w:val="21"/>
              </w:rPr>
            </w:pPr>
          </w:p>
        </w:tc>
        <w:tc>
          <w:tcPr>
            <w:tcW w:w="2667" w:type="dxa"/>
            <w:tcBorders>
              <w:top w:val="single" w:color="auto" w:sz="6" w:space="0"/>
              <w:left w:val="single" w:color="auto" w:sz="4" w:space="0"/>
              <w:bottom w:val="single" w:color="auto" w:sz="6" w:space="0"/>
              <w:right w:val="single" w:color="auto" w:sz="6" w:space="0"/>
            </w:tcBorders>
            <w:noWrap/>
          </w:tcPr>
          <w:p w14:paraId="068BC275">
            <w:pPr>
              <w:autoSpaceDE w:val="0"/>
              <w:autoSpaceDN w:val="0"/>
              <w:adjustRightInd w:val="0"/>
              <w:snapToGrid w:val="0"/>
              <w:spacing w:line="360" w:lineRule="auto"/>
              <w:jc w:val="left"/>
              <w:rPr>
                <w:rFonts w:ascii="宋体" w:hAnsi="宋体" w:eastAsia="宋体" w:cs="Times New Roman"/>
                <w:kern w:val="0"/>
                <w:szCs w:val="21"/>
              </w:rPr>
            </w:pPr>
          </w:p>
        </w:tc>
        <w:tc>
          <w:tcPr>
            <w:tcW w:w="1166" w:type="dxa"/>
            <w:tcBorders>
              <w:top w:val="single" w:color="auto" w:sz="6" w:space="0"/>
              <w:left w:val="single" w:color="auto" w:sz="6" w:space="0"/>
              <w:bottom w:val="single" w:color="auto" w:sz="6" w:space="0"/>
              <w:right w:val="single" w:color="auto" w:sz="4" w:space="0"/>
            </w:tcBorders>
            <w:noWrap/>
          </w:tcPr>
          <w:p w14:paraId="0CA6895B">
            <w:pPr>
              <w:autoSpaceDE w:val="0"/>
              <w:autoSpaceDN w:val="0"/>
              <w:adjustRightInd w:val="0"/>
              <w:snapToGrid w:val="0"/>
              <w:spacing w:line="360" w:lineRule="auto"/>
              <w:jc w:val="left"/>
              <w:rPr>
                <w:rFonts w:ascii="宋体" w:hAnsi="宋体" w:eastAsia="宋体" w:cs="Times New Roman"/>
                <w:kern w:val="0"/>
                <w:szCs w:val="21"/>
              </w:rPr>
            </w:pPr>
          </w:p>
        </w:tc>
        <w:tc>
          <w:tcPr>
            <w:tcW w:w="1167" w:type="dxa"/>
            <w:tcBorders>
              <w:top w:val="single" w:color="auto" w:sz="6" w:space="0"/>
              <w:left w:val="single" w:color="auto" w:sz="6" w:space="0"/>
              <w:bottom w:val="single" w:color="auto" w:sz="6" w:space="0"/>
              <w:right w:val="single" w:color="auto" w:sz="6" w:space="0"/>
            </w:tcBorders>
            <w:noWrap/>
          </w:tcPr>
          <w:p w14:paraId="605F079B">
            <w:pPr>
              <w:autoSpaceDE w:val="0"/>
              <w:autoSpaceDN w:val="0"/>
              <w:adjustRightInd w:val="0"/>
              <w:snapToGrid w:val="0"/>
              <w:spacing w:line="360" w:lineRule="auto"/>
              <w:jc w:val="left"/>
              <w:rPr>
                <w:rFonts w:ascii="宋体" w:hAnsi="宋体" w:eastAsia="宋体" w:cs="Times New Roman"/>
                <w:kern w:val="0"/>
                <w:szCs w:val="21"/>
              </w:rPr>
            </w:pPr>
          </w:p>
        </w:tc>
        <w:tc>
          <w:tcPr>
            <w:tcW w:w="1183" w:type="dxa"/>
            <w:tcBorders>
              <w:top w:val="single" w:color="auto" w:sz="6" w:space="0"/>
              <w:left w:val="single" w:color="auto" w:sz="6" w:space="0"/>
              <w:bottom w:val="single" w:color="auto" w:sz="6" w:space="0"/>
              <w:right w:val="single" w:color="auto" w:sz="6" w:space="0"/>
            </w:tcBorders>
            <w:noWrap/>
          </w:tcPr>
          <w:p w14:paraId="23931B09">
            <w:pPr>
              <w:autoSpaceDE w:val="0"/>
              <w:autoSpaceDN w:val="0"/>
              <w:adjustRightInd w:val="0"/>
              <w:snapToGrid w:val="0"/>
              <w:spacing w:line="360" w:lineRule="auto"/>
              <w:jc w:val="left"/>
              <w:rPr>
                <w:rFonts w:ascii="宋体" w:hAnsi="宋体" w:eastAsia="宋体" w:cs="Times New Roman"/>
                <w:kern w:val="0"/>
                <w:szCs w:val="21"/>
              </w:rPr>
            </w:pPr>
          </w:p>
        </w:tc>
        <w:tc>
          <w:tcPr>
            <w:tcW w:w="1667" w:type="dxa"/>
            <w:tcBorders>
              <w:top w:val="single" w:color="auto" w:sz="6" w:space="0"/>
              <w:left w:val="single" w:color="auto" w:sz="6" w:space="0"/>
              <w:bottom w:val="single" w:color="auto" w:sz="6" w:space="0"/>
              <w:right w:val="double" w:color="auto" w:sz="4" w:space="0"/>
            </w:tcBorders>
            <w:noWrap/>
          </w:tcPr>
          <w:p w14:paraId="62BD0193">
            <w:pPr>
              <w:autoSpaceDE w:val="0"/>
              <w:autoSpaceDN w:val="0"/>
              <w:adjustRightInd w:val="0"/>
              <w:snapToGrid w:val="0"/>
              <w:spacing w:line="360" w:lineRule="auto"/>
              <w:jc w:val="left"/>
              <w:rPr>
                <w:rFonts w:ascii="宋体" w:hAnsi="宋体" w:eastAsia="宋体" w:cs="Times New Roman"/>
                <w:kern w:val="0"/>
                <w:szCs w:val="21"/>
              </w:rPr>
            </w:pPr>
          </w:p>
        </w:tc>
      </w:tr>
      <w:tr w14:paraId="4C02350D">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ign w:val="center"/>
          </w:tcPr>
          <w:p w14:paraId="7D91FCD1">
            <w:pPr>
              <w:jc w:val="center"/>
              <w:rPr>
                <w:rFonts w:ascii="宋体" w:hAnsi="宋体" w:eastAsia="宋体" w:cs="宋体"/>
              </w:rPr>
            </w:pPr>
            <w:r>
              <w:rPr>
                <w:rFonts w:hint="eastAsia" w:ascii="宋体" w:hAnsi="宋体" w:eastAsia="宋体" w:cs="宋体"/>
              </w:rPr>
              <w:t>4</w:t>
            </w:r>
          </w:p>
        </w:tc>
        <w:tc>
          <w:tcPr>
            <w:tcW w:w="1981" w:type="dxa"/>
            <w:tcBorders>
              <w:top w:val="single" w:color="auto" w:sz="6" w:space="0"/>
              <w:left w:val="single" w:color="auto" w:sz="6" w:space="0"/>
              <w:bottom w:val="single" w:color="auto" w:sz="6" w:space="0"/>
              <w:right w:val="single" w:color="auto" w:sz="6" w:space="0"/>
            </w:tcBorders>
            <w:noWrap/>
            <w:vAlign w:val="center"/>
          </w:tcPr>
          <w:p w14:paraId="23EC43B8">
            <w:pPr>
              <w:autoSpaceDE w:val="0"/>
              <w:autoSpaceDN w:val="0"/>
              <w:adjustRightInd w:val="0"/>
              <w:snapToGrid w:val="0"/>
              <w:spacing w:line="360" w:lineRule="auto"/>
              <w:jc w:val="center"/>
              <w:rPr>
                <w:rFonts w:ascii="宋体" w:hAnsi="宋体" w:eastAsia="宋体" w:cs="Times New Roman"/>
                <w:kern w:val="0"/>
                <w:szCs w:val="21"/>
              </w:rPr>
            </w:pPr>
          </w:p>
        </w:tc>
        <w:tc>
          <w:tcPr>
            <w:tcW w:w="2917" w:type="dxa"/>
            <w:tcBorders>
              <w:top w:val="single" w:color="auto" w:sz="6" w:space="0"/>
              <w:left w:val="single" w:color="auto" w:sz="6" w:space="0"/>
              <w:bottom w:val="single" w:color="auto" w:sz="6" w:space="0"/>
              <w:right w:val="single" w:color="auto" w:sz="4" w:space="0"/>
            </w:tcBorders>
            <w:noWrap/>
          </w:tcPr>
          <w:p w14:paraId="77A4F7D2">
            <w:pPr>
              <w:autoSpaceDE w:val="0"/>
              <w:autoSpaceDN w:val="0"/>
              <w:adjustRightInd w:val="0"/>
              <w:snapToGrid w:val="0"/>
              <w:spacing w:line="360" w:lineRule="auto"/>
              <w:jc w:val="left"/>
              <w:rPr>
                <w:rFonts w:ascii="宋体" w:hAnsi="宋体" w:eastAsia="宋体" w:cs="Times New Roman"/>
                <w:kern w:val="0"/>
                <w:szCs w:val="21"/>
              </w:rPr>
            </w:pPr>
          </w:p>
        </w:tc>
        <w:tc>
          <w:tcPr>
            <w:tcW w:w="2667" w:type="dxa"/>
            <w:tcBorders>
              <w:top w:val="single" w:color="auto" w:sz="6" w:space="0"/>
              <w:left w:val="single" w:color="auto" w:sz="4" w:space="0"/>
              <w:bottom w:val="single" w:color="auto" w:sz="6" w:space="0"/>
              <w:right w:val="single" w:color="auto" w:sz="6" w:space="0"/>
            </w:tcBorders>
            <w:noWrap/>
          </w:tcPr>
          <w:p w14:paraId="41314340">
            <w:pPr>
              <w:autoSpaceDE w:val="0"/>
              <w:autoSpaceDN w:val="0"/>
              <w:adjustRightInd w:val="0"/>
              <w:snapToGrid w:val="0"/>
              <w:spacing w:line="360" w:lineRule="auto"/>
              <w:jc w:val="left"/>
              <w:rPr>
                <w:rFonts w:ascii="宋体" w:hAnsi="宋体" w:eastAsia="宋体" w:cs="Times New Roman"/>
                <w:kern w:val="0"/>
                <w:szCs w:val="21"/>
              </w:rPr>
            </w:pPr>
          </w:p>
        </w:tc>
        <w:tc>
          <w:tcPr>
            <w:tcW w:w="1166" w:type="dxa"/>
            <w:tcBorders>
              <w:top w:val="single" w:color="auto" w:sz="6" w:space="0"/>
              <w:left w:val="single" w:color="auto" w:sz="6" w:space="0"/>
              <w:bottom w:val="single" w:color="auto" w:sz="6" w:space="0"/>
              <w:right w:val="single" w:color="auto" w:sz="4" w:space="0"/>
            </w:tcBorders>
            <w:noWrap/>
          </w:tcPr>
          <w:p w14:paraId="49EBD435">
            <w:pPr>
              <w:autoSpaceDE w:val="0"/>
              <w:autoSpaceDN w:val="0"/>
              <w:adjustRightInd w:val="0"/>
              <w:snapToGrid w:val="0"/>
              <w:spacing w:line="360" w:lineRule="auto"/>
              <w:jc w:val="left"/>
              <w:rPr>
                <w:rFonts w:ascii="宋体" w:hAnsi="宋体" w:eastAsia="宋体" w:cs="Times New Roman"/>
                <w:kern w:val="0"/>
                <w:szCs w:val="21"/>
              </w:rPr>
            </w:pPr>
          </w:p>
        </w:tc>
        <w:tc>
          <w:tcPr>
            <w:tcW w:w="1167" w:type="dxa"/>
            <w:tcBorders>
              <w:top w:val="single" w:color="auto" w:sz="6" w:space="0"/>
              <w:left w:val="single" w:color="auto" w:sz="4" w:space="0"/>
              <w:bottom w:val="single" w:color="auto" w:sz="6" w:space="0"/>
              <w:right w:val="single" w:color="auto" w:sz="6" w:space="0"/>
            </w:tcBorders>
            <w:noWrap/>
          </w:tcPr>
          <w:p w14:paraId="64B39614">
            <w:pPr>
              <w:autoSpaceDE w:val="0"/>
              <w:autoSpaceDN w:val="0"/>
              <w:adjustRightInd w:val="0"/>
              <w:snapToGrid w:val="0"/>
              <w:spacing w:line="360" w:lineRule="auto"/>
              <w:jc w:val="left"/>
              <w:rPr>
                <w:rFonts w:ascii="宋体" w:hAnsi="宋体" w:eastAsia="宋体" w:cs="Times New Roman"/>
                <w:kern w:val="0"/>
                <w:szCs w:val="21"/>
              </w:rPr>
            </w:pPr>
          </w:p>
        </w:tc>
        <w:tc>
          <w:tcPr>
            <w:tcW w:w="1183" w:type="dxa"/>
            <w:tcBorders>
              <w:top w:val="single" w:color="auto" w:sz="6" w:space="0"/>
              <w:left w:val="single" w:color="auto" w:sz="6" w:space="0"/>
              <w:bottom w:val="single" w:color="auto" w:sz="6" w:space="0"/>
              <w:right w:val="single" w:color="auto" w:sz="6" w:space="0"/>
            </w:tcBorders>
            <w:noWrap/>
          </w:tcPr>
          <w:p w14:paraId="2B20C9F3">
            <w:pPr>
              <w:autoSpaceDE w:val="0"/>
              <w:autoSpaceDN w:val="0"/>
              <w:adjustRightInd w:val="0"/>
              <w:snapToGrid w:val="0"/>
              <w:spacing w:line="360" w:lineRule="auto"/>
              <w:jc w:val="left"/>
              <w:rPr>
                <w:rFonts w:ascii="宋体" w:hAnsi="宋体" w:eastAsia="宋体" w:cs="Times New Roman"/>
                <w:kern w:val="0"/>
                <w:szCs w:val="21"/>
              </w:rPr>
            </w:pPr>
          </w:p>
        </w:tc>
        <w:tc>
          <w:tcPr>
            <w:tcW w:w="1667" w:type="dxa"/>
            <w:tcBorders>
              <w:top w:val="single" w:color="auto" w:sz="6" w:space="0"/>
              <w:left w:val="single" w:color="auto" w:sz="6" w:space="0"/>
              <w:bottom w:val="single" w:color="auto" w:sz="6" w:space="0"/>
              <w:right w:val="double" w:color="auto" w:sz="4" w:space="0"/>
            </w:tcBorders>
            <w:noWrap/>
          </w:tcPr>
          <w:p w14:paraId="31C4C456">
            <w:pPr>
              <w:autoSpaceDE w:val="0"/>
              <w:autoSpaceDN w:val="0"/>
              <w:adjustRightInd w:val="0"/>
              <w:snapToGrid w:val="0"/>
              <w:spacing w:line="360" w:lineRule="auto"/>
              <w:jc w:val="left"/>
              <w:rPr>
                <w:rFonts w:ascii="宋体" w:hAnsi="宋体" w:eastAsia="宋体" w:cs="Times New Roman"/>
                <w:kern w:val="0"/>
                <w:szCs w:val="21"/>
              </w:rPr>
            </w:pPr>
          </w:p>
        </w:tc>
      </w:tr>
      <w:tr w14:paraId="28161D3F">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ign w:val="center"/>
          </w:tcPr>
          <w:p w14:paraId="34D34293">
            <w:pPr>
              <w:jc w:val="center"/>
              <w:rPr>
                <w:rFonts w:ascii="宋体" w:hAnsi="宋体" w:eastAsia="宋体" w:cs="宋体"/>
              </w:rPr>
            </w:pPr>
            <w:r>
              <w:rPr>
                <w:rFonts w:hint="eastAsia" w:ascii="宋体" w:hAnsi="宋体" w:eastAsia="宋体" w:cs="宋体"/>
              </w:rPr>
              <w:t>5</w:t>
            </w:r>
          </w:p>
        </w:tc>
        <w:tc>
          <w:tcPr>
            <w:tcW w:w="1981" w:type="dxa"/>
            <w:tcBorders>
              <w:top w:val="single" w:color="auto" w:sz="6" w:space="0"/>
              <w:left w:val="single" w:color="auto" w:sz="6" w:space="0"/>
              <w:bottom w:val="single" w:color="auto" w:sz="6" w:space="0"/>
              <w:right w:val="single" w:color="auto" w:sz="6" w:space="0"/>
            </w:tcBorders>
            <w:noWrap/>
            <w:vAlign w:val="center"/>
          </w:tcPr>
          <w:p w14:paraId="51569B43">
            <w:pPr>
              <w:autoSpaceDE w:val="0"/>
              <w:autoSpaceDN w:val="0"/>
              <w:adjustRightInd w:val="0"/>
              <w:snapToGrid w:val="0"/>
              <w:spacing w:line="360" w:lineRule="auto"/>
              <w:jc w:val="center"/>
              <w:rPr>
                <w:rFonts w:ascii="宋体" w:hAnsi="宋体" w:eastAsia="宋体" w:cs="Times New Roman"/>
                <w:kern w:val="0"/>
                <w:szCs w:val="21"/>
              </w:rPr>
            </w:pPr>
          </w:p>
        </w:tc>
        <w:tc>
          <w:tcPr>
            <w:tcW w:w="2917" w:type="dxa"/>
            <w:tcBorders>
              <w:top w:val="single" w:color="auto" w:sz="6" w:space="0"/>
              <w:left w:val="single" w:color="auto" w:sz="6" w:space="0"/>
              <w:bottom w:val="single" w:color="auto" w:sz="6" w:space="0"/>
              <w:right w:val="single" w:color="auto" w:sz="4" w:space="0"/>
            </w:tcBorders>
            <w:noWrap/>
          </w:tcPr>
          <w:p w14:paraId="43C145FA">
            <w:pPr>
              <w:autoSpaceDE w:val="0"/>
              <w:autoSpaceDN w:val="0"/>
              <w:adjustRightInd w:val="0"/>
              <w:snapToGrid w:val="0"/>
              <w:spacing w:line="360" w:lineRule="auto"/>
              <w:jc w:val="left"/>
              <w:rPr>
                <w:rFonts w:ascii="宋体" w:hAnsi="宋体" w:eastAsia="宋体" w:cs="Times New Roman"/>
                <w:kern w:val="0"/>
                <w:szCs w:val="21"/>
              </w:rPr>
            </w:pPr>
          </w:p>
        </w:tc>
        <w:tc>
          <w:tcPr>
            <w:tcW w:w="2667" w:type="dxa"/>
            <w:tcBorders>
              <w:top w:val="single" w:color="auto" w:sz="6" w:space="0"/>
              <w:left w:val="single" w:color="auto" w:sz="4" w:space="0"/>
              <w:bottom w:val="single" w:color="auto" w:sz="6" w:space="0"/>
              <w:right w:val="single" w:color="auto" w:sz="6" w:space="0"/>
            </w:tcBorders>
            <w:noWrap/>
          </w:tcPr>
          <w:p w14:paraId="131C5A1A">
            <w:pPr>
              <w:autoSpaceDE w:val="0"/>
              <w:autoSpaceDN w:val="0"/>
              <w:adjustRightInd w:val="0"/>
              <w:snapToGrid w:val="0"/>
              <w:spacing w:line="360" w:lineRule="auto"/>
              <w:jc w:val="left"/>
              <w:rPr>
                <w:rFonts w:ascii="宋体" w:hAnsi="宋体" w:eastAsia="宋体" w:cs="Times New Roman"/>
                <w:kern w:val="0"/>
                <w:szCs w:val="21"/>
              </w:rPr>
            </w:pPr>
          </w:p>
        </w:tc>
        <w:tc>
          <w:tcPr>
            <w:tcW w:w="1166" w:type="dxa"/>
            <w:tcBorders>
              <w:top w:val="single" w:color="auto" w:sz="6" w:space="0"/>
              <w:left w:val="single" w:color="auto" w:sz="6" w:space="0"/>
              <w:bottom w:val="single" w:color="auto" w:sz="6" w:space="0"/>
              <w:right w:val="single" w:color="auto" w:sz="4" w:space="0"/>
            </w:tcBorders>
            <w:noWrap/>
          </w:tcPr>
          <w:p w14:paraId="5EBB96F3">
            <w:pPr>
              <w:autoSpaceDE w:val="0"/>
              <w:autoSpaceDN w:val="0"/>
              <w:adjustRightInd w:val="0"/>
              <w:snapToGrid w:val="0"/>
              <w:spacing w:line="360" w:lineRule="auto"/>
              <w:jc w:val="left"/>
              <w:rPr>
                <w:rFonts w:ascii="宋体" w:hAnsi="宋体" w:eastAsia="宋体" w:cs="Times New Roman"/>
                <w:kern w:val="0"/>
                <w:szCs w:val="21"/>
              </w:rPr>
            </w:pPr>
          </w:p>
        </w:tc>
        <w:tc>
          <w:tcPr>
            <w:tcW w:w="1167" w:type="dxa"/>
            <w:tcBorders>
              <w:top w:val="single" w:color="auto" w:sz="6" w:space="0"/>
              <w:left w:val="single" w:color="auto" w:sz="4" w:space="0"/>
              <w:bottom w:val="single" w:color="auto" w:sz="6" w:space="0"/>
              <w:right w:val="single" w:color="auto" w:sz="6" w:space="0"/>
            </w:tcBorders>
            <w:noWrap/>
          </w:tcPr>
          <w:p w14:paraId="4EF2FD32">
            <w:pPr>
              <w:autoSpaceDE w:val="0"/>
              <w:autoSpaceDN w:val="0"/>
              <w:adjustRightInd w:val="0"/>
              <w:snapToGrid w:val="0"/>
              <w:spacing w:line="360" w:lineRule="auto"/>
              <w:jc w:val="left"/>
              <w:rPr>
                <w:rFonts w:ascii="宋体" w:hAnsi="宋体" w:eastAsia="宋体" w:cs="Times New Roman"/>
                <w:kern w:val="0"/>
                <w:szCs w:val="21"/>
              </w:rPr>
            </w:pPr>
          </w:p>
        </w:tc>
        <w:tc>
          <w:tcPr>
            <w:tcW w:w="1183" w:type="dxa"/>
            <w:tcBorders>
              <w:top w:val="single" w:color="auto" w:sz="6" w:space="0"/>
              <w:left w:val="single" w:color="auto" w:sz="6" w:space="0"/>
              <w:bottom w:val="single" w:color="auto" w:sz="6" w:space="0"/>
              <w:right w:val="single" w:color="auto" w:sz="6" w:space="0"/>
            </w:tcBorders>
            <w:noWrap/>
          </w:tcPr>
          <w:p w14:paraId="67CF40A7">
            <w:pPr>
              <w:autoSpaceDE w:val="0"/>
              <w:autoSpaceDN w:val="0"/>
              <w:adjustRightInd w:val="0"/>
              <w:snapToGrid w:val="0"/>
              <w:spacing w:line="360" w:lineRule="auto"/>
              <w:jc w:val="left"/>
              <w:rPr>
                <w:rFonts w:ascii="宋体" w:hAnsi="宋体" w:eastAsia="宋体" w:cs="Times New Roman"/>
                <w:kern w:val="0"/>
                <w:szCs w:val="21"/>
              </w:rPr>
            </w:pPr>
          </w:p>
        </w:tc>
        <w:tc>
          <w:tcPr>
            <w:tcW w:w="1667" w:type="dxa"/>
            <w:tcBorders>
              <w:top w:val="single" w:color="auto" w:sz="6" w:space="0"/>
              <w:left w:val="single" w:color="auto" w:sz="6" w:space="0"/>
              <w:bottom w:val="single" w:color="auto" w:sz="6" w:space="0"/>
              <w:right w:val="double" w:color="auto" w:sz="4" w:space="0"/>
            </w:tcBorders>
            <w:noWrap/>
          </w:tcPr>
          <w:p w14:paraId="76AA29D8">
            <w:pPr>
              <w:autoSpaceDE w:val="0"/>
              <w:autoSpaceDN w:val="0"/>
              <w:adjustRightInd w:val="0"/>
              <w:snapToGrid w:val="0"/>
              <w:spacing w:line="360" w:lineRule="auto"/>
              <w:jc w:val="left"/>
              <w:rPr>
                <w:rFonts w:ascii="宋体" w:hAnsi="宋体" w:eastAsia="宋体" w:cs="Times New Roman"/>
                <w:kern w:val="0"/>
                <w:szCs w:val="21"/>
              </w:rPr>
            </w:pPr>
          </w:p>
        </w:tc>
      </w:tr>
      <w:tr w14:paraId="66F75C48">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noWrap/>
            <w:vAlign w:val="center"/>
          </w:tcPr>
          <w:p w14:paraId="73261CDA">
            <w:pPr>
              <w:jc w:val="center"/>
              <w:rPr>
                <w:rFonts w:ascii="Times New Roman" w:hAnsi="Times New Roman" w:eastAsia="宋体" w:cs="Times New Roman"/>
              </w:rPr>
            </w:pPr>
            <w:r>
              <w:rPr>
                <w:rFonts w:ascii="Times New Roman" w:hAnsi="Times New Roman" w:eastAsia="宋体" w:cs="Times New Roman"/>
              </w:rPr>
              <w:t>…</w:t>
            </w:r>
          </w:p>
        </w:tc>
        <w:tc>
          <w:tcPr>
            <w:tcW w:w="1981" w:type="dxa"/>
            <w:tcBorders>
              <w:top w:val="single" w:color="auto" w:sz="6" w:space="0"/>
              <w:left w:val="single" w:color="auto" w:sz="6" w:space="0"/>
              <w:bottom w:val="single" w:color="auto" w:sz="6" w:space="0"/>
              <w:right w:val="single" w:color="auto" w:sz="6" w:space="0"/>
            </w:tcBorders>
            <w:noWrap/>
          </w:tcPr>
          <w:p w14:paraId="5BD85C65">
            <w:pPr>
              <w:autoSpaceDE w:val="0"/>
              <w:autoSpaceDN w:val="0"/>
              <w:adjustRightInd w:val="0"/>
              <w:snapToGrid w:val="0"/>
              <w:spacing w:line="360" w:lineRule="auto"/>
              <w:ind w:left="527" w:right="507"/>
              <w:jc w:val="center"/>
              <w:rPr>
                <w:rFonts w:ascii="宋体" w:hAnsi="宋体" w:eastAsia="宋体" w:cs="Times New Roman"/>
                <w:kern w:val="0"/>
                <w:szCs w:val="21"/>
              </w:rPr>
            </w:pPr>
          </w:p>
        </w:tc>
        <w:tc>
          <w:tcPr>
            <w:tcW w:w="2917" w:type="dxa"/>
            <w:tcBorders>
              <w:top w:val="single" w:color="auto" w:sz="6" w:space="0"/>
              <w:left w:val="single" w:color="auto" w:sz="6" w:space="0"/>
              <w:bottom w:val="single" w:color="auto" w:sz="6" w:space="0"/>
              <w:right w:val="single" w:color="auto" w:sz="4" w:space="0"/>
            </w:tcBorders>
            <w:noWrap/>
          </w:tcPr>
          <w:p w14:paraId="587DC31C">
            <w:pPr>
              <w:autoSpaceDE w:val="0"/>
              <w:autoSpaceDN w:val="0"/>
              <w:adjustRightInd w:val="0"/>
              <w:snapToGrid w:val="0"/>
              <w:spacing w:line="360" w:lineRule="auto"/>
              <w:jc w:val="left"/>
              <w:rPr>
                <w:rFonts w:ascii="宋体" w:hAnsi="宋体" w:eastAsia="宋体" w:cs="Times New Roman"/>
                <w:kern w:val="0"/>
                <w:szCs w:val="21"/>
              </w:rPr>
            </w:pPr>
          </w:p>
        </w:tc>
        <w:tc>
          <w:tcPr>
            <w:tcW w:w="2667" w:type="dxa"/>
            <w:tcBorders>
              <w:top w:val="single" w:color="auto" w:sz="6" w:space="0"/>
              <w:left w:val="single" w:color="auto" w:sz="4" w:space="0"/>
              <w:bottom w:val="single" w:color="auto" w:sz="6" w:space="0"/>
              <w:right w:val="single" w:color="auto" w:sz="6" w:space="0"/>
            </w:tcBorders>
            <w:noWrap/>
          </w:tcPr>
          <w:p w14:paraId="258E7181">
            <w:pPr>
              <w:autoSpaceDE w:val="0"/>
              <w:autoSpaceDN w:val="0"/>
              <w:adjustRightInd w:val="0"/>
              <w:snapToGrid w:val="0"/>
              <w:spacing w:line="360" w:lineRule="auto"/>
              <w:jc w:val="left"/>
              <w:rPr>
                <w:rFonts w:ascii="宋体" w:hAnsi="宋体" w:eastAsia="宋体" w:cs="Times New Roman"/>
                <w:kern w:val="0"/>
                <w:szCs w:val="21"/>
              </w:rPr>
            </w:pPr>
          </w:p>
        </w:tc>
        <w:tc>
          <w:tcPr>
            <w:tcW w:w="1166" w:type="dxa"/>
            <w:tcBorders>
              <w:top w:val="single" w:color="auto" w:sz="6" w:space="0"/>
              <w:left w:val="single" w:color="auto" w:sz="6" w:space="0"/>
              <w:bottom w:val="single" w:color="auto" w:sz="6" w:space="0"/>
              <w:right w:val="single" w:color="auto" w:sz="4" w:space="0"/>
            </w:tcBorders>
            <w:noWrap/>
          </w:tcPr>
          <w:p w14:paraId="04E73474">
            <w:pPr>
              <w:autoSpaceDE w:val="0"/>
              <w:autoSpaceDN w:val="0"/>
              <w:adjustRightInd w:val="0"/>
              <w:snapToGrid w:val="0"/>
              <w:spacing w:line="360" w:lineRule="auto"/>
              <w:jc w:val="left"/>
              <w:rPr>
                <w:rFonts w:ascii="宋体" w:hAnsi="宋体" w:eastAsia="宋体" w:cs="Times New Roman"/>
                <w:kern w:val="0"/>
                <w:szCs w:val="21"/>
              </w:rPr>
            </w:pPr>
          </w:p>
        </w:tc>
        <w:tc>
          <w:tcPr>
            <w:tcW w:w="1167" w:type="dxa"/>
            <w:tcBorders>
              <w:top w:val="single" w:color="auto" w:sz="6" w:space="0"/>
              <w:left w:val="single" w:color="auto" w:sz="4" w:space="0"/>
              <w:bottom w:val="single" w:color="auto" w:sz="6" w:space="0"/>
              <w:right w:val="single" w:color="auto" w:sz="6" w:space="0"/>
            </w:tcBorders>
            <w:noWrap/>
          </w:tcPr>
          <w:p w14:paraId="2FE78CD4">
            <w:pPr>
              <w:autoSpaceDE w:val="0"/>
              <w:autoSpaceDN w:val="0"/>
              <w:adjustRightInd w:val="0"/>
              <w:snapToGrid w:val="0"/>
              <w:spacing w:line="360" w:lineRule="auto"/>
              <w:jc w:val="left"/>
              <w:rPr>
                <w:rFonts w:ascii="宋体" w:hAnsi="宋体" w:eastAsia="宋体" w:cs="Times New Roman"/>
                <w:kern w:val="0"/>
                <w:szCs w:val="21"/>
              </w:rPr>
            </w:pPr>
          </w:p>
        </w:tc>
        <w:tc>
          <w:tcPr>
            <w:tcW w:w="1183" w:type="dxa"/>
            <w:tcBorders>
              <w:top w:val="single" w:color="auto" w:sz="6" w:space="0"/>
              <w:left w:val="single" w:color="auto" w:sz="6" w:space="0"/>
              <w:bottom w:val="single" w:color="auto" w:sz="6" w:space="0"/>
              <w:right w:val="single" w:color="auto" w:sz="6" w:space="0"/>
            </w:tcBorders>
            <w:noWrap/>
          </w:tcPr>
          <w:p w14:paraId="4B0905A1">
            <w:pPr>
              <w:autoSpaceDE w:val="0"/>
              <w:autoSpaceDN w:val="0"/>
              <w:adjustRightInd w:val="0"/>
              <w:snapToGrid w:val="0"/>
              <w:spacing w:line="360" w:lineRule="auto"/>
              <w:jc w:val="left"/>
              <w:rPr>
                <w:rFonts w:ascii="宋体" w:hAnsi="宋体" w:eastAsia="宋体" w:cs="Times New Roman"/>
                <w:kern w:val="0"/>
                <w:szCs w:val="21"/>
              </w:rPr>
            </w:pPr>
          </w:p>
        </w:tc>
        <w:tc>
          <w:tcPr>
            <w:tcW w:w="1667" w:type="dxa"/>
            <w:tcBorders>
              <w:top w:val="single" w:color="auto" w:sz="6" w:space="0"/>
              <w:left w:val="single" w:color="auto" w:sz="6" w:space="0"/>
              <w:bottom w:val="single" w:color="auto" w:sz="6" w:space="0"/>
              <w:right w:val="double" w:color="auto" w:sz="4" w:space="0"/>
            </w:tcBorders>
            <w:noWrap/>
          </w:tcPr>
          <w:p w14:paraId="53BFCAA2">
            <w:pPr>
              <w:autoSpaceDE w:val="0"/>
              <w:autoSpaceDN w:val="0"/>
              <w:adjustRightInd w:val="0"/>
              <w:snapToGrid w:val="0"/>
              <w:spacing w:line="360" w:lineRule="auto"/>
              <w:jc w:val="left"/>
              <w:rPr>
                <w:rFonts w:ascii="宋体" w:hAnsi="宋体" w:eastAsia="宋体" w:cs="Times New Roman"/>
                <w:kern w:val="0"/>
                <w:szCs w:val="21"/>
              </w:rPr>
            </w:pPr>
          </w:p>
        </w:tc>
      </w:tr>
      <w:tr w14:paraId="7B3B788D">
        <w:tblPrEx>
          <w:tblCellMar>
            <w:top w:w="0" w:type="dxa"/>
            <w:left w:w="0" w:type="dxa"/>
            <w:bottom w:w="0" w:type="dxa"/>
            <w:right w:w="0" w:type="dxa"/>
          </w:tblCellMar>
        </w:tblPrEx>
        <w:trPr>
          <w:trHeight w:val="415" w:hRule="exact"/>
        </w:trPr>
        <w:tc>
          <w:tcPr>
            <w:tcW w:w="10231" w:type="dxa"/>
            <w:gridSpan w:val="6"/>
            <w:tcBorders>
              <w:top w:val="single" w:color="auto" w:sz="6" w:space="0"/>
              <w:left w:val="double" w:color="auto" w:sz="4" w:space="0"/>
              <w:bottom w:val="double" w:color="auto" w:sz="4" w:space="0"/>
              <w:right w:val="single" w:color="auto" w:sz="6" w:space="0"/>
            </w:tcBorders>
            <w:noWrap/>
            <w:vAlign w:val="center"/>
          </w:tcPr>
          <w:p w14:paraId="42FB204A">
            <w:pPr>
              <w:autoSpaceDE w:val="0"/>
              <w:autoSpaceDN w:val="0"/>
              <w:adjustRightInd w:val="0"/>
              <w:snapToGrid w:val="0"/>
              <w:spacing w:line="360" w:lineRule="auto"/>
              <w:jc w:val="center"/>
              <w:rPr>
                <w:rFonts w:ascii="宋体" w:hAnsi="宋体" w:eastAsia="宋体" w:cs="Times New Roman"/>
                <w:kern w:val="0"/>
                <w:szCs w:val="21"/>
              </w:rPr>
            </w:pPr>
            <w:r>
              <w:rPr>
                <w:rFonts w:hint="eastAsia" w:ascii="宋体" w:hAnsi="宋体" w:eastAsia="宋体" w:cs="微软雅黑"/>
                <w:kern w:val="0"/>
                <w:position w:val="-1"/>
                <w:szCs w:val="21"/>
              </w:rPr>
              <w:t>报价（元）：</w:t>
            </w:r>
          </w:p>
        </w:tc>
        <w:tc>
          <w:tcPr>
            <w:tcW w:w="1183" w:type="dxa"/>
            <w:tcBorders>
              <w:top w:val="single" w:color="auto" w:sz="6" w:space="0"/>
              <w:left w:val="single" w:color="auto" w:sz="6" w:space="0"/>
              <w:bottom w:val="double" w:color="auto" w:sz="4" w:space="0"/>
              <w:right w:val="single" w:color="auto" w:sz="6" w:space="0"/>
            </w:tcBorders>
            <w:noWrap/>
          </w:tcPr>
          <w:p w14:paraId="20C3F5F7">
            <w:pPr>
              <w:autoSpaceDE w:val="0"/>
              <w:autoSpaceDN w:val="0"/>
              <w:adjustRightInd w:val="0"/>
              <w:snapToGrid w:val="0"/>
              <w:spacing w:line="360" w:lineRule="auto"/>
              <w:jc w:val="left"/>
              <w:rPr>
                <w:rFonts w:ascii="宋体" w:hAnsi="宋体" w:eastAsia="宋体" w:cs="Times New Roman"/>
                <w:kern w:val="0"/>
                <w:szCs w:val="21"/>
              </w:rPr>
            </w:pPr>
          </w:p>
        </w:tc>
        <w:tc>
          <w:tcPr>
            <w:tcW w:w="1667" w:type="dxa"/>
            <w:tcBorders>
              <w:top w:val="single" w:color="auto" w:sz="6" w:space="0"/>
              <w:left w:val="single" w:color="auto" w:sz="6" w:space="0"/>
              <w:bottom w:val="double" w:color="auto" w:sz="4" w:space="0"/>
              <w:right w:val="double" w:color="auto" w:sz="4" w:space="0"/>
            </w:tcBorders>
            <w:noWrap/>
          </w:tcPr>
          <w:p w14:paraId="61347A75">
            <w:pPr>
              <w:autoSpaceDE w:val="0"/>
              <w:autoSpaceDN w:val="0"/>
              <w:adjustRightInd w:val="0"/>
              <w:snapToGrid w:val="0"/>
              <w:spacing w:line="360" w:lineRule="auto"/>
              <w:jc w:val="left"/>
              <w:rPr>
                <w:rFonts w:ascii="宋体" w:hAnsi="宋体" w:eastAsia="宋体" w:cs="Times New Roman"/>
                <w:kern w:val="0"/>
                <w:szCs w:val="21"/>
              </w:rPr>
            </w:pPr>
          </w:p>
        </w:tc>
      </w:tr>
    </w:tbl>
    <w:p w14:paraId="71C0CEBD">
      <w:pPr>
        <w:adjustRightInd w:val="0"/>
        <w:snapToGrid w:val="0"/>
        <w:spacing w:line="360" w:lineRule="auto"/>
        <w:rPr>
          <w:rFonts w:hint="eastAsia" w:ascii="宋体" w:hAnsi="宋体" w:eastAsia="宋体" w:cs="Times New Roman"/>
          <w:szCs w:val="21"/>
          <w:u w:val="single"/>
        </w:rPr>
      </w:pPr>
      <w:r>
        <w:rPr>
          <w:rFonts w:hint="eastAsia" w:ascii="宋体" w:hAnsi="宋体" w:eastAsia="宋体" w:cs="Times New Roman"/>
          <w:szCs w:val="21"/>
        </w:rPr>
        <w:t>报价金额合计：小写：</w:t>
      </w:r>
      <w:r>
        <w:rPr>
          <w:rFonts w:hint="eastAsia" w:ascii="宋体" w:hAnsi="宋体" w:eastAsia="宋体" w:cs="Times New Roman"/>
          <w:szCs w:val="21"/>
          <w:u w:val="single"/>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p>
    <w:p w14:paraId="04030B96">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供应商名称（盖单位章）：</w:t>
      </w:r>
    </w:p>
    <w:p w14:paraId="443B0667">
      <w:pPr>
        <w:adjustRightInd w:val="0"/>
        <w:snapToGrid w:val="0"/>
        <w:spacing w:line="360" w:lineRule="auto"/>
        <w:rPr>
          <w:rFonts w:hint="eastAsia" w:ascii="Times New Roman" w:hAnsi="Times New Roman" w:eastAsia="宋体" w:cs="Times New Roman"/>
        </w:rPr>
      </w:pPr>
      <w:r>
        <w:rPr>
          <w:rFonts w:hint="eastAsia" w:ascii="宋体" w:hAnsi="宋体" w:eastAsia="宋体" w:cs="Times New Roman"/>
          <w:szCs w:val="21"/>
        </w:rPr>
        <w:t>法定代表人或其委托代理人签字：</w:t>
      </w:r>
      <w:r>
        <w:rPr>
          <w:rFonts w:hint="eastAsia" w:ascii="宋体" w:hAnsi="宋体" w:eastAsia="宋体" w:cs="Times New Roman"/>
          <w:szCs w:val="21"/>
          <w:u w:val="single"/>
        </w:rPr>
        <w:t xml:space="preserve">       </w:t>
      </w:r>
    </w:p>
    <w:p w14:paraId="475C974A">
      <w:pPr>
        <w:adjustRightInd w:val="0"/>
        <w:snapToGrid w:val="0"/>
        <w:spacing w:line="360" w:lineRule="auto"/>
        <w:ind w:left="-88" w:leftChars="-42"/>
        <w:rPr>
          <w:rFonts w:hint="eastAsia" w:ascii="仿宋_GB2312" w:hAnsi="宋体" w:eastAsia="仿宋_GB2312" w:cs="Times New Roman"/>
          <w:szCs w:val="21"/>
        </w:rPr>
      </w:pPr>
      <w:r>
        <w:rPr>
          <w:rFonts w:hint="eastAsia" w:ascii="仿宋_GB2312" w:hAnsi="宋体" w:eastAsia="仿宋_GB2312" w:cs="Times New Roman"/>
          <w:szCs w:val="21"/>
        </w:rPr>
        <w:t>说明：</w:t>
      </w:r>
    </w:p>
    <w:p w14:paraId="1E5B34D0">
      <w:pPr>
        <w:adjustRightInd w:val="0"/>
        <w:snapToGrid w:val="0"/>
        <w:spacing w:line="360" w:lineRule="auto"/>
        <w:ind w:left="-88" w:leftChars="-42" w:firstLine="315" w:firstLineChars="150"/>
        <w:rPr>
          <w:rFonts w:hint="eastAsia" w:ascii="仿宋_GB2312" w:hAnsi="宋体" w:eastAsia="仿宋_GB2312" w:cs="Times New Roman"/>
          <w:szCs w:val="21"/>
        </w:rPr>
      </w:pPr>
      <w:r>
        <w:rPr>
          <w:rFonts w:hint="eastAsia" w:ascii="仿宋_GB2312" w:hAnsi="宋体" w:eastAsia="仿宋_GB2312" w:cs="Times New Roman"/>
          <w:szCs w:val="21"/>
        </w:rPr>
        <w:t>1、本表包含磋商文件第四章《采购需求》或其他部分对该项目所有要求的详细报价。“合计”及“报价金额合计”应与附件9-1《报价一览表》“报价”一致；栏目“单价”为综合单价，应包含所有隐含的管理费、税金和利润等其他费用，并在“具体要求说明”中注明分类项取费标准和其他费用的计费率和金额。</w:t>
      </w:r>
    </w:p>
    <w:p w14:paraId="7A7866C6">
      <w:pPr>
        <w:adjustRightInd w:val="0"/>
        <w:snapToGrid w:val="0"/>
        <w:spacing w:line="360" w:lineRule="auto"/>
        <w:ind w:left="-88" w:leftChars="-42" w:firstLine="315" w:firstLineChars="150"/>
        <w:rPr>
          <w:rFonts w:hint="eastAsia" w:ascii="仿宋_GB2312" w:hAnsi="宋体" w:eastAsia="仿宋_GB2312" w:cs="Times New Roman"/>
          <w:szCs w:val="21"/>
        </w:rPr>
      </w:pPr>
      <w:r>
        <w:rPr>
          <w:rFonts w:hint="eastAsia" w:ascii="仿宋_GB2312" w:hAnsi="宋体" w:eastAsia="仿宋_GB2312" w:cs="Times New Roman"/>
          <w:szCs w:val="21"/>
        </w:rPr>
        <w:t>2、“服务名称”是指整包分项服务的内容，品目分类是指分项服务费用构成的明细分类项。</w:t>
      </w:r>
    </w:p>
    <w:p w14:paraId="1BDFFE23">
      <w:pPr>
        <w:adjustRightInd w:val="0"/>
        <w:snapToGrid w:val="0"/>
        <w:spacing w:line="360" w:lineRule="auto"/>
        <w:ind w:left="-88" w:leftChars="-42" w:firstLine="315" w:firstLineChars="150"/>
        <w:rPr>
          <w:rFonts w:hint="eastAsia" w:ascii="宋体" w:hAnsi="宋体" w:eastAsia="宋体" w:cs="Times New Roman"/>
          <w:szCs w:val="21"/>
        </w:rPr>
      </w:pPr>
      <w:r>
        <w:rPr>
          <w:rFonts w:hint="eastAsia" w:ascii="仿宋_GB2312" w:hAnsi="宋体" w:eastAsia="仿宋_GB2312" w:cs="Times New Roman"/>
          <w:szCs w:val="21"/>
        </w:rPr>
        <w:t>3、服务类含有货物的，供应商应</w:t>
      </w:r>
      <w:r>
        <w:rPr>
          <w:rFonts w:hint="eastAsia" w:ascii="仿宋_GB2312" w:hAnsi="宋体" w:eastAsia="仿宋_GB2312" w:cs="Times New Roman"/>
          <w:kern w:val="0"/>
          <w:szCs w:val="21"/>
        </w:rPr>
        <w:t>填写提供的</w:t>
      </w:r>
      <w:r>
        <w:rPr>
          <w:rFonts w:hint="eastAsia" w:ascii="仿宋_GB2312" w:hAnsi="宋体" w:eastAsia="仿宋_GB2312" w:cs="Times New Roman"/>
          <w:szCs w:val="21"/>
        </w:rPr>
        <w:t>产品的中国环境标志认证证书编号、节能标志认证证书编号。</w:t>
      </w:r>
    </w:p>
    <w:p w14:paraId="4BF2F9DF">
      <w:pPr>
        <w:adjustRightInd w:val="0"/>
        <w:snapToGrid w:val="0"/>
        <w:spacing w:line="360" w:lineRule="auto"/>
        <w:rPr>
          <w:rFonts w:hint="eastAsia" w:ascii="宋体" w:hAnsi="宋体"/>
          <w:szCs w:val="21"/>
        </w:rPr>
        <w:sectPr>
          <w:pgSz w:w="16838" w:h="11906" w:orient="landscape"/>
          <w:pgMar w:top="1440" w:right="1080" w:bottom="1440" w:left="1080" w:header="851" w:footer="992" w:gutter="0"/>
          <w:cols w:space="720" w:num="1"/>
          <w:docGrid w:type="linesAndChars" w:linePitch="312" w:charSpace="0"/>
        </w:sectPr>
      </w:pPr>
    </w:p>
    <w:p w14:paraId="5544A620">
      <w:pPr>
        <w:adjustRightInd w:val="0"/>
        <w:snapToGrid w:val="0"/>
        <w:spacing w:line="360" w:lineRule="auto"/>
        <w:ind w:left="-88" w:leftChars="-42"/>
        <w:jc w:val="center"/>
        <w:rPr>
          <w:rFonts w:hint="eastAsia" w:ascii="黑体" w:hAnsi="宋体" w:eastAsia="黑体" w:cs="Times New Roman"/>
          <w:sz w:val="28"/>
          <w:szCs w:val="28"/>
        </w:rPr>
      </w:pPr>
      <w:r>
        <w:rPr>
          <w:rFonts w:hint="eastAsia" w:ascii="黑体" w:hAnsi="Times New Roman" w:eastAsia="黑体" w:cs="Times New Roman"/>
          <w:b/>
          <w:sz w:val="32"/>
          <w:szCs w:val="32"/>
        </w:rPr>
        <w:t>七</w:t>
      </w:r>
      <w:r>
        <w:rPr>
          <w:rFonts w:hint="eastAsia" w:ascii="黑体" w:hAnsi="Times New Roman" w:eastAsia="黑体" w:cs="Times New Roman"/>
          <w:b/>
          <w:bCs/>
          <w:sz w:val="32"/>
          <w:szCs w:val="32"/>
        </w:rPr>
        <w:t>、供应商认为需要提供的其它资料</w:t>
      </w:r>
    </w:p>
    <w:p w14:paraId="7A40D4DB">
      <w:pPr>
        <w:adjustRightInd w:val="0"/>
        <w:snapToGrid w:val="0"/>
        <w:spacing w:before="156" w:beforeLines="50" w:line="360" w:lineRule="auto"/>
        <w:jc w:val="center"/>
        <w:outlineLvl w:val="0"/>
        <w:rPr>
          <w:rFonts w:hint="eastAsia" w:ascii="黑体" w:hAnsi="宋体" w:eastAsia="黑体" w:cs="Times New Roman"/>
          <w:b/>
          <w:sz w:val="32"/>
          <w:szCs w:val="32"/>
        </w:rPr>
      </w:pPr>
      <w:r>
        <w:rPr>
          <w:rFonts w:ascii="黑体" w:hAnsi="宋体" w:eastAsia="黑体" w:cs="Times New Roman"/>
          <w:b/>
          <w:sz w:val="32"/>
          <w:szCs w:val="32"/>
        </w:rPr>
        <w:br w:type="page"/>
      </w:r>
      <w:r>
        <w:rPr>
          <w:rFonts w:hint="eastAsia" w:ascii="黑体" w:hAnsi="宋体" w:eastAsia="黑体" w:cs="Times New Roman"/>
          <w:b/>
          <w:sz w:val="32"/>
          <w:szCs w:val="32"/>
        </w:rPr>
        <w:t>八、最后报价</w:t>
      </w:r>
    </w:p>
    <w:p w14:paraId="2E485FC5">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说明：</w:t>
      </w:r>
    </w:p>
    <w:p w14:paraId="6DEEB3FC">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1、最后报价按第二章磋商须知第30条规定提供，格式按附件9-1、附件9-2提供。</w:t>
      </w:r>
    </w:p>
    <w:p w14:paraId="44B2A679">
      <w:pPr>
        <w:adjustRightInd w:val="0"/>
        <w:snapToGrid w:val="0"/>
        <w:spacing w:line="360" w:lineRule="auto"/>
        <w:ind w:left="-88" w:leftChars="-42" w:firstLine="525" w:firstLineChars="250"/>
        <w:rPr>
          <w:rFonts w:hint="eastAsia" w:ascii="宋体" w:hAnsi="宋体" w:eastAsia="宋体" w:cs="Times New Roman"/>
          <w:szCs w:val="21"/>
        </w:rPr>
      </w:pPr>
      <w:r>
        <w:rPr>
          <w:rFonts w:hint="eastAsia" w:ascii="宋体" w:hAnsi="宋体" w:eastAsia="宋体" w:cs="Times New Roman"/>
          <w:szCs w:val="21"/>
        </w:rPr>
        <w:t>2、最后报价需填列报价一览表和分项价格表。</w:t>
      </w:r>
    </w:p>
    <w:p w14:paraId="4741B8ED">
      <w:pPr>
        <w:adjustRightInd w:val="0"/>
        <w:snapToGrid w:val="0"/>
        <w:spacing w:line="360" w:lineRule="auto"/>
        <w:ind w:left="-88" w:leftChars="-42" w:firstLine="525" w:firstLineChars="250"/>
      </w:pPr>
      <w:r>
        <w:rPr>
          <w:rFonts w:hint="eastAsia" w:ascii="宋体" w:hAnsi="宋体" w:eastAsia="宋体" w:cs="Times New Roman"/>
          <w:szCs w:val="21"/>
        </w:rPr>
        <w:t>3、</w:t>
      </w:r>
      <w:r>
        <w:rPr>
          <w:rFonts w:hint="eastAsia" w:ascii="宋体" w:hAnsi="宋体" w:eastAsia="宋体" w:cs="宋体"/>
          <w:szCs w:val="21"/>
        </w:rPr>
        <w:t>最后报价在磋商现场提交。（由供应商自行准备表格，可到现场进行填写，也可填好密封后，在磋商现场提交。）</w:t>
      </w:r>
    </w:p>
    <w:sectPr>
      <w:headerReference r:id="rId16" w:type="first"/>
      <w:headerReference r:id="rId14" w:type="default"/>
      <w:headerReference r:id="rId15" w:type="even"/>
      <w:footerReference r:id="rId17" w:type="even"/>
      <w:pgSz w:w="11911" w:h="16838"/>
      <w:pgMar w:top="1440" w:right="1531" w:bottom="1440" w:left="1531" w:header="1020" w:footer="952" w:gutter="0"/>
      <w:pgNumType w:fmt="decimal"/>
      <w:cols w:space="0" w:num="1"/>
      <w:docGrid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51510006">
    <w:panose1 w:val="020B07030202040202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6219">
    <w:pPr>
      <w:pStyle w:val="11"/>
      <w:jc w:val="right"/>
    </w:pPr>
  </w:p>
  <w:p w14:paraId="24BEA3DE">
    <w:pPr>
      <w:pStyle w:val="11"/>
      <w:ind w:right="24"/>
      <w:jc w:val="center"/>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7C43">
    <w:pPr>
      <w:pStyle w:val="11"/>
      <w:framePr w:wrap="around" w:vAnchor="text" w:hAnchor="margin" w:xAlign="right" w:y="1"/>
      <w:rPr>
        <w:rStyle w:val="22"/>
      </w:rPr>
    </w:pPr>
    <w:r>
      <w:fldChar w:fldCharType="begin"/>
    </w:r>
    <w:r>
      <w:rPr>
        <w:rStyle w:val="22"/>
      </w:rPr>
      <w:instrText xml:space="preserve">PAGE  </w:instrText>
    </w:r>
    <w:r>
      <w:fldChar w:fldCharType="end"/>
    </w:r>
  </w:p>
  <w:p w14:paraId="153B8AB4">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4A1EC">
    <w:pPr>
      <w:pStyle w:val="11"/>
      <w:tabs>
        <w:tab w:val="left" w:pos="6815"/>
        <w:tab w:val="right" w:pos="8964"/>
      </w:tabs>
      <w:jc w:val="left"/>
    </w:pPr>
    <w:r>
      <w:rPr>
        <w:rFonts w:hint="eastAsia"/>
        <w:lang w:eastAsia="zh-CN"/>
      </w:rPr>
      <w:tab/>
    </w:r>
    <w:r>
      <w:rPr>
        <w:rFonts w:hint="eastAsia"/>
        <w:lang w:eastAsia="zh-CN"/>
      </w:rPr>
      <w:tab/>
    </w:r>
    <w:r>
      <w:rPr>
        <w:rFonts w:hint="eastAsia"/>
        <w:lang w:eastAsia="zh-CN"/>
      </w:rPr>
      <w:tab/>
    </w:r>
    <w:r>
      <w:rPr>
        <w:rFonts w:hint="eastAsia"/>
        <w:lang w:eastAsia="zh-CN"/>
      </w:rPr>
      <w:tab/>
    </w:r>
  </w:p>
  <w:p w14:paraId="1BF92B9F">
    <w:pPr>
      <w:pStyle w:val="11"/>
      <w:ind w:right="24"/>
      <w:jc w:val="center"/>
      <w:rPr>
        <w:sz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FB2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22CAC9">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5CJ2y8AQAAoAMAAA4AAAAAAAAAAQAgAAAAHgEAAGRycy9lMm9Eb2MueG1sUEsFBgAAAAAG&#10;AAYAWQEAAEwFAAAAAA==&#10;">
              <v:fill on="f" focussize="0,0"/>
              <v:stroke on="f"/>
              <v:imagedata o:title=""/>
              <o:lock v:ext="edit" aspectratio="f"/>
              <v:textbox inset="0mm,0mm,0mm,0mm" style="mso-fit-shape-to-text:t;">
                <w:txbxContent>
                  <w:p w14:paraId="3D22CAC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E9C3">
    <w:pPr>
      <w:pStyle w:val="11"/>
      <w:ind w:right="24"/>
      <w:jc w:val="both"/>
      <w:rPr>
        <w:sz w:val="8"/>
      </w:rPr>
    </w:pPr>
    <w:r>
      <w:rPr>
        <w:sz w:val="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932EF">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14:paraId="2C7932E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11CB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1E497D">
                          <w:pPr>
                            <w:pStyle w:val="11"/>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551E497D">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23BD">
    <w:pPr>
      <w:framePr w:wrap="around" w:vAnchor="text" w:hAnchor="margin" w:xAlign="right" w:y="1"/>
      <w:widowControl w:val="0"/>
      <w:snapToGrid w:val="0"/>
      <w:jc w:val="left"/>
      <w:rPr>
        <w:rStyle w:val="2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22"/>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22"/>
        <w:rFonts w:ascii="Times New Roman" w:hAnsi="Times New Roman" w:eastAsia="宋体" w:cs="Times New Roman"/>
        <w:kern w:val="2"/>
        <w:sz w:val="21"/>
        <w:szCs w:val="24"/>
        <w:lang w:val="en-US" w:eastAsia="zh-CN" w:bidi="ar-SA"/>
      </w:rPr>
      <w:t>45</w:t>
    </w:r>
    <w:r>
      <w:rPr>
        <w:rFonts w:ascii="Times New Roman" w:hAnsi="Times New Roman" w:eastAsia="宋体" w:cs="Times New Roman"/>
        <w:kern w:val="2"/>
        <w:sz w:val="18"/>
        <w:szCs w:val="18"/>
        <w:lang w:val="en-US" w:eastAsia="zh-CN" w:bidi="ar-SA"/>
      </w:rPr>
      <w:fldChar w:fldCharType="end"/>
    </w:r>
  </w:p>
  <w:p w14:paraId="2EA812B5">
    <w:pPr>
      <w:widowControl w:val="0"/>
      <w:snapToGrid w:val="0"/>
      <w:ind w:right="360"/>
      <w:jc w:val="left"/>
      <w:rPr>
        <w:rFonts w:ascii="Times New Roman" w:hAnsi="Times New Roman" w:eastAsia="宋体" w:cs="Times New Roman"/>
        <w:kern w:val="2"/>
        <w:sz w:val="18"/>
        <w:szCs w:val="18"/>
        <w:lang w:val="en-US" w:eastAsia="zh-CN" w:bidi="ar-SA"/>
      </w:rPr>
    </w:pPr>
    <w:r>
      <w:rPr>
        <w:rFonts w:hint="eastAsia" w:ascii="隶书" w:hAnsi="Times New Roman" w:eastAsia="隶书" w:cs="Times New Roman"/>
        <w:b/>
        <w:kern w:val="0"/>
        <w:sz w:val="21"/>
        <w:szCs w:val="21"/>
        <w:lang w:val="en-US" w:eastAsia="zh-CN" w:bidi="ar-SA"/>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F0F1">
    <w:pPr>
      <w:pStyle w:val="11"/>
      <w:framePr w:wrap="around" w:vAnchor="text" w:hAnchor="margin" w:xAlign="right" w:y="1"/>
      <w:rPr>
        <w:rStyle w:val="22"/>
      </w:rPr>
    </w:pPr>
    <w:r>
      <w:fldChar w:fldCharType="begin"/>
    </w:r>
    <w:r>
      <w:rPr>
        <w:rStyle w:val="22"/>
      </w:rPr>
      <w:instrText xml:space="preserve">PAGE  </w:instrText>
    </w:r>
    <w:r>
      <w:fldChar w:fldCharType="end"/>
    </w:r>
  </w:p>
  <w:p w14:paraId="6872514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A7D83">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51268">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AB57">
    <w:pPr>
      <w:pStyle w:val="12"/>
      <w:jc w:val="both"/>
      <w:rPr>
        <w:rFonts w:ascii="华文新魏" w:hAnsi="楷体" w:eastAsia="华文新魏"/>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3BCE">
    <w:pPr>
      <w:widowControl w:val="0"/>
      <w:jc w:val="both"/>
      <w:rPr>
        <w:rFonts w:hint="eastAsia" w:ascii="仿宋_GB2312" w:hAnsi="Courier New" w:eastAsia="仿宋_GB2312" w:cs="Courier New"/>
        <w:b/>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24C3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0ECA">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21DD">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6FD06"/>
    <w:multiLevelType w:val="singleLevel"/>
    <w:tmpl w:val="A1A6FD06"/>
    <w:lvl w:ilvl="0" w:tentative="0">
      <w:start w:val="4"/>
      <w:numFmt w:val="chineseCounting"/>
      <w:suff w:val="nothing"/>
      <w:lvlText w:val="%1、"/>
      <w:lvlJc w:val="left"/>
      <w:rPr>
        <w:rFonts w:hint="eastAsia"/>
      </w:rPr>
    </w:lvl>
  </w:abstractNum>
  <w:abstractNum w:abstractNumId="1">
    <w:nsid w:val="1A1D2CE0"/>
    <w:multiLevelType w:val="singleLevel"/>
    <w:tmpl w:val="1A1D2CE0"/>
    <w:lvl w:ilvl="0" w:tentative="0">
      <w:start w:val="1"/>
      <w:numFmt w:val="chineseCounting"/>
      <w:suff w:val="nothing"/>
      <w:lvlText w:val="%1、"/>
      <w:lvlJc w:val="left"/>
      <w:rPr>
        <w:rFonts w:hint="eastAsia" w:ascii="宋体" w:hAnsi="宋体" w:eastAsia="宋体" w:cs="宋体"/>
      </w:rPr>
    </w:lvl>
  </w:abstractNum>
  <w:abstractNum w:abstractNumId="2">
    <w:nsid w:val="5C658159"/>
    <w:multiLevelType w:val="singleLevel"/>
    <w:tmpl w:val="5C658159"/>
    <w:lvl w:ilvl="0" w:tentative="0">
      <w:start w:val="1"/>
      <w:numFmt w:val="chineseCounting"/>
      <w:suff w:val="nothing"/>
      <w:lvlText w:val="（%1）"/>
      <w:lvlJc w:val="left"/>
      <w:pPr>
        <w:ind w:left="0" w:firstLine="420"/>
      </w:pPr>
      <w:rPr>
        <w:rFonts w:hint="eastAsia"/>
      </w:rPr>
    </w:lvl>
  </w:abstractNum>
  <w:abstractNum w:abstractNumId="3">
    <w:nsid w:val="62069D0F"/>
    <w:multiLevelType w:val="singleLevel"/>
    <w:tmpl w:val="62069D0F"/>
    <w:lvl w:ilvl="0" w:tentative="0">
      <w:start w:val="1"/>
      <w:numFmt w:val="decimal"/>
      <w:lvlText w:val="%1."/>
      <w:lvlJc w:val="left"/>
      <w:pPr>
        <w:tabs>
          <w:tab w:val="left" w:pos="312"/>
        </w:tabs>
      </w:pPr>
    </w:lvl>
  </w:abstractNum>
  <w:abstractNum w:abstractNumId="4">
    <w:nsid w:val="720D431F"/>
    <w:multiLevelType w:val="singleLevel"/>
    <w:tmpl w:val="720D431F"/>
    <w:lvl w:ilvl="0" w:tentative="0">
      <w:start w:val="1"/>
      <w:numFmt w:val="decimal"/>
      <w:suff w:val="nothing"/>
      <w:lvlText w:val="%1、"/>
      <w:lvlJc w:val="left"/>
    </w:lvl>
  </w:abstractNum>
  <w:abstractNum w:abstractNumId="5">
    <w:nsid w:val="792501AB"/>
    <w:multiLevelType w:val="singleLevel"/>
    <w:tmpl w:val="792501AB"/>
    <w:lvl w:ilvl="0" w:tentative="0">
      <w:start w:val="1"/>
      <w:numFmt w:val="decimal"/>
      <w:suff w:val="nothing"/>
      <w:lvlText w:val="（%1）"/>
      <w:lvlJc w:val="left"/>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9B"/>
    <w:rsid w:val="0037339B"/>
    <w:rsid w:val="0EA3519B"/>
    <w:rsid w:val="19EE1EE6"/>
    <w:rsid w:val="22B33111"/>
    <w:rsid w:val="28F764D0"/>
    <w:rsid w:val="2F386D3D"/>
    <w:rsid w:val="40FA4AF1"/>
    <w:rsid w:val="46E37EC5"/>
    <w:rsid w:val="560E717D"/>
    <w:rsid w:val="66FD2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Body Text"/>
    <w:basedOn w:val="1"/>
    <w:next w:val="1"/>
    <w:qFormat/>
    <w:uiPriority w:val="0"/>
    <w:pPr>
      <w:spacing w:after="120"/>
    </w:pPr>
  </w:style>
  <w:style w:type="paragraph" w:styleId="8">
    <w:name w:val="Body Text Indent"/>
    <w:basedOn w:val="1"/>
    <w:qFormat/>
    <w:uiPriority w:val="99"/>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7"/>
    <w:qFormat/>
    <w:uiPriority w:val="0"/>
    <w:pPr>
      <w:spacing w:line="360" w:lineRule="auto"/>
      <w:ind w:firstLine="309" w:firstLineChars="100"/>
      <w:outlineLvl w:val="0"/>
    </w:pPr>
    <w:rPr>
      <w:bCs/>
      <w:color w:val="000000"/>
      <w:kern w:val="28"/>
      <w:szCs w:val="21"/>
    </w:rPr>
  </w:style>
  <w:style w:type="paragraph" w:styleId="17">
    <w:name w:val="Body Text First Indent 2"/>
    <w:basedOn w:val="8"/>
    <w:qFormat/>
    <w:uiPriority w:val="99"/>
    <w:pPr>
      <w:autoSpaceDE w:val="0"/>
      <w:autoSpaceDN w:val="0"/>
      <w:adjustRightInd w:val="0"/>
      <w:ind w:firstLine="420"/>
      <w:jc w:val="left"/>
    </w:pPr>
    <w:rPr>
      <w:rFonts w:ascii="Calibri" w:hAnsi="Calibri"/>
      <w:kern w:val="0"/>
    </w:rPr>
  </w:style>
  <w:style w:type="table" w:styleId="19">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basedOn w:val="20"/>
    <w:qFormat/>
    <w:uiPriority w:val="0"/>
  </w:style>
  <w:style w:type="paragraph" w:customStyle="1" w:styleId="23">
    <w:name w:val="列出段落1"/>
    <w:basedOn w:val="24"/>
    <w:qFormat/>
    <w:uiPriority w:val="0"/>
    <w:pPr>
      <w:ind w:firstLine="420" w:firstLineChars="200"/>
    </w:pPr>
    <w:rPr>
      <w:rFonts w:ascii="Calibri" w:hAnsi="Calibri"/>
    </w:rPr>
  </w:style>
  <w:style w:type="paragraph" w:customStyle="1" w:styleId="24">
    <w:name w:val="正文_10_43"/>
    <w:qFormat/>
    <w:uiPriority w:val="0"/>
    <w:pPr>
      <w:widowControl w:val="0"/>
      <w:jc w:val="both"/>
    </w:pPr>
    <w:rPr>
      <w:rFonts w:ascii="Times New Roman" w:hAnsi="Times New Roman" w:eastAsia="宋体" w:cs="Times New Roman"/>
      <w:kern w:val="2"/>
      <w:sz w:val="24"/>
      <w:szCs w:val="22"/>
      <w:lang w:val="en-US" w:eastAsia="zh-CN" w:bidi="ar-SA"/>
    </w:rPr>
  </w:style>
  <w:style w:type="paragraph" w:customStyle="1" w:styleId="25">
    <w:name w:val="Table Paragraph"/>
    <w:basedOn w:val="1"/>
    <w:qFormat/>
    <w:uiPriority w:val="1"/>
    <w:rPr>
      <w:rFonts w:ascii="宋体" w:hAnsi="宋体" w:cs="宋体"/>
      <w:lang w:val="zh-CN" w:bidi="zh-CN"/>
    </w:rPr>
  </w:style>
  <w:style w:type="paragraph" w:customStyle="1" w:styleId="26">
    <w:name w:val="p0"/>
    <w:basedOn w:val="1"/>
    <w:qFormat/>
    <w:uiPriority w:val="0"/>
    <w:pPr>
      <w:widowControl/>
    </w:pPr>
    <w:rPr>
      <w:kern w:val="0"/>
      <w:szCs w:val="21"/>
    </w:rPr>
  </w:style>
  <w:style w:type="paragraph" w:customStyle="1" w:styleId="27">
    <w:name w:val="一级条标题"/>
    <w:basedOn w:val="28"/>
    <w:next w:val="29"/>
    <w:qFormat/>
    <w:uiPriority w:val="0"/>
    <w:pPr>
      <w:spacing w:line="240" w:lineRule="auto"/>
      <w:ind w:left="420"/>
      <w:outlineLvl w:val="2"/>
    </w:pPr>
  </w:style>
  <w:style w:type="paragraph" w:customStyle="1" w:styleId="2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0">
    <w:name w:val="正文_2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16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font11"/>
    <w:qFormat/>
    <w:uiPriority w:val="0"/>
    <w:rPr>
      <w:rFonts w:hint="default" w:ascii="仿宋_GB2312" w:eastAsia="仿宋_GB2312" w:cs="仿宋_GB2312"/>
      <w:b/>
      <w:bCs/>
      <w:color w:val="000000"/>
      <w:sz w:val="28"/>
      <w:szCs w:val="28"/>
      <w:u w:val="none"/>
    </w:rPr>
  </w:style>
  <w:style w:type="paragraph" w:customStyle="1" w:styleId="33">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28"/>
    <w:qFormat/>
    <w:uiPriority w:val="0"/>
    <w:pPr>
      <w:widowControl w:val="0"/>
      <w:jc w:val="both"/>
    </w:pPr>
    <w:rPr>
      <w:rFonts w:ascii="Calibri" w:hAnsi="Calibri" w:eastAsia="宋体" w:cs="Times New Roman"/>
      <w:kern w:val="2"/>
      <w:sz w:val="24"/>
      <w:szCs w:val="22"/>
      <w:lang w:val="en-US" w:eastAsia="zh-CN" w:bidi="ar-SA"/>
    </w:rPr>
  </w:style>
  <w:style w:type="paragraph" w:customStyle="1" w:styleId="35">
    <w:name w:val="正文_11_0"/>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3725</Words>
  <Characters>3997</Characters>
  <Lines>0</Lines>
  <Paragraphs>0</Paragraphs>
  <TotalTime>0</TotalTime>
  <ScaleCrop>false</ScaleCrop>
  <LinksUpToDate>false</LinksUpToDate>
  <CharactersWithSpaces>4092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2026-07-06T13:41:00Z</dcterms:created>
  <dc:creator>Administrator</dc:creator>
  <cp:lastModifiedBy>Admin</cp:lastModifiedBy>
  <dcterms:modified xsi:type="dcterms:W3CDTF">2026-07-10T02:51:05Z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D2F957510A204D928B830C1F4CEEE61D_13</vt:lpwstr>
  </property>
  <property fmtid="{D5CDD505-2E9C-101B-9397-08002B2CF9AE}" pid="4" name="KSOTemplateDocerSaveRecord">
    <vt:lpwstr>eyJoZGlkIjoiNmNkYTgwYzU0NTU1YTQ5OTBmOTljNTg3MDA1YTU4NjEiLCJ1c2VySWQiOiI0NjIyODkwNjYifQ==</vt:lpwstr>
  </property>
</Properties>
</file>