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A0796">
      <w:pPr>
        <w:pStyle w:val="22"/>
        <w:jc w:val="both"/>
        <w:rPr>
          <w:rFonts w:hint="eastAsia" w:ascii="隶书" w:hAnsi="华文中宋" w:eastAsia="隶书"/>
          <w:color w:val="auto"/>
          <w:sz w:val="84"/>
          <w:szCs w:val="84"/>
        </w:rPr>
      </w:pPr>
    </w:p>
    <w:p w14:paraId="046541F2">
      <w:pPr>
        <w:pStyle w:val="22"/>
        <w:jc w:val="center"/>
        <w:rPr>
          <w:rFonts w:ascii="隶书" w:hAnsi="华文中宋" w:eastAsia="隶书"/>
          <w:bCs/>
          <w:color w:val="auto"/>
          <w:sz w:val="84"/>
          <w:szCs w:val="84"/>
        </w:rPr>
      </w:pPr>
      <w:r>
        <w:rPr>
          <w:rFonts w:hint="eastAsia" w:ascii="隶书" w:hAnsi="华文中宋" w:eastAsia="隶书"/>
          <w:color w:val="auto"/>
          <w:sz w:val="84"/>
          <w:szCs w:val="84"/>
        </w:rPr>
        <w:t>政府采购</w:t>
      </w:r>
    </w:p>
    <w:p w14:paraId="6149252C">
      <w:pPr>
        <w:pStyle w:val="22"/>
        <w:adjustRightInd w:val="0"/>
        <w:snapToGrid w:val="0"/>
        <w:spacing w:line="360" w:lineRule="auto"/>
        <w:jc w:val="center"/>
        <w:rPr>
          <w:rFonts w:hint="eastAsia" w:ascii="隶书" w:hAnsi="华文中宋" w:eastAsia="隶书"/>
          <w:color w:val="auto"/>
          <w:sz w:val="84"/>
          <w:szCs w:val="84"/>
        </w:rPr>
      </w:pPr>
      <w:r>
        <w:rPr>
          <w:rFonts w:hint="eastAsia" w:ascii="隶书" w:hAnsi="华文中宋" w:eastAsia="隶书"/>
          <w:color w:val="auto"/>
          <w:sz w:val="84"/>
          <w:szCs w:val="84"/>
        </w:rPr>
        <w:t>竞争性谈判文件</w:t>
      </w:r>
    </w:p>
    <w:p w14:paraId="0EDB17EB">
      <w:pPr>
        <w:pStyle w:val="22"/>
        <w:adjustRightInd w:val="0"/>
        <w:snapToGrid w:val="0"/>
        <w:spacing w:line="360" w:lineRule="auto"/>
        <w:ind w:left="2563" w:leftChars="554" w:hanging="1400" w:hangingChars="700"/>
        <w:rPr>
          <w:rFonts w:ascii="Tahoma" w:hAnsi="Tahoma" w:cs="Tahoma"/>
          <w:color w:val="auto"/>
          <w:sz w:val="20"/>
          <w:szCs w:val="20"/>
        </w:rPr>
      </w:pPr>
    </w:p>
    <w:p w14:paraId="4E33228F">
      <w:pPr>
        <w:pStyle w:val="22"/>
        <w:adjustRightInd w:val="0"/>
        <w:snapToGrid w:val="0"/>
        <w:spacing w:line="360" w:lineRule="auto"/>
        <w:ind w:left="2563" w:leftChars="554" w:hanging="1400" w:hangingChars="700"/>
        <w:rPr>
          <w:rFonts w:ascii="Tahoma" w:hAnsi="Tahoma" w:cs="Tahoma"/>
          <w:color w:val="auto"/>
          <w:sz w:val="20"/>
          <w:szCs w:val="20"/>
        </w:rPr>
      </w:pPr>
    </w:p>
    <w:p w14:paraId="1447B6EE">
      <w:pPr>
        <w:adjustRightInd w:val="0"/>
        <w:snapToGrid w:val="0"/>
        <w:spacing w:line="360" w:lineRule="auto"/>
        <w:ind w:left="2325" w:leftChars="133" w:hanging="2046" w:hangingChars="728"/>
        <w:rPr>
          <w:rFonts w:hint="default" w:ascii="宋体" w:hAnsi="宋体" w:eastAsia="宋体" w:cs="宋体"/>
          <w:b/>
          <w:color w:val="auto"/>
          <w:sz w:val="20"/>
          <w:szCs w:val="20"/>
          <w:lang w:val="en-US" w:eastAsia="zh-CN"/>
        </w:rPr>
      </w:pPr>
      <w:r>
        <w:rPr>
          <w:rFonts w:hint="eastAsia" w:ascii="宋体" w:hAnsi="宋体" w:eastAsia="宋体" w:cs="宋体"/>
          <w:b/>
          <w:color w:val="auto"/>
          <w:sz w:val="28"/>
          <w:szCs w:val="28"/>
        </w:rPr>
        <w:t>采购项目名称：</w:t>
      </w:r>
      <w:r>
        <w:rPr>
          <w:rFonts w:hint="eastAsia" w:ascii="宋体" w:hAnsi="宋体" w:cs="宋体"/>
          <w:b/>
          <w:color w:val="auto"/>
          <w:sz w:val="28"/>
          <w:szCs w:val="28"/>
          <w:u w:val="single"/>
          <w:lang w:eastAsia="zh-CN"/>
        </w:rPr>
        <w:t>津市监狱第一押犯点及罪犯总医院周界报警系统采购</w:t>
      </w:r>
      <w:r>
        <w:rPr>
          <w:rFonts w:hint="eastAsia" w:ascii="宋体" w:hAnsi="宋体" w:cs="宋体"/>
          <w:b/>
          <w:color w:val="auto"/>
          <w:sz w:val="28"/>
          <w:szCs w:val="28"/>
          <w:u w:val="single"/>
          <w:lang w:val="en-US" w:eastAsia="zh-CN"/>
        </w:rPr>
        <w:t xml:space="preserve">                         </w:t>
      </w:r>
    </w:p>
    <w:p w14:paraId="339768D2">
      <w:pPr>
        <w:adjustRightInd w:val="0"/>
        <w:snapToGrid w:val="0"/>
        <w:spacing w:line="360" w:lineRule="auto"/>
        <w:ind w:firstLine="281" w:firstLineChars="100"/>
        <w:rPr>
          <w:rFonts w:hint="default" w:ascii="宋体" w:hAnsi="宋体" w:eastAsia="宋体" w:cs="宋体"/>
          <w:b/>
          <w:color w:val="auto"/>
          <w:sz w:val="28"/>
          <w:szCs w:val="28"/>
          <w:u w:val="single"/>
          <w:lang w:val="en-US" w:eastAsia="zh-CN"/>
        </w:rPr>
      </w:pPr>
      <w:r>
        <w:rPr>
          <w:rFonts w:hint="eastAsia" w:ascii="宋体" w:hAnsi="宋体" w:cs="宋体"/>
          <w:b/>
          <w:color w:val="auto"/>
          <w:sz w:val="28"/>
          <w:szCs w:val="28"/>
          <w:lang w:eastAsia="zh-CN"/>
        </w:rPr>
        <w:t>委托代理编号</w:t>
      </w:r>
      <w:r>
        <w:rPr>
          <w:rFonts w:hint="eastAsia" w:ascii="宋体" w:hAnsi="宋体" w:eastAsia="宋体" w:cs="宋体"/>
          <w:b/>
          <w:color w:val="auto"/>
          <w:sz w:val="28"/>
          <w:szCs w:val="28"/>
        </w:rPr>
        <w:t>：</w:t>
      </w:r>
      <w:r>
        <w:rPr>
          <w:rFonts w:hint="eastAsia" w:ascii="宋体" w:hAnsi="宋体" w:cs="宋体"/>
          <w:b/>
          <w:color w:val="auto"/>
          <w:sz w:val="28"/>
          <w:szCs w:val="28"/>
          <w:u w:val="single"/>
          <w:lang w:eastAsia="zh-CN"/>
        </w:rPr>
        <w:t>CDZYZB2026-J-10</w:t>
      </w:r>
      <w:r>
        <w:rPr>
          <w:rFonts w:hint="eastAsia" w:ascii="宋体" w:hAnsi="宋体" w:cs="宋体"/>
          <w:b/>
          <w:color w:val="auto"/>
          <w:sz w:val="28"/>
          <w:szCs w:val="28"/>
          <w:u w:val="single"/>
          <w:lang w:val="en-US" w:eastAsia="zh-CN"/>
        </w:rPr>
        <w:t xml:space="preserve">                                </w:t>
      </w:r>
    </w:p>
    <w:p w14:paraId="2822F9E7">
      <w:pPr>
        <w:adjustRightInd w:val="0"/>
        <w:snapToGrid w:val="0"/>
        <w:spacing w:line="360" w:lineRule="auto"/>
        <w:ind w:firstLine="281" w:firstLineChars="100"/>
        <w:rPr>
          <w:rFonts w:hint="default" w:ascii="宋体" w:hAnsi="宋体" w:eastAsia="宋体" w:cs="宋体"/>
          <w:b/>
          <w:color w:val="auto"/>
          <w:sz w:val="28"/>
          <w:szCs w:val="28"/>
          <w:u w:val="single"/>
          <w:lang w:val="en-US" w:eastAsia="zh-CN"/>
        </w:rPr>
      </w:pPr>
      <w:r>
        <w:rPr>
          <w:rFonts w:hint="eastAsia" w:ascii="宋体" w:hAnsi="宋体" w:eastAsia="宋体" w:cs="宋体"/>
          <w:b/>
          <w:color w:val="auto"/>
          <w:sz w:val="28"/>
          <w:szCs w:val="28"/>
        </w:rPr>
        <w:t>采   购   人：</w:t>
      </w:r>
      <w:r>
        <w:rPr>
          <w:rFonts w:hint="eastAsia" w:ascii="宋体" w:hAnsi="宋体" w:cs="宋体"/>
          <w:b/>
          <w:color w:val="auto"/>
          <w:sz w:val="28"/>
          <w:szCs w:val="28"/>
          <w:u w:val="single"/>
          <w:lang w:eastAsia="zh-CN"/>
        </w:rPr>
        <w:t>湖南省津市监狱</w:t>
      </w:r>
      <w:r>
        <w:rPr>
          <w:rFonts w:hint="eastAsia" w:ascii="宋体" w:hAnsi="宋体" w:cs="宋体"/>
          <w:b/>
          <w:color w:val="auto"/>
          <w:sz w:val="28"/>
          <w:szCs w:val="28"/>
          <w:u w:val="single"/>
          <w:lang w:val="en-US" w:eastAsia="zh-CN"/>
        </w:rPr>
        <w:t xml:space="preserve">                                  </w:t>
      </w:r>
    </w:p>
    <w:p w14:paraId="35783238">
      <w:pPr>
        <w:adjustRightInd w:val="0"/>
        <w:snapToGrid w:val="0"/>
        <w:spacing w:line="360" w:lineRule="auto"/>
        <w:ind w:firstLine="281" w:firstLineChars="100"/>
        <w:rPr>
          <w:rFonts w:hint="default" w:ascii="宋体" w:hAnsi="宋体" w:eastAsia="宋体" w:cs="宋体"/>
          <w:color w:val="auto"/>
          <w:sz w:val="32"/>
          <w:szCs w:val="32"/>
          <w:lang w:val="en-US" w:eastAsia="zh-CN"/>
        </w:rPr>
      </w:pPr>
      <w:r>
        <w:rPr>
          <w:rFonts w:hint="eastAsia" w:ascii="宋体" w:hAnsi="宋体" w:eastAsia="宋体" w:cs="宋体"/>
          <w:b/>
          <w:color w:val="auto"/>
          <w:sz w:val="28"/>
          <w:szCs w:val="20"/>
        </w:rPr>
        <w:t>采购代理机构：</w:t>
      </w:r>
      <w:r>
        <w:rPr>
          <w:rFonts w:hint="eastAsia" w:ascii="宋体" w:hAnsi="宋体" w:eastAsia="宋体" w:cs="宋体"/>
          <w:b/>
          <w:color w:val="auto"/>
          <w:sz w:val="28"/>
          <w:szCs w:val="20"/>
          <w:u w:val="single"/>
          <w:lang w:eastAsia="zh-CN"/>
        </w:rPr>
        <w:t>常德众益项目管理咨询有限公司</w:t>
      </w:r>
      <w:r>
        <w:rPr>
          <w:rFonts w:hint="eastAsia" w:ascii="宋体" w:hAnsi="宋体" w:eastAsia="宋体" w:cs="宋体"/>
          <w:b/>
          <w:color w:val="auto"/>
          <w:sz w:val="28"/>
          <w:szCs w:val="20"/>
          <w:u w:val="single"/>
        </w:rPr>
        <w:t xml:space="preserve"> </w:t>
      </w:r>
      <w:r>
        <w:rPr>
          <w:rFonts w:hint="eastAsia" w:ascii="宋体" w:hAnsi="宋体" w:cs="宋体"/>
          <w:b/>
          <w:color w:val="auto"/>
          <w:sz w:val="28"/>
          <w:szCs w:val="20"/>
          <w:u w:val="single"/>
          <w:lang w:val="en-US" w:eastAsia="zh-CN"/>
        </w:rPr>
        <w:t xml:space="preserve">                  </w:t>
      </w:r>
    </w:p>
    <w:p w14:paraId="0CAFD74A">
      <w:pPr>
        <w:pStyle w:val="22"/>
        <w:adjustRightInd w:val="0"/>
        <w:snapToGrid w:val="0"/>
        <w:spacing w:line="360" w:lineRule="auto"/>
        <w:ind w:left="645" w:leftChars="307"/>
        <w:jc w:val="center"/>
        <w:rPr>
          <w:b/>
          <w:color w:val="auto"/>
          <w:sz w:val="32"/>
          <w:szCs w:val="32"/>
        </w:rPr>
      </w:pPr>
    </w:p>
    <w:p w14:paraId="0AB7053A">
      <w:pPr>
        <w:pStyle w:val="22"/>
        <w:adjustRightInd w:val="0"/>
        <w:snapToGrid w:val="0"/>
        <w:spacing w:line="360" w:lineRule="auto"/>
        <w:jc w:val="both"/>
        <w:rPr>
          <w:b/>
          <w:color w:val="auto"/>
          <w:sz w:val="32"/>
          <w:szCs w:val="32"/>
        </w:rPr>
      </w:pPr>
    </w:p>
    <w:p w14:paraId="2252A7DE">
      <w:pPr>
        <w:pStyle w:val="22"/>
        <w:adjustRightInd w:val="0"/>
        <w:snapToGrid w:val="0"/>
        <w:spacing w:line="360" w:lineRule="auto"/>
        <w:ind w:left="645" w:leftChars="307"/>
        <w:jc w:val="center"/>
        <w:rPr>
          <w:b/>
          <w:color w:val="auto"/>
          <w:sz w:val="32"/>
          <w:szCs w:val="32"/>
        </w:rPr>
      </w:pPr>
    </w:p>
    <w:p w14:paraId="6911FDF1">
      <w:pPr>
        <w:pStyle w:val="22"/>
        <w:adjustRightInd w:val="0"/>
        <w:snapToGrid w:val="0"/>
        <w:spacing w:line="360" w:lineRule="auto"/>
        <w:jc w:val="center"/>
        <w:rPr>
          <w:rFonts w:ascii="仿宋_GB2312" w:hAnsi="宋体" w:eastAsia="仿宋_GB2312"/>
          <w:b/>
          <w:color w:val="auto"/>
          <w:sz w:val="32"/>
        </w:rPr>
      </w:pPr>
      <w:r>
        <w:rPr>
          <w:rFonts w:hint="eastAsia" w:eastAsia="宋体"/>
          <w:color w:val="auto"/>
          <w:lang w:eastAsia="zh-CN"/>
        </w:rPr>
        <w:drawing>
          <wp:inline distT="0" distB="0" distL="114300" distR="114300">
            <wp:extent cx="3561715" cy="1330325"/>
            <wp:effectExtent l="0" t="0" r="635" b="3175"/>
            <wp:docPr id="2" name="图片 2" descr="5983eae036fa4a235b8c6bcd9892d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983eae036fa4a235b8c6bcd9892d66"/>
                    <pic:cNvPicPr>
                      <a:picLocks noChangeAspect="1"/>
                    </pic:cNvPicPr>
                  </pic:nvPicPr>
                  <pic:blipFill>
                    <a:blip r:embed="rId8"/>
                    <a:srcRect/>
                    <a:stretch>
                      <a:fillRect/>
                    </a:stretch>
                  </pic:blipFill>
                  <pic:spPr>
                    <a:xfrm>
                      <a:off x="0" y="0"/>
                      <a:ext cx="3561715" cy="1330325"/>
                    </a:xfrm>
                    <a:prstGeom prst="rect">
                      <a:avLst/>
                    </a:prstGeom>
                  </pic:spPr>
                </pic:pic>
              </a:graphicData>
            </a:graphic>
          </wp:inline>
        </w:drawing>
      </w:r>
    </w:p>
    <w:p w14:paraId="3B89CE84">
      <w:pPr>
        <w:pStyle w:val="22"/>
        <w:adjustRightInd w:val="0"/>
        <w:snapToGrid w:val="0"/>
        <w:spacing w:line="360" w:lineRule="auto"/>
        <w:jc w:val="center"/>
        <w:rPr>
          <w:rFonts w:hAnsi="宋体"/>
          <w:b/>
          <w:color w:val="auto"/>
          <w:sz w:val="40"/>
          <w:szCs w:val="24"/>
        </w:rPr>
      </w:pPr>
      <w:r>
        <w:rPr>
          <w:rFonts w:hint="eastAsia" w:hAnsi="宋体"/>
          <w:b/>
          <w:color w:val="auto"/>
          <w:sz w:val="40"/>
          <w:szCs w:val="24"/>
          <w:lang w:eastAsia="zh-CN"/>
        </w:rPr>
        <w:t>二〇二</w:t>
      </w:r>
      <w:r>
        <w:rPr>
          <w:rFonts w:hint="eastAsia" w:hAnsi="宋体"/>
          <w:b/>
          <w:color w:val="auto"/>
          <w:sz w:val="40"/>
          <w:szCs w:val="24"/>
          <w:lang w:val="en-US" w:eastAsia="zh-CN"/>
        </w:rPr>
        <w:t>六</w:t>
      </w:r>
      <w:r>
        <w:rPr>
          <w:rFonts w:hint="eastAsia" w:hAnsi="宋体"/>
          <w:b/>
          <w:color w:val="auto"/>
          <w:sz w:val="40"/>
          <w:szCs w:val="24"/>
        </w:rPr>
        <w:t>年</w:t>
      </w:r>
    </w:p>
    <w:p w14:paraId="18B83003">
      <w:pPr>
        <w:rPr>
          <w:rFonts w:hint="eastAsia" w:ascii="黑体" w:hAnsi="宋体" w:eastAsia="黑体"/>
          <w:b/>
          <w:color w:val="auto"/>
          <w:spacing w:val="160"/>
          <w:sz w:val="32"/>
          <w:szCs w:val="32"/>
        </w:rPr>
      </w:pPr>
      <w:r>
        <w:rPr>
          <w:rFonts w:hint="eastAsia" w:ascii="黑体" w:hAnsi="宋体" w:eastAsia="黑体"/>
          <w:b/>
          <w:color w:val="auto"/>
          <w:spacing w:val="160"/>
          <w:sz w:val="32"/>
          <w:szCs w:val="32"/>
        </w:rPr>
        <w:br w:type="page"/>
      </w:r>
    </w:p>
    <w:p w14:paraId="17B52D02">
      <w:pPr>
        <w:pStyle w:val="22"/>
        <w:adjustRightInd w:val="0"/>
        <w:snapToGrid w:val="0"/>
        <w:spacing w:line="360" w:lineRule="auto"/>
        <w:jc w:val="center"/>
        <w:rPr>
          <w:rFonts w:ascii="黑体" w:hAnsi="宋体" w:eastAsia="黑体"/>
          <w:b/>
          <w:color w:val="auto"/>
          <w:spacing w:val="160"/>
          <w:sz w:val="32"/>
          <w:szCs w:val="32"/>
        </w:rPr>
      </w:pPr>
      <w:r>
        <w:rPr>
          <w:rFonts w:hint="eastAsia" w:ascii="黑体" w:hAnsi="宋体" w:eastAsia="黑体"/>
          <w:b/>
          <w:color w:val="auto"/>
          <w:spacing w:val="160"/>
          <w:sz w:val="32"/>
          <w:szCs w:val="32"/>
        </w:rPr>
        <w:t>目录</w:t>
      </w:r>
    </w:p>
    <w:p w14:paraId="532571E4">
      <w:pPr>
        <w:pStyle w:val="30"/>
        <w:tabs>
          <w:tab w:val="right" w:leader="dot" w:pos="8844"/>
        </w:tabs>
        <w:rPr>
          <w:color w:val="auto"/>
        </w:rPr>
      </w:pPr>
      <w:r>
        <w:rPr>
          <w:rFonts w:hAnsi="宋体"/>
          <w:b w:val="0"/>
          <w:bCs/>
          <w:color w:val="auto"/>
        </w:rPr>
        <w:fldChar w:fldCharType="begin"/>
      </w:r>
      <w:r>
        <w:rPr>
          <w:rFonts w:hAnsi="宋体"/>
          <w:b w:val="0"/>
          <w:bCs/>
          <w:color w:val="auto"/>
        </w:rPr>
        <w:instrText xml:space="preserve"> TOC \o "1-3" \h \z \u </w:instrText>
      </w:r>
      <w:r>
        <w:rPr>
          <w:rFonts w:hAnsi="宋体"/>
          <w:b w:val="0"/>
          <w:bCs/>
          <w:color w:val="auto"/>
        </w:rPr>
        <w:fldChar w:fldCharType="separate"/>
      </w:r>
      <w:r>
        <w:rPr>
          <w:rFonts w:hAnsi="宋体"/>
          <w:bCs/>
          <w:color w:val="auto"/>
        </w:rPr>
        <w:fldChar w:fldCharType="begin"/>
      </w:r>
      <w:r>
        <w:rPr>
          <w:rFonts w:hAnsi="宋体"/>
          <w:bCs/>
          <w:color w:val="auto"/>
        </w:rPr>
        <w:instrText xml:space="preserve"> HYPERLINK \l _Toc7297 </w:instrText>
      </w:r>
      <w:r>
        <w:rPr>
          <w:rFonts w:hAnsi="宋体"/>
          <w:bCs/>
          <w:color w:val="auto"/>
        </w:rPr>
        <w:fldChar w:fldCharType="separate"/>
      </w:r>
      <w:r>
        <w:rPr>
          <w:rFonts w:hint="eastAsia" w:ascii="黑体" w:hAnsi="黑体" w:eastAsia="黑体"/>
          <w:color w:val="auto"/>
          <w:szCs w:val="32"/>
        </w:rPr>
        <w:t>第一章 谈判邀请</w:t>
      </w:r>
      <w:r>
        <w:rPr>
          <w:color w:val="auto"/>
        </w:rPr>
        <w:tab/>
      </w:r>
      <w:r>
        <w:rPr>
          <w:color w:val="auto"/>
        </w:rPr>
        <w:fldChar w:fldCharType="begin"/>
      </w:r>
      <w:r>
        <w:rPr>
          <w:color w:val="auto"/>
        </w:rPr>
        <w:instrText xml:space="preserve"> PAGEREF _Toc7297 </w:instrText>
      </w:r>
      <w:r>
        <w:rPr>
          <w:color w:val="auto"/>
        </w:rPr>
        <w:fldChar w:fldCharType="separate"/>
      </w:r>
      <w:r>
        <w:rPr>
          <w:color w:val="auto"/>
        </w:rPr>
        <w:t>4</w:t>
      </w:r>
      <w:r>
        <w:rPr>
          <w:color w:val="auto"/>
        </w:rPr>
        <w:fldChar w:fldCharType="end"/>
      </w:r>
      <w:r>
        <w:rPr>
          <w:rFonts w:hAnsi="宋体"/>
          <w:bCs/>
          <w:color w:val="auto"/>
        </w:rPr>
        <w:fldChar w:fldCharType="end"/>
      </w:r>
    </w:p>
    <w:p w14:paraId="4A0D2936">
      <w:pPr>
        <w:pStyle w:val="34"/>
        <w:tabs>
          <w:tab w:val="right" w:leader="dot" w:pos="8844"/>
        </w:tabs>
        <w:rPr>
          <w:color w:val="auto"/>
        </w:rPr>
      </w:pPr>
      <w:r>
        <w:rPr>
          <w:color w:val="auto"/>
        </w:rPr>
        <w:fldChar w:fldCharType="begin"/>
      </w:r>
      <w:r>
        <w:rPr>
          <w:color w:val="auto"/>
        </w:rPr>
        <w:instrText xml:space="preserve"> HYPERLINK \l _Toc18799 </w:instrText>
      </w:r>
      <w:r>
        <w:rPr>
          <w:color w:val="auto"/>
        </w:rPr>
        <w:fldChar w:fldCharType="separate"/>
      </w:r>
      <w:r>
        <w:rPr>
          <w:rFonts w:hint="eastAsia" w:ascii="黑体" w:hAnsi="黑体" w:eastAsia="黑体"/>
          <w:color w:val="auto"/>
        </w:rPr>
        <w:t>一、采购项目名称、编号</w:t>
      </w:r>
      <w:r>
        <w:rPr>
          <w:color w:val="auto"/>
        </w:rPr>
        <w:tab/>
      </w:r>
      <w:r>
        <w:rPr>
          <w:color w:val="auto"/>
        </w:rPr>
        <w:fldChar w:fldCharType="begin"/>
      </w:r>
      <w:r>
        <w:rPr>
          <w:color w:val="auto"/>
        </w:rPr>
        <w:instrText xml:space="preserve"> PAGEREF _Toc18799 </w:instrText>
      </w:r>
      <w:r>
        <w:rPr>
          <w:color w:val="auto"/>
        </w:rPr>
        <w:fldChar w:fldCharType="separate"/>
      </w:r>
      <w:r>
        <w:rPr>
          <w:color w:val="auto"/>
        </w:rPr>
        <w:t>4</w:t>
      </w:r>
      <w:r>
        <w:rPr>
          <w:color w:val="auto"/>
        </w:rPr>
        <w:fldChar w:fldCharType="end"/>
      </w:r>
      <w:r>
        <w:rPr>
          <w:color w:val="auto"/>
        </w:rPr>
        <w:fldChar w:fldCharType="end"/>
      </w:r>
    </w:p>
    <w:p w14:paraId="6560EB58">
      <w:pPr>
        <w:pStyle w:val="34"/>
        <w:tabs>
          <w:tab w:val="right" w:leader="dot" w:pos="8844"/>
        </w:tabs>
        <w:rPr>
          <w:color w:val="auto"/>
        </w:rPr>
      </w:pPr>
      <w:r>
        <w:rPr>
          <w:color w:val="auto"/>
        </w:rPr>
        <w:fldChar w:fldCharType="begin"/>
      </w:r>
      <w:r>
        <w:rPr>
          <w:color w:val="auto"/>
        </w:rPr>
        <w:instrText xml:space="preserve"> HYPERLINK \l _Toc3634 </w:instrText>
      </w:r>
      <w:r>
        <w:rPr>
          <w:color w:val="auto"/>
        </w:rPr>
        <w:fldChar w:fldCharType="separate"/>
      </w:r>
      <w:r>
        <w:rPr>
          <w:rFonts w:hint="eastAsia" w:ascii="黑体" w:hAnsi="黑体" w:eastAsia="黑体"/>
          <w:color w:val="auto"/>
        </w:rPr>
        <w:t>二、采购人的采购需求</w:t>
      </w:r>
      <w:r>
        <w:rPr>
          <w:color w:val="auto"/>
        </w:rPr>
        <w:tab/>
      </w:r>
      <w:r>
        <w:rPr>
          <w:color w:val="auto"/>
        </w:rPr>
        <w:fldChar w:fldCharType="begin"/>
      </w:r>
      <w:r>
        <w:rPr>
          <w:color w:val="auto"/>
        </w:rPr>
        <w:instrText xml:space="preserve"> PAGEREF _Toc3634 </w:instrText>
      </w:r>
      <w:r>
        <w:rPr>
          <w:color w:val="auto"/>
        </w:rPr>
        <w:fldChar w:fldCharType="separate"/>
      </w:r>
      <w:r>
        <w:rPr>
          <w:color w:val="auto"/>
        </w:rPr>
        <w:t>4</w:t>
      </w:r>
      <w:r>
        <w:rPr>
          <w:color w:val="auto"/>
        </w:rPr>
        <w:fldChar w:fldCharType="end"/>
      </w:r>
      <w:r>
        <w:rPr>
          <w:color w:val="auto"/>
        </w:rPr>
        <w:fldChar w:fldCharType="end"/>
      </w:r>
    </w:p>
    <w:p w14:paraId="0A3B1F25">
      <w:pPr>
        <w:pStyle w:val="34"/>
        <w:tabs>
          <w:tab w:val="right" w:leader="dot" w:pos="8844"/>
        </w:tabs>
        <w:rPr>
          <w:color w:val="auto"/>
        </w:rPr>
      </w:pPr>
      <w:r>
        <w:rPr>
          <w:color w:val="auto"/>
        </w:rPr>
        <w:fldChar w:fldCharType="begin"/>
      </w:r>
      <w:r>
        <w:rPr>
          <w:color w:val="auto"/>
        </w:rPr>
        <w:instrText xml:space="preserve"> HYPERLINK \l _Toc26161 </w:instrText>
      </w:r>
      <w:r>
        <w:rPr>
          <w:color w:val="auto"/>
        </w:rPr>
        <w:fldChar w:fldCharType="separate"/>
      </w:r>
      <w:r>
        <w:rPr>
          <w:rFonts w:hint="eastAsia" w:ascii="黑体" w:hAnsi="黑体" w:eastAsia="黑体"/>
          <w:color w:val="auto"/>
        </w:rPr>
        <w:t>三、供应商的资格要求</w:t>
      </w:r>
      <w:r>
        <w:rPr>
          <w:color w:val="auto"/>
        </w:rPr>
        <w:tab/>
      </w:r>
      <w:r>
        <w:rPr>
          <w:color w:val="auto"/>
        </w:rPr>
        <w:fldChar w:fldCharType="begin"/>
      </w:r>
      <w:r>
        <w:rPr>
          <w:color w:val="auto"/>
        </w:rPr>
        <w:instrText xml:space="preserve"> PAGEREF _Toc26161 </w:instrText>
      </w:r>
      <w:r>
        <w:rPr>
          <w:color w:val="auto"/>
        </w:rPr>
        <w:fldChar w:fldCharType="separate"/>
      </w:r>
      <w:r>
        <w:rPr>
          <w:color w:val="auto"/>
        </w:rPr>
        <w:t>4</w:t>
      </w:r>
      <w:r>
        <w:rPr>
          <w:color w:val="auto"/>
        </w:rPr>
        <w:fldChar w:fldCharType="end"/>
      </w:r>
      <w:r>
        <w:rPr>
          <w:color w:val="auto"/>
        </w:rPr>
        <w:fldChar w:fldCharType="end"/>
      </w:r>
    </w:p>
    <w:p w14:paraId="18EE627D">
      <w:pPr>
        <w:pStyle w:val="34"/>
        <w:tabs>
          <w:tab w:val="right" w:leader="dot" w:pos="8844"/>
        </w:tabs>
        <w:rPr>
          <w:color w:val="auto"/>
        </w:rPr>
      </w:pPr>
      <w:r>
        <w:rPr>
          <w:color w:val="auto"/>
        </w:rPr>
        <w:fldChar w:fldCharType="begin"/>
      </w:r>
      <w:r>
        <w:rPr>
          <w:color w:val="auto"/>
        </w:rPr>
        <w:instrText xml:space="preserve"> HYPERLINK \l _Toc4238 </w:instrText>
      </w:r>
      <w:r>
        <w:rPr>
          <w:color w:val="auto"/>
        </w:rPr>
        <w:fldChar w:fldCharType="separate"/>
      </w:r>
      <w:r>
        <w:rPr>
          <w:rFonts w:hint="eastAsia" w:ascii="黑体" w:hAnsi="黑体" w:eastAsia="黑体"/>
          <w:color w:val="auto"/>
        </w:rPr>
        <w:t>四、获取谈判文件的时间、地点及方式</w:t>
      </w:r>
      <w:r>
        <w:rPr>
          <w:color w:val="auto"/>
        </w:rPr>
        <w:tab/>
      </w:r>
      <w:r>
        <w:rPr>
          <w:color w:val="auto"/>
        </w:rPr>
        <w:fldChar w:fldCharType="begin"/>
      </w:r>
      <w:r>
        <w:rPr>
          <w:color w:val="auto"/>
        </w:rPr>
        <w:instrText xml:space="preserve"> PAGEREF _Toc4238 </w:instrText>
      </w:r>
      <w:r>
        <w:rPr>
          <w:color w:val="auto"/>
        </w:rPr>
        <w:fldChar w:fldCharType="separate"/>
      </w:r>
      <w:r>
        <w:rPr>
          <w:color w:val="auto"/>
        </w:rPr>
        <w:t>4</w:t>
      </w:r>
      <w:r>
        <w:rPr>
          <w:color w:val="auto"/>
        </w:rPr>
        <w:fldChar w:fldCharType="end"/>
      </w:r>
      <w:r>
        <w:rPr>
          <w:color w:val="auto"/>
        </w:rPr>
        <w:fldChar w:fldCharType="end"/>
      </w:r>
    </w:p>
    <w:p w14:paraId="652A0756">
      <w:pPr>
        <w:pStyle w:val="34"/>
        <w:tabs>
          <w:tab w:val="right" w:leader="dot" w:pos="8844"/>
        </w:tabs>
        <w:rPr>
          <w:color w:val="auto"/>
        </w:rPr>
      </w:pPr>
      <w:r>
        <w:rPr>
          <w:color w:val="auto"/>
        </w:rPr>
        <w:fldChar w:fldCharType="begin"/>
      </w:r>
      <w:r>
        <w:rPr>
          <w:color w:val="auto"/>
        </w:rPr>
        <w:instrText xml:space="preserve"> HYPERLINK \l _Toc19162 </w:instrText>
      </w:r>
      <w:r>
        <w:rPr>
          <w:color w:val="auto"/>
        </w:rPr>
        <w:fldChar w:fldCharType="separate"/>
      </w:r>
      <w:r>
        <w:rPr>
          <w:rFonts w:hint="eastAsia" w:ascii="黑体" w:hAnsi="黑体" w:eastAsia="黑体"/>
          <w:color w:val="auto"/>
        </w:rPr>
        <w:t>五、提交首次响应文件的截止时间、谈判时间及地点</w:t>
      </w:r>
      <w:r>
        <w:rPr>
          <w:color w:val="auto"/>
        </w:rPr>
        <w:tab/>
      </w:r>
      <w:r>
        <w:rPr>
          <w:color w:val="auto"/>
        </w:rPr>
        <w:fldChar w:fldCharType="begin"/>
      </w:r>
      <w:r>
        <w:rPr>
          <w:color w:val="auto"/>
        </w:rPr>
        <w:instrText xml:space="preserve"> PAGEREF _Toc19162 </w:instrText>
      </w:r>
      <w:r>
        <w:rPr>
          <w:color w:val="auto"/>
        </w:rPr>
        <w:fldChar w:fldCharType="separate"/>
      </w:r>
      <w:r>
        <w:rPr>
          <w:color w:val="auto"/>
        </w:rPr>
        <w:t>5</w:t>
      </w:r>
      <w:r>
        <w:rPr>
          <w:color w:val="auto"/>
        </w:rPr>
        <w:fldChar w:fldCharType="end"/>
      </w:r>
      <w:r>
        <w:rPr>
          <w:color w:val="auto"/>
        </w:rPr>
        <w:fldChar w:fldCharType="end"/>
      </w:r>
    </w:p>
    <w:p w14:paraId="2775928C">
      <w:pPr>
        <w:pStyle w:val="34"/>
        <w:tabs>
          <w:tab w:val="right" w:leader="dot" w:pos="8844"/>
        </w:tabs>
        <w:rPr>
          <w:color w:val="auto"/>
        </w:rPr>
      </w:pPr>
      <w:r>
        <w:rPr>
          <w:color w:val="auto"/>
        </w:rPr>
        <w:fldChar w:fldCharType="begin"/>
      </w:r>
      <w:r>
        <w:rPr>
          <w:color w:val="auto"/>
        </w:rPr>
        <w:instrText xml:space="preserve"> HYPERLINK \l _Toc15994 </w:instrText>
      </w:r>
      <w:r>
        <w:rPr>
          <w:color w:val="auto"/>
        </w:rPr>
        <w:fldChar w:fldCharType="separate"/>
      </w:r>
      <w:r>
        <w:rPr>
          <w:rFonts w:hint="eastAsia" w:ascii="黑体" w:hAnsi="黑体" w:eastAsia="黑体"/>
          <w:color w:val="auto"/>
        </w:rPr>
        <w:t>六、确认</w:t>
      </w:r>
      <w:r>
        <w:rPr>
          <w:color w:val="auto"/>
        </w:rPr>
        <w:tab/>
      </w:r>
      <w:r>
        <w:rPr>
          <w:color w:val="auto"/>
        </w:rPr>
        <w:fldChar w:fldCharType="begin"/>
      </w:r>
      <w:r>
        <w:rPr>
          <w:color w:val="auto"/>
        </w:rPr>
        <w:instrText xml:space="preserve"> PAGEREF _Toc15994 </w:instrText>
      </w:r>
      <w:r>
        <w:rPr>
          <w:color w:val="auto"/>
        </w:rPr>
        <w:fldChar w:fldCharType="separate"/>
      </w:r>
      <w:r>
        <w:rPr>
          <w:color w:val="auto"/>
        </w:rPr>
        <w:t>5</w:t>
      </w:r>
      <w:r>
        <w:rPr>
          <w:color w:val="auto"/>
        </w:rPr>
        <w:fldChar w:fldCharType="end"/>
      </w:r>
      <w:r>
        <w:rPr>
          <w:color w:val="auto"/>
        </w:rPr>
        <w:fldChar w:fldCharType="end"/>
      </w:r>
    </w:p>
    <w:p w14:paraId="388544A7">
      <w:pPr>
        <w:pStyle w:val="34"/>
        <w:tabs>
          <w:tab w:val="right" w:leader="dot" w:pos="8844"/>
        </w:tabs>
        <w:rPr>
          <w:color w:val="auto"/>
        </w:rPr>
      </w:pPr>
      <w:r>
        <w:rPr>
          <w:color w:val="auto"/>
        </w:rPr>
        <w:fldChar w:fldCharType="begin"/>
      </w:r>
      <w:r>
        <w:rPr>
          <w:color w:val="auto"/>
        </w:rPr>
        <w:instrText xml:space="preserve"> HYPERLINK \l _Toc20477 </w:instrText>
      </w:r>
      <w:r>
        <w:rPr>
          <w:color w:val="auto"/>
        </w:rPr>
        <w:fldChar w:fldCharType="separate"/>
      </w:r>
      <w:r>
        <w:rPr>
          <w:rFonts w:hint="eastAsia" w:ascii="黑体" w:hAnsi="黑体" w:eastAsia="黑体"/>
          <w:color w:val="auto"/>
        </w:rPr>
        <w:t>七、询问及质疑</w:t>
      </w:r>
      <w:r>
        <w:rPr>
          <w:color w:val="auto"/>
        </w:rPr>
        <w:tab/>
      </w:r>
      <w:r>
        <w:rPr>
          <w:color w:val="auto"/>
        </w:rPr>
        <w:fldChar w:fldCharType="begin"/>
      </w:r>
      <w:r>
        <w:rPr>
          <w:color w:val="auto"/>
        </w:rPr>
        <w:instrText xml:space="preserve"> PAGEREF _Toc20477 </w:instrText>
      </w:r>
      <w:r>
        <w:rPr>
          <w:color w:val="auto"/>
        </w:rPr>
        <w:fldChar w:fldCharType="separate"/>
      </w:r>
      <w:r>
        <w:rPr>
          <w:color w:val="auto"/>
        </w:rPr>
        <w:t>5</w:t>
      </w:r>
      <w:r>
        <w:rPr>
          <w:color w:val="auto"/>
        </w:rPr>
        <w:fldChar w:fldCharType="end"/>
      </w:r>
      <w:r>
        <w:rPr>
          <w:color w:val="auto"/>
        </w:rPr>
        <w:fldChar w:fldCharType="end"/>
      </w:r>
    </w:p>
    <w:p w14:paraId="79AACB92">
      <w:pPr>
        <w:pStyle w:val="34"/>
        <w:tabs>
          <w:tab w:val="right" w:leader="dot" w:pos="8844"/>
        </w:tabs>
        <w:rPr>
          <w:color w:val="auto"/>
        </w:rPr>
      </w:pPr>
      <w:r>
        <w:rPr>
          <w:color w:val="auto"/>
        </w:rPr>
        <w:fldChar w:fldCharType="begin"/>
      </w:r>
      <w:r>
        <w:rPr>
          <w:color w:val="auto"/>
        </w:rPr>
        <w:instrText xml:space="preserve"> HYPERLINK \l _Toc6780 </w:instrText>
      </w:r>
      <w:r>
        <w:rPr>
          <w:color w:val="auto"/>
        </w:rPr>
        <w:fldChar w:fldCharType="separate"/>
      </w:r>
      <w:r>
        <w:rPr>
          <w:rFonts w:hint="eastAsia" w:ascii="黑体" w:hAnsi="黑体" w:eastAsia="黑体"/>
          <w:color w:val="auto"/>
        </w:rPr>
        <w:t>八、采购人及其委托的采购代理机构的名称、地址和联系方法</w:t>
      </w:r>
      <w:r>
        <w:rPr>
          <w:color w:val="auto"/>
        </w:rPr>
        <w:tab/>
      </w:r>
      <w:r>
        <w:rPr>
          <w:color w:val="auto"/>
        </w:rPr>
        <w:fldChar w:fldCharType="begin"/>
      </w:r>
      <w:r>
        <w:rPr>
          <w:color w:val="auto"/>
        </w:rPr>
        <w:instrText xml:space="preserve"> PAGEREF _Toc6780 </w:instrText>
      </w:r>
      <w:r>
        <w:rPr>
          <w:color w:val="auto"/>
        </w:rPr>
        <w:fldChar w:fldCharType="separate"/>
      </w:r>
      <w:r>
        <w:rPr>
          <w:color w:val="auto"/>
        </w:rPr>
        <w:t>5</w:t>
      </w:r>
      <w:r>
        <w:rPr>
          <w:color w:val="auto"/>
        </w:rPr>
        <w:fldChar w:fldCharType="end"/>
      </w:r>
      <w:r>
        <w:rPr>
          <w:color w:val="auto"/>
        </w:rPr>
        <w:fldChar w:fldCharType="end"/>
      </w:r>
    </w:p>
    <w:p w14:paraId="176A9B10">
      <w:pPr>
        <w:pStyle w:val="21"/>
        <w:tabs>
          <w:tab w:val="right" w:leader="dot" w:pos="8844"/>
        </w:tabs>
        <w:rPr>
          <w:color w:val="auto"/>
        </w:rPr>
      </w:pPr>
      <w:r>
        <w:rPr>
          <w:color w:val="auto"/>
        </w:rPr>
        <w:fldChar w:fldCharType="begin"/>
      </w:r>
      <w:r>
        <w:rPr>
          <w:color w:val="auto"/>
        </w:rPr>
        <w:instrText xml:space="preserve"> HYPERLINK \l _Toc28496 </w:instrText>
      </w:r>
      <w:r>
        <w:rPr>
          <w:color w:val="auto"/>
        </w:rPr>
        <w:fldChar w:fldCharType="separate"/>
      </w:r>
      <w:r>
        <w:rPr>
          <w:rFonts w:hint="eastAsia" w:ascii="宋体" w:hAnsi="宋体"/>
          <w:color w:val="auto"/>
          <w:szCs w:val="21"/>
        </w:rPr>
        <w:t>附件：</w:t>
      </w:r>
      <w:r>
        <w:rPr>
          <w:rFonts w:hint="eastAsia" w:ascii="宋体" w:hAnsi="宋体"/>
          <w:color w:val="auto"/>
          <w:spacing w:val="-3"/>
          <w:szCs w:val="21"/>
        </w:rPr>
        <w:t>确</w:t>
      </w:r>
      <w:r>
        <w:rPr>
          <w:rFonts w:hint="eastAsia" w:ascii="宋体" w:hAnsi="宋体"/>
          <w:color w:val="auto"/>
          <w:szCs w:val="21"/>
        </w:rPr>
        <w:t>认通知</w:t>
      </w:r>
      <w:r>
        <w:rPr>
          <w:color w:val="auto"/>
        </w:rPr>
        <w:tab/>
      </w:r>
      <w:r>
        <w:rPr>
          <w:color w:val="auto"/>
        </w:rPr>
        <w:fldChar w:fldCharType="begin"/>
      </w:r>
      <w:r>
        <w:rPr>
          <w:color w:val="auto"/>
        </w:rPr>
        <w:instrText xml:space="preserve"> PAGEREF _Toc28496 </w:instrText>
      </w:r>
      <w:r>
        <w:rPr>
          <w:color w:val="auto"/>
        </w:rPr>
        <w:fldChar w:fldCharType="separate"/>
      </w:r>
      <w:r>
        <w:rPr>
          <w:color w:val="auto"/>
        </w:rPr>
        <w:t>7</w:t>
      </w:r>
      <w:r>
        <w:rPr>
          <w:color w:val="auto"/>
        </w:rPr>
        <w:fldChar w:fldCharType="end"/>
      </w:r>
      <w:r>
        <w:rPr>
          <w:color w:val="auto"/>
        </w:rPr>
        <w:fldChar w:fldCharType="end"/>
      </w:r>
    </w:p>
    <w:p w14:paraId="38E46191">
      <w:pPr>
        <w:pStyle w:val="30"/>
        <w:tabs>
          <w:tab w:val="right" w:leader="dot" w:pos="8844"/>
        </w:tabs>
        <w:rPr>
          <w:color w:val="auto"/>
        </w:rPr>
      </w:pPr>
      <w:r>
        <w:rPr>
          <w:color w:val="auto"/>
        </w:rPr>
        <w:fldChar w:fldCharType="begin"/>
      </w:r>
      <w:r>
        <w:rPr>
          <w:color w:val="auto"/>
        </w:rPr>
        <w:instrText xml:space="preserve"> HYPERLINK \l _Toc15522 </w:instrText>
      </w:r>
      <w:r>
        <w:rPr>
          <w:color w:val="auto"/>
        </w:rPr>
        <w:fldChar w:fldCharType="separate"/>
      </w:r>
      <w:r>
        <w:rPr>
          <w:rFonts w:hint="eastAsia" w:ascii="黑体" w:hAnsi="黑体" w:eastAsia="黑体"/>
          <w:color w:val="auto"/>
          <w:szCs w:val="32"/>
        </w:rPr>
        <w:t>第二章 谈判须知</w:t>
      </w:r>
      <w:r>
        <w:rPr>
          <w:color w:val="auto"/>
        </w:rPr>
        <w:tab/>
      </w:r>
      <w:r>
        <w:rPr>
          <w:color w:val="auto"/>
        </w:rPr>
        <w:fldChar w:fldCharType="begin"/>
      </w:r>
      <w:r>
        <w:rPr>
          <w:color w:val="auto"/>
        </w:rPr>
        <w:instrText xml:space="preserve"> PAGEREF _Toc15522 </w:instrText>
      </w:r>
      <w:r>
        <w:rPr>
          <w:color w:val="auto"/>
        </w:rPr>
        <w:fldChar w:fldCharType="separate"/>
      </w:r>
      <w:r>
        <w:rPr>
          <w:color w:val="auto"/>
        </w:rPr>
        <w:t>8</w:t>
      </w:r>
      <w:r>
        <w:rPr>
          <w:color w:val="auto"/>
        </w:rPr>
        <w:fldChar w:fldCharType="end"/>
      </w:r>
      <w:r>
        <w:rPr>
          <w:color w:val="auto"/>
        </w:rPr>
        <w:fldChar w:fldCharType="end"/>
      </w:r>
    </w:p>
    <w:p w14:paraId="4BFC86C0">
      <w:pPr>
        <w:pStyle w:val="34"/>
        <w:tabs>
          <w:tab w:val="right" w:leader="dot" w:pos="8844"/>
        </w:tabs>
        <w:rPr>
          <w:color w:val="auto"/>
        </w:rPr>
      </w:pPr>
      <w:r>
        <w:rPr>
          <w:color w:val="auto"/>
        </w:rPr>
        <w:fldChar w:fldCharType="begin"/>
      </w:r>
      <w:r>
        <w:rPr>
          <w:color w:val="auto"/>
        </w:rPr>
        <w:instrText xml:space="preserve"> HYPERLINK \l _Toc21082 </w:instrText>
      </w:r>
      <w:r>
        <w:rPr>
          <w:color w:val="auto"/>
        </w:rPr>
        <w:fldChar w:fldCharType="separate"/>
      </w:r>
      <w:r>
        <w:rPr>
          <w:rFonts w:hint="eastAsia" w:ascii="黑体" w:hAnsi="黑体" w:eastAsia="黑体"/>
          <w:color w:val="auto"/>
          <w:szCs w:val="28"/>
        </w:rPr>
        <w:t>第一节 谈判须知前附表</w:t>
      </w:r>
      <w:r>
        <w:rPr>
          <w:color w:val="auto"/>
        </w:rPr>
        <w:tab/>
      </w:r>
      <w:r>
        <w:rPr>
          <w:color w:val="auto"/>
        </w:rPr>
        <w:fldChar w:fldCharType="begin"/>
      </w:r>
      <w:r>
        <w:rPr>
          <w:color w:val="auto"/>
        </w:rPr>
        <w:instrText xml:space="preserve"> PAGEREF _Toc21082 </w:instrText>
      </w:r>
      <w:r>
        <w:rPr>
          <w:color w:val="auto"/>
        </w:rPr>
        <w:fldChar w:fldCharType="separate"/>
      </w:r>
      <w:r>
        <w:rPr>
          <w:color w:val="auto"/>
        </w:rPr>
        <w:t>8</w:t>
      </w:r>
      <w:r>
        <w:rPr>
          <w:color w:val="auto"/>
        </w:rPr>
        <w:fldChar w:fldCharType="end"/>
      </w:r>
      <w:r>
        <w:rPr>
          <w:color w:val="auto"/>
        </w:rPr>
        <w:fldChar w:fldCharType="end"/>
      </w:r>
    </w:p>
    <w:p w14:paraId="55B23502">
      <w:pPr>
        <w:pStyle w:val="34"/>
        <w:tabs>
          <w:tab w:val="right" w:leader="dot" w:pos="8844"/>
        </w:tabs>
        <w:rPr>
          <w:color w:val="auto"/>
        </w:rPr>
      </w:pPr>
      <w:r>
        <w:rPr>
          <w:color w:val="auto"/>
        </w:rPr>
        <w:fldChar w:fldCharType="begin"/>
      </w:r>
      <w:r>
        <w:rPr>
          <w:color w:val="auto"/>
        </w:rPr>
        <w:instrText xml:space="preserve"> HYPERLINK \l _Toc7831 </w:instrText>
      </w:r>
      <w:r>
        <w:rPr>
          <w:color w:val="auto"/>
        </w:rPr>
        <w:fldChar w:fldCharType="separate"/>
      </w:r>
      <w:r>
        <w:rPr>
          <w:rFonts w:hint="eastAsia" w:ascii="黑体" w:hAnsi="黑体" w:eastAsia="黑体"/>
          <w:color w:val="auto"/>
        </w:rPr>
        <w:t>第二节 谈判须知正文</w:t>
      </w:r>
      <w:r>
        <w:rPr>
          <w:color w:val="auto"/>
        </w:rPr>
        <w:tab/>
      </w:r>
      <w:r>
        <w:rPr>
          <w:color w:val="auto"/>
        </w:rPr>
        <w:fldChar w:fldCharType="begin"/>
      </w:r>
      <w:r>
        <w:rPr>
          <w:color w:val="auto"/>
        </w:rPr>
        <w:instrText xml:space="preserve"> PAGEREF _Toc7831 </w:instrText>
      </w:r>
      <w:r>
        <w:rPr>
          <w:color w:val="auto"/>
        </w:rPr>
        <w:fldChar w:fldCharType="separate"/>
      </w:r>
      <w:r>
        <w:rPr>
          <w:color w:val="auto"/>
        </w:rPr>
        <w:t>12</w:t>
      </w:r>
      <w:r>
        <w:rPr>
          <w:color w:val="auto"/>
        </w:rPr>
        <w:fldChar w:fldCharType="end"/>
      </w:r>
      <w:r>
        <w:rPr>
          <w:color w:val="auto"/>
        </w:rPr>
        <w:fldChar w:fldCharType="end"/>
      </w:r>
    </w:p>
    <w:p w14:paraId="20B793A9">
      <w:pPr>
        <w:pStyle w:val="21"/>
        <w:tabs>
          <w:tab w:val="right" w:leader="dot" w:pos="8844"/>
        </w:tabs>
        <w:rPr>
          <w:color w:val="auto"/>
        </w:rPr>
      </w:pPr>
      <w:r>
        <w:rPr>
          <w:color w:val="auto"/>
        </w:rPr>
        <w:fldChar w:fldCharType="begin"/>
      </w:r>
      <w:r>
        <w:rPr>
          <w:color w:val="auto"/>
        </w:rPr>
        <w:instrText xml:space="preserve"> HYPERLINK \l _Toc15972 </w:instrText>
      </w:r>
      <w:r>
        <w:rPr>
          <w:color w:val="auto"/>
        </w:rPr>
        <w:fldChar w:fldCharType="separate"/>
      </w:r>
      <w:r>
        <w:rPr>
          <w:rFonts w:hint="eastAsia" w:ascii="黑体" w:hAnsi="黑体" w:eastAsia="黑体"/>
          <w:color w:val="auto"/>
          <w:szCs w:val="28"/>
        </w:rPr>
        <w:t>一、说明</w:t>
      </w:r>
      <w:r>
        <w:rPr>
          <w:color w:val="auto"/>
        </w:rPr>
        <w:tab/>
      </w:r>
      <w:r>
        <w:rPr>
          <w:color w:val="auto"/>
        </w:rPr>
        <w:fldChar w:fldCharType="begin"/>
      </w:r>
      <w:r>
        <w:rPr>
          <w:color w:val="auto"/>
        </w:rPr>
        <w:instrText xml:space="preserve"> PAGEREF _Toc15972 </w:instrText>
      </w:r>
      <w:r>
        <w:rPr>
          <w:color w:val="auto"/>
        </w:rPr>
        <w:fldChar w:fldCharType="separate"/>
      </w:r>
      <w:r>
        <w:rPr>
          <w:color w:val="auto"/>
        </w:rPr>
        <w:t>12</w:t>
      </w:r>
      <w:r>
        <w:rPr>
          <w:color w:val="auto"/>
        </w:rPr>
        <w:fldChar w:fldCharType="end"/>
      </w:r>
      <w:r>
        <w:rPr>
          <w:color w:val="auto"/>
        </w:rPr>
        <w:fldChar w:fldCharType="end"/>
      </w:r>
    </w:p>
    <w:p w14:paraId="4CB5EA0D">
      <w:pPr>
        <w:pStyle w:val="21"/>
        <w:tabs>
          <w:tab w:val="right" w:leader="dot" w:pos="8844"/>
        </w:tabs>
        <w:rPr>
          <w:color w:val="auto"/>
        </w:rPr>
      </w:pPr>
      <w:r>
        <w:rPr>
          <w:color w:val="auto"/>
        </w:rPr>
        <w:fldChar w:fldCharType="begin"/>
      </w:r>
      <w:r>
        <w:rPr>
          <w:color w:val="auto"/>
        </w:rPr>
        <w:instrText xml:space="preserve"> HYPERLINK \l _Toc2908 </w:instrText>
      </w:r>
      <w:r>
        <w:rPr>
          <w:color w:val="auto"/>
        </w:rPr>
        <w:fldChar w:fldCharType="separate"/>
      </w:r>
      <w:r>
        <w:rPr>
          <w:rFonts w:hint="eastAsia" w:ascii="黑体" w:hAnsi="黑体" w:eastAsia="黑体"/>
          <w:color w:val="auto"/>
          <w:szCs w:val="28"/>
        </w:rPr>
        <w:t>二、谈判文件</w:t>
      </w:r>
      <w:r>
        <w:rPr>
          <w:color w:val="auto"/>
        </w:rPr>
        <w:tab/>
      </w:r>
      <w:r>
        <w:rPr>
          <w:color w:val="auto"/>
        </w:rPr>
        <w:fldChar w:fldCharType="begin"/>
      </w:r>
      <w:r>
        <w:rPr>
          <w:color w:val="auto"/>
        </w:rPr>
        <w:instrText xml:space="preserve"> PAGEREF _Toc2908 </w:instrText>
      </w:r>
      <w:r>
        <w:rPr>
          <w:color w:val="auto"/>
        </w:rPr>
        <w:fldChar w:fldCharType="separate"/>
      </w:r>
      <w:r>
        <w:rPr>
          <w:color w:val="auto"/>
        </w:rPr>
        <w:t>13</w:t>
      </w:r>
      <w:r>
        <w:rPr>
          <w:color w:val="auto"/>
        </w:rPr>
        <w:fldChar w:fldCharType="end"/>
      </w:r>
      <w:r>
        <w:rPr>
          <w:color w:val="auto"/>
        </w:rPr>
        <w:fldChar w:fldCharType="end"/>
      </w:r>
    </w:p>
    <w:p w14:paraId="465708BF">
      <w:pPr>
        <w:pStyle w:val="21"/>
        <w:tabs>
          <w:tab w:val="right" w:leader="dot" w:pos="8844"/>
        </w:tabs>
        <w:rPr>
          <w:color w:val="auto"/>
        </w:rPr>
      </w:pPr>
      <w:r>
        <w:rPr>
          <w:color w:val="auto"/>
        </w:rPr>
        <w:fldChar w:fldCharType="begin"/>
      </w:r>
      <w:r>
        <w:rPr>
          <w:color w:val="auto"/>
        </w:rPr>
        <w:instrText xml:space="preserve"> HYPERLINK \l _Toc12681 </w:instrText>
      </w:r>
      <w:r>
        <w:rPr>
          <w:color w:val="auto"/>
        </w:rPr>
        <w:fldChar w:fldCharType="separate"/>
      </w:r>
      <w:r>
        <w:rPr>
          <w:rFonts w:hint="eastAsia" w:ascii="黑体" w:hAnsi="黑体" w:eastAsia="黑体"/>
          <w:color w:val="auto"/>
          <w:szCs w:val="28"/>
        </w:rPr>
        <w:t>三、响应文件</w:t>
      </w:r>
      <w:r>
        <w:rPr>
          <w:color w:val="auto"/>
        </w:rPr>
        <w:tab/>
      </w:r>
      <w:r>
        <w:rPr>
          <w:color w:val="auto"/>
        </w:rPr>
        <w:fldChar w:fldCharType="begin"/>
      </w:r>
      <w:r>
        <w:rPr>
          <w:color w:val="auto"/>
        </w:rPr>
        <w:instrText xml:space="preserve"> PAGEREF _Toc12681 </w:instrText>
      </w:r>
      <w:r>
        <w:rPr>
          <w:color w:val="auto"/>
        </w:rPr>
        <w:fldChar w:fldCharType="separate"/>
      </w:r>
      <w:r>
        <w:rPr>
          <w:color w:val="auto"/>
        </w:rPr>
        <w:t>14</w:t>
      </w:r>
      <w:r>
        <w:rPr>
          <w:color w:val="auto"/>
        </w:rPr>
        <w:fldChar w:fldCharType="end"/>
      </w:r>
      <w:r>
        <w:rPr>
          <w:color w:val="auto"/>
        </w:rPr>
        <w:fldChar w:fldCharType="end"/>
      </w:r>
    </w:p>
    <w:p w14:paraId="4B8BB802">
      <w:pPr>
        <w:pStyle w:val="21"/>
        <w:tabs>
          <w:tab w:val="right" w:leader="dot" w:pos="8844"/>
        </w:tabs>
        <w:rPr>
          <w:color w:val="auto"/>
        </w:rPr>
      </w:pPr>
      <w:r>
        <w:rPr>
          <w:color w:val="auto"/>
        </w:rPr>
        <w:fldChar w:fldCharType="begin"/>
      </w:r>
      <w:r>
        <w:rPr>
          <w:color w:val="auto"/>
        </w:rPr>
        <w:instrText xml:space="preserve"> HYPERLINK \l _Toc8503 </w:instrText>
      </w:r>
      <w:r>
        <w:rPr>
          <w:color w:val="auto"/>
        </w:rPr>
        <w:fldChar w:fldCharType="separate"/>
      </w:r>
      <w:r>
        <w:rPr>
          <w:rFonts w:hint="eastAsia" w:ascii="黑体" w:hAnsi="黑体" w:eastAsia="黑体"/>
          <w:color w:val="auto"/>
          <w:szCs w:val="28"/>
        </w:rPr>
        <w:t>四、响应文件的递交</w:t>
      </w:r>
      <w:r>
        <w:rPr>
          <w:color w:val="auto"/>
        </w:rPr>
        <w:tab/>
      </w:r>
      <w:r>
        <w:rPr>
          <w:color w:val="auto"/>
        </w:rPr>
        <w:fldChar w:fldCharType="begin"/>
      </w:r>
      <w:r>
        <w:rPr>
          <w:color w:val="auto"/>
        </w:rPr>
        <w:instrText xml:space="preserve"> PAGEREF _Toc8503 </w:instrText>
      </w:r>
      <w:r>
        <w:rPr>
          <w:color w:val="auto"/>
        </w:rPr>
        <w:fldChar w:fldCharType="separate"/>
      </w:r>
      <w:r>
        <w:rPr>
          <w:color w:val="auto"/>
        </w:rPr>
        <w:t>17</w:t>
      </w:r>
      <w:r>
        <w:rPr>
          <w:color w:val="auto"/>
        </w:rPr>
        <w:fldChar w:fldCharType="end"/>
      </w:r>
      <w:r>
        <w:rPr>
          <w:color w:val="auto"/>
        </w:rPr>
        <w:fldChar w:fldCharType="end"/>
      </w:r>
    </w:p>
    <w:p w14:paraId="249255B3">
      <w:pPr>
        <w:pStyle w:val="21"/>
        <w:tabs>
          <w:tab w:val="right" w:leader="dot" w:pos="8844"/>
        </w:tabs>
        <w:rPr>
          <w:color w:val="auto"/>
        </w:rPr>
      </w:pPr>
      <w:r>
        <w:rPr>
          <w:color w:val="auto"/>
        </w:rPr>
        <w:fldChar w:fldCharType="begin"/>
      </w:r>
      <w:r>
        <w:rPr>
          <w:color w:val="auto"/>
        </w:rPr>
        <w:instrText xml:space="preserve"> HYPERLINK \l _Toc20284 </w:instrText>
      </w:r>
      <w:r>
        <w:rPr>
          <w:color w:val="auto"/>
        </w:rPr>
        <w:fldChar w:fldCharType="separate"/>
      </w:r>
      <w:r>
        <w:rPr>
          <w:rFonts w:hint="eastAsia" w:ascii="黑体" w:hAnsi="黑体" w:eastAsia="黑体"/>
          <w:color w:val="auto"/>
          <w:szCs w:val="28"/>
        </w:rPr>
        <w:t>五、响应文件的评审与谈判</w:t>
      </w:r>
      <w:r>
        <w:rPr>
          <w:color w:val="auto"/>
        </w:rPr>
        <w:tab/>
      </w:r>
      <w:r>
        <w:rPr>
          <w:color w:val="auto"/>
        </w:rPr>
        <w:fldChar w:fldCharType="begin"/>
      </w:r>
      <w:r>
        <w:rPr>
          <w:color w:val="auto"/>
        </w:rPr>
        <w:instrText xml:space="preserve"> PAGEREF _Toc20284 </w:instrText>
      </w:r>
      <w:r>
        <w:rPr>
          <w:color w:val="auto"/>
        </w:rPr>
        <w:fldChar w:fldCharType="separate"/>
      </w:r>
      <w:r>
        <w:rPr>
          <w:color w:val="auto"/>
        </w:rPr>
        <w:t>18</w:t>
      </w:r>
      <w:r>
        <w:rPr>
          <w:color w:val="auto"/>
        </w:rPr>
        <w:fldChar w:fldCharType="end"/>
      </w:r>
      <w:r>
        <w:rPr>
          <w:color w:val="auto"/>
        </w:rPr>
        <w:fldChar w:fldCharType="end"/>
      </w:r>
    </w:p>
    <w:p w14:paraId="062A00F6">
      <w:pPr>
        <w:pStyle w:val="21"/>
        <w:tabs>
          <w:tab w:val="right" w:leader="dot" w:pos="8844"/>
        </w:tabs>
        <w:rPr>
          <w:color w:val="auto"/>
        </w:rPr>
      </w:pPr>
      <w:r>
        <w:rPr>
          <w:color w:val="auto"/>
        </w:rPr>
        <w:fldChar w:fldCharType="begin"/>
      </w:r>
      <w:r>
        <w:rPr>
          <w:color w:val="auto"/>
        </w:rPr>
        <w:instrText xml:space="preserve"> HYPERLINK \l _Toc8941 </w:instrText>
      </w:r>
      <w:r>
        <w:rPr>
          <w:color w:val="auto"/>
        </w:rPr>
        <w:fldChar w:fldCharType="separate"/>
      </w:r>
      <w:r>
        <w:rPr>
          <w:rFonts w:hint="eastAsia" w:ascii="黑体" w:hAnsi="黑体" w:eastAsia="黑体"/>
          <w:color w:val="auto"/>
          <w:szCs w:val="28"/>
        </w:rPr>
        <w:t>六、成交结果信息公布与授予合同</w:t>
      </w:r>
      <w:r>
        <w:rPr>
          <w:color w:val="auto"/>
        </w:rPr>
        <w:tab/>
      </w:r>
      <w:r>
        <w:rPr>
          <w:color w:val="auto"/>
        </w:rPr>
        <w:fldChar w:fldCharType="begin"/>
      </w:r>
      <w:r>
        <w:rPr>
          <w:color w:val="auto"/>
        </w:rPr>
        <w:instrText xml:space="preserve"> PAGEREF _Toc8941 </w:instrText>
      </w:r>
      <w:r>
        <w:rPr>
          <w:color w:val="auto"/>
        </w:rPr>
        <w:fldChar w:fldCharType="separate"/>
      </w:r>
      <w:r>
        <w:rPr>
          <w:color w:val="auto"/>
        </w:rPr>
        <w:t>22</w:t>
      </w:r>
      <w:r>
        <w:rPr>
          <w:color w:val="auto"/>
        </w:rPr>
        <w:fldChar w:fldCharType="end"/>
      </w:r>
      <w:r>
        <w:rPr>
          <w:color w:val="auto"/>
        </w:rPr>
        <w:fldChar w:fldCharType="end"/>
      </w:r>
    </w:p>
    <w:p w14:paraId="4B3928CE">
      <w:pPr>
        <w:pStyle w:val="21"/>
        <w:tabs>
          <w:tab w:val="right" w:leader="dot" w:pos="8844"/>
        </w:tabs>
        <w:rPr>
          <w:color w:val="auto"/>
        </w:rPr>
      </w:pPr>
      <w:r>
        <w:rPr>
          <w:color w:val="auto"/>
        </w:rPr>
        <w:fldChar w:fldCharType="begin"/>
      </w:r>
      <w:r>
        <w:rPr>
          <w:color w:val="auto"/>
        </w:rPr>
        <w:instrText xml:space="preserve"> HYPERLINK \l _Toc20430 </w:instrText>
      </w:r>
      <w:r>
        <w:rPr>
          <w:color w:val="auto"/>
        </w:rPr>
        <w:fldChar w:fldCharType="separate"/>
      </w:r>
      <w:r>
        <w:rPr>
          <w:rFonts w:hint="eastAsia" w:ascii="黑体" w:hAnsi="黑体" w:eastAsia="黑体"/>
          <w:color w:val="auto"/>
          <w:szCs w:val="28"/>
        </w:rPr>
        <w:t>七、政府采购政策</w:t>
      </w:r>
      <w:r>
        <w:rPr>
          <w:color w:val="auto"/>
        </w:rPr>
        <w:tab/>
      </w:r>
      <w:r>
        <w:rPr>
          <w:color w:val="auto"/>
        </w:rPr>
        <w:fldChar w:fldCharType="begin"/>
      </w:r>
      <w:r>
        <w:rPr>
          <w:color w:val="auto"/>
        </w:rPr>
        <w:instrText xml:space="preserve"> PAGEREF _Toc20430 </w:instrText>
      </w:r>
      <w:r>
        <w:rPr>
          <w:color w:val="auto"/>
        </w:rPr>
        <w:fldChar w:fldCharType="separate"/>
      </w:r>
      <w:r>
        <w:rPr>
          <w:color w:val="auto"/>
        </w:rPr>
        <w:t>24</w:t>
      </w:r>
      <w:r>
        <w:rPr>
          <w:color w:val="auto"/>
        </w:rPr>
        <w:fldChar w:fldCharType="end"/>
      </w:r>
      <w:r>
        <w:rPr>
          <w:color w:val="auto"/>
        </w:rPr>
        <w:fldChar w:fldCharType="end"/>
      </w:r>
    </w:p>
    <w:p w14:paraId="3E653B35">
      <w:pPr>
        <w:pStyle w:val="21"/>
        <w:tabs>
          <w:tab w:val="right" w:leader="dot" w:pos="8844"/>
        </w:tabs>
        <w:rPr>
          <w:color w:val="auto"/>
        </w:rPr>
      </w:pPr>
      <w:r>
        <w:rPr>
          <w:color w:val="auto"/>
        </w:rPr>
        <w:fldChar w:fldCharType="begin"/>
      </w:r>
      <w:r>
        <w:rPr>
          <w:color w:val="auto"/>
        </w:rPr>
        <w:instrText xml:space="preserve"> HYPERLINK \l _Toc19903 </w:instrText>
      </w:r>
      <w:r>
        <w:rPr>
          <w:color w:val="auto"/>
        </w:rPr>
        <w:fldChar w:fldCharType="separate"/>
      </w:r>
      <w:r>
        <w:rPr>
          <w:rFonts w:hint="eastAsia" w:ascii="黑体" w:hAnsi="黑体" w:eastAsia="黑体"/>
          <w:color w:val="auto"/>
          <w:szCs w:val="28"/>
        </w:rPr>
        <w:t>八、其他规定</w:t>
      </w:r>
      <w:r>
        <w:rPr>
          <w:color w:val="auto"/>
        </w:rPr>
        <w:tab/>
      </w:r>
      <w:r>
        <w:rPr>
          <w:color w:val="auto"/>
        </w:rPr>
        <w:fldChar w:fldCharType="begin"/>
      </w:r>
      <w:r>
        <w:rPr>
          <w:color w:val="auto"/>
        </w:rPr>
        <w:instrText xml:space="preserve"> PAGEREF _Toc19903 </w:instrText>
      </w:r>
      <w:r>
        <w:rPr>
          <w:color w:val="auto"/>
        </w:rPr>
        <w:fldChar w:fldCharType="separate"/>
      </w:r>
      <w:r>
        <w:rPr>
          <w:color w:val="auto"/>
        </w:rPr>
        <w:t>25</w:t>
      </w:r>
      <w:r>
        <w:rPr>
          <w:color w:val="auto"/>
        </w:rPr>
        <w:fldChar w:fldCharType="end"/>
      </w:r>
      <w:r>
        <w:rPr>
          <w:color w:val="auto"/>
        </w:rPr>
        <w:fldChar w:fldCharType="end"/>
      </w:r>
    </w:p>
    <w:p w14:paraId="6A079D28">
      <w:pPr>
        <w:pStyle w:val="30"/>
        <w:tabs>
          <w:tab w:val="right" w:leader="dot" w:pos="8844"/>
        </w:tabs>
        <w:rPr>
          <w:color w:val="auto"/>
        </w:rPr>
      </w:pPr>
      <w:r>
        <w:rPr>
          <w:color w:val="auto"/>
        </w:rPr>
        <w:fldChar w:fldCharType="begin"/>
      </w:r>
      <w:r>
        <w:rPr>
          <w:color w:val="auto"/>
        </w:rPr>
        <w:instrText xml:space="preserve"> HYPERLINK \l _Toc4321 </w:instrText>
      </w:r>
      <w:r>
        <w:rPr>
          <w:color w:val="auto"/>
        </w:rPr>
        <w:fldChar w:fldCharType="separate"/>
      </w:r>
      <w:r>
        <w:rPr>
          <w:rFonts w:hint="eastAsia" w:ascii="黑体" w:hAnsi="黑体" w:eastAsia="黑体"/>
          <w:color w:val="auto"/>
          <w:szCs w:val="32"/>
        </w:rPr>
        <w:t>第三章 采购需求</w:t>
      </w:r>
      <w:r>
        <w:rPr>
          <w:color w:val="auto"/>
        </w:rPr>
        <w:tab/>
      </w:r>
      <w:r>
        <w:rPr>
          <w:color w:val="auto"/>
        </w:rPr>
        <w:fldChar w:fldCharType="begin"/>
      </w:r>
      <w:r>
        <w:rPr>
          <w:color w:val="auto"/>
        </w:rPr>
        <w:instrText xml:space="preserve"> PAGEREF _Toc4321 </w:instrText>
      </w:r>
      <w:r>
        <w:rPr>
          <w:color w:val="auto"/>
        </w:rPr>
        <w:fldChar w:fldCharType="separate"/>
      </w:r>
      <w:r>
        <w:rPr>
          <w:color w:val="auto"/>
        </w:rPr>
        <w:t>26</w:t>
      </w:r>
      <w:r>
        <w:rPr>
          <w:color w:val="auto"/>
        </w:rPr>
        <w:fldChar w:fldCharType="end"/>
      </w:r>
      <w:r>
        <w:rPr>
          <w:color w:val="auto"/>
        </w:rPr>
        <w:fldChar w:fldCharType="end"/>
      </w:r>
    </w:p>
    <w:p w14:paraId="48EAC92A">
      <w:pPr>
        <w:pStyle w:val="30"/>
        <w:tabs>
          <w:tab w:val="right" w:leader="dot" w:pos="8844"/>
        </w:tabs>
        <w:rPr>
          <w:color w:val="auto"/>
        </w:rPr>
      </w:pPr>
      <w:r>
        <w:rPr>
          <w:color w:val="auto"/>
        </w:rPr>
        <w:fldChar w:fldCharType="begin"/>
      </w:r>
      <w:r>
        <w:rPr>
          <w:color w:val="auto"/>
        </w:rPr>
        <w:instrText xml:space="preserve"> HYPERLINK \l _Toc21641 </w:instrText>
      </w:r>
      <w:r>
        <w:rPr>
          <w:color w:val="auto"/>
        </w:rPr>
        <w:fldChar w:fldCharType="separate"/>
      </w:r>
      <w:r>
        <w:rPr>
          <w:rFonts w:hint="eastAsia" w:ascii="黑体" w:hAnsi="黑体" w:eastAsia="黑体"/>
          <w:color w:val="auto"/>
          <w:szCs w:val="32"/>
        </w:rPr>
        <w:t>第四章 合同草案条款</w:t>
      </w:r>
      <w:r>
        <w:rPr>
          <w:color w:val="auto"/>
        </w:rPr>
        <w:tab/>
      </w:r>
      <w:r>
        <w:rPr>
          <w:color w:val="auto"/>
        </w:rPr>
        <w:fldChar w:fldCharType="begin"/>
      </w:r>
      <w:r>
        <w:rPr>
          <w:color w:val="auto"/>
        </w:rPr>
        <w:instrText xml:space="preserve"> PAGEREF _Toc21641 </w:instrText>
      </w:r>
      <w:r>
        <w:rPr>
          <w:color w:val="auto"/>
        </w:rPr>
        <w:fldChar w:fldCharType="separate"/>
      </w:r>
      <w:r>
        <w:rPr>
          <w:color w:val="auto"/>
        </w:rPr>
        <w:t>32</w:t>
      </w:r>
      <w:r>
        <w:rPr>
          <w:color w:val="auto"/>
        </w:rPr>
        <w:fldChar w:fldCharType="end"/>
      </w:r>
      <w:r>
        <w:rPr>
          <w:color w:val="auto"/>
        </w:rPr>
        <w:fldChar w:fldCharType="end"/>
      </w:r>
    </w:p>
    <w:p w14:paraId="75830452">
      <w:pPr>
        <w:pStyle w:val="34"/>
        <w:tabs>
          <w:tab w:val="right" w:leader="dot" w:pos="8844"/>
        </w:tabs>
        <w:rPr>
          <w:color w:val="auto"/>
        </w:rPr>
      </w:pPr>
      <w:r>
        <w:rPr>
          <w:color w:val="auto"/>
        </w:rPr>
        <w:fldChar w:fldCharType="begin"/>
      </w:r>
      <w:r>
        <w:rPr>
          <w:color w:val="auto"/>
        </w:rPr>
        <w:instrText xml:space="preserve"> HYPERLINK \l _Toc3032 </w:instrText>
      </w:r>
      <w:r>
        <w:rPr>
          <w:color w:val="auto"/>
        </w:rPr>
        <w:fldChar w:fldCharType="separate"/>
      </w:r>
      <w:r>
        <w:rPr>
          <w:rFonts w:hint="eastAsia" w:ascii="黑体" w:hAnsi="华文中宋" w:eastAsia="黑体"/>
          <w:color w:val="auto"/>
          <w:szCs w:val="28"/>
        </w:rPr>
        <w:t>第一节 合同协议书</w:t>
      </w:r>
      <w:r>
        <w:rPr>
          <w:rFonts w:hint="eastAsia" w:ascii="黑体" w:hAnsi="华文中宋" w:eastAsia="黑体"/>
          <w:color w:val="auto"/>
          <w:szCs w:val="28"/>
          <w:lang w:eastAsia="zh-CN"/>
        </w:rPr>
        <w:t>（格式）</w:t>
      </w:r>
      <w:r>
        <w:rPr>
          <w:color w:val="auto"/>
        </w:rPr>
        <w:tab/>
      </w:r>
      <w:r>
        <w:rPr>
          <w:color w:val="auto"/>
        </w:rPr>
        <w:fldChar w:fldCharType="begin"/>
      </w:r>
      <w:r>
        <w:rPr>
          <w:color w:val="auto"/>
        </w:rPr>
        <w:instrText xml:space="preserve"> PAGEREF _Toc3032 </w:instrText>
      </w:r>
      <w:r>
        <w:rPr>
          <w:color w:val="auto"/>
        </w:rPr>
        <w:fldChar w:fldCharType="separate"/>
      </w:r>
      <w:r>
        <w:rPr>
          <w:color w:val="auto"/>
        </w:rPr>
        <w:t>32</w:t>
      </w:r>
      <w:r>
        <w:rPr>
          <w:color w:val="auto"/>
        </w:rPr>
        <w:fldChar w:fldCharType="end"/>
      </w:r>
      <w:r>
        <w:rPr>
          <w:color w:val="auto"/>
        </w:rPr>
        <w:fldChar w:fldCharType="end"/>
      </w:r>
    </w:p>
    <w:p w14:paraId="401A9B8D">
      <w:pPr>
        <w:pStyle w:val="21"/>
        <w:tabs>
          <w:tab w:val="right" w:leader="dot" w:pos="8844"/>
        </w:tabs>
        <w:rPr>
          <w:color w:val="auto"/>
        </w:rPr>
      </w:pPr>
      <w:r>
        <w:rPr>
          <w:color w:val="auto"/>
        </w:rPr>
        <w:fldChar w:fldCharType="begin"/>
      </w:r>
      <w:r>
        <w:rPr>
          <w:color w:val="auto"/>
        </w:rPr>
        <w:instrText xml:space="preserve"> HYPERLINK \l _Toc19948 </w:instrText>
      </w:r>
      <w:r>
        <w:rPr>
          <w:color w:val="auto"/>
        </w:rPr>
        <w:fldChar w:fldCharType="separate"/>
      </w:r>
      <w:r>
        <w:rPr>
          <w:rFonts w:hint="eastAsia" w:ascii="黑体" w:hAnsi="黑体" w:eastAsia="黑体"/>
          <w:color w:val="auto"/>
          <w:szCs w:val="24"/>
        </w:rPr>
        <w:t>1.项目信息</w:t>
      </w:r>
      <w:r>
        <w:rPr>
          <w:color w:val="auto"/>
        </w:rPr>
        <w:tab/>
      </w:r>
      <w:r>
        <w:rPr>
          <w:color w:val="auto"/>
        </w:rPr>
        <w:fldChar w:fldCharType="begin"/>
      </w:r>
      <w:r>
        <w:rPr>
          <w:color w:val="auto"/>
        </w:rPr>
        <w:instrText xml:space="preserve"> PAGEREF _Toc19948 </w:instrText>
      </w:r>
      <w:r>
        <w:rPr>
          <w:color w:val="auto"/>
        </w:rPr>
        <w:fldChar w:fldCharType="separate"/>
      </w:r>
      <w:r>
        <w:rPr>
          <w:color w:val="auto"/>
        </w:rPr>
        <w:t>32</w:t>
      </w:r>
      <w:r>
        <w:rPr>
          <w:color w:val="auto"/>
        </w:rPr>
        <w:fldChar w:fldCharType="end"/>
      </w:r>
      <w:r>
        <w:rPr>
          <w:color w:val="auto"/>
        </w:rPr>
        <w:fldChar w:fldCharType="end"/>
      </w:r>
    </w:p>
    <w:p w14:paraId="5A0A5A71">
      <w:pPr>
        <w:pStyle w:val="21"/>
        <w:tabs>
          <w:tab w:val="right" w:leader="dot" w:pos="8844"/>
        </w:tabs>
        <w:rPr>
          <w:color w:val="auto"/>
        </w:rPr>
      </w:pPr>
      <w:r>
        <w:rPr>
          <w:color w:val="auto"/>
        </w:rPr>
        <w:fldChar w:fldCharType="begin"/>
      </w:r>
      <w:r>
        <w:rPr>
          <w:color w:val="auto"/>
        </w:rPr>
        <w:instrText xml:space="preserve"> HYPERLINK \l _Toc32472 </w:instrText>
      </w:r>
      <w:r>
        <w:rPr>
          <w:color w:val="auto"/>
        </w:rPr>
        <w:fldChar w:fldCharType="separate"/>
      </w:r>
      <w:r>
        <w:rPr>
          <w:rFonts w:hint="eastAsia" w:ascii="黑体" w:hAnsi="黑体" w:eastAsia="黑体"/>
          <w:color w:val="auto"/>
          <w:szCs w:val="24"/>
        </w:rPr>
        <w:t>2.合同金额</w:t>
      </w:r>
      <w:r>
        <w:rPr>
          <w:color w:val="auto"/>
        </w:rPr>
        <w:tab/>
      </w:r>
      <w:r>
        <w:rPr>
          <w:color w:val="auto"/>
        </w:rPr>
        <w:fldChar w:fldCharType="begin"/>
      </w:r>
      <w:r>
        <w:rPr>
          <w:color w:val="auto"/>
        </w:rPr>
        <w:instrText xml:space="preserve"> PAGEREF _Toc32472 </w:instrText>
      </w:r>
      <w:r>
        <w:rPr>
          <w:color w:val="auto"/>
        </w:rPr>
        <w:fldChar w:fldCharType="separate"/>
      </w:r>
      <w:r>
        <w:rPr>
          <w:color w:val="auto"/>
        </w:rPr>
        <w:t>32</w:t>
      </w:r>
      <w:r>
        <w:rPr>
          <w:color w:val="auto"/>
        </w:rPr>
        <w:fldChar w:fldCharType="end"/>
      </w:r>
      <w:r>
        <w:rPr>
          <w:color w:val="auto"/>
        </w:rPr>
        <w:fldChar w:fldCharType="end"/>
      </w:r>
    </w:p>
    <w:p w14:paraId="08C1C1D5">
      <w:pPr>
        <w:pStyle w:val="21"/>
        <w:tabs>
          <w:tab w:val="right" w:leader="dot" w:pos="8844"/>
        </w:tabs>
        <w:rPr>
          <w:color w:val="auto"/>
        </w:rPr>
      </w:pPr>
      <w:r>
        <w:rPr>
          <w:color w:val="auto"/>
        </w:rPr>
        <w:fldChar w:fldCharType="begin"/>
      </w:r>
      <w:r>
        <w:rPr>
          <w:color w:val="auto"/>
        </w:rPr>
        <w:instrText xml:space="preserve"> HYPERLINK \l _Toc14599 </w:instrText>
      </w:r>
      <w:r>
        <w:rPr>
          <w:color w:val="auto"/>
        </w:rPr>
        <w:fldChar w:fldCharType="separate"/>
      </w:r>
      <w:r>
        <w:rPr>
          <w:rFonts w:hint="eastAsia" w:ascii="黑体" w:hAnsi="黑体" w:eastAsia="黑体"/>
          <w:color w:val="auto"/>
          <w:szCs w:val="24"/>
        </w:rPr>
        <w:t>3.履行合同的时间、地点及方式</w:t>
      </w:r>
      <w:r>
        <w:rPr>
          <w:color w:val="auto"/>
        </w:rPr>
        <w:tab/>
      </w:r>
      <w:r>
        <w:rPr>
          <w:color w:val="auto"/>
        </w:rPr>
        <w:fldChar w:fldCharType="begin"/>
      </w:r>
      <w:r>
        <w:rPr>
          <w:color w:val="auto"/>
        </w:rPr>
        <w:instrText xml:space="preserve"> PAGEREF _Toc14599 </w:instrText>
      </w:r>
      <w:r>
        <w:rPr>
          <w:color w:val="auto"/>
        </w:rPr>
        <w:fldChar w:fldCharType="separate"/>
      </w:r>
      <w:r>
        <w:rPr>
          <w:color w:val="auto"/>
        </w:rPr>
        <w:t>32</w:t>
      </w:r>
      <w:r>
        <w:rPr>
          <w:color w:val="auto"/>
        </w:rPr>
        <w:fldChar w:fldCharType="end"/>
      </w:r>
      <w:r>
        <w:rPr>
          <w:color w:val="auto"/>
        </w:rPr>
        <w:fldChar w:fldCharType="end"/>
      </w:r>
    </w:p>
    <w:p w14:paraId="506CCF77">
      <w:pPr>
        <w:pStyle w:val="21"/>
        <w:tabs>
          <w:tab w:val="right" w:leader="dot" w:pos="8844"/>
        </w:tabs>
        <w:rPr>
          <w:color w:val="auto"/>
        </w:rPr>
      </w:pPr>
      <w:r>
        <w:rPr>
          <w:color w:val="auto"/>
        </w:rPr>
        <w:fldChar w:fldCharType="begin"/>
      </w:r>
      <w:r>
        <w:rPr>
          <w:color w:val="auto"/>
        </w:rPr>
        <w:instrText xml:space="preserve"> HYPERLINK \l _Toc19539 </w:instrText>
      </w:r>
      <w:r>
        <w:rPr>
          <w:color w:val="auto"/>
        </w:rPr>
        <w:fldChar w:fldCharType="separate"/>
      </w:r>
      <w:r>
        <w:rPr>
          <w:rFonts w:hint="eastAsia" w:ascii="黑体" w:hAnsi="黑体" w:eastAsia="黑体"/>
          <w:color w:val="auto"/>
          <w:szCs w:val="24"/>
        </w:rPr>
        <w:t>4.付款</w:t>
      </w:r>
      <w:r>
        <w:rPr>
          <w:color w:val="auto"/>
        </w:rPr>
        <w:tab/>
      </w:r>
      <w:r>
        <w:rPr>
          <w:color w:val="auto"/>
        </w:rPr>
        <w:fldChar w:fldCharType="begin"/>
      </w:r>
      <w:r>
        <w:rPr>
          <w:color w:val="auto"/>
        </w:rPr>
        <w:instrText xml:space="preserve"> PAGEREF _Toc19539 </w:instrText>
      </w:r>
      <w:r>
        <w:rPr>
          <w:color w:val="auto"/>
        </w:rPr>
        <w:fldChar w:fldCharType="separate"/>
      </w:r>
      <w:r>
        <w:rPr>
          <w:color w:val="auto"/>
        </w:rPr>
        <w:t>32</w:t>
      </w:r>
      <w:r>
        <w:rPr>
          <w:color w:val="auto"/>
        </w:rPr>
        <w:fldChar w:fldCharType="end"/>
      </w:r>
      <w:r>
        <w:rPr>
          <w:color w:val="auto"/>
        </w:rPr>
        <w:fldChar w:fldCharType="end"/>
      </w:r>
    </w:p>
    <w:p w14:paraId="0161581D">
      <w:pPr>
        <w:pStyle w:val="21"/>
        <w:tabs>
          <w:tab w:val="right" w:leader="dot" w:pos="8844"/>
        </w:tabs>
        <w:rPr>
          <w:color w:val="auto"/>
        </w:rPr>
      </w:pPr>
      <w:r>
        <w:rPr>
          <w:color w:val="auto"/>
        </w:rPr>
        <w:fldChar w:fldCharType="begin"/>
      </w:r>
      <w:r>
        <w:rPr>
          <w:color w:val="auto"/>
        </w:rPr>
        <w:instrText xml:space="preserve"> HYPERLINK \l _Toc4820 </w:instrText>
      </w:r>
      <w:r>
        <w:rPr>
          <w:color w:val="auto"/>
        </w:rPr>
        <w:fldChar w:fldCharType="separate"/>
      </w:r>
      <w:r>
        <w:rPr>
          <w:rFonts w:hint="eastAsia" w:ascii="黑体" w:hAnsi="黑体" w:eastAsia="黑体"/>
          <w:color w:val="auto"/>
          <w:szCs w:val="24"/>
        </w:rPr>
        <w:t>5.解决合同纠纷方式</w:t>
      </w:r>
      <w:r>
        <w:rPr>
          <w:color w:val="auto"/>
        </w:rPr>
        <w:tab/>
      </w:r>
      <w:r>
        <w:rPr>
          <w:color w:val="auto"/>
        </w:rPr>
        <w:fldChar w:fldCharType="begin"/>
      </w:r>
      <w:r>
        <w:rPr>
          <w:color w:val="auto"/>
        </w:rPr>
        <w:instrText xml:space="preserve"> PAGEREF _Toc4820 </w:instrText>
      </w:r>
      <w:r>
        <w:rPr>
          <w:color w:val="auto"/>
        </w:rPr>
        <w:fldChar w:fldCharType="separate"/>
      </w:r>
      <w:r>
        <w:rPr>
          <w:color w:val="auto"/>
        </w:rPr>
        <w:t>32</w:t>
      </w:r>
      <w:r>
        <w:rPr>
          <w:color w:val="auto"/>
        </w:rPr>
        <w:fldChar w:fldCharType="end"/>
      </w:r>
      <w:r>
        <w:rPr>
          <w:color w:val="auto"/>
        </w:rPr>
        <w:fldChar w:fldCharType="end"/>
      </w:r>
    </w:p>
    <w:p w14:paraId="252B4B90">
      <w:pPr>
        <w:pStyle w:val="21"/>
        <w:tabs>
          <w:tab w:val="right" w:leader="dot" w:pos="8844"/>
        </w:tabs>
        <w:rPr>
          <w:color w:val="auto"/>
        </w:rPr>
      </w:pPr>
      <w:r>
        <w:rPr>
          <w:color w:val="auto"/>
        </w:rPr>
        <w:fldChar w:fldCharType="begin"/>
      </w:r>
      <w:r>
        <w:rPr>
          <w:color w:val="auto"/>
        </w:rPr>
        <w:instrText xml:space="preserve"> HYPERLINK \l _Toc11345 </w:instrText>
      </w:r>
      <w:r>
        <w:rPr>
          <w:color w:val="auto"/>
        </w:rPr>
        <w:fldChar w:fldCharType="separate"/>
      </w:r>
      <w:r>
        <w:rPr>
          <w:rFonts w:hint="eastAsia" w:ascii="黑体" w:hAnsi="黑体" w:eastAsia="黑体"/>
          <w:color w:val="auto"/>
          <w:szCs w:val="24"/>
        </w:rPr>
        <w:t>6.组成合同的文件</w:t>
      </w:r>
      <w:r>
        <w:rPr>
          <w:color w:val="auto"/>
        </w:rPr>
        <w:tab/>
      </w:r>
      <w:r>
        <w:rPr>
          <w:color w:val="auto"/>
        </w:rPr>
        <w:fldChar w:fldCharType="begin"/>
      </w:r>
      <w:r>
        <w:rPr>
          <w:color w:val="auto"/>
        </w:rPr>
        <w:instrText xml:space="preserve"> PAGEREF _Toc11345 </w:instrText>
      </w:r>
      <w:r>
        <w:rPr>
          <w:color w:val="auto"/>
        </w:rPr>
        <w:fldChar w:fldCharType="separate"/>
      </w:r>
      <w:r>
        <w:rPr>
          <w:color w:val="auto"/>
        </w:rPr>
        <w:t>33</w:t>
      </w:r>
      <w:r>
        <w:rPr>
          <w:color w:val="auto"/>
        </w:rPr>
        <w:fldChar w:fldCharType="end"/>
      </w:r>
      <w:r>
        <w:rPr>
          <w:color w:val="auto"/>
        </w:rPr>
        <w:fldChar w:fldCharType="end"/>
      </w:r>
    </w:p>
    <w:p w14:paraId="2A72F3DE">
      <w:pPr>
        <w:pStyle w:val="21"/>
        <w:tabs>
          <w:tab w:val="right" w:leader="dot" w:pos="8844"/>
        </w:tabs>
        <w:rPr>
          <w:color w:val="auto"/>
        </w:rPr>
      </w:pPr>
      <w:r>
        <w:rPr>
          <w:color w:val="auto"/>
        </w:rPr>
        <w:fldChar w:fldCharType="begin"/>
      </w:r>
      <w:r>
        <w:rPr>
          <w:color w:val="auto"/>
        </w:rPr>
        <w:instrText xml:space="preserve"> HYPERLINK \l _Toc3662 </w:instrText>
      </w:r>
      <w:r>
        <w:rPr>
          <w:color w:val="auto"/>
        </w:rPr>
        <w:fldChar w:fldCharType="separate"/>
      </w:r>
      <w:r>
        <w:rPr>
          <w:rFonts w:hint="eastAsia" w:ascii="黑体" w:hAnsi="黑体" w:eastAsia="黑体"/>
          <w:color w:val="auto"/>
          <w:szCs w:val="24"/>
        </w:rPr>
        <w:t>7.合同生效</w:t>
      </w:r>
      <w:r>
        <w:rPr>
          <w:color w:val="auto"/>
        </w:rPr>
        <w:tab/>
      </w:r>
      <w:r>
        <w:rPr>
          <w:color w:val="auto"/>
        </w:rPr>
        <w:fldChar w:fldCharType="begin"/>
      </w:r>
      <w:r>
        <w:rPr>
          <w:color w:val="auto"/>
        </w:rPr>
        <w:instrText xml:space="preserve"> PAGEREF _Toc3662 </w:instrText>
      </w:r>
      <w:r>
        <w:rPr>
          <w:color w:val="auto"/>
        </w:rPr>
        <w:fldChar w:fldCharType="separate"/>
      </w:r>
      <w:r>
        <w:rPr>
          <w:color w:val="auto"/>
        </w:rPr>
        <w:t>33</w:t>
      </w:r>
      <w:r>
        <w:rPr>
          <w:color w:val="auto"/>
        </w:rPr>
        <w:fldChar w:fldCharType="end"/>
      </w:r>
      <w:r>
        <w:rPr>
          <w:color w:val="auto"/>
        </w:rPr>
        <w:fldChar w:fldCharType="end"/>
      </w:r>
    </w:p>
    <w:p w14:paraId="16E36A5B">
      <w:pPr>
        <w:pStyle w:val="21"/>
        <w:tabs>
          <w:tab w:val="right" w:leader="dot" w:pos="8844"/>
        </w:tabs>
        <w:rPr>
          <w:color w:val="auto"/>
        </w:rPr>
      </w:pPr>
      <w:r>
        <w:rPr>
          <w:color w:val="auto"/>
        </w:rPr>
        <w:fldChar w:fldCharType="begin"/>
      </w:r>
      <w:r>
        <w:rPr>
          <w:color w:val="auto"/>
        </w:rPr>
        <w:instrText xml:space="preserve"> HYPERLINK \l _Toc15529 </w:instrText>
      </w:r>
      <w:r>
        <w:rPr>
          <w:color w:val="auto"/>
        </w:rPr>
        <w:fldChar w:fldCharType="separate"/>
      </w:r>
      <w:r>
        <w:rPr>
          <w:rFonts w:hint="eastAsia" w:ascii="黑体" w:hAnsi="黑体" w:eastAsia="黑体"/>
          <w:color w:val="auto"/>
          <w:szCs w:val="24"/>
        </w:rPr>
        <w:t>8.合同份数</w:t>
      </w:r>
      <w:r>
        <w:rPr>
          <w:color w:val="auto"/>
        </w:rPr>
        <w:tab/>
      </w:r>
      <w:r>
        <w:rPr>
          <w:color w:val="auto"/>
        </w:rPr>
        <w:fldChar w:fldCharType="begin"/>
      </w:r>
      <w:r>
        <w:rPr>
          <w:color w:val="auto"/>
        </w:rPr>
        <w:instrText xml:space="preserve"> PAGEREF _Toc15529 </w:instrText>
      </w:r>
      <w:r>
        <w:rPr>
          <w:color w:val="auto"/>
        </w:rPr>
        <w:fldChar w:fldCharType="separate"/>
      </w:r>
      <w:r>
        <w:rPr>
          <w:color w:val="auto"/>
        </w:rPr>
        <w:t>33</w:t>
      </w:r>
      <w:r>
        <w:rPr>
          <w:color w:val="auto"/>
        </w:rPr>
        <w:fldChar w:fldCharType="end"/>
      </w:r>
      <w:r>
        <w:rPr>
          <w:color w:val="auto"/>
        </w:rPr>
        <w:fldChar w:fldCharType="end"/>
      </w:r>
    </w:p>
    <w:p w14:paraId="3FA2F54A">
      <w:pPr>
        <w:pStyle w:val="34"/>
        <w:tabs>
          <w:tab w:val="right" w:leader="dot" w:pos="8844"/>
        </w:tabs>
        <w:rPr>
          <w:color w:val="auto"/>
        </w:rPr>
      </w:pPr>
      <w:r>
        <w:rPr>
          <w:color w:val="auto"/>
        </w:rPr>
        <w:fldChar w:fldCharType="begin"/>
      </w:r>
      <w:r>
        <w:rPr>
          <w:color w:val="auto"/>
        </w:rPr>
        <w:instrText xml:space="preserve"> HYPERLINK \l _Toc21903 </w:instrText>
      </w:r>
      <w:r>
        <w:rPr>
          <w:color w:val="auto"/>
        </w:rPr>
        <w:fldChar w:fldCharType="separate"/>
      </w:r>
      <w:r>
        <w:rPr>
          <w:rFonts w:hint="eastAsia" w:ascii="黑体" w:hAnsi="黑体" w:eastAsia="黑体"/>
          <w:color w:val="auto"/>
          <w:szCs w:val="28"/>
        </w:rPr>
        <w:t>第二节 政府采购合同</w:t>
      </w:r>
      <w:r>
        <w:rPr>
          <w:color w:val="auto"/>
        </w:rPr>
        <w:tab/>
      </w:r>
      <w:r>
        <w:rPr>
          <w:color w:val="auto"/>
        </w:rPr>
        <w:fldChar w:fldCharType="begin"/>
      </w:r>
      <w:r>
        <w:rPr>
          <w:color w:val="auto"/>
        </w:rPr>
        <w:instrText xml:space="preserve"> PAGEREF _Toc21903 </w:instrText>
      </w:r>
      <w:r>
        <w:rPr>
          <w:color w:val="auto"/>
        </w:rPr>
        <w:fldChar w:fldCharType="separate"/>
      </w:r>
      <w:r>
        <w:rPr>
          <w:color w:val="auto"/>
        </w:rPr>
        <w:t>34</w:t>
      </w:r>
      <w:r>
        <w:rPr>
          <w:color w:val="auto"/>
        </w:rPr>
        <w:fldChar w:fldCharType="end"/>
      </w:r>
      <w:r>
        <w:rPr>
          <w:color w:val="auto"/>
        </w:rPr>
        <w:fldChar w:fldCharType="end"/>
      </w:r>
    </w:p>
    <w:p w14:paraId="00ED8EBD">
      <w:pPr>
        <w:pStyle w:val="21"/>
        <w:tabs>
          <w:tab w:val="right" w:leader="dot" w:pos="8844"/>
        </w:tabs>
        <w:rPr>
          <w:color w:val="auto"/>
        </w:rPr>
      </w:pPr>
      <w:r>
        <w:rPr>
          <w:color w:val="auto"/>
        </w:rPr>
        <w:fldChar w:fldCharType="begin"/>
      </w:r>
      <w:r>
        <w:rPr>
          <w:color w:val="auto"/>
        </w:rPr>
        <w:instrText xml:space="preserve"> HYPERLINK \l _Toc31788 </w:instrText>
      </w:r>
      <w:r>
        <w:rPr>
          <w:color w:val="auto"/>
        </w:rPr>
        <w:fldChar w:fldCharType="separate"/>
      </w:r>
      <w:r>
        <w:rPr>
          <w:rFonts w:hint="eastAsia"/>
          <w:color w:val="auto"/>
        </w:rPr>
        <w:t>政府采购合同通用条款</w:t>
      </w:r>
      <w:r>
        <w:rPr>
          <w:color w:val="auto"/>
        </w:rPr>
        <w:tab/>
      </w:r>
      <w:r>
        <w:rPr>
          <w:color w:val="auto"/>
        </w:rPr>
        <w:fldChar w:fldCharType="begin"/>
      </w:r>
      <w:r>
        <w:rPr>
          <w:color w:val="auto"/>
        </w:rPr>
        <w:instrText xml:space="preserve"> PAGEREF _Toc31788 </w:instrText>
      </w:r>
      <w:r>
        <w:rPr>
          <w:color w:val="auto"/>
        </w:rPr>
        <w:fldChar w:fldCharType="separate"/>
      </w:r>
      <w:r>
        <w:rPr>
          <w:color w:val="auto"/>
        </w:rPr>
        <w:t>34</w:t>
      </w:r>
      <w:r>
        <w:rPr>
          <w:color w:val="auto"/>
        </w:rPr>
        <w:fldChar w:fldCharType="end"/>
      </w:r>
      <w:r>
        <w:rPr>
          <w:color w:val="auto"/>
        </w:rPr>
        <w:fldChar w:fldCharType="end"/>
      </w:r>
    </w:p>
    <w:p w14:paraId="5931179B">
      <w:pPr>
        <w:pStyle w:val="21"/>
        <w:tabs>
          <w:tab w:val="right" w:leader="dot" w:pos="8844"/>
        </w:tabs>
        <w:rPr>
          <w:color w:val="auto"/>
        </w:rPr>
      </w:pPr>
      <w:r>
        <w:rPr>
          <w:color w:val="auto"/>
        </w:rPr>
        <w:fldChar w:fldCharType="begin"/>
      </w:r>
      <w:r>
        <w:rPr>
          <w:color w:val="auto"/>
        </w:rPr>
        <w:instrText xml:space="preserve"> HYPERLINK \l _Toc23766 </w:instrText>
      </w:r>
      <w:r>
        <w:rPr>
          <w:color w:val="auto"/>
        </w:rPr>
        <w:fldChar w:fldCharType="separate"/>
      </w:r>
      <w:r>
        <w:rPr>
          <w:rFonts w:hint="eastAsia"/>
          <w:color w:val="auto"/>
        </w:rPr>
        <w:t>政府采购合同专用条款</w:t>
      </w:r>
      <w:r>
        <w:rPr>
          <w:color w:val="auto"/>
        </w:rPr>
        <w:tab/>
      </w:r>
      <w:r>
        <w:rPr>
          <w:color w:val="auto"/>
        </w:rPr>
        <w:fldChar w:fldCharType="begin"/>
      </w:r>
      <w:r>
        <w:rPr>
          <w:color w:val="auto"/>
        </w:rPr>
        <w:instrText xml:space="preserve"> PAGEREF _Toc23766 </w:instrText>
      </w:r>
      <w:r>
        <w:rPr>
          <w:color w:val="auto"/>
        </w:rPr>
        <w:fldChar w:fldCharType="separate"/>
      </w:r>
      <w:r>
        <w:rPr>
          <w:color w:val="auto"/>
        </w:rPr>
        <w:t>40</w:t>
      </w:r>
      <w:r>
        <w:rPr>
          <w:color w:val="auto"/>
        </w:rPr>
        <w:fldChar w:fldCharType="end"/>
      </w:r>
      <w:r>
        <w:rPr>
          <w:color w:val="auto"/>
        </w:rPr>
        <w:fldChar w:fldCharType="end"/>
      </w:r>
    </w:p>
    <w:p w14:paraId="42B9745E">
      <w:pPr>
        <w:pStyle w:val="34"/>
        <w:tabs>
          <w:tab w:val="right" w:leader="dot" w:pos="8844"/>
        </w:tabs>
        <w:rPr>
          <w:color w:val="auto"/>
        </w:rPr>
      </w:pPr>
      <w:r>
        <w:rPr>
          <w:color w:val="auto"/>
        </w:rPr>
        <w:fldChar w:fldCharType="begin"/>
      </w:r>
      <w:r>
        <w:rPr>
          <w:color w:val="auto"/>
        </w:rPr>
        <w:instrText xml:space="preserve"> HYPERLINK \l _Toc1028 </w:instrText>
      </w:r>
      <w:r>
        <w:rPr>
          <w:color w:val="auto"/>
        </w:rPr>
        <w:fldChar w:fldCharType="separate"/>
      </w:r>
      <w:r>
        <w:rPr>
          <w:rFonts w:hint="eastAsia" w:ascii="黑体" w:hAnsi="黑体" w:eastAsia="黑体"/>
          <w:color w:val="auto"/>
        </w:rPr>
        <w:t>第五章 响应文件组成</w:t>
      </w:r>
      <w:r>
        <w:rPr>
          <w:color w:val="auto"/>
        </w:rPr>
        <w:tab/>
      </w:r>
      <w:r>
        <w:rPr>
          <w:color w:val="auto"/>
        </w:rPr>
        <w:fldChar w:fldCharType="begin"/>
      </w:r>
      <w:r>
        <w:rPr>
          <w:color w:val="auto"/>
        </w:rPr>
        <w:instrText xml:space="preserve"> PAGEREF _Toc1028 </w:instrText>
      </w:r>
      <w:r>
        <w:rPr>
          <w:color w:val="auto"/>
        </w:rPr>
        <w:fldChar w:fldCharType="separate"/>
      </w:r>
      <w:r>
        <w:rPr>
          <w:color w:val="auto"/>
        </w:rPr>
        <w:t>41</w:t>
      </w:r>
      <w:r>
        <w:rPr>
          <w:color w:val="auto"/>
        </w:rPr>
        <w:fldChar w:fldCharType="end"/>
      </w:r>
      <w:r>
        <w:rPr>
          <w:color w:val="auto"/>
        </w:rPr>
        <w:fldChar w:fldCharType="end"/>
      </w:r>
    </w:p>
    <w:p w14:paraId="14003791">
      <w:pPr>
        <w:pStyle w:val="34"/>
        <w:tabs>
          <w:tab w:val="right" w:leader="dot" w:pos="8844"/>
        </w:tabs>
        <w:rPr>
          <w:color w:val="auto"/>
        </w:rPr>
      </w:pPr>
      <w:r>
        <w:rPr>
          <w:color w:val="auto"/>
        </w:rPr>
        <w:fldChar w:fldCharType="begin"/>
      </w:r>
      <w:r>
        <w:rPr>
          <w:color w:val="auto"/>
        </w:rPr>
        <w:instrText xml:space="preserve"> HYPERLINK \l _Toc7915 </w:instrText>
      </w:r>
      <w:r>
        <w:rPr>
          <w:color w:val="auto"/>
        </w:rPr>
        <w:fldChar w:fldCharType="separate"/>
      </w:r>
      <w:r>
        <w:rPr>
          <w:rFonts w:hint="eastAsia" w:ascii="黑体" w:hAnsi="黑体" w:eastAsia="黑体"/>
          <w:color w:val="auto"/>
          <w:szCs w:val="28"/>
        </w:rPr>
        <w:t>一、谈判响应声明(格式)</w:t>
      </w:r>
      <w:r>
        <w:rPr>
          <w:color w:val="auto"/>
        </w:rPr>
        <w:tab/>
      </w:r>
      <w:r>
        <w:rPr>
          <w:color w:val="auto"/>
        </w:rPr>
        <w:fldChar w:fldCharType="begin"/>
      </w:r>
      <w:r>
        <w:rPr>
          <w:color w:val="auto"/>
        </w:rPr>
        <w:instrText xml:space="preserve"> PAGEREF _Toc7915 </w:instrText>
      </w:r>
      <w:r>
        <w:rPr>
          <w:color w:val="auto"/>
        </w:rPr>
        <w:fldChar w:fldCharType="separate"/>
      </w:r>
      <w:r>
        <w:rPr>
          <w:color w:val="auto"/>
        </w:rPr>
        <w:t>43</w:t>
      </w:r>
      <w:r>
        <w:rPr>
          <w:color w:val="auto"/>
        </w:rPr>
        <w:fldChar w:fldCharType="end"/>
      </w:r>
      <w:r>
        <w:rPr>
          <w:color w:val="auto"/>
        </w:rPr>
        <w:fldChar w:fldCharType="end"/>
      </w:r>
    </w:p>
    <w:p w14:paraId="36578CE3">
      <w:pPr>
        <w:pStyle w:val="34"/>
        <w:tabs>
          <w:tab w:val="right" w:leader="dot" w:pos="8844"/>
        </w:tabs>
        <w:rPr>
          <w:color w:val="auto"/>
        </w:rPr>
      </w:pPr>
      <w:r>
        <w:rPr>
          <w:color w:val="auto"/>
        </w:rPr>
        <w:fldChar w:fldCharType="begin"/>
      </w:r>
      <w:r>
        <w:rPr>
          <w:color w:val="auto"/>
        </w:rPr>
        <w:instrText xml:space="preserve"> HYPERLINK \l _Toc6417 </w:instrText>
      </w:r>
      <w:r>
        <w:rPr>
          <w:color w:val="auto"/>
        </w:rPr>
        <w:fldChar w:fldCharType="separate"/>
      </w:r>
      <w:r>
        <w:rPr>
          <w:rFonts w:hint="eastAsia" w:ascii="黑体" w:hAnsi="黑体" w:eastAsia="黑体"/>
          <w:color w:val="auto"/>
          <w:szCs w:val="28"/>
        </w:rPr>
        <w:t>二、法定代表人（单位负责人）身份证明(格式)</w:t>
      </w:r>
      <w:r>
        <w:rPr>
          <w:color w:val="auto"/>
        </w:rPr>
        <w:tab/>
      </w:r>
      <w:r>
        <w:rPr>
          <w:color w:val="auto"/>
        </w:rPr>
        <w:fldChar w:fldCharType="begin"/>
      </w:r>
      <w:r>
        <w:rPr>
          <w:color w:val="auto"/>
        </w:rPr>
        <w:instrText xml:space="preserve"> PAGEREF _Toc6417 </w:instrText>
      </w:r>
      <w:r>
        <w:rPr>
          <w:color w:val="auto"/>
        </w:rPr>
        <w:fldChar w:fldCharType="separate"/>
      </w:r>
      <w:r>
        <w:rPr>
          <w:color w:val="auto"/>
        </w:rPr>
        <w:t>44</w:t>
      </w:r>
      <w:r>
        <w:rPr>
          <w:color w:val="auto"/>
        </w:rPr>
        <w:fldChar w:fldCharType="end"/>
      </w:r>
      <w:r>
        <w:rPr>
          <w:color w:val="auto"/>
        </w:rPr>
        <w:fldChar w:fldCharType="end"/>
      </w:r>
    </w:p>
    <w:p w14:paraId="05D8B4D5">
      <w:pPr>
        <w:pStyle w:val="34"/>
        <w:tabs>
          <w:tab w:val="right" w:leader="dot" w:pos="8844"/>
        </w:tabs>
        <w:rPr>
          <w:color w:val="auto"/>
        </w:rPr>
      </w:pPr>
      <w:r>
        <w:rPr>
          <w:color w:val="auto"/>
        </w:rPr>
        <w:fldChar w:fldCharType="begin"/>
      </w:r>
      <w:r>
        <w:rPr>
          <w:color w:val="auto"/>
        </w:rPr>
        <w:instrText xml:space="preserve"> HYPERLINK \l _Toc5499 </w:instrText>
      </w:r>
      <w:r>
        <w:rPr>
          <w:color w:val="auto"/>
        </w:rPr>
        <w:fldChar w:fldCharType="separate"/>
      </w:r>
      <w:r>
        <w:rPr>
          <w:rFonts w:hint="eastAsia" w:ascii="黑体" w:hAnsi="黑体" w:eastAsia="黑体"/>
          <w:color w:val="auto"/>
          <w:szCs w:val="28"/>
        </w:rPr>
        <w:t>三、授权委托书(格式)</w:t>
      </w:r>
      <w:r>
        <w:rPr>
          <w:color w:val="auto"/>
        </w:rPr>
        <w:tab/>
      </w:r>
      <w:r>
        <w:rPr>
          <w:color w:val="auto"/>
        </w:rPr>
        <w:fldChar w:fldCharType="begin"/>
      </w:r>
      <w:r>
        <w:rPr>
          <w:color w:val="auto"/>
        </w:rPr>
        <w:instrText xml:space="preserve"> PAGEREF _Toc5499 </w:instrText>
      </w:r>
      <w:r>
        <w:rPr>
          <w:color w:val="auto"/>
        </w:rPr>
        <w:fldChar w:fldCharType="separate"/>
      </w:r>
      <w:r>
        <w:rPr>
          <w:color w:val="auto"/>
        </w:rPr>
        <w:t>45</w:t>
      </w:r>
      <w:r>
        <w:rPr>
          <w:color w:val="auto"/>
        </w:rPr>
        <w:fldChar w:fldCharType="end"/>
      </w:r>
      <w:r>
        <w:rPr>
          <w:color w:val="auto"/>
        </w:rPr>
        <w:fldChar w:fldCharType="end"/>
      </w:r>
    </w:p>
    <w:p w14:paraId="109A448B">
      <w:pPr>
        <w:pStyle w:val="34"/>
        <w:tabs>
          <w:tab w:val="right" w:leader="dot" w:pos="8844"/>
        </w:tabs>
        <w:rPr>
          <w:color w:val="auto"/>
        </w:rPr>
      </w:pPr>
      <w:r>
        <w:rPr>
          <w:color w:val="auto"/>
        </w:rPr>
        <w:fldChar w:fldCharType="begin"/>
      </w:r>
      <w:r>
        <w:rPr>
          <w:color w:val="auto"/>
        </w:rPr>
        <w:instrText xml:space="preserve"> HYPERLINK \l _Toc15705 </w:instrText>
      </w:r>
      <w:r>
        <w:rPr>
          <w:color w:val="auto"/>
        </w:rPr>
        <w:fldChar w:fldCharType="separate"/>
      </w:r>
      <w:r>
        <w:rPr>
          <w:rFonts w:hint="eastAsia" w:ascii="黑体" w:hAnsi="黑体" w:eastAsia="黑体"/>
          <w:color w:val="auto"/>
          <w:szCs w:val="28"/>
        </w:rPr>
        <w:t>四、保证金</w:t>
      </w:r>
      <w:r>
        <w:rPr>
          <w:color w:val="auto"/>
        </w:rPr>
        <w:tab/>
      </w:r>
      <w:r>
        <w:rPr>
          <w:color w:val="auto"/>
        </w:rPr>
        <w:fldChar w:fldCharType="begin"/>
      </w:r>
      <w:r>
        <w:rPr>
          <w:color w:val="auto"/>
        </w:rPr>
        <w:instrText xml:space="preserve"> PAGEREF _Toc15705 </w:instrText>
      </w:r>
      <w:r>
        <w:rPr>
          <w:color w:val="auto"/>
        </w:rPr>
        <w:fldChar w:fldCharType="separate"/>
      </w:r>
      <w:r>
        <w:rPr>
          <w:color w:val="auto"/>
        </w:rPr>
        <w:t>46</w:t>
      </w:r>
      <w:r>
        <w:rPr>
          <w:color w:val="auto"/>
        </w:rPr>
        <w:fldChar w:fldCharType="end"/>
      </w:r>
      <w:r>
        <w:rPr>
          <w:color w:val="auto"/>
        </w:rPr>
        <w:fldChar w:fldCharType="end"/>
      </w:r>
    </w:p>
    <w:p w14:paraId="7378B10C">
      <w:pPr>
        <w:pStyle w:val="34"/>
        <w:tabs>
          <w:tab w:val="right" w:leader="dot" w:pos="8844"/>
        </w:tabs>
        <w:rPr>
          <w:color w:val="auto"/>
        </w:rPr>
      </w:pPr>
      <w:r>
        <w:rPr>
          <w:color w:val="auto"/>
        </w:rPr>
        <w:fldChar w:fldCharType="begin"/>
      </w:r>
      <w:r>
        <w:rPr>
          <w:color w:val="auto"/>
        </w:rPr>
        <w:instrText xml:space="preserve"> HYPERLINK \l _Toc27073 </w:instrText>
      </w:r>
      <w:r>
        <w:rPr>
          <w:color w:val="auto"/>
        </w:rPr>
        <w:fldChar w:fldCharType="separate"/>
      </w:r>
      <w:r>
        <w:rPr>
          <w:rFonts w:hint="eastAsia" w:ascii="黑体" w:hAnsi="黑体" w:eastAsia="黑体"/>
          <w:color w:val="auto"/>
          <w:szCs w:val="28"/>
        </w:rPr>
        <w:t>五、报价表及报价文件(格式)</w:t>
      </w:r>
      <w:r>
        <w:rPr>
          <w:color w:val="auto"/>
        </w:rPr>
        <w:tab/>
      </w:r>
      <w:r>
        <w:rPr>
          <w:color w:val="auto"/>
        </w:rPr>
        <w:fldChar w:fldCharType="begin"/>
      </w:r>
      <w:r>
        <w:rPr>
          <w:color w:val="auto"/>
        </w:rPr>
        <w:instrText xml:space="preserve"> PAGEREF _Toc27073 </w:instrText>
      </w:r>
      <w:r>
        <w:rPr>
          <w:color w:val="auto"/>
        </w:rPr>
        <w:fldChar w:fldCharType="separate"/>
      </w:r>
      <w:r>
        <w:rPr>
          <w:color w:val="auto"/>
        </w:rPr>
        <w:t>47</w:t>
      </w:r>
      <w:r>
        <w:rPr>
          <w:color w:val="auto"/>
        </w:rPr>
        <w:fldChar w:fldCharType="end"/>
      </w:r>
      <w:r>
        <w:rPr>
          <w:color w:val="auto"/>
        </w:rPr>
        <w:fldChar w:fldCharType="end"/>
      </w:r>
    </w:p>
    <w:p w14:paraId="32C9FB50">
      <w:pPr>
        <w:pStyle w:val="21"/>
        <w:tabs>
          <w:tab w:val="right" w:leader="dot" w:pos="8844"/>
        </w:tabs>
        <w:rPr>
          <w:color w:val="auto"/>
        </w:rPr>
      </w:pPr>
      <w:r>
        <w:rPr>
          <w:color w:val="auto"/>
        </w:rPr>
        <w:fldChar w:fldCharType="begin"/>
      </w:r>
      <w:r>
        <w:rPr>
          <w:color w:val="auto"/>
        </w:rPr>
        <w:instrText xml:space="preserve"> HYPERLINK \l _Toc13768 </w:instrText>
      </w:r>
      <w:r>
        <w:rPr>
          <w:color w:val="auto"/>
        </w:rPr>
        <w:fldChar w:fldCharType="separate"/>
      </w:r>
      <w:r>
        <w:rPr>
          <w:rFonts w:hint="eastAsia" w:ascii="宋体" w:hAnsi="宋体"/>
          <w:color w:val="auto"/>
          <w:szCs w:val="21"/>
          <w:lang w:eastAsia="zh-CN"/>
        </w:rPr>
        <w:t>附</w:t>
      </w:r>
      <w:r>
        <w:rPr>
          <w:rFonts w:hint="eastAsia" w:ascii="宋体" w:hAnsi="宋体"/>
          <w:color w:val="auto"/>
          <w:szCs w:val="21"/>
        </w:rPr>
        <w:t>件5-1 报价表</w:t>
      </w:r>
      <w:r>
        <w:rPr>
          <w:color w:val="auto"/>
        </w:rPr>
        <w:tab/>
      </w:r>
      <w:r>
        <w:rPr>
          <w:color w:val="auto"/>
        </w:rPr>
        <w:fldChar w:fldCharType="begin"/>
      </w:r>
      <w:r>
        <w:rPr>
          <w:color w:val="auto"/>
        </w:rPr>
        <w:instrText xml:space="preserve"> PAGEREF _Toc13768 </w:instrText>
      </w:r>
      <w:r>
        <w:rPr>
          <w:color w:val="auto"/>
        </w:rPr>
        <w:fldChar w:fldCharType="separate"/>
      </w:r>
      <w:r>
        <w:rPr>
          <w:color w:val="auto"/>
        </w:rPr>
        <w:t>47</w:t>
      </w:r>
      <w:r>
        <w:rPr>
          <w:color w:val="auto"/>
        </w:rPr>
        <w:fldChar w:fldCharType="end"/>
      </w:r>
      <w:r>
        <w:rPr>
          <w:color w:val="auto"/>
        </w:rPr>
        <w:fldChar w:fldCharType="end"/>
      </w:r>
    </w:p>
    <w:p w14:paraId="014A84D3">
      <w:pPr>
        <w:pStyle w:val="34"/>
        <w:tabs>
          <w:tab w:val="right" w:leader="dot" w:pos="8844"/>
        </w:tabs>
        <w:rPr>
          <w:color w:val="auto"/>
        </w:rPr>
      </w:pPr>
      <w:r>
        <w:rPr>
          <w:color w:val="auto"/>
        </w:rPr>
        <w:fldChar w:fldCharType="begin"/>
      </w:r>
      <w:r>
        <w:rPr>
          <w:color w:val="auto"/>
        </w:rPr>
        <w:instrText xml:space="preserve"> HYPERLINK \l _Toc28142 </w:instrText>
      </w:r>
      <w:r>
        <w:rPr>
          <w:color w:val="auto"/>
        </w:rPr>
        <w:fldChar w:fldCharType="separate"/>
      </w:r>
      <w:r>
        <w:rPr>
          <w:rFonts w:hint="eastAsia" w:ascii="黑体" w:hAnsi="黑体" w:eastAsia="黑体"/>
          <w:color w:val="auto"/>
          <w:szCs w:val="28"/>
        </w:rPr>
        <w:t>六、采购需求的响应</w:t>
      </w:r>
      <w:r>
        <w:rPr>
          <w:color w:val="auto"/>
        </w:rPr>
        <w:tab/>
      </w:r>
      <w:r>
        <w:rPr>
          <w:color w:val="auto"/>
        </w:rPr>
        <w:fldChar w:fldCharType="begin"/>
      </w:r>
      <w:r>
        <w:rPr>
          <w:color w:val="auto"/>
        </w:rPr>
        <w:instrText xml:space="preserve"> PAGEREF _Toc28142 </w:instrText>
      </w:r>
      <w:r>
        <w:rPr>
          <w:color w:val="auto"/>
        </w:rPr>
        <w:fldChar w:fldCharType="separate"/>
      </w:r>
      <w:r>
        <w:rPr>
          <w:color w:val="auto"/>
        </w:rPr>
        <w:t>49</w:t>
      </w:r>
      <w:r>
        <w:rPr>
          <w:color w:val="auto"/>
        </w:rPr>
        <w:fldChar w:fldCharType="end"/>
      </w:r>
      <w:r>
        <w:rPr>
          <w:color w:val="auto"/>
        </w:rPr>
        <w:fldChar w:fldCharType="end"/>
      </w:r>
    </w:p>
    <w:p w14:paraId="0E3C753A">
      <w:pPr>
        <w:pStyle w:val="34"/>
        <w:tabs>
          <w:tab w:val="right" w:leader="dot" w:pos="8844"/>
        </w:tabs>
        <w:rPr>
          <w:color w:val="auto"/>
        </w:rPr>
      </w:pPr>
      <w:r>
        <w:rPr>
          <w:color w:val="auto"/>
        </w:rPr>
        <w:fldChar w:fldCharType="begin"/>
      </w:r>
      <w:r>
        <w:rPr>
          <w:color w:val="auto"/>
        </w:rPr>
        <w:instrText xml:space="preserve"> HYPERLINK \l _Toc18487 </w:instrText>
      </w:r>
      <w:r>
        <w:rPr>
          <w:color w:val="auto"/>
        </w:rPr>
        <w:fldChar w:fldCharType="separate"/>
      </w:r>
      <w:r>
        <w:rPr>
          <w:rFonts w:hint="eastAsia" w:ascii="黑体" w:hAnsi="黑体" w:eastAsia="黑体"/>
          <w:color w:val="auto"/>
          <w:szCs w:val="28"/>
        </w:rPr>
        <w:t>七、合同条款偏离表</w:t>
      </w:r>
      <w:r>
        <w:rPr>
          <w:color w:val="auto"/>
        </w:rPr>
        <w:tab/>
      </w:r>
      <w:r>
        <w:rPr>
          <w:color w:val="auto"/>
        </w:rPr>
        <w:fldChar w:fldCharType="begin"/>
      </w:r>
      <w:r>
        <w:rPr>
          <w:color w:val="auto"/>
        </w:rPr>
        <w:instrText xml:space="preserve"> PAGEREF _Toc18487 </w:instrText>
      </w:r>
      <w:r>
        <w:rPr>
          <w:color w:val="auto"/>
        </w:rPr>
        <w:fldChar w:fldCharType="separate"/>
      </w:r>
      <w:r>
        <w:rPr>
          <w:color w:val="auto"/>
        </w:rPr>
        <w:t>50</w:t>
      </w:r>
      <w:r>
        <w:rPr>
          <w:color w:val="auto"/>
        </w:rPr>
        <w:fldChar w:fldCharType="end"/>
      </w:r>
      <w:r>
        <w:rPr>
          <w:color w:val="auto"/>
        </w:rPr>
        <w:fldChar w:fldCharType="end"/>
      </w:r>
    </w:p>
    <w:p w14:paraId="2E9DC36E">
      <w:pPr>
        <w:pStyle w:val="34"/>
        <w:tabs>
          <w:tab w:val="right" w:leader="dot" w:pos="8844"/>
        </w:tabs>
        <w:rPr>
          <w:color w:val="auto"/>
        </w:rPr>
      </w:pPr>
      <w:r>
        <w:rPr>
          <w:color w:val="auto"/>
        </w:rPr>
        <w:fldChar w:fldCharType="begin"/>
      </w:r>
      <w:r>
        <w:rPr>
          <w:color w:val="auto"/>
        </w:rPr>
        <w:instrText xml:space="preserve"> HYPERLINK \l _Toc23775 </w:instrText>
      </w:r>
      <w:r>
        <w:rPr>
          <w:color w:val="auto"/>
        </w:rPr>
        <w:fldChar w:fldCharType="separate"/>
      </w:r>
      <w:r>
        <w:rPr>
          <w:rFonts w:hint="eastAsia" w:ascii="黑体" w:eastAsia="黑体"/>
          <w:color w:val="auto"/>
          <w:szCs w:val="28"/>
        </w:rPr>
        <w:t>八、采购需求偏离表</w:t>
      </w:r>
      <w:r>
        <w:rPr>
          <w:color w:val="auto"/>
        </w:rPr>
        <w:tab/>
      </w:r>
      <w:r>
        <w:rPr>
          <w:color w:val="auto"/>
        </w:rPr>
        <w:fldChar w:fldCharType="begin"/>
      </w:r>
      <w:r>
        <w:rPr>
          <w:color w:val="auto"/>
        </w:rPr>
        <w:instrText xml:space="preserve"> PAGEREF _Toc23775 </w:instrText>
      </w:r>
      <w:r>
        <w:rPr>
          <w:color w:val="auto"/>
        </w:rPr>
        <w:fldChar w:fldCharType="separate"/>
      </w:r>
      <w:r>
        <w:rPr>
          <w:color w:val="auto"/>
        </w:rPr>
        <w:t>51</w:t>
      </w:r>
      <w:r>
        <w:rPr>
          <w:color w:val="auto"/>
        </w:rPr>
        <w:fldChar w:fldCharType="end"/>
      </w:r>
      <w:r>
        <w:rPr>
          <w:color w:val="auto"/>
        </w:rPr>
        <w:fldChar w:fldCharType="end"/>
      </w:r>
    </w:p>
    <w:p w14:paraId="08765B51">
      <w:pPr>
        <w:pStyle w:val="34"/>
        <w:tabs>
          <w:tab w:val="right" w:leader="dot" w:pos="8844"/>
        </w:tabs>
        <w:rPr>
          <w:color w:val="auto"/>
        </w:rPr>
      </w:pPr>
      <w:r>
        <w:rPr>
          <w:color w:val="auto"/>
        </w:rPr>
        <w:fldChar w:fldCharType="begin"/>
      </w:r>
      <w:r>
        <w:rPr>
          <w:color w:val="auto"/>
        </w:rPr>
        <w:instrText xml:space="preserve"> HYPERLINK \l _Toc23888 </w:instrText>
      </w:r>
      <w:r>
        <w:rPr>
          <w:color w:val="auto"/>
        </w:rPr>
        <w:fldChar w:fldCharType="separate"/>
      </w:r>
      <w:r>
        <w:rPr>
          <w:rFonts w:hint="eastAsia" w:ascii="黑体" w:hAnsi="黑体" w:eastAsia="黑体"/>
          <w:color w:val="auto"/>
          <w:szCs w:val="28"/>
        </w:rPr>
        <w:t>九、享受政府采购政策优惠的证明资料</w:t>
      </w:r>
      <w:r>
        <w:rPr>
          <w:color w:val="auto"/>
        </w:rPr>
        <w:tab/>
      </w:r>
      <w:r>
        <w:rPr>
          <w:color w:val="auto"/>
        </w:rPr>
        <w:fldChar w:fldCharType="begin"/>
      </w:r>
      <w:r>
        <w:rPr>
          <w:color w:val="auto"/>
        </w:rPr>
        <w:instrText xml:space="preserve"> PAGEREF _Toc23888 </w:instrText>
      </w:r>
      <w:r>
        <w:rPr>
          <w:color w:val="auto"/>
        </w:rPr>
        <w:fldChar w:fldCharType="separate"/>
      </w:r>
      <w:r>
        <w:rPr>
          <w:color w:val="auto"/>
        </w:rPr>
        <w:t>52</w:t>
      </w:r>
      <w:r>
        <w:rPr>
          <w:color w:val="auto"/>
        </w:rPr>
        <w:fldChar w:fldCharType="end"/>
      </w:r>
      <w:r>
        <w:rPr>
          <w:color w:val="auto"/>
        </w:rPr>
        <w:fldChar w:fldCharType="end"/>
      </w:r>
    </w:p>
    <w:p w14:paraId="37D0BB7A">
      <w:pPr>
        <w:pStyle w:val="21"/>
        <w:tabs>
          <w:tab w:val="right" w:leader="dot" w:pos="8844"/>
        </w:tabs>
        <w:rPr>
          <w:color w:val="auto"/>
        </w:rPr>
      </w:pPr>
      <w:r>
        <w:rPr>
          <w:color w:val="auto"/>
        </w:rPr>
        <w:fldChar w:fldCharType="begin"/>
      </w:r>
      <w:r>
        <w:rPr>
          <w:color w:val="auto"/>
        </w:rPr>
        <w:instrText xml:space="preserve"> HYPERLINK \l _Toc29998 </w:instrText>
      </w:r>
      <w:r>
        <w:rPr>
          <w:color w:val="auto"/>
        </w:rPr>
        <w:fldChar w:fldCharType="separate"/>
      </w:r>
      <w:r>
        <w:rPr>
          <w:rFonts w:hint="eastAsia" w:ascii="宋体" w:hAnsi="宋体"/>
          <w:color w:val="auto"/>
          <w:szCs w:val="21"/>
        </w:rPr>
        <w:t>附件9-1小型、微型企业声明函</w:t>
      </w:r>
      <w:r>
        <w:rPr>
          <w:color w:val="auto"/>
        </w:rPr>
        <w:tab/>
      </w:r>
      <w:r>
        <w:rPr>
          <w:color w:val="auto"/>
        </w:rPr>
        <w:fldChar w:fldCharType="begin"/>
      </w:r>
      <w:r>
        <w:rPr>
          <w:color w:val="auto"/>
        </w:rPr>
        <w:instrText xml:space="preserve"> PAGEREF _Toc29998 </w:instrText>
      </w:r>
      <w:r>
        <w:rPr>
          <w:color w:val="auto"/>
        </w:rPr>
        <w:fldChar w:fldCharType="separate"/>
      </w:r>
      <w:r>
        <w:rPr>
          <w:color w:val="auto"/>
        </w:rPr>
        <w:t>52</w:t>
      </w:r>
      <w:r>
        <w:rPr>
          <w:color w:val="auto"/>
        </w:rPr>
        <w:fldChar w:fldCharType="end"/>
      </w:r>
      <w:r>
        <w:rPr>
          <w:color w:val="auto"/>
        </w:rPr>
        <w:fldChar w:fldCharType="end"/>
      </w:r>
    </w:p>
    <w:p w14:paraId="4B2B5F3A">
      <w:pPr>
        <w:pStyle w:val="21"/>
        <w:tabs>
          <w:tab w:val="right" w:leader="dot" w:pos="8844"/>
        </w:tabs>
        <w:rPr>
          <w:color w:val="auto"/>
        </w:rPr>
      </w:pPr>
      <w:r>
        <w:rPr>
          <w:color w:val="auto"/>
        </w:rPr>
        <w:fldChar w:fldCharType="begin"/>
      </w:r>
      <w:r>
        <w:rPr>
          <w:color w:val="auto"/>
        </w:rPr>
        <w:instrText xml:space="preserve"> HYPERLINK \l _Toc9393 </w:instrText>
      </w:r>
      <w:r>
        <w:rPr>
          <w:color w:val="auto"/>
        </w:rPr>
        <w:fldChar w:fldCharType="separate"/>
      </w:r>
      <w:r>
        <w:rPr>
          <w:rFonts w:hint="eastAsia" w:ascii="宋体" w:hAnsi="宋体" w:cs="宋体"/>
          <w:color w:val="auto"/>
          <w:spacing w:val="6"/>
          <w:kern w:val="0"/>
        </w:rPr>
        <w:t xml:space="preserve">附件9-2 </w:t>
      </w:r>
      <w:r>
        <w:rPr>
          <w:rFonts w:hint="eastAsia" w:ascii="宋体" w:hAnsi="宋体"/>
          <w:color w:val="auto"/>
          <w:spacing w:val="6"/>
        </w:rPr>
        <w:t>残疾人福利性单位声明函</w:t>
      </w:r>
      <w:r>
        <w:rPr>
          <w:color w:val="auto"/>
        </w:rPr>
        <w:tab/>
      </w:r>
      <w:r>
        <w:rPr>
          <w:color w:val="auto"/>
        </w:rPr>
        <w:fldChar w:fldCharType="begin"/>
      </w:r>
      <w:r>
        <w:rPr>
          <w:color w:val="auto"/>
        </w:rPr>
        <w:instrText xml:space="preserve"> PAGEREF _Toc9393 </w:instrText>
      </w:r>
      <w:r>
        <w:rPr>
          <w:color w:val="auto"/>
        </w:rPr>
        <w:fldChar w:fldCharType="separate"/>
      </w:r>
      <w:r>
        <w:rPr>
          <w:color w:val="auto"/>
        </w:rPr>
        <w:t>54</w:t>
      </w:r>
      <w:r>
        <w:rPr>
          <w:color w:val="auto"/>
        </w:rPr>
        <w:fldChar w:fldCharType="end"/>
      </w:r>
      <w:r>
        <w:rPr>
          <w:color w:val="auto"/>
        </w:rPr>
        <w:fldChar w:fldCharType="end"/>
      </w:r>
    </w:p>
    <w:p w14:paraId="14ED23B2">
      <w:pPr>
        <w:pStyle w:val="21"/>
        <w:tabs>
          <w:tab w:val="right" w:leader="dot" w:pos="8844"/>
        </w:tabs>
        <w:rPr>
          <w:color w:val="auto"/>
        </w:rPr>
      </w:pPr>
      <w:r>
        <w:rPr>
          <w:color w:val="auto"/>
        </w:rPr>
        <w:fldChar w:fldCharType="begin"/>
      </w:r>
      <w:r>
        <w:rPr>
          <w:color w:val="auto"/>
        </w:rPr>
        <w:instrText xml:space="preserve"> HYPERLINK \l _Toc10434 </w:instrText>
      </w:r>
      <w:r>
        <w:rPr>
          <w:color w:val="auto"/>
        </w:rPr>
        <w:fldChar w:fldCharType="separate"/>
      </w:r>
      <w:r>
        <w:rPr>
          <w:rFonts w:hint="eastAsia" w:ascii="宋体" w:hAnsi="宋体" w:cs="宋体"/>
          <w:color w:val="auto"/>
          <w:kern w:val="0"/>
          <w:szCs w:val="21"/>
        </w:rPr>
        <w:t xml:space="preserve">附件9-3 </w:t>
      </w:r>
      <w:r>
        <w:rPr>
          <w:rFonts w:hint="eastAsia" w:ascii="宋体" w:hAnsi="宋体"/>
          <w:color w:val="auto"/>
          <w:szCs w:val="21"/>
        </w:rPr>
        <w:t>监狱企业证明资料</w:t>
      </w:r>
      <w:r>
        <w:rPr>
          <w:color w:val="auto"/>
        </w:rPr>
        <w:tab/>
      </w:r>
      <w:r>
        <w:rPr>
          <w:color w:val="auto"/>
        </w:rPr>
        <w:fldChar w:fldCharType="begin"/>
      </w:r>
      <w:r>
        <w:rPr>
          <w:color w:val="auto"/>
        </w:rPr>
        <w:instrText xml:space="preserve"> PAGEREF _Toc10434 </w:instrText>
      </w:r>
      <w:r>
        <w:rPr>
          <w:color w:val="auto"/>
        </w:rPr>
        <w:fldChar w:fldCharType="separate"/>
      </w:r>
      <w:r>
        <w:rPr>
          <w:color w:val="auto"/>
        </w:rPr>
        <w:t>55</w:t>
      </w:r>
      <w:r>
        <w:rPr>
          <w:color w:val="auto"/>
        </w:rPr>
        <w:fldChar w:fldCharType="end"/>
      </w:r>
      <w:r>
        <w:rPr>
          <w:color w:val="auto"/>
        </w:rPr>
        <w:fldChar w:fldCharType="end"/>
      </w:r>
    </w:p>
    <w:p w14:paraId="7EAB4525">
      <w:pPr>
        <w:pStyle w:val="21"/>
        <w:tabs>
          <w:tab w:val="right" w:leader="dot" w:pos="8844"/>
        </w:tabs>
        <w:rPr>
          <w:color w:val="auto"/>
        </w:rPr>
      </w:pPr>
      <w:r>
        <w:rPr>
          <w:color w:val="auto"/>
        </w:rPr>
        <w:fldChar w:fldCharType="begin"/>
      </w:r>
      <w:r>
        <w:rPr>
          <w:color w:val="auto"/>
        </w:rPr>
        <w:instrText xml:space="preserve"> HYPERLINK \l _Toc15605 </w:instrText>
      </w:r>
      <w:r>
        <w:rPr>
          <w:color w:val="auto"/>
        </w:rPr>
        <w:fldChar w:fldCharType="separate"/>
      </w:r>
      <w:r>
        <w:rPr>
          <w:rFonts w:hint="eastAsia" w:ascii="宋体" w:hAnsi="宋体" w:cs="宋体"/>
          <w:color w:val="auto"/>
          <w:spacing w:val="6"/>
          <w:kern w:val="0"/>
          <w:szCs w:val="21"/>
        </w:rPr>
        <w:t xml:space="preserve">附件9-4 </w:t>
      </w:r>
      <w:r>
        <w:rPr>
          <w:rFonts w:hint="eastAsia" w:ascii="宋体" w:hAnsi="宋体"/>
          <w:color w:val="auto"/>
          <w:szCs w:val="21"/>
        </w:rPr>
        <w:t>强制采购或者优先采购产品的证明材料</w:t>
      </w:r>
      <w:r>
        <w:rPr>
          <w:color w:val="auto"/>
        </w:rPr>
        <w:tab/>
      </w:r>
      <w:r>
        <w:rPr>
          <w:color w:val="auto"/>
        </w:rPr>
        <w:fldChar w:fldCharType="begin"/>
      </w:r>
      <w:r>
        <w:rPr>
          <w:color w:val="auto"/>
        </w:rPr>
        <w:instrText xml:space="preserve"> PAGEREF _Toc15605 </w:instrText>
      </w:r>
      <w:r>
        <w:rPr>
          <w:color w:val="auto"/>
        </w:rPr>
        <w:fldChar w:fldCharType="separate"/>
      </w:r>
      <w:r>
        <w:rPr>
          <w:color w:val="auto"/>
        </w:rPr>
        <w:t>56</w:t>
      </w:r>
      <w:r>
        <w:rPr>
          <w:color w:val="auto"/>
        </w:rPr>
        <w:fldChar w:fldCharType="end"/>
      </w:r>
      <w:r>
        <w:rPr>
          <w:color w:val="auto"/>
        </w:rPr>
        <w:fldChar w:fldCharType="end"/>
      </w:r>
    </w:p>
    <w:p w14:paraId="293C93DB">
      <w:pPr>
        <w:pStyle w:val="34"/>
        <w:tabs>
          <w:tab w:val="right" w:leader="dot" w:pos="8844"/>
        </w:tabs>
        <w:rPr>
          <w:color w:val="auto"/>
        </w:rPr>
      </w:pPr>
      <w:r>
        <w:rPr>
          <w:color w:val="auto"/>
        </w:rPr>
        <w:fldChar w:fldCharType="begin"/>
      </w:r>
      <w:r>
        <w:rPr>
          <w:color w:val="auto"/>
        </w:rPr>
        <w:instrText xml:space="preserve"> HYPERLINK \l _Toc22167 </w:instrText>
      </w:r>
      <w:r>
        <w:rPr>
          <w:color w:val="auto"/>
        </w:rPr>
        <w:fldChar w:fldCharType="separate"/>
      </w:r>
      <w:r>
        <w:rPr>
          <w:rFonts w:hint="eastAsia" w:ascii="黑体" w:hAnsi="黑体" w:eastAsia="黑体"/>
          <w:color w:val="auto"/>
          <w:szCs w:val="28"/>
        </w:rPr>
        <w:t>十、关于资格的说明(格式)</w:t>
      </w:r>
      <w:r>
        <w:rPr>
          <w:color w:val="auto"/>
        </w:rPr>
        <w:tab/>
      </w:r>
      <w:r>
        <w:rPr>
          <w:color w:val="auto"/>
        </w:rPr>
        <w:fldChar w:fldCharType="begin"/>
      </w:r>
      <w:r>
        <w:rPr>
          <w:color w:val="auto"/>
        </w:rPr>
        <w:instrText xml:space="preserve"> PAGEREF _Toc22167 </w:instrText>
      </w:r>
      <w:r>
        <w:rPr>
          <w:color w:val="auto"/>
        </w:rPr>
        <w:fldChar w:fldCharType="separate"/>
      </w:r>
      <w:r>
        <w:rPr>
          <w:color w:val="auto"/>
        </w:rPr>
        <w:t>58</w:t>
      </w:r>
      <w:r>
        <w:rPr>
          <w:color w:val="auto"/>
        </w:rPr>
        <w:fldChar w:fldCharType="end"/>
      </w:r>
      <w:r>
        <w:rPr>
          <w:color w:val="auto"/>
        </w:rPr>
        <w:fldChar w:fldCharType="end"/>
      </w:r>
    </w:p>
    <w:p w14:paraId="41608887">
      <w:pPr>
        <w:pStyle w:val="34"/>
        <w:tabs>
          <w:tab w:val="right" w:leader="dot" w:pos="8844"/>
        </w:tabs>
        <w:rPr>
          <w:color w:val="auto"/>
        </w:rPr>
      </w:pPr>
      <w:r>
        <w:rPr>
          <w:color w:val="auto"/>
        </w:rPr>
        <w:fldChar w:fldCharType="begin"/>
      </w:r>
      <w:r>
        <w:rPr>
          <w:color w:val="auto"/>
        </w:rPr>
        <w:instrText xml:space="preserve"> HYPERLINK \l _Toc8370 </w:instrText>
      </w:r>
      <w:r>
        <w:rPr>
          <w:color w:val="auto"/>
        </w:rPr>
        <w:fldChar w:fldCharType="separate"/>
      </w:r>
      <w:r>
        <w:rPr>
          <w:rFonts w:hint="eastAsia" w:ascii="黑体" w:hAnsi="黑体" w:eastAsia="黑体"/>
          <w:color w:val="auto"/>
          <w:szCs w:val="28"/>
        </w:rPr>
        <w:t>十一、供应商认为需提供的其他资料</w:t>
      </w:r>
      <w:r>
        <w:rPr>
          <w:color w:val="auto"/>
        </w:rPr>
        <w:tab/>
      </w:r>
      <w:r>
        <w:rPr>
          <w:color w:val="auto"/>
        </w:rPr>
        <w:fldChar w:fldCharType="begin"/>
      </w:r>
      <w:r>
        <w:rPr>
          <w:color w:val="auto"/>
        </w:rPr>
        <w:instrText xml:space="preserve"> PAGEREF _Toc8370 </w:instrText>
      </w:r>
      <w:r>
        <w:rPr>
          <w:color w:val="auto"/>
        </w:rPr>
        <w:fldChar w:fldCharType="separate"/>
      </w:r>
      <w:r>
        <w:rPr>
          <w:color w:val="auto"/>
        </w:rPr>
        <w:t>59</w:t>
      </w:r>
      <w:r>
        <w:rPr>
          <w:color w:val="auto"/>
        </w:rPr>
        <w:fldChar w:fldCharType="end"/>
      </w:r>
      <w:r>
        <w:rPr>
          <w:color w:val="auto"/>
        </w:rPr>
        <w:fldChar w:fldCharType="end"/>
      </w:r>
    </w:p>
    <w:p w14:paraId="09C76277">
      <w:pPr>
        <w:pStyle w:val="34"/>
        <w:tabs>
          <w:tab w:val="right" w:leader="dot" w:pos="8844"/>
        </w:tabs>
        <w:rPr>
          <w:color w:val="auto"/>
        </w:rPr>
      </w:pPr>
      <w:r>
        <w:rPr>
          <w:color w:val="auto"/>
        </w:rPr>
        <w:fldChar w:fldCharType="begin"/>
      </w:r>
      <w:r>
        <w:rPr>
          <w:color w:val="auto"/>
        </w:rPr>
        <w:instrText xml:space="preserve"> HYPERLINK \l _Toc24281 </w:instrText>
      </w:r>
      <w:r>
        <w:rPr>
          <w:color w:val="auto"/>
        </w:rPr>
        <w:fldChar w:fldCharType="separate"/>
      </w:r>
      <w:r>
        <w:rPr>
          <w:rFonts w:hint="eastAsia" w:ascii="黑体" w:hAnsi="黑体" w:eastAsia="黑体" w:cs="黑体"/>
          <w:color w:val="auto"/>
          <w:szCs w:val="36"/>
          <w:lang w:val="en-US" w:eastAsia="zh-CN"/>
        </w:rPr>
        <w:t>十二、最后报价</w:t>
      </w:r>
      <w:r>
        <w:rPr>
          <w:color w:val="auto"/>
        </w:rPr>
        <w:tab/>
      </w:r>
      <w:r>
        <w:rPr>
          <w:color w:val="auto"/>
        </w:rPr>
        <w:fldChar w:fldCharType="begin"/>
      </w:r>
      <w:r>
        <w:rPr>
          <w:color w:val="auto"/>
        </w:rPr>
        <w:instrText xml:space="preserve"> PAGEREF _Toc24281 </w:instrText>
      </w:r>
      <w:r>
        <w:rPr>
          <w:color w:val="auto"/>
        </w:rPr>
        <w:fldChar w:fldCharType="separate"/>
      </w:r>
      <w:r>
        <w:rPr>
          <w:color w:val="auto"/>
        </w:rPr>
        <w:t>61</w:t>
      </w:r>
      <w:r>
        <w:rPr>
          <w:color w:val="auto"/>
        </w:rPr>
        <w:fldChar w:fldCharType="end"/>
      </w:r>
      <w:r>
        <w:rPr>
          <w:color w:val="auto"/>
        </w:rPr>
        <w:fldChar w:fldCharType="end"/>
      </w:r>
    </w:p>
    <w:p w14:paraId="326FCC63">
      <w:pPr>
        <w:bidi w:val="0"/>
        <w:rPr>
          <w:rFonts w:hint="eastAsia" w:eastAsia="宋体"/>
          <w:color w:val="auto"/>
          <w:lang w:eastAsia="zh-CN"/>
        </w:rPr>
      </w:pPr>
      <w:r>
        <w:rPr>
          <w:color w:val="auto"/>
        </w:rPr>
        <w:fldChar w:fldCharType="end"/>
      </w:r>
    </w:p>
    <w:p w14:paraId="2BC0DF75">
      <w:pPr>
        <w:pStyle w:val="2"/>
        <w:adjustRightInd w:val="0"/>
        <w:snapToGrid w:val="0"/>
        <w:spacing w:before="156" w:beforeLines="50" w:line="360" w:lineRule="auto"/>
        <w:rPr>
          <w:rFonts w:ascii="黑体" w:hAnsi="黑体" w:eastAsia="黑体"/>
          <w:color w:val="auto"/>
          <w:sz w:val="32"/>
          <w:szCs w:val="32"/>
        </w:rPr>
      </w:pPr>
      <w:r>
        <w:rPr>
          <w:rFonts w:hAnsi="宋体"/>
          <w:color w:val="auto"/>
          <w:szCs w:val="24"/>
        </w:rPr>
        <w:br w:type="page"/>
      </w:r>
      <w:bookmarkStart w:id="0" w:name="_Toc7297"/>
      <w:r>
        <w:rPr>
          <w:rFonts w:hint="eastAsia" w:ascii="黑体" w:hAnsi="黑体" w:eastAsia="黑体"/>
          <w:color w:val="auto"/>
          <w:sz w:val="32"/>
          <w:szCs w:val="32"/>
        </w:rPr>
        <w:t>第一章 谈判邀请</w:t>
      </w:r>
      <w:bookmarkEnd w:id="0"/>
    </w:p>
    <w:p w14:paraId="1383F439">
      <w:pPr>
        <w:bidi w:val="0"/>
        <w:rPr>
          <w:color w:val="auto"/>
        </w:rPr>
      </w:pPr>
    </w:p>
    <w:p w14:paraId="496DC15F">
      <w:pPr>
        <w:pageBreakBefore w:val="0"/>
        <w:kinsoku/>
        <w:wordWrap/>
        <w:overflowPunct/>
        <w:topLinePunct w:val="0"/>
        <w:bidi w:val="0"/>
        <w:adjustRightInd w:val="0"/>
        <w:snapToGrid w:val="0"/>
        <w:spacing w:before="156" w:beforeLines="50" w:line="240" w:lineRule="auto"/>
        <w:textAlignment w:val="auto"/>
        <w:rPr>
          <w:rFonts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u w:val="single"/>
          <w:lang w:val="en-US" w:eastAsia="zh-CN"/>
        </w:rPr>
        <w:t>xxxxx</w:t>
      </w:r>
      <w:r>
        <w:rPr>
          <w:rFonts w:hint="eastAsia" w:ascii="宋体" w:hAnsi="宋体"/>
          <w:color w:val="auto"/>
          <w:szCs w:val="21"/>
          <w:u w:val="single"/>
        </w:rPr>
        <w:t xml:space="preserve">          </w:t>
      </w:r>
      <w:r>
        <w:rPr>
          <w:rFonts w:hint="eastAsia" w:ascii="宋体" w:hAnsi="宋体"/>
          <w:color w:val="auto"/>
          <w:szCs w:val="21"/>
        </w:rPr>
        <w:t>(被邀请供应商名称)：</w:t>
      </w:r>
    </w:p>
    <w:p w14:paraId="5EEA3BA0">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 w:val="21"/>
          <w:szCs w:val="21"/>
        </w:rPr>
      </w:pPr>
      <w:r>
        <w:rPr>
          <w:rFonts w:hint="eastAsia" w:ascii="宋体" w:hAnsi="宋体" w:cs="宋体"/>
          <w:b w:val="0"/>
          <w:bCs/>
          <w:color w:val="auto"/>
          <w:sz w:val="21"/>
          <w:szCs w:val="21"/>
          <w:u w:val="single"/>
          <w:lang w:eastAsia="zh-CN"/>
        </w:rPr>
        <w:t>湖南省津市监狱</w:t>
      </w:r>
      <w:r>
        <w:rPr>
          <w:rFonts w:hint="eastAsia" w:ascii="宋体" w:hAnsi="宋体"/>
          <w:color w:val="auto"/>
          <w:sz w:val="21"/>
          <w:szCs w:val="21"/>
        </w:rPr>
        <w:t>（采购人名称）的</w:t>
      </w:r>
      <w:r>
        <w:rPr>
          <w:rFonts w:hint="eastAsia" w:ascii="宋体" w:hAnsi="宋体" w:cs="宋体"/>
          <w:b w:val="0"/>
          <w:bCs/>
          <w:color w:val="auto"/>
          <w:sz w:val="21"/>
          <w:szCs w:val="21"/>
          <w:u w:val="single"/>
          <w:lang w:eastAsia="zh-CN"/>
        </w:rPr>
        <w:t>津市监狱第一押犯点及罪犯总医院周界报警系统采购</w:t>
      </w:r>
      <w:r>
        <w:rPr>
          <w:rFonts w:hint="eastAsia" w:ascii="宋体" w:hAnsi="宋体"/>
          <w:color w:val="auto"/>
          <w:sz w:val="21"/>
          <w:szCs w:val="21"/>
        </w:rPr>
        <w:t>(项目名称)进行竞争性谈判采购，邀请你单位参加谈判采购活动。</w:t>
      </w:r>
    </w:p>
    <w:p w14:paraId="4C79FA91">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bookmarkStart w:id="1" w:name="_Toc18799"/>
      <w:bookmarkStart w:id="2" w:name="_Toc22201055"/>
      <w:r>
        <w:rPr>
          <w:rFonts w:hint="eastAsia" w:ascii="黑体" w:hAnsi="黑体" w:eastAsia="黑体"/>
          <w:color w:val="auto"/>
        </w:rPr>
        <w:t>一、采购项目名称、编号</w:t>
      </w:r>
      <w:bookmarkEnd w:id="1"/>
      <w:bookmarkEnd w:id="2"/>
    </w:p>
    <w:p w14:paraId="6AE1AF28">
      <w:pPr>
        <w:pageBreakBefore w:val="0"/>
        <w:kinsoku/>
        <w:wordWrap/>
        <w:overflowPunct/>
        <w:topLinePunct w:val="0"/>
        <w:bidi w:val="0"/>
        <w:adjustRightInd w:val="0"/>
        <w:snapToGrid w:val="0"/>
        <w:spacing w:line="240" w:lineRule="auto"/>
        <w:ind w:firstLine="420" w:firstLineChars="200"/>
        <w:textAlignment w:val="auto"/>
        <w:rPr>
          <w:rFonts w:ascii="宋体" w:hAnsi="宋体"/>
          <w:color w:val="auto"/>
          <w:szCs w:val="21"/>
        </w:rPr>
      </w:pPr>
      <w:r>
        <w:rPr>
          <w:rFonts w:hint="eastAsia" w:ascii="宋体" w:hAnsi="宋体"/>
          <w:color w:val="auto"/>
          <w:szCs w:val="21"/>
        </w:rPr>
        <w:t>1、采购项目名称：</w:t>
      </w:r>
      <w:r>
        <w:rPr>
          <w:rFonts w:hint="eastAsia" w:ascii="宋体" w:hAnsi="宋体" w:cs="宋体"/>
          <w:b w:val="0"/>
          <w:bCs/>
          <w:color w:val="auto"/>
          <w:sz w:val="21"/>
          <w:szCs w:val="21"/>
          <w:u w:val="single"/>
          <w:lang w:eastAsia="zh-CN"/>
        </w:rPr>
        <w:t>津市监狱第一押犯点及罪犯总医院周界报警系统采购</w:t>
      </w:r>
      <w:r>
        <w:rPr>
          <w:rFonts w:hint="eastAsia" w:ascii="宋体" w:hAnsi="宋体"/>
          <w:color w:val="auto"/>
          <w:szCs w:val="21"/>
        </w:rPr>
        <w:t xml:space="preserve">   </w:t>
      </w:r>
    </w:p>
    <w:p w14:paraId="54889530">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i/>
          <w:color w:val="auto"/>
          <w:szCs w:val="21"/>
        </w:rPr>
      </w:pPr>
      <w:r>
        <w:rPr>
          <w:rFonts w:hint="eastAsia" w:ascii="宋体" w:hAnsi="宋体"/>
          <w:color w:val="auto"/>
          <w:szCs w:val="21"/>
          <w:lang w:val="en-US" w:eastAsia="zh-CN"/>
        </w:rPr>
        <w:t>2</w:t>
      </w:r>
      <w:r>
        <w:rPr>
          <w:rFonts w:hint="eastAsia" w:ascii="宋体" w:hAnsi="宋体"/>
          <w:color w:val="auto"/>
          <w:szCs w:val="21"/>
        </w:rPr>
        <w:t>、</w:t>
      </w:r>
      <w:r>
        <w:rPr>
          <w:rFonts w:hint="eastAsia" w:ascii="宋体" w:hAnsi="宋体"/>
          <w:color w:val="auto"/>
          <w:szCs w:val="21"/>
          <w:lang w:eastAsia="zh-CN"/>
        </w:rPr>
        <w:t>委托代理编号</w:t>
      </w:r>
      <w:r>
        <w:rPr>
          <w:rFonts w:hint="eastAsia" w:ascii="宋体" w:hAnsi="宋体"/>
          <w:color w:val="auto"/>
          <w:szCs w:val="21"/>
        </w:rPr>
        <w:t>：</w:t>
      </w:r>
      <w:r>
        <w:rPr>
          <w:rFonts w:hint="eastAsia" w:ascii="宋体" w:hAnsi="宋体" w:cs="宋体"/>
          <w:b w:val="0"/>
          <w:bCs/>
          <w:color w:val="auto"/>
          <w:sz w:val="21"/>
          <w:szCs w:val="21"/>
          <w:u w:val="single"/>
          <w:lang w:eastAsia="zh-CN"/>
        </w:rPr>
        <w:t>CDZYZB2026-J-10</w:t>
      </w:r>
      <w:r>
        <w:rPr>
          <w:rFonts w:hint="eastAsia" w:ascii="宋体" w:hAnsi="宋体"/>
          <w:color w:val="auto"/>
          <w:szCs w:val="21"/>
        </w:rPr>
        <w:t xml:space="preserve">    </w:t>
      </w:r>
    </w:p>
    <w:p w14:paraId="6B5AB447">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bookmarkStart w:id="3" w:name="_Toc22201056"/>
      <w:bookmarkStart w:id="4" w:name="_Toc3634"/>
      <w:r>
        <w:rPr>
          <w:rFonts w:hint="eastAsia" w:ascii="黑体" w:hAnsi="黑体" w:eastAsia="黑体"/>
          <w:color w:val="auto"/>
        </w:rPr>
        <w:t>二、采购人的采购需求</w:t>
      </w:r>
      <w:bookmarkEnd w:id="3"/>
      <w:bookmarkEnd w:id="4"/>
    </w:p>
    <w:tbl>
      <w:tblPr>
        <w:tblStyle w:val="44"/>
        <w:tblW w:w="8363" w:type="dxa"/>
        <w:tblInd w:w="534"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459"/>
        <w:gridCol w:w="1830"/>
        <w:gridCol w:w="1534"/>
        <w:gridCol w:w="916"/>
        <w:gridCol w:w="2050"/>
        <w:gridCol w:w="1574"/>
      </w:tblGrid>
      <w:tr w14:paraId="14695D5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459" w:type="dxa"/>
            <w:tcBorders>
              <w:right w:val="single" w:color="auto" w:sz="4" w:space="0"/>
            </w:tcBorders>
            <w:shd w:val="clear" w:color="auto" w:fill="auto"/>
            <w:vAlign w:val="center"/>
          </w:tcPr>
          <w:p w14:paraId="04E830F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Cs w:val="21"/>
              </w:rPr>
            </w:pPr>
            <w:r>
              <w:rPr>
                <w:rFonts w:hint="eastAsia" w:ascii="宋体" w:hAnsi="宋体" w:cs="宋体"/>
                <w:color w:val="auto"/>
                <w:kern w:val="0"/>
                <w:szCs w:val="21"/>
              </w:rPr>
              <w:t>序号</w:t>
            </w:r>
          </w:p>
        </w:tc>
        <w:tc>
          <w:tcPr>
            <w:tcW w:w="1830" w:type="dxa"/>
            <w:tcBorders>
              <w:left w:val="single" w:color="auto" w:sz="4" w:space="0"/>
            </w:tcBorders>
            <w:shd w:val="clear" w:color="auto" w:fill="auto"/>
            <w:vAlign w:val="center"/>
          </w:tcPr>
          <w:p w14:paraId="598E6EB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Cs w:val="21"/>
              </w:rPr>
            </w:pPr>
            <w:r>
              <w:rPr>
                <w:rFonts w:hint="eastAsia" w:ascii="宋体" w:hAnsi="宋体"/>
                <w:color w:val="auto"/>
                <w:kern w:val="0"/>
              </w:rPr>
              <w:t>包名称</w:t>
            </w:r>
          </w:p>
        </w:tc>
        <w:tc>
          <w:tcPr>
            <w:tcW w:w="1534" w:type="dxa"/>
            <w:tcBorders>
              <w:right w:val="single" w:color="auto" w:sz="4" w:space="0"/>
            </w:tcBorders>
            <w:shd w:val="clear" w:color="auto" w:fill="auto"/>
            <w:vAlign w:val="center"/>
          </w:tcPr>
          <w:p w14:paraId="005B8C1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Cs w:val="21"/>
              </w:rPr>
            </w:pPr>
            <w:r>
              <w:rPr>
                <w:rFonts w:hint="eastAsia" w:ascii="宋体" w:hAnsi="宋体" w:cs="宋体"/>
                <w:color w:val="auto"/>
                <w:kern w:val="0"/>
                <w:szCs w:val="21"/>
              </w:rPr>
              <w:t>技术要求</w:t>
            </w:r>
          </w:p>
        </w:tc>
        <w:tc>
          <w:tcPr>
            <w:tcW w:w="916" w:type="dxa"/>
            <w:tcBorders>
              <w:left w:val="single" w:color="auto" w:sz="4" w:space="0"/>
              <w:right w:val="single" w:color="auto" w:sz="4" w:space="0"/>
            </w:tcBorders>
            <w:shd w:val="clear" w:color="auto" w:fill="auto"/>
            <w:vAlign w:val="center"/>
          </w:tcPr>
          <w:p w14:paraId="188EB86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Cs w:val="21"/>
              </w:rPr>
            </w:pPr>
            <w:r>
              <w:rPr>
                <w:rFonts w:hint="eastAsia" w:ascii="宋体" w:hAnsi="宋体" w:cs="宋体"/>
                <w:color w:val="auto"/>
                <w:kern w:val="0"/>
                <w:szCs w:val="21"/>
              </w:rPr>
              <w:t>数量</w:t>
            </w:r>
          </w:p>
        </w:tc>
        <w:tc>
          <w:tcPr>
            <w:tcW w:w="2050" w:type="dxa"/>
            <w:tcBorders>
              <w:left w:val="single" w:color="auto" w:sz="4" w:space="0"/>
              <w:right w:val="single" w:color="auto" w:sz="4" w:space="0"/>
            </w:tcBorders>
            <w:shd w:val="clear" w:color="auto" w:fill="auto"/>
            <w:vAlign w:val="center"/>
          </w:tcPr>
          <w:p w14:paraId="15CB64E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Cs w:val="21"/>
              </w:rPr>
            </w:pPr>
            <w:r>
              <w:rPr>
                <w:rFonts w:hint="eastAsia" w:ascii="宋体" w:hAnsi="宋体" w:cs="宋体"/>
                <w:color w:val="auto"/>
                <w:kern w:val="0"/>
                <w:szCs w:val="21"/>
              </w:rPr>
              <w:t>采购项目预算</w:t>
            </w:r>
          </w:p>
          <w:p w14:paraId="125C0E5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Cs w:val="21"/>
              </w:rPr>
            </w:pPr>
            <w:r>
              <w:rPr>
                <w:rFonts w:hint="eastAsia" w:ascii="宋体" w:hAnsi="宋体" w:cs="宋体"/>
                <w:color w:val="auto"/>
                <w:kern w:val="0"/>
                <w:szCs w:val="21"/>
              </w:rPr>
              <w:t>（元人民币）</w:t>
            </w:r>
          </w:p>
        </w:tc>
        <w:tc>
          <w:tcPr>
            <w:tcW w:w="1574" w:type="dxa"/>
            <w:shd w:val="clear" w:color="auto" w:fill="auto"/>
            <w:vAlign w:val="center"/>
          </w:tcPr>
          <w:p w14:paraId="2749DB7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ascii="宋体" w:hAnsi="宋体" w:cs="宋体"/>
                <w:color w:val="auto"/>
                <w:kern w:val="0"/>
                <w:szCs w:val="21"/>
              </w:rPr>
            </w:pPr>
            <w:r>
              <w:rPr>
                <w:rFonts w:hint="eastAsia" w:ascii="宋体" w:hAnsi="宋体" w:cs="宋体"/>
                <w:color w:val="auto"/>
                <w:kern w:val="0"/>
                <w:szCs w:val="21"/>
                <w:lang w:eastAsia="zh-CN"/>
              </w:rPr>
              <w:t>备注</w:t>
            </w:r>
          </w:p>
        </w:tc>
      </w:tr>
      <w:tr w14:paraId="0727DA9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459" w:type="dxa"/>
            <w:tcBorders>
              <w:right w:val="single" w:color="auto" w:sz="4" w:space="0"/>
            </w:tcBorders>
            <w:shd w:val="clear" w:color="auto" w:fill="auto"/>
            <w:vAlign w:val="center"/>
          </w:tcPr>
          <w:p w14:paraId="69E59131">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hAnsi="宋体" w:eastAsia="宋体"/>
                <w:color w:val="auto"/>
                <w:kern w:val="0"/>
                <w:lang w:eastAsia="zh-CN"/>
              </w:rPr>
            </w:pPr>
            <w:r>
              <w:rPr>
                <w:rFonts w:hint="eastAsia" w:hAnsi="宋体"/>
                <w:color w:val="auto"/>
                <w:kern w:val="0"/>
                <w:lang w:val="en-US" w:eastAsia="zh-CN"/>
              </w:rPr>
              <w:t>1</w:t>
            </w:r>
          </w:p>
        </w:tc>
        <w:tc>
          <w:tcPr>
            <w:tcW w:w="1830" w:type="dxa"/>
            <w:tcBorders>
              <w:left w:val="single" w:color="auto" w:sz="4" w:space="0"/>
            </w:tcBorders>
            <w:shd w:val="clear" w:color="auto" w:fill="auto"/>
            <w:vAlign w:val="center"/>
          </w:tcPr>
          <w:p w14:paraId="69377E8D">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hAnsi="宋体" w:eastAsia="宋体"/>
                <w:color w:val="auto"/>
                <w:kern w:val="0"/>
                <w:u w:val="none"/>
                <w:lang w:eastAsia="zh-CN"/>
              </w:rPr>
            </w:pPr>
            <w:r>
              <w:rPr>
                <w:rFonts w:hint="eastAsia" w:hAnsi="宋体" w:cs="宋体"/>
                <w:b w:val="0"/>
                <w:bCs/>
                <w:color w:val="auto"/>
                <w:sz w:val="21"/>
                <w:szCs w:val="21"/>
                <w:u w:val="none"/>
                <w:lang w:eastAsia="zh-CN"/>
              </w:rPr>
              <w:t>津市监狱第一押犯点及罪犯总医院周界报警系统采购</w:t>
            </w:r>
            <w:r>
              <w:rPr>
                <w:rFonts w:hint="eastAsia" w:hAnsi="宋体" w:eastAsia="宋体"/>
                <w:color w:val="auto"/>
                <w:kern w:val="0"/>
                <w:u w:val="none"/>
                <w:lang w:eastAsia="zh-CN"/>
              </w:rPr>
              <w:t xml:space="preserve">  </w:t>
            </w:r>
          </w:p>
        </w:tc>
        <w:tc>
          <w:tcPr>
            <w:tcW w:w="1534" w:type="dxa"/>
            <w:tcBorders>
              <w:right w:val="single" w:color="auto" w:sz="4" w:space="0"/>
            </w:tcBorders>
            <w:shd w:val="clear" w:color="auto" w:fill="auto"/>
            <w:vAlign w:val="center"/>
          </w:tcPr>
          <w:p w14:paraId="29B28602">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hAnsi="宋体" w:eastAsia="宋体"/>
                <w:color w:val="auto"/>
                <w:kern w:val="0"/>
                <w:lang w:eastAsia="zh-CN"/>
              </w:rPr>
            </w:pPr>
            <w:r>
              <w:rPr>
                <w:rFonts w:hint="eastAsia" w:hAnsi="宋体"/>
                <w:color w:val="auto"/>
                <w:kern w:val="0"/>
                <w:lang w:eastAsia="zh-CN"/>
              </w:rPr>
              <w:t>见第三章</w:t>
            </w:r>
          </w:p>
        </w:tc>
        <w:tc>
          <w:tcPr>
            <w:tcW w:w="916" w:type="dxa"/>
            <w:tcBorders>
              <w:left w:val="single" w:color="auto" w:sz="4" w:space="0"/>
              <w:right w:val="single" w:color="auto" w:sz="4" w:space="0"/>
            </w:tcBorders>
            <w:shd w:val="clear" w:color="auto" w:fill="auto"/>
            <w:vAlign w:val="center"/>
          </w:tcPr>
          <w:p w14:paraId="7A3C3F6D">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hAnsi="宋体" w:eastAsia="宋体"/>
                <w:color w:val="auto"/>
                <w:kern w:val="0"/>
                <w:lang w:val="en-US" w:eastAsia="zh-CN"/>
              </w:rPr>
            </w:pPr>
            <w:r>
              <w:rPr>
                <w:rFonts w:hint="eastAsia" w:hAnsi="宋体"/>
                <w:color w:val="auto"/>
                <w:kern w:val="0"/>
                <w:lang w:val="en-US" w:eastAsia="zh-CN"/>
              </w:rPr>
              <w:t>1批</w:t>
            </w:r>
          </w:p>
        </w:tc>
        <w:tc>
          <w:tcPr>
            <w:tcW w:w="2050" w:type="dxa"/>
            <w:tcBorders>
              <w:left w:val="single" w:color="auto" w:sz="4" w:space="0"/>
              <w:right w:val="single" w:color="auto" w:sz="4" w:space="0"/>
            </w:tcBorders>
            <w:shd w:val="clear" w:color="auto" w:fill="auto"/>
            <w:vAlign w:val="center"/>
          </w:tcPr>
          <w:p w14:paraId="0822DAAB">
            <w:pPr>
              <w:pStyle w:val="22"/>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hAnsi="宋体" w:eastAsia="宋体"/>
                <w:color w:val="auto"/>
                <w:kern w:val="0"/>
                <w:lang w:val="en-US" w:eastAsia="zh-CN"/>
              </w:rPr>
            </w:pPr>
            <w:r>
              <w:rPr>
                <w:rFonts w:hint="eastAsia" w:hAnsi="宋体"/>
                <w:color w:val="auto"/>
                <w:kern w:val="0"/>
                <w:lang w:val="en-US" w:eastAsia="zh-CN"/>
              </w:rPr>
              <w:t>800854.82元</w:t>
            </w:r>
          </w:p>
        </w:tc>
        <w:tc>
          <w:tcPr>
            <w:tcW w:w="1574" w:type="dxa"/>
            <w:shd w:val="clear" w:color="auto" w:fill="auto"/>
            <w:vAlign w:val="center"/>
          </w:tcPr>
          <w:p w14:paraId="10B5A7A7">
            <w:pPr>
              <w:spacing w:line="240" w:lineRule="auto"/>
              <w:rPr>
                <w:rFonts w:hint="default" w:hAnsi="宋体" w:eastAsia="宋体"/>
                <w:color w:val="auto"/>
                <w:kern w:val="0"/>
                <w:lang w:val="en-US" w:eastAsia="zh-CN"/>
              </w:rPr>
            </w:pPr>
            <w:r>
              <w:rPr>
                <w:rFonts w:hint="eastAsia" w:hAnsi="宋体"/>
                <w:color w:val="auto"/>
                <w:kern w:val="0"/>
                <w:lang w:val="en-US" w:eastAsia="zh-CN"/>
              </w:rPr>
              <w:t>A02370400 安全、检查、监视、报警设备</w:t>
            </w:r>
          </w:p>
        </w:tc>
      </w:tr>
    </w:tbl>
    <w:p w14:paraId="7CE4C5A8">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b/>
          <w:color w:val="auto"/>
          <w:szCs w:val="21"/>
        </w:rPr>
      </w:pPr>
      <w:r>
        <w:rPr>
          <w:rFonts w:hint="eastAsia" w:ascii="宋体" w:hAnsi="宋体"/>
          <w:color w:val="auto"/>
          <w:szCs w:val="21"/>
        </w:rPr>
        <w:t>1、</w:t>
      </w:r>
      <w:r>
        <w:rPr>
          <w:rFonts w:hint="eastAsia" w:ascii="宋体" w:hAnsi="宋体"/>
          <w:b/>
          <w:color w:val="auto"/>
          <w:szCs w:val="21"/>
        </w:rPr>
        <w:t>采购项目需要落实的政府采购政策</w:t>
      </w:r>
      <w:r>
        <w:rPr>
          <w:rFonts w:hint="eastAsia" w:ascii="宋体" w:hAnsi="宋体"/>
          <w:color w:val="auto"/>
          <w:szCs w:val="21"/>
        </w:rPr>
        <w:t>：</w:t>
      </w:r>
      <w:r>
        <w:rPr>
          <w:rFonts w:ascii="宋体" w:hAnsi="宋体"/>
          <w:b/>
          <w:color w:val="auto"/>
          <w:szCs w:val="21"/>
        </w:rPr>
        <w:t xml:space="preserve"> </w:t>
      </w:r>
    </w:p>
    <w:p w14:paraId="351210CF">
      <w:pPr>
        <w:pageBreakBefore w:val="0"/>
        <w:kinsoku/>
        <w:wordWrap/>
        <w:overflowPunct/>
        <w:topLinePunct w:val="0"/>
        <w:bidi w:val="0"/>
        <w:adjustRightInd w:val="0"/>
        <w:snapToGrid w:val="0"/>
        <w:spacing w:before="156" w:beforeLines="50" w:line="240" w:lineRule="auto"/>
        <w:ind w:firstLine="420" w:firstLineChars="200"/>
        <w:textAlignment w:val="auto"/>
        <w:rPr>
          <w:rFonts w:hint="eastAsia" w:ascii="宋体" w:hAnsi="宋体"/>
          <w:i w:val="0"/>
          <w:iCs/>
          <w:color w:val="auto"/>
          <w:szCs w:val="21"/>
        </w:rPr>
      </w:pPr>
      <w:r>
        <w:rPr>
          <w:rFonts w:hint="eastAsia" w:ascii="宋体" w:hAnsi="宋体"/>
          <w:i w:val="0"/>
          <w:iCs/>
          <w:color w:val="auto"/>
          <w:szCs w:val="21"/>
        </w:rPr>
        <w:t>(1)政府采购促进中小企业发展</w:t>
      </w:r>
    </w:p>
    <w:p w14:paraId="39084633">
      <w:pPr>
        <w:pageBreakBefore w:val="0"/>
        <w:kinsoku/>
        <w:wordWrap/>
        <w:overflowPunct/>
        <w:topLinePunct w:val="0"/>
        <w:bidi w:val="0"/>
        <w:adjustRightInd w:val="0"/>
        <w:snapToGrid w:val="0"/>
        <w:spacing w:before="156" w:beforeLines="50" w:line="240" w:lineRule="auto"/>
        <w:ind w:firstLine="420" w:firstLineChars="200"/>
        <w:textAlignment w:val="auto"/>
        <w:rPr>
          <w:rFonts w:hint="eastAsia" w:ascii="宋体" w:hAnsi="宋体"/>
          <w:i w:val="0"/>
          <w:iCs/>
          <w:color w:val="auto"/>
          <w:szCs w:val="21"/>
        </w:rPr>
      </w:pPr>
      <w:r>
        <w:rPr>
          <w:rFonts w:hint="eastAsia" w:ascii="宋体" w:hAnsi="宋体"/>
          <w:i w:val="0"/>
          <w:iCs/>
          <w:color w:val="auto"/>
          <w:szCs w:val="21"/>
        </w:rPr>
        <w:t>(2)政府采购支持监狱企业发展</w:t>
      </w:r>
    </w:p>
    <w:p w14:paraId="3BBCD0A5">
      <w:pPr>
        <w:pageBreakBefore w:val="0"/>
        <w:kinsoku/>
        <w:wordWrap/>
        <w:overflowPunct/>
        <w:topLinePunct w:val="0"/>
        <w:bidi w:val="0"/>
        <w:adjustRightInd w:val="0"/>
        <w:snapToGrid w:val="0"/>
        <w:spacing w:before="156" w:beforeLines="50" w:line="240" w:lineRule="auto"/>
        <w:ind w:firstLine="420" w:firstLineChars="200"/>
        <w:textAlignment w:val="auto"/>
        <w:rPr>
          <w:rFonts w:hint="eastAsia" w:ascii="宋体" w:hAnsi="宋体"/>
          <w:i w:val="0"/>
          <w:iCs/>
          <w:color w:val="auto"/>
          <w:szCs w:val="21"/>
        </w:rPr>
      </w:pPr>
      <w:r>
        <w:rPr>
          <w:rFonts w:hint="eastAsia" w:ascii="宋体" w:hAnsi="宋体"/>
          <w:i w:val="0"/>
          <w:iCs/>
          <w:color w:val="auto"/>
          <w:szCs w:val="21"/>
        </w:rPr>
        <w:t>(3)政府采购促进残疾人就业</w:t>
      </w:r>
    </w:p>
    <w:p w14:paraId="4F0099F9">
      <w:pPr>
        <w:pageBreakBefore w:val="0"/>
        <w:kinsoku/>
        <w:wordWrap/>
        <w:overflowPunct/>
        <w:topLinePunct w:val="0"/>
        <w:bidi w:val="0"/>
        <w:adjustRightInd w:val="0"/>
        <w:snapToGrid w:val="0"/>
        <w:spacing w:before="156" w:beforeLines="50" w:line="240" w:lineRule="auto"/>
        <w:ind w:firstLine="420" w:firstLineChars="200"/>
        <w:textAlignment w:val="auto"/>
        <w:rPr>
          <w:rFonts w:hint="eastAsia" w:ascii="宋体" w:hAnsi="宋体"/>
          <w:i w:val="0"/>
          <w:iCs/>
          <w:color w:val="auto"/>
          <w:szCs w:val="21"/>
        </w:rPr>
      </w:pPr>
      <w:r>
        <w:rPr>
          <w:rFonts w:hint="eastAsia" w:ascii="宋体" w:hAnsi="宋体"/>
          <w:i w:val="0"/>
          <w:iCs/>
          <w:color w:val="auto"/>
          <w:szCs w:val="21"/>
        </w:rPr>
        <w:t>(4)政府采购鼓励采购节能环保产品</w:t>
      </w:r>
    </w:p>
    <w:p w14:paraId="10114BE3">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2、</w:t>
      </w:r>
      <w:r>
        <w:rPr>
          <w:rFonts w:hint="eastAsia" w:ascii="宋体" w:hAnsi="宋体"/>
          <w:b/>
          <w:color w:val="auto"/>
          <w:szCs w:val="21"/>
        </w:rPr>
        <w:t>采购进口产品</w:t>
      </w:r>
      <w:r>
        <w:rPr>
          <w:rFonts w:hint="eastAsia" w:ascii="宋体" w:hAnsi="宋体"/>
          <w:color w:val="auto"/>
          <w:szCs w:val="21"/>
        </w:rPr>
        <w:t>：本项目</w:t>
      </w:r>
      <w:r>
        <w:rPr>
          <w:rFonts w:hint="eastAsia" w:ascii="宋体" w:hAnsi="宋体"/>
          <w:color w:val="auto"/>
          <w:szCs w:val="21"/>
          <w:u w:val="single"/>
        </w:rPr>
        <w:t xml:space="preserve"> </w:t>
      </w:r>
      <w:r>
        <w:rPr>
          <w:rFonts w:hint="eastAsia" w:ascii="宋体" w:hAnsi="宋体"/>
          <w:b/>
          <w:bCs/>
          <w:color w:val="auto"/>
          <w:szCs w:val="21"/>
          <w:u w:val="single"/>
          <w:lang w:eastAsia="zh-CN"/>
        </w:rPr>
        <w:t>不接受</w:t>
      </w:r>
      <w:r>
        <w:rPr>
          <w:rFonts w:hint="eastAsia" w:ascii="宋体" w:hAnsi="宋体"/>
          <w:color w:val="auto"/>
          <w:szCs w:val="21"/>
          <w:u w:val="single"/>
        </w:rPr>
        <w:t xml:space="preserve"> </w:t>
      </w:r>
      <w:r>
        <w:rPr>
          <w:rFonts w:hint="eastAsia" w:ascii="宋体" w:hAnsi="宋体"/>
          <w:color w:val="auto"/>
          <w:szCs w:val="21"/>
        </w:rPr>
        <w:t>进口产品参加谈判采购。</w:t>
      </w:r>
    </w:p>
    <w:p w14:paraId="5C9F49C4">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bookmarkStart w:id="5" w:name="_Toc26161"/>
      <w:bookmarkStart w:id="6" w:name="_Toc22201057"/>
      <w:r>
        <w:rPr>
          <w:rFonts w:hint="eastAsia" w:ascii="黑体" w:hAnsi="黑体" w:eastAsia="黑体"/>
          <w:color w:val="auto"/>
        </w:rPr>
        <w:t>三、供应商的资格要求</w:t>
      </w:r>
      <w:bookmarkEnd w:id="5"/>
      <w:bookmarkEnd w:id="6"/>
    </w:p>
    <w:p w14:paraId="27264B2D">
      <w:pPr>
        <w:pageBreakBefore w:val="0"/>
        <w:kinsoku/>
        <w:wordWrap/>
        <w:overflowPunct/>
        <w:topLinePunct w:val="0"/>
        <w:bidi w:val="0"/>
        <w:adjustRightInd w:val="0"/>
        <w:snapToGrid w:val="0"/>
        <w:spacing w:before="156" w:beforeLines="50" w:line="360" w:lineRule="auto"/>
        <w:ind w:firstLine="420" w:firstLineChars="200"/>
        <w:textAlignment w:val="auto"/>
        <w:rPr>
          <w:rFonts w:ascii="宋体" w:hAnsi="宋体"/>
          <w:color w:val="auto"/>
          <w:szCs w:val="21"/>
        </w:rPr>
      </w:pPr>
      <w:r>
        <w:rPr>
          <w:rFonts w:hint="eastAsia" w:ascii="宋体" w:hAnsi="宋体"/>
          <w:color w:val="auto"/>
          <w:szCs w:val="21"/>
        </w:rPr>
        <w:t>1、供应商的基本资格条件：供应商必须是在中华人民共和国境内注册登记的法人、其他组织或者自然人，且应当符合《政府采购法》第二十二条第一款的规定，即：</w:t>
      </w:r>
    </w:p>
    <w:p w14:paraId="37CAA08F">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（1）具有独立承担民事责任的能力；</w:t>
      </w:r>
    </w:p>
    <w:p w14:paraId="30A4EEB7">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（2）具有良好的商业信誉和健全的财务会计制度；</w:t>
      </w:r>
    </w:p>
    <w:p w14:paraId="6C0ECFE5">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（3）具有履行合同所必需的设备和专业技术能力；</w:t>
      </w:r>
    </w:p>
    <w:p w14:paraId="290E4B61">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（4）有依法缴纳税收和社会保障资金的良好记录；</w:t>
      </w:r>
    </w:p>
    <w:p w14:paraId="66E48B85">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（5）参加政府采购活动前三年内，在经营活动中没有重大违法记录；</w:t>
      </w:r>
    </w:p>
    <w:p w14:paraId="0D895D2A">
      <w:pPr>
        <w:pageBreakBefore w:val="0"/>
        <w:kinsoku/>
        <w:wordWrap/>
        <w:overflowPunct/>
        <w:topLinePunct w:val="0"/>
        <w:bidi w:val="0"/>
        <w:adjustRightInd w:val="0"/>
        <w:snapToGrid w:val="0"/>
        <w:spacing w:before="156" w:beforeLines="50" w:line="360" w:lineRule="auto"/>
        <w:ind w:firstLine="420" w:firstLineChars="200"/>
        <w:textAlignment w:val="auto"/>
        <w:rPr>
          <w:rFonts w:ascii="宋体" w:hAnsi="宋体"/>
          <w:color w:val="auto"/>
          <w:szCs w:val="21"/>
        </w:rPr>
      </w:pPr>
      <w:r>
        <w:rPr>
          <w:rFonts w:hint="eastAsia" w:ascii="宋体" w:hAnsi="宋体"/>
          <w:color w:val="auto"/>
          <w:szCs w:val="21"/>
        </w:rPr>
        <w:t>（6）法律、行政法规规定的其他条件。</w:t>
      </w:r>
    </w:p>
    <w:p w14:paraId="3F5C47B3">
      <w:pPr>
        <w:widowControl/>
        <w:shd w:val="clear" w:color="auto" w:fill="FFFFFF"/>
        <w:adjustRightInd w:val="0"/>
        <w:snapToGrid w:val="0"/>
        <w:spacing w:line="360" w:lineRule="auto"/>
        <w:ind w:firstLine="420" w:firstLineChars="200"/>
        <w:jc w:val="left"/>
        <w:outlineLvl w:val="9"/>
        <w:rPr>
          <w:rFonts w:hint="eastAsia" w:ascii="宋体" w:hAnsi="宋体" w:eastAsia="宋体" w:cs="宋体"/>
          <w:b/>
          <w:bCs/>
          <w:color w:val="auto"/>
          <w:kern w:val="0"/>
          <w:sz w:val="24"/>
          <w:lang w:eastAsia="zh-CN"/>
        </w:rPr>
      </w:pPr>
      <w:bookmarkStart w:id="7" w:name="_Toc4238"/>
      <w:bookmarkStart w:id="8" w:name="_Toc22201058"/>
      <w:r>
        <w:rPr>
          <w:rFonts w:hint="eastAsia" w:ascii="宋体" w:hAnsi="宋体"/>
          <w:color w:val="auto"/>
          <w:szCs w:val="21"/>
        </w:rPr>
        <w:t>2、</w:t>
      </w:r>
      <w:r>
        <w:rPr>
          <w:rFonts w:hint="eastAsia" w:ascii="宋体" w:hAnsi="宋体"/>
          <w:b/>
          <w:bCs/>
          <w:color w:val="auto"/>
          <w:szCs w:val="21"/>
        </w:rPr>
        <w:t>采购项目的特定资格条件</w:t>
      </w:r>
      <w:r>
        <w:rPr>
          <w:rFonts w:hint="eastAsia" w:ascii="宋体" w:hAnsi="宋体" w:cs="宋体"/>
          <w:b/>
          <w:bCs/>
          <w:color w:val="auto"/>
          <w:kern w:val="0"/>
          <w:sz w:val="24"/>
          <w:lang w:eastAsia="zh-CN"/>
        </w:rPr>
        <w:t>：</w:t>
      </w:r>
      <w:r>
        <w:rPr>
          <w:rFonts w:hint="eastAsia" w:ascii="宋体" w:hAnsi="宋体" w:cs="宋体"/>
          <w:b/>
          <w:bCs/>
          <w:color w:val="auto"/>
          <w:kern w:val="0"/>
          <w:sz w:val="24"/>
          <w:lang w:val="en-US" w:eastAsia="zh-CN"/>
        </w:rPr>
        <w:t>无。</w:t>
      </w:r>
    </w:p>
    <w:p w14:paraId="079CD4AC">
      <w:pPr>
        <w:widowControl/>
        <w:shd w:val="clear" w:color="auto" w:fill="FFFFFF"/>
        <w:adjustRightInd w:val="0"/>
        <w:snapToGrid w:val="0"/>
        <w:spacing w:line="360" w:lineRule="auto"/>
        <w:ind w:firstLine="420" w:firstLineChars="200"/>
        <w:jc w:val="left"/>
        <w:outlineLvl w:val="9"/>
        <w:rPr>
          <w:rFonts w:hint="eastAsia" w:ascii="宋体" w:hAnsi="宋体"/>
          <w:b w:val="0"/>
          <w:bCs w:val="0"/>
          <w:color w:val="auto"/>
          <w:szCs w:val="21"/>
          <w:u w:val="single"/>
          <w:lang w:eastAsia="zh-CN"/>
        </w:rPr>
      </w:pPr>
      <w:r>
        <w:rPr>
          <w:rFonts w:hint="eastAsia" w:ascii="宋体" w:hAnsi="宋体" w:eastAsia="宋体" w:cs="宋体"/>
          <w:b w:val="0"/>
          <w:bCs w:val="0"/>
          <w:color w:val="auto"/>
          <w:sz w:val="21"/>
          <w:szCs w:val="21"/>
          <w:lang w:val="en-US" w:eastAsia="zh-CN"/>
        </w:rPr>
        <w:t>3</w:t>
      </w:r>
      <w:r>
        <w:rPr>
          <w:rFonts w:hint="eastAsia" w:ascii="宋体" w:hAnsi="宋体" w:cs="宋体"/>
          <w:b w:val="0"/>
          <w:bCs w:val="0"/>
          <w:color w:val="auto"/>
          <w:sz w:val="21"/>
          <w:szCs w:val="21"/>
          <w:lang w:val="en-US" w:eastAsia="zh-CN"/>
        </w:rPr>
        <w:t>、</w:t>
      </w:r>
      <w:r>
        <w:rPr>
          <w:rFonts w:hint="eastAsia" w:ascii="宋体" w:hAnsi="宋体" w:eastAsia="宋体" w:cs="宋体"/>
          <w:b/>
          <w:bCs/>
          <w:color w:val="auto"/>
          <w:sz w:val="21"/>
          <w:szCs w:val="21"/>
        </w:rPr>
        <w:t>落实政府采购政策需满足的资格要求</w:t>
      </w:r>
      <w:r>
        <w:rPr>
          <w:rFonts w:hint="eastAsia" w:ascii="宋体" w:hAnsi="宋体" w:eastAsia="宋体" w:cs="宋体"/>
          <w:b w:val="0"/>
          <w:bCs w:val="0"/>
          <w:color w:val="auto"/>
          <w:sz w:val="21"/>
          <w:szCs w:val="21"/>
          <w:lang w:eastAsia="zh-CN"/>
        </w:rPr>
        <w:t>：</w:t>
      </w:r>
      <w:r>
        <w:rPr>
          <w:rFonts w:hint="eastAsia" w:asciiTheme="minorEastAsia" w:hAnsiTheme="minorEastAsia" w:eastAsiaTheme="minorEastAsia"/>
          <w:b/>
          <w:bCs/>
          <w:color w:val="auto"/>
          <w:szCs w:val="21"/>
          <w:u w:val="none"/>
          <w:lang w:val="en-US" w:eastAsia="zh-CN"/>
        </w:rPr>
        <w:t>无。</w:t>
      </w:r>
    </w:p>
    <w:p w14:paraId="6E5D21E3">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lang w:val="en-US" w:eastAsia="zh-CN"/>
        </w:rPr>
        <w:t>4</w:t>
      </w:r>
      <w:r>
        <w:rPr>
          <w:rFonts w:hint="eastAsia" w:ascii="宋体" w:hAnsi="宋体"/>
          <w:color w:val="auto"/>
          <w:szCs w:val="21"/>
        </w:rPr>
        <w:t>、单位负责人为同一人或者存在直接控股、管理关系的不同供应商，不得参加同一合同项下的政府采购活动。</w:t>
      </w:r>
    </w:p>
    <w:p w14:paraId="4008FFBE">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lang w:val="en-US" w:eastAsia="zh-CN"/>
        </w:rPr>
        <w:t>5</w:t>
      </w:r>
      <w:r>
        <w:rPr>
          <w:rFonts w:hint="eastAsia" w:ascii="宋体" w:hAnsi="宋体"/>
          <w:color w:val="auto"/>
          <w:szCs w:val="21"/>
        </w:rPr>
        <w:t>、为本采购项目提供整体设计、规范编制或者项目管理、监理、检测等服务的，不得再参加此项目的其他采购活动。</w:t>
      </w:r>
    </w:p>
    <w:p w14:paraId="36459E22">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lang w:val="en-US" w:eastAsia="zh-CN"/>
        </w:rPr>
        <w:t>6</w:t>
      </w:r>
      <w:r>
        <w:rPr>
          <w:rFonts w:hint="eastAsia" w:ascii="宋体" w:hAnsi="宋体"/>
          <w:color w:val="auto"/>
          <w:szCs w:val="21"/>
        </w:rPr>
        <w:t>、列入失信被执行人、重大税收违法案件当事人名单，列入政府采购严重违法失信行为记录名单的，拒绝其参与政府采购活动。</w:t>
      </w:r>
    </w:p>
    <w:p w14:paraId="09F29D54">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lang w:val="en-US" w:eastAsia="zh-CN"/>
        </w:rPr>
        <w:t>7</w:t>
      </w:r>
      <w:r>
        <w:rPr>
          <w:rFonts w:hint="eastAsia" w:ascii="宋体" w:hAnsi="宋体"/>
          <w:color w:val="auto"/>
          <w:szCs w:val="21"/>
        </w:rPr>
        <w:t>、供应商为联合体形式的。本次谈判采购</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lang w:eastAsia="zh-CN"/>
        </w:rPr>
        <w:t>不接受</w:t>
      </w:r>
      <w:r>
        <w:rPr>
          <w:rFonts w:hint="eastAsia" w:ascii="宋体" w:hAnsi="宋体"/>
          <w:color w:val="auto"/>
          <w:szCs w:val="21"/>
          <w:u w:val="single"/>
        </w:rPr>
        <w:t xml:space="preserve">  </w:t>
      </w:r>
      <w:r>
        <w:rPr>
          <w:rFonts w:hint="eastAsia" w:ascii="宋体" w:hAnsi="宋体"/>
          <w:color w:val="auto"/>
          <w:szCs w:val="21"/>
        </w:rPr>
        <w:t>(接受或不接受) 供应商为联合体形式。接受联合体形式的，联合体应当具备下列条件：</w:t>
      </w:r>
      <w:r>
        <w:rPr>
          <w:rFonts w:hint="eastAsia" w:ascii="宋体" w:hAnsi="宋体"/>
          <w:color w:val="auto"/>
          <w:szCs w:val="21"/>
          <w:u w:val="single"/>
        </w:rPr>
        <w:t xml:space="preserve"> </w:t>
      </w:r>
      <w:r>
        <w:rPr>
          <w:rFonts w:hint="eastAsia" w:ascii="宋体" w:hAnsi="宋体"/>
          <w:color w:val="auto"/>
          <w:szCs w:val="21"/>
          <w:u w:val="single"/>
          <w:lang w:eastAsia="zh-CN"/>
        </w:rPr>
        <w:t>不接受</w:t>
      </w:r>
      <w:r>
        <w:rPr>
          <w:rFonts w:hint="eastAsia" w:ascii="宋体" w:hAnsi="宋体"/>
          <w:color w:val="auto"/>
          <w:szCs w:val="21"/>
          <w:u w:val="single"/>
        </w:rPr>
        <w:t xml:space="preserve">  </w:t>
      </w:r>
      <w:r>
        <w:rPr>
          <w:rFonts w:hint="eastAsia" w:ascii="宋体" w:hAnsi="宋体"/>
          <w:color w:val="auto"/>
          <w:szCs w:val="21"/>
        </w:rPr>
        <w:t>。</w:t>
      </w:r>
    </w:p>
    <w:p w14:paraId="07947EAA">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r>
        <w:rPr>
          <w:rFonts w:hint="eastAsia" w:ascii="黑体" w:hAnsi="黑体" w:eastAsia="黑体"/>
          <w:color w:val="auto"/>
        </w:rPr>
        <w:t>四、获取谈判文件的时间、地点及方式</w:t>
      </w:r>
      <w:bookmarkEnd w:id="7"/>
      <w:bookmarkEnd w:id="8"/>
    </w:p>
    <w:p w14:paraId="3BC6ED4F">
      <w:pPr>
        <w:pageBreakBefore w:val="0"/>
        <w:tabs>
          <w:tab w:val="left" w:pos="4700"/>
          <w:tab w:val="left" w:pos="6000"/>
          <w:tab w:val="left" w:pos="7160"/>
          <w:tab w:val="left" w:pos="8520"/>
        </w:tabs>
        <w:kinsoku/>
        <w:wordWrap/>
        <w:overflowPunct/>
        <w:topLinePunct w:val="0"/>
        <w:autoSpaceDE w:val="0"/>
        <w:autoSpaceDN w:val="0"/>
        <w:bidi w:val="0"/>
        <w:adjustRightInd w:val="0"/>
        <w:snapToGrid w:val="0"/>
        <w:spacing w:before="156" w:beforeLines="50" w:line="360" w:lineRule="auto"/>
        <w:ind w:right="-23" w:firstLine="420" w:firstLineChars="200"/>
        <w:jc w:val="left"/>
        <w:textAlignment w:val="auto"/>
        <w:rPr>
          <w:rFonts w:hint="eastAsia" w:ascii="宋体" w:hAnsi="宋体" w:cs="微软雅黑"/>
          <w:color w:val="auto"/>
          <w:spacing w:val="-14"/>
          <w:kern w:val="0"/>
          <w:szCs w:val="21"/>
        </w:rPr>
      </w:pPr>
      <w:r>
        <w:rPr>
          <w:rFonts w:hint="eastAsia" w:ascii="宋体" w:hAnsi="宋体"/>
          <w:color w:val="auto"/>
          <w:kern w:val="0"/>
          <w:szCs w:val="21"/>
        </w:rPr>
        <w:t>1</w:t>
      </w:r>
      <w:r>
        <w:rPr>
          <w:rFonts w:hint="eastAsia" w:ascii="宋体" w:hAnsi="宋体" w:cs="微软雅黑"/>
          <w:color w:val="auto"/>
          <w:kern w:val="0"/>
          <w:szCs w:val="21"/>
        </w:rPr>
        <w:t>、获</w:t>
      </w:r>
      <w:r>
        <w:rPr>
          <w:rFonts w:hint="eastAsia" w:ascii="宋体" w:hAnsi="宋体" w:cs="微软雅黑"/>
          <w:color w:val="auto"/>
          <w:spacing w:val="-2"/>
          <w:kern w:val="0"/>
          <w:szCs w:val="21"/>
        </w:rPr>
        <w:t>本采购邀请供应商</w:t>
      </w:r>
      <w:r>
        <w:rPr>
          <w:rFonts w:hint="eastAsia" w:ascii="宋体" w:hAnsi="宋体" w:cs="微软雅黑"/>
          <w:color w:val="auto"/>
          <w:kern w:val="0"/>
          <w:szCs w:val="21"/>
        </w:rPr>
        <w:t>，</w:t>
      </w:r>
      <w:r>
        <w:rPr>
          <w:rFonts w:hint="eastAsia" w:ascii="宋体" w:hAnsi="宋体" w:cs="微软雅黑"/>
          <w:color w:val="auto"/>
          <w:spacing w:val="-2"/>
          <w:kern w:val="0"/>
          <w:szCs w:val="21"/>
        </w:rPr>
        <w:t>请</w:t>
      </w:r>
      <w:r>
        <w:rPr>
          <w:rFonts w:hint="eastAsia" w:ascii="宋体" w:hAnsi="宋体" w:cs="微软雅黑"/>
          <w:color w:val="auto"/>
          <w:kern w:val="0"/>
          <w:szCs w:val="21"/>
        </w:rPr>
        <w:t>于</w:t>
      </w:r>
      <w:r>
        <w:rPr>
          <w:rFonts w:hint="eastAsia" w:ascii="宋体" w:hAnsi="宋体" w:cs="微软雅黑"/>
          <w:color w:val="auto"/>
          <w:kern w:val="0"/>
          <w:szCs w:val="21"/>
          <w:u w:val="single"/>
        </w:rPr>
        <w:t xml:space="preserve"> </w:t>
      </w:r>
      <w:r>
        <w:rPr>
          <w:rFonts w:hint="eastAsia" w:ascii="宋体" w:hAnsi="宋体" w:cs="微软雅黑"/>
          <w:color w:val="auto"/>
          <w:kern w:val="0"/>
          <w:szCs w:val="21"/>
          <w:u w:val="single"/>
          <w:lang w:val="en-US" w:eastAsia="zh-CN"/>
        </w:rPr>
        <w:t xml:space="preserve">2026 </w:t>
      </w:r>
      <w:r>
        <w:rPr>
          <w:rFonts w:hint="eastAsia" w:ascii="宋体" w:hAnsi="宋体" w:cs="微软雅黑"/>
          <w:color w:val="auto"/>
          <w:kern w:val="0"/>
          <w:szCs w:val="21"/>
        </w:rPr>
        <w:t>年</w:t>
      </w:r>
      <w:r>
        <w:rPr>
          <w:rFonts w:ascii="宋体" w:hAnsi="宋体" w:cs="微软雅黑"/>
          <w:color w:val="auto"/>
          <w:spacing w:val="43"/>
          <w:kern w:val="0"/>
          <w:szCs w:val="21"/>
          <w:u w:val="single"/>
        </w:rPr>
        <w:t xml:space="preserve"> </w:t>
      </w:r>
      <w:r>
        <w:rPr>
          <w:rFonts w:hint="eastAsia" w:ascii="宋体" w:hAnsi="宋体" w:cs="微软雅黑"/>
          <w:color w:val="auto"/>
          <w:spacing w:val="43"/>
          <w:kern w:val="0"/>
          <w:szCs w:val="21"/>
          <w:u w:val="single"/>
          <w:lang w:val="en-US" w:eastAsia="zh-CN"/>
        </w:rPr>
        <w:t xml:space="preserve">10 </w:t>
      </w:r>
      <w:r>
        <w:rPr>
          <w:rFonts w:hint="eastAsia" w:ascii="宋体" w:hAnsi="宋体" w:cs="微软雅黑"/>
          <w:color w:val="auto"/>
          <w:spacing w:val="-2"/>
          <w:kern w:val="0"/>
          <w:szCs w:val="21"/>
        </w:rPr>
        <w:t>月</w:t>
      </w:r>
      <w:r>
        <w:rPr>
          <w:rFonts w:ascii="宋体" w:hAnsi="宋体" w:cs="微软雅黑"/>
          <w:color w:val="auto"/>
          <w:spacing w:val="43"/>
          <w:kern w:val="0"/>
          <w:szCs w:val="21"/>
          <w:u w:val="single"/>
        </w:rPr>
        <w:t xml:space="preserve"> </w:t>
      </w:r>
      <w:r>
        <w:rPr>
          <w:rFonts w:hint="eastAsia" w:ascii="宋体" w:hAnsi="宋体" w:cs="微软雅黑"/>
          <w:color w:val="auto"/>
          <w:spacing w:val="43"/>
          <w:kern w:val="0"/>
          <w:szCs w:val="21"/>
          <w:u w:val="single"/>
          <w:lang w:val="en-US" w:eastAsia="zh-CN"/>
        </w:rPr>
        <w:t xml:space="preserve">23 </w:t>
      </w:r>
      <w:r>
        <w:rPr>
          <w:rFonts w:hint="eastAsia" w:ascii="宋体" w:hAnsi="宋体" w:cs="微软雅黑"/>
          <w:color w:val="auto"/>
          <w:spacing w:val="-2"/>
          <w:kern w:val="0"/>
          <w:szCs w:val="21"/>
        </w:rPr>
        <w:t>日</w:t>
      </w:r>
      <w:r>
        <w:rPr>
          <w:rFonts w:hint="eastAsia" w:ascii="宋体" w:hAnsi="宋体" w:cs="微软雅黑"/>
          <w:color w:val="auto"/>
          <w:kern w:val="0"/>
          <w:szCs w:val="21"/>
        </w:rPr>
        <w:t>至</w:t>
      </w:r>
      <w:r>
        <w:rPr>
          <w:rFonts w:hint="eastAsia" w:ascii="宋体" w:hAnsi="宋体" w:eastAsia="宋体" w:cs="宋体"/>
          <w:color w:val="auto"/>
          <w:spacing w:val="43"/>
          <w:kern w:val="0"/>
          <w:szCs w:val="21"/>
          <w:u w:val="single"/>
        </w:rPr>
        <w:t xml:space="preserve"> </w:t>
      </w:r>
      <w:r>
        <w:rPr>
          <w:rFonts w:hint="eastAsia" w:ascii="宋体" w:hAnsi="宋体" w:cs="宋体"/>
          <w:color w:val="auto"/>
          <w:spacing w:val="43"/>
          <w:kern w:val="0"/>
          <w:szCs w:val="21"/>
          <w:u w:val="single"/>
          <w:lang w:val="en-US" w:eastAsia="zh-CN"/>
        </w:rPr>
        <w:t>2026</w:t>
      </w:r>
      <w:r>
        <w:rPr>
          <w:rFonts w:hint="eastAsia" w:ascii="宋体" w:hAnsi="宋体" w:eastAsia="宋体" w:cs="宋体"/>
          <w:color w:val="auto"/>
          <w:spacing w:val="43"/>
          <w:kern w:val="0"/>
          <w:szCs w:val="21"/>
          <w:u w:val="single"/>
        </w:rPr>
        <w:t xml:space="preserve"> </w:t>
      </w:r>
      <w:r>
        <w:rPr>
          <w:rFonts w:hint="eastAsia" w:ascii="宋体" w:hAnsi="宋体" w:eastAsia="宋体" w:cs="宋体"/>
          <w:color w:val="auto"/>
          <w:kern w:val="0"/>
          <w:szCs w:val="21"/>
        </w:rPr>
        <w:t>年</w:t>
      </w:r>
      <w:r>
        <w:rPr>
          <w:rFonts w:hint="eastAsia" w:ascii="宋体" w:hAnsi="宋体" w:cs="宋体"/>
          <w:color w:val="auto"/>
          <w:spacing w:val="43"/>
          <w:kern w:val="0"/>
          <w:szCs w:val="21"/>
          <w:u w:val="single"/>
          <w:lang w:val="en-US" w:eastAsia="zh-CN"/>
        </w:rPr>
        <w:t xml:space="preserve"> 10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cs="宋体"/>
          <w:color w:val="auto"/>
          <w:kern w:val="0"/>
          <w:szCs w:val="21"/>
          <w:u w:val="single"/>
          <w:lang w:val="en-US" w:eastAsia="zh-CN"/>
        </w:rPr>
        <w:t xml:space="preserve"> 27   </w:t>
      </w:r>
      <w:r>
        <w:rPr>
          <w:rFonts w:hint="eastAsia" w:ascii="宋体" w:hAnsi="宋体" w:eastAsia="宋体" w:cs="宋体"/>
          <w:color w:val="auto"/>
          <w:spacing w:val="-2"/>
          <w:kern w:val="0"/>
          <w:szCs w:val="21"/>
        </w:rPr>
        <w:t>日</w:t>
      </w:r>
      <w:r>
        <w:rPr>
          <w:rFonts w:hint="eastAsia" w:ascii="宋体" w:hAnsi="宋体" w:eastAsia="宋体" w:cs="宋体"/>
          <w:color w:val="auto"/>
          <w:spacing w:val="-38"/>
          <w:kern w:val="0"/>
          <w:szCs w:val="21"/>
        </w:rPr>
        <w:t>，</w:t>
      </w:r>
      <w:r>
        <w:rPr>
          <w:rFonts w:hint="eastAsia" w:ascii="宋体" w:hAnsi="宋体" w:cs="微软雅黑"/>
          <w:color w:val="auto"/>
          <w:kern w:val="0"/>
          <w:szCs w:val="21"/>
        </w:rPr>
        <w:t>每</w:t>
      </w:r>
      <w:r>
        <w:rPr>
          <w:rFonts w:hint="eastAsia" w:ascii="宋体" w:hAnsi="宋体" w:cs="微软雅黑"/>
          <w:color w:val="auto"/>
          <w:spacing w:val="-2"/>
          <w:kern w:val="0"/>
          <w:szCs w:val="21"/>
        </w:rPr>
        <w:t>日</w:t>
      </w:r>
      <w:r>
        <w:rPr>
          <w:rFonts w:hint="eastAsia" w:ascii="宋体" w:hAnsi="宋体" w:cs="微软雅黑"/>
          <w:color w:val="auto"/>
          <w:kern w:val="0"/>
          <w:szCs w:val="21"/>
        </w:rPr>
        <w:t>上午</w:t>
      </w:r>
      <w:r>
        <w:rPr>
          <w:rFonts w:ascii="宋体" w:hAnsi="宋体" w:cs="微软雅黑"/>
          <w:color w:val="auto"/>
          <w:kern w:val="0"/>
          <w:szCs w:val="21"/>
          <w:u w:val="single"/>
        </w:rPr>
        <w:t xml:space="preserve"> </w:t>
      </w:r>
      <w:r>
        <w:rPr>
          <w:rFonts w:hint="eastAsia" w:ascii="宋体" w:hAnsi="宋体" w:cs="微软雅黑"/>
          <w:color w:val="auto"/>
          <w:kern w:val="0"/>
          <w:szCs w:val="21"/>
          <w:u w:val="single"/>
          <w:lang w:val="en-US" w:eastAsia="zh-CN"/>
        </w:rPr>
        <w:t>8</w:t>
      </w:r>
      <w:r>
        <w:rPr>
          <w:rFonts w:ascii="宋体" w:hAnsi="宋体" w:cs="微软雅黑"/>
          <w:color w:val="auto"/>
          <w:kern w:val="0"/>
          <w:szCs w:val="21"/>
          <w:u w:val="single"/>
        </w:rPr>
        <w:t xml:space="preserve"> </w:t>
      </w:r>
      <w:r>
        <w:rPr>
          <w:rFonts w:hint="eastAsia" w:ascii="宋体" w:hAnsi="宋体" w:cs="微软雅黑"/>
          <w:color w:val="auto"/>
          <w:kern w:val="0"/>
          <w:szCs w:val="21"/>
        </w:rPr>
        <w:t>时至</w:t>
      </w:r>
      <w:r>
        <w:rPr>
          <w:rFonts w:ascii="宋体" w:hAnsi="宋体" w:cs="微软雅黑"/>
          <w:color w:val="auto"/>
          <w:kern w:val="0"/>
          <w:szCs w:val="21"/>
          <w:u w:val="single"/>
        </w:rPr>
        <w:t xml:space="preserve">  </w:t>
      </w:r>
      <w:r>
        <w:rPr>
          <w:rFonts w:hint="eastAsia" w:ascii="宋体" w:hAnsi="宋体" w:cs="微软雅黑"/>
          <w:color w:val="auto"/>
          <w:kern w:val="0"/>
          <w:szCs w:val="21"/>
          <w:u w:val="single"/>
          <w:lang w:val="en-US" w:eastAsia="zh-CN"/>
        </w:rPr>
        <w:t>12</w:t>
      </w:r>
      <w:r>
        <w:rPr>
          <w:rFonts w:ascii="宋体" w:hAnsi="宋体" w:cs="微软雅黑"/>
          <w:color w:val="auto"/>
          <w:kern w:val="0"/>
          <w:szCs w:val="21"/>
          <w:u w:val="single"/>
        </w:rPr>
        <w:t xml:space="preserve">  </w:t>
      </w:r>
      <w:r>
        <w:rPr>
          <w:rFonts w:hint="eastAsia" w:ascii="宋体" w:hAnsi="宋体" w:cs="微软雅黑"/>
          <w:color w:val="auto"/>
          <w:kern w:val="0"/>
          <w:szCs w:val="21"/>
        </w:rPr>
        <w:t>时</w:t>
      </w:r>
      <w:r>
        <w:rPr>
          <w:rFonts w:hint="eastAsia" w:ascii="宋体" w:hAnsi="宋体" w:cs="微软雅黑"/>
          <w:color w:val="auto"/>
          <w:spacing w:val="-41"/>
          <w:kern w:val="0"/>
          <w:szCs w:val="21"/>
        </w:rPr>
        <w:t>，</w:t>
      </w:r>
      <w:r>
        <w:rPr>
          <w:rFonts w:hint="eastAsia" w:ascii="宋体" w:hAnsi="宋体" w:cs="微软雅黑"/>
          <w:color w:val="auto"/>
          <w:kern w:val="0"/>
          <w:szCs w:val="21"/>
        </w:rPr>
        <w:t>下</w:t>
      </w:r>
      <w:r>
        <w:rPr>
          <w:rFonts w:hint="eastAsia" w:ascii="宋体" w:hAnsi="宋体" w:cs="微软雅黑"/>
          <w:color w:val="auto"/>
          <w:spacing w:val="-2"/>
          <w:kern w:val="0"/>
          <w:szCs w:val="21"/>
        </w:rPr>
        <w:t>午</w:t>
      </w:r>
      <w:r>
        <w:rPr>
          <w:rFonts w:ascii="宋体" w:hAnsi="宋体" w:cs="微软雅黑"/>
          <w:color w:val="auto"/>
          <w:kern w:val="0"/>
          <w:szCs w:val="21"/>
          <w:u w:val="single"/>
        </w:rPr>
        <w:t xml:space="preserve"> </w:t>
      </w:r>
      <w:r>
        <w:rPr>
          <w:rFonts w:hint="eastAsia" w:ascii="宋体" w:hAnsi="宋体" w:cs="微软雅黑"/>
          <w:color w:val="auto"/>
          <w:kern w:val="0"/>
          <w:szCs w:val="21"/>
          <w:u w:val="single"/>
          <w:lang w:val="en-US" w:eastAsia="zh-CN"/>
        </w:rPr>
        <w:t>14</w:t>
      </w:r>
      <w:r>
        <w:rPr>
          <w:rFonts w:ascii="宋体" w:hAnsi="宋体" w:cs="微软雅黑"/>
          <w:color w:val="auto"/>
          <w:kern w:val="0"/>
          <w:szCs w:val="21"/>
          <w:u w:val="single"/>
        </w:rPr>
        <w:t xml:space="preserve">  </w:t>
      </w:r>
      <w:r>
        <w:rPr>
          <w:rFonts w:hint="eastAsia" w:ascii="宋体" w:hAnsi="宋体" w:cs="微软雅黑"/>
          <w:color w:val="auto"/>
          <w:kern w:val="0"/>
          <w:szCs w:val="21"/>
        </w:rPr>
        <w:t>时至</w:t>
      </w:r>
      <w:r>
        <w:rPr>
          <w:rFonts w:ascii="宋体" w:hAnsi="宋体" w:cs="微软雅黑"/>
          <w:color w:val="auto"/>
          <w:kern w:val="0"/>
          <w:szCs w:val="21"/>
          <w:u w:val="single"/>
        </w:rPr>
        <w:t xml:space="preserve">  </w:t>
      </w:r>
      <w:r>
        <w:rPr>
          <w:rFonts w:hint="eastAsia" w:ascii="宋体" w:hAnsi="宋体" w:cs="微软雅黑"/>
          <w:color w:val="auto"/>
          <w:kern w:val="0"/>
          <w:szCs w:val="21"/>
          <w:u w:val="single"/>
          <w:lang w:val="en-US" w:eastAsia="zh-CN"/>
        </w:rPr>
        <w:t>17</w:t>
      </w:r>
      <w:r>
        <w:rPr>
          <w:rFonts w:ascii="宋体" w:hAnsi="宋体" w:cs="微软雅黑"/>
          <w:color w:val="auto"/>
          <w:kern w:val="0"/>
          <w:szCs w:val="21"/>
          <w:u w:val="single"/>
        </w:rPr>
        <w:t xml:space="preserve"> </w:t>
      </w:r>
      <w:r>
        <w:rPr>
          <w:rFonts w:ascii="宋体" w:hAnsi="宋体" w:cs="微软雅黑"/>
          <w:color w:val="auto"/>
          <w:spacing w:val="-32"/>
          <w:kern w:val="0"/>
          <w:szCs w:val="21"/>
        </w:rPr>
        <w:t xml:space="preserve"> </w:t>
      </w:r>
      <w:r>
        <w:rPr>
          <w:rFonts w:hint="eastAsia" w:ascii="宋体" w:hAnsi="宋体" w:cs="微软雅黑"/>
          <w:color w:val="auto"/>
          <w:kern w:val="0"/>
          <w:szCs w:val="21"/>
        </w:rPr>
        <w:t>时（北</w:t>
      </w:r>
      <w:r>
        <w:rPr>
          <w:rFonts w:hint="eastAsia" w:ascii="宋体" w:hAnsi="宋体" w:cs="微软雅黑"/>
          <w:color w:val="auto"/>
          <w:spacing w:val="-2"/>
          <w:kern w:val="0"/>
          <w:szCs w:val="21"/>
        </w:rPr>
        <w:t>京</w:t>
      </w:r>
      <w:r>
        <w:rPr>
          <w:rFonts w:hint="eastAsia" w:ascii="宋体" w:hAnsi="宋体" w:cs="微软雅黑"/>
          <w:color w:val="auto"/>
          <w:kern w:val="0"/>
          <w:szCs w:val="21"/>
        </w:rPr>
        <w:t>时</w:t>
      </w:r>
      <w:r>
        <w:rPr>
          <w:rFonts w:hint="eastAsia" w:ascii="宋体" w:hAnsi="宋体" w:cs="微软雅黑"/>
          <w:color w:val="auto"/>
          <w:spacing w:val="-2"/>
          <w:kern w:val="0"/>
          <w:szCs w:val="21"/>
        </w:rPr>
        <w:t>间）</w:t>
      </w:r>
      <w:r>
        <w:rPr>
          <w:rFonts w:hint="eastAsia" w:ascii="宋体" w:hAnsi="宋体" w:cs="微软雅黑"/>
          <w:color w:val="auto"/>
          <w:spacing w:val="-17"/>
          <w:kern w:val="0"/>
          <w:szCs w:val="21"/>
        </w:rPr>
        <w:t>，</w:t>
      </w:r>
      <w:r>
        <w:rPr>
          <w:rFonts w:hint="eastAsia" w:ascii="宋体" w:hAnsi="宋体" w:cs="微软雅黑"/>
          <w:color w:val="auto"/>
          <w:kern w:val="0"/>
          <w:szCs w:val="21"/>
        </w:rPr>
        <w:t xml:space="preserve">在 </w:t>
      </w:r>
      <w:r>
        <w:rPr>
          <w:rFonts w:hint="eastAsia" w:ascii="宋体" w:hAnsi="宋体" w:cs="微软雅黑"/>
          <w:color w:val="auto"/>
          <w:kern w:val="0"/>
          <w:szCs w:val="21"/>
          <w:u w:val="single"/>
        </w:rPr>
        <w:t xml:space="preserve"> 常德众益项目管理咨询有限公司（</w:t>
      </w:r>
      <w:r>
        <w:rPr>
          <w:rFonts w:hint="eastAsia" w:ascii="宋体" w:hAnsi="宋体" w:cs="微软雅黑"/>
          <w:color w:val="auto"/>
          <w:kern w:val="0"/>
          <w:szCs w:val="21"/>
          <w:u w:val="single"/>
          <w:lang w:eastAsia="zh-CN"/>
        </w:rPr>
        <w:t>常德市武陵区上川四季酒店6楼</w:t>
      </w:r>
      <w:r>
        <w:rPr>
          <w:rFonts w:hint="eastAsia" w:ascii="宋体" w:hAnsi="宋体" w:cs="微软雅黑"/>
          <w:color w:val="auto"/>
          <w:kern w:val="0"/>
          <w:szCs w:val="21"/>
          <w:u w:val="single"/>
        </w:rPr>
        <w:t>）</w:t>
      </w:r>
      <w:r>
        <w:rPr>
          <w:rFonts w:ascii="宋体" w:hAnsi="宋体" w:cs="微软雅黑"/>
          <w:color w:val="auto"/>
          <w:kern w:val="0"/>
          <w:szCs w:val="21"/>
          <w:u w:val="single"/>
        </w:rPr>
        <w:t xml:space="preserve"> </w:t>
      </w:r>
      <w:r>
        <w:rPr>
          <w:rFonts w:hint="eastAsia" w:ascii="宋体" w:hAnsi="宋体" w:cs="微软雅黑"/>
          <w:color w:val="auto"/>
          <w:spacing w:val="-2"/>
          <w:kern w:val="0"/>
          <w:szCs w:val="21"/>
        </w:rPr>
        <w:t>持</w:t>
      </w:r>
      <w:r>
        <w:rPr>
          <w:rFonts w:hint="eastAsia" w:ascii="宋体" w:hAnsi="宋体" w:cs="微软雅黑"/>
          <w:color w:val="auto"/>
          <w:kern w:val="0"/>
          <w:szCs w:val="21"/>
        </w:rPr>
        <w:t>本采购邀请</w:t>
      </w:r>
      <w:r>
        <w:rPr>
          <w:rFonts w:hint="eastAsia" w:ascii="宋体" w:hAnsi="宋体" w:cs="微软雅黑"/>
          <w:color w:val="auto"/>
          <w:spacing w:val="-2"/>
          <w:kern w:val="0"/>
          <w:szCs w:val="21"/>
        </w:rPr>
        <w:t>购买</w:t>
      </w:r>
      <w:r>
        <w:rPr>
          <w:rFonts w:hint="eastAsia" w:ascii="宋体" w:hAnsi="宋体" w:cs="微软雅黑"/>
          <w:color w:val="auto"/>
          <w:kern w:val="0"/>
          <w:szCs w:val="21"/>
        </w:rPr>
        <w:t>谈判</w:t>
      </w:r>
      <w:r>
        <w:rPr>
          <w:rFonts w:hint="eastAsia" w:ascii="宋体" w:hAnsi="宋体" w:cs="微软雅黑"/>
          <w:color w:val="auto"/>
          <w:spacing w:val="-2"/>
          <w:kern w:val="0"/>
          <w:szCs w:val="21"/>
        </w:rPr>
        <w:t>文件</w:t>
      </w:r>
      <w:r>
        <w:rPr>
          <w:rFonts w:hint="eastAsia" w:ascii="宋体" w:hAnsi="宋体" w:cs="微软雅黑"/>
          <w:color w:val="auto"/>
          <w:spacing w:val="-14"/>
          <w:kern w:val="0"/>
          <w:szCs w:val="21"/>
        </w:rPr>
        <w:t>。</w:t>
      </w:r>
    </w:p>
    <w:p w14:paraId="0E29156F">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bookmarkStart w:id="9" w:name="_Toc22201059"/>
      <w:bookmarkStart w:id="10" w:name="_Toc19162"/>
      <w:r>
        <w:rPr>
          <w:rFonts w:hint="eastAsia" w:ascii="黑体" w:hAnsi="黑体" w:eastAsia="黑体"/>
          <w:color w:val="auto"/>
        </w:rPr>
        <w:t>五、提交首次响应文件的截止时间、谈判时间及地点</w:t>
      </w:r>
      <w:bookmarkEnd w:id="9"/>
      <w:bookmarkEnd w:id="10"/>
    </w:p>
    <w:p w14:paraId="348AA830">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1、提交首次响应文件的截止时间：</w:t>
      </w:r>
      <w:r>
        <w:rPr>
          <w:rFonts w:hint="eastAsia" w:ascii="宋体" w:hAnsi="宋体"/>
          <w:b/>
          <w:bCs/>
          <w:color w:val="auto"/>
          <w:szCs w:val="21"/>
          <w:u w:val="none"/>
          <w:lang w:val="en-US" w:eastAsia="zh-CN"/>
        </w:rPr>
        <w:t>2026年10月28日09时30分</w:t>
      </w:r>
      <w:r>
        <w:rPr>
          <w:rFonts w:hint="eastAsia" w:ascii="宋体" w:hAnsi="宋体"/>
          <w:color w:val="auto"/>
          <w:szCs w:val="21"/>
          <w:u w:val="none"/>
        </w:rPr>
        <w:t>（</w:t>
      </w:r>
      <w:r>
        <w:rPr>
          <w:rFonts w:hint="eastAsia" w:ascii="宋体" w:hAnsi="宋体"/>
          <w:color w:val="auto"/>
          <w:szCs w:val="21"/>
        </w:rPr>
        <w:t>北京时间）</w:t>
      </w:r>
    </w:p>
    <w:p w14:paraId="4BFAF21D">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2、谈判时间：</w:t>
      </w:r>
      <w:r>
        <w:rPr>
          <w:rFonts w:hint="eastAsia" w:ascii="宋体" w:hAnsi="宋体"/>
          <w:b/>
          <w:bCs/>
          <w:color w:val="auto"/>
          <w:szCs w:val="21"/>
          <w:u w:val="none"/>
          <w:lang w:val="en-US" w:eastAsia="zh-CN"/>
        </w:rPr>
        <w:t>2026年10月28日09时30分</w:t>
      </w:r>
      <w:r>
        <w:rPr>
          <w:rFonts w:hint="eastAsia" w:ascii="宋体" w:hAnsi="宋体"/>
          <w:color w:val="auto"/>
          <w:szCs w:val="21"/>
        </w:rPr>
        <w:t>（北京时间）。</w:t>
      </w:r>
    </w:p>
    <w:p w14:paraId="0E125A02">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3、谈判地点：</w:t>
      </w:r>
      <w:r>
        <w:rPr>
          <w:rFonts w:hint="eastAsia" w:ascii="宋体" w:hAnsi="宋体"/>
          <w:color w:val="auto"/>
          <w:szCs w:val="21"/>
          <w:lang w:eastAsia="zh-CN"/>
        </w:rPr>
        <w:t>常德众益项目管理咨询有限公司</w:t>
      </w:r>
      <w:r>
        <w:rPr>
          <w:rFonts w:hint="eastAsia" w:ascii="宋体" w:hAnsi="宋体"/>
          <w:color w:val="auto"/>
          <w:szCs w:val="21"/>
          <w:lang w:val="en-US" w:eastAsia="zh-CN"/>
        </w:rPr>
        <w:t>开标室</w:t>
      </w:r>
      <w:r>
        <w:rPr>
          <w:rFonts w:hint="eastAsia" w:ascii="宋体" w:hAnsi="宋体"/>
          <w:color w:val="auto"/>
          <w:szCs w:val="21"/>
          <w:lang w:eastAsia="zh-CN"/>
        </w:rPr>
        <w:t>（常德市武陵区上川四季酒店6楼）</w:t>
      </w:r>
      <w:r>
        <w:rPr>
          <w:rFonts w:hint="eastAsia" w:ascii="宋体" w:hAnsi="宋体" w:cs="宋体"/>
          <w:color w:val="auto"/>
        </w:rPr>
        <w:t>。</w:t>
      </w:r>
    </w:p>
    <w:p w14:paraId="1C00752C">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bookmarkStart w:id="11" w:name="_Toc15994"/>
      <w:bookmarkStart w:id="12" w:name="_Toc22201060"/>
      <w:r>
        <w:rPr>
          <w:rFonts w:hint="eastAsia" w:ascii="黑体" w:hAnsi="黑体" w:eastAsia="黑体"/>
          <w:color w:val="auto"/>
        </w:rPr>
        <w:t>六、确认</w:t>
      </w:r>
      <w:bookmarkEnd w:id="11"/>
      <w:bookmarkEnd w:id="12"/>
    </w:p>
    <w:p w14:paraId="78A2385A">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你单位收到本采购邀请后，请于</w:t>
      </w:r>
      <w:r>
        <w:rPr>
          <w:rFonts w:hint="eastAsia" w:ascii="宋体" w:hAnsi="宋体"/>
          <w:b/>
          <w:bCs/>
          <w:color w:val="auto"/>
          <w:szCs w:val="21"/>
          <w:u w:val="none"/>
          <w:lang w:val="en-US" w:eastAsia="zh-CN"/>
        </w:rPr>
        <w:t>2026年10月27日17时00分</w:t>
      </w:r>
      <w:r>
        <w:rPr>
          <w:rFonts w:hint="eastAsia" w:ascii="宋体" w:hAnsi="宋体"/>
          <w:color w:val="auto"/>
          <w:szCs w:val="21"/>
        </w:rPr>
        <w:t>前，以书面形式确认是否参加谈判采购。</w:t>
      </w:r>
    </w:p>
    <w:p w14:paraId="57EB9B56">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bookmarkStart w:id="13" w:name="_Toc22201061"/>
      <w:bookmarkStart w:id="14" w:name="_Toc20477"/>
      <w:r>
        <w:rPr>
          <w:rFonts w:hint="eastAsia" w:ascii="黑体" w:hAnsi="黑体" w:eastAsia="黑体"/>
          <w:color w:val="auto"/>
        </w:rPr>
        <w:t>七、询问及质疑</w:t>
      </w:r>
      <w:bookmarkEnd w:id="13"/>
      <w:bookmarkEnd w:id="14"/>
    </w:p>
    <w:p w14:paraId="5112EFBF">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1、供应商对政府采购活动事项如有疑问的，可以向采购人、采购代理机构提出询问。采购人、采购代理机构将在3个工作日内作出答复。</w:t>
      </w:r>
    </w:p>
    <w:p w14:paraId="37F314C4">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2、供应商认为谈判文件使自己的合法权益受到损害的，可以在收到谈判文件之日起7个工作日内，按《湖南省财政厅关于印发＜政府采购质疑答复和投诉处理操作规程＞的通知》(湘财购〔2019〕20号)规定，以书面形式向采购人、采购代理机构提出质疑。</w:t>
      </w:r>
    </w:p>
    <w:p w14:paraId="6CF80462">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rPr>
      </w:pPr>
      <w:bookmarkStart w:id="15" w:name="_Toc22201062"/>
      <w:bookmarkStart w:id="16" w:name="_Toc6780"/>
      <w:r>
        <w:rPr>
          <w:rFonts w:hint="eastAsia" w:ascii="黑体" w:hAnsi="黑体" w:eastAsia="黑体"/>
          <w:color w:val="auto"/>
        </w:rPr>
        <w:t>八、</w:t>
      </w:r>
      <w:bookmarkEnd w:id="15"/>
      <w:bookmarkStart w:id="17" w:name="_Toc22201063"/>
      <w:r>
        <w:rPr>
          <w:rFonts w:hint="eastAsia" w:ascii="黑体" w:hAnsi="黑体" w:eastAsia="黑体"/>
          <w:color w:val="auto"/>
        </w:rPr>
        <w:t>采购人及其委托的采购代理机构的名称、地址和联系方法</w:t>
      </w:r>
      <w:bookmarkEnd w:id="16"/>
      <w:bookmarkEnd w:id="17"/>
    </w:p>
    <w:p w14:paraId="3CC0149B">
      <w:pPr>
        <w:pageBreakBefore w:val="0"/>
        <w:kinsoku/>
        <w:wordWrap/>
        <w:overflowPunct/>
        <w:topLinePunct w:val="0"/>
        <w:bidi w:val="0"/>
        <w:adjustRightInd w:val="0"/>
        <w:snapToGrid w:val="0"/>
        <w:spacing w:before="156" w:beforeLines="50" w:line="240" w:lineRule="auto"/>
        <w:ind w:firstLine="413" w:firstLineChars="196"/>
        <w:textAlignment w:val="auto"/>
        <w:rPr>
          <w:rFonts w:ascii="宋体" w:hAnsi="宋体"/>
          <w:b/>
          <w:bCs/>
          <w:color w:val="auto"/>
          <w:szCs w:val="21"/>
        </w:rPr>
      </w:pPr>
      <w:bookmarkStart w:id="18" w:name="_Toc22201065"/>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4E95A4EE">
      <w:pPr>
        <w:pageBreakBefore w:val="0"/>
        <w:kinsoku/>
        <w:wordWrap/>
        <w:overflowPunct/>
        <w:topLinePunct w:val="0"/>
        <w:bidi w:val="0"/>
        <w:adjustRightInd w:val="0"/>
        <w:snapToGrid w:val="0"/>
        <w:spacing w:before="156" w:beforeLines="50" w:line="240" w:lineRule="auto"/>
        <w:ind w:firstLine="411" w:firstLineChars="196"/>
        <w:textAlignment w:val="auto"/>
        <w:rPr>
          <w:rFonts w:ascii="宋体" w:hAnsi="宋体"/>
          <w:color w:val="auto"/>
          <w:szCs w:val="21"/>
        </w:rPr>
      </w:pPr>
      <w:r>
        <w:rPr>
          <w:rFonts w:hint="eastAsia" w:ascii="宋体" w:hAnsi="宋体"/>
          <w:b w:val="0"/>
          <w:bCs w:val="0"/>
          <w:color w:val="auto"/>
          <w:szCs w:val="21"/>
        </w:rPr>
        <w:t xml:space="preserve">（1）名 </w:t>
      </w:r>
      <w:r>
        <w:rPr>
          <w:rFonts w:hint="eastAsia" w:ascii="宋体" w:hAnsi="宋体"/>
          <w:b w:val="0"/>
          <w:bCs w:val="0"/>
          <w:color w:val="auto"/>
          <w:szCs w:val="21"/>
          <w:lang w:val="en-US" w:eastAsia="zh-CN"/>
        </w:rPr>
        <w:t xml:space="preserve"> </w:t>
      </w:r>
      <w:r>
        <w:rPr>
          <w:rFonts w:hint="eastAsia" w:ascii="宋体" w:hAnsi="宋体"/>
          <w:b w:val="0"/>
          <w:bCs w:val="0"/>
          <w:color w:val="auto"/>
          <w:szCs w:val="21"/>
        </w:rPr>
        <w:t>称：</w:t>
      </w:r>
      <w:r>
        <w:rPr>
          <w:rFonts w:hint="eastAsia" w:ascii="宋体" w:hAnsi="宋体" w:cs="宋体"/>
          <w:b w:val="0"/>
          <w:bCs/>
          <w:color w:val="auto"/>
          <w:sz w:val="21"/>
          <w:szCs w:val="21"/>
          <w:u w:val="single"/>
          <w:lang w:eastAsia="zh-CN"/>
        </w:rPr>
        <w:t>湖南省津市监狱</w:t>
      </w:r>
      <w:r>
        <w:rPr>
          <w:rFonts w:hint="eastAsia" w:ascii="宋体" w:hAnsi="宋体"/>
          <w:color w:val="auto"/>
          <w:szCs w:val="21"/>
        </w:rPr>
        <w:t xml:space="preserve">                             </w:t>
      </w:r>
    </w:p>
    <w:p w14:paraId="5F01CBCD">
      <w:pPr>
        <w:pageBreakBefore w:val="0"/>
        <w:kinsoku/>
        <w:wordWrap/>
        <w:overflowPunct/>
        <w:topLinePunct w:val="0"/>
        <w:bidi w:val="0"/>
        <w:adjustRightInd w:val="0"/>
        <w:snapToGrid w:val="0"/>
        <w:spacing w:before="156" w:beforeLines="50" w:line="240" w:lineRule="auto"/>
        <w:ind w:firstLine="411" w:firstLineChars="196"/>
        <w:textAlignment w:val="auto"/>
        <w:rPr>
          <w:rFonts w:hint="eastAsia" w:ascii="宋体" w:hAnsi="宋体" w:eastAsia="宋体"/>
          <w:color w:val="auto"/>
          <w:szCs w:val="21"/>
          <w:lang w:eastAsia="zh-CN"/>
        </w:rPr>
      </w:pPr>
      <w:r>
        <w:rPr>
          <w:rFonts w:hint="eastAsia" w:ascii="宋体" w:hAnsi="宋体"/>
          <w:color w:val="auto"/>
          <w:szCs w:val="21"/>
        </w:rPr>
        <w:t>（2）地  址：</w:t>
      </w:r>
      <w:r>
        <w:rPr>
          <w:rFonts w:hint="eastAsia" w:ascii="宋体" w:hAnsi="宋体" w:cs="宋体"/>
          <w:i w:val="0"/>
          <w:caps w:val="0"/>
          <w:color w:val="auto"/>
          <w:spacing w:val="0"/>
          <w:sz w:val="21"/>
          <w:szCs w:val="21"/>
          <w:u w:val="single"/>
          <w:lang w:eastAsia="zh-CN"/>
        </w:rPr>
        <w:t>津市市白羊堤</w:t>
      </w:r>
    </w:p>
    <w:p w14:paraId="76126922">
      <w:pPr>
        <w:pageBreakBefore w:val="0"/>
        <w:kinsoku/>
        <w:wordWrap/>
        <w:overflowPunct/>
        <w:topLinePunct w:val="0"/>
        <w:bidi w:val="0"/>
        <w:adjustRightInd w:val="0"/>
        <w:snapToGrid w:val="0"/>
        <w:spacing w:before="156" w:beforeLines="50" w:line="240" w:lineRule="auto"/>
        <w:ind w:firstLine="411" w:firstLineChars="196"/>
        <w:textAlignment w:val="auto"/>
        <w:rPr>
          <w:rFonts w:hint="eastAsia" w:ascii="宋体" w:hAnsi="宋体"/>
          <w:b w:val="0"/>
          <w:bCs w:val="0"/>
          <w:color w:val="auto"/>
          <w:szCs w:val="21"/>
        </w:rPr>
      </w:pPr>
      <w:r>
        <w:rPr>
          <w:rFonts w:hint="eastAsia" w:ascii="宋体" w:hAnsi="宋体"/>
          <w:b w:val="0"/>
          <w:bCs w:val="0"/>
          <w:color w:val="auto"/>
          <w:szCs w:val="21"/>
        </w:rPr>
        <w:t>（3）联系人</w:t>
      </w:r>
      <w:r>
        <w:rPr>
          <w:rFonts w:hint="eastAsia" w:ascii="宋体" w:hAnsi="宋体"/>
          <w:b w:val="0"/>
          <w:bCs w:val="0"/>
          <w:color w:val="auto"/>
          <w:szCs w:val="21"/>
          <w:lang w:eastAsia="zh-CN"/>
        </w:rPr>
        <w:t>：</w:t>
      </w:r>
      <w:r>
        <w:rPr>
          <w:rFonts w:hint="eastAsia" w:ascii="宋体" w:hAnsi="宋体"/>
          <w:b w:val="0"/>
          <w:bCs w:val="0"/>
          <w:color w:val="auto"/>
          <w:szCs w:val="21"/>
          <w:u w:val="single"/>
          <w:lang w:val="en-US" w:eastAsia="zh-CN"/>
        </w:rPr>
        <w:t>汤志强</w:t>
      </w:r>
      <w:r>
        <w:rPr>
          <w:rFonts w:hint="eastAsia" w:ascii="宋体" w:hAnsi="宋体"/>
          <w:b w:val="0"/>
          <w:bCs w:val="0"/>
          <w:color w:val="auto"/>
          <w:szCs w:val="21"/>
        </w:rPr>
        <w:t xml:space="preserve">                    </w:t>
      </w:r>
    </w:p>
    <w:p w14:paraId="2876C52A">
      <w:pPr>
        <w:pageBreakBefore w:val="0"/>
        <w:kinsoku/>
        <w:wordWrap/>
        <w:overflowPunct/>
        <w:topLinePunct w:val="0"/>
        <w:bidi w:val="0"/>
        <w:adjustRightInd w:val="0"/>
        <w:snapToGrid w:val="0"/>
        <w:spacing w:before="156" w:beforeLines="50" w:line="240" w:lineRule="auto"/>
        <w:ind w:firstLine="411" w:firstLineChars="196"/>
        <w:textAlignment w:val="auto"/>
        <w:rPr>
          <w:rFonts w:hint="default" w:ascii="宋体" w:hAnsi="宋体" w:eastAsia="宋体"/>
          <w:b w:val="0"/>
          <w:bCs w:val="0"/>
          <w:color w:val="auto"/>
          <w:szCs w:val="21"/>
          <w:lang w:val="en-US" w:eastAsia="zh-CN"/>
        </w:rPr>
      </w:pPr>
      <w:r>
        <w:rPr>
          <w:rFonts w:hint="eastAsia" w:ascii="宋体" w:hAnsi="宋体"/>
          <w:b w:val="0"/>
          <w:bCs w:val="0"/>
          <w:color w:val="auto"/>
          <w:szCs w:val="21"/>
        </w:rPr>
        <w:t>（4）电</w:t>
      </w:r>
      <w:r>
        <w:rPr>
          <w:rFonts w:hint="eastAsia" w:ascii="宋体" w:hAnsi="宋体"/>
          <w:b w:val="0"/>
          <w:bCs w:val="0"/>
          <w:color w:val="auto"/>
          <w:szCs w:val="21"/>
          <w:lang w:val="en-US" w:eastAsia="zh-CN"/>
        </w:rPr>
        <w:t xml:space="preserve">  </w:t>
      </w:r>
      <w:r>
        <w:rPr>
          <w:rFonts w:hint="eastAsia" w:ascii="宋体" w:hAnsi="宋体"/>
          <w:b w:val="0"/>
          <w:bCs w:val="0"/>
          <w:color w:val="auto"/>
          <w:szCs w:val="21"/>
        </w:rPr>
        <w:t>话：</w:t>
      </w:r>
      <w:r>
        <w:rPr>
          <w:rFonts w:hint="eastAsia" w:ascii="宋体" w:hAnsi="宋体"/>
          <w:b w:val="0"/>
          <w:bCs w:val="0"/>
          <w:color w:val="auto"/>
          <w:szCs w:val="21"/>
          <w:u w:val="single"/>
          <w:lang w:eastAsia="zh-CN"/>
        </w:rPr>
        <w:t>0736-42982</w:t>
      </w:r>
      <w:r>
        <w:rPr>
          <w:rFonts w:hint="eastAsia" w:ascii="宋体" w:hAnsi="宋体"/>
          <w:b w:val="0"/>
          <w:bCs w:val="0"/>
          <w:color w:val="auto"/>
          <w:szCs w:val="21"/>
          <w:u w:val="single"/>
          <w:lang w:val="en-US" w:eastAsia="zh-CN"/>
        </w:rPr>
        <w:t>22</w:t>
      </w:r>
    </w:p>
    <w:p w14:paraId="7387A93D">
      <w:pPr>
        <w:pageBreakBefore w:val="0"/>
        <w:kinsoku/>
        <w:wordWrap/>
        <w:overflowPunct/>
        <w:topLinePunct w:val="0"/>
        <w:bidi w:val="0"/>
        <w:adjustRightInd w:val="0"/>
        <w:snapToGrid w:val="0"/>
        <w:spacing w:before="156" w:beforeLines="50" w:line="240" w:lineRule="auto"/>
        <w:ind w:firstLine="413" w:firstLineChars="196"/>
        <w:textAlignment w:val="auto"/>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782873F9">
      <w:pPr>
        <w:pageBreakBefore w:val="0"/>
        <w:kinsoku/>
        <w:wordWrap/>
        <w:overflowPunct/>
        <w:topLinePunct w:val="0"/>
        <w:bidi w:val="0"/>
        <w:adjustRightInd w:val="0"/>
        <w:snapToGrid w:val="0"/>
        <w:spacing w:before="156" w:beforeLines="50" w:line="240" w:lineRule="auto"/>
        <w:ind w:firstLine="420" w:firstLineChars="200"/>
        <w:textAlignment w:val="auto"/>
        <w:rPr>
          <w:rFonts w:hint="eastAsia" w:ascii="宋体" w:hAnsi="宋体"/>
          <w:color w:val="auto"/>
          <w:szCs w:val="21"/>
          <w:u w:val="single"/>
        </w:rPr>
      </w:pPr>
      <w:r>
        <w:rPr>
          <w:rFonts w:hint="eastAsia" w:ascii="宋体" w:hAnsi="宋体"/>
          <w:color w:val="auto"/>
          <w:szCs w:val="21"/>
        </w:rPr>
        <w:t>（1）名  称：</w:t>
      </w:r>
      <w:r>
        <w:rPr>
          <w:rFonts w:hint="eastAsia" w:ascii="宋体" w:hAnsi="宋体"/>
          <w:color w:val="auto"/>
          <w:szCs w:val="21"/>
          <w:u w:val="single"/>
        </w:rPr>
        <w:t>常德众益项目管理咨询有限公司</w:t>
      </w:r>
    </w:p>
    <w:p w14:paraId="79ACA4F6">
      <w:pPr>
        <w:pageBreakBefore w:val="0"/>
        <w:kinsoku/>
        <w:wordWrap/>
        <w:overflowPunct/>
        <w:topLinePunct w:val="0"/>
        <w:bidi w:val="0"/>
        <w:adjustRightInd w:val="0"/>
        <w:snapToGrid w:val="0"/>
        <w:spacing w:before="156" w:beforeLines="50" w:line="240" w:lineRule="auto"/>
        <w:ind w:firstLine="420" w:firstLineChars="200"/>
        <w:textAlignment w:val="auto"/>
        <w:rPr>
          <w:rFonts w:hint="eastAsia" w:ascii="宋体" w:hAnsi="宋体"/>
          <w:color w:val="auto"/>
          <w:szCs w:val="21"/>
        </w:rPr>
      </w:pPr>
      <w:r>
        <w:rPr>
          <w:rFonts w:hint="eastAsia" w:ascii="宋体" w:hAnsi="宋体"/>
          <w:color w:val="auto"/>
          <w:szCs w:val="21"/>
        </w:rPr>
        <w:t>（2）地  址：</w:t>
      </w:r>
      <w:r>
        <w:rPr>
          <w:rFonts w:hint="eastAsia" w:ascii="宋体" w:hAnsi="宋体"/>
          <w:color w:val="auto"/>
          <w:szCs w:val="21"/>
          <w:u w:val="single"/>
          <w:lang w:eastAsia="zh-CN"/>
        </w:rPr>
        <w:t>常德市武陵区丹阳路上川四季酒店6楼</w:t>
      </w:r>
    </w:p>
    <w:p w14:paraId="0C0A5D2C">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（3）联系人：</w:t>
      </w:r>
      <w:r>
        <w:rPr>
          <w:rFonts w:hint="eastAsia" w:ascii="宋体" w:hAnsi="宋体"/>
          <w:color w:val="auto"/>
          <w:szCs w:val="21"/>
          <w:u w:val="single"/>
        </w:rPr>
        <w:t>王先强/袁巧玲</w:t>
      </w:r>
      <w:r>
        <w:rPr>
          <w:rFonts w:hint="eastAsia" w:ascii="宋体" w:hAnsi="宋体"/>
          <w:color w:val="auto"/>
          <w:szCs w:val="21"/>
        </w:rPr>
        <w:t xml:space="preserve">                       </w:t>
      </w:r>
    </w:p>
    <w:p w14:paraId="6A0737E0">
      <w:pPr>
        <w:pageBreakBefore w:val="0"/>
        <w:kinsoku/>
        <w:wordWrap/>
        <w:overflowPunct/>
        <w:topLinePunct w:val="0"/>
        <w:bidi w:val="0"/>
        <w:adjustRightInd w:val="0"/>
        <w:snapToGrid w:val="0"/>
        <w:spacing w:before="156" w:beforeLines="50" w:line="240" w:lineRule="auto"/>
        <w:ind w:firstLine="420" w:firstLineChars="200"/>
        <w:textAlignment w:val="auto"/>
        <w:rPr>
          <w:rFonts w:hint="default" w:ascii="宋体" w:hAnsi="宋体" w:eastAsia="宋体"/>
          <w:color w:val="auto"/>
          <w:szCs w:val="21"/>
          <w:lang w:val="en-US" w:eastAsia="zh-CN"/>
        </w:rPr>
      </w:pPr>
      <w:r>
        <w:rPr>
          <w:rFonts w:hint="eastAsia" w:ascii="宋体" w:hAnsi="宋体"/>
          <w:color w:val="auto"/>
          <w:szCs w:val="21"/>
        </w:rPr>
        <w:t>（4）邮  编：</w:t>
      </w:r>
      <w:r>
        <w:rPr>
          <w:rFonts w:hint="eastAsia" w:ascii="宋体" w:hAnsi="宋体"/>
          <w:color w:val="auto"/>
          <w:szCs w:val="21"/>
          <w:u w:val="single"/>
          <w:lang w:val="en-US" w:eastAsia="zh-CN"/>
        </w:rPr>
        <w:t>415000</w:t>
      </w:r>
    </w:p>
    <w:p w14:paraId="1EEDAC62">
      <w:pPr>
        <w:pageBreakBefore w:val="0"/>
        <w:kinsoku/>
        <w:wordWrap/>
        <w:overflowPunct/>
        <w:topLinePunct w:val="0"/>
        <w:bidi w:val="0"/>
        <w:adjustRightInd w:val="0"/>
        <w:snapToGrid w:val="0"/>
        <w:spacing w:before="156" w:beforeLines="50" w:line="240" w:lineRule="auto"/>
        <w:ind w:firstLine="420" w:firstLineChars="200"/>
        <w:textAlignment w:val="auto"/>
        <w:rPr>
          <w:rFonts w:ascii="宋体" w:hAnsi="宋体"/>
          <w:color w:val="auto"/>
          <w:szCs w:val="21"/>
        </w:rPr>
      </w:pPr>
      <w:r>
        <w:rPr>
          <w:rFonts w:hint="eastAsia" w:ascii="宋体" w:hAnsi="宋体"/>
          <w:color w:val="auto"/>
          <w:szCs w:val="21"/>
        </w:rPr>
        <w:t>（5）电  话：</w:t>
      </w:r>
      <w:r>
        <w:rPr>
          <w:rFonts w:ascii="宋体" w:hAnsi="宋体" w:cs="宋体"/>
          <w:color w:val="auto"/>
          <w:kern w:val="0"/>
          <w:sz w:val="21"/>
          <w:szCs w:val="21"/>
          <w:u w:val="single"/>
        </w:rPr>
        <w:t>0736-</w:t>
      </w:r>
      <w:r>
        <w:rPr>
          <w:rFonts w:hint="eastAsia" w:ascii="宋体" w:hAnsi="宋体" w:cs="宋体"/>
          <w:color w:val="auto"/>
          <w:kern w:val="0"/>
          <w:sz w:val="21"/>
          <w:szCs w:val="21"/>
          <w:u w:val="single"/>
          <w:lang w:val="en-US" w:eastAsia="zh-CN"/>
        </w:rPr>
        <w:t>7232568/</w:t>
      </w:r>
      <w:r>
        <w:rPr>
          <w:rFonts w:ascii="宋体" w:hAnsi="宋体" w:cs="宋体"/>
          <w:color w:val="auto"/>
          <w:kern w:val="0"/>
          <w:sz w:val="21"/>
          <w:szCs w:val="21"/>
          <w:u w:val="single"/>
        </w:rPr>
        <w:t>7189788</w:t>
      </w:r>
      <w:r>
        <w:rPr>
          <w:rFonts w:hint="eastAsia" w:ascii="宋体" w:hAnsi="宋体"/>
          <w:color w:val="auto"/>
          <w:szCs w:val="21"/>
        </w:rPr>
        <w:t xml:space="preserve"> </w:t>
      </w:r>
    </w:p>
    <w:p w14:paraId="0ACE1AFA">
      <w:pPr>
        <w:pageBreakBefore w:val="0"/>
        <w:kinsoku/>
        <w:wordWrap/>
        <w:overflowPunct/>
        <w:topLinePunct w:val="0"/>
        <w:bidi w:val="0"/>
        <w:adjustRightInd w:val="0"/>
        <w:snapToGrid w:val="0"/>
        <w:spacing w:before="156" w:beforeLines="50" w:line="240" w:lineRule="auto"/>
        <w:ind w:firstLine="420" w:firstLineChars="200"/>
        <w:textAlignment w:val="auto"/>
        <w:rPr>
          <w:color w:val="auto"/>
          <w:szCs w:val="21"/>
        </w:rPr>
      </w:pPr>
      <w:r>
        <w:rPr>
          <w:rFonts w:hint="eastAsia" w:ascii="宋体" w:hAnsi="宋体"/>
          <w:color w:val="auto"/>
          <w:szCs w:val="21"/>
        </w:rPr>
        <w:t>（6）</w:t>
      </w:r>
      <w:r>
        <w:rPr>
          <w:rFonts w:hint="eastAsia"/>
          <w:color w:val="auto"/>
          <w:szCs w:val="21"/>
        </w:rPr>
        <w:t>电子邮箱：</w:t>
      </w:r>
      <w:r>
        <w:rPr>
          <w:rFonts w:hint="eastAsia" w:ascii="宋体" w:hAnsi="宋体"/>
          <w:color w:val="auto"/>
          <w:szCs w:val="21"/>
          <w:u w:val="single"/>
        </w:rPr>
        <w:t xml:space="preserve"> </w:t>
      </w:r>
      <w:r>
        <w:rPr>
          <w:rFonts w:hint="eastAsia" w:ascii="宋体" w:hAnsi="宋体"/>
          <w:color w:val="auto"/>
          <w:szCs w:val="21"/>
          <w:u w:val="single"/>
          <w:lang w:val="en-US" w:eastAsia="zh-CN"/>
        </w:rPr>
        <w:t>3390865168@qq.com</w:t>
      </w:r>
      <w:r>
        <w:rPr>
          <w:rFonts w:hint="eastAsia" w:ascii="宋体" w:hAnsi="宋体"/>
          <w:color w:val="auto"/>
          <w:szCs w:val="21"/>
          <w:u w:val="single"/>
        </w:rPr>
        <w:t xml:space="preserve"> </w:t>
      </w:r>
    </w:p>
    <w:p w14:paraId="7898AFCC">
      <w:pPr>
        <w:pStyle w:val="3"/>
        <w:pageBreakBefore w:val="0"/>
        <w:kinsoku/>
        <w:wordWrap/>
        <w:overflowPunct/>
        <w:topLinePunct w:val="0"/>
        <w:bidi w:val="0"/>
        <w:adjustRightInd w:val="0"/>
        <w:snapToGrid w:val="0"/>
        <w:spacing w:before="156" w:beforeLines="50" w:line="240" w:lineRule="auto"/>
        <w:textAlignment w:val="auto"/>
        <w:rPr>
          <w:rFonts w:ascii="黑体" w:hAnsi="黑体" w:eastAsia="黑体"/>
          <w:color w:val="auto"/>
          <w:sz w:val="28"/>
          <w:szCs w:val="28"/>
        </w:rPr>
      </w:pPr>
      <w:bookmarkStart w:id="19" w:name="_Toc9029"/>
      <w:bookmarkStart w:id="20" w:name="_Toc22201064"/>
      <w:r>
        <w:rPr>
          <w:rFonts w:hint="eastAsia" w:ascii="黑体" w:hAnsi="黑体" w:eastAsia="黑体"/>
          <w:color w:val="auto"/>
        </w:rPr>
        <w:t>九、其它补充事宜</w:t>
      </w:r>
      <w:bookmarkEnd w:id="19"/>
      <w:bookmarkEnd w:id="20"/>
      <w:r>
        <w:rPr>
          <w:rFonts w:hint="eastAsia" w:ascii="黑体" w:hAnsi="黑体" w:eastAsia="黑体"/>
          <w:color w:val="auto"/>
        </w:rPr>
        <w:t xml:space="preserve"> </w:t>
      </w:r>
    </w:p>
    <w:p w14:paraId="2E4F8738">
      <w:pPr>
        <w:pageBreakBefore w:val="0"/>
        <w:kinsoku/>
        <w:wordWrap/>
        <w:overflowPunct/>
        <w:topLinePunct w:val="0"/>
        <w:bidi w:val="0"/>
        <w:adjustRightInd w:val="0"/>
        <w:snapToGrid w:val="0"/>
        <w:spacing w:before="156" w:beforeLines="50" w:line="240" w:lineRule="auto"/>
        <w:ind w:firstLine="420" w:firstLineChars="200"/>
        <w:jc w:val="left"/>
        <w:textAlignment w:val="auto"/>
        <w:rPr>
          <w:rFonts w:ascii="宋体" w:hAnsi="宋体"/>
          <w:b/>
          <w:color w:val="auto"/>
          <w:szCs w:val="21"/>
        </w:rPr>
      </w:pPr>
      <w:r>
        <w:rPr>
          <w:rFonts w:hint="eastAsia" w:ascii="宋体" w:hAnsi="宋体"/>
          <w:color w:val="auto"/>
          <w:szCs w:val="21"/>
        </w:rPr>
        <w:t>（1）</w:t>
      </w:r>
      <w:r>
        <w:rPr>
          <w:rFonts w:hint="eastAsia" w:ascii="宋体" w:hAnsi="宋体"/>
          <w:b/>
          <w:color w:val="auto"/>
          <w:szCs w:val="21"/>
        </w:rPr>
        <w:t>采购代理服务费</w:t>
      </w:r>
    </w:p>
    <w:p w14:paraId="29F4BB1B">
      <w:pPr>
        <w:pageBreakBefore w:val="0"/>
        <w:kinsoku/>
        <w:wordWrap/>
        <w:overflowPunct/>
        <w:topLinePunct w:val="0"/>
        <w:bidi w:val="0"/>
        <w:adjustRightInd w:val="0"/>
        <w:snapToGrid w:val="0"/>
        <w:spacing w:before="156" w:beforeLines="50" w:line="240" w:lineRule="auto"/>
        <w:ind w:firstLine="420" w:firstLineChars="200"/>
        <w:jc w:val="left"/>
        <w:textAlignment w:val="auto"/>
        <w:rPr>
          <w:rFonts w:ascii="宋体" w:hAnsi="宋体"/>
          <w:b w:val="0"/>
          <w:bCs w:val="0"/>
          <w:color w:val="auto"/>
          <w:sz w:val="21"/>
          <w:szCs w:val="21"/>
          <w:u w:val="single"/>
        </w:rPr>
      </w:pPr>
      <w:r>
        <w:rPr>
          <w:rFonts w:hint="eastAsia" w:ascii="宋体" w:hAnsi="宋体"/>
          <w:color w:val="auto"/>
          <w:szCs w:val="21"/>
        </w:rPr>
        <w:t>开户名称</w:t>
      </w:r>
      <w:r>
        <w:rPr>
          <w:rFonts w:ascii="宋体" w:hAnsi="宋体"/>
          <w:b w:val="0"/>
          <w:bCs/>
          <w:color w:val="auto"/>
          <w:szCs w:val="21"/>
        </w:rPr>
        <w:t>:</w:t>
      </w:r>
      <w:r>
        <w:rPr>
          <w:rFonts w:hint="eastAsia" w:ascii="宋体" w:hAnsi="宋体"/>
          <w:b w:val="0"/>
          <w:bCs/>
          <w:color w:val="auto"/>
          <w:szCs w:val="21"/>
          <w:lang w:val="en-US" w:eastAsia="zh-CN"/>
        </w:rPr>
        <w:t xml:space="preserve"> </w:t>
      </w:r>
      <w:r>
        <w:rPr>
          <w:rFonts w:hint="eastAsia" w:ascii="宋体" w:hAnsi="宋体"/>
          <w:b w:val="0"/>
          <w:bCs w:val="0"/>
          <w:color w:val="auto"/>
          <w:kern w:val="0"/>
          <w:sz w:val="21"/>
          <w:szCs w:val="21"/>
          <w:u w:val="single"/>
        </w:rPr>
        <w:t>常德众益项目管理咨询有限公司</w:t>
      </w:r>
    </w:p>
    <w:p w14:paraId="31F757D5">
      <w:pPr>
        <w:pageBreakBefore w:val="0"/>
        <w:kinsoku/>
        <w:wordWrap/>
        <w:overflowPunct/>
        <w:topLinePunct w:val="0"/>
        <w:bidi w:val="0"/>
        <w:adjustRightInd w:val="0"/>
        <w:snapToGrid w:val="0"/>
        <w:spacing w:before="156" w:beforeLines="50" w:line="240" w:lineRule="auto"/>
        <w:ind w:firstLine="420" w:firstLineChars="200"/>
        <w:jc w:val="left"/>
        <w:textAlignment w:val="auto"/>
        <w:rPr>
          <w:rFonts w:hint="eastAsia" w:ascii="宋体" w:hAnsi="宋体" w:eastAsia="宋体"/>
          <w:b/>
          <w:bCs/>
          <w:color w:val="auto"/>
          <w:kern w:val="0"/>
          <w:sz w:val="24"/>
          <w:lang w:eastAsia="zh-CN"/>
        </w:rPr>
      </w:pPr>
      <w:r>
        <w:rPr>
          <w:rFonts w:hint="eastAsia" w:ascii="宋体" w:hAnsi="宋体"/>
          <w:color w:val="auto"/>
          <w:szCs w:val="21"/>
        </w:rPr>
        <w:t>开</w:t>
      </w:r>
      <w:r>
        <w:rPr>
          <w:rFonts w:hint="eastAsia" w:ascii="宋体" w:hAnsi="宋体"/>
          <w:color w:val="auto"/>
          <w:szCs w:val="21"/>
          <w:lang w:val="en-US" w:eastAsia="zh-CN"/>
        </w:rPr>
        <w:t xml:space="preserve"> </w:t>
      </w:r>
      <w:r>
        <w:rPr>
          <w:rFonts w:hint="eastAsia" w:ascii="宋体" w:hAnsi="宋体"/>
          <w:color w:val="auto"/>
          <w:szCs w:val="21"/>
        </w:rPr>
        <w:t>户</w:t>
      </w:r>
      <w:r>
        <w:rPr>
          <w:rFonts w:hint="eastAsia" w:ascii="宋体" w:hAnsi="宋体"/>
          <w:color w:val="auto"/>
          <w:szCs w:val="21"/>
          <w:lang w:val="en-US" w:eastAsia="zh-CN"/>
        </w:rPr>
        <w:t xml:space="preserve"> </w:t>
      </w:r>
      <w:r>
        <w:rPr>
          <w:rFonts w:hint="eastAsia" w:ascii="宋体" w:hAnsi="宋体"/>
          <w:color w:val="auto"/>
          <w:szCs w:val="21"/>
        </w:rPr>
        <w:t>行：</w:t>
      </w:r>
      <w:r>
        <w:rPr>
          <w:rFonts w:hint="eastAsia" w:ascii="宋体" w:hAnsi="宋体"/>
          <w:b w:val="0"/>
          <w:bCs w:val="0"/>
          <w:color w:val="auto"/>
          <w:kern w:val="0"/>
          <w:sz w:val="21"/>
          <w:szCs w:val="21"/>
          <w:u w:val="single"/>
        </w:rPr>
        <w:t>中国</w:t>
      </w:r>
      <w:r>
        <w:rPr>
          <w:rFonts w:hint="eastAsia" w:ascii="宋体" w:hAnsi="宋体"/>
          <w:b w:val="0"/>
          <w:bCs w:val="0"/>
          <w:color w:val="auto"/>
          <w:kern w:val="0"/>
          <w:sz w:val="21"/>
          <w:szCs w:val="21"/>
          <w:u w:val="single"/>
          <w:lang w:eastAsia="zh-CN"/>
        </w:rPr>
        <w:t>农业</w:t>
      </w:r>
      <w:r>
        <w:rPr>
          <w:rFonts w:hint="eastAsia" w:ascii="宋体" w:hAnsi="宋体"/>
          <w:b w:val="0"/>
          <w:bCs w:val="0"/>
          <w:color w:val="auto"/>
          <w:kern w:val="0"/>
          <w:sz w:val="21"/>
          <w:szCs w:val="21"/>
          <w:u w:val="single"/>
        </w:rPr>
        <w:t>银行股份有限公司常德</w:t>
      </w:r>
      <w:r>
        <w:rPr>
          <w:rFonts w:hint="eastAsia" w:ascii="宋体" w:hAnsi="宋体"/>
          <w:b w:val="0"/>
          <w:bCs w:val="0"/>
          <w:color w:val="auto"/>
          <w:kern w:val="0"/>
          <w:sz w:val="21"/>
          <w:szCs w:val="21"/>
          <w:u w:val="single"/>
          <w:lang w:eastAsia="zh-CN"/>
        </w:rPr>
        <w:t>城东分理处</w:t>
      </w:r>
    </w:p>
    <w:p w14:paraId="779CDE63">
      <w:pPr>
        <w:pageBreakBefore w:val="0"/>
        <w:kinsoku/>
        <w:wordWrap/>
        <w:overflowPunct/>
        <w:topLinePunct w:val="0"/>
        <w:bidi w:val="0"/>
        <w:adjustRightInd w:val="0"/>
        <w:snapToGrid w:val="0"/>
        <w:spacing w:before="156" w:beforeLines="50" w:line="240" w:lineRule="auto"/>
        <w:ind w:firstLine="420" w:firstLineChars="200"/>
        <w:jc w:val="left"/>
        <w:textAlignment w:val="auto"/>
        <w:rPr>
          <w:rFonts w:hint="default" w:ascii="宋体" w:hAnsi="宋体" w:eastAsia="宋体"/>
          <w:color w:val="auto"/>
          <w:szCs w:val="21"/>
          <w:lang w:val="en-US" w:eastAsia="zh-CN"/>
        </w:rPr>
      </w:pPr>
      <w:r>
        <w:rPr>
          <w:rFonts w:hint="eastAsia" w:ascii="宋体" w:hAnsi="宋体"/>
          <w:color w:val="auto"/>
          <w:szCs w:val="21"/>
        </w:rPr>
        <w:t>银行账号：</w:t>
      </w:r>
      <w:r>
        <w:rPr>
          <w:rFonts w:hint="eastAsia" w:ascii="宋体" w:hAnsi="宋体"/>
          <w:b w:val="0"/>
          <w:bCs w:val="0"/>
          <w:color w:val="auto"/>
          <w:kern w:val="0"/>
          <w:sz w:val="21"/>
          <w:szCs w:val="21"/>
          <w:u w:val="single"/>
          <w:lang w:val="en-US" w:eastAsia="zh-CN"/>
        </w:rPr>
        <w:t>18560301040002291</w:t>
      </w:r>
    </w:p>
    <w:p w14:paraId="057CC2A4">
      <w:pPr>
        <w:pageBreakBefore w:val="0"/>
        <w:kinsoku/>
        <w:wordWrap/>
        <w:overflowPunct/>
        <w:topLinePunct w:val="0"/>
        <w:bidi w:val="0"/>
        <w:adjustRightInd w:val="0"/>
        <w:snapToGrid w:val="0"/>
        <w:spacing w:before="156" w:beforeLines="50" w:line="240" w:lineRule="auto"/>
        <w:ind w:firstLine="420" w:firstLineChars="200"/>
        <w:jc w:val="left"/>
        <w:textAlignment w:val="auto"/>
        <w:rPr>
          <w:rFonts w:ascii="宋体" w:hAnsi="宋体"/>
          <w:color w:val="auto"/>
          <w:szCs w:val="21"/>
        </w:rPr>
      </w:pPr>
      <w:r>
        <w:rPr>
          <w:rFonts w:hint="eastAsia" w:ascii="宋体" w:hAnsi="宋体"/>
          <w:color w:val="auto"/>
          <w:szCs w:val="21"/>
        </w:rPr>
        <w:t>财务部联系人：</w:t>
      </w:r>
      <w:r>
        <w:rPr>
          <w:rFonts w:hint="eastAsia" w:ascii="宋体" w:hAnsi="宋体" w:cs="宋体"/>
          <w:color w:val="auto"/>
          <w:kern w:val="0"/>
          <w:sz w:val="21"/>
          <w:szCs w:val="21"/>
          <w:u w:val="single"/>
          <w:lang w:eastAsia="zh-CN"/>
        </w:rPr>
        <w:t>邓杰</w:t>
      </w:r>
    </w:p>
    <w:p w14:paraId="30B56E7B">
      <w:pPr>
        <w:pageBreakBefore w:val="0"/>
        <w:kinsoku/>
        <w:wordWrap/>
        <w:overflowPunct/>
        <w:topLinePunct w:val="0"/>
        <w:bidi w:val="0"/>
        <w:adjustRightInd w:val="0"/>
        <w:snapToGrid w:val="0"/>
        <w:spacing w:before="156" w:beforeLines="50" w:line="240" w:lineRule="auto"/>
        <w:ind w:firstLine="420" w:firstLineChars="200"/>
        <w:jc w:val="left"/>
        <w:textAlignment w:val="auto"/>
        <w:rPr>
          <w:rFonts w:hint="default" w:ascii="宋体" w:hAnsi="宋体" w:eastAsia="宋体"/>
          <w:color w:val="auto"/>
          <w:szCs w:val="21"/>
          <w:lang w:val="en-US" w:eastAsia="zh-CN"/>
        </w:rPr>
      </w:pPr>
      <w:r>
        <w:rPr>
          <w:rFonts w:hint="eastAsia" w:ascii="宋体" w:hAnsi="宋体"/>
          <w:color w:val="auto"/>
          <w:szCs w:val="21"/>
        </w:rPr>
        <w:t xml:space="preserve">财务电话： </w:t>
      </w:r>
      <w:r>
        <w:rPr>
          <w:rFonts w:hint="eastAsia" w:ascii="宋体" w:hAnsi="宋体"/>
          <w:color w:val="auto"/>
          <w:szCs w:val="21"/>
          <w:u w:val="single"/>
          <w:lang w:val="en-US" w:eastAsia="zh-CN"/>
        </w:rPr>
        <w:t>0736-7232568</w:t>
      </w:r>
    </w:p>
    <w:p w14:paraId="0A1D0354">
      <w:pPr>
        <w:pStyle w:val="4"/>
        <w:adjustRightInd w:val="0"/>
        <w:snapToGrid w:val="0"/>
        <w:spacing w:before="0" w:after="0" w:line="360" w:lineRule="auto"/>
        <w:rPr>
          <w:rFonts w:ascii="宋体" w:hAnsi="宋体"/>
          <w:color w:val="auto"/>
          <w:sz w:val="21"/>
          <w:szCs w:val="21"/>
        </w:rPr>
      </w:pPr>
      <w:r>
        <w:rPr>
          <w:rFonts w:ascii="黑体" w:hAnsi="黑体" w:eastAsia="黑体"/>
          <w:b w:val="0"/>
          <w:color w:val="auto"/>
          <w:sz w:val="21"/>
          <w:szCs w:val="21"/>
        </w:rPr>
        <w:br w:type="page"/>
      </w:r>
      <w:bookmarkStart w:id="21" w:name="_Toc28496"/>
      <w:r>
        <w:rPr>
          <w:rFonts w:hint="eastAsia" w:ascii="宋体" w:hAnsi="宋体"/>
          <w:color w:val="auto"/>
          <w:sz w:val="21"/>
          <w:szCs w:val="21"/>
        </w:rPr>
        <w:t>附件：</w:t>
      </w:r>
      <w:r>
        <w:rPr>
          <w:rFonts w:hint="eastAsia" w:ascii="宋体" w:hAnsi="宋体"/>
          <w:color w:val="auto"/>
          <w:spacing w:val="-3"/>
          <w:sz w:val="21"/>
          <w:szCs w:val="21"/>
        </w:rPr>
        <w:t>确</w:t>
      </w:r>
      <w:r>
        <w:rPr>
          <w:rFonts w:hint="eastAsia" w:ascii="宋体" w:hAnsi="宋体"/>
          <w:color w:val="auto"/>
          <w:sz w:val="21"/>
          <w:szCs w:val="21"/>
        </w:rPr>
        <w:t>认通知</w:t>
      </w:r>
      <w:bookmarkEnd w:id="18"/>
      <w:bookmarkEnd w:id="21"/>
    </w:p>
    <w:p w14:paraId="525D6AC6">
      <w:pPr>
        <w:autoSpaceDE w:val="0"/>
        <w:autoSpaceDN w:val="0"/>
        <w:adjustRightInd w:val="0"/>
        <w:snapToGrid w:val="0"/>
        <w:spacing w:before="156" w:beforeLines="50" w:line="360" w:lineRule="auto"/>
        <w:ind w:right="3816"/>
        <w:jc w:val="center"/>
        <w:rPr>
          <w:rFonts w:ascii="黑体" w:hAnsi="黑体" w:eastAsia="黑体" w:cs="微软雅黑"/>
          <w:b/>
          <w:color w:val="auto"/>
          <w:kern w:val="0"/>
          <w:sz w:val="28"/>
          <w:szCs w:val="28"/>
        </w:rPr>
      </w:pPr>
      <w:r>
        <w:rPr>
          <w:rFonts w:hint="eastAsia" w:ascii="黑体" w:hAnsi="黑体" w:eastAsia="黑体" w:cs="微软雅黑"/>
          <w:color w:val="auto"/>
          <w:kern w:val="0"/>
          <w:position w:val="-3"/>
          <w:sz w:val="28"/>
          <w:szCs w:val="28"/>
        </w:rPr>
        <w:t xml:space="preserve">                      </w:t>
      </w:r>
      <w:r>
        <w:rPr>
          <w:rFonts w:hint="eastAsia" w:ascii="黑体" w:hAnsi="黑体" w:eastAsia="黑体" w:cs="微软雅黑"/>
          <w:b/>
          <w:color w:val="auto"/>
          <w:kern w:val="0"/>
          <w:position w:val="-3"/>
          <w:sz w:val="28"/>
          <w:szCs w:val="28"/>
        </w:rPr>
        <w:t xml:space="preserve"> 确认通知</w:t>
      </w:r>
    </w:p>
    <w:p w14:paraId="0862ED7C">
      <w:pPr>
        <w:tabs>
          <w:tab w:val="left" w:pos="1980"/>
        </w:tabs>
        <w:autoSpaceDE w:val="0"/>
        <w:autoSpaceDN w:val="0"/>
        <w:adjustRightInd w:val="0"/>
        <w:snapToGrid w:val="0"/>
        <w:spacing w:before="156" w:beforeLines="50" w:line="360" w:lineRule="auto"/>
        <w:ind w:right="-20"/>
        <w:jc w:val="left"/>
        <w:rPr>
          <w:rFonts w:ascii="宋体" w:hAnsi="宋体" w:cs="微软雅黑"/>
          <w:color w:val="auto"/>
          <w:spacing w:val="-108"/>
          <w:kern w:val="0"/>
          <w:position w:val="-2"/>
          <w:szCs w:val="21"/>
        </w:rPr>
      </w:pPr>
      <w:r>
        <w:rPr>
          <w:rFonts w:ascii="宋体" w:hAnsi="宋体" w:cs="微软雅黑"/>
          <w:color w:val="auto"/>
          <w:w w:val="169"/>
          <w:kern w:val="0"/>
          <w:position w:val="-2"/>
          <w:szCs w:val="21"/>
          <w:u w:val="single"/>
        </w:rPr>
        <w:t xml:space="preserve"> </w:t>
      </w:r>
      <w:r>
        <w:rPr>
          <w:rFonts w:hint="eastAsia" w:ascii="宋体" w:hAnsi="宋体" w:cs="微软雅黑"/>
          <w:color w:val="auto"/>
          <w:w w:val="169"/>
          <w:kern w:val="0"/>
          <w:position w:val="-2"/>
          <w:szCs w:val="21"/>
          <w:u w:val="single"/>
        </w:rPr>
        <w:t xml:space="preserve">        </w:t>
      </w:r>
      <w:r>
        <w:rPr>
          <w:rFonts w:hint="eastAsia" w:ascii="宋体" w:hAnsi="宋体" w:cs="微软雅黑"/>
          <w:color w:val="auto"/>
          <w:kern w:val="0"/>
          <w:position w:val="-2"/>
          <w:szCs w:val="21"/>
        </w:rPr>
        <w:t>（采购人、采购代理机构</w:t>
      </w:r>
      <w:r>
        <w:rPr>
          <w:rFonts w:hint="eastAsia" w:ascii="宋体" w:hAnsi="宋体" w:cs="微软雅黑"/>
          <w:color w:val="auto"/>
          <w:spacing w:val="-2"/>
          <w:kern w:val="0"/>
          <w:szCs w:val="21"/>
        </w:rPr>
        <w:t>）：</w:t>
      </w:r>
    </w:p>
    <w:p w14:paraId="63969EBE">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color w:val="auto"/>
          <w:kern w:val="0"/>
          <w:szCs w:val="21"/>
        </w:rPr>
      </w:pPr>
      <w:r>
        <w:rPr>
          <w:rFonts w:hint="eastAsia" w:ascii="宋体" w:hAnsi="宋体" w:cs="微软雅黑"/>
          <w:color w:val="auto"/>
          <w:kern w:val="0"/>
          <w:position w:val="-2"/>
          <w:szCs w:val="21"/>
        </w:rPr>
        <w:t>我单位</w:t>
      </w:r>
      <w:r>
        <w:rPr>
          <w:rFonts w:hint="eastAsia" w:ascii="宋体" w:hAnsi="宋体" w:cs="微软雅黑"/>
          <w:color w:val="auto"/>
          <w:spacing w:val="-2"/>
          <w:kern w:val="0"/>
          <w:position w:val="-2"/>
          <w:szCs w:val="21"/>
        </w:rPr>
        <w:t>已</w:t>
      </w:r>
      <w:r>
        <w:rPr>
          <w:rFonts w:hint="eastAsia" w:ascii="宋体" w:hAnsi="宋体" w:cs="微软雅黑"/>
          <w:color w:val="auto"/>
          <w:kern w:val="0"/>
          <w:position w:val="-2"/>
          <w:szCs w:val="21"/>
        </w:rPr>
        <w:t>于</w:t>
      </w:r>
      <w:r>
        <w:rPr>
          <w:rFonts w:ascii="宋体" w:hAnsi="宋体" w:cs="微软雅黑"/>
          <w:color w:val="auto"/>
          <w:w w:val="169"/>
          <w:kern w:val="0"/>
          <w:position w:val="-2"/>
          <w:szCs w:val="21"/>
          <w:u w:val="single"/>
        </w:rPr>
        <w:t xml:space="preserve"> </w:t>
      </w:r>
      <w:r>
        <w:rPr>
          <w:rFonts w:hint="eastAsia" w:ascii="宋体" w:hAnsi="宋体" w:cs="微软雅黑"/>
          <w:color w:val="auto"/>
          <w:w w:val="169"/>
          <w:kern w:val="0"/>
          <w:position w:val="-2"/>
          <w:szCs w:val="21"/>
          <w:u w:val="single"/>
        </w:rPr>
        <w:t xml:space="preserve">    </w:t>
      </w:r>
      <w:r>
        <w:rPr>
          <w:rFonts w:hint="eastAsia" w:ascii="宋体" w:hAnsi="宋体" w:cs="微软雅黑"/>
          <w:color w:val="auto"/>
          <w:spacing w:val="1"/>
          <w:kern w:val="0"/>
          <w:position w:val="-2"/>
          <w:szCs w:val="21"/>
        </w:rPr>
        <w:t>年</w:t>
      </w:r>
      <w:r>
        <w:rPr>
          <w:rFonts w:ascii="宋体" w:hAnsi="宋体" w:cs="微软雅黑"/>
          <w:color w:val="auto"/>
          <w:w w:val="169"/>
          <w:kern w:val="0"/>
          <w:position w:val="-2"/>
          <w:szCs w:val="21"/>
          <w:u w:val="single"/>
        </w:rPr>
        <w:t xml:space="preserve"> </w:t>
      </w:r>
      <w:r>
        <w:rPr>
          <w:rFonts w:hint="eastAsia" w:ascii="宋体" w:hAnsi="宋体" w:cs="微软雅黑"/>
          <w:color w:val="auto"/>
          <w:w w:val="169"/>
          <w:kern w:val="0"/>
          <w:position w:val="-2"/>
          <w:szCs w:val="21"/>
          <w:u w:val="single"/>
        </w:rPr>
        <w:t xml:space="preserve"> </w:t>
      </w:r>
      <w:r>
        <w:rPr>
          <w:rFonts w:hint="eastAsia" w:ascii="宋体" w:hAnsi="宋体" w:cs="微软雅黑"/>
          <w:color w:val="auto"/>
          <w:kern w:val="0"/>
          <w:position w:val="-2"/>
          <w:szCs w:val="21"/>
        </w:rPr>
        <w:t>月</w:t>
      </w:r>
      <w:r>
        <w:rPr>
          <w:rFonts w:ascii="宋体" w:hAnsi="宋体" w:cs="微软雅黑"/>
          <w:color w:val="auto"/>
          <w:w w:val="169"/>
          <w:kern w:val="0"/>
          <w:position w:val="-2"/>
          <w:szCs w:val="21"/>
          <w:u w:val="single"/>
        </w:rPr>
        <w:t xml:space="preserve"> </w:t>
      </w:r>
      <w:r>
        <w:rPr>
          <w:rFonts w:hint="eastAsia" w:ascii="宋体" w:hAnsi="宋体" w:cs="微软雅黑"/>
          <w:color w:val="auto"/>
          <w:w w:val="169"/>
          <w:kern w:val="0"/>
          <w:position w:val="-2"/>
          <w:szCs w:val="21"/>
          <w:u w:val="single"/>
        </w:rPr>
        <w:t xml:space="preserve"> </w:t>
      </w:r>
      <w:r>
        <w:rPr>
          <w:rFonts w:hint="eastAsia" w:ascii="宋体" w:hAnsi="宋体" w:cs="微软雅黑"/>
          <w:color w:val="auto"/>
          <w:spacing w:val="-2"/>
          <w:kern w:val="0"/>
          <w:position w:val="-2"/>
          <w:szCs w:val="21"/>
        </w:rPr>
        <w:t>日</w:t>
      </w:r>
      <w:r>
        <w:rPr>
          <w:rFonts w:hint="eastAsia" w:ascii="宋体" w:hAnsi="宋体" w:cs="微软雅黑"/>
          <w:color w:val="auto"/>
          <w:kern w:val="0"/>
          <w:position w:val="-2"/>
          <w:szCs w:val="21"/>
        </w:rPr>
        <w:t>收</w:t>
      </w:r>
      <w:r>
        <w:rPr>
          <w:rFonts w:hint="eastAsia" w:ascii="宋体" w:hAnsi="宋体" w:cs="微软雅黑"/>
          <w:color w:val="auto"/>
          <w:spacing w:val="-2"/>
          <w:kern w:val="0"/>
          <w:position w:val="-2"/>
          <w:szCs w:val="21"/>
        </w:rPr>
        <w:t>到</w:t>
      </w:r>
      <w:r>
        <w:rPr>
          <w:rFonts w:hint="eastAsia" w:ascii="宋体" w:hAnsi="宋体" w:cs="微软雅黑"/>
          <w:color w:val="auto"/>
          <w:kern w:val="0"/>
          <w:position w:val="-2"/>
          <w:szCs w:val="21"/>
        </w:rPr>
        <w:t>你单位</w:t>
      </w:r>
      <w:r>
        <w:rPr>
          <w:rFonts w:ascii="宋体" w:hAnsi="宋体" w:cs="微软雅黑"/>
          <w:color w:val="auto"/>
          <w:w w:val="169"/>
          <w:kern w:val="0"/>
          <w:position w:val="-2"/>
          <w:szCs w:val="21"/>
          <w:u w:val="single"/>
        </w:rPr>
        <w:t xml:space="preserve"> </w:t>
      </w:r>
      <w:r>
        <w:rPr>
          <w:rFonts w:hint="eastAsia" w:ascii="宋体" w:hAnsi="宋体" w:cs="微软雅黑"/>
          <w:color w:val="auto"/>
          <w:w w:val="169"/>
          <w:kern w:val="0"/>
          <w:position w:val="-2"/>
          <w:szCs w:val="21"/>
          <w:u w:val="single"/>
        </w:rPr>
        <w:t xml:space="preserve">   </w:t>
      </w:r>
      <w:r>
        <w:rPr>
          <w:rFonts w:hint="eastAsia" w:ascii="宋体" w:hAnsi="宋体" w:cs="微软雅黑"/>
          <w:color w:val="auto"/>
          <w:kern w:val="0"/>
          <w:position w:val="-2"/>
          <w:szCs w:val="21"/>
        </w:rPr>
        <w:t>年</w:t>
      </w:r>
      <w:r>
        <w:rPr>
          <w:rFonts w:ascii="宋体" w:hAnsi="宋体" w:cs="微软雅黑"/>
          <w:color w:val="auto"/>
          <w:w w:val="169"/>
          <w:kern w:val="0"/>
          <w:position w:val="-2"/>
          <w:szCs w:val="21"/>
          <w:u w:val="single"/>
        </w:rPr>
        <w:t xml:space="preserve"> </w:t>
      </w:r>
      <w:r>
        <w:rPr>
          <w:rFonts w:hint="eastAsia" w:ascii="宋体" w:hAnsi="宋体" w:cs="微软雅黑"/>
          <w:color w:val="auto"/>
          <w:w w:val="169"/>
          <w:kern w:val="0"/>
          <w:position w:val="-2"/>
          <w:szCs w:val="21"/>
          <w:u w:val="single"/>
        </w:rPr>
        <w:t xml:space="preserve"> </w:t>
      </w:r>
      <w:r>
        <w:rPr>
          <w:rFonts w:hint="eastAsia" w:ascii="宋体" w:hAnsi="宋体" w:cs="微软雅黑"/>
          <w:color w:val="auto"/>
          <w:spacing w:val="1"/>
          <w:kern w:val="0"/>
          <w:position w:val="-2"/>
          <w:szCs w:val="21"/>
        </w:rPr>
        <w:t>月</w:t>
      </w:r>
      <w:r>
        <w:rPr>
          <w:rFonts w:ascii="宋体" w:hAnsi="宋体" w:cs="微软雅黑"/>
          <w:color w:val="auto"/>
          <w:w w:val="169"/>
          <w:kern w:val="0"/>
          <w:position w:val="-2"/>
          <w:szCs w:val="21"/>
          <w:u w:val="single"/>
        </w:rPr>
        <w:t xml:space="preserve"> </w:t>
      </w:r>
      <w:r>
        <w:rPr>
          <w:rFonts w:hint="eastAsia" w:ascii="宋体" w:hAnsi="宋体" w:cs="微软雅黑"/>
          <w:color w:val="auto"/>
          <w:w w:val="169"/>
          <w:kern w:val="0"/>
          <w:position w:val="-2"/>
          <w:szCs w:val="21"/>
          <w:u w:val="single"/>
        </w:rPr>
        <w:t xml:space="preserve"> </w:t>
      </w:r>
      <w:r>
        <w:rPr>
          <w:rFonts w:hint="eastAsia" w:ascii="宋体" w:hAnsi="宋体" w:cs="微软雅黑"/>
          <w:color w:val="auto"/>
          <w:kern w:val="0"/>
          <w:position w:val="-2"/>
          <w:szCs w:val="21"/>
        </w:rPr>
        <w:t>日发</w:t>
      </w:r>
      <w:r>
        <w:rPr>
          <w:rFonts w:hint="eastAsia" w:ascii="宋体" w:hAnsi="宋体" w:cs="微软雅黑"/>
          <w:color w:val="auto"/>
          <w:spacing w:val="-2"/>
          <w:kern w:val="0"/>
          <w:position w:val="-2"/>
          <w:szCs w:val="21"/>
        </w:rPr>
        <w:t>出</w:t>
      </w:r>
      <w:r>
        <w:rPr>
          <w:rFonts w:hint="eastAsia" w:ascii="宋体" w:hAnsi="宋体" w:cs="微软雅黑"/>
          <w:color w:val="auto"/>
          <w:kern w:val="0"/>
          <w:position w:val="-2"/>
          <w:szCs w:val="21"/>
        </w:rPr>
        <w:t>的</w:t>
      </w:r>
      <w:r>
        <w:rPr>
          <w:rFonts w:ascii="宋体" w:hAnsi="宋体" w:cs="微软雅黑"/>
          <w:color w:val="auto"/>
          <w:spacing w:val="43"/>
          <w:kern w:val="0"/>
          <w:position w:val="-2"/>
          <w:szCs w:val="21"/>
          <w:u w:val="single"/>
        </w:rPr>
        <w:t xml:space="preserve"> </w:t>
      </w:r>
      <w:r>
        <w:rPr>
          <w:rFonts w:hint="eastAsia" w:ascii="宋体" w:hAnsi="宋体" w:cs="微软雅黑"/>
          <w:color w:val="auto"/>
          <w:spacing w:val="43"/>
          <w:kern w:val="0"/>
          <w:position w:val="-2"/>
          <w:szCs w:val="21"/>
          <w:u w:val="single"/>
        </w:rPr>
        <w:t xml:space="preserve">    </w:t>
      </w:r>
      <w:r>
        <w:rPr>
          <w:rFonts w:hint="eastAsia" w:ascii="宋体" w:hAnsi="宋体" w:cs="微软雅黑"/>
          <w:color w:val="auto"/>
          <w:spacing w:val="-2"/>
          <w:kern w:val="0"/>
          <w:position w:val="-2"/>
          <w:szCs w:val="21"/>
        </w:rPr>
        <w:t>（</w:t>
      </w:r>
      <w:r>
        <w:rPr>
          <w:rFonts w:hint="eastAsia" w:ascii="宋体" w:hAnsi="宋体" w:cs="微软雅黑"/>
          <w:color w:val="auto"/>
          <w:kern w:val="0"/>
          <w:position w:val="-2"/>
          <w:szCs w:val="21"/>
        </w:rPr>
        <w:t>项</w:t>
      </w:r>
      <w:r>
        <w:rPr>
          <w:rFonts w:hint="eastAsia" w:ascii="宋体" w:hAnsi="宋体" w:cs="微软雅黑"/>
          <w:color w:val="auto"/>
          <w:spacing w:val="-2"/>
          <w:kern w:val="0"/>
          <w:position w:val="-2"/>
          <w:szCs w:val="21"/>
        </w:rPr>
        <w:t>目</w:t>
      </w:r>
      <w:r>
        <w:rPr>
          <w:rFonts w:hint="eastAsia" w:ascii="宋体" w:hAnsi="宋体" w:cs="微软雅黑"/>
          <w:color w:val="auto"/>
          <w:kern w:val="0"/>
          <w:position w:val="-2"/>
          <w:szCs w:val="21"/>
        </w:rPr>
        <w:t>名称</w:t>
      </w:r>
      <w:r>
        <w:rPr>
          <w:rFonts w:hint="eastAsia" w:ascii="宋体" w:hAnsi="宋体" w:cs="微软雅黑"/>
          <w:color w:val="auto"/>
          <w:spacing w:val="-22"/>
          <w:kern w:val="0"/>
          <w:position w:val="-2"/>
          <w:szCs w:val="21"/>
        </w:rPr>
        <w:t>）</w:t>
      </w:r>
      <w:r>
        <w:rPr>
          <w:rFonts w:hint="eastAsia" w:ascii="宋体" w:hAnsi="宋体" w:cs="微软雅黑"/>
          <w:color w:val="auto"/>
          <w:kern w:val="0"/>
          <w:position w:val="-2"/>
          <w:szCs w:val="21"/>
        </w:rPr>
        <w:t>谈判邀</w:t>
      </w:r>
      <w:r>
        <w:rPr>
          <w:rFonts w:hint="eastAsia" w:ascii="宋体" w:hAnsi="宋体" w:cs="微软雅黑"/>
          <w:color w:val="auto"/>
          <w:spacing w:val="-2"/>
          <w:kern w:val="0"/>
          <w:position w:val="-2"/>
          <w:szCs w:val="21"/>
        </w:rPr>
        <w:t>请</w:t>
      </w:r>
      <w:r>
        <w:rPr>
          <w:rFonts w:hint="eastAsia" w:ascii="宋体" w:hAnsi="宋体" w:cs="微软雅黑"/>
          <w:color w:val="auto"/>
          <w:spacing w:val="-22"/>
          <w:kern w:val="0"/>
          <w:position w:val="-2"/>
          <w:szCs w:val="21"/>
        </w:rPr>
        <w:t>，</w:t>
      </w:r>
      <w:r>
        <w:rPr>
          <w:rFonts w:hint="eastAsia" w:ascii="宋体" w:hAnsi="宋体" w:cs="微软雅黑"/>
          <w:color w:val="auto"/>
          <w:spacing w:val="-2"/>
          <w:kern w:val="0"/>
          <w:position w:val="-2"/>
          <w:szCs w:val="21"/>
        </w:rPr>
        <w:t>确</w:t>
      </w:r>
      <w:r>
        <w:rPr>
          <w:rFonts w:hint="eastAsia" w:ascii="宋体" w:hAnsi="宋体" w:cs="微软雅黑"/>
          <w:color w:val="auto"/>
          <w:kern w:val="0"/>
          <w:position w:val="-2"/>
          <w:szCs w:val="21"/>
        </w:rPr>
        <w:t>认</w:t>
      </w:r>
      <w:r>
        <w:rPr>
          <w:rFonts w:ascii="宋体" w:hAnsi="宋体" w:cs="微软雅黑"/>
          <w:color w:val="auto"/>
          <w:spacing w:val="43"/>
          <w:kern w:val="0"/>
          <w:position w:val="-2"/>
          <w:szCs w:val="21"/>
          <w:u w:val="single"/>
        </w:rPr>
        <w:t xml:space="preserve"> </w:t>
      </w:r>
      <w:r>
        <w:rPr>
          <w:rFonts w:hint="eastAsia" w:ascii="宋体" w:hAnsi="宋体" w:cs="微软雅黑"/>
          <w:color w:val="auto"/>
          <w:spacing w:val="43"/>
          <w:kern w:val="0"/>
          <w:position w:val="-2"/>
          <w:szCs w:val="21"/>
          <w:u w:val="single"/>
        </w:rPr>
        <w:t xml:space="preserve">   </w:t>
      </w:r>
      <w:r>
        <w:rPr>
          <w:rFonts w:hint="eastAsia" w:ascii="宋体" w:hAnsi="宋体" w:cs="微软雅黑"/>
          <w:color w:val="auto"/>
          <w:spacing w:val="-2"/>
          <w:kern w:val="0"/>
          <w:position w:val="-2"/>
          <w:szCs w:val="21"/>
        </w:rPr>
        <w:t>（参</w:t>
      </w:r>
      <w:r>
        <w:rPr>
          <w:rFonts w:hint="eastAsia" w:ascii="宋体" w:hAnsi="宋体" w:cs="微软雅黑"/>
          <w:color w:val="auto"/>
          <w:kern w:val="0"/>
          <w:szCs w:val="21"/>
        </w:rPr>
        <w:t>加</w:t>
      </w:r>
      <w:r>
        <w:rPr>
          <w:rFonts w:ascii="宋体" w:hAnsi="宋体"/>
          <w:color w:val="auto"/>
          <w:spacing w:val="-1"/>
          <w:kern w:val="0"/>
          <w:szCs w:val="21"/>
        </w:rPr>
        <w:t>/</w:t>
      </w:r>
      <w:r>
        <w:rPr>
          <w:rFonts w:hint="eastAsia" w:ascii="宋体" w:hAnsi="宋体" w:cs="微软雅黑"/>
          <w:color w:val="auto"/>
          <w:kern w:val="0"/>
          <w:szCs w:val="21"/>
        </w:rPr>
        <w:t>不</w:t>
      </w:r>
      <w:r>
        <w:rPr>
          <w:rFonts w:hint="eastAsia" w:ascii="宋体" w:hAnsi="宋体" w:cs="微软雅黑"/>
          <w:color w:val="auto"/>
          <w:spacing w:val="-2"/>
          <w:kern w:val="0"/>
          <w:szCs w:val="21"/>
        </w:rPr>
        <w:t>参</w:t>
      </w:r>
      <w:r>
        <w:rPr>
          <w:rFonts w:hint="eastAsia" w:ascii="宋体" w:hAnsi="宋体" w:cs="微软雅黑"/>
          <w:color w:val="auto"/>
          <w:kern w:val="0"/>
          <w:szCs w:val="21"/>
        </w:rPr>
        <w:t>加</w:t>
      </w:r>
      <w:r>
        <w:rPr>
          <w:rFonts w:hint="eastAsia" w:ascii="宋体" w:hAnsi="宋体" w:cs="微软雅黑"/>
          <w:color w:val="auto"/>
          <w:spacing w:val="-2"/>
          <w:kern w:val="0"/>
          <w:szCs w:val="21"/>
        </w:rPr>
        <w:t>）</w:t>
      </w:r>
      <w:r>
        <w:rPr>
          <w:rFonts w:hint="eastAsia" w:ascii="宋体" w:hAnsi="宋体" w:cs="微软雅黑"/>
          <w:color w:val="auto"/>
          <w:kern w:val="0"/>
          <w:szCs w:val="21"/>
        </w:rPr>
        <w:t>谈判采购。</w:t>
      </w:r>
    </w:p>
    <w:p w14:paraId="6F376A7A">
      <w:pPr>
        <w:autoSpaceDE w:val="0"/>
        <w:autoSpaceDN w:val="0"/>
        <w:adjustRightInd w:val="0"/>
        <w:snapToGrid w:val="0"/>
        <w:spacing w:before="156" w:beforeLines="50" w:line="360" w:lineRule="auto"/>
        <w:ind w:left="487" w:right="7230"/>
        <w:jc w:val="center"/>
        <w:rPr>
          <w:rFonts w:ascii="宋体" w:hAnsi="宋体" w:cs="微软雅黑"/>
          <w:color w:val="auto"/>
          <w:kern w:val="0"/>
          <w:szCs w:val="21"/>
        </w:rPr>
      </w:pPr>
      <w:r>
        <w:rPr>
          <w:rFonts w:hint="eastAsia" w:ascii="宋体" w:hAnsi="宋体" w:cs="微软雅黑"/>
          <w:color w:val="auto"/>
          <w:spacing w:val="-2"/>
          <w:kern w:val="0"/>
          <w:position w:val="-4"/>
          <w:szCs w:val="21"/>
        </w:rPr>
        <w:t>特</w:t>
      </w:r>
      <w:r>
        <w:rPr>
          <w:rFonts w:hint="eastAsia" w:ascii="宋体" w:hAnsi="宋体" w:cs="微软雅黑"/>
          <w:color w:val="auto"/>
          <w:kern w:val="0"/>
          <w:position w:val="-4"/>
          <w:szCs w:val="21"/>
        </w:rPr>
        <w:t>此</w:t>
      </w:r>
      <w:r>
        <w:rPr>
          <w:rFonts w:hint="eastAsia" w:ascii="宋体" w:hAnsi="宋体" w:cs="微软雅黑"/>
          <w:color w:val="auto"/>
          <w:spacing w:val="-2"/>
          <w:kern w:val="0"/>
          <w:position w:val="-4"/>
          <w:szCs w:val="21"/>
        </w:rPr>
        <w:t>确</w:t>
      </w:r>
      <w:r>
        <w:rPr>
          <w:rFonts w:hint="eastAsia" w:ascii="宋体" w:hAnsi="宋体" w:cs="微软雅黑"/>
          <w:color w:val="auto"/>
          <w:kern w:val="0"/>
          <w:position w:val="-4"/>
          <w:szCs w:val="21"/>
        </w:rPr>
        <w:t>认。</w:t>
      </w:r>
    </w:p>
    <w:p w14:paraId="7CA464A1">
      <w:pPr>
        <w:autoSpaceDE w:val="0"/>
        <w:autoSpaceDN w:val="0"/>
        <w:adjustRightInd w:val="0"/>
        <w:snapToGrid w:val="0"/>
        <w:spacing w:before="156" w:beforeLines="50" w:line="360" w:lineRule="auto"/>
        <w:jc w:val="left"/>
        <w:rPr>
          <w:rFonts w:ascii="宋体" w:hAnsi="宋体" w:cs="微软雅黑"/>
          <w:color w:val="auto"/>
          <w:kern w:val="0"/>
          <w:sz w:val="20"/>
          <w:szCs w:val="20"/>
        </w:rPr>
      </w:pPr>
    </w:p>
    <w:p w14:paraId="6A2D7B74">
      <w:pPr>
        <w:tabs>
          <w:tab w:val="left" w:pos="7220"/>
        </w:tabs>
        <w:autoSpaceDE w:val="0"/>
        <w:autoSpaceDN w:val="0"/>
        <w:adjustRightInd w:val="0"/>
        <w:snapToGrid w:val="0"/>
        <w:spacing w:before="156" w:beforeLines="50" w:line="360" w:lineRule="auto"/>
        <w:ind w:left="3041" w:right="-20"/>
        <w:jc w:val="left"/>
        <w:rPr>
          <w:rFonts w:ascii="宋体" w:hAnsi="宋体" w:cs="微软雅黑"/>
          <w:color w:val="auto"/>
          <w:kern w:val="0"/>
          <w:szCs w:val="21"/>
        </w:rPr>
      </w:pPr>
      <w:r>
        <w:rPr>
          <w:rFonts w:hint="eastAsia" w:ascii="宋体" w:hAnsi="宋体" w:cs="微软雅黑"/>
          <w:color w:val="auto"/>
          <w:kern w:val="0"/>
          <w:position w:val="-2"/>
          <w:szCs w:val="21"/>
        </w:rPr>
        <w:t>单</w:t>
      </w:r>
      <w:r>
        <w:rPr>
          <w:rFonts w:hint="eastAsia" w:ascii="宋体" w:hAnsi="宋体" w:cs="微软雅黑"/>
          <w:color w:val="auto"/>
          <w:spacing w:val="-2"/>
          <w:kern w:val="0"/>
          <w:position w:val="-2"/>
          <w:szCs w:val="21"/>
        </w:rPr>
        <w:t>位</w:t>
      </w:r>
      <w:r>
        <w:rPr>
          <w:rFonts w:hint="eastAsia" w:ascii="宋体" w:hAnsi="宋体" w:cs="微软雅黑"/>
          <w:color w:val="auto"/>
          <w:kern w:val="0"/>
          <w:position w:val="-2"/>
          <w:szCs w:val="21"/>
        </w:rPr>
        <w:t>名</w:t>
      </w:r>
      <w:r>
        <w:rPr>
          <w:rFonts w:hint="eastAsia" w:ascii="宋体" w:hAnsi="宋体" w:cs="微软雅黑"/>
          <w:color w:val="auto"/>
          <w:spacing w:val="-2"/>
          <w:kern w:val="0"/>
          <w:position w:val="-2"/>
          <w:szCs w:val="21"/>
        </w:rPr>
        <w:t>称（盖单位公章）</w:t>
      </w:r>
      <w:r>
        <w:rPr>
          <w:rFonts w:hint="eastAsia" w:ascii="宋体" w:hAnsi="宋体" w:cs="微软雅黑"/>
          <w:color w:val="auto"/>
          <w:kern w:val="0"/>
          <w:position w:val="-2"/>
          <w:szCs w:val="21"/>
        </w:rPr>
        <w:t>：</w:t>
      </w:r>
      <w:r>
        <w:rPr>
          <w:rFonts w:ascii="宋体" w:hAnsi="宋体" w:cs="微软雅黑"/>
          <w:color w:val="auto"/>
          <w:spacing w:val="43"/>
          <w:kern w:val="0"/>
          <w:position w:val="-2"/>
          <w:szCs w:val="21"/>
          <w:u w:val="single"/>
        </w:rPr>
        <w:t xml:space="preserve"> </w:t>
      </w:r>
      <w:r>
        <w:rPr>
          <w:rFonts w:hint="eastAsia" w:ascii="宋体" w:hAnsi="宋体" w:cs="微软雅黑"/>
          <w:color w:val="auto"/>
          <w:spacing w:val="43"/>
          <w:kern w:val="0"/>
          <w:position w:val="-2"/>
          <w:szCs w:val="21"/>
          <w:u w:val="single"/>
        </w:rPr>
        <w:t xml:space="preserve">           </w:t>
      </w:r>
    </w:p>
    <w:p w14:paraId="03EC0E9E">
      <w:pPr>
        <w:tabs>
          <w:tab w:val="left" w:pos="7760"/>
        </w:tabs>
        <w:autoSpaceDE w:val="0"/>
        <w:autoSpaceDN w:val="0"/>
        <w:adjustRightInd w:val="0"/>
        <w:snapToGrid w:val="0"/>
        <w:spacing w:before="156" w:beforeLines="50" w:line="360" w:lineRule="auto"/>
        <w:ind w:left="3041" w:right="-20"/>
        <w:jc w:val="left"/>
        <w:rPr>
          <w:rFonts w:ascii="宋体" w:hAnsi="宋体" w:cs="微软雅黑"/>
          <w:color w:val="auto"/>
          <w:kern w:val="0"/>
          <w:szCs w:val="21"/>
        </w:rPr>
      </w:pPr>
      <w:r>
        <w:rPr>
          <w:rFonts w:hint="eastAsia" w:ascii="宋体" w:hAnsi="宋体" w:cs="微软雅黑"/>
          <w:color w:val="auto"/>
          <w:kern w:val="0"/>
          <w:position w:val="-2"/>
          <w:szCs w:val="21"/>
        </w:rPr>
        <w:t>法定</w:t>
      </w:r>
      <w:r>
        <w:rPr>
          <w:rFonts w:hint="eastAsia" w:ascii="宋体" w:hAnsi="宋体" w:cs="微软雅黑"/>
          <w:color w:val="auto"/>
          <w:spacing w:val="-2"/>
          <w:kern w:val="0"/>
          <w:position w:val="-2"/>
          <w:szCs w:val="21"/>
        </w:rPr>
        <w:t>代</w:t>
      </w:r>
      <w:r>
        <w:rPr>
          <w:rFonts w:hint="eastAsia" w:ascii="宋体" w:hAnsi="宋体" w:cs="微软雅黑"/>
          <w:color w:val="auto"/>
          <w:kern w:val="0"/>
          <w:position w:val="-2"/>
          <w:szCs w:val="21"/>
        </w:rPr>
        <w:t>表</w:t>
      </w:r>
      <w:r>
        <w:rPr>
          <w:rFonts w:hint="eastAsia" w:ascii="宋体" w:hAnsi="宋体" w:cs="微软雅黑"/>
          <w:color w:val="auto"/>
          <w:spacing w:val="-2"/>
          <w:kern w:val="0"/>
          <w:position w:val="-2"/>
          <w:szCs w:val="21"/>
        </w:rPr>
        <w:t>人</w:t>
      </w:r>
      <w:r>
        <w:rPr>
          <w:rFonts w:hint="eastAsia" w:ascii="宋体" w:hAnsi="宋体" w:cs="微软雅黑"/>
          <w:color w:val="auto"/>
          <w:kern w:val="0"/>
          <w:position w:val="-2"/>
          <w:szCs w:val="21"/>
        </w:rPr>
        <w:t>（或</w:t>
      </w:r>
      <w:r>
        <w:rPr>
          <w:rFonts w:hint="eastAsia" w:ascii="宋体" w:hAnsi="宋体" w:cs="微软雅黑"/>
          <w:color w:val="auto"/>
          <w:spacing w:val="-2"/>
          <w:kern w:val="0"/>
          <w:position w:val="-2"/>
          <w:szCs w:val="21"/>
        </w:rPr>
        <w:t>授权代表人）</w:t>
      </w:r>
      <w:r>
        <w:rPr>
          <w:rFonts w:hint="eastAsia"/>
          <w:color w:val="auto"/>
        </w:rPr>
        <w:t>（签字或印章）：</w:t>
      </w:r>
      <w:r>
        <w:rPr>
          <w:rFonts w:ascii="宋体" w:hAnsi="宋体" w:cs="微软雅黑"/>
          <w:color w:val="auto"/>
          <w:spacing w:val="43"/>
          <w:kern w:val="0"/>
          <w:position w:val="-2"/>
          <w:szCs w:val="21"/>
          <w:u w:val="single"/>
        </w:rPr>
        <w:t xml:space="preserve"> </w:t>
      </w:r>
      <w:r>
        <w:rPr>
          <w:rFonts w:hint="eastAsia" w:ascii="宋体" w:hAnsi="宋体" w:cs="微软雅黑"/>
          <w:color w:val="auto"/>
          <w:spacing w:val="43"/>
          <w:kern w:val="0"/>
          <w:position w:val="-2"/>
          <w:szCs w:val="21"/>
          <w:u w:val="single"/>
        </w:rPr>
        <w:t xml:space="preserve">       </w:t>
      </w:r>
    </w:p>
    <w:p w14:paraId="56DA2A5C">
      <w:pPr>
        <w:tabs>
          <w:tab w:val="left" w:pos="5380"/>
          <w:tab w:val="left" w:pos="6520"/>
          <w:tab w:val="left" w:pos="7680"/>
        </w:tabs>
        <w:autoSpaceDE w:val="0"/>
        <w:autoSpaceDN w:val="0"/>
        <w:adjustRightInd w:val="0"/>
        <w:snapToGrid w:val="0"/>
        <w:spacing w:before="156" w:beforeLines="50" w:line="360" w:lineRule="auto"/>
        <w:ind w:left="4435" w:right="-20"/>
        <w:jc w:val="left"/>
        <w:rPr>
          <w:rFonts w:ascii="宋体" w:hAnsi="宋体" w:cs="微软雅黑"/>
          <w:color w:val="auto"/>
          <w:kern w:val="0"/>
          <w:szCs w:val="21"/>
        </w:rPr>
      </w:pPr>
      <w:r>
        <w:rPr>
          <w:rFonts w:ascii="宋体" w:hAnsi="宋体" w:cs="微软雅黑"/>
          <w:color w:val="auto"/>
          <w:w w:val="169"/>
          <w:kern w:val="0"/>
          <w:szCs w:val="21"/>
          <w:u w:val="single"/>
        </w:rPr>
        <w:t xml:space="preserve"> </w:t>
      </w:r>
      <w:r>
        <w:rPr>
          <w:rFonts w:hint="eastAsia" w:ascii="宋体" w:hAnsi="宋体" w:cs="微软雅黑"/>
          <w:color w:val="auto"/>
          <w:w w:val="169"/>
          <w:kern w:val="0"/>
          <w:szCs w:val="21"/>
          <w:u w:val="single"/>
        </w:rPr>
        <w:t xml:space="preserve">       </w:t>
      </w:r>
      <w:r>
        <w:rPr>
          <w:rFonts w:hint="eastAsia" w:ascii="宋体" w:hAnsi="宋体" w:cs="微软雅黑"/>
          <w:color w:val="auto"/>
          <w:kern w:val="0"/>
          <w:szCs w:val="21"/>
        </w:rPr>
        <w:t xml:space="preserve">年 </w:t>
      </w:r>
      <w:r>
        <w:rPr>
          <w:rFonts w:ascii="宋体" w:hAnsi="宋体" w:cs="微软雅黑"/>
          <w:color w:val="auto"/>
          <w:spacing w:val="43"/>
          <w:kern w:val="0"/>
          <w:szCs w:val="21"/>
          <w:u w:val="single"/>
        </w:rPr>
        <w:t xml:space="preserve"> </w:t>
      </w:r>
      <w:r>
        <w:rPr>
          <w:rFonts w:hint="eastAsia" w:ascii="宋体" w:hAnsi="宋体" w:cs="微软雅黑"/>
          <w:color w:val="auto"/>
          <w:spacing w:val="-2"/>
          <w:kern w:val="0"/>
          <w:szCs w:val="21"/>
        </w:rPr>
        <w:t>月</w:t>
      </w:r>
      <w:r>
        <w:rPr>
          <w:rFonts w:ascii="宋体" w:hAnsi="宋体" w:cs="微软雅黑"/>
          <w:color w:val="auto"/>
          <w:spacing w:val="43"/>
          <w:kern w:val="0"/>
          <w:szCs w:val="21"/>
          <w:u w:val="single"/>
        </w:rPr>
        <w:t xml:space="preserve"> </w:t>
      </w:r>
      <w:r>
        <w:rPr>
          <w:rFonts w:hint="eastAsia" w:ascii="宋体" w:hAnsi="宋体" w:cs="微软雅黑"/>
          <w:color w:val="auto"/>
          <w:spacing w:val="43"/>
          <w:kern w:val="0"/>
          <w:szCs w:val="21"/>
          <w:u w:val="single"/>
        </w:rPr>
        <w:t xml:space="preserve"> </w:t>
      </w:r>
      <w:r>
        <w:rPr>
          <w:rFonts w:hint="eastAsia" w:ascii="宋体" w:hAnsi="宋体" w:cs="微软雅黑"/>
          <w:color w:val="auto"/>
          <w:kern w:val="0"/>
          <w:szCs w:val="21"/>
        </w:rPr>
        <w:t>日</w:t>
      </w:r>
    </w:p>
    <w:p w14:paraId="7B05551C">
      <w:pPr>
        <w:adjustRightInd w:val="0"/>
        <w:snapToGrid w:val="0"/>
        <w:spacing w:before="156" w:beforeLines="50" w:line="360" w:lineRule="auto"/>
        <w:ind w:firstLine="6510" w:firstLineChars="3100"/>
        <w:rPr>
          <w:rFonts w:ascii="宋体" w:hAnsi="宋体"/>
          <w:color w:val="auto"/>
          <w:szCs w:val="21"/>
        </w:rPr>
      </w:pPr>
    </w:p>
    <w:p w14:paraId="128336BD">
      <w:pPr>
        <w:adjustRightInd w:val="0"/>
        <w:snapToGrid w:val="0"/>
        <w:spacing w:before="156" w:beforeLines="50" w:line="360" w:lineRule="auto"/>
        <w:ind w:firstLine="6535" w:firstLineChars="3100"/>
        <w:rPr>
          <w:rFonts w:ascii="宋体" w:hAnsi="宋体"/>
          <w:b/>
          <w:color w:val="auto"/>
          <w:szCs w:val="21"/>
          <w:u w:val="single"/>
        </w:rPr>
      </w:pPr>
    </w:p>
    <w:p w14:paraId="416A39B9">
      <w:pPr>
        <w:pStyle w:val="2"/>
        <w:adjustRightInd w:val="0"/>
        <w:snapToGrid w:val="0"/>
        <w:spacing w:before="156" w:beforeLines="50" w:line="360" w:lineRule="auto"/>
        <w:rPr>
          <w:rFonts w:ascii="黑体" w:hAnsi="黑体" w:eastAsia="黑体"/>
          <w:color w:val="auto"/>
          <w:sz w:val="32"/>
          <w:szCs w:val="32"/>
        </w:rPr>
      </w:pPr>
      <w:r>
        <w:rPr>
          <w:rFonts w:ascii="黑体" w:hAnsi="黑体" w:eastAsia="黑体"/>
          <w:color w:val="auto"/>
          <w:sz w:val="32"/>
          <w:szCs w:val="32"/>
        </w:rPr>
        <w:br w:type="page"/>
      </w:r>
      <w:bookmarkStart w:id="22" w:name="_Toc15522"/>
      <w:r>
        <w:rPr>
          <w:rFonts w:hint="eastAsia" w:ascii="黑体" w:hAnsi="黑体" w:eastAsia="黑体"/>
          <w:color w:val="auto"/>
          <w:sz w:val="32"/>
          <w:szCs w:val="32"/>
        </w:rPr>
        <w:t>第二章 谈判须知</w:t>
      </w:r>
      <w:bookmarkEnd w:id="22"/>
    </w:p>
    <w:p w14:paraId="6A8E23FC">
      <w:pPr>
        <w:pStyle w:val="3"/>
        <w:adjustRightInd w:val="0"/>
        <w:snapToGrid w:val="0"/>
        <w:spacing w:before="156" w:beforeLines="50"/>
        <w:jc w:val="center"/>
        <w:rPr>
          <w:rFonts w:ascii="黑体" w:hAnsi="黑体" w:eastAsia="黑体"/>
          <w:color w:val="auto"/>
          <w:sz w:val="28"/>
          <w:szCs w:val="28"/>
        </w:rPr>
      </w:pPr>
      <w:bookmarkStart w:id="23" w:name="_Toc21082"/>
      <w:r>
        <w:rPr>
          <w:rFonts w:hint="eastAsia" w:ascii="黑体" w:hAnsi="黑体" w:eastAsia="黑体"/>
          <w:color w:val="auto"/>
          <w:sz w:val="28"/>
          <w:szCs w:val="28"/>
        </w:rPr>
        <w:t>第一节 谈判须知前附表</w:t>
      </w:r>
      <w:bookmarkEnd w:id="23"/>
    </w:p>
    <w:tbl>
      <w:tblPr>
        <w:tblStyle w:val="44"/>
        <w:tblW w:w="925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30"/>
        <w:gridCol w:w="2385"/>
        <w:gridCol w:w="5437"/>
      </w:tblGrid>
      <w:tr w14:paraId="460E9D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3" w:hRule="atLeast"/>
          <w:tblHeader/>
          <w:jc w:val="center"/>
        </w:trPr>
        <w:tc>
          <w:tcPr>
            <w:tcW w:w="1430" w:type="dxa"/>
            <w:vAlign w:val="center"/>
          </w:tcPr>
          <w:p w14:paraId="453EA81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条款号</w:t>
            </w:r>
          </w:p>
        </w:tc>
        <w:tc>
          <w:tcPr>
            <w:tcW w:w="2385" w:type="dxa"/>
            <w:vAlign w:val="center"/>
          </w:tcPr>
          <w:p w14:paraId="03AB081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条款名称</w:t>
            </w:r>
          </w:p>
        </w:tc>
        <w:tc>
          <w:tcPr>
            <w:tcW w:w="5437" w:type="dxa"/>
            <w:vAlign w:val="center"/>
          </w:tcPr>
          <w:p w14:paraId="091E145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编列内容规定</w:t>
            </w:r>
          </w:p>
        </w:tc>
      </w:tr>
      <w:tr w14:paraId="26C520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4" w:hRule="atLeast"/>
          <w:jc w:val="center"/>
        </w:trPr>
        <w:tc>
          <w:tcPr>
            <w:tcW w:w="9252" w:type="dxa"/>
            <w:gridSpan w:val="3"/>
            <w:vAlign w:val="center"/>
          </w:tcPr>
          <w:p w14:paraId="44AD752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color w:val="auto"/>
                <w:sz w:val="24"/>
                <w:szCs w:val="24"/>
              </w:rPr>
              <w:t>一、说明</w:t>
            </w:r>
          </w:p>
        </w:tc>
      </w:tr>
      <w:tr w14:paraId="150553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3" w:hRule="atLeast"/>
          <w:jc w:val="center"/>
        </w:trPr>
        <w:tc>
          <w:tcPr>
            <w:tcW w:w="1430" w:type="dxa"/>
            <w:vAlign w:val="center"/>
          </w:tcPr>
          <w:p w14:paraId="13A0988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第1.1款</w:t>
            </w:r>
          </w:p>
        </w:tc>
        <w:tc>
          <w:tcPr>
            <w:tcW w:w="2385" w:type="dxa"/>
            <w:vAlign w:val="center"/>
          </w:tcPr>
          <w:p w14:paraId="3038ACE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采购项目</w:t>
            </w:r>
          </w:p>
        </w:tc>
        <w:tc>
          <w:tcPr>
            <w:tcW w:w="5437" w:type="dxa"/>
            <w:vAlign w:val="center"/>
          </w:tcPr>
          <w:p w14:paraId="2744ADD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sz w:val="21"/>
                <w:szCs w:val="21"/>
                <w:lang w:eastAsia="zh-CN"/>
              </w:rPr>
            </w:pPr>
            <w:r>
              <w:rPr>
                <w:rFonts w:hint="eastAsia" w:ascii="宋体" w:hAnsi="宋体" w:cs="宋体"/>
                <w:b w:val="0"/>
                <w:bCs/>
                <w:color w:val="auto"/>
                <w:sz w:val="21"/>
                <w:szCs w:val="21"/>
                <w:u w:val="none"/>
                <w:lang w:eastAsia="zh-CN"/>
              </w:rPr>
              <w:t>津市监狱第一押犯点及罪犯总医院周界报警系统采购</w:t>
            </w:r>
          </w:p>
        </w:tc>
      </w:tr>
      <w:tr w14:paraId="0B47B4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13" w:hRule="atLeast"/>
          <w:jc w:val="center"/>
        </w:trPr>
        <w:tc>
          <w:tcPr>
            <w:tcW w:w="1430" w:type="dxa"/>
            <w:vAlign w:val="center"/>
          </w:tcPr>
          <w:p w14:paraId="512F23E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第2.1款</w:t>
            </w:r>
          </w:p>
        </w:tc>
        <w:tc>
          <w:tcPr>
            <w:tcW w:w="2385" w:type="dxa"/>
            <w:vAlign w:val="center"/>
          </w:tcPr>
          <w:p w14:paraId="4BD1088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采购项目联系人姓名和电话</w:t>
            </w:r>
          </w:p>
        </w:tc>
        <w:tc>
          <w:tcPr>
            <w:tcW w:w="5437" w:type="dxa"/>
            <w:vAlign w:val="center"/>
          </w:tcPr>
          <w:p w14:paraId="1DCFC762">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eastAsia="zh-CN"/>
              </w:rPr>
              <w:t>详见第</w:t>
            </w:r>
            <w:r>
              <w:rPr>
                <w:rFonts w:hint="eastAsia" w:ascii="宋体" w:hAnsi="宋体" w:eastAsia="宋体" w:cs="宋体"/>
                <w:b w:val="0"/>
                <w:bCs/>
                <w:color w:val="auto"/>
                <w:sz w:val="21"/>
                <w:szCs w:val="21"/>
                <w:lang w:val="en-US" w:eastAsia="zh-CN"/>
              </w:rPr>
              <w:t>2.2、2.3款</w:t>
            </w:r>
          </w:p>
        </w:tc>
      </w:tr>
      <w:tr w14:paraId="085235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74" w:hRule="atLeast"/>
          <w:jc w:val="center"/>
        </w:trPr>
        <w:tc>
          <w:tcPr>
            <w:tcW w:w="1430" w:type="dxa"/>
            <w:vAlign w:val="center"/>
          </w:tcPr>
          <w:p w14:paraId="71970B4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第2.2款</w:t>
            </w:r>
          </w:p>
        </w:tc>
        <w:tc>
          <w:tcPr>
            <w:tcW w:w="2385" w:type="dxa"/>
            <w:vAlign w:val="center"/>
          </w:tcPr>
          <w:p w14:paraId="1954D9B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采购人名称、地址、电话、联系人</w:t>
            </w:r>
          </w:p>
        </w:tc>
        <w:tc>
          <w:tcPr>
            <w:tcW w:w="5437" w:type="dxa"/>
            <w:vAlign w:val="center"/>
          </w:tcPr>
          <w:p w14:paraId="66A06F7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 xml:space="preserve">名 </w:t>
            </w:r>
            <w:r>
              <w:rPr>
                <w:rFonts w:hint="eastAsia" w:ascii="宋体" w:hAnsi="宋体" w:eastAsia="宋体" w:cs="宋体"/>
                <w:b w:val="0"/>
                <w:bCs/>
                <w:color w:val="auto"/>
                <w:sz w:val="21"/>
                <w:szCs w:val="21"/>
                <w:lang w:val="en-US" w:eastAsia="zh-CN"/>
              </w:rPr>
              <w:t xml:space="preserve"> </w:t>
            </w:r>
            <w:r>
              <w:rPr>
                <w:rFonts w:hint="eastAsia" w:ascii="宋体" w:hAnsi="宋体" w:eastAsia="宋体" w:cs="宋体"/>
                <w:b w:val="0"/>
                <w:bCs/>
                <w:color w:val="auto"/>
                <w:sz w:val="21"/>
                <w:szCs w:val="21"/>
                <w:lang w:eastAsia="zh-CN"/>
              </w:rPr>
              <w:t>称：</w:t>
            </w:r>
            <w:r>
              <w:rPr>
                <w:rFonts w:hint="eastAsia" w:ascii="宋体" w:hAnsi="宋体" w:cs="宋体"/>
                <w:b w:val="0"/>
                <w:bCs/>
                <w:color w:val="auto"/>
                <w:sz w:val="21"/>
                <w:szCs w:val="21"/>
                <w:lang w:eastAsia="zh-CN"/>
              </w:rPr>
              <w:t>湖南省津市监狱</w:t>
            </w:r>
            <w:r>
              <w:rPr>
                <w:rFonts w:hint="eastAsia" w:ascii="宋体" w:hAnsi="宋体" w:eastAsia="宋体" w:cs="宋体"/>
                <w:b w:val="0"/>
                <w:bCs/>
                <w:color w:val="auto"/>
                <w:sz w:val="21"/>
                <w:szCs w:val="21"/>
                <w:lang w:eastAsia="zh-CN"/>
              </w:rPr>
              <w:t xml:space="preserve">                             </w:t>
            </w:r>
          </w:p>
          <w:p w14:paraId="2CC91DD1">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地  址：</w:t>
            </w:r>
            <w:r>
              <w:rPr>
                <w:rFonts w:hint="eastAsia" w:ascii="宋体" w:hAnsi="宋体" w:cs="宋体"/>
                <w:b w:val="0"/>
                <w:bCs/>
                <w:color w:val="auto"/>
                <w:sz w:val="21"/>
                <w:szCs w:val="21"/>
                <w:lang w:eastAsia="zh-CN"/>
              </w:rPr>
              <w:t>津市市白羊堤</w:t>
            </w:r>
          </w:p>
          <w:p w14:paraId="10DC756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联系人：</w:t>
            </w:r>
            <w:r>
              <w:rPr>
                <w:rFonts w:hint="eastAsia" w:ascii="宋体" w:hAnsi="宋体" w:cs="宋体"/>
                <w:b w:val="0"/>
                <w:bCs/>
                <w:color w:val="auto"/>
                <w:sz w:val="21"/>
                <w:szCs w:val="21"/>
                <w:lang w:eastAsia="zh-CN"/>
              </w:rPr>
              <w:t>汤志强</w:t>
            </w:r>
            <w:r>
              <w:rPr>
                <w:rFonts w:hint="eastAsia" w:ascii="宋体" w:hAnsi="宋体" w:eastAsia="宋体" w:cs="宋体"/>
                <w:b w:val="0"/>
                <w:bCs/>
                <w:color w:val="auto"/>
                <w:sz w:val="21"/>
                <w:szCs w:val="21"/>
                <w:lang w:eastAsia="zh-CN"/>
              </w:rPr>
              <w:t xml:space="preserve">                    </w:t>
            </w:r>
          </w:p>
          <w:p w14:paraId="30637D4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sz w:val="21"/>
                <w:szCs w:val="21"/>
                <w:lang w:eastAsia="zh-CN"/>
              </w:rPr>
              <w:t>电</w:t>
            </w:r>
            <w:r>
              <w:rPr>
                <w:rFonts w:hint="eastAsia" w:ascii="宋体" w:hAnsi="宋体" w:eastAsia="宋体" w:cs="宋体"/>
                <w:b w:val="0"/>
                <w:bCs/>
                <w:color w:val="auto"/>
                <w:sz w:val="21"/>
                <w:szCs w:val="21"/>
                <w:lang w:val="en-US" w:eastAsia="zh-CN"/>
              </w:rPr>
              <w:t xml:space="preserve">  </w:t>
            </w:r>
            <w:r>
              <w:rPr>
                <w:rFonts w:hint="eastAsia" w:ascii="宋体" w:hAnsi="宋体" w:eastAsia="宋体" w:cs="宋体"/>
                <w:b w:val="0"/>
                <w:bCs/>
                <w:color w:val="auto"/>
                <w:sz w:val="21"/>
                <w:szCs w:val="21"/>
                <w:lang w:eastAsia="zh-CN"/>
              </w:rPr>
              <w:t>话：</w:t>
            </w:r>
            <w:r>
              <w:rPr>
                <w:rFonts w:hint="eastAsia" w:ascii="宋体" w:hAnsi="宋体" w:cs="宋体"/>
                <w:b w:val="0"/>
                <w:bCs/>
                <w:color w:val="auto"/>
                <w:sz w:val="21"/>
                <w:szCs w:val="21"/>
                <w:lang w:eastAsia="zh-CN"/>
              </w:rPr>
              <w:t>0736-4298278</w:t>
            </w:r>
          </w:p>
        </w:tc>
      </w:tr>
      <w:tr w14:paraId="7D92C1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74" w:hRule="atLeast"/>
          <w:jc w:val="center"/>
        </w:trPr>
        <w:tc>
          <w:tcPr>
            <w:tcW w:w="1430" w:type="dxa"/>
            <w:vAlign w:val="center"/>
          </w:tcPr>
          <w:p w14:paraId="13A7430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第2.3款</w:t>
            </w:r>
          </w:p>
        </w:tc>
        <w:tc>
          <w:tcPr>
            <w:tcW w:w="2385" w:type="dxa"/>
            <w:vAlign w:val="center"/>
          </w:tcPr>
          <w:p w14:paraId="094A3A2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采购代理机构名称、地址、电话、联系人</w:t>
            </w:r>
          </w:p>
        </w:tc>
        <w:tc>
          <w:tcPr>
            <w:tcW w:w="5437" w:type="dxa"/>
            <w:vAlign w:val="center"/>
          </w:tcPr>
          <w:p w14:paraId="2C6B482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常德众益项目管理咨询有限公司</w:t>
            </w:r>
          </w:p>
          <w:p w14:paraId="684E762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联系人：王先强/袁巧玲</w:t>
            </w:r>
          </w:p>
          <w:p w14:paraId="077825B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rPr>
              <w:t>电话：0736-7189788</w:t>
            </w:r>
          </w:p>
          <w:p w14:paraId="3214CC46">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sz w:val="21"/>
                <w:szCs w:val="21"/>
                <w:lang w:eastAsia="zh-CN"/>
              </w:rPr>
            </w:pPr>
            <w:r>
              <w:rPr>
                <w:rFonts w:hint="eastAsia" w:ascii="宋体" w:hAnsi="宋体" w:eastAsia="宋体" w:cs="宋体"/>
                <w:b w:val="0"/>
                <w:bCs/>
                <w:color w:val="auto"/>
                <w:kern w:val="0"/>
                <w:sz w:val="21"/>
                <w:szCs w:val="21"/>
              </w:rPr>
              <w:t>地址：</w:t>
            </w:r>
            <w:r>
              <w:rPr>
                <w:rFonts w:hint="eastAsia" w:ascii="宋体" w:hAnsi="宋体" w:cs="宋体"/>
                <w:b w:val="0"/>
                <w:bCs/>
                <w:color w:val="auto"/>
                <w:kern w:val="0"/>
                <w:sz w:val="21"/>
                <w:szCs w:val="21"/>
                <w:lang w:eastAsia="zh-CN"/>
              </w:rPr>
              <w:t>常德市武陵区上川四季酒店6楼</w:t>
            </w:r>
          </w:p>
        </w:tc>
      </w:tr>
      <w:tr w14:paraId="33438C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23" w:hRule="atLeast"/>
          <w:jc w:val="center"/>
        </w:trPr>
        <w:tc>
          <w:tcPr>
            <w:tcW w:w="1430" w:type="dxa"/>
            <w:tcBorders>
              <w:bottom w:val="single" w:color="auto" w:sz="4" w:space="0"/>
            </w:tcBorders>
            <w:vAlign w:val="center"/>
          </w:tcPr>
          <w:p w14:paraId="5DE0F1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第3.1款</w:t>
            </w:r>
          </w:p>
        </w:tc>
        <w:tc>
          <w:tcPr>
            <w:tcW w:w="2385" w:type="dxa"/>
            <w:vAlign w:val="center"/>
          </w:tcPr>
          <w:p w14:paraId="686D39C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供应商</w:t>
            </w:r>
            <w:r>
              <w:rPr>
                <w:rFonts w:hint="eastAsia" w:ascii="宋体" w:hAnsi="宋体" w:eastAsia="宋体" w:cs="宋体"/>
                <w:color w:val="auto"/>
                <w:sz w:val="21"/>
                <w:szCs w:val="21"/>
              </w:rPr>
              <w:t>资格条件</w:t>
            </w:r>
          </w:p>
        </w:tc>
        <w:tc>
          <w:tcPr>
            <w:tcW w:w="5437" w:type="dxa"/>
            <w:vAlign w:val="center"/>
          </w:tcPr>
          <w:p w14:paraId="63A6BAF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1、供应商的基本资格条件：供应商必须是在中华人民共和国境内注册登记的法人、其他组织或者自然人，且应当符合《政府采购法》第二十二条第一款的规定，即：</w:t>
            </w:r>
          </w:p>
          <w:p w14:paraId="4F93C22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（1）具有独立承担民事责任的能力；</w:t>
            </w:r>
          </w:p>
          <w:p w14:paraId="0A58623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（2）具有良好的商业信誉和健全的财务会计制度；</w:t>
            </w:r>
          </w:p>
          <w:p w14:paraId="3EF85E9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（3）具有履行合同所必需的设备和专业技术能力；</w:t>
            </w:r>
          </w:p>
          <w:p w14:paraId="2DC3F07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（4）有依法缴纳税收和社会保障资金的良好记录；</w:t>
            </w:r>
          </w:p>
          <w:p w14:paraId="01772D67">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（5）参加政府采购活动前三年内，在经营活动中没有重大违法记录；</w:t>
            </w:r>
          </w:p>
          <w:p w14:paraId="252C0B8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（6）法律、行政法规规定的其他条件。</w:t>
            </w:r>
          </w:p>
          <w:p w14:paraId="1046BF4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lang w:eastAsia="zh-CN"/>
              </w:rPr>
            </w:pPr>
            <w:r>
              <w:rPr>
                <w:rFonts w:hint="eastAsia" w:ascii="宋体" w:hAnsi="宋体" w:eastAsia="宋体" w:cs="宋体"/>
                <w:b w:val="0"/>
                <w:bCs/>
                <w:color w:val="auto"/>
                <w:kern w:val="0"/>
                <w:sz w:val="21"/>
                <w:szCs w:val="21"/>
              </w:rPr>
              <w:t>2、采购项目的特定资格条件</w:t>
            </w:r>
            <w:r>
              <w:rPr>
                <w:rFonts w:hint="eastAsia" w:ascii="宋体" w:hAnsi="宋体" w:eastAsia="宋体" w:cs="宋体"/>
                <w:b w:val="0"/>
                <w:bCs/>
                <w:color w:val="auto"/>
                <w:kern w:val="0"/>
                <w:sz w:val="21"/>
                <w:szCs w:val="21"/>
                <w:lang w:eastAsia="zh-CN"/>
              </w:rPr>
              <w:t>：</w:t>
            </w:r>
            <w:r>
              <w:rPr>
                <w:rFonts w:hint="eastAsia" w:ascii="宋体" w:hAnsi="宋体" w:cs="宋体"/>
                <w:b w:val="0"/>
                <w:bCs/>
                <w:color w:val="auto"/>
                <w:kern w:val="0"/>
                <w:sz w:val="21"/>
                <w:szCs w:val="21"/>
                <w:lang w:eastAsia="zh-CN"/>
              </w:rPr>
              <w:t>无。</w:t>
            </w:r>
          </w:p>
          <w:p w14:paraId="1DB1C96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lang w:eastAsia="zh-CN"/>
              </w:rPr>
            </w:pPr>
            <w:r>
              <w:rPr>
                <w:rFonts w:hint="eastAsia" w:ascii="宋体" w:hAnsi="宋体" w:eastAsia="宋体" w:cs="宋体"/>
                <w:b w:val="0"/>
                <w:bCs/>
                <w:color w:val="auto"/>
                <w:kern w:val="0"/>
                <w:sz w:val="21"/>
                <w:szCs w:val="21"/>
                <w:lang w:val="en-US" w:eastAsia="zh-CN"/>
              </w:rPr>
              <w:t>3、</w:t>
            </w:r>
            <w:r>
              <w:rPr>
                <w:rFonts w:hint="eastAsia" w:ascii="宋体" w:hAnsi="宋体" w:eastAsia="宋体" w:cs="宋体"/>
                <w:b w:val="0"/>
                <w:bCs/>
                <w:color w:val="auto"/>
                <w:kern w:val="0"/>
                <w:sz w:val="21"/>
                <w:szCs w:val="21"/>
              </w:rPr>
              <w:t>落实政府采购政策需满足的资格要求</w:t>
            </w:r>
            <w:r>
              <w:rPr>
                <w:rFonts w:hint="eastAsia" w:ascii="宋体" w:hAnsi="宋体" w:eastAsia="宋体" w:cs="宋体"/>
                <w:b w:val="0"/>
                <w:bCs/>
                <w:color w:val="auto"/>
                <w:kern w:val="0"/>
                <w:sz w:val="21"/>
                <w:szCs w:val="21"/>
                <w:lang w:eastAsia="zh-CN"/>
              </w:rPr>
              <w:t>：</w:t>
            </w:r>
            <w:r>
              <w:rPr>
                <w:rFonts w:hint="eastAsia" w:asciiTheme="minorEastAsia" w:hAnsiTheme="minorEastAsia" w:eastAsiaTheme="minorEastAsia"/>
                <w:b w:val="0"/>
                <w:bCs w:val="0"/>
                <w:color w:val="auto"/>
                <w:szCs w:val="21"/>
                <w:u w:val="none"/>
                <w:lang w:val="en-US" w:eastAsia="zh-CN"/>
              </w:rPr>
              <w:t>无。</w:t>
            </w:r>
          </w:p>
          <w:p w14:paraId="3A4F6B0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lang w:val="en-US" w:eastAsia="zh-CN"/>
              </w:rPr>
              <w:t>4</w:t>
            </w:r>
            <w:r>
              <w:rPr>
                <w:rFonts w:hint="eastAsia" w:ascii="宋体" w:hAnsi="宋体" w:eastAsia="宋体" w:cs="宋体"/>
                <w:b w:val="0"/>
                <w:bCs/>
                <w:color w:val="auto"/>
                <w:kern w:val="0"/>
                <w:sz w:val="21"/>
                <w:szCs w:val="21"/>
              </w:rPr>
              <w:t>、单位负责人为同一人或者存在直接控股、管理关系的不同供应商，不得参加同一合同项下的政府采购活动。</w:t>
            </w:r>
          </w:p>
          <w:p w14:paraId="28DDF63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lang w:val="en-US" w:eastAsia="zh-CN"/>
              </w:rPr>
              <w:t>5</w:t>
            </w:r>
            <w:r>
              <w:rPr>
                <w:rFonts w:hint="eastAsia" w:ascii="宋体" w:hAnsi="宋体" w:eastAsia="宋体" w:cs="宋体"/>
                <w:b w:val="0"/>
                <w:bCs/>
                <w:color w:val="auto"/>
                <w:kern w:val="0"/>
                <w:sz w:val="21"/>
                <w:szCs w:val="21"/>
              </w:rPr>
              <w:t>、为本采购项目提供整体设计、规范编制或者项目管理、监理、检测等服务的，不得再参加此项目的其他采购活动。</w:t>
            </w:r>
          </w:p>
          <w:p w14:paraId="39DF735B">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lang w:val="en-US" w:eastAsia="zh-CN"/>
              </w:rPr>
              <w:t>6</w:t>
            </w:r>
            <w:r>
              <w:rPr>
                <w:rFonts w:hint="eastAsia" w:ascii="宋体" w:hAnsi="宋体" w:eastAsia="宋体" w:cs="宋体"/>
                <w:b w:val="0"/>
                <w:bCs/>
                <w:color w:val="auto"/>
                <w:kern w:val="0"/>
                <w:sz w:val="21"/>
                <w:szCs w:val="21"/>
              </w:rPr>
              <w:t>、列入失信被执行人、重大税收违法案件当事人名单，列入政府采购严重违法失信行为记录名单的，拒绝其参与政府采购活动。</w:t>
            </w:r>
          </w:p>
          <w:p w14:paraId="1088171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color w:val="auto"/>
                <w:kern w:val="0"/>
                <w:sz w:val="21"/>
                <w:szCs w:val="21"/>
              </w:rPr>
            </w:pPr>
            <w:r>
              <w:rPr>
                <w:rFonts w:hint="eastAsia" w:ascii="宋体" w:hAnsi="宋体" w:eastAsia="宋体" w:cs="宋体"/>
                <w:b w:val="0"/>
                <w:bCs/>
                <w:color w:val="auto"/>
                <w:kern w:val="0"/>
                <w:sz w:val="21"/>
                <w:szCs w:val="21"/>
                <w:lang w:val="en-US" w:eastAsia="zh-CN"/>
              </w:rPr>
              <w:t>7</w:t>
            </w:r>
            <w:r>
              <w:rPr>
                <w:rFonts w:hint="eastAsia" w:ascii="宋体" w:hAnsi="宋体" w:eastAsia="宋体" w:cs="宋体"/>
                <w:b w:val="0"/>
                <w:bCs/>
                <w:color w:val="auto"/>
                <w:kern w:val="0"/>
                <w:sz w:val="21"/>
                <w:szCs w:val="21"/>
              </w:rPr>
              <w:t xml:space="preserve">、供应商为联合体形式的。本次谈判采购 </w:t>
            </w:r>
            <w:r>
              <w:rPr>
                <w:rFonts w:hint="eastAsia" w:ascii="宋体" w:hAnsi="宋体" w:eastAsia="宋体" w:cs="宋体"/>
                <w:b w:val="0"/>
                <w:bCs/>
                <w:color w:val="auto"/>
                <w:kern w:val="0"/>
                <w:sz w:val="21"/>
                <w:szCs w:val="21"/>
                <w:lang w:val="en-US" w:eastAsia="zh-CN"/>
              </w:rPr>
              <w:t xml:space="preserve"> </w:t>
            </w:r>
            <w:r>
              <w:rPr>
                <w:rFonts w:hint="eastAsia" w:ascii="宋体" w:hAnsi="宋体" w:eastAsia="宋体" w:cs="宋体"/>
                <w:b w:val="0"/>
                <w:bCs/>
                <w:color w:val="auto"/>
                <w:kern w:val="0"/>
                <w:sz w:val="21"/>
                <w:szCs w:val="21"/>
                <w:lang w:eastAsia="zh-CN"/>
              </w:rPr>
              <w:t>不接受</w:t>
            </w:r>
            <w:r>
              <w:rPr>
                <w:rFonts w:hint="eastAsia" w:ascii="宋体" w:hAnsi="宋体" w:eastAsia="宋体" w:cs="宋体"/>
                <w:b w:val="0"/>
                <w:bCs/>
                <w:color w:val="auto"/>
                <w:kern w:val="0"/>
                <w:sz w:val="21"/>
                <w:szCs w:val="21"/>
              </w:rPr>
              <w:t xml:space="preserve">  (接受或不接受) 供应商为联合体形式。接受联合体形式的，联合体应当具备下列条件： </w:t>
            </w:r>
            <w:r>
              <w:rPr>
                <w:rFonts w:hint="eastAsia" w:ascii="宋体" w:hAnsi="宋体" w:eastAsia="宋体" w:cs="宋体"/>
                <w:b w:val="0"/>
                <w:bCs/>
                <w:color w:val="auto"/>
                <w:kern w:val="0"/>
                <w:sz w:val="21"/>
                <w:szCs w:val="21"/>
                <w:lang w:eastAsia="zh-CN"/>
              </w:rPr>
              <w:t>不接受</w:t>
            </w:r>
            <w:r>
              <w:rPr>
                <w:rFonts w:hint="eastAsia" w:ascii="宋体" w:hAnsi="宋体" w:eastAsia="宋体" w:cs="宋体"/>
                <w:b w:val="0"/>
                <w:bCs/>
                <w:color w:val="auto"/>
                <w:kern w:val="0"/>
                <w:sz w:val="21"/>
                <w:szCs w:val="21"/>
              </w:rPr>
              <w:t xml:space="preserve"> 。</w:t>
            </w:r>
          </w:p>
        </w:tc>
      </w:tr>
      <w:tr w14:paraId="6AC93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5" w:hRule="atLeast"/>
          <w:jc w:val="center"/>
        </w:trPr>
        <w:tc>
          <w:tcPr>
            <w:tcW w:w="1430" w:type="dxa"/>
            <w:tcBorders>
              <w:bottom w:val="single" w:color="auto" w:sz="4" w:space="0"/>
            </w:tcBorders>
            <w:vAlign w:val="center"/>
          </w:tcPr>
          <w:p w14:paraId="1D8B418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第3.2款</w:t>
            </w:r>
          </w:p>
        </w:tc>
        <w:tc>
          <w:tcPr>
            <w:tcW w:w="2385" w:type="dxa"/>
            <w:vAlign w:val="center"/>
          </w:tcPr>
          <w:p w14:paraId="481402C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是否接收联合体形式</w:t>
            </w:r>
          </w:p>
        </w:tc>
        <w:tc>
          <w:tcPr>
            <w:tcW w:w="5437" w:type="dxa"/>
            <w:vAlign w:val="center"/>
          </w:tcPr>
          <w:p w14:paraId="76F84DD9">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不接受</w:t>
            </w:r>
          </w:p>
        </w:tc>
      </w:tr>
      <w:tr w14:paraId="62952D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1430" w:type="dxa"/>
            <w:vAlign w:val="center"/>
          </w:tcPr>
          <w:p w14:paraId="66FD5B8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第3.3款</w:t>
            </w:r>
          </w:p>
        </w:tc>
        <w:tc>
          <w:tcPr>
            <w:tcW w:w="2385" w:type="dxa"/>
            <w:vAlign w:val="center"/>
          </w:tcPr>
          <w:p w14:paraId="258E908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1"/>
                <w:szCs w:val="21"/>
              </w:rPr>
            </w:pPr>
            <w:r>
              <w:rPr>
                <w:rFonts w:hint="eastAsia" w:ascii="宋体" w:hAnsi="宋体" w:eastAsia="宋体" w:cs="宋体"/>
                <w:color w:val="auto"/>
                <w:kern w:val="0"/>
                <w:sz w:val="21"/>
                <w:szCs w:val="21"/>
              </w:rPr>
              <w:t>供应商的</w:t>
            </w:r>
            <w:r>
              <w:rPr>
                <w:rFonts w:hint="eastAsia" w:ascii="宋体" w:hAnsi="宋体" w:eastAsia="宋体" w:cs="宋体"/>
                <w:color w:val="auto"/>
                <w:sz w:val="21"/>
                <w:szCs w:val="21"/>
              </w:rPr>
              <w:t>邀请方式</w:t>
            </w:r>
          </w:p>
        </w:tc>
        <w:tc>
          <w:tcPr>
            <w:tcW w:w="5437" w:type="dxa"/>
            <w:vAlign w:val="center"/>
          </w:tcPr>
          <w:p w14:paraId="0A67D57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公告邀请</w:t>
            </w:r>
          </w:p>
        </w:tc>
      </w:tr>
      <w:tr w14:paraId="288C6A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430" w:type="dxa"/>
            <w:vAlign w:val="center"/>
          </w:tcPr>
          <w:p w14:paraId="08AD3A7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第5.1款</w:t>
            </w:r>
          </w:p>
        </w:tc>
        <w:tc>
          <w:tcPr>
            <w:tcW w:w="2385" w:type="dxa"/>
            <w:vAlign w:val="center"/>
          </w:tcPr>
          <w:p w14:paraId="5B53437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现场勘察</w:t>
            </w:r>
          </w:p>
        </w:tc>
        <w:tc>
          <w:tcPr>
            <w:tcW w:w="5437" w:type="dxa"/>
            <w:vAlign w:val="center"/>
          </w:tcPr>
          <w:p w14:paraId="03A3E5F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本项目不组织统一现场勘察，由投标人自行组织前往勘察现场，投标人因没有勘察现场而给自身带来的损失由投标人自己负责。</w:t>
            </w:r>
          </w:p>
        </w:tc>
      </w:tr>
      <w:tr w14:paraId="38D688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9252" w:type="dxa"/>
            <w:gridSpan w:val="3"/>
            <w:vAlign w:val="center"/>
          </w:tcPr>
          <w:p w14:paraId="531FDD8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4"/>
                <w:szCs w:val="24"/>
              </w:rPr>
              <w:t>二、谈判文件</w:t>
            </w:r>
          </w:p>
        </w:tc>
      </w:tr>
      <w:tr w14:paraId="0EF66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9" w:hRule="atLeast"/>
          <w:jc w:val="center"/>
        </w:trPr>
        <w:tc>
          <w:tcPr>
            <w:tcW w:w="1430" w:type="dxa"/>
            <w:vAlign w:val="center"/>
          </w:tcPr>
          <w:p w14:paraId="0ED01DD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第6.3款</w:t>
            </w:r>
          </w:p>
        </w:tc>
        <w:tc>
          <w:tcPr>
            <w:tcW w:w="2385" w:type="dxa"/>
            <w:vAlign w:val="center"/>
          </w:tcPr>
          <w:p w14:paraId="558C3B5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谈判文件的实质性变动内容</w:t>
            </w:r>
          </w:p>
        </w:tc>
        <w:tc>
          <w:tcPr>
            <w:tcW w:w="5437" w:type="dxa"/>
            <w:vAlign w:val="center"/>
          </w:tcPr>
          <w:p w14:paraId="7D7A455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无</w:t>
            </w:r>
          </w:p>
        </w:tc>
      </w:tr>
      <w:tr w14:paraId="53E96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jc w:val="center"/>
        </w:trPr>
        <w:tc>
          <w:tcPr>
            <w:tcW w:w="9252" w:type="dxa"/>
            <w:gridSpan w:val="3"/>
            <w:vAlign w:val="center"/>
          </w:tcPr>
          <w:p w14:paraId="607D7B4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color w:val="auto"/>
                <w:sz w:val="24"/>
                <w:szCs w:val="24"/>
              </w:rPr>
              <w:t>三、响应文件的编写</w:t>
            </w:r>
          </w:p>
        </w:tc>
      </w:tr>
      <w:tr w14:paraId="221A23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6" w:hRule="atLeast"/>
          <w:jc w:val="center"/>
        </w:trPr>
        <w:tc>
          <w:tcPr>
            <w:tcW w:w="1430" w:type="dxa"/>
            <w:vAlign w:val="center"/>
          </w:tcPr>
          <w:p w14:paraId="1B370C6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第10.3款</w:t>
            </w:r>
          </w:p>
        </w:tc>
        <w:tc>
          <w:tcPr>
            <w:tcW w:w="2385" w:type="dxa"/>
            <w:vAlign w:val="center"/>
          </w:tcPr>
          <w:p w14:paraId="472A6F4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采购项目预算</w:t>
            </w:r>
          </w:p>
        </w:tc>
        <w:tc>
          <w:tcPr>
            <w:tcW w:w="5437" w:type="dxa"/>
            <w:vAlign w:val="center"/>
          </w:tcPr>
          <w:p w14:paraId="5706780F">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宋体" w:hAnsi="宋体" w:eastAsia="宋体" w:cs="宋体"/>
                <w:color w:val="auto"/>
                <w:sz w:val="21"/>
                <w:szCs w:val="21"/>
                <w:lang w:val="en-US"/>
              </w:rPr>
            </w:pPr>
            <w:r>
              <w:rPr>
                <w:rFonts w:hint="eastAsia" w:ascii="宋体" w:hAnsi="宋体" w:cs="宋体"/>
                <w:color w:val="auto"/>
                <w:kern w:val="0"/>
                <w:sz w:val="24"/>
                <w:szCs w:val="24"/>
                <w:lang w:val="en-US" w:eastAsia="zh-CN"/>
              </w:rPr>
              <w:t>800854.82元</w:t>
            </w:r>
          </w:p>
        </w:tc>
      </w:tr>
      <w:tr w14:paraId="537596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9" w:hRule="atLeast"/>
          <w:jc w:val="center"/>
        </w:trPr>
        <w:tc>
          <w:tcPr>
            <w:tcW w:w="1430" w:type="dxa"/>
            <w:vAlign w:val="center"/>
          </w:tcPr>
          <w:p w14:paraId="3582BCA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第10.6款</w:t>
            </w:r>
          </w:p>
        </w:tc>
        <w:tc>
          <w:tcPr>
            <w:tcW w:w="2385" w:type="dxa"/>
            <w:vAlign w:val="center"/>
          </w:tcPr>
          <w:p w14:paraId="604CE3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报价的其他要求</w:t>
            </w:r>
          </w:p>
        </w:tc>
        <w:tc>
          <w:tcPr>
            <w:tcW w:w="5437" w:type="dxa"/>
            <w:vAlign w:val="center"/>
          </w:tcPr>
          <w:p w14:paraId="1B4DCBC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供应商的报价应包含</w:t>
            </w:r>
            <w:r>
              <w:rPr>
                <w:rFonts w:hint="eastAsia" w:ascii="宋体" w:hAnsi="宋体" w:eastAsia="宋体" w:cs="宋体"/>
                <w:color w:val="auto"/>
                <w:sz w:val="21"/>
                <w:szCs w:val="21"/>
                <w:lang w:eastAsia="zh-CN"/>
              </w:rPr>
              <w:t>本章第</w:t>
            </w:r>
            <w:r>
              <w:rPr>
                <w:rFonts w:hint="eastAsia" w:ascii="宋体" w:hAnsi="宋体" w:eastAsia="宋体" w:cs="宋体"/>
                <w:color w:val="auto"/>
                <w:sz w:val="21"/>
                <w:szCs w:val="21"/>
                <w:lang w:val="en-US" w:eastAsia="zh-CN"/>
              </w:rPr>
              <w:t>10.2款要求考虑的</w:t>
            </w:r>
            <w:r>
              <w:rPr>
                <w:rFonts w:hint="eastAsia" w:ascii="宋体" w:hAnsi="宋体" w:eastAsia="宋体" w:cs="宋体"/>
                <w:color w:val="auto"/>
                <w:sz w:val="21"/>
                <w:szCs w:val="21"/>
              </w:rPr>
              <w:t>所有费用，采购人不再支付其他费用。</w:t>
            </w:r>
          </w:p>
        </w:tc>
      </w:tr>
      <w:tr w14:paraId="343B30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jc w:val="center"/>
        </w:trPr>
        <w:tc>
          <w:tcPr>
            <w:tcW w:w="1430" w:type="dxa"/>
            <w:vAlign w:val="center"/>
          </w:tcPr>
          <w:p w14:paraId="787E577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第11.1款</w:t>
            </w:r>
          </w:p>
        </w:tc>
        <w:tc>
          <w:tcPr>
            <w:tcW w:w="2385" w:type="dxa"/>
            <w:vAlign w:val="center"/>
          </w:tcPr>
          <w:p w14:paraId="36C64B67">
            <w:pPr>
              <w:keepNext w:val="0"/>
              <w:keepLines w:val="0"/>
              <w:pageBreakBefore w:val="0"/>
              <w:kinsoku/>
              <w:wordWrap/>
              <w:overflowPunct/>
              <w:topLinePunct w:val="0"/>
              <w:autoSpaceDE/>
              <w:autoSpaceDN/>
              <w:bidi w:val="0"/>
              <w:adjustRightInd w:val="0"/>
              <w:snapToGrid w:val="0"/>
              <w:spacing w:line="240" w:lineRule="auto"/>
              <w:ind w:left="-533" w:leftChars="-254" w:firstLine="533" w:firstLineChars="254"/>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保证金</w:t>
            </w:r>
          </w:p>
        </w:tc>
        <w:tc>
          <w:tcPr>
            <w:tcW w:w="5437" w:type="dxa"/>
            <w:vAlign w:val="center"/>
          </w:tcPr>
          <w:p w14:paraId="56E1D61F">
            <w:pPr>
              <w:keepNext w:val="0"/>
              <w:keepLines w:val="0"/>
              <w:pageBreakBefore w:val="0"/>
              <w:kinsoku/>
              <w:wordWrap/>
              <w:overflowPunct/>
              <w:topLinePunct w:val="0"/>
              <w:autoSpaceDE/>
              <w:autoSpaceDN/>
              <w:bidi w:val="0"/>
              <w:adjustRightInd w:val="0"/>
              <w:snapToGrid w:val="0"/>
              <w:spacing w:line="240" w:lineRule="auto"/>
              <w:ind w:right="0" w:right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不要求提供</w:t>
            </w:r>
          </w:p>
        </w:tc>
      </w:tr>
      <w:tr w14:paraId="02F0C3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3" w:hRule="atLeast"/>
          <w:jc w:val="center"/>
        </w:trPr>
        <w:tc>
          <w:tcPr>
            <w:tcW w:w="1430" w:type="dxa"/>
            <w:vAlign w:val="center"/>
          </w:tcPr>
          <w:p w14:paraId="4EB62D2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第12.1款</w:t>
            </w:r>
          </w:p>
        </w:tc>
        <w:tc>
          <w:tcPr>
            <w:tcW w:w="2385" w:type="dxa"/>
            <w:vAlign w:val="center"/>
          </w:tcPr>
          <w:p w14:paraId="5DDCF1A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响应文件有效期</w:t>
            </w:r>
          </w:p>
        </w:tc>
        <w:tc>
          <w:tcPr>
            <w:tcW w:w="5437" w:type="dxa"/>
            <w:vAlign w:val="center"/>
          </w:tcPr>
          <w:p w14:paraId="7068D3C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Cs/>
                <w:color w:val="auto"/>
                <w:sz w:val="21"/>
                <w:szCs w:val="21"/>
              </w:rPr>
            </w:pPr>
            <w:r>
              <w:rPr>
                <w:rFonts w:hint="eastAsia" w:ascii="宋体" w:hAnsi="宋体" w:eastAsia="宋体" w:cs="宋体"/>
                <w:color w:val="auto"/>
                <w:sz w:val="21"/>
                <w:szCs w:val="21"/>
                <w:u w:val="none"/>
                <w:lang w:val="en-US" w:eastAsia="zh-CN"/>
              </w:rPr>
              <w:t>60日（</w:t>
            </w:r>
            <w:r>
              <w:rPr>
                <w:rFonts w:hint="eastAsia" w:ascii="宋体" w:hAnsi="宋体" w:eastAsia="宋体" w:cs="宋体"/>
                <w:color w:val="auto"/>
                <w:sz w:val="21"/>
                <w:szCs w:val="21"/>
              </w:rPr>
              <w:t>日历日</w:t>
            </w:r>
            <w:r>
              <w:rPr>
                <w:rFonts w:hint="eastAsia" w:ascii="宋体" w:hAnsi="宋体" w:eastAsia="宋体" w:cs="宋体"/>
                <w:color w:val="auto"/>
                <w:sz w:val="21"/>
                <w:szCs w:val="21"/>
                <w:u w:val="none"/>
                <w:lang w:val="en-US" w:eastAsia="zh-CN"/>
              </w:rPr>
              <w:t>）</w:t>
            </w:r>
          </w:p>
        </w:tc>
      </w:tr>
      <w:tr w14:paraId="46DDD9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0" w:hRule="atLeast"/>
          <w:jc w:val="center"/>
        </w:trPr>
        <w:tc>
          <w:tcPr>
            <w:tcW w:w="1430" w:type="dxa"/>
            <w:vAlign w:val="center"/>
          </w:tcPr>
          <w:p w14:paraId="24ACA6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第13.1款</w:t>
            </w:r>
          </w:p>
        </w:tc>
        <w:tc>
          <w:tcPr>
            <w:tcW w:w="2385" w:type="dxa"/>
            <w:vAlign w:val="center"/>
          </w:tcPr>
          <w:p w14:paraId="4BDED90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分包</w:t>
            </w:r>
          </w:p>
        </w:tc>
        <w:tc>
          <w:tcPr>
            <w:tcW w:w="5437" w:type="dxa"/>
            <w:vAlign w:val="center"/>
          </w:tcPr>
          <w:p w14:paraId="253B12C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Cs/>
                <w:color w:val="auto"/>
                <w:sz w:val="21"/>
                <w:szCs w:val="21"/>
                <w:lang w:eastAsia="zh-CN"/>
              </w:rPr>
            </w:pPr>
            <w:r>
              <w:rPr>
                <w:rFonts w:hint="eastAsia" w:ascii="宋体" w:hAnsi="宋体" w:eastAsia="宋体" w:cs="宋体"/>
                <w:bCs/>
                <w:color w:val="auto"/>
                <w:sz w:val="21"/>
                <w:szCs w:val="21"/>
                <w:lang w:eastAsia="zh-CN"/>
              </w:rPr>
              <w:t>不分包</w:t>
            </w:r>
          </w:p>
        </w:tc>
      </w:tr>
      <w:tr w14:paraId="4A546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4" w:hRule="atLeast"/>
          <w:jc w:val="center"/>
        </w:trPr>
        <w:tc>
          <w:tcPr>
            <w:tcW w:w="1430" w:type="dxa"/>
            <w:vAlign w:val="center"/>
          </w:tcPr>
          <w:p w14:paraId="504F711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第14.2款</w:t>
            </w:r>
          </w:p>
        </w:tc>
        <w:tc>
          <w:tcPr>
            <w:tcW w:w="2385" w:type="dxa"/>
            <w:vAlign w:val="center"/>
          </w:tcPr>
          <w:p w14:paraId="6797D70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响应</w:t>
            </w:r>
            <w:r>
              <w:rPr>
                <w:rFonts w:hint="eastAsia" w:ascii="宋体" w:hAnsi="宋体" w:eastAsia="宋体" w:cs="宋体"/>
                <w:color w:val="auto"/>
                <w:sz w:val="21"/>
                <w:szCs w:val="21"/>
              </w:rPr>
              <w:t>文件副本份数</w:t>
            </w:r>
          </w:p>
        </w:tc>
        <w:tc>
          <w:tcPr>
            <w:tcW w:w="5437" w:type="dxa"/>
            <w:vAlign w:val="center"/>
          </w:tcPr>
          <w:p w14:paraId="503A1E9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u w:val="single"/>
                <w:lang w:eastAsia="zh-CN"/>
              </w:rPr>
            </w:pPr>
            <w:r>
              <w:rPr>
                <w:rFonts w:hint="eastAsia" w:ascii="宋体" w:hAnsi="宋体" w:eastAsia="宋体" w:cs="宋体"/>
                <w:color w:val="auto"/>
                <w:sz w:val="21"/>
                <w:szCs w:val="21"/>
                <w:u w:val="none"/>
              </w:rPr>
              <w:t>正本一份；副本贰份；响应文件电子文档一份（PDF格式U盘存储</w:t>
            </w:r>
            <w:r>
              <w:rPr>
                <w:rFonts w:hint="eastAsia" w:ascii="宋体" w:hAnsi="宋体" w:cs="宋体"/>
                <w:color w:val="auto"/>
                <w:sz w:val="21"/>
                <w:szCs w:val="21"/>
                <w:u w:val="none"/>
                <w:lang w:eastAsia="zh-CN"/>
              </w:rPr>
              <w:t>，电子档与正本一致扫描件</w:t>
            </w:r>
            <w:r>
              <w:rPr>
                <w:rFonts w:hint="eastAsia" w:ascii="宋体" w:hAnsi="宋体" w:eastAsia="宋体" w:cs="宋体"/>
                <w:color w:val="auto"/>
                <w:sz w:val="21"/>
                <w:szCs w:val="21"/>
                <w:u w:val="none"/>
              </w:rPr>
              <w:t>）。</w:t>
            </w:r>
          </w:p>
        </w:tc>
      </w:tr>
      <w:tr w14:paraId="41D9FC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9252" w:type="dxa"/>
            <w:gridSpan w:val="3"/>
            <w:vAlign w:val="center"/>
          </w:tcPr>
          <w:p w14:paraId="240F87D3">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auto"/>
                <w:sz w:val="21"/>
                <w:szCs w:val="21"/>
              </w:rPr>
            </w:pPr>
            <w:r>
              <w:rPr>
                <w:rFonts w:hint="eastAsia" w:ascii="宋体" w:hAnsi="宋体" w:eastAsia="宋体" w:cs="宋体"/>
                <w:b/>
                <w:color w:val="auto"/>
                <w:sz w:val="24"/>
                <w:szCs w:val="24"/>
              </w:rPr>
              <w:t>四、响应文件的递交</w:t>
            </w:r>
          </w:p>
        </w:tc>
      </w:tr>
      <w:tr w14:paraId="744D3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719" w:hRule="atLeast"/>
          <w:jc w:val="center"/>
        </w:trPr>
        <w:tc>
          <w:tcPr>
            <w:tcW w:w="1430" w:type="dxa"/>
            <w:vAlign w:val="center"/>
          </w:tcPr>
          <w:p w14:paraId="7470A73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第15.2款</w:t>
            </w:r>
          </w:p>
        </w:tc>
        <w:tc>
          <w:tcPr>
            <w:tcW w:w="2385" w:type="dxa"/>
            <w:vAlign w:val="center"/>
          </w:tcPr>
          <w:p w14:paraId="6BAAD87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封套上应载明的信息</w:t>
            </w:r>
          </w:p>
        </w:tc>
        <w:tc>
          <w:tcPr>
            <w:tcW w:w="5437" w:type="dxa"/>
            <w:vAlign w:val="center"/>
          </w:tcPr>
          <w:p w14:paraId="6AE0E9D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cs="宋体"/>
                <w:color w:val="auto"/>
                <w:sz w:val="21"/>
                <w:szCs w:val="21"/>
                <w:u w:val="single"/>
                <w:lang w:eastAsia="zh-CN"/>
              </w:rPr>
              <w:t>津市监狱第一押犯点及罪犯总医院周界报警系统采购</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文件</w:t>
            </w:r>
          </w:p>
          <w:p w14:paraId="13132A71">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u w:val="single"/>
              </w:rPr>
            </w:pPr>
            <w:r>
              <w:rPr>
                <w:rFonts w:hint="eastAsia" w:ascii="宋体" w:hAnsi="宋体" w:cs="宋体"/>
                <w:color w:val="auto"/>
                <w:sz w:val="21"/>
                <w:szCs w:val="21"/>
                <w:lang w:eastAsia="zh-CN"/>
              </w:rPr>
              <w:t>委托代理编号</w:t>
            </w:r>
            <w:r>
              <w:rPr>
                <w:rFonts w:hint="eastAsia" w:ascii="宋体" w:hAnsi="宋体" w:eastAsia="宋体" w:cs="宋体"/>
                <w:color w:val="auto"/>
                <w:sz w:val="21"/>
                <w:szCs w:val="21"/>
              </w:rPr>
              <w:t>：</w:t>
            </w:r>
          </w:p>
          <w:p w14:paraId="276C3BC4">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在</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时</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分之前不得启封</w:t>
            </w:r>
          </w:p>
          <w:p w14:paraId="1620929D">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供应商</w:t>
            </w:r>
            <w:r>
              <w:rPr>
                <w:rFonts w:hint="eastAsia" w:ascii="宋体" w:hAnsi="宋体" w:eastAsia="宋体" w:cs="宋体"/>
                <w:color w:val="auto"/>
                <w:sz w:val="21"/>
                <w:szCs w:val="21"/>
              </w:rPr>
              <w:t>名称：</w:t>
            </w:r>
          </w:p>
        </w:tc>
      </w:tr>
      <w:tr w14:paraId="157E0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18" w:hRule="atLeast"/>
          <w:jc w:val="center"/>
        </w:trPr>
        <w:tc>
          <w:tcPr>
            <w:tcW w:w="1430" w:type="dxa"/>
            <w:vAlign w:val="center"/>
          </w:tcPr>
          <w:p w14:paraId="1514EF9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第17.1款</w:t>
            </w:r>
          </w:p>
        </w:tc>
        <w:tc>
          <w:tcPr>
            <w:tcW w:w="2385" w:type="dxa"/>
            <w:vAlign w:val="center"/>
          </w:tcPr>
          <w:p w14:paraId="072993D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响应文件的递交</w:t>
            </w:r>
            <w:r>
              <w:rPr>
                <w:rFonts w:hint="eastAsia" w:ascii="宋体" w:hAnsi="宋体" w:eastAsia="宋体" w:cs="宋体"/>
                <w:bCs/>
                <w:color w:val="auto"/>
                <w:sz w:val="21"/>
                <w:szCs w:val="21"/>
              </w:rPr>
              <w:t>时间和</w:t>
            </w:r>
            <w:r>
              <w:rPr>
                <w:rFonts w:hint="eastAsia" w:ascii="宋体" w:hAnsi="宋体" w:eastAsia="宋体" w:cs="宋体"/>
                <w:color w:val="auto"/>
                <w:sz w:val="21"/>
                <w:szCs w:val="21"/>
              </w:rPr>
              <w:t>地点</w:t>
            </w:r>
          </w:p>
        </w:tc>
        <w:tc>
          <w:tcPr>
            <w:tcW w:w="5437" w:type="dxa"/>
            <w:vAlign w:val="center"/>
          </w:tcPr>
          <w:p w14:paraId="091C3CD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截止时间：</w:t>
            </w:r>
            <w:bookmarkStart w:id="85" w:name="_GoBack"/>
            <w:bookmarkEnd w:id="85"/>
            <w:r>
              <w:rPr>
                <w:rFonts w:hint="eastAsia" w:ascii="宋体" w:hAnsi="宋体"/>
                <w:b/>
                <w:bCs/>
                <w:color w:val="auto"/>
                <w:szCs w:val="21"/>
                <w:u w:val="none"/>
                <w:lang w:val="en-US" w:eastAsia="zh-CN"/>
              </w:rPr>
              <w:t>2026年10月28日09时30分</w:t>
            </w:r>
            <w:r>
              <w:rPr>
                <w:rFonts w:hint="eastAsia" w:ascii="宋体" w:hAnsi="宋体" w:eastAsia="宋体" w:cs="宋体"/>
                <w:b w:val="0"/>
                <w:bCs w:val="0"/>
                <w:color w:val="auto"/>
                <w:sz w:val="21"/>
                <w:szCs w:val="21"/>
              </w:rPr>
              <w:t>北京时间)</w:t>
            </w:r>
          </w:p>
          <w:p w14:paraId="35D7B93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宋体" w:hAnsi="宋体" w:eastAsia="宋体" w:cs="宋体"/>
                <w:b/>
                <w:bCs/>
                <w:color w:val="auto"/>
                <w:sz w:val="21"/>
                <w:szCs w:val="21"/>
                <w:lang w:val="en-US"/>
              </w:rPr>
            </w:pPr>
            <w:r>
              <w:rPr>
                <w:rFonts w:hint="eastAsia" w:ascii="宋体" w:hAnsi="宋体" w:eastAsia="宋体" w:cs="宋体"/>
                <w:b w:val="0"/>
                <w:bCs w:val="0"/>
                <w:color w:val="auto"/>
                <w:sz w:val="21"/>
                <w:szCs w:val="21"/>
                <w:lang w:eastAsia="zh-CN"/>
              </w:rPr>
              <w:t>地点：</w:t>
            </w:r>
            <w:r>
              <w:rPr>
                <w:rFonts w:hint="eastAsia" w:ascii="宋体" w:hAnsi="宋体"/>
                <w:color w:val="auto"/>
                <w:szCs w:val="21"/>
                <w:lang w:eastAsia="zh-CN"/>
              </w:rPr>
              <w:t>常德众益项目管理咨询有限公司（常德市武陵区上川四季酒店6楼）</w:t>
            </w:r>
            <w:r>
              <w:rPr>
                <w:rFonts w:hint="eastAsia" w:ascii="宋体" w:hAnsi="宋体" w:cs="宋体"/>
                <w:color w:val="auto"/>
              </w:rPr>
              <w:t>。</w:t>
            </w:r>
          </w:p>
        </w:tc>
      </w:tr>
      <w:tr w14:paraId="2C6F62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9252" w:type="dxa"/>
            <w:gridSpan w:val="3"/>
            <w:vAlign w:val="center"/>
          </w:tcPr>
          <w:p w14:paraId="64ADC1A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五、响应文件的评审与谈判</w:t>
            </w:r>
          </w:p>
        </w:tc>
      </w:tr>
      <w:tr w14:paraId="08525F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90" w:hRule="atLeast"/>
          <w:jc w:val="center"/>
        </w:trPr>
        <w:tc>
          <w:tcPr>
            <w:tcW w:w="1430" w:type="dxa"/>
            <w:vAlign w:val="center"/>
          </w:tcPr>
          <w:p w14:paraId="1A67C86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第21.4款</w:t>
            </w:r>
          </w:p>
        </w:tc>
        <w:tc>
          <w:tcPr>
            <w:tcW w:w="2385" w:type="dxa"/>
            <w:vAlign w:val="center"/>
          </w:tcPr>
          <w:p w14:paraId="4F6BD5B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谈判文件规定的实质性要求和条件</w:t>
            </w:r>
          </w:p>
        </w:tc>
        <w:tc>
          <w:tcPr>
            <w:tcW w:w="5437" w:type="dxa"/>
            <w:vAlign w:val="center"/>
          </w:tcPr>
          <w:p w14:paraId="065C79F5">
            <w:pPr>
              <w:keepNext w:val="0"/>
              <w:keepLines w:val="0"/>
              <w:pageBreakBefore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b/>
                <w:bCs/>
                <w:color w:val="auto"/>
                <w:sz w:val="21"/>
                <w:szCs w:val="21"/>
              </w:rPr>
            </w:pPr>
            <w:r>
              <w:rPr>
                <w:rFonts w:hint="eastAsia" w:ascii="宋体" w:hAnsi="宋体" w:eastAsia="宋体" w:cs="宋体"/>
                <w:color w:val="auto"/>
                <w:sz w:val="21"/>
                <w:szCs w:val="21"/>
              </w:rPr>
              <w:t>供应商有本章第</w:t>
            </w:r>
            <w:r>
              <w:rPr>
                <w:rFonts w:hint="eastAsia" w:ascii="宋体" w:hAnsi="宋体" w:eastAsia="宋体" w:cs="宋体"/>
                <w:color w:val="auto"/>
                <w:sz w:val="21"/>
                <w:szCs w:val="21"/>
                <w:lang w:val="en-US" w:eastAsia="zh-CN"/>
              </w:rPr>
              <w:t>18</w:t>
            </w:r>
            <w:r>
              <w:rPr>
                <w:rFonts w:hint="eastAsia" w:ascii="宋体" w:hAnsi="宋体" w:eastAsia="宋体" w:cs="宋体"/>
                <w:color w:val="auto"/>
                <w:sz w:val="21"/>
                <w:szCs w:val="21"/>
              </w:rPr>
              <w:t>.1</w:t>
            </w:r>
            <w:r>
              <w:rPr>
                <w:rFonts w:hint="eastAsia" w:ascii="宋体" w:hAnsi="宋体" w:eastAsia="宋体" w:cs="宋体"/>
                <w:color w:val="auto"/>
                <w:kern w:val="0"/>
                <w:sz w:val="21"/>
                <w:szCs w:val="21"/>
                <w:lang w:val="zh-CN"/>
              </w:rPr>
              <w:t>款</w:t>
            </w:r>
            <w:r>
              <w:rPr>
                <w:rFonts w:hint="eastAsia" w:ascii="宋体" w:hAnsi="宋体" w:eastAsia="宋体" w:cs="宋体"/>
                <w:color w:val="auto"/>
                <w:sz w:val="21"/>
                <w:szCs w:val="21"/>
              </w:rPr>
              <w:t>情形的，谈判</w:t>
            </w:r>
            <w:r>
              <w:rPr>
                <w:rFonts w:hint="eastAsia" w:ascii="宋体" w:hAnsi="宋体" w:eastAsia="宋体" w:cs="宋体"/>
                <w:bCs/>
                <w:color w:val="auto"/>
                <w:sz w:val="21"/>
                <w:szCs w:val="21"/>
              </w:rPr>
              <w:t>小组将</w:t>
            </w:r>
            <w:r>
              <w:rPr>
                <w:rFonts w:hint="eastAsia" w:ascii="宋体" w:hAnsi="宋体" w:eastAsia="宋体" w:cs="宋体"/>
                <w:color w:val="auto"/>
                <w:sz w:val="21"/>
                <w:szCs w:val="21"/>
              </w:rPr>
              <w:t>根据本章第3.1</w:t>
            </w:r>
            <w:r>
              <w:rPr>
                <w:rFonts w:hint="eastAsia" w:ascii="宋体" w:hAnsi="宋体" w:eastAsia="宋体" w:cs="宋体"/>
                <w:color w:val="auto"/>
                <w:kern w:val="0"/>
                <w:sz w:val="21"/>
                <w:szCs w:val="21"/>
                <w:lang w:val="zh-CN"/>
              </w:rPr>
              <w:t>款</w:t>
            </w:r>
            <w:r>
              <w:rPr>
                <w:rFonts w:hint="eastAsia" w:ascii="宋体" w:hAnsi="宋体" w:eastAsia="宋体" w:cs="宋体"/>
                <w:color w:val="auto"/>
                <w:sz w:val="21"/>
                <w:szCs w:val="21"/>
              </w:rPr>
              <w:t>规定的供应商资格条件要求，对更新或补充提供的资格证明材料进行审查。不满足资格条件的，视为无效响应。</w:t>
            </w:r>
          </w:p>
        </w:tc>
      </w:tr>
      <w:tr w14:paraId="747FBC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90" w:hRule="atLeast"/>
          <w:jc w:val="center"/>
        </w:trPr>
        <w:tc>
          <w:tcPr>
            <w:tcW w:w="1430" w:type="dxa"/>
            <w:vAlign w:val="center"/>
          </w:tcPr>
          <w:p w14:paraId="3864C4D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第27.2款</w:t>
            </w:r>
          </w:p>
        </w:tc>
        <w:tc>
          <w:tcPr>
            <w:tcW w:w="2385" w:type="dxa"/>
            <w:vAlign w:val="center"/>
          </w:tcPr>
          <w:p w14:paraId="6CA6851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bCs/>
                <w:color w:val="auto"/>
                <w:sz w:val="21"/>
                <w:szCs w:val="21"/>
              </w:rPr>
              <w:t>最后报价的算术修正</w:t>
            </w:r>
          </w:p>
        </w:tc>
        <w:tc>
          <w:tcPr>
            <w:tcW w:w="5437" w:type="dxa"/>
            <w:vAlign w:val="center"/>
          </w:tcPr>
          <w:p w14:paraId="3D9991D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auto"/>
                <w:sz w:val="21"/>
                <w:szCs w:val="21"/>
              </w:rPr>
            </w:pPr>
            <w:r>
              <w:rPr>
                <w:rFonts w:hint="eastAsia" w:ascii="宋体" w:hAnsi="宋体" w:eastAsia="宋体" w:cs="宋体"/>
                <w:b w:val="0"/>
                <w:bCs w:val="0"/>
                <w:color w:val="auto"/>
                <w:sz w:val="21"/>
                <w:szCs w:val="21"/>
              </w:rPr>
              <w:t>最后报价的大写金额和小写金额不一致的，以大写金额为准；总价金额与按分项报价汇总金额不一致的，以分项报价金额计算结果为准；分项报价金额小数点有明显错位的，应以总价为准，并修改分项报价。</w:t>
            </w:r>
          </w:p>
        </w:tc>
      </w:tr>
      <w:tr w14:paraId="6AFC27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6" w:hRule="atLeast"/>
          <w:jc w:val="center"/>
        </w:trPr>
        <w:tc>
          <w:tcPr>
            <w:tcW w:w="9252" w:type="dxa"/>
            <w:gridSpan w:val="3"/>
            <w:vAlign w:val="center"/>
          </w:tcPr>
          <w:p w14:paraId="6644D73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六、成交结果信息公布与供应商质疑</w:t>
            </w:r>
          </w:p>
        </w:tc>
      </w:tr>
      <w:tr w14:paraId="412043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74" w:hRule="atLeast"/>
          <w:jc w:val="center"/>
        </w:trPr>
        <w:tc>
          <w:tcPr>
            <w:tcW w:w="1430" w:type="dxa"/>
            <w:vAlign w:val="center"/>
          </w:tcPr>
          <w:p w14:paraId="512E241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第33.1款</w:t>
            </w:r>
          </w:p>
        </w:tc>
        <w:tc>
          <w:tcPr>
            <w:tcW w:w="2385" w:type="dxa"/>
            <w:vAlign w:val="center"/>
          </w:tcPr>
          <w:p w14:paraId="3FD3D3F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财政部门指定的媒体</w:t>
            </w:r>
          </w:p>
        </w:tc>
        <w:tc>
          <w:tcPr>
            <w:tcW w:w="5437" w:type="dxa"/>
            <w:vAlign w:val="center"/>
          </w:tcPr>
          <w:p w14:paraId="68534FA7">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u w:val="single"/>
                <w:lang w:eastAsia="zh-CN"/>
              </w:rPr>
            </w:pPr>
            <w:r>
              <w:rPr>
                <w:rFonts w:hint="eastAsia" w:ascii="宋体" w:hAnsi="宋体" w:cs="宋体"/>
                <w:color w:val="auto"/>
                <w:sz w:val="21"/>
                <w:szCs w:val="21"/>
                <w:lang w:eastAsia="zh-CN"/>
              </w:rPr>
              <w:t>中国招标投标公共服务平台</w:t>
            </w:r>
          </w:p>
        </w:tc>
      </w:tr>
      <w:tr w14:paraId="5C942A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9" w:hRule="atLeast"/>
          <w:jc w:val="center"/>
        </w:trPr>
        <w:tc>
          <w:tcPr>
            <w:tcW w:w="1430" w:type="dxa"/>
            <w:vAlign w:val="center"/>
          </w:tcPr>
          <w:p w14:paraId="2D56D86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第35.3款</w:t>
            </w:r>
          </w:p>
        </w:tc>
        <w:tc>
          <w:tcPr>
            <w:tcW w:w="2385" w:type="dxa"/>
            <w:vAlign w:val="center"/>
          </w:tcPr>
          <w:p w14:paraId="712D0C9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履约担保</w:t>
            </w:r>
          </w:p>
        </w:tc>
        <w:tc>
          <w:tcPr>
            <w:tcW w:w="5437" w:type="dxa"/>
            <w:vAlign w:val="center"/>
          </w:tcPr>
          <w:p w14:paraId="027FEF11">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■不要求提供</w:t>
            </w:r>
          </w:p>
          <w:p w14:paraId="2A01F4B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default" w:ascii="宋体" w:hAnsi="宋体" w:eastAsia="宋体" w:cs="宋体"/>
                <w:color w:val="auto"/>
                <w:sz w:val="21"/>
                <w:szCs w:val="21"/>
                <w:lang w:val="en-US" w:eastAsia="zh-CN"/>
              </w:rPr>
            </w:pPr>
            <w:r>
              <w:rPr>
                <w:rFonts w:hint="eastAsia" w:ascii="宋体" w:hAnsi="宋体" w:cs="宋体"/>
                <w:color w:val="auto"/>
                <w:sz w:val="21"/>
                <w:szCs w:val="21"/>
                <w:lang w:eastAsia="zh-CN"/>
              </w:rPr>
              <w:t>□</w:t>
            </w:r>
            <w:r>
              <w:rPr>
                <w:rFonts w:hint="eastAsia" w:ascii="宋体" w:hAnsi="宋体" w:eastAsia="宋体" w:cs="宋体"/>
                <w:color w:val="auto"/>
                <w:sz w:val="21"/>
                <w:szCs w:val="21"/>
              </w:rPr>
              <w:t>要求提供，履约担保的金额为：</w:t>
            </w:r>
            <w:r>
              <w:rPr>
                <w:rFonts w:hint="eastAsia" w:ascii="宋体" w:hAnsi="宋体" w:cs="宋体"/>
                <w:color w:val="auto"/>
                <w:sz w:val="21"/>
                <w:szCs w:val="21"/>
                <w:lang w:val="en-US" w:eastAsia="zh-CN"/>
              </w:rPr>
              <w:t xml:space="preserve">   </w:t>
            </w:r>
          </w:p>
        </w:tc>
      </w:tr>
      <w:tr w14:paraId="122E33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7" w:hRule="atLeast"/>
          <w:jc w:val="center"/>
        </w:trPr>
        <w:tc>
          <w:tcPr>
            <w:tcW w:w="9252" w:type="dxa"/>
            <w:gridSpan w:val="3"/>
            <w:vAlign w:val="center"/>
          </w:tcPr>
          <w:p w14:paraId="464ED15E">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七、政府采购政策</w:t>
            </w:r>
          </w:p>
        </w:tc>
      </w:tr>
      <w:tr w14:paraId="6E04BA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2" w:hRule="atLeast"/>
          <w:jc w:val="center"/>
        </w:trPr>
        <w:tc>
          <w:tcPr>
            <w:tcW w:w="1430" w:type="dxa"/>
            <w:vMerge w:val="restart"/>
            <w:vAlign w:val="center"/>
          </w:tcPr>
          <w:p w14:paraId="5A5553B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第37.2（1）项</w:t>
            </w:r>
          </w:p>
        </w:tc>
        <w:tc>
          <w:tcPr>
            <w:tcW w:w="2385" w:type="dxa"/>
            <w:tcBorders>
              <w:bottom w:val="single" w:color="auto" w:sz="4" w:space="0"/>
            </w:tcBorders>
            <w:vAlign w:val="center"/>
          </w:tcPr>
          <w:p w14:paraId="0C3C235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节能产品的价格折扣比例</w:t>
            </w:r>
          </w:p>
        </w:tc>
        <w:tc>
          <w:tcPr>
            <w:tcW w:w="5437" w:type="dxa"/>
            <w:tcBorders>
              <w:bottom w:val="single" w:color="auto" w:sz="4" w:space="0"/>
            </w:tcBorders>
            <w:vAlign w:val="center"/>
          </w:tcPr>
          <w:p w14:paraId="51827E5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是，采购产品为《节能产品政府采购清单》(第</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lang w:eastAsia="zh-CN"/>
              </w:rPr>
              <w:t>最新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期)内非标记★符号的：</w:t>
            </w:r>
          </w:p>
          <w:p w14:paraId="0AED38C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采用竞争性谈判时，应给予5%-10%的价格扣除，本项目具体扣除比例为</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6</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tc>
      </w:tr>
      <w:tr w14:paraId="108549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430" w:type="dxa"/>
            <w:vMerge w:val="continue"/>
            <w:vAlign w:val="center"/>
          </w:tcPr>
          <w:p w14:paraId="4B48A3C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p>
        </w:tc>
        <w:tc>
          <w:tcPr>
            <w:tcW w:w="2385" w:type="dxa"/>
            <w:tcBorders>
              <w:top w:val="single" w:color="auto" w:sz="4" w:space="0"/>
            </w:tcBorders>
            <w:vAlign w:val="center"/>
          </w:tcPr>
          <w:p w14:paraId="617FFDB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环境标志产品的价格折扣比例</w:t>
            </w:r>
          </w:p>
        </w:tc>
        <w:tc>
          <w:tcPr>
            <w:tcW w:w="5437" w:type="dxa"/>
            <w:tcBorders>
              <w:top w:val="single" w:color="auto" w:sz="4" w:space="0"/>
            </w:tcBorders>
            <w:vAlign w:val="center"/>
          </w:tcPr>
          <w:p w14:paraId="09674F3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是，采购产品为《环境标志产品政府采购清单》(第</w:t>
            </w:r>
            <w:r>
              <w:rPr>
                <w:rFonts w:hint="eastAsia" w:ascii="宋体" w:hAnsi="宋体" w:eastAsia="宋体" w:cs="宋体"/>
                <w:color w:val="auto"/>
                <w:sz w:val="21"/>
                <w:szCs w:val="21"/>
                <w:u w:val="single"/>
              </w:rPr>
              <w:t xml:space="preserve"> 最新 </w:t>
            </w:r>
            <w:r>
              <w:rPr>
                <w:rFonts w:hint="eastAsia" w:ascii="宋体" w:hAnsi="宋体" w:eastAsia="宋体" w:cs="宋体"/>
                <w:color w:val="auto"/>
                <w:sz w:val="21"/>
                <w:szCs w:val="21"/>
              </w:rPr>
              <w:t>期)内的：</w:t>
            </w:r>
          </w:p>
          <w:p w14:paraId="7D31FEF5">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采用竞争性谈判时，应给予5%-10%的价格扣除，本项目具体扣除比例为 </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6</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tc>
      </w:tr>
      <w:tr w14:paraId="76788E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30" w:type="dxa"/>
            <w:vAlign w:val="center"/>
          </w:tcPr>
          <w:p w14:paraId="1A5BB45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第37.3（1）项</w:t>
            </w:r>
          </w:p>
        </w:tc>
        <w:tc>
          <w:tcPr>
            <w:tcW w:w="2385" w:type="dxa"/>
            <w:vAlign w:val="center"/>
          </w:tcPr>
          <w:p w14:paraId="1997DE4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小型、微型企业的价格折扣比例</w:t>
            </w:r>
          </w:p>
        </w:tc>
        <w:tc>
          <w:tcPr>
            <w:tcW w:w="5437" w:type="dxa"/>
            <w:vAlign w:val="center"/>
          </w:tcPr>
          <w:p w14:paraId="31A0F83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本项目中小企业划分行业：工业</w:t>
            </w:r>
          </w:p>
          <w:p w14:paraId="20D9159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color w:val="auto"/>
                <w:sz w:val="21"/>
                <w:szCs w:val="21"/>
              </w:rPr>
              <w:t>专门面向中小企业采购</w:t>
            </w:r>
            <w:r>
              <w:rPr>
                <w:rFonts w:hint="eastAsia" w:ascii="宋体" w:hAnsi="宋体"/>
                <w:color w:val="auto"/>
                <w:sz w:val="21"/>
                <w:szCs w:val="21"/>
                <w:lang w:val="en-US" w:eastAsia="zh-CN"/>
              </w:rPr>
              <w:t>：</w:t>
            </w:r>
            <w:r>
              <w:rPr>
                <w:rFonts w:hint="eastAsia" w:asciiTheme="minorEastAsia" w:hAnsiTheme="minorEastAsia" w:eastAsiaTheme="minorEastAsia" w:cstheme="minorEastAsia"/>
                <w:color w:val="auto"/>
                <w:sz w:val="21"/>
                <w:szCs w:val="21"/>
                <w:lang w:val="en-US" w:eastAsia="zh-CN"/>
              </w:rPr>
              <w:t>否</w:t>
            </w:r>
          </w:p>
          <w:p w14:paraId="209AE72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color w:val="auto"/>
                <w:szCs w:val="21"/>
              </w:rPr>
              <w:t>■</w:t>
            </w:r>
            <w:r>
              <w:rPr>
                <w:rFonts w:hint="eastAsia" w:ascii="宋体" w:hAnsi="宋体" w:eastAsia="宋体" w:cs="宋体"/>
                <w:color w:val="auto"/>
                <w:sz w:val="21"/>
                <w:szCs w:val="21"/>
              </w:rPr>
              <w:t>非专门面向中小企业采购：</w:t>
            </w:r>
          </w:p>
          <w:p w14:paraId="223B620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□1、给予小型和微型企业产品的价格给予6%-10%的扣除，用扣除后的价格参与评审，本项目具体扣除比例为</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10</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14:paraId="1F9EF02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政府采购支持残疾人福利性单位发展</w:t>
            </w:r>
            <w:r>
              <w:rPr>
                <w:rFonts w:hint="eastAsia" w:ascii="宋体" w:hAnsi="宋体" w:eastAsia="宋体" w:cs="宋体"/>
                <w:color w:val="auto"/>
                <w:sz w:val="21"/>
                <w:szCs w:val="21"/>
                <w:lang w:eastAsia="zh-CN"/>
              </w:rPr>
              <w:t>：</w:t>
            </w:r>
          </w:p>
          <w:p w14:paraId="42C5728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给予残疾人福利性单位产品的价格给予6%-10%的扣除，用扣除后的价格参与评审，本项目具体扣除比例为</w:t>
            </w:r>
            <w:r>
              <w:rPr>
                <w:rFonts w:hint="eastAsia" w:ascii="宋体" w:hAnsi="宋体" w:cs="宋体"/>
                <w:color w:val="auto"/>
                <w:sz w:val="21"/>
                <w:szCs w:val="21"/>
                <w:lang w:val="en-US" w:eastAsia="zh-CN"/>
              </w:rPr>
              <w:t xml:space="preserve"> </w:t>
            </w:r>
            <w:r>
              <w:rPr>
                <w:rFonts w:hint="eastAsia" w:ascii="宋体" w:hAnsi="宋体" w:cs="宋体"/>
                <w:color w:val="auto"/>
                <w:sz w:val="21"/>
                <w:szCs w:val="21"/>
                <w:u w:val="single"/>
                <w:lang w:val="en-US" w:eastAsia="zh-CN"/>
              </w:rPr>
              <w:t>10</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14:paraId="20C32C8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政府采购支持监狱企业发展</w:t>
            </w:r>
            <w:r>
              <w:rPr>
                <w:rFonts w:hint="eastAsia" w:ascii="宋体" w:hAnsi="宋体" w:eastAsia="宋体" w:cs="宋体"/>
                <w:color w:val="auto"/>
                <w:sz w:val="21"/>
                <w:szCs w:val="21"/>
                <w:lang w:eastAsia="zh-CN"/>
              </w:rPr>
              <w:t>：</w:t>
            </w:r>
          </w:p>
          <w:p w14:paraId="2BDFFFE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outlineLvl w:val="9"/>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给予监狱企业产品的价格给予6%-10%的扣除，用扣除后的价格参与评审，本项目具体扣除比例为</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10</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14:paraId="0A76BDBA">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说明：</w:t>
            </w:r>
            <w:r>
              <w:rPr>
                <w:rFonts w:hint="eastAsia" w:ascii="宋体" w:hAnsi="宋体" w:eastAsia="宋体" w:cs="宋体"/>
                <w:color w:val="auto"/>
                <w:sz w:val="21"/>
                <w:szCs w:val="21"/>
              </w:rPr>
              <w:t>残疾人福利性单位、监狱企业视同为小微企业，不重复计算。</w:t>
            </w:r>
          </w:p>
        </w:tc>
      </w:tr>
      <w:tr w14:paraId="2DF083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6" w:hRule="atLeast"/>
          <w:jc w:val="center"/>
        </w:trPr>
        <w:tc>
          <w:tcPr>
            <w:tcW w:w="1430" w:type="dxa"/>
            <w:vAlign w:val="center"/>
          </w:tcPr>
          <w:p w14:paraId="179617B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第37.3（2）项</w:t>
            </w:r>
          </w:p>
        </w:tc>
        <w:tc>
          <w:tcPr>
            <w:tcW w:w="2385" w:type="dxa"/>
            <w:vAlign w:val="center"/>
          </w:tcPr>
          <w:p w14:paraId="3917051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小型、微型企业参加联合体的价格折扣比例</w:t>
            </w:r>
          </w:p>
        </w:tc>
        <w:tc>
          <w:tcPr>
            <w:tcW w:w="5437" w:type="dxa"/>
            <w:vAlign w:val="center"/>
          </w:tcPr>
          <w:p w14:paraId="769FB0C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不接受联合体</w:t>
            </w:r>
          </w:p>
        </w:tc>
      </w:tr>
      <w:tr w14:paraId="613CD2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07" w:hRule="atLeast"/>
          <w:jc w:val="center"/>
        </w:trPr>
        <w:tc>
          <w:tcPr>
            <w:tcW w:w="1430" w:type="dxa"/>
            <w:vAlign w:val="center"/>
          </w:tcPr>
          <w:p w14:paraId="4193A67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第37.7款</w:t>
            </w:r>
          </w:p>
        </w:tc>
        <w:tc>
          <w:tcPr>
            <w:tcW w:w="2385" w:type="dxa"/>
            <w:vAlign w:val="center"/>
          </w:tcPr>
          <w:p w14:paraId="2EEAE9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进口产品</w:t>
            </w:r>
          </w:p>
        </w:tc>
        <w:tc>
          <w:tcPr>
            <w:tcW w:w="5437" w:type="dxa"/>
            <w:vAlign w:val="center"/>
          </w:tcPr>
          <w:p w14:paraId="51B09BF0">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不接受</w:t>
            </w:r>
          </w:p>
        </w:tc>
      </w:tr>
      <w:tr w14:paraId="09D300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trPr>
        <w:tc>
          <w:tcPr>
            <w:tcW w:w="9252" w:type="dxa"/>
            <w:gridSpan w:val="3"/>
            <w:vAlign w:val="center"/>
          </w:tcPr>
          <w:p w14:paraId="30CBBB8C">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八、其他规定</w:t>
            </w:r>
          </w:p>
        </w:tc>
      </w:tr>
      <w:tr w14:paraId="59DFAD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430" w:type="dxa"/>
            <w:vAlign w:val="center"/>
          </w:tcPr>
          <w:p w14:paraId="358D55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第38.1款</w:t>
            </w:r>
          </w:p>
        </w:tc>
        <w:tc>
          <w:tcPr>
            <w:tcW w:w="2385" w:type="dxa"/>
            <w:vAlign w:val="center"/>
          </w:tcPr>
          <w:p w14:paraId="664AB34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代理服务费</w:t>
            </w:r>
          </w:p>
        </w:tc>
        <w:tc>
          <w:tcPr>
            <w:tcW w:w="5437" w:type="dxa"/>
            <w:vAlign w:val="center"/>
          </w:tcPr>
          <w:p w14:paraId="5D196DD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u w:val="single"/>
              </w:rPr>
            </w:pPr>
            <w:r>
              <w:rPr>
                <w:rFonts w:hint="eastAsia" w:ascii="宋体" w:hAnsi="宋体" w:cs="仿宋_GB2312"/>
                <w:color w:val="auto"/>
                <w:szCs w:val="21"/>
                <w:lang w:val="zh-CN"/>
              </w:rPr>
              <w:t>根据采购代理机构与采购人的协议，本次采购代理服务费由采购人支付，</w:t>
            </w:r>
            <w:r>
              <w:rPr>
                <w:rFonts w:hint="eastAsia" w:ascii="宋体" w:hAnsi="宋体" w:cs="仿宋_GB2312"/>
                <w:color w:val="auto"/>
                <w:szCs w:val="21"/>
                <w:lang w:val="en-US" w:eastAsia="zh-CN"/>
              </w:rPr>
              <w:t>按成交金额的1.2%收取</w:t>
            </w:r>
            <w:r>
              <w:rPr>
                <w:rFonts w:hint="eastAsia" w:ascii="宋体" w:hAnsi="宋体" w:cs="仿宋_GB2312"/>
                <w:color w:val="auto"/>
                <w:szCs w:val="21"/>
                <w:lang w:val="zh-CN"/>
              </w:rPr>
              <w:t>。</w:t>
            </w:r>
          </w:p>
        </w:tc>
      </w:tr>
      <w:tr w14:paraId="1E8D77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4" w:hRule="atLeast"/>
          <w:jc w:val="center"/>
        </w:trPr>
        <w:tc>
          <w:tcPr>
            <w:tcW w:w="1430" w:type="dxa"/>
            <w:vAlign w:val="center"/>
          </w:tcPr>
          <w:p w14:paraId="123B4C9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第39.1款</w:t>
            </w:r>
          </w:p>
        </w:tc>
        <w:tc>
          <w:tcPr>
            <w:tcW w:w="2385" w:type="dxa"/>
            <w:vAlign w:val="center"/>
          </w:tcPr>
          <w:p w14:paraId="66A9A15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color w:val="auto"/>
                <w:szCs w:val="21"/>
              </w:rPr>
              <w:t>样品提供的规定</w:t>
            </w:r>
          </w:p>
        </w:tc>
        <w:tc>
          <w:tcPr>
            <w:tcW w:w="5437" w:type="dxa"/>
            <w:vAlign w:val="center"/>
          </w:tcPr>
          <w:p w14:paraId="7291E1B7">
            <w:pPr>
              <w:adjustRightInd w:val="0"/>
              <w:snapToGrid w:val="0"/>
              <w:spacing w:before="156" w:beforeLines="50"/>
              <w:rPr>
                <w:rFonts w:hint="default" w:ascii="宋体" w:hAnsi="宋体" w:eastAsia="宋体" w:cs="仿宋_GB2312"/>
                <w:color w:val="auto"/>
                <w:szCs w:val="21"/>
                <w:lang w:val="en-US" w:eastAsia="zh-CN"/>
              </w:rPr>
            </w:pPr>
            <w:r>
              <w:rPr>
                <w:rFonts w:hint="eastAsia"/>
                <w:color w:val="auto"/>
                <w:lang w:eastAsia="zh-CN"/>
              </w:rPr>
              <w:t>不</w:t>
            </w:r>
            <w:r>
              <w:rPr>
                <w:rFonts w:hint="eastAsia"/>
                <w:color w:val="auto"/>
              </w:rPr>
              <w:t>要求提供</w:t>
            </w:r>
          </w:p>
        </w:tc>
      </w:tr>
      <w:tr w14:paraId="1F832C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430" w:type="dxa"/>
            <w:vAlign w:val="center"/>
          </w:tcPr>
          <w:p w14:paraId="17023E9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第39.</w:t>
            </w: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款</w:t>
            </w:r>
          </w:p>
        </w:tc>
        <w:tc>
          <w:tcPr>
            <w:tcW w:w="2385" w:type="dxa"/>
            <w:vAlign w:val="center"/>
          </w:tcPr>
          <w:p w14:paraId="3F70527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其他规定</w:t>
            </w:r>
          </w:p>
        </w:tc>
        <w:tc>
          <w:tcPr>
            <w:tcW w:w="5437" w:type="dxa"/>
            <w:vAlign w:val="center"/>
          </w:tcPr>
          <w:p w14:paraId="28D0A787">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1、按照《财政部关于在政府采购活动中查询及使用信用记录有关问题的通知》（财库〔2016〕125号）的要求。</w:t>
            </w:r>
            <w:r>
              <w:rPr>
                <w:rFonts w:hint="eastAsia" w:ascii="宋体" w:hAnsi="宋体" w:eastAsia="宋体" w:cs="宋体"/>
                <w:color w:val="auto"/>
                <w:sz w:val="21"/>
                <w:szCs w:val="21"/>
              </w:rPr>
              <w:t>采购人、采购代理机构通过信用中国网站（www.creditchina.gov.cn）和中国政府采购网（www.ccgp.gov.cn）查询相关主体信用记录，并采取网页打印方式做好信用信息查询记录和证据留存，信用信息查询记录及相关证据应当与其他磋商文件一并保存。采购人或者采购代理机构应当对供应商信用记录进行甄别，对列入失信被执行人、重大税收违法案件当事人名单、严重违法失信行为记录名单及其他不符合相关法律法规规定条件的供应商，应当拒绝其参与投标活动。</w:t>
            </w:r>
          </w:p>
          <w:p w14:paraId="2627A745">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2、信用信息查询截止时间：投标截止时间。</w:t>
            </w:r>
          </w:p>
          <w:p w14:paraId="38F44B5B">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供应商需按要求提供信用中国网站（www.creditchina.gov.cn）未被列入失信被执行人和重大税收违法案件当事人名单查询清单和中国政府采购网（www.ccgp.gov.cn）未被列入有效期的政府采购严重违法失信行为记录查询清单。</w:t>
            </w:r>
          </w:p>
        </w:tc>
      </w:tr>
    </w:tbl>
    <w:p w14:paraId="11A6EA5A">
      <w:pPr>
        <w:pStyle w:val="3"/>
        <w:keepNext w:val="0"/>
        <w:keepLines w:val="0"/>
        <w:adjustRightInd w:val="0"/>
        <w:snapToGrid w:val="0"/>
        <w:spacing w:before="156" w:beforeLines="50"/>
        <w:jc w:val="center"/>
        <w:rPr>
          <w:rFonts w:ascii="黑体" w:hAnsi="黑体" w:eastAsia="黑体"/>
          <w:color w:val="auto"/>
          <w:sz w:val="32"/>
        </w:rPr>
      </w:pPr>
      <w:r>
        <w:rPr>
          <w:color w:val="auto"/>
        </w:rPr>
        <w:br w:type="page"/>
      </w:r>
      <w:bookmarkStart w:id="24" w:name="_Toc7831"/>
      <w:r>
        <w:rPr>
          <w:rFonts w:hint="eastAsia" w:ascii="黑体" w:hAnsi="黑体" w:eastAsia="黑体"/>
          <w:color w:val="auto"/>
          <w:sz w:val="32"/>
        </w:rPr>
        <w:t>第二节 谈判须知正文</w:t>
      </w:r>
      <w:bookmarkEnd w:id="24"/>
    </w:p>
    <w:p w14:paraId="658A79E7">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25" w:name="_Toc15972"/>
      <w:r>
        <w:rPr>
          <w:rFonts w:hint="eastAsia" w:ascii="黑体" w:hAnsi="黑体" w:eastAsia="黑体"/>
          <w:color w:val="auto"/>
          <w:sz w:val="28"/>
          <w:szCs w:val="28"/>
        </w:rPr>
        <w:t>一、说明</w:t>
      </w:r>
      <w:bookmarkEnd w:id="25"/>
    </w:p>
    <w:p w14:paraId="2D7839ED">
      <w:pPr>
        <w:pStyle w:val="5"/>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1.适用范围</w:t>
      </w:r>
    </w:p>
    <w:p w14:paraId="142EDF6D">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1.1本竞争性谈判文件仅适用于本章第一节“谈判须知前附表”（以下简称</w:t>
      </w:r>
      <w:r>
        <w:rPr>
          <w:rFonts w:hint="eastAsia" w:ascii="宋体" w:hAnsi="宋体"/>
          <w:b/>
          <w:color w:val="auto"/>
          <w:szCs w:val="21"/>
        </w:rPr>
        <w:t>【谈判须知前附表】</w:t>
      </w:r>
      <w:r>
        <w:rPr>
          <w:rFonts w:hint="eastAsia" w:ascii="宋体" w:hAnsi="宋体"/>
          <w:color w:val="auto"/>
          <w:szCs w:val="21"/>
        </w:rPr>
        <w:t>）中所叙述的采购项目。</w:t>
      </w:r>
    </w:p>
    <w:p w14:paraId="3BB6427A">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2.定义</w:t>
      </w:r>
    </w:p>
    <w:p w14:paraId="15E930F1">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2.1采购项目联系人姓名和电话见</w:t>
      </w:r>
      <w:r>
        <w:rPr>
          <w:rFonts w:hint="eastAsia" w:ascii="宋体" w:hAnsi="宋体"/>
          <w:b/>
          <w:color w:val="auto"/>
          <w:szCs w:val="21"/>
        </w:rPr>
        <w:t>【谈判须知前附表】</w:t>
      </w:r>
      <w:r>
        <w:rPr>
          <w:rFonts w:hint="eastAsia" w:ascii="宋体" w:hAnsi="宋体"/>
          <w:color w:val="auto"/>
          <w:szCs w:val="21"/>
        </w:rPr>
        <w:t>。</w:t>
      </w:r>
    </w:p>
    <w:p w14:paraId="33D504C5">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2.2采购人名称、地址、电话、联系人见</w:t>
      </w:r>
      <w:r>
        <w:rPr>
          <w:rFonts w:hint="eastAsia" w:ascii="宋体" w:hAnsi="宋体"/>
          <w:b/>
          <w:color w:val="auto"/>
          <w:szCs w:val="21"/>
        </w:rPr>
        <w:t>【谈判须知前附表】</w:t>
      </w:r>
      <w:r>
        <w:rPr>
          <w:rFonts w:hint="eastAsia" w:ascii="宋体" w:hAnsi="宋体"/>
          <w:color w:val="auto"/>
          <w:szCs w:val="21"/>
        </w:rPr>
        <w:t>。</w:t>
      </w:r>
    </w:p>
    <w:p w14:paraId="03302B32">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2.3采购代理机构名称、地址、电话、联系人见</w:t>
      </w:r>
      <w:r>
        <w:rPr>
          <w:rFonts w:hint="eastAsia" w:ascii="宋体" w:hAnsi="宋体"/>
          <w:b/>
          <w:color w:val="auto"/>
          <w:szCs w:val="21"/>
        </w:rPr>
        <w:t>【谈判须知前附表】。</w:t>
      </w:r>
    </w:p>
    <w:p w14:paraId="7394BBF0">
      <w:pPr>
        <w:adjustRightInd w:val="0"/>
        <w:snapToGrid w:val="0"/>
        <w:spacing w:before="156" w:beforeLines="50"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2.4供应商是指响应谈判文件要求、参加竞争性谈判采购的法人、其他组织或者自然人</w:t>
      </w:r>
      <w:r>
        <w:rPr>
          <w:rFonts w:hint="eastAsia" w:ascii="宋体" w:hAnsi="宋体"/>
          <w:b/>
          <w:color w:val="auto"/>
          <w:szCs w:val="21"/>
        </w:rPr>
        <w:t>。</w:t>
      </w:r>
    </w:p>
    <w:p w14:paraId="73A50906">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3.供应商的资格要求</w:t>
      </w:r>
    </w:p>
    <w:p w14:paraId="1FDABA5D">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3.1供应商应当符合</w:t>
      </w:r>
      <w:r>
        <w:rPr>
          <w:rFonts w:hint="eastAsia" w:ascii="宋体" w:hAnsi="宋体"/>
          <w:b/>
          <w:color w:val="auto"/>
          <w:szCs w:val="21"/>
        </w:rPr>
        <w:t>【谈判须知前附表】</w:t>
      </w:r>
      <w:r>
        <w:rPr>
          <w:rFonts w:hint="eastAsia" w:ascii="宋体" w:hAnsi="宋体"/>
          <w:color w:val="auto"/>
          <w:szCs w:val="21"/>
        </w:rPr>
        <w:t>规定的供应商资格条件。</w:t>
      </w:r>
    </w:p>
    <w:p w14:paraId="170AB06B">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3.2</w:t>
      </w:r>
      <w:r>
        <w:rPr>
          <w:rFonts w:hint="eastAsia" w:ascii="宋体" w:hAnsi="宋体"/>
          <w:b/>
          <w:color w:val="auto"/>
          <w:szCs w:val="21"/>
        </w:rPr>
        <w:t>【谈判须知前附表】</w:t>
      </w:r>
      <w:r>
        <w:rPr>
          <w:rFonts w:hint="eastAsia" w:ascii="宋体" w:hAnsi="宋体"/>
          <w:color w:val="auto"/>
          <w:szCs w:val="21"/>
        </w:rPr>
        <w:t>规定接受联合体形式的，供应商除应符合本章第3.1</w:t>
      </w:r>
      <w:r>
        <w:rPr>
          <w:rFonts w:hint="eastAsia" w:ascii="宋体" w:hAnsi="宋体" w:cs="宋体"/>
          <w:color w:val="auto"/>
          <w:kern w:val="0"/>
          <w:szCs w:val="21"/>
          <w:lang w:val="zh-CN"/>
        </w:rPr>
        <w:t>款</w:t>
      </w:r>
      <w:r>
        <w:rPr>
          <w:rFonts w:hint="eastAsia" w:ascii="宋体" w:hAnsi="宋体"/>
          <w:color w:val="auto"/>
          <w:szCs w:val="21"/>
        </w:rPr>
        <w:t xml:space="preserve">规定外，还应遵守以下规定： </w:t>
      </w:r>
    </w:p>
    <w:p w14:paraId="073B3E87">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（l）联合体中有同类资质的供应商按照联合体分工承担相同工作的，应当按照资质等级较低的供应商确定资质等级。</w:t>
      </w:r>
    </w:p>
    <w:p w14:paraId="05617CFB">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（2）联合体各方应按谈判文件提供的格式签订联合体协议书，明确联合体牵头人和各方的权利义务、合同工作量比例；</w:t>
      </w:r>
    </w:p>
    <w:p w14:paraId="70461C82">
      <w:pPr>
        <w:adjustRightInd w:val="0"/>
        <w:snapToGrid w:val="0"/>
        <w:spacing w:before="156" w:beforeLines="50"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（3）联合体各方签订联合体协议书后，</w:t>
      </w:r>
      <w:r>
        <w:rPr>
          <w:rFonts w:hint="eastAsia" w:ascii="宋体" w:hAnsi="宋体" w:cs="宋体"/>
          <w:color w:val="auto"/>
          <w:kern w:val="0"/>
          <w:szCs w:val="21"/>
          <w:lang w:val="zh-CN"/>
        </w:rPr>
        <w:t>不得再单独参加或者与其他供应商组成新的联合体参加同一合同项下的采购活动。</w:t>
      </w:r>
    </w:p>
    <w:p w14:paraId="1DC07AA3">
      <w:pPr>
        <w:adjustRightInd w:val="0"/>
        <w:snapToGrid w:val="0"/>
        <w:spacing w:before="156" w:beforeLines="50" w:line="360" w:lineRule="auto"/>
        <w:ind w:firstLine="420" w:firstLineChars="200"/>
        <w:jc w:val="left"/>
        <w:rPr>
          <w:rFonts w:ascii="宋体" w:hAnsi="宋体"/>
          <w:b/>
          <w:color w:val="auto"/>
          <w:szCs w:val="21"/>
        </w:rPr>
      </w:pPr>
      <w:r>
        <w:rPr>
          <w:rFonts w:hint="eastAsia" w:ascii="宋体" w:hAnsi="宋体" w:cs="宋体"/>
          <w:color w:val="auto"/>
          <w:kern w:val="0"/>
          <w:szCs w:val="21"/>
          <w:lang w:val="zh-CN"/>
        </w:rPr>
        <w:t>3.3采购人、采购代理机构通过发布竞争性谈判邀请公告（附录1）或竞争性谈判邀请函（附录2）邀请供应商参与谈判。</w:t>
      </w:r>
      <w:r>
        <w:rPr>
          <w:rFonts w:hint="eastAsia" w:ascii="宋体" w:hAnsi="宋体"/>
          <w:color w:val="auto"/>
          <w:szCs w:val="21"/>
        </w:rPr>
        <w:t>供应商邀请方式见</w:t>
      </w:r>
      <w:r>
        <w:rPr>
          <w:rFonts w:hint="eastAsia" w:ascii="宋体" w:hAnsi="宋体"/>
          <w:b/>
          <w:color w:val="auto"/>
          <w:szCs w:val="21"/>
        </w:rPr>
        <w:t>【谈判须知前附表】</w:t>
      </w:r>
    </w:p>
    <w:p w14:paraId="079EA4BE">
      <w:pPr>
        <w:adjustRightInd w:val="0"/>
        <w:snapToGrid w:val="0"/>
        <w:spacing w:before="156" w:beforeLines="50"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3.4</w:t>
      </w:r>
      <w:r>
        <w:rPr>
          <w:rFonts w:hint="eastAsia" w:ascii="宋体" w:hAnsi="宋体" w:cs="宋体"/>
          <w:color w:val="auto"/>
          <w:kern w:val="0"/>
          <w:szCs w:val="21"/>
          <w:lang w:val="zh-CN"/>
        </w:rPr>
        <w:t>采购人、采购代理机构负责对参与谈判的供应商进行资格审查，并按照第一章的格式向通过资格审查的供应商发出“谈判邀请”。</w:t>
      </w:r>
    </w:p>
    <w:p w14:paraId="0EC0073A">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 xml:space="preserve">4.参与谈判的费用 </w:t>
      </w:r>
    </w:p>
    <w:p w14:paraId="0F054455">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4.1无论谈判的结果如何，供应商应自行承担所有与竞争性谈判采购活动有关的全部费用。</w:t>
      </w:r>
    </w:p>
    <w:p w14:paraId="7F55F144">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5.现场勘察</w:t>
      </w:r>
    </w:p>
    <w:p w14:paraId="6657CE05">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5.1供应商应按</w:t>
      </w:r>
      <w:r>
        <w:rPr>
          <w:rFonts w:hint="eastAsia" w:ascii="宋体" w:hAnsi="宋体"/>
          <w:b/>
          <w:color w:val="auto"/>
          <w:szCs w:val="21"/>
        </w:rPr>
        <w:t>【谈判须知前附表】</w:t>
      </w:r>
      <w:r>
        <w:rPr>
          <w:rFonts w:hint="eastAsia" w:hAnsi="宋体"/>
          <w:color w:val="auto"/>
        </w:rPr>
        <w:t>中规定</w:t>
      </w:r>
      <w:r>
        <w:rPr>
          <w:rFonts w:hint="eastAsia" w:ascii="宋体" w:hAnsi="宋体"/>
          <w:color w:val="auto"/>
          <w:szCs w:val="21"/>
        </w:rPr>
        <w:t>对采购项目现场和周围环境的现场考察。</w:t>
      </w:r>
    </w:p>
    <w:p w14:paraId="16C8B889">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5.2勘察现场的费用由供应商自己承担，勘察期间所发生的人身伤害及财产损失由供应商自己负责。</w:t>
      </w:r>
    </w:p>
    <w:p w14:paraId="2B7902D6">
      <w:pPr>
        <w:adjustRightInd w:val="0"/>
        <w:snapToGrid w:val="0"/>
        <w:spacing w:before="156" w:beforeLines="50" w:line="360" w:lineRule="auto"/>
        <w:ind w:firstLine="420" w:firstLineChars="200"/>
        <w:jc w:val="left"/>
        <w:rPr>
          <w:rFonts w:ascii="宋体" w:hAnsi="宋体"/>
          <w:b/>
          <w:color w:val="auto"/>
          <w:szCs w:val="21"/>
        </w:rPr>
      </w:pPr>
      <w:r>
        <w:rPr>
          <w:rFonts w:hint="eastAsia" w:ascii="宋体" w:hAnsi="宋体"/>
          <w:color w:val="auto"/>
          <w:szCs w:val="21"/>
        </w:rPr>
        <w:t>5.3采购人不对供应商据此而做出的推论、理解和结论负责。一旦成交，供应商不得以任何借口，而提出额外补偿，或延长合同期限的要求。</w:t>
      </w:r>
    </w:p>
    <w:p w14:paraId="1E4A12F7">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26" w:name="_Toc2908"/>
      <w:r>
        <w:rPr>
          <w:rFonts w:hint="eastAsia" w:ascii="黑体" w:hAnsi="黑体" w:eastAsia="黑体"/>
          <w:color w:val="auto"/>
          <w:sz w:val="28"/>
          <w:szCs w:val="28"/>
        </w:rPr>
        <w:t>二、谈判文件</w:t>
      </w:r>
      <w:bookmarkEnd w:id="26"/>
    </w:p>
    <w:p w14:paraId="03969F4B">
      <w:pPr>
        <w:pStyle w:val="5"/>
        <w:adjustRightInd w:val="0"/>
        <w:snapToGrid w:val="0"/>
        <w:spacing w:before="50" w:after="0" w:line="360" w:lineRule="auto"/>
        <w:rPr>
          <w:color w:val="auto"/>
          <w:sz w:val="24"/>
          <w:szCs w:val="24"/>
        </w:rPr>
      </w:pPr>
      <w:r>
        <w:rPr>
          <w:rFonts w:hint="eastAsia"/>
          <w:color w:val="auto"/>
          <w:sz w:val="24"/>
          <w:szCs w:val="24"/>
        </w:rPr>
        <w:t>6.谈判文件的组成</w:t>
      </w:r>
    </w:p>
    <w:p w14:paraId="5103E84C">
      <w:pPr>
        <w:pStyle w:val="22"/>
        <w:adjustRightInd w:val="0"/>
        <w:snapToGrid w:val="0"/>
        <w:spacing w:before="156" w:beforeLines="50" w:line="360" w:lineRule="auto"/>
        <w:ind w:firstLine="420" w:firstLineChars="200"/>
        <w:rPr>
          <w:rFonts w:hAnsi="宋体"/>
          <w:color w:val="auto"/>
        </w:rPr>
      </w:pPr>
      <w:r>
        <w:rPr>
          <w:rFonts w:hint="eastAsia" w:hAnsi="宋体"/>
          <w:color w:val="auto"/>
        </w:rPr>
        <w:t>6.1谈判文件由下列文件组成：</w:t>
      </w:r>
    </w:p>
    <w:p w14:paraId="5D2BBEA8">
      <w:pPr>
        <w:pStyle w:val="22"/>
        <w:adjustRightInd w:val="0"/>
        <w:snapToGrid w:val="0"/>
        <w:spacing w:before="156" w:beforeLines="50" w:line="360" w:lineRule="auto"/>
        <w:ind w:firstLine="420" w:firstLineChars="200"/>
        <w:rPr>
          <w:rFonts w:hAnsi="宋体"/>
          <w:color w:val="auto"/>
        </w:rPr>
      </w:pPr>
      <w:r>
        <w:rPr>
          <w:rFonts w:hint="eastAsia" w:hAnsi="宋体"/>
          <w:color w:val="auto"/>
        </w:rPr>
        <w:t>第一章 采购邀请</w:t>
      </w:r>
    </w:p>
    <w:p w14:paraId="4C0EE223">
      <w:pPr>
        <w:pStyle w:val="22"/>
        <w:adjustRightInd w:val="0"/>
        <w:snapToGrid w:val="0"/>
        <w:spacing w:before="156" w:beforeLines="50" w:line="360" w:lineRule="auto"/>
        <w:ind w:firstLine="420" w:firstLineChars="200"/>
        <w:rPr>
          <w:rFonts w:hAnsi="宋体"/>
          <w:color w:val="auto"/>
        </w:rPr>
      </w:pPr>
      <w:r>
        <w:rPr>
          <w:rFonts w:hint="eastAsia" w:hAnsi="宋体"/>
          <w:color w:val="auto"/>
        </w:rPr>
        <w:t>第二章 谈判须知</w:t>
      </w:r>
    </w:p>
    <w:p w14:paraId="26DCD03C">
      <w:pPr>
        <w:pStyle w:val="22"/>
        <w:adjustRightInd w:val="0"/>
        <w:snapToGrid w:val="0"/>
        <w:spacing w:before="156" w:beforeLines="50" w:line="360" w:lineRule="auto"/>
        <w:ind w:firstLine="420" w:firstLineChars="200"/>
        <w:rPr>
          <w:rFonts w:hAnsi="宋体"/>
          <w:color w:val="auto"/>
        </w:rPr>
      </w:pPr>
      <w:r>
        <w:rPr>
          <w:rFonts w:hint="eastAsia" w:hAnsi="宋体"/>
          <w:color w:val="auto"/>
        </w:rPr>
        <w:t>第三章 合同草案条款</w:t>
      </w:r>
    </w:p>
    <w:p w14:paraId="22FE6A94">
      <w:pPr>
        <w:pStyle w:val="22"/>
        <w:adjustRightInd w:val="0"/>
        <w:snapToGrid w:val="0"/>
        <w:spacing w:before="156" w:beforeLines="50" w:line="360" w:lineRule="auto"/>
        <w:ind w:firstLine="420" w:firstLineChars="200"/>
        <w:rPr>
          <w:rFonts w:hAnsi="宋体"/>
          <w:color w:val="auto"/>
        </w:rPr>
      </w:pPr>
      <w:r>
        <w:rPr>
          <w:rFonts w:hint="eastAsia" w:hAnsi="宋体"/>
          <w:color w:val="auto"/>
        </w:rPr>
        <w:t>第四章 采购需求</w:t>
      </w:r>
    </w:p>
    <w:p w14:paraId="58E62B8C">
      <w:pPr>
        <w:pStyle w:val="22"/>
        <w:adjustRightInd w:val="0"/>
        <w:snapToGrid w:val="0"/>
        <w:spacing w:before="156" w:beforeLines="50" w:line="360" w:lineRule="auto"/>
        <w:ind w:firstLine="420" w:firstLineChars="200"/>
        <w:rPr>
          <w:rFonts w:hAnsi="宋体"/>
          <w:color w:val="auto"/>
        </w:rPr>
      </w:pPr>
      <w:r>
        <w:rPr>
          <w:rFonts w:hint="eastAsia" w:hAnsi="宋体"/>
          <w:color w:val="auto"/>
        </w:rPr>
        <w:t>第五章 响应文件组成</w:t>
      </w:r>
    </w:p>
    <w:p w14:paraId="1E9B6C74">
      <w:pPr>
        <w:pStyle w:val="22"/>
        <w:adjustRightInd w:val="0"/>
        <w:snapToGrid w:val="0"/>
        <w:spacing w:before="156" w:beforeLines="50" w:line="360" w:lineRule="auto"/>
        <w:ind w:firstLine="420" w:firstLineChars="200"/>
        <w:rPr>
          <w:rFonts w:hAnsi="宋体" w:cs="宋体"/>
          <w:color w:val="auto"/>
          <w:kern w:val="0"/>
        </w:rPr>
      </w:pPr>
      <w:r>
        <w:rPr>
          <w:rFonts w:hint="eastAsia"/>
          <w:color w:val="auto"/>
        </w:rPr>
        <w:t>6.2</w:t>
      </w:r>
      <w:r>
        <w:rPr>
          <w:rFonts w:hint="eastAsia" w:hAnsi="宋体" w:cs="宋体"/>
          <w:color w:val="auto"/>
          <w:kern w:val="0"/>
        </w:rPr>
        <w:t>采购人、采购代理机构或者谈判小组在提交首次响应文件截止之日前对已发出的谈判文件进行的澄清或者修改，构成谈判文件的组成部分。</w:t>
      </w:r>
    </w:p>
    <w:p w14:paraId="7EC5D103">
      <w:pPr>
        <w:pStyle w:val="22"/>
        <w:adjustRightInd w:val="0"/>
        <w:snapToGrid w:val="0"/>
        <w:spacing w:before="156" w:beforeLines="50" w:line="360" w:lineRule="auto"/>
        <w:ind w:firstLine="420" w:firstLineChars="200"/>
        <w:rPr>
          <w:color w:val="auto"/>
        </w:rPr>
      </w:pPr>
      <w:r>
        <w:rPr>
          <w:rFonts w:hint="eastAsia" w:hAnsi="宋体" w:cs="宋体"/>
          <w:color w:val="auto"/>
          <w:kern w:val="0"/>
        </w:rPr>
        <w:t>6.3谈判文件中，谈判小组根据与供应商谈判情况可能实质性变动的内容见</w:t>
      </w:r>
      <w:r>
        <w:rPr>
          <w:rFonts w:hint="eastAsia" w:hAnsi="宋体"/>
          <w:b/>
          <w:color w:val="auto"/>
        </w:rPr>
        <w:t>【谈判须知前附表】</w:t>
      </w:r>
      <w:r>
        <w:rPr>
          <w:rFonts w:hint="eastAsia" w:hAnsi="宋体" w:cs="宋体"/>
          <w:color w:val="auto"/>
          <w:kern w:val="0"/>
        </w:rPr>
        <w:t>。对谈判文件作出的实质性变动是谈判文件的有效组成部分。</w:t>
      </w:r>
    </w:p>
    <w:p w14:paraId="4774316E">
      <w:pPr>
        <w:pStyle w:val="22"/>
        <w:adjustRightInd w:val="0"/>
        <w:snapToGrid w:val="0"/>
        <w:spacing w:before="156" w:beforeLines="50" w:line="360" w:lineRule="auto"/>
        <w:ind w:firstLine="420" w:firstLineChars="200"/>
        <w:rPr>
          <w:rFonts w:hAnsi="宋体"/>
          <w:color w:val="auto"/>
        </w:rPr>
      </w:pPr>
      <w:r>
        <w:rPr>
          <w:rFonts w:hint="eastAsia"/>
          <w:color w:val="auto"/>
        </w:rPr>
        <w:t>6.4</w:t>
      </w:r>
      <w:r>
        <w:rPr>
          <w:rFonts w:hint="eastAsia" w:hAnsi="宋体"/>
          <w:color w:val="auto"/>
        </w:rPr>
        <w:t>供应商应仔细阅读</w:t>
      </w:r>
      <w:r>
        <w:rPr>
          <w:rFonts w:hint="eastAsia" w:hAnsi="宋体"/>
          <w:bCs/>
          <w:color w:val="auto"/>
        </w:rPr>
        <w:t>谈判</w:t>
      </w:r>
      <w:r>
        <w:rPr>
          <w:rFonts w:hint="eastAsia" w:hAnsi="宋体"/>
          <w:color w:val="auto"/>
        </w:rPr>
        <w:t>文件的全部内容，按照</w:t>
      </w:r>
      <w:r>
        <w:rPr>
          <w:rFonts w:hint="eastAsia" w:hAnsi="宋体"/>
          <w:bCs/>
          <w:color w:val="auto"/>
        </w:rPr>
        <w:t>谈判</w:t>
      </w:r>
      <w:r>
        <w:rPr>
          <w:rFonts w:hint="eastAsia" w:hAnsi="宋体"/>
          <w:color w:val="auto"/>
        </w:rPr>
        <w:t>文件要求编制</w:t>
      </w:r>
      <w:r>
        <w:rPr>
          <w:rFonts w:hint="eastAsia"/>
          <w:color w:val="auto"/>
        </w:rPr>
        <w:t>响应</w:t>
      </w:r>
      <w:r>
        <w:rPr>
          <w:rFonts w:hint="eastAsia" w:hAnsi="宋体"/>
          <w:color w:val="auto"/>
        </w:rPr>
        <w:t>文件。任何对</w:t>
      </w:r>
      <w:r>
        <w:rPr>
          <w:rFonts w:hint="eastAsia" w:hAnsi="宋体"/>
          <w:bCs/>
          <w:color w:val="auto"/>
        </w:rPr>
        <w:t>谈判</w:t>
      </w:r>
      <w:r>
        <w:rPr>
          <w:rFonts w:hint="eastAsia" w:hAnsi="宋体"/>
          <w:color w:val="auto"/>
        </w:rPr>
        <w:t>文件的忽略或误解不能作为</w:t>
      </w:r>
      <w:r>
        <w:rPr>
          <w:rFonts w:hint="eastAsia"/>
          <w:color w:val="auto"/>
        </w:rPr>
        <w:t>响应</w:t>
      </w:r>
      <w:r>
        <w:rPr>
          <w:rFonts w:hint="eastAsia" w:hAnsi="宋体"/>
          <w:color w:val="auto"/>
        </w:rPr>
        <w:t>文件存在缺陷或瑕疵的理由，其风险由供应商承担。</w:t>
      </w:r>
    </w:p>
    <w:p w14:paraId="0CCAE5DF">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7.谈判文件的澄清</w:t>
      </w:r>
      <w:r>
        <w:rPr>
          <w:rFonts w:hint="eastAsia" w:ascii="黑体" w:hAnsi="黑体"/>
          <w:color w:val="auto"/>
          <w:kern w:val="0"/>
          <w:sz w:val="24"/>
          <w:szCs w:val="24"/>
          <w:lang w:val="zh-CN"/>
        </w:rPr>
        <w:t>或者</w:t>
      </w:r>
      <w:r>
        <w:rPr>
          <w:rFonts w:hint="eastAsia" w:ascii="黑体" w:hAnsi="黑体"/>
          <w:color w:val="auto"/>
          <w:sz w:val="24"/>
          <w:szCs w:val="24"/>
        </w:rPr>
        <w:t>修改</w:t>
      </w:r>
    </w:p>
    <w:p w14:paraId="7B15CD87">
      <w:pPr>
        <w:adjustRightInd w:val="0"/>
        <w:snapToGrid w:val="0"/>
        <w:spacing w:before="156" w:beforeLines="50" w:line="360" w:lineRule="auto"/>
        <w:ind w:right="-105" w:rightChars="-50" w:firstLine="420" w:firstLineChars="200"/>
        <w:rPr>
          <w:rFonts w:ascii="宋体" w:hAnsi="宋体" w:cs="宋体"/>
          <w:color w:val="auto"/>
          <w:kern w:val="0"/>
          <w:szCs w:val="21"/>
        </w:rPr>
      </w:pPr>
      <w:r>
        <w:rPr>
          <w:rFonts w:hint="eastAsia" w:ascii="宋体" w:hAnsi="宋体"/>
          <w:color w:val="auto"/>
          <w:szCs w:val="21"/>
        </w:rPr>
        <w:t>7.1在</w:t>
      </w:r>
      <w:r>
        <w:rPr>
          <w:rFonts w:hint="eastAsia" w:ascii="宋体" w:hAnsi="宋体" w:cs="宋体"/>
          <w:color w:val="auto"/>
          <w:kern w:val="0"/>
          <w:szCs w:val="21"/>
        </w:rPr>
        <w:t>提交首次响应文件截止之日前，采购人、采购代理机构或者谈判小组可以对已发出的谈判文件进行必要的澄清或者修改。</w:t>
      </w:r>
    </w:p>
    <w:p w14:paraId="218614FF">
      <w:pPr>
        <w:adjustRightInd w:val="0"/>
        <w:snapToGrid w:val="0"/>
        <w:spacing w:before="156" w:beforeLines="50" w:line="360" w:lineRule="auto"/>
        <w:ind w:right="-105" w:rightChars="-50" w:firstLine="420" w:firstLineChars="200"/>
        <w:rPr>
          <w:rFonts w:ascii="宋体" w:hAnsi="宋体" w:cs="宋体"/>
          <w:color w:val="auto"/>
          <w:kern w:val="0"/>
          <w:szCs w:val="21"/>
        </w:rPr>
      </w:pPr>
      <w:r>
        <w:rPr>
          <w:rFonts w:hint="eastAsia" w:ascii="宋体" w:hAnsi="宋体"/>
          <w:color w:val="auto"/>
          <w:szCs w:val="21"/>
        </w:rPr>
        <w:t>7.2</w:t>
      </w:r>
      <w:r>
        <w:rPr>
          <w:rFonts w:hint="eastAsia" w:ascii="宋体" w:hAnsi="宋体" w:cs="宋体"/>
          <w:color w:val="auto"/>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16E0D114">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27" w:name="_Toc12681"/>
      <w:r>
        <w:rPr>
          <w:rFonts w:hint="eastAsia" w:ascii="黑体" w:hAnsi="黑体" w:eastAsia="黑体"/>
          <w:color w:val="auto"/>
          <w:sz w:val="28"/>
          <w:szCs w:val="28"/>
        </w:rPr>
        <w:t>三、响应文件</w:t>
      </w:r>
      <w:bookmarkEnd w:id="27"/>
    </w:p>
    <w:p w14:paraId="760E4489">
      <w:pPr>
        <w:pStyle w:val="5"/>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8.一般要求</w:t>
      </w:r>
    </w:p>
    <w:p w14:paraId="09DEA20F">
      <w:pPr>
        <w:adjustRightInd w:val="0"/>
        <w:snapToGrid w:val="0"/>
        <w:spacing w:before="156" w:beforeLines="50" w:line="360" w:lineRule="auto"/>
        <w:ind w:firstLine="420" w:firstLineChars="200"/>
        <w:rPr>
          <w:rFonts w:ascii="宋体" w:hAnsi="宋体"/>
          <w:bCs/>
          <w:color w:val="auto"/>
          <w:szCs w:val="21"/>
        </w:rPr>
      </w:pPr>
      <w:r>
        <w:rPr>
          <w:rFonts w:hint="eastAsia" w:ascii="宋体" w:hAnsi="宋体"/>
          <w:bCs/>
          <w:color w:val="auto"/>
          <w:szCs w:val="21"/>
        </w:rPr>
        <w:t>8.1供应商应仔细阅读谈判文件的所有内容，按谈判文件的要求编制响应文件，并保证所提供的全部资料的真实性，以使其响应文件对谈判文件做出实质性的响应。</w:t>
      </w:r>
    </w:p>
    <w:p w14:paraId="2D8DC359">
      <w:pPr>
        <w:adjustRightInd w:val="0"/>
        <w:snapToGrid w:val="0"/>
        <w:spacing w:before="156" w:beforeLines="50" w:line="360" w:lineRule="auto"/>
        <w:ind w:firstLine="420" w:firstLineChars="200"/>
        <w:rPr>
          <w:rFonts w:ascii="宋体" w:hAnsi="宋体"/>
          <w:bCs/>
          <w:color w:val="auto"/>
          <w:szCs w:val="21"/>
        </w:rPr>
      </w:pPr>
      <w:r>
        <w:rPr>
          <w:rFonts w:hint="eastAsia" w:ascii="宋体" w:hAnsi="宋体"/>
          <w:bCs/>
          <w:color w:val="auto"/>
          <w:szCs w:val="21"/>
        </w:rPr>
        <w:t>8.2</w:t>
      </w:r>
      <w:r>
        <w:rPr>
          <w:rFonts w:hint="eastAsia" w:ascii="宋体" w:hAnsi="宋体"/>
          <w:color w:val="auto"/>
          <w:szCs w:val="21"/>
        </w:rPr>
        <w:t>供应商提交的响应文件及供应商与采购人或采购代理机构、谈判小组就有关谈判的所有来往函电均使用中文。供应商可以提交其它语言的资料，但应附中文注释，在有差异时以中文为准。</w:t>
      </w:r>
    </w:p>
    <w:p w14:paraId="6998FFD4">
      <w:pPr>
        <w:pStyle w:val="22"/>
        <w:adjustRightInd w:val="0"/>
        <w:snapToGrid w:val="0"/>
        <w:spacing w:before="156" w:beforeLines="50" w:line="360" w:lineRule="auto"/>
        <w:ind w:firstLine="420" w:firstLineChars="200"/>
        <w:rPr>
          <w:rFonts w:hAnsi="宋体"/>
          <w:color w:val="auto"/>
        </w:rPr>
      </w:pPr>
      <w:r>
        <w:rPr>
          <w:rFonts w:hint="eastAsia" w:hAnsi="宋体"/>
          <w:bCs/>
          <w:color w:val="auto"/>
        </w:rPr>
        <w:t>8.3</w:t>
      </w:r>
      <w:r>
        <w:rPr>
          <w:rFonts w:hint="eastAsia" w:hAnsi="宋体"/>
          <w:color w:val="auto"/>
        </w:rPr>
        <w:t>计量单位应使用我国法定计量单位，未列明时应默认为我国法定计量单位。</w:t>
      </w:r>
    </w:p>
    <w:p w14:paraId="752A14D0">
      <w:pPr>
        <w:pStyle w:val="22"/>
        <w:adjustRightInd w:val="0"/>
        <w:snapToGrid w:val="0"/>
        <w:spacing w:before="156" w:beforeLines="50" w:line="360" w:lineRule="auto"/>
        <w:ind w:firstLine="420" w:firstLineChars="200"/>
        <w:rPr>
          <w:rFonts w:hAnsi="宋体"/>
          <w:color w:val="auto"/>
        </w:rPr>
      </w:pPr>
      <w:r>
        <w:rPr>
          <w:rFonts w:hint="eastAsia" w:hAnsi="宋体"/>
          <w:color w:val="auto"/>
        </w:rPr>
        <w:t>8.4响应文件应采用书面形式，电报、传真、电子邮件形式的响应文件概不接受。</w:t>
      </w:r>
    </w:p>
    <w:p w14:paraId="3C1D298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8.5供应商应按谈判文件中提供的响应文件格式填写。</w:t>
      </w:r>
    </w:p>
    <w:p w14:paraId="0AD89F1D">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9.响应文件的组成</w:t>
      </w:r>
    </w:p>
    <w:p w14:paraId="66AC5052">
      <w:pPr>
        <w:pStyle w:val="163"/>
        <w:spacing w:before="156" w:beforeLines="50"/>
        <w:ind w:firstLine="480"/>
        <w:rPr>
          <w:rFonts w:ascii="宋体"/>
          <w:color w:val="auto"/>
          <w:szCs w:val="21"/>
        </w:rPr>
      </w:pPr>
      <w:r>
        <w:rPr>
          <w:rFonts w:hint="eastAsia" w:ascii="宋体"/>
          <w:color w:val="auto"/>
        </w:rPr>
        <w:t>9.1</w:t>
      </w:r>
      <w:r>
        <w:rPr>
          <w:rFonts w:hint="eastAsia"/>
          <w:color w:val="auto"/>
        </w:rPr>
        <w:t>响应文件包括下列内容：</w:t>
      </w:r>
      <w:r>
        <w:rPr>
          <w:rFonts w:hint="eastAsia" w:ascii="宋体"/>
          <w:color w:val="auto"/>
          <w:szCs w:val="21"/>
        </w:rPr>
        <w:t xml:space="preserve"> </w:t>
      </w:r>
    </w:p>
    <w:p w14:paraId="3030CA35">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（一）</w:t>
      </w:r>
      <w:r>
        <w:rPr>
          <w:rFonts w:hint="eastAsia" w:ascii="宋体" w:hAnsi="宋体"/>
          <w:color w:val="auto"/>
          <w:szCs w:val="21"/>
        </w:rPr>
        <w:t>谈判响应声明(格式)</w:t>
      </w:r>
    </w:p>
    <w:p w14:paraId="2CFA3246">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（二）</w:t>
      </w:r>
      <w:r>
        <w:rPr>
          <w:rFonts w:hint="eastAsia" w:ascii="宋体" w:hAnsi="宋体"/>
          <w:color w:val="auto"/>
          <w:szCs w:val="21"/>
        </w:rPr>
        <w:t>法定代表人（单位负责人）身份证明(格式)</w:t>
      </w:r>
    </w:p>
    <w:p w14:paraId="12EB9238">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（三）</w:t>
      </w:r>
      <w:r>
        <w:rPr>
          <w:rFonts w:hint="eastAsia" w:ascii="宋体" w:hAnsi="宋体"/>
          <w:color w:val="auto"/>
          <w:szCs w:val="21"/>
        </w:rPr>
        <w:t>授权委托书(格式)</w:t>
      </w:r>
    </w:p>
    <w:p w14:paraId="0E28B283">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（四）</w:t>
      </w:r>
      <w:r>
        <w:rPr>
          <w:rFonts w:hint="eastAsia" w:ascii="宋体" w:hAnsi="宋体"/>
          <w:color w:val="auto"/>
          <w:szCs w:val="21"/>
        </w:rPr>
        <w:t>保证金</w:t>
      </w:r>
    </w:p>
    <w:p w14:paraId="49849823">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（五）</w:t>
      </w:r>
      <w:r>
        <w:rPr>
          <w:rFonts w:hint="eastAsia" w:ascii="宋体" w:hAnsi="宋体"/>
          <w:color w:val="auto"/>
          <w:szCs w:val="21"/>
        </w:rPr>
        <w:t>报价表及报价文件(格式)</w:t>
      </w:r>
    </w:p>
    <w:p w14:paraId="7CBDDACB">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（六）</w:t>
      </w:r>
      <w:r>
        <w:rPr>
          <w:rFonts w:hint="eastAsia" w:ascii="宋体" w:hAnsi="宋体"/>
          <w:color w:val="auto"/>
          <w:szCs w:val="21"/>
        </w:rPr>
        <w:t>采购需求响应</w:t>
      </w:r>
    </w:p>
    <w:p w14:paraId="71BA9ABD">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（七）</w:t>
      </w:r>
      <w:r>
        <w:rPr>
          <w:rFonts w:hint="eastAsia" w:ascii="宋体" w:hAnsi="宋体"/>
          <w:color w:val="auto"/>
          <w:szCs w:val="21"/>
        </w:rPr>
        <w:t>合同条款偏离表</w:t>
      </w:r>
    </w:p>
    <w:p w14:paraId="3E001A4A">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（八）</w:t>
      </w:r>
      <w:r>
        <w:rPr>
          <w:rFonts w:hint="eastAsia" w:ascii="宋体" w:hAnsi="宋体"/>
          <w:color w:val="auto"/>
          <w:szCs w:val="21"/>
        </w:rPr>
        <w:t>采购需求偏离表</w:t>
      </w:r>
    </w:p>
    <w:p w14:paraId="3B0B451C">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（九）</w:t>
      </w:r>
      <w:r>
        <w:rPr>
          <w:rFonts w:hint="eastAsia" w:ascii="宋体" w:hAnsi="宋体"/>
          <w:color w:val="auto"/>
          <w:szCs w:val="21"/>
        </w:rPr>
        <w:t>享受政府采购政策优惠的证明资料</w:t>
      </w:r>
    </w:p>
    <w:p w14:paraId="039F5779">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（十）</w:t>
      </w:r>
      <w:r>
        <w:rPr>
          <w:rFonts w:hint="eastAsia" w:ascii="宋体" w:hAnsi="宋体"/>
          <w:color w:val="auto"/>
          <w:szCs w:val="21"/>
        </w:rPr>
        <w:t>关于资格的声明(格式)</w:t>
      </w:r>
    </w:p>
    <w:p w14:paraId="22B255A9">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hint="eastAsia" w:ascii="宋体" w:hAnsi="宋体"/>
          <w:color w:val="auto"/>
          <w:szCs w:val="21"/>
        </w:rPr>
      </w:pPr>
      <w:r>
        <w:rPr>
          <w:rFonts w:hint="eastAsia" w:ascii="宋体" w:hAnsi="宋体"/>
          <w:color w:val="auto"/>
          <w:szCs w:val="21"/>
          <w:lang w:eastAsia="zh-CN"/>
        </w:rPr>
        <w:t>（十一）</w:t>
      </w:r>
      <w:r>
        <w:rPr>
          <w:rFonts w:hint="eastAsia" w:ascii="宋体" w:hAnsi="宋体"/>
          <w:color w:val="auto"/>
          <w:szCs w:val="21"/>
        </w:rPr>
        <w:t>供应商认为需提供的其他资料</w:t>
      </w:r>
    </w:p>
    <w:p w14:paraId="18B0A2A4">
      <w:pPr>
        <w:keepNext w:val="0"/>
        <w:keepLines w:val="0"/>
        <w:pageBreakBefore w:val="0"/>
        <w:widowControl w:val="0"/>
        <w:tabs>
          <w:tab w:val="left" w:pos="753"/>
        </w:tabs>
        <w:kinsoku/>
        <w:wordWrap/>
        <w:overflowPunct/>
        <w:topLinePunct w:val="0"/>
        <w:autoSpaceDE/>
        <w:autoSpaceDN/>
        <w:bidi w:val="0"/>
        <w:adjustRightInd w:val="0"/>
        <w:snapToGrid w:val="0"/>
        <w:spacing w:before="156" w:beforeLines="50" w:line="360" w:lineRule="exact"/>
        <w:ind w:firstLine="420" w:firstLineChars="200"/>
        <w:textAlignment w:val="auto"/>
        <w:rPr>
          <w:rFonts w:ascii="宋体" w:hAnsi="宋体"/>
          <w:color w:val="auto"/>
          <w:szCs w:val="21"/>
        </w:rPr>
      </w:pPr>
      <w:r>
        <w:rPr>
          <w:rFonts w:hint="eastAsia" w:ascii="宋体" w:hAnsi="宋体"/>
          <w:color w:val="auto"/>
          <w:szCs w:val="21"/>
          <w:lang w:eastAsia="zh-CN"/>
        </w:rPr>
        <w:t>（十</w:t>
      </w:r>
      <w:r>
        <w:rPr>
          <w:rFonts w:hint="eastAsia" w:ascii="宋体" w:hAnsi="宋体"/>
          <w:color w:val="auto"/>
          <w:szCs w:val="21"/>
          <w:lang w:val="en-US" w:eastAsia="zh-CN"/>
        </w:rPr>
        <w:t>二</w:t>
      </w:r>
      <w:r>
        <w:rPr>
          <w:rFonts w:hint="eastAsia" w:ascii="宋体" w:hAnsi="宋体"/>
          <w:color w:val="auto"/>
          <w:szCs w:val="21"/>
          <w:lang w:eastAsia="zh-CN"/>
        </w:rPr>
        <w:t>）</w:t>
      </w:r>
      <w:r>
        <w:rPr>
          <w:rFonts w:hint="eastAsia" w:ascii="宋体" w:hAnsi="宋体"/>
          <w:color w:val="auto"/>
          <w:szCs w:val="21"/>
        </w:rPr>
        <w:t>最终报价</w:t>
      </w:r>
    </w:p>
    <w:p w14:paraId="0AEED626">
      <w:pPr>
        <w:adjustRightInd w:val="0"/>
        <w:snapToGrid w:val="0"/>
        <w:spacing w:before="156" w:beforeLines="50" w:line="360" w:lineRule="auto"/>
        <w:ind w:firstLine="420" w:firstLineChars="200"/>
        <w:rPr>
          <w:rFonts w:hAnsi="宋体"/>
          <w:color w:val="auto"/>
        </w:rPr>
      </w:pPr>
      <w:r>
        <w:rPr>
          <w:rFonts w:hint="eastAsia" w:ascii="宋体" w:hAnsi="宋体"/>
          <w:color w:val="auto"/>
        </w:rPr>
        <w:t>9.2在谈判过程中，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谈判小组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06DF901E">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rPr>
        <w:t>9.3</w:t>
      </w:r>
      <w:r>
        <w:rPr>
          <w:rFonts w:hint="eastAsia" w:ascii="宋体" w:hAnsi="宋体"/>
          <w:color w:val="auto"/>
          <w:szCs w:val="21"/>
        </w:rPr>
        <w:t>根据《政府采购法》第四十二条的规定，供应商无论成交与否，其响应文件不予退还。</w:t>
      </w:r>
    </w:p>
    <w:p w14:paraId="2D8F565E">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10.报价要求</w:t>
      </w:r>
    </w:p>
    <w:p w14:paraId="23BB6DD9">
      <w:pPr>
        <w:adjustRightInd w:val="0"/>
        <w:snapToGrid w:val="0"/>
        <w:spacing w:before="156" w:beforeLines="50" w:line="360" w:lineRule="auto"/>
        <w:ind w:firstLine="420" w:firstLineChars="200"/>
        <w:rPr>
          <w:rFonts w:asciiTheme="minorEastAsia" w:hAnsiTheme="minorEastAsia" w:eastAsiaTheme="minorEastAsia"/>
          <w:color w:val="auto"/>
          <w:szCs w:val="21"/>
        </w:rPr>
      </w:pPr>
      <w:r>
        <w:rPr>
          <w:rFonts w:hint="eastAsia" w:ascii="宋体" w:hAnsi="宋体"/>
          <w:color w:val="auto"/>
          <w:szCs w:val="21"/>
        </w:rPr>
        <w:t>10.1</w:t>
      </w:r>
      <w:r>
        <w:rPr>
          <w:rFonts w:hint="eastAsia" w:asciiTheme="minorEastAsia" w:hAnsiTheme="minorEastAsia" w:eastAsiaTheme="minorEastAsia"/>
          <w:color w:val="auto"/>
          <w:szCs w:val="21"/>
        </w:rPr>
        <w:t>供应商应当根据谈判文件第三章第一节“采购清单一览表”逐一报价；谈判文件第三章提供第三节“工程量清单”的，供应商应按其要求填写相应表格。</w:t>
      </w:r>
    </w:p>
    <w:p w14:paraId="2EC555E7">
      <w:pPr>
        <w:adjustRightInd w:val="0"/>
        <w:snapToGrid w:val="0"/>
        <w:spacing w:line="360" w:lineRule="auto"/>
        <w:ind w:firstLine="420" w:firstLineChars="200"/>
        <w:rPr>
          <w:rFonts w:ascii="宋体" w:hAnsi="宋体"/>
          <w:color w:val="auto"/>
          <w:szCs w:val="21"/>
        </w:rPr>
      </w:pPr>
      <w:r>
        <w:rPr>
          <w:rFonts w:hint="eastAsia" w:asciiTheme="minorEastAsia" w:hAnsiTheme="minorEastAsia" w:eastAsiaTheme="minorEastAsia"/>
          <w:color w:val="auto"/>
          <w:szCs w:val="21"/>
        </w:rPr>
        <w:t>10.2</w:t>
      </w:r>
      <w:r>
        <w:rPr>
          <w:rFonts w:hint="eastAsia" w:ascii="宋体" w:hAnsi="宋体"/>
          <w:color w:val="auto"/>
          <w:szCs w:val="21"/>
        </w:rPr>
        <w:t>在报价表、分项报价表填写报价时应注意下列要求：</w:t>
      </w:r>
    </w:p>
    <w:p w14:paraId="18FC46EC">
      <w:pPr>
        <w:pStyle w:val="22"/>
        <w:adjustRightInd w:val="0"/>
        <w:snapToGrid w:val="0"/>
        <w:spacing w:before="156" w:beforeLines="50" w:line="360" w:lineRule="auto"/>
        <w:ind w:firstLine="420" w:firstLineChars="200"/>
        <w:rPr>
          <w:rFonts w:hAnsi="宋体"/>
          <w:color w:val="auto"/>
        </w:rPr>
      </w:pPr>
      <w:r>
        <w:rPr>
          <w:rFonts w:hint="eastAsia" w:hAnsi="宋体"/>
          <w:color w:val="auto"/>
        </w:rPr>
        <w:t>（1）采购需求要求的安装、调试、培训、售后服务及其它附加服务的费用。</w:t>
      </w:r>
    </w:p>
    <w:p w14:paraId="5F45F9E2">
      <w:pPr>
        <w:pStyle w:val="22"/>
        <w:adjustRightInd w:val="0"/>
        <w:snapToGrid w:val="0"/>
        <w:spacing w:before="156" w:beforeLines="50" w:line="360" w:lineRule="auto"/>
        <w:ind w:firstLine="420" w:firstLineChars="200"/>
        <w:rPr>
          <w:rFonts w:hAnsi="宋体"/>
          <w:color w:val="auto"/>
        </w:rPr>
      </w:pPr>
      <w:r>
        <w:rPr>
          <w:rFonts w:hint="eastAsia" w:hAnsi="宋体"/>
          <w:color w:val="auto"/>
        </w:rPr>
        <w:t>（2）所有根据合同或其它原因应由供应商交纳和支付的税款和费用。</w:t>
      </w:r>
    </w:p>
    <w:p w14:paraId="39B30EBA">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（3）谈判文件指定交货地点的运输、保险、装卸费。</w:t>
      </w:r>
    </w:p>
    <w:p w14:paraId="72C9156F">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rPr>
        <w:t>（4）实行工程量清单报价的，供应商提交最后报价应与已标价工程量清单总报价一致。</w:t>
      </w:r>
    </w:p>
    <w:p w14:paraId="4BCFAC8A">
      <w:pPr>
        <w:pStyle w:val="94"/>
        <w:widowControl w:val="0"/>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10.3</w:t>
      </w:r>
      <w:r>
        <w:rPr>
          <w:rFonts w:hint="eastAsia" w:ascii="宋体" w:hAnsi="宋体" w:cs="宋体"/>
          <w:color w:val="auto"/>
          <w:lang w:val="zh-CN"/>
        </w:rPr>
        <w:t>供应商</w:t>
      </w:r>
      <w:r>
        <w:rPr>
          <w:rFonts w:hint="eastAsia" w:ascii="宋体" w:hAnsi="宋体"/>
          <w:color w:val="auto"/>
        </w:rPr>
        <w:t>的最后报价不得超过采购项目预算，采购项目预算见</w:t>
      </w:r>
      <w:r>
        <w:rPr>
          <w:rFonts w:hint="eastAsia" w:ascii="宋体" w:hAnsi="宋体"/>
          <w:b/>
          <w:color w:val="auto"/>
        </w:rPr>
        <w:t>【谈判须知前附表】</w:t>
      </w:r>
      <w:r>
        <w:rPr>
          <w:rFonts w:hint="eastAsia" w:ascii="宋体" w:hAnsi="宋体"/>
          <w:color w:val="auto"/>
        </w:rPr>
        <w:t>。</w:t>
      </w:r>
    </w:p>
    <w:p w14:paraId="02A1ED49">
      <w:pPr>
        <w:pStyle w:val="22"/>
        <w:adjustRightInd w:val="0"/>
        <w:snapToGrid w:val="0"/>
        <w:spacing w:before="156" w:beforeLines="50" w:line="360" w:lineRule="auto"/>
        <w:ind w:firstLine="420" w:firstLineChars="200"/>
        <w:rPr>
          <w:rFonts w:hAnsi="宋体"/>
          <w:color w:val="auto"/>
        </w:rPr>
      </w:pPr>
      <w:r>
        <w:rPr>
          <w:rFonts w:hint="eastAsia" w:hAnsi="宋体"/>
          <w:color w:val="auto"/>
        </w:rPr>
        <w:t>10.4供应商提交的最后报价在合同执行过程中是固定不变的，不得以任何理由予以变更。以可变动价格提交的报价将被认为是非实质响应而被拒绝。</w:t>
      </w:r>
    </w:p>
    <w:p w14:paraId="68CD7222">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10.5采购人不接受供应商给予的赠品、回扣或者与采购无关的其他商品、服务。</w:t>
      </w:r>
    </w:p>
    <w:p w14:paraId="7E05E06F">
      <w:pPr>
        <w:pStyle w:val="22"/>
        <w:adjustRightInd w:val="0"/>
        <w:snapToGrid w:val="0"/>
        <w:spacing w:before="156" w:beforeLines="50" w:line="360" w:lineRule="auto"/>
        <w:ind w:firstLine="420" w:firstLineChars="200"/>
        <w:rPr>
          <w:rFonts w:hAnsi="宋体"/>
          <w:color w:val="auto"/>
        </w:rPr>
      </w:pPr>
      <w:r>
        <w:rPr>
          <w:rFonts w:hint="eastAsia" w:hAnsi="宋体"/>
          <w:color w:val="auto"/>
        </w:rPr>
        <w:t>10.6报价的其他要求见</w:t>
      </w:r>
      <w:r>
        <w:rPr>
          <w:rFonts w:hint="eastAsia" w:hAnsi="宋体"/>
          <w:b/>
          <w:color w:val="auto"/>
        </w:rPr>
        <w:t>【谈判须知前附表】</w:t>
      </w:r>
      <w:r>
        <w:rPr>
          <w:rFonts w:hint="eastAsia" w:hAnsi="宋体"/>
          <w:color w:val="auto"/>
        </w:rPr>
        <w:t>。</w:t>
      </w:r>
    </w:p>
    <w:p w14:paraId="61A19DC9">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11.保证金</w:t>
      </w:r>
    </w:p>
    <w:p w14:paraId="1637004C">
      <w:pPr>
        <w:pStyle w:val="22"/>
        <w:adjustRightInd w:val="0"/>
        <w:snapToGrid w:val="0"/>
        <w:spacing w:before="156" w:beforeLines="50" w:line="360" w:lineRule="auto"/>
        <w:ind w:firstLine="420" w:firstLineChars="200"/>
        <w:rPr>
          <w:rFonts w:hAnsi="宋体"/>
          <w:bCs/>
          <w:color w:val="auto"/>
        </w:rPr>
      </w:pPr>
      <w:r>
        <w:rPr>
          <w:rFonts w:hint="eastAsia" w:hAnsi="宋体"/>
          <w:color w:val="auto"/>
        </w:rPr>
        <w:t>11.1</w:t>
      </w:r>
      <w:r>
        <w:rPr>
          <w:rFonts w:hint="eastAsia" w:hAnsi="宋体"/>
          <w:bCs/>
          <w:color w:val="auto"/>
        </w:rPr>
        <w:t>谈判文件要求供应商提交保证金的，供应商应按</w:t>
      </w:r>
      <w:r>
        <w:rPr>
          <w:rFonts w:hint="eastAsia" w:hAnsi="宋体"/>
          <w:b/>
          <w:bCs/>
          <w:color w:val="auto"/>
        </w:rPr>
        <w:t>【谈判须知前附表】</w:t>
      </w:r>
      <w:r>
        <w:rPr>
          <w:rFonts w:hint="eastAsia" w:hAnsi="宋体"/>
          <w:bCs/>
          <w:color w:val="auto"/>
        </w:rPr>
        <w:t>规定，在提交响应文件的截止时间前提交保证金。保证金有效期应当与响应文件有效期一致。</w:t>
      </w:r>
    </w:p>
    <w:p w14:paraId="4F8DAB71">
      <w:pPr>
        <w:adjustRightInd w:val="0"/>
        <w:snapToGrid w:val="0"/>
        <w:spacing w:before="156" w:beforeLines="50" w:line="360" w:lineRule="auto"/>
        <w:ind w:firstLine="420" w:firstLineChars="200"/>
        <w:rPr>
          <w:rFonts w:ascii="宋体" w:hAnsi="宋体"/>
          <w:b/>
          <w:color w:val="auto"/>
          <w:szCs w:val="21"/>
        </w:rPr>
      </w:pPr>
      <w:r>
        <w:rPr>
          <w:rFonts w:hint="eastAsia" w:ascii="宋体" w:hAnsi="宋体"/>
          <w:color w:val="auto"/>
          <w:szCs w:val="21"/>
        </w:rPr>
        <w:t>11.2</w:t>
      </w:r>
      <w:r>
        <w:rPr>
          <w:rFonts w:hint="eastAsia" w:ascii="宋体" w:hAnsi="宋体" w:cs="宋体"/>
          <w:color w:val="auto"/>
          <w:kern w:val="0"/>
          <w:szCs w:val="21"/>
          <w:lang w:val="zh-CN"/>
        </w:rPr>
        <w:t>供应商为联合体的，可以由联合体中的一方或者共同交纳保证金，其交纳的保证金，对联合体各方均具有约束力。</w:t>
      </w:r>
    </w:p>
    <w:p w14:paraId="46C51520">
      <w:pPr>
        <w:pStyle w:val="22"/>
        <w:tabs>
          <w:tab w:val="left" w:pos="6300"/>
        </w:tabs>
        <w:adjustRightInd w:val="0"/>
        <w:snapToGrid w:val="0"/>
        <w:spacing w:before="156" w:beforeLines="50" w:line="360" w:lineRule="auto"/>
        <w:ind w:firstLine="420" w:firstLineChars="200"/>
        <w:rPr>
          <w:rFonts w:hAnsi="宋体"/>
          <w:color w:val="auto"/>
        </w:rPr>
      </w:pPr>
      <w:r>
        <w:rPr>
          <w:rFonts w:hint="eastAsia" w:hAnsi="宋体"/>
          <w:color w:val="auto"/>
        </w:rPr>
        <w:t>11.3采购人、采购代理机构在成交通知书发出后5个工作日内退还未成交供应商的保证金；在采购合同签定后5个工作日内退还成交供应商的保证金，但因供应商自身原因导致无法及时退还的除外。</w:t>
      </w:r>
    </w:p>
    <w:p w14:paraId="17CBBABA">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11.4保证金的退还按以下规定办理：</w:t>
      </w:r>
    </w:p>
    <w:p w14:paraId="7F26829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（1）成交供应商的保证金，在政府采购合同签订后5个工作日内退还。</w:t>
      </w:r>
    </w:p>
    <w:p w14:paraId="328E6BDA">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（2）未成交供应商的保证金，在成交通知书发出后5个工作日内退还。</w:t>
      </w:r>
    </w:p>
    <w:p w14:paraId="36849F1B">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（3）终止竞争性谈判采购活动的，在发布项目终止公告后5个工作日内退还。</w:t>
      </w:r>
    </w:p>
    <w:p w14:paraId="4AA1C836">
      <w:pPr>
        <w:pStyle w:val="22"/>
        <w:adjustRightInd w:val="0"/>
        <w:snapToGrid w:val="0"/>
        <w:spacing w:before="156" w:beforeLines="50" w:line="360" w:lineRule="auto"/>
        <w:ind w:firstLine="420" w:firstLineChars="200"/>
        <w:rPr>
          <w:color w:val="auto"/>
          <w:kern w:val="0"/>
        </w:rPr>
      </w:pPr>
      <w:r>
        <w:rPr>
          <w:rFonts w:hint="eastAsia"/>
          <w:color w:val="auto"/>
        </w:rPr>
        <w:t>11.5</w:t>
      </w:r>
      <w:r>
        <w:rPr>
          <w:rFonts w:hint="eastAsia"/>
          <w:color w:val="auto"/>
          <w:kern w:val="0"/>
        </w:rPr>
        <w:t>有下列情形之一的，保证金不予退还，并上缴本级财政国库：</w:t>
      </w:r>
    </w:p>
    <w:p w14:paraId="657D3BFE">
      <w:pPr>
        <w:pStyle w:val="22"/>
        <w:adjustRightInd w:val="0"/>
        <w:snapToGrid w:val="0"/>
        <w:spacing w:before="156" w:beforeLines="50" w:line="360" w:lineRule="auto"/>
        <w:ind w:firstLine="420" w:firstLineChars="200"/>
        <w:rPr>
          <w:rFonts w:hAnsi="宋体"/>
          <w:color w:val="auto"/>
        </w:rPr>
      </w:pPr>
      <w:r>
        <w:rPr>
          <w:rFonts w:hint="eastAsia" w:hAnsi="宋体"/>
          <w:color w:val="auto"/>
        </w:rPr>
        <w:t>（1）供应商在提交响应文件截止时间后撤回响应文件的；</w:t>
      </w:r>
    </w:p>
    <w:p w14:paraId="46562E4D">
      <w:pPr>
        <w:pStyle w:val="22"/>
        <w:adjustRightInd w:val="0"/>
        <w:snapToGrid w:val="0"/>
        <w:spacing w:before="156" w:beforeLines="50" w:line="360" w:lineRule="auto"/>
        <w:ind w:firstLine="420" w:firstLineChars="200"/>
        <w:rPr>
          <w:rFonts w:hAnsi="宋体"/>
          <w:color w:val="auto"/>
        </w:rPr>
      </w:pPr>
      <w:r>
        <w:rPr>
          <w:rFonts w:hint="eastAsia" w:hAnsi="宋体"/>
          <w:color w:val="auto"/>
        </w:rPr>
        <w:t>（2）供应商在响应文件中提供虚假材料的；</w:t>
      </w:r>
    </w:p>
    <w:p w14:paraId="73BE24BB">
      <w:pPr>
        <w:pStyle w:val="22"/>
        <w:adjustRightInd w:val="0"/>
        <w:snapToGrid w:val="0"/>
        <w:spacing w:before="156" w:beforeLines="50" w:line="360" w:lineRule="auto"/>
        <w:ind w:firstLine="420" w:firstLineChars="200"/>
        <w:rPr>
          <w:rFonts w:hAnsi="宋体"/>
          <w:color w:val="auto"/>
        </w:rPr>
      </w:pPr>
      <w:r>
        <w:rPr>
          <w:rFonts w:hint="eastAsia" w:hAnsi="宋体"/>
          <w:color w:val="auto"/>
        </w:rPr>
        <w:t xml:space="preserve">（3）除因不可抗力或谈判文件认可的情形以外，成交供应商不与采购人签订合同的； </w:t>
      </w:r>
    </w:p>
    <w:p w14:paraId="46D93202">
      <w:pPr>
        <w:pStyle w:val="22"/>
        <w:adjustRightInd w:val="0"/>
        <w:snapToGrid w:val="0"/>
        <w:spacing w:before="156" w:beforeLines="50" w:line="360" w:lineRule="auto"/>
        <w:ind w:firstLine="420" w:firstLineChars="200"/>
        <w:rPr>
          <w:rFonts w:hAnsi="宋体"/>
          <w:color w:val="auto"/>
        </w:rPr>
      </w:pPr>
      <w:r>
        <w:rPr>
          <w:rFonts w:hint="eastAsia" w:hAnsi="宋体"/>
          <w:color w:val="auto"/>
        </w:rPr>
        <w:t xml:space="preserve">（4）供应商与采购人、其他供应商或者采购代理机构恶意串通的； </w:t>
      </w:r>
    </w:p>
    <w:p w14:paraId="3E3FE875">
      <w:pPr>
        <w:pStyle w:val="22"/>
        <w:adjustRightInd w:val="0"/>
        <w:snapToGrid w:val="0"/>
        <w:spacing w:before="156" w:beforeLines="50" w:line="360" w:lineRule="auto"/>
        <w:ind w:firstLine="420" w:firstLineChars="200"/>
        <w:rPr>
          <w:rFonts w:hAnsi="宋体"/>
          <w:color w:val="auto"/>
        </w:rPr>
      </w:pPr>
      <w:r>
        <w:rPr>
          <w:rFonts w:hint="eastAsia" w:hAnsi="宋体"/>
          <w:color w:val="auto"/>
        </w:rPr>
        <w:t>（5）谈判文件规定的其他情形。</w:t>
      </w:r>
    </w:p>
    <w:p w14:paraId="3693BF21">
      <w:pPr>
        <w:pStyle w:val="5"/>
        <w:keepNext w:val="0"/>
        <w:keepLines w:val="0"/>
        <w:adjustRightInd w:val="0"/>
        <w:snapToGrid w:val="0"/>
        <w:spacing w:before="156" w:beforeLines="50" w:after="0" w:line="360" w:lineRule="auto"/>
        <w:rPr>
          <w:rFonts w:ascii="黑体" w:hAnsi="黑体"/>
          <w:color w:val="auto"/>
          <w:sz w:val="24"/>
          <w:szCs w:val="24"/>
        </w:rPr>
      </w:pPr>
      <w:r>
        <w:rPr>
          <w:rFonts w:hint="eastAsia" w:ascii="黑体" w:hAnsi="黑体"/>
          <w:color w:val="auto"/>
          <w:sz w:val="24"/>
          <w:szCs w:val="24"/>
        </w:rPr>
        <w:t>12.响应文件有效期</w:t>
      </w:r>
    </w:p>
    <w:p w14:paraId="767FC045">
      <w:pPr>
        <w:adjustRightInd w:val="0"/>
        <w:snapToGrid w:val="0"/>
        <w:spacing w:before="156" w:beforeLines="50" w:line="360" w:lineRule="auto"/>
        <w:ind w:firstLine="420" w:firstLineChars="200"/>
        <w:jc w:val="left"/>
        <w:rPr>
          <w:rFonts w:hAnsi="宋体"/>
          <w:color w:val="auto"/>
        </w:rPr>
      </w:pPr>
      <w:r>
        <w:rPr>
          <w:rFonts w:hint="eastAsia" w:ascii="宋体" w:hAnsi="宋体"/>
          <w:color w:val="auto"/>
        </w:rPr>
        <w:t>12.1响应文件</w:t>
      </w:r>
      <w:r>
        <w:rPr>
          <w:rFonts w:hint="eastAsia" w:ascii="宋体" w:hAnsi="宋体"/>
          <w:color w:val="auto"/>
          <w:szCs w:val="21"/>
        </w:rPr>
        <w:t>有效期见</w:t>
      </w:r>
      <w:r>
        <w:rPr>
          <w:rFonts w:hint="eastAsia" w:hAnsi="宋体"/>
          <w:b/>
          <w:bCs/>
          <w:color w:val="auto"/>
        </w:rPr>
        <w:t>【谈判须知前附表】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w:t>
      </w:r>
      <w:r>
        <w:rPr>
          <w:rFonts w:hint="eastAsia" w:hAnsi="宋体"/>
          <w:b/>
          <w:color w:val="auto"/>
        </w:rPr>
        <w:t>无效响应</w:t>
      </w:r>
      <w:r>
        <w:rPr>
          <w:rFonts w:hint="eastAsia" w:hAnsi="宋体"/>
          <w:color w:val="auto"/>
        </w:rPr>
        <w:t>。</w:t>
      </w:r>
    </w:p>
    <w:p w14:paraId="2E560E06">
      <w:pPr>
        <w:pStyle w:val="5"/>
        <w:keepNext w:val="0"/>
        <w:keepLines w:val="0"/>
        <w:adjustRightInd w:val="0"/>
        <w:snapToGrid w:val="0"/>
        <w:spacing w:before="156" w:beforeLines="50" w:after="0" w:line="360" w:lineRule="auto"/>
        <w:rPr>
          <w:rFonts w:ascii="黑体" w:hAnsi="黑体"/>
          <w:color w:val="auto"/>
          <w:sz w:val="24"/>
          <w:szCs w:val="24"/>
        </w:rPr>
      </w:pPr>
      <w:r>
        <w:rPr>
          <w:rFonts w:hint="eastAsia" w:ascii="黑体" w:hAnsi="黑体"/>
          <w:color w:val="auto"/>
          <w:sz w:val="24"/>
          <w:szCs w:val="24"/>
        </w:rPr>
        <w:t>13.分包</w:t>
      </w:r>
    </w:p>
    <w:p w14:paraId="32CA8D1A">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13.1</w:t>
      </w:r>
      <w:r>
        <w:rPr>
          <w:rFonts w:hint="eastAsia" w:ascii="宋体" w:hAnsi="宋体"/>
          <w:color w:val="auto"/>
          <w:szCs w:val="21"/>
        </w:rPr>
        <w:t>供应商</w:t>
      </w:r>
      <w:r>
        <w:rPr>
          <w:rFonts w:hint="eastAsia" w:ascii="宋体" w:hAnsi="宋体"/>
          <w:color w:val="auto"/>
        </w:rPr>
        <w:t>拟在成交后将采购</w:t>
      </w:r>
      <w:r>
        <w:rPr>
          <w:rFonts w:hint="eastAsia" w:ascii="宋体" w:hAnsi="宋体"/>
          <w:color w:val="auto"/>
          <w:szCs w:val="21"/>
        </w:rPr>
        <w:t>项目的非主体、非关键性工作进行分包的，应符合</w:t>
      </w:r>
      <w:r>
        <w:rPr>
          <w:rFonts w:hint="eastAsia" w:hAnsi="宋体"/>
          <w:b/>
          <w:bCs/>
          <w:color w:val="auto"/>
        </w:rPr>
        <w:t>【谈判须知前附表】</w:t>
      </w:r>
      <w:r>
        <w:rPr>
          <w:rFonts w:hint="eastAsia" w:ascii="宋体" w:hAnsi="宋体"/>
          <w:color w:val="auto"/>
          <w:szCs w:val="21"/>
        </w:rPr>
        <w:t>规定的分包内容、分包金</w:t>
      </w:r>
      <w:r>
        <w:rPr>
          <w:rFonts w:hint="eastAsia" w:ascii="宋体" w:hAnsi="宋体"/>
          <w:color w:val="auto"/>
        </w:rPr>
        <w:t>额和资质要求等限制性条件，并在响应文件中载明分包承担主体，且分包承担主体不得再次分包。</w:t>
      </w:r>
    </w:p>
    <w:p w14:paraId="69A296DE">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13.2中小企业依据政府采购政策获取政府采购合同后，小型、微型企业不得分包给大型、中型企业，中型企业不得分包给大型企业。</w:t>
      </w:r>
    </w:p>
    <w:p w14:paraId="2794D811">
      <w:pPr>
        <w:adjustRightInd w:val="0"/>
        <w:snapToGrid w:val="0"/>
        <w:spacing w:before="156" w:beforeLines="50" w:line="360" w:lineRule="auto"/>
        <w:ind w:firstLine="420" w:firstLineChars="200"/>
        <w:jc w:val="left"/>
        <w:rPr>
          <w:rFonts w:ascii="宋体" w:hAnsi="宋体"/>
          <w:color w:val="auto"/>
        </w:rPr>
      </w:pPr>
      <w:r>
        <w:rPr>
          <w:rFonts w:hint="eastAsia" w:ascii="宋体" w:hAnsi="宋体"/>
          <w:color w:val="auto"/>
        </w:rPr>
        <w:t>13.3成交</w:t>
      </w:r>
      <w:r>
        <w:rPr>
          <w:rFonts w:hint="eastAsia" w:ascii="宋体" w:hAnsi="宋体"/>
          <w:color w:val="auto"/>
          <w:szCs w:val="21"/>
        </w:rPr>
        <w:t>供应商</w:t>
      </w:r>
      <w:r>
        <w:rPr>
          <w:rFonts w:hint="eastAsia" w:ascii="宋体" w:hAnsi="宋体"/>
          <w:color w:val="auto"/>
        </w:rPr>
        <w:t>应当就分包项目向采购人负责，分包承担主体就分包项目承担连带责任。</w:t>
      </w:r>
    </w:p>
    <w:p w14:paraId="2C777420">
      <w:pPr>
        <w:adjustRightInd w:val="0"/>
        <w:snapToGrid w:val="0"/>
        <w:spacing w:before="156" w:beforeLines="50" w:line="360" w:lineRule="auto"/>
        <w:ind w:firstLine="420" w:firstLineChars="200"/>
        <w:jc w:val="left"/>
        <w:rPr>
          <w:rFonts w:hAnsi="宋体"/>
          <w:color w:val="auto"/>
        </w:rPr>
      </w:pPr>
      <w:r>
        <w:rPr>
          <w:rFonts w:hint="eastAsia" w:ascii="宋体" w:hAnsi="宋体"/>
          <w:color w:val="auto"/>
        </w:rPr>
        <w:t>13.4不符合谈判文件中有关分包规定的，其</w:t>
      </w:r>
      <w:r>
        <w:rPr>
          <w:rFonts w:hint="eastAsia" w:hAnsi="宋体"/>
          <w:b/>
          <w:color w:val="auto"/>
        </w:rPr>
        <w:t>响应无效</w:t>
      </w:r>
      <w:r>
        <w:rPr>
          <w:rFonts w:hint="eastAsia" w:ascii="宋体" w:hAnsi="宋体"/>
          <w:color w:val="auto"/>
        </w:rPr>
        <w:t>。</w:t>
      </w:r>
    </w:p>
    <w:p w14:paraId="689C2EB0">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14.响应文件的签署及规定</w:t>
      </w:r>
    </w:p>
    <w:p w14:paraId="5691BA39">
      <w:pPr>
        <w:pStyle w:val="22"/>
        <w:adjustRightInd w:val="0"/>
        <w:snapToGrid w:val="0"/>
        <w:spacing w:before="156" w:beforeLines="50" w:line="360" w:lineRule="auto"/>
        <w:ind w:firstLine="420" w:firstLineChars="200"/>
        <w:rPr>
          <w:rFonts w:hAnsi="宋体"/>
          <w:color w:val="auto"/>
        </w:rPr>
      </w:pPr>
      <w:r>
        <w:rPr>
          <w:rFonts w:hint="eastAsia" w:hAnsi="宋体"/>
          <w:color w:val="auto"/>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0037FF8B">
      <w:pPr>
        <w:pStyle w:val="22"/>
        <w:adjustRightInd w:val="0"/>
        <w:snapToGrid w:val="0"/>
        <w:spacing w:before="156" w:beforeLines="50" w:line="360" w:lineRule="auto"/>
        <w:ind w:firstLine="420" w:firstLineChars="200"/>
        <w:rPr>
          <w:rFonts w:hAnsi="宋体"/>
          <w:color w:val="auto"/>
        </w:rPr>
      </w:pPr>
      <w:r>
        <w:rPr>
          <w:rFonts w:hint="eastAsia" w:hAnsi="宋体"/>
          <w:color w:val="auto"/>
        </w:rPr>
        <w:t>14.2响应文件正本一份，副本份数见</w:t>
      </w:r>
      <w:r>
        <w:rPr>
          <w:rFonts w:hint="eastAsia" w:hAnsi="宋体"/>
          <w:b/>
          <w:color w:val="auto"/>
        </w:rPr>
        <w:t>【谈判须知前附表】</w:t>
      </w:r>
      <w:r>
        <w:rPr>
          <w:rFonts w:hint="eastAsia" w:hAnsi="宋体"/>
          <w:color w:val="auto"/>
        </w:rPr>
        <w:t>；响应文件电子文档一份（PDF格式U盘存储）</w:t>
      </w:r>
      <w:r>
        <w:rPr>
          <w:rFonts w:hint="eastAsia" w:hAnsi="宋体"/>
          <w:b w:val="0"/>
          <w:bCs/>
          <w:color w:val="auto"/>
        </w:rPr>
        <w:t>。</w:t>
      </w:r>
      <w:r>
        <w:rPr>
          <w:rFonts w:hint="eastAsia" w:hAnsi="宋体"/>
          <w:color w:val="auto"/>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66E75A4F">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14.3</w:t>
      </w:r>
      <w:r>
        <w:rPr>
          <w:rFonts w:hint="eastAsia" w:hAnsi="宋体"/>
          <w:color w:val="auto"/>
        </w:rPr>
        <w:t>响应文件任何加行、涂改、增删等改动，改动之处应由供应商代表签字。否则，将导致</w:t>
      </w:r>
      <w:r>
        <w:rPr>
          <w:rFonts w:hint="eastAsia" w:hAnsi="宋体"/>
          <w:b/>
          <w:color w:val="auto"/>
        </w:rPr>
        <w:t>响应文件无效。</w:t>
      </w:r>
    </w:p>
    <w:p w14:paraId="780117C4">
      <w:pPr>
        <w:pStyle w:val="22"/>
        <w:adjustRightInd w:val="0"/>
        <w:snapToGrid w:val="0"/>
        <w:spacing w:before="156" w:beforeLines="50" w:line="360" w:lineRule="auto"/>
        <w:ind w:firstLine="420" w:firstLineChars="200"/>
        <w:rPr>
          <w:rFonts w:hAnsi="宋体"/>
          <w:color w:val="auto"/>
        </w:rPr>
      </w:pPr>
      <w:r>
        <w:rPr>
          <w:rFonts w:hint="eastAsia" w:hAnsi="宋体"/>
          <w:color w:val="auto"/>
        </w:rPr>
        <w:t>14.4在谈判过程中，供应商按谈判文件规定和谈判小组要求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最后报价)，可打印或用不褪色材料书写，并经供应商代表签字，</w:t>
      </w:r>
      <w:r>
        <w:rPr>
          <w:rFonts w:hint="eastAsia" w:hAnsi="宋体" w:cs="宋体"/>
          <w:color w:val="auto"/>
          <w:kern w:val="0"/>
        </w:rPr>
        <w:t>或者加盖供应商单位公章</w:t>
      </w:r>
      <w:r>
        <w:rPr>
          <w:rFonts w:hint="eastAsia" w:hAnsi="宋体"/>
          <w:color w:val="auto"/>
        </w:rPr>
        <w:t>。否则，将导致响应文件无效。</w:t>
      </w:r>
    </w:p>
    <w:p w14:paraId="49855B4B">
      <w:pPr>
        <w:adjustRightInd w:val="0"/>
        <w:snapToGrid w:val="0"/>
        <w:spacing w:before="156" w:beforeLines="50" w:line="360" w:lineRule="auto"/>
        <w:ind w:firstLine="420" w:firstLineChars="200"/>
        <w:jc w:val="left"/>
        <w:rPr>
          <w:rFonts w:hint="eastAsia" w:ascii="宋体" w:hAnsi="宋体" w:eastAsia="宋体"/>
          <w:color w:val="auto"/>
          <w:szCs w:val="21"/>
          <w:lang w:val="en-US" w:eastAsia="zh-CN"/>
        </w:rPr>
      </w:pPr>
      <w:r>
        <w:rPr>
          <w:rFonts w:hint="eastAsia" w:ascii="宋体" w:hAnsi="宋体"/>
          <w:color w:val="auto"/>
          <w:szCs w:val="21"/>
        </w:rPr>
        <w:t>14.5供应商在递交响应文件的同时</w:t>
      </w:r>
      <w:r>
        <w:rPr>
          <w:rFonts w:hint="eastAsia" w:ascii="宋体" w:hAnsi="宋体"/>
          <w:color w:val="auto"/>
          <w:szCs w:val="21"/>
          <w:lang w:eastAsia="zh-CN"/>
        </w:rPr>
        <w:t>，必</w:t>
      </w:r>
      <w:r>
        <w:rPr>
          <w:rFonts w:hint="eastAsia" w:ascii="宋体" w:hAnsi="宋体"/>
          <w:color w:val="auto"/>
          <w:szCs w:val="21"/>
        </w:rPr>
        <w:t>须提交</w:t>
      </w:r>
      <w:r>
        <w:rPr>
          <w:rFonts w:hint="eastAsia" w:hAnsi="宋体"/>
          <w:color w:val="auto"/>
        </w:rPr>
        <w:t>响应文件电子文档一份（</w:t>
      </w:r>
      <w:r>
        <w:rPr>
          <w:rFonts w:hint="eastAsia" w:ascii="宋体" w:hAnsi="宋体" w:eastAsia="宋体" w:cs="宋体"/>
          <w:color w:val="auto"/>
        </w:rPr>
        <w:t>PDF</w:t>
      </w:r>
      <w:r>
        <w:rPr>
          <w:rFonts w:hint="eastAsia" w:hAnsi="宋体"/>
          <w:color w:val="auto"/>
        </w:rPr>
        <w:t>格式</w:t>
      </w:r>
      <w:r>
        <w:rPr>
          <w:rFonts w:hint="eastAsia" w:ascii="宋体" w:hAnsi="宋体" w:eastAsia="宋体" w:cs="宋体"/>
          <w:color w:val="auto"/>
        </w:rPr>
        <w:t>U</w:t>
      </w:r>
      <w:r>
        <w:rPr>
          <w:rFonts w:hint="eastAsia" w:hAnsi="宋体"/>
          <w:color w:val="auto"/>
        </w:rPr>
        <w:t>盘存储）</w:t>
      </w:r>
      <w:r>
        <w:rPr>
          <w:rFonts w:hint="eastAsia" w:ascii="宋体" w:hAnsi="宋体"/>
          <w:color w:val="auto"/>
          <w:szCs w:val="21"/>
        </w:rPr>
        <w:t>，</w:t>
      </w:r>
      <w:r>
        <w:rPr>
          <w:rFonts w:hint="eastAsia" w:ascii="宋体" w:hAnsi="宋体"/>
          <w:color w:val="auto"/>
          <w:szCs w:val="21"/>
          <w:lang w:eastAsia="zh-CN"/>
        </w:rPr>
        <w:t>且</w:t>
      </w:r>
      <w:r>
        <w:rPr>
          <w:rFonts w:hint="eastAsia" w:ascii="宋体" w:hAnsi="宋体"/>
          <w:color w:val="auto"/>
          <w:szCs w:val="21"/>
        </w:rPr>
        <w:t>内容与纸质</w:t>
      </w:r>
      <w:r>
        <w:rPr>
          <w:rFonts w:hint="eastAsia" w:hAnsi="宋体"/>
          <w:color w:val="auto"/>
        </w:rPr>
        <w:t>响应文件</w:t>
      </w:r>
      <w:r>
        <w:rPr>
          <w:rFonts w:hint="eastAsia" w:ascii="宋体" w:hAnsi="宋体"/>
          <w:color w:val="auto"/>
          <w:szCs w:val="21"/>
        </w:rPr>
        <w:t>正本</w:t>
      </w:r>
      <w:r>
        <w:rPr>
          <w:rFonts w:hint="eastAsia" w:ascii="宋体" w:hAnsi="宋体"/>
          <w:color w:val="auto"/>
          <w:szCs w:val="21"/>
          <w:lang w:eastAsia="zh-CN"/>
        </w:rPr>
        <w:t>（盖章签字）</w:t>
      </w:r>
      <w:r>
        <w:rPr>
          <w:rFonts w:hint="eastAsia" w:ascii="宋体" w:hAnsi="宋体"/>
          <w:color w:val="auto"/>
          <w:szCs w:val="21"/>
        </w:rPr>
        <w:t>一致，并能正常读取、拷贝</w:t>
      </w:r>
      <w:r>
        <w:rPr>
          <w:rFonts w:hint="eastAsia" w:ascii="宋体" w:hAnsi="宋体"/>
          <w:color w:val="auto"/>
          <w:szCs w:val="21"/>
          <w:lang w:eastAsia="zh-CN"/>
        </w:rPr>
        <w:t>。</w:t>
      </w:r>
      <w:r>
        <w:rPr>
          <w:rFonts w:hint="eastAsia" w:hAnsi="宋体"/>
          <w:color w:val="auto"/>
        </w:rPr>
        <w:t>否则，将导致响应文件无效。</w:t>
      </w:r>
      <w:r>
        <w:rPr>
          <w:rFonts w:hint="eastAsia" w:hAnsi="宋体"/>
          <w:color w:val="auto"/>
          <w:lang w:val="en-US" w:eastAsia="zh-CN"/>
        </w:rPr>
        <w:t xml:space="preserve"> </w:t>
      </w:r>
    </w:p>
    <w:p w14:paraId="381D4CC7">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28" w:name="_Toc8503"/>
      <w:r>
        <w:rPr>
          <w:rFonts w:hint="eastAsia" w:ascii="黑体" w:hAnsi="黑体" w:eastAsia="黑体"/>
          <w:color w:val="auto"/>
          <w:sz w:val="28"/>
          <w:szCs w:val="28"/>
        </w:rPr>
        <w:t>四、响应文件的递交</w:t>
      </w:r>
      <w:bookmarkEnd w:id="28"/>
    </w:p>
    <w:p w14:paraId="6871B863">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15.响应文件的密封和标记</w:t>
      </w:r>
    </w:p>
    <w:p w14:paraId="014DD9BE">
      <w:pPr>
        <w:pStyle w:val="22"/>
        <w:adjustRightInd w:val="0"/>
        <w:snapToGrid w:val="0"/>
        <w:spacing w:before="156" w:beforeLines="50" w:line="360" w:lineRule="auto"/>
        <w:ind w:firstLine="420" w:firstLineChars="200"/>
        <w:rPr>
          <w:rFonts w:hAnsi="宋体"/>
          <w:color w:val="auto"/>
        </w:rPr>
      </w:pPr>
      <w:r>
        <w:rPr>
          <w:rFonts w:hint="eastAsia" w:hAnsi="宋体"/>
          <w:color w:val="auto"/>
        </w:rPr>
        <w:t>15.1响应文件应密封包装，加贴封条，并在封套的封口处（封套两端折叠封口处）盖供应商单位章或者由法定代表人或其委托代理人签字</w:t>
      </w:r>
      <w:r>
        <w:rPr>
          <w:rFonts w:hint="eastAsia" w:hAnsi="宋体"/>
          <w:color w:val="auto"/>
          <w:lang w:eastAsia="zh-CN"/>
        </w:rPr>
        <w:t>，</w:t>
      </w:r>
      <w:r>
        <w:rPr>
          <w:rFonts w:hint="eastAsia" w:hAnsi="宋体"/>
          <w:color w:val="auto"/>
        </w:rPr>
        <w:t>以保证其响应文件信息在提交首次响应文件截止时间前不被透露。</w:t>
      </w:r>
    </w:p>
    <w:p w14:paraId="7B8D39FA">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15.2响应文件封套上应写明的内容见</w:t>
      </w:r>
      <w:r>
        <w:rPr>
          <w:rFonts w:hint="eastAsia" w:ascii="宋体" w:hAnsi="宋体"/>
          <w:b/>
          <w:color w:val="auto"/>
          <w:szCs w:val="21"/>
        </w:rPr>
        <w:t>【</w:t>
      </w:r>
      <w:r>
        <w:rPr>
          <w:rFonts w:hint="eastAsia" w:hAnsi="宋体"/>
          <w:b/>
          <w:color w:val="auto"/>
        </w:rPr>
        <w:t>谈判</w:t>
      </w:r>
      <w:r>
        <w:rPr>
          <w:rFonts w:hint="eastAsia" w:ascii="宋体" w:hAnsi="宋体"/>
          <w:b/>
          <w:color w:val="auto"/>
          <w:szCs w:val="21"/>
        </w:rPr>
        <w:t>须知前附表】。</w:t>
      </w:r>
    </w:p>
    <w:p w14:paraId="193AE110">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15.3响应文件如果未按本章第</w:t>
      </w:r>
      <w:r>
        <w:rPr>
          <w:rFonts w:hint="eastAsia" w:ascii="宋体" w:hAnsi="宋体"/>
          <w:color w:val="auto"/>
        </w:rPr>
        <w:t>15.1款</w:t>
      </w:r>
      <w:r>
        <w:rPr>
          <w:rFonts w:hint="eastAsia" w:ascii="宋体" w:hAnsi="宋体"/>
          <w:color w:val="auto"/>
          <w:szCs w:val="21"/>
        </w:rPr>
        <w:t>规定密封，采购人、采购代理机构将拒绝接收。</w:t>
      </w:r>
    </w:p>
    <w:p w14:paraId="4B18E828">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16.响应文件的</w:t>
      </w:r>
      <w:r>
        <w:rPr>
          <w:rFonts w:hint="eastAsia" w:ascii="黑体" w:hAnsi="黑体" w:cs="宋体"/>
          <w:color w:val="auto"/>
          <w:kern w:val="0"/>
          <w:sz w:val="24"/>
          <w:szCs w:val="24"/>
          <w:lang w:val="zh-CN"/>
        </w:rPr>
        <w:t>补充、修改或者撤回</w:t>
      </w:r>
    </w:p>
    <w:p w14:paraId="3BEAC9EA">
      <w:pPr>
        <w:pStyle w:val="22"/>
        <w:adjustRightInd w:val="0"/>
        <w:snapToGrid w:val="0"/>
        <w:spacing w:before="156" w:beforeLines="50" w:line="360" w:lineRule="auto"/>
        <w:ind w:firstLine="420" w:firstLineChars="200"/>
        <w:rPr>
          <w:rFonts w:hAnsi="宋体"/>
          <w:color w:val="auto"/>
        </w:rPr>
      </w:pPr>
      <w:r>
        <w:rPr>
          <w:rFonts w:hint="eastAsia" w:hAnsi="宋体"/>
          <w:color w:val="auto"/>
        </w:rPr>
        <w:t>16.1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该通知应有供应商代表签字。</w:t>
      </w:r>
    </w:p>
    <w:p w14:paraId="6E96A17E">
      <w:pPr>
        <w:pStyle w:val="22"/>
        <w:adjustRightInd w:val="0"/>
        <w:snapToGrid w:val="0"/>
        <w:spacing w:before="156" w:beforeLines="50" w:line="360" w:lineRule="auto"/>
        <w:ind w:firstLine="420" w:firstLineChars="200"/>
        <w:rPr>
          <w:rFonts w:hAnsi="宋体"/>
          <w:color w:val="auto"/>
        </w:rPr>
      </w:pPr>
      <w:r>
        <w:rPr>
          <w:rFonts w:hint="eastAsia" w:hAnsi="宋体"/>
          <w:color w:val="auto"/>
        </w:rPr>
        <w:t>16.2</w:t>
      </w:r>
      <w:r>
        <w:rPr>
          <w:rFonts w:hint="eastAsia" w:hAnsi="宋体" w:cs="宋体"/>
          <w:color w:val="auto"/>
          <w:kern w:val="0"/>
          <w:lang w:val="zh-CN"/>
        </w:rPr>
        <w:t>补充、修改的内容与响应文件不一致时，以补充、修改的内容为准。</w:t>
      </w:r>
    </w:p>
    <w:p w14:paraId="1FED2AFB">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17.响应文件的递交与接收</w:t>
      </w:r>
    </w:p>
    <w:p w14:paraId="0C37B7F8">
      <w:pPr>
        <w:adjustRightInd w:val="0"/>
        <w:snapToGrid w:val="0"/>
        <w:spacing w:before="156" w:beforeLines="50" w:line="360" w:lineRule="auto"/>
        <w:ind w:firstLine="420" w:firstLineChars="200"/>
        <w:rPr>
          <w:rFonts w:hAnsi="宋体" w:cs="宋体"/>
          <w:color w:val="auto"/>
          <w:kern w:val="0"/>
        </w:rPr>
      </w:pPr>
      <w:r>
        <w:rPr>
          <w:rFonts w:hint="eastAsia" w:ascii="宋体" w:hAnsi="宋体"/>
          <w:color w:val="auto"/>
          <w:szCs w:val="21"/>
        </w:rPr>
        <w:t>17.1供应商应在</w:t>
      </w:r>
      <w:r>
        <w:rPr>
          <w:rFonts w:hint="eastAsia" w:ascii="宋体" w:hAnsi="宋体"/>
          <w:b/>
          <w:color w:val="auto"/>
          <w:szCs w:val="21"/>
        </w:rPr>
        <w:t>【</w:t>
      </w:r>
      <w:r>
        <w:rPr>
          <w:rFonts w:hint="eastAsia" w:hAnsi="宋体"/>
          <w:b/>
          <w:color w:val="auto"/>
        </w:rPr>
        <w:t>谈判</w:t>
      </w:r>
      <w:r>
        <w:rPr>
          <w:rFonts w:hint="eastAsia" w:ascii="宋体" w:hAnsi="宋体"/>
          <w:b/>
          <w:color w:val="auto"/>
          <w:szCs w:val="21"/>
        </w:rPr>
        <w:t>须知前附表】</w:t>
      </w:r>
      <w:r>
        <w:rPr>
          <w:rFonts w:hint="eastAsia" w:hAnsi="宋体"/>
          <w:color w:val="auto"/>
        </w:rPr>
        <w:t>规定的</w:t>
      </w:r>
      <w:r>
        <w:rPr>
          <w:rFonts w:hint="eastAsia" w:ascii="宋体" w:hAnsi="宋体" w:cs="宋体"/>
          <w:color w:val="auto"/>
          <w:kern w:val="0"/>
          <w:szCs w:val="21"/>
        </w:rPr>
        <w:t>时间和</w:t>
      </w:r>
      <w:r>
        <w:rPr>
          <w:rFonts w:hint="eastAsia" w:ascii="宋体" w:hAnsi="宋体"/>
          <w:color w:val="auto"/>
          <w:szCs w:val="21"/>
        </w:rPr>
        <w:t>地点提交响应文件。</w:t>
      </w:r>
      <w:r>
        <w:rPr>
          <w:rFonts w:hint="eastAsia" w:hAnsi="宋体" w:cs="宋体"/>
          <w:color w:val="auto"/>
          <w:kern w:val="0"/>
        </w:rPr>
        <w:t>采购人、采购代理机构或者谈判小组拒收逾期送达的响应文件。</w:t>
      </w:r>
    </w:p>
    <w:p w14:paraId="3A6308F5">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6EF079C9">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（1）项目名称、</w:t>
      </w:r>
      <w:r>
        <w:rPr>
          <w:rFonts w:hint="eastAsia" w:ascii="宋体" w:hAnsi="宋体"/>
          <w:color w:val="auto"/>
          <w:szCs w:val="21"/>
          <w:lang w:eastAsia="zh-CN"/>
        </w:rPr>
        <w:t>委托代理编号</w:t>
      </w:r>
      <w:r>
        <w:rPr>
          <w:rFonts w:hint="eastAsia" w:ascii="宋体" w:hAnsi="宋体"/>
          <w:color w:val="auto"/>
          <w:szCs w:val="21"/>
        </w:rPr>
        <w:t>；</w:t>
      </w:r>
    </w:p>
    <w:p w14:paraId="3EAE6F5D">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（2）供应商名称；</w:t>
      </w:r>
    </w:p>
    <w:p w14:paraId="4C10329B">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（3）响应文件送达时间、地址；</w:t>
      </w:r>
    </w:p>
    <w:p w14:paraId="4B3A034C">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（4）响应文件密封情况；</w:t>
      </w:r>
    </w:p>
    <w:p w14:paraId="0E5456AB">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（5）采购人、采购代理机构名称；</w:t>
      </w:r>
    </w:p>
    <w:p w14:paraId="5F039D09">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（6）采购人、采购代理机构接收人签字。</w:t>
      </w:r>
    </w:p>
    <w:p w14:paraId="20B3C636">
      <w:pPr>
        <w:pStyle w:val="22"/>
        <w:adjustRightInd w:val="0"/>
        <w:snapToGrid w:val="0"/>
        <w:spacing w:before="156" w:beforeLines="50" w:line="360" w:lineRule="auto"/>
        <w:ind w:firstLine="420" w:firstLineChars="200"/>
        <w:rPr>
          <w:rFonts w:hAnsi="宋体"/>
          <w:color w:val="auto"/>
        </w:rPr>
      </w:pPr>
      <w:r>
        <w:rPr>
          <w:rFonts w:hint="eastAsia" w:hAnsi="宋体"/>
          <w:color w:val="auto"/>
        </w:rPr>
        <w:t>17.3采购人、</w:t>
      </w:r>
      <w:r>
        <w:rPr>
          <w:rFonts w:hint="eastAsia" w:hAnsi="宋体"/>
          <w:bCs/>
          <w:color w:val="auto"/>
        </w:rPr>
        <w:t>采购代理机构</w:t>
      </w:r>
      <w:r>
        <w:rPr>
          <w:rFonts w:hint="eastAsia" w:hAnsi="宋体"/>
          <w:color w:val="auto"/>
        </w:rPr>
        <w:t>在按本章第25.3款规定公布供应商的最后报价前，不公开供应商的技术资料、价格和其他信息。</w:t>
      </w:r>
    </w:p>
    <w:p w14:paraId="5A2C9217">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29" w:name="_Toc20284"/>
      <w:r>
        <w:rPr>
          <w:rFonts w:hint="eastAsia" w:ascii="黑体" w:hAnsi="黑体" w:eastAsia="黑体"/>
          <w:color w:val="auto"/>
          <w:sz w:val="28"/>
          <w:szCs w:val="28"/>
        </w:rPr>
        <w:t>五、响应文件的评审与谈判</w:t>
      </w:r>
      <w:bookmarkEnd w:id="29"/>
    </w:p>
    <w:p w14:paraId="6A7EB1BD">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18.供应商资格复核</w:t>
      </w:r>
    </w:p>
    <w:p w14:paraId="36A7D59C">
      <w:pPr>
        <w:adjustRightInd w:val="0"/>
        <w:snapToGrid w:val="0"/>
        <w:spacing w:before="156" w:beforeLines="50" w:line="360" w:lineRule="auto"/>
        <w:ind w:firstLine="420" w:firstLineChars="200"/>
        <w:rPr>
          <w:rFonts w:ascii="宋体" w:hAnsi="宋体"/>
          <w:color w:val="auto"/>
          <w:szCs w:val="21"/>
        </w:rPr>
      </w:pPr>
      <w:r>
        <w:rPr>
          <w:rFonts w:hint="eastAsia" w:ascii="宋体" w:hAnsi="宋体" w:cs="宋体"/>
          <w:color w:val="auto"/>
          <w:kern w:val="0"/>
          <w:lang w:val="zh-CN"/>
        </w:rPr>
        <w:t>18.1</w:t>
      </w:r>
      <w:r>
        <w:rPr>
          <w:rFonts w:hint="eastAsia" w:ascii="宋体" w:hAnsi="宋体"/>
          <w:color w:val="auto"/>
          <w:szCs w:val="21"/>
        </w:rPr>
        <w:t>被邀请的供应商在提交资格证明材料</w:t>
      </w:r>
      <w:r>
        <w:rPr>
          <w:rFonts w:hint="eastAsia" w:ascii="宋体" w:hAnsi="宋体"/>
          <w:bCs/>
          <w:color w:val="auto"/>
          <w:szCs w:val="21"/>
        </w:rPr>
        <w:t>起</w:t>
      </w:r>
      <w:r>
        <w:rPr>
          <w:rFonts w:hint="eastAsia" w:ascii="宋体" w:hAnsi="宋体"/>
          <w:color w:val="auto"/>
          <w:szCs w:val="21"/>
        </w:rPr>
        <w:t>至</w:t>
      </w:r>
      <w:r>
        <w:rPr>
          <w:rFonts w:hint="eastAsia" w:hAnsi="宋体" w:cs="宋体"/>
          <w:color w:val="auto"/>
          <w:kern w:val="0"/>
        </w:rPr>
        <w:t>提交首次响应文件</w:t>
      </w:r>
      <w:r>
        <w:rPr>
          <w:rFonts w:hint="eastAsia" w:ascii="宋体" w:hAnsi="宋体"/>
          <w:color w:val="auto"/>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auto"/>
          <w:kern w:val="0"/>
          <w:szCs w:val="21"/>
          <w:lang w:val="zh-CN"/>
        </w:rPr>
        <w:t>款</w:t>
      </w:r>
      <w:r>
        <w:rPr>
          <w:rFonts w:hint="eastAsia" w:ascii="宋体" w:hAnsi="宋体"/>
          <w:color w:val="auto"/>
          <w:szCs w:val="21"/>
        </w:rPr>
        <w:t>规定的供应商资格条件要求。</w:t>
      </w:r>
    </w:p>
    <w:p w14:paraId="1788C335">
      <w:pPr>
        <w:adjustRightInd w:val="0"/>
        <w:snapToGrid w:val="0"/>
        <w:spacing w:before="156" w:beforeLines="50" w:line="360" w:lineRule="auto"/>
        <w:ind w:firstLine="420" w:firstLineChars="200"/>
        <w:jc w:val="left"/>
        <w:rPr>
          <w:rFonts w:hAnsi="宋体"/>
          <w:color w:val="auto"/>
        </w:rPr>
      </w:pPr>
      <w:r>
        <w:rPr>
          <w:rFonts w:hint="eastAsia" w:ascii="宋体" w:hAnsi="宋体"/>
          <w:color w:val="auto"/>
          <w:szCs w:val="21"/>
        </w:rPr>
        <w:t>18.2除上</w:t>
      </w:r>
      <w:r>
        <w:rPr>
          <w:rFonts w:hint="eastAsia" w:ascii="宋体" w:hAnsi="宋体" w:cs="宋体"/>
          <w:color w:val="auto"/>
          <w:kern w:val="0"/>
          <w:szCs w:val="21"/>
          <w:lang w:val="zh-CN"/>
        </w:rPr>
        <w:t>款规定的</w:t>
      </w:r>
      <w:r>
        <w:rPr>
          <w:rFonts w:hint="eastAsia" w:ascii="宋体" w:hAnsi="宋体"/>
          <w:color w:val="auto"/>
        </w:rPr>
        <w:t>情形外，采购人、采购代理机构</w:t>
      </w:r>
      <w:r>
        <w:rPr>
          <w:rFonts w:hint="eastAsia" w:hAnsi="宋体"/>
          <w:color w:val="auto"/>
        </w:rPr>
        <w:t>不再对供应商进行资格审查。</w:t>
      </w:r>
    </w:p>
    <w:p w14:paraId="3FAAE12C">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19.谈判小组</w:t>
      </w:r>
    </w:p>
    <w:p w14:paraId="41449F8A">
      <w:pPr>
        <w:adjustRightInd w:val="0"/>
        <w:snapToGrid w:val="0"/>
        <w:spacing w:before="156" w:beforeLines="50" w:line="360" w:lineRule="auto"/>
        <w:ind w:firstLine="420"/>
        <w:jc w:val="left"/>
        <w:rPr>
          <w:rFonts w:ascii="宋体" w:hAnsi="宋体"/>
          <w:bCs/>
          <w:color w:val="auto"/>
          <w:szCs w:val="21"/>
        </w:rPr>
      </w:pPr>
      <w:r>
        <w:rPr>
          <w:rFonts w:hint="eastAsia" w:ascii="宋体" w:hAnsi="宋体"/>
          <w:bCs/>
          <w:color w:val="auto"/>
          <w:szCs w:val="21"/>
        </w:rPr>
        <w:t>19.1谈判小组由采购人代表和评审专家组成。</w:t>
      </w:r>
    </w:p>
    <w:p w14:paraId="31D41976">
      <w:pPr>
        <w:adjustRightInd w:val="0"/>
        <w:snapToGrid w:val="0"/>
        <w:spacing w:before="156" w:beforeLines="50" w:line="360" w:lineRule="auto"/>
        <w:ind w:firstLine="420"/>
        <w:jc w:val="left"/>
        <w:rPr>
          <w:rFonts w:ascii="宋体" w:hAnsi="宋体"/>
          <w:color w:val="auto"/>
          <w:szCs w:val="21"/>
        </w:rPr>
      </w:pPr>
      <w:r>
        <w:rPr>
          <w:rFonts w:hint="eastAsia" w:ascii="宋体" w:hAnsi="宋体"/>
          <w:bCs/>
          <w:color w:val="auto"/>
          <w:szCs w:val="21"/>
        </w:rPr>
        <w:t>19.2谈判小组</w:t>
      </w:r>
      <w:r>
        <w:rPr>
          <w:rFonts w:ascii="宋体" w:hAnsi="宋体"/>
          <w:color w:val="auto"/>
          <w:szCs w:val="21"/>
        </w:rPr>
        <w:t>成员有下列情形之一的，应当回避：</w:t>
      </w:r>
    </w:p>
    <w:p w14:paraId="4F949287">
      <w:pPr>
        <w:adjustRightInd w:val="0"/>
        <w:snapToGrid w:val="0"/>
        <w:spacing w:before="156" w:beforeLines="50" w:line="360" w:lineRule="auto"/>
        <w:ind w:firstLine="420"/>
        <w:jc w:val="left"/>
        <w:rPr>
          <w:color w:val="auto"/>
          <w:szCs w:val="21"/>
        </w:rPr>
      </w:pPr>
      <w:r>
        <w:rPr>
          <w:rFonts w:ascii="宋体" w:hAnsi="宋体"/>
          <w:color w:val="auto"/>
          <w:szCs w:val="21"/>
        </w:rPr>
        <w:t>（1）参加采购活动前 3 年内与供应商存在劳动关系</w:t>
      </w:r>
      <w:r>
        <w:rPr>
          <w:rFonts w:hint="eastAsia" w:ascii="宋体" w:hAnsi="宋体"/>
          <w:color w:val="auto"/>
          <w:szCs w:val="21"/>
        </w:rPr>
        <w:t>；</w:t>
      </w:r>
    </w:p>
    <w:p w14:paraId="094FFD29">
      <w:pPr>
        <w:adjustRightInd w:val="0"/>
        <w:snapToGrid w:val="0"/>
        <w:spacing w:before="156" w:beforeLines="50" w:line="360" w:lineRule="auto"/>
        <w:ind w:firstLine="420"/>
        <w:jc w:val="left"/>
        <w:rPr>
          <w:color w:val="auto"/>
          <w:szCs w:val="21"/>
        </w:rPr>
      </w:pPr>
      <w:r>
        <w:rPr>
          <w:rFonts w:ascii="宋体" w:hAnsi="宋体"/>
          <w:color w:val="auto"/>
          <w:szCs w:val="21"/>
        </w:rPr>
        <w:t>（2）参加采购活动前 3 年内担任供应商的董事、监事；</w:t>
      </w:r>
    </w:p>
    <w:p w14:paraId="53734C3C">
      <w:pPr>
        <w:adjustRightInd w:val="0"/>
        <w:snapToGrid w:val="0"/>
        <w:spacing w:before="156" w:beforeLines="50" w:line="360" w:lineRule="auto"/>
        <w:ind w:firstLine="420"/>
        <w:jc w:val="left"/>
        <w:rPr>
          <w:color w:val="auto"/>
          <w:szCs w:val="21"/>
        </w:rPr>
      </w:pPr>
      <w:r>
        <w:rPr>
          <w:rFonts w:ascii="宋体" w:hAnsi="宋体"/>
          <w:color w:val="auto"/>
          <w:szCs w:val="21"/>
        </w:rPr>
        <w:t>（3）参加采购活动前 3 年内是供应商的控股股东或者实际控制人；</w:t>
      </w:r>
    </w:p>
    <w:p w14:paraId="444DD544">
      <w:pPr>
        <w:adjustRightInd w:val="0"/>
        <w:snapToGrid w:val="0"/>
        <w:spacing w:before="156" w:beforeLines="50" w:line="360" w:lineRule="auto"/>
        <w:ind w:firstLine="420"/>
        <w:jc w:val="left"/>
        <w:rPr>
          <w:rFonts w:hint="eastAsia" w:ascii="宋体" w:hAnsi="宋体" w:eastAsia="宋体"/>
          <w:color w:val="auto"/>
          <w:szCs w:val="21"/>
          <w:lang w:eastAsia="zh-CN"/>
        </w:rPr>
      </w:pPr>
      <w:r>
        <w:rPr>
          <w:rFonts w:ascii="宋体" w:hAnsi="宋体"/>
          <w:color w:val="auto"/>
          <w:szCs w:val="21"/>
        </w:rPr>
        <w:t>（4）与供应商的法定代表人或者负责人有夫妻、直系血亲、三代以内旁系血</w:t>
      </w:r>
    </w:p>
    <w:p w14:paraId="32D1ACD0">
      <w:pPr>
        <w:adjustRightInd w:val="0"/>
        <w:snapToGrid w:val="0"/>
        <w:spacing w:before="156" w:beforeLines="50" w:line="360" w:lineRule="auto"/>
        <w:ind w:firstLine="420"/>
        <w:jc w:val="left"/>
        <w:rPr>
          <w:color w:val="auto"/>
          <w:szCs w:val="21"/>
        </w:rPr>
      </w:pPr>
      <w:r>
        <w:rPr>
          <w:rFonts w:ascii="宋体" w:hAnsi="宋体"/>
          <w:color w:val="auto"/>
          <w:szCs w:val="21"/>
        </w:rPr>
        <w:t>亲或者近姻亲关系；</w:t>
      </w:r>
    </w:p>
    <w:p w14:paraId="20F20A05">
      <w:pPr>
        <w:adjustRightInd w:val="0"/>
        <w:snapToGrid w:val="0"/>
        <w:spacing w:before="156" w:beforeLines="50" w:line="360" w:lineRule="auto"/>
        <w:ind w:firstLine="420"/>
        <w:jc w:val="left"/>
        <w:rPr>
          <w:rFonts w:ascii="宋体" w:hAnsi="宋体"/>
          <w:color w:val="auto"/>
          <w:szCs w:val="21"/>
        </w:rPr>
      </w:pPr>
      <w:r>
        <w:rPr>
          <w:rFonts w:ascii="宋体" w:hAnsi="宋体"/>
          <w:color w:val="auto"/>
          <w:szCs w:val="21"/>
        </w:rPr>
        <w:t>（5）与供应商有其他可能影响政府采购活动公平、公正进行的关系。</w:t>
      </w:r>
    </w:p>
    <w:p w14:paraId="728EDAA3">
      <w:pPr>
        <w:adjustRightInd w:val="0"/>
        <w:snapToGrid w:val="0"/>
        <w:spacing w:before="156" w:beforeLines="50" w:line="360" w:lineRule="auto"/>
        <w:ind w:firstLine="420"/>
        <w:jc w:val="left"/>
        <w:rPr>
          <w:color w:val="auto"/>
          <w:szCs w:val="21"/>
        </w:rPr>
      </w:pPr>
      <w:r>
        <w:rPr>
          <w:rFonts w:hint="eastAsia" w:ascii="宋体" w:hAnsi="宋体"/>
          <w:color w:val="auto"/>
          <w:szCs w:val="21"/>
        </w:rPr>
        <w:t>20</w:t>
      </w:r>
      <w:r>
        <w:rPr>
          <w:rFonts w:ascii="宋体" w:hAnsi="宋体"/>
          <w:color w:val="auto"/>
          <w:szCs w:val="21"/>
        </w:rPr>
        <w:t>.</w:t>
      </w:r>
      <w:r>
        <w:rPr>
          <w:rFonts w:hint="eastAsia" w:ascii="宋体" w:hAnsi="宋体"/>
          <w:color w:val="auto"/>
          <w:szCs w:val="21"/>
        </w:rPr>
        <w:t>3谈判小组成员应当按照客观、公正、审慎的原则，根据谈判文件规定的评审程序、评审方法和评审标准进行独立评审。</w:t>
      </w:r>
    </w:p>
    <w:p w14:paraId="1128E7CF">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20.谈判程序</w:t>
      </w:r>
    </w:p>
    <w:p w14:paraId="6DF3EC3D">
      <w:pPr>
        <w:adjustRightInd w:val="0"/>
        <w:snapToGrid w:val="0"/>
        <w:spacing w:before="156" w:beforeLines="50" w:line="360" w:lineRule="auto"/>
        <w:ind w:firstLine="420"/>
        <w:jc w:val="left"/>
        <w:rPr>
          <w:rFonts w:ascii="宋体" w:hAnsi="宋体"/>
          <w:bCs/>
          <w:color w:val="auto"/>
          <w:szCs w:val="21"/>
        </w:rPr>
      </w:pPr>
      <w:r>
        <w:rPr>
          <w:rFonts w:hint="eastAsia" w:ascii="宋体" w:hAnsi="宋体" w:cs="宋体"/>
          <w:color w:val="auto"/>
          <w:kern w:val="0"/>
          <w:szCs w:val="21"/>
        </w:rPr>
        <w:t>20.1</w:t>
      </w:r>
      <w:r>
        <w:rPr>
          <w:rFonts w:hint="eastAsia" w:ascii="宋体" w:hAnsi="宋体"/>
          <w:bCs/>
          <w:color w:val="auto"/>
          <w:szCs w:val="21"/>
        </w:rPr>
        <w:t>谈判程序：谈判（响应文件审查、澄清）、最后报价、提出成交供应商。其中，谈判按本章第23条进行。</w:t>
      </w:r>
    </w:p>
    <w:p w14:paraId="622CC710">
      <w:pPr>
        <w:adjustRightInd w:val="0"/>
        <w:snapToGrid w:val="0"/>
        <w:spacing w:before="156" w:beforeLines="50" w:line="360" w:lineRule="auto"/>
        <w:ind w:firstLine="420"/>
        <w:jc w:val="left"/>
        <w:rPr>
          <w:rFonts w:ascii="宋体" w:hAnsi="宋体"/>
          <w:bCs/>
          <w:color w:val="auto"/>
          <w:szCs w:val="21"/>
        </w:rPr>
      </w:pPr>
      <w:r>
        <w:rPr>
          <w:rFonts w:hint="eastAsia" w:ascii="宋体" w:hAnsi="宋体"/>
          <w:bCs/>
          <w:color w:val="auto"/>
          <w:szCs w:val="21"/>
        </w:rPr>
        <w:t>20.2谈判小组应当对响应文件进行评审，并根据谈判文件规定的程序、评定成交的标准等事项与实质性响应谈判文件要求的供应商进行谈判。</w:t>
      </w:r>
    </w:p>
    <w:p w14:paraId="1DB6C401">
      <w:pPr>
        <w:adjustRightInd w:val="0"/>
        <w:snapToGrid w:val="0"/>
        <w:spacing w:before="156" w:beforeLines="50" w:line="360" w:lineRule="auto"/>
        <w:ind w:firstLine="420"/>
        <w:jc w:val="left"/>
        <w:rPr>
          <w:rFonts w:ascii="宋体" w:hAnsi="宋体"/>
          <w:bCs/>
          <w:color w:val="auto"/>
          <w:szCs w:val="21"/>
        </w:rPr>
      </w:pPr>
      <w:r>
        <w:rPr>
          <w:rFonts w:hint="eastAsia" w:ascii="宋体" w:hAnsi="宋体"/>
          <w:bCs/>
          <w:color w:val="auto"/>
          <w:szCs w:val="21"/>
        </w:rPr>
        <w:t>20.3在谈判过程中谈判的任何一方不得向他人透露与谈判有关的技术资料、价格或其他信息。</w:t>
      </w:r>
    </w:p>
    <w:p w14:paraId="176F9B59">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21.响应文件审查</w:t>
      </w:r>
    </w:p>
    <w:p w14:paraId="39AB5233">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21.1谈判小组对响应文件(包括首次提交的响应文件、重新提交的响应文件)的有效性、完整性和对谈判文件的响应程度进行审查。</w:t>
      </w:r>
    </w:p>
    <w:p w14:paraId="0D746AA8">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21.2响应文件有下列情况之一，响应文件按无效处理，谈判小组应当告知有关供应商。</w:t>
      </w:r>
    </w:p>
    <w:p w14:paraId="1F393317">
      <w:pPr>
        <w:adjustRightInd w:val="0"/>
        <w:snapToGrid w:val="0"/>
        <w:spacing w:before="156" w:beforeLines="50" w:line="360" w:lineRule="auto"/>
        <w:ind w:firstLine="420" w:firstLineChars="200"/>
        <w:rPr>
          <w:rFonts w:ascii="宋体" w:hAnsi="宋体"/>
          <w:bCs/>
          <w:color w:val="auto"/>
          <w:szCs w:val="21"/>
        </w:rPr>
      </w:pPr>
      <w:r>
        <w:rPr>
          <w:rFonts w:hint="eastAsia" w:ascii="宋体" w:hAnsi="宋体" w:cs="宋体"/>
          <w:color w:val="auto"/>
          <w:kern w:val="0"/>
          <w:szCs w:val="21"/>
        </w:rPr>
        <w:t>（1）</w:t>
      </w:r>
      <w:r>
        <w:rPr>
          <w:rFonts w:hint="eastAsia" w:ascii="宋体" w:hAnsi="宋体"/>
          <w:color w:val="auto"/>
          <w:szCs w:val="21"/>
        </w:rPr>
        <w:t>应交未交保证金或</w:t>
      </w:r>
      <w:r>
        <w:rPr>
          <w:rFonts w:hint="eastAsia"/>
          <w:color w:val="auto"/>
          <w:szCs w:val="21"/>
        </w:rPr>
        <w:t>金额不足、保证金形式不符合谈判文件要求的</w:t>
      </w:r>
      <w:r>
        <w:rPr>
          <w:rFonts w:hint="eastAsia" w:ascii="宋体" w:hAnsi="宋体"/>
          <w:color w:val="auto"/>
          <w:szCs w:val="21"/>
        </w:rPr>
        <w:t>；</w:t>
      </w:r>
    </w:p>
    <w:p w14:paraId="2D2370CE">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color w:val="auto"/>
          <w:szCs w:val="21"/>
        </w:rPr>
      </w:pPr>
      <w:r>
        <w:rPr>
          <w:rFonts w:hint="eastAsia" w:ascii="宋体" w:hAnsi="宋体" w:cs="宋体"/>
          <w:color w:val="auto"/>
          <w:kern w:val="0"/>
          <w:szCs w:val="21"/>
        </w:rPr>
        <w:t>（2）</w:t>
      </w:r>
      <w:r>
        <w:rPr>
          <w:rFonts w:hint="eastAsia" w:ascii="宋体" w:hAnsi="宋体"/>
          <w:color w:val="auto"/>
          <w:szCs w:val="21"/>
        </w:rPr>
        <w:t>未按照谈判文件规定要求签署、盖章的；</w:t>
      </w:r>
    </w:p>
    <w:p w14:paraId="3EFE38A7">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color w:val="auto"/>
          <w:szCs w:val="21"/>
        </w:rPr>
      </w:pPr>
      <w:r>
        <w:rPr>
          <w:rFonts w:hint="eastAsia" w:ascii="宋体" w:hAnsi="宋体"/>
          <w:color w:val="auto"/>
          <w:szCs w:val="21"/>
        </w:rPr>
        <w:t>（3）不满足谈判文件规定的实质性要求和条件的；</w:t>
      </w:r>
    </w:p>
    <w:p w14:paraId="5773DF61">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color w:val="auto"/>
          <w:szCs w:val="21"/>
        </w:rPr>
      </w:pPr>
      <w:r>
        <w:rPr>
          <w:rFonts w:hint="eastAsia" w:ascii="宋体" w:hAnsi="宋体"/>
          <w:color w:val="auto"/>
          <w:szCs w:val="21"/>
        </w:rPr>
        <w:t>（4）法律、法规和谈判文件规定的其他响应无效情形。</w:t>
      </w:r>
    </w:p>
    <w:p w14:paraId="20998ACF">
      <w:pPr>
        <w:tabs>
          <w:tab w:val="left" w:pos="735"/>
          <w:tab w:val="left" w:pos="7560"/>
          <w:tab w:val="left" w:pos="7740"/>
          <w:tab w:val="left" w:pos="7920"/>
        </w:tabs>
        <w:adjustRightInd w:val="0"/>
        <w:snapToGrid w:val="0"/>
        <w:spacing w:before="156" w:beforeLines="50" w:line="360" w:lineRule="auto"/>
        <w:ind w:right="300" w:rightChars="143" w:firstLine="420" w:firstLineChars="200"/>
        <w:rPr>
          <w:rFonts w:ascii="宋体" w:hAnsi="宋体"/>
          <w:color w:val="auto"/>
          <w:szCs w:val="21"/>
        </w:rPr>
      </w:pPr>
      <w:r>
        <w:rPr>
          <w:rFonts w:hint="eastAsia" w:ascii="宋体" w:hAnsi="宋体" w:cs="宋体"/>
          <w:color w:val="auto"/>
          <w:kern w:val="0"/>
          <w:szCs w:val="21"/>
        </w:rPr>
        <w:t>21.3响应文件按无效处理的，谈判小组应拒绝其参与谈判，但属于谈判文件规定的实质性变动内容的除外。</w:t>
      </w:r>
    </w:p>
    <w:p w14:paraId="32D75969">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21.4谈判文件规定的实质性要求和条件见【</w:t>
      </w:r>
      <w:r>
        <w:rPr>
          <w:rFonts w:hint="eastAsia" w:ascii="宋体" w:hAnsi="宋体" w:cs="宋体"/>
          <w:b/>
          <w:color w:val="auto"/>
          <w:kern w:val="0"/>
          <w:szCs w:val="21"/>
        </w:rPr>
        <w:t>谈判须知前附表</w:t>
      </w:r>
      <w:r>
        <w:rPr>
          <w:rFonts w:hint="eastAsia" w:ascii="宋体" w:hAnsi="宋体" w:cs="宋体"/>
          <w:color w:val="auto"/>
          <w:kern w:val="0"/>
          <w:szCs w:val="21"/>
        </w:rPr>
        <w:t>】。</w:t>
      </w:r>
    </w:p>
    <w:p w14:paraId="52E5831C">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22.澄清</w:t>
      </w:r>
    </w:p>
    <w:p w14:paraId="40BAF887">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22.1谈判小组在对响应文件(包括</w:t>
      </w:r>
      <w:r>
        <w:rPr>
          <w:rFonts w:hint="eastAsia" w:hAnsi="宋体" w:cs="宋体"/>
          <w:color w:val="auto"/>
          <w:kern w:val="0"/>
        </w:rPr>
        <w:t>首次提交的</w:t>
      </w:r>
      <w:r>
        <w:rPr>
          <w:rFonts w:hint="eastAsia" w:ascii="宋体" w:hAnsi="宋体" w:cs="宋体"/>
          <w:color w:val="auto"/>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2C6E7112">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23.谈判的规定</w:t>
      </w:r>
    </w:p>
    <w:p w14:paraId="27EC20A2">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bCs/>
          <w:color w:val="auto"/>
          <w:szCs w:val="21"/>
        </w:rPr>
        <w:t>23.1</w:t>
      </w:r>
      <w:r>
        <w:rPr>
          <w:rFonts w:hint="eastAsia" w:ascii="宋体" w:hAnsi="宋体" w:cs="宋体"/>
          <w:color w:val="auto"/>
          <w:kern w:val="0"/>
          <w:szCs w:val="21"/>
        </w:rPr>
        <w:t>在谈判过程中，谈判小组所有成员集中与单一供应商分别进行谈判，并给予所有参加谈判的供应商平等的谈判机会。供应商应派其代表参加谈判。</w:t>
      </w:r>
    </w:p>
    <w:p w14:paraId="5E57411F">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bCs/>
          <w:color w:val="auto"/>
          <w:szCs w:val="21"/>
        </w:rPr>
        <w:t>23.2</w:t>
      </w:r>
      <w:r>
        <w:rPr>
          <w:rFonts w:hint="eastAsia" w:ascii="宋体" w:hAnsi="宋体" w:cs="宋体"/>
          <w:color w:val="auto"/>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42BC5334">
      <w:pPr>
        <w:adjustRightInd w:val="0"/>
        <w:snapToGrid w:val="0"/>
        <w:spacing w:before="156" w:beforeLines="50" w:line="360" w:lineRule="auto"/>
        <w:ind w:firstLine="420"/>
        <w:jc w:val="left"/>
        <w:rPr>
          <w:rFonts w:ascii="宋体" w:hAnsi="宋体" w:cs="宋体"/>
          <w:color w:val="auto"/>
          <w:kern w:val="0"/>
          <w:szCs w:val="21"/>
        </w:rPr>
      </w:pPr>
      <w:r>
        <w:rPr>
          <w:rFonts w:ascii="宋体" w:hAnsi="宋体" w:cs="宋体"/>
          <w:color w:val="auto"/>
          <w:kern w:val="0"/>
          <w:szCs w:val="21"/>
        </w:rPr>
        <w:t>2</w:t>
      </w:r>
      <w:r>
        <w:rPr>
          <w:rFonts w:hint="eastAsia" w:ascii="宋体" w:hAnsi="宋体" w:cs="宋体"/>
          <w:color w:val="auto"/>
          <w:kern w:val="0"/>
          <w:szCs w:val="21"/>
        </w:rPr>
        <w:t>3</w:t>
      </w:r>
      <w:r>
        <w:rPr>
          <w:rFonts w:ascii="宋体" w:hAnsi="宋体" w:cs="宋体"/>
          <w:color w:val="auto"/>
          <w:kern w:val="0"/>
          <w:szCs w:val="21"/>
        </w:rPr>
        <w:t>.</w:t>
      </w:r>
      <w:r>
        <w:rPr>
          <w:rFonts w:hint="eastAsia" w:ascii="宋体" w:hAnsi="宋体" w:cs="宋体"/>
          <w:color w:val="auto"/>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331007A6">
      <w:pPr>
        <w:pStyle w:val="5"/>
        <w:adjustRightInd w:val="0"/>
        <w:snapToGrid w:val="0"/>
        <w:spacing w:before="50" w:after="0" w:line="360" w:lineRule="auto"/>
        <w:rPr>
          <w:rFonts w:ascii="黑体" w:hAnsi="黑体" w:cs="宋体"/>
          <w:color w:val="auto"/>
          <w:kern w:val="0"/>
          <w:sz w:val="24"/>
          <w:szCs w:val="24"/>
        </w:rPr>
      </w:pPr>
      <w:r>
        <w:rPr>
          <w:rFonts w:hint="eastAsia" w:ascii="黑体" w:hAnsi="黑体"/>
          <w:color w:val="auto"/>
          <w:sz w:val="24"/>
          <w:szCs w:val="24"/>
        </w:rPr>
        <w:t>24.退出谈判</w:t>
      </w:r>
    </w:p>
    <w:p w14:paraId="40F7BEE6">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24.1供应商在提交最后报价之前，可以根据谈判情况退出谈判，</w:t>
      </w:r>
      <w:r>
        <w:rPr>
          <w:rFonts w:hint="eastAsia" w:ascii="宋体" w:hAnsi="宋体" w:cs="宋体"/>
          <w:color w:val="auto"/>
          <w:kern w:val="0"/>
        </w:rPr>
        <w:t>并书面通知采购人、采购代理机构或者谈判小组。</w:t>
      </w:r>
      <w:r>
        <w:rPr>
          <w:rFonts w:hint="eastAsia" w:ascii="宋体" w:hAnsi="宋体"/>
          <w:color w:val="auto"/>
        </w:rPr>
        <w:t>该通知由供应商代表签字。采购人、</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11.4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退还退出谈判的供应商的保证金。</w:t>
      </w:r>
    </w:p>
    <w:p w14:paraId="70D75515">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24.2供应商参与谈判，但未提交最后报价又未按前款规定退出谈判的，保证金不予退还。</w:t>
      </w:r>
    </w:p>
    <w:p w14:paraId="066476D4">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25.最后报价</w:t>
      </w:r>
    </w:p>
    <w:p w14:paraId="3747A411">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74AFAB3D">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（1）谈判文件能够详细列明采购需求的技术、服务要求的，谈判结束后，谈判小组应当要求所有供应商在规定时间内提交最后报价。</w:t>
      </w:r>
    </w:p>
    <w:p w14:paraId="29F898C7">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50E53F9E">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6184DF06">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（1）谈判文件未明确可能实质性变动的；</w:t>
      </w:r>
    </w:p>
    <w:p w14:paraId="33527AF8">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（2）谈判文件明确可能实质性变动，但谈判小组对供应商提交的首次响应文件的有效性、完整性和响应程度进行审查后，认为谈判文件不需发生实质性变动、不需要谈判的。</w:t>
      </w:r>
    </w:p>
    <w:p w14:paraId="72D09C6A">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25.3谈判小组应召集所有提交最后报价的供应商，逐一</w:t>
      </w:r>
      <w:r>
        <w:rPr>
          <w:rFonts w:hint="eastAsia" w:ascii="宋体" w:hAnsi="宋体"/>
          <w:bCs/>
          <w:color w:val="auto"/>
          <w:szCs w:val="21"/>
        </w:rPr>
        <w:t>公布</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w:t>
      </w:r>
      <w:r>
        <w:rPr>
          <w:rFonts w:hint="eastAsia" w:ascii="宋体" w:hAnsi="宋体" w:cs="宋体"/>
          <w:color w:val="auto"/>
          <w:kern w:val="0"/>
          <w:szCs w:val="21"/>
        </w:rPr>
        <w:t>，由采购人、采购代理机构负责记录，并由供应商代表签字确认后随采购文件一并存档。</w:t>
      </w:r>
    </w:p>
    <w:p w14:paraId="22B5A04D">
      <w:pPr>
        <w:pStyle w:val="5"/>
        <w:adjustRightInd w:val="0"/>
        <w:snapToGrid w:val="0"/>
        <w:spacing w:before="50" w:after="0" w:line="360" w:lineRule="auto"/>
        <w:rPr>
          <w:rFonts w:ascii="黑体" w:hAnsi="黑体" w:cs="宋体"/>
          <w:color w:val="auto"/>
          <w:kern w:val="0"/>
          <w:sz w:val="24"/>
          <w:szCs w:val="24"/>
        </w:rPr>
      </w:pPr>
      <w:r>
        <w:rPr>
          <w:rFonts w:hint="eastAsia" w:ascii="黑体" w:hAnsi="黑体"/>
          <w:color w:val="auto"/>
          <w:sz w:val="24"/>
          <w:szCs w:val="24"/>
        </w:rPr>
        <w:t>26.不合理报价</w:t>
      </w:r>
    </w:p>
    <w:p w14:paraId="15A5C3A8">
      <w:pPr>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bCs/>
          <w:color w:val="auto"/>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3AE388A4">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s="宋体"/>
          <w:color w:val="auto"/>
          <w:kern w:val="0"/>
          <w:sz w:val="24"/>
          <w:szCs w:val="24"/>
        </w:rPr>
        <w:t>27.</w:t>
      </w:r>
      <w:r>
        <w:rPr>
          <w:rFonts w:hint="eastAsia" w:ascii="黑体" w:hAnsi="黑体"/>
          <w:color w:val="auto"/>
          <w:sz w:val="24"/>
          <w:szCs w:val="24"/>
        </w:rPr>
        <w:t>提出成交供应商</w:t>
      </w:r>
    </w:p>
    <w:p w14:paraId="0B08715F">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27.1谈判小组应当从质量和服务均能满足采购文件实质性响应要求的供应商中，按照最后报价由低到高的顺序提出3名以上成交候选人，并编写评审报告。</w:t>
      </w:r>
    </w:p>
    <w:p w14:paraId="7B10E394">
      <w:pPr>
        <w:adjustRightInd w:val="0"/>
        <w:snapToGrid w:val="0"/>
        <w:spacing w:before="156" w:beforeLines="50" w:line="360" w:lineRule="auto"/>
        <w:ind w:firstLine="420"/>
        <w:jc w:val="left"/>
        <w:rPr>
          <w:rFonts w:ascii="宋体" w:hAnsi="宋体"/>
          <w:bCs/>
          <w:color w:val="auto"/>
          <w:szCs w:val="21"/>
        </w:rPr>
      </w:pPr>
      <w:r>
        <w:rPr>
          <w:rFonts w:hint="eastAsia" w:ascii="宋体" w:hAnsi="宋体" w:cs="宋体"/>
          <w:color w:val="auto"/>
          <w:kern w:val="0"/>
          <w:szCs w:val="21"/>
        </w:rPr>
        <w:t>供应商最后报价涉及算术修正、需落实政府采购政策的，按上款规定由低到高的顺序排序。</w:t>
      </w:r>
      <w:r>
        <w:rPr>
          <w:rFonts w:hint="eastAsia"/>
          <w:color w:val="auto"/>
          <w:szCs w:val="21"/>
        </w:rPr>
        <w:t>最后报价排序</w:t>
      </w:r>
      <w:r>
        <w:rPr>
          <w:color w:val="auto"/>
          <w:szCs w:val="21"/>
        </w:rPr>
        <w:t>相同的</w:t>
      </w:r>
      <w:r>
        <w:rPr>
          <w:rFonts w:hint="eastAsia"/>
          <w:color w:val="auto"/>
          <w:szCs w:val="21"/>
        </w:rPr>
        <w:t>并列</w:t>
      </w:r>
      <w:r>
        <w:rPr>
          <w:rFonts w:hint="eastAsia" w:ascii="宋体" w:hAnsi="宋体"/>
          <w:bCs/>
          <w:color w:val="auto"/>
          <w:szCs w:val="21"/>
        </w:rPr>
        <w:t>。</w:t>
      </w:r>
    </w:p>
    <w:p w14:paraId="256757D0">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bCs/>
          <w:color w:val="auto"/>
          <w:szCs w:val="21"/>
        </w:rPr>
        <w:t>27.2</w:t>
      </w:r>
      <w:r>
        <w:rPr>
          <w:rFonts w:hint="eastAsia" w:ascii="宋体" w:hAnsi="宋体" w:cs="宋体"/>
          <w:color w:val="auto"/>
          <w:kern w:val="0"/>
          <w:szCs w:val="21"/>
        </w:rPr>
        <w:t>最后报价有算术错误的，除</w:t>
      </w:r>
      <w:r>
        <w:rPr>
          <w:rFonts w:hint="eastAsia" w:ascii="宋体" w:hAnsi="宋体"/>
          <w:b/>
          <w:color w:val="auto"/>
          <w:szCs w:val="21"/>
        </w:rPr>
        <w:t>【谈判须知前附表】</w:t>
      </w:r>
      <w:r>
        <w:rPr>
          <w:rFonts w:hint="eastAsia" w:ascii="宋体" w:hAnsi="宋体" w:cs="宋体"/>
          <w:color w:val="auto"/>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5FC404CC">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（1）大写金额与小写金额不一致的，以大写金额为准。</w:t>
      </w:r>
    </w:p>
    <w:p w14:paraId="41BD4250">
      <w:pPr>
        <w:adjustRightInd w:val="0"/>
        <w:snapToGrid w:val="0"/>
        <w:spacing w:before="156" w:beforeLines="50" w:line="360" w:lineRule="auto"/>
        <w:ind w:firstLine="420" w:firstLineChars="200"/>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rPr>
        <w:t>（2）总价金额与按单价汇总金额不一致的，以单价金额计算结果为准。</w:t>
      </w:r>
    </w:p>
    <w:p w14:paraId="3EA7EB04">
      <w:pPr>
        <w:adjustRightInd w:val="0"/>
        <w:snapToGrid w:val="0"/>
        <w:spacing w:before="156" w:beforeLines="50" w:line="360" w:lineRule="auto"/>
        <w:ind w:firstLine="420" w:firstLineChars="200"/>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rPr>
        <w:t>修正后的报价由供应商代表签字或者加盖单位公章确认后产生约束力，不确认的，其报价无效。</w:t>
      </w:r>
    </w:p>
    <w:p w14:paraId="6ADA0028">
      <w:pPr>
        <w:adjustRightInd w:val="0"/>
        <w:snapToGrid w:val="0"/>
        <w:spacing w:before="156" w:beforeLines="50" w:line="360" w:lineRule="auto"/>
        <w:ind w:firstLine="420" w:firstLineChars="200"/>
        <w:jc w:val="left"/>
        <w:rPr>
          <w:rFonts w:ascii="宋体" w:hAnsi="宋体"/>
          <w:bCs/>
          <w:color w:val="auto"/>
          <w:szCs w:val="21"/>
        </w:rPr>
      </w:pPr>
      <w:r>
        <w:rPr>
          <w:rFonts w:hint="eastAsia" w:ascii="宋体" w:hAnsi="宋体"/>
          <w:bCs/>
          <w:color w:val="auto"/>
          <w:szCs w:val="21"/>
        </w:rPr>
        <w:t>27.3最后报价的评审</w:t>
      </w:r>
    </w:p>
    <w:p w14:paraId="4CA35F2B">
      <w:pPr>
        <w:adjustRightInd w:val="0"/>
        <w:snapToGrid w:val="0"/>
        <w:spacing w:before="156" w:beforeLines="50" w:line="360" w:lineRule="auto"/>
        <w:ind w:firstLine="420" w:firstLineChars="200"/>
        <w:jc w:val="left"/>
        <w:rPr>
          <w:rFonts w:ascii="宋体" w:hAnsi="宋体"/>
          <w:bCs/>
          <w:color w:val="auto"/>
          <w:szCs w:val="21"/>
        </w:rPr>
      </w:pPr>
      <w:r>
        <w:rPr>
          <w:rFonts w:hint="eastAsia" w:ascii="宋体" w:hAnsi="宋体"/>
          <w:bCs/>
          <w:color w:val="auto"/>
          <w:szCs w:val="21"/>
        </w:rPr>
        <w:t>（1）如果有算术错误，最后报价将按上款规定进行算术修正。</w:t>
      </w:r>
    </w:p>
    <w:p w14:paraId="3C206446">
      <w:pPr>
        <w:adjustRightInd w:val="0"/>
        <w:snapToGrid w:val="0"/>
        <w:spacing w:before="156" w:beforeLines="50" w:line="360" w:lineRule="auto"/>
        <w:ind w:firstLine="420" w:firstLineChars="200"/>
        <w:jc w:val="left"/>
        <w:rPr>
          <w:rFonts w:ascii="宋体" w:hAnsi="宋体"/>
          <w:bCs/>
          <w:color w:val="auto"/>
          <w:szCs w:val="21"/>
        </w:rPr>
      </w:pPr>
      <w:r>
        <w:rPr>
          <w:rFonts w:hint="eastAsia" w:ascii="宋体" w:hAnsi="宋体"/>
          <w:bCs/>
          <w:color w:val="auto"/>
          <w:szCs w:val="21"/>
        </w:rPr>
        <w:t>（2）需落实政府采购政策（优先采购、价格评审优惠）的，按本章本节第39、40条等相关规定进行价格扣除。</w:t>
      </w:r>
    </w:p>
    <w:p w14:paraId="5C0D4BCF">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28.确定成交供应商</w:t>
      </w:r>
    </w:p>
    <w:p w14:paraId="776BE314">
      <w:pPr>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28.1采购代理机构应当在评审结束后2个工作日内将评审报告送采购人确认。</w:t>
      </w:r>
    </w:p>
    <w:p w14:paraId="231564D8">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3B574A4C">
      <w:pPr>
        <w:adjustRightInd w:val="0"/>
        <w:snapToGrid w:val="0"/>
        <w:spacing w:before="156" w:beforeLines="50" w:line="360" w:lineRule="auto"/>
        <w:ind w:firstLine="420"/>
        <w:jc w:val="left"/>
        <w:rPr>
          <w:rFonts w:ascii="宋体" w:hAnsi="宋体"/>
          <w:bCs/>
          <w:color w:val="auto"/>
          <w:szCs w:val="21"/>
        </w:rPr>
      </w:pPr>
      <w:r>
        <w:rPr>
          <w:rFonts w:hint="eastAsia" w:ascii="宋体" w:hAnsi="宋体" w:cs="宋体"/>
          <w:color w:val="auto"/>
          <w:kern w:val="0"/>
          <w:szCs w:val="21"/>
        </w:rPr>
        <w:t>28.3成交候选人并列的，由采购人自行确定成交供应商。</w:t>
      </w:r>
    </w:p>
    <w:p w14:paraId="653866E0">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29.谈判的特殊情形</w:t>
      </w:r>
    </w:p>
    <w:p w14:paraId="10C662C1">
      <w:pPr>
        <w:adjustRightInd w:val="0"/>
        <w:snapToGrid w:val="0"/>
        <w:spacing w:before="156" w:beforeLines="50" w:line="360" w:lineRule="auto"/>
        <w:ind w:firstLine="420" w:firstLineChars="200"/>
        <w:rPr>
          <w:rFonts w:ascii="宋体" w:hAnsi="宋体"/>
          <w:color w:val="auto"/>
          <w:kern w:val="0"/>
          <w:lang w:val="zh-CN"/>
        </w:rPr>
      </w:pPr>
      <w:r>
        <w:rPr>
          <w:rFonts w:hint="eastAsia" w:ascii="宋体" w:hAnsi="宋体"/>
          <w:color w:val="auto"/>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01EB78B3">
      <w:pPr>
        <w:adjustRightInd w:val="0"/>
        <w:snapToGrid w:val="0"/>
        <w:spacing w:before="156" w:beforeLines="50" w:line="360" w:lineRule="auto"/>
        <w:ind w:firstLine="420" w:firstLineChars="200"/>
        <w:rPr>
          <w:rFonts w:ascii="宋体" w:hAnsi="宋体"/>
          <w:color w:val="auto"/>
          <w:kern w:val="0"/>
          <w:lang w:val="zh-CN"/>
        </w:rPr>
      </w:pPr>
      <w:r>
        <w:rPr>
          <w:rFonts w:hint="eastAsia" w:ascii="宋体" w:hAnsi="宋体"/>
          <w:color w:val="auto"/>
          <w:kern w:val="0"/>
          <w:lang w:val="zh-CN"/>
        </w:rPr>
        <w:t>29.2</w:t>
      </w:r>
      <w:r>
        <w:rPr>
          <w:rFonts w:hint="eastAsia" w:ascii="宋体" w:hAnsi="宋体" w:cs="宋体"/>
          <w:color w:val="auto"/>
          <w:kern w:val="0"/>
          <w:szCs w:val="21"/>
        </w:rPr>
        <w:t>符合上款情形的，本章本节相关条款规定的供应商最低数量可以为两家。</w:t>
      </w:r>
    </w:p>
    <w:p w14:paraId="66ECC51D">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30.谈判终止</w:t>
      </w:r>
    </w:p>
    <w:p w14:paraId="7D6706FE">
      <w:pPr>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bCs/>
          <w:color w:val="auto"/>
          <w:szCs w:val="21"/>
        </w:rPr>
        <w:t>30.1</w:t>
      </w:r>
      <w:r>
        <w:rPr>
          <w:rFonts w:hint="eastAsia" w:ascii="宋体" w:hAnsi="宋体" w:cs="宋体"/>
          <w:color w:val="auto"/>
          <w:kern w:val="0"/>
          <w:szCs w:val="21"/>
        </w:rPr>
        <w:t>出现下列情形之一的，采购人、采购代理机构应当终止竞争性谈判采购活动，</w:t>
      </w:r>
      <w:r>
        <w:rPr>
          <w:rFonts w:hint="eastAsia" w:hAnsi="宋体"/>
          <w:color w:val="auto"/>
        </w:rPr>
        <w:t>在指定的媒体上</w:t>
      </w:r>
      <w:r>
        <w:rPr>
          <w:rFonts w:hint="eastAsia" w:ascii="宋体" w:hAnsi="宋体" w:cs="宋体"/>
          <w:color w:val="auto"/>
          <w:kern w:val="0"/>
          <w:szCs w:val="21"/>
        </w:rPr>
        <w:t xml:space="preserve">发布项目终止公告并说明原因，重新开展采购活动： </w:t>
      </w:r>
    </w:p>
    <w:p w14:paraId="23E13F8E">
      <w:pPr>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（1）因情况变化，不再符合规定的竞争性谈判采购方式适用情形的；</w:t>
      </w:r>
    </w:p>
    <w:p w14:paraId="50E81651">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（2）出现影响采购公正的违法、违规行为的；</w:t>
      </w:r>
    </w:p>
    <w:p w14:paraId="71EDDFCC">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（3）在采购过程中符合竞争要求的供应商或者报价未超过采购预算的供应商不足3家的，或者提交最后报价的供应商少于3家的；</w:t>
      </w:r>
    </w:p>
    <w:p w14:paraId="526AC761">
      <w:pPr>
        <w:adjustRightInd w:val="0"/>
        <w:snapToGrid w:val="0"/>
        <w:spacing w:before="156"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（4）</w:t>
      </w:r>
      <w:r>
        <w:rPr>
          <w:rFonts w:hint="eastAsia" w:ascii="宋体" w:hAnsi="宋体"/>
          <w:bCs/>
          <w:color w:val="auto"/>
          <w:szCs w:val="21"/>
        </w:rPr>
        <w:t>因重大变故，采购任务取消的。</w:t>
      </w:r>
    </w:p>
    <w:p w14:paraId="445827CB">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31.重新评审</w:t>
      </w:r>
    </w:p>
    <w:p w14:paraId="2CFCAC1E">
      <w:pPr>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31.1除资格性审查认定错误和价格计算错误外，采购人、采购代理机构不以任何理由组织重新评审。</w:t>
      </w:r>
    </w:p>
    <w:p w14:paraId="7116C03C">
      <w:pPr>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采购人、采购代理机构发现谈判小组未按照谈判文件规定的评定成交的标准进行评审的，应当重新开展采购活动，并同时书面报告本级财政部门。</w:t>
      </w:r>
    </w:p>
    <w:p w14:paraId="7DEF2E71">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32.保密及串通行为</w:t>
      </w:r>
    </w:p>
    <w:p w14:paraId="4C2E4C1A">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32.1谈判小组成员以及与评审工作有关的人员不得泄露评审情况以及评审过程中获悉的国家秘密、商业秘密。</w:t>
      </w:r>
    </w:p>
    <w:p w14:paraId="3ED528FA">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32.2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或者谈判小组成员行贿或者提供其他不正当利益；不得提供虚假材料谋取成交；不得以任何方式干扰、影响采购工作。</w:t>
      </w:r>
    </w:p>
    <w:p w14:paraId="244A44E8">
      <w:pPr>
        <w:pStyle w:val="38"/>
        <w:widowControl w:val="0"/>
        <w:adjustRightInd w:val="0"/>
        <w:snapToGrid w:val="0"/>
        <w:spacing w:before="156" w:beforeLines="50" w:beforeAutospacing="0" w:after="0" w:afterAutospacing="0" w:line="360" w:lineRule="auto"/>
        <w:ind w:firstLine="420" w:firstLineChars="200"/>
        <w:rPr>
          <w:color w:val="auto"/>
          <w:sz w:val="21"/>
          <w:szCs w:val="21"/>
          <w:lang w:val="zh-CN"/>
        </w:rPr>
      </w:pPr>
      <w:r>
        <w:rPr>
          <w:rFonts w:hint="eastAsia" w:cs="Arial"/>
          <w:color w:val="auto"/>
          <w:sz w:val="21"/>
          <w:szCs w:val="21"/>
        </w:rPr>
        <w:t>32.3</w:t>
      </w:r>
      <w:r>
        <w:rPr>
          <w:rFonts w:cs="Arial"/>
          <w:color w:val="auto"/>
          <w:sz w:val="21"/>
          <w:szCs w:val="21"/>
        </w:rPr>
        <w:t>有下列情形之一的，</w:t>
      </w:r>
      <w:r>
        <w:rPr>
          <w:color w:val="auto"/>
          <w:sz w:val="21"/>
          <w:szCs w:val="21"/>
          <w:lang w:val="zh-CN"/>
        </w:rPr>
        <w:t>属于恶意串通，</w:t>
      </w:r>
      <w:r>
        <w:rPr>
          <w:color w:val="auto"/>
          <w:sz w:val="21"/>
          <w:szCs w:val="21"/>
        </w:rPr>
        <w:t>成交无效，并</w:t>
      </w:r>
      <w:r>
        <w:rPr>
          <w:color w:val="auto"/>
          <w:sz w:val="21"/>
          <w:szCs w:val="21"/>
          <w:lang w:val="zh-CN"/>
        </w:rPr>
        <w:t>依照《政府采购法》第七十七条的规定追究法律责任：</w:t>
      </w:r>
    </w:p>
    <w:p w14:paraId="0B111FFA">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（1）供应商直接或者间接从</w:t>
      </w:r>
      <w:r>
        <w:rPr>
          <w:rFonts w:hint="eastAsia" w:ascii="宋体" w:hAnsi="宋体"/>
          <w:bCs/>
          <w:color w:val="auto"/>
          <w:szCs w:val="21"/>
        </w:rPr>
        <w:t>采购人、采购代理机构</w:t>
      </w:r>
      <w:r>
        <w:rPr>
          <w:rFonts w:hint="eastAsia" w:ascii="宋体" w:hAnsi="宋体"/>
          <w:color w:val="auto"/>
          <w:szCs w:val="21"/>
        </w:rPr>
        <w:t>获得其他供应商的响应情况，并修改其响应文件</w:t>
      </w:r>
      <w:r>
        <w:rPr>
          <w:rFonts w:hint="eastAsia" w:ascii="宋体" w:hAnsi="宋体"/>
          <w:color w:val="auto"/>
        </w:rPr>
        <w:t>的</w:t>
      </w:r>
      <w:r>
        <w:rPr>
          <w:rFonts w:hint="eastAsia" w:ascii="宋体" w:hAnsi="宋体"/>
          <w:color w:val="auto"/>
          <w:szCs w:val="21"/>
        </w:rPr>
        <w:t>；</w:t>
      </w:r>
    </w:p>
    <w:p w14:paraId="2BDDBFC2">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w:t>
      </w:r>
      <w:r>
        <w:rPr>
          <w:rFonts w:hint="eastAsia" w:ascii="宋体" w:hAnsi="宋体"/>
          <w:bCs/>
          <w:color w:val="auto"/>
          <w:szCs w:val="21"/>
        </w:rPr>
        <w:t>采购人、采购代理机构</w:t>
      </w:r>
      <w:r>
        <w:rPr>
          <w:rFonts w:hint="eastAsia" w:ascii="宋体" w:hAnsi="宋体"/>
          <w:color w:val="auto"/>
          <w:szCs w:val="21"/>
        </w:rPr>
        <w:t>授意供应商撤换、修改响应文件</w:t>
      </w:r>
      <w:r>
        <w:rPr>
          <w:rFonts w:hint="eastAsia" w:ascii="宋体" w:hAnsi="宋体"/>
          <w:color w:val="auto"/>
        </w:rPr>
        <w:t>的</w:t>
      </w:r>
      <w:r>
        <w:rPr>
          <w:rFonts w:hint="eastAsia" w:ascii="宋体" w:hAnsi="宋体"/>
          <w:color w:val="auto"/>
          <w:szCs w:val="21"/>
        </w:rPr>
        <w:t>；</w:t>
      </w:r>
    </w:p>
    <w:p w14:paraId="4970800F">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（3）供应商之间协商技术方案、合同条款以及报价等响应文件实质性内容</w:t>
      </w:r>
      <w:r>
        <w:rPr>
          <w:rFonts w:hint="eastAsia" w:ascii="宋体" w:hAnsi="宋体"/>
          <w:color w:val="auto"/>
        </w:rPr>
        <w:t>的</w:t>
      </w:r>
      <w:r>
        <w:rPr>
          <w:rFonts w:hint="eastAsia" w:ascii="宋体" w:hAnsi="宋体"/>
          <w:color w:val="auto"/>
          <w:szCs w:val="21"/>
        </w:rPr>
        <w:t>；</w:t>
      </w:r>
    </w:p>
    <w:p w14:paraId="66FF7EA5">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（4）属于同一集团、协会、商会等组织成员的供应商按照该组织要求协同参加竞争性谈判政府采购活动</w:t>
      </w:r>
      <w:r>
        <w:rPr>
          <w:rFonts w:hint="eastAsia" w:ascii="宋体" w:hAnsi="宋体"/>
          <w:color w:val="auto"/>
        </w:rPr>
        <w:t>的</w:t>
      </w:r>
      <w:r>
        <w:rPr>
          <w:rFonts w:hint="eastAsia" w:ascii="宋体" w:hAnsi="宋体"/>
          <w:color w:val="auto"/>
          <w:szCs w:val="21"/>
        </w:rPr>
        <w:t>；</w:t>
      </w:r>
    </w:p>
    <w:p w14:paraId="58683B1D">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（5）供应商之间事先约定由某一特定供应商成交</w:t>
      </w:r>
      <w:r>
        <w:rPr>
          <w:rFonts w:hint="eastAsia" w:ascii="宋体" w:hAnsi="宋体"/>
          <w:color w:val="auto"/>
        </w:rPr>
        <w:t>的</w:t>
      </w:r>
      <w:r>
        <w:rPr>
          <w:rFonts w:hint="eastAsia" w:ascii="宋体" w:hAnsi="宋体"/>
          <w:color w:val="auto"/>
          <w:szCs w:val="21"/>
        </w:rPr>
        <w:t>；</w:t>
      </w:r>
    </w:p>
    <w:p w14:paraId="0389192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（6）供应商之间商定部分供应商放弃</w:t>
      </w:r>
      <w:r>
        <w:rPr>
          <w:rFonts w:hint="eastAsia" w:ascii="宋体" w:hAnsi="宋体"/>
          <w:color w:val="auto"/>
        </w:rPr>
        <w:t>提</w:t>
      </w:r>
      <w:r>
        <w:rPr>
          <w:rFonts w:hint="eastAsia" w:ascii="宋体" w:hAnsi="宋体"/>
          <w:color w:val="auto"/>
          <w:szCs w:val="21"/>
        </w:rPr>
        <w:t>交响应文件或者退出谈判或者放弃成交</w:t>
      </w:r>
      <w:r>
        <w:rPr>
          <w:rFonts w:hint="eastAsia" w:ascii="宋体" w:hAnsi="宋体"/>
          <w:color w:val="auto"/>
        </w:rPr>
        <w:t>的</w:t>
      </w:r>
      <w:r>
        <w:rPr>
          <w:rFonts w:hint="eastAsia" w:ascii="宋体" w:hAnsi="宋体"/>
          <w:color w:val="auto"/>
          <w:szCs w:val="21"/>
        </w:rPr>
        <w:t>；</w:t>
      </w:r>
    </w:p>
    <w:p w14:paraId="020B6388">
      <w:pPr>
        <w:adjustRightInd w:val="0"/>
        <w:snapToGrid w:val="0"/>
        <w:spacing w:before="156" w:beforeLines="50" w:line="360" w:lineRule="auto"/>
        <w:ind w:firstLine="420" w:firstLineChars="200"/>
        <w:rPr>
          <w:rFonts w:ascii="宋体" w:hAnsi="宋体"/>
          <w:b/>
          <w:color w:val="auto"/>
          <w:szCs w:val="21"/>
        </w:rPr>
      </w:pPr>
      <w:r>
        <w:rPr>
          <w:rFonts w:hint="eastAsia" w:ascii="宋体" w:hAnsi="宋体"/>
          <w:color w:val="auto"/>
          <w:szCs w:val="21"/>
        </w:rPr>
        <w:t>（7）供应商与</w:t>
      </w:r>
      <w:r>
        <w:rPr>
          <w:rFonts w:hint="eastAsia" w:ascii="宋体" w:hAnsi="宋体"/>
          <w:bCs/>
          <w:color w:val="auto"/>
          <w:szCs w:val="21"/>
        </w:rPr>
        <w:t>采购人、采购代理机构以及</w:t>
      </w:r>
      <w:r>
        <w:rPr>
          <w:rFonts w:hint="eastAsia" w:ascii="宋体" w:hAnsi="宋体"/>
          <w:color w:val="auto"/>
          <w:szCs w:val="21"/>
        </w:rPr>
        <w:t>谈判小组成员之间、供应商相互之间，为谋求特定供应商成交或者排斥其他供应商的其他串通行为</w:t>
      </w:r>
      <w:r>
        <w:rPr>
          <w:rFonts w:hint="eastAsia" w:ascii="宋体" w:hAnsi="宋体"/>
          <w:color w:val="auto"/>
        </w:rPr>
        <w:t>的</w:t>
      </w:r>
      <w:r>
        <w:rPr>
          <w:rFonts w:hint="eastAsia" w:ascii="宋体" w:hAnsi="宋体"/>
          <w:color w:val="auto"/>
          <w:szCs w:val="21"/>
        </w:rPr>
        <w:t>。</w:t>
      </w:r>
    </w:p>
    <w:p w14:paraId="2D5E1C0D">
      <w:pPr>
        <w:adjustRightInd w:val="0"/>
        <w:snapToGrid w:val="0"/>
        <w:spacing w:before="156" w:beforeLines="50" w:line="360" w:lineRule="auto"/>
        <w:ind w:firstLine="420" w:firstLineChars="200"/>
        <w:rPr>
          <w:rFonts w:ascii="宋体" w:hAnsi="宋体"/>
          <w:color w:val="auto"/>
          <w:szCs w:val="21"/>
        </w:rPr>
      </w:pPr>
      <w:r>
        <w:rPr>
          <w:rFonts w:ascii="宋体" w:hAnsi="宋体" w:cs="Arial"/>
          <w:color w:val="auto"/>
          <w:szCs w:val="21"/>
        </w:rPr>
        <w:t>（</w:t>
      </w:r>
      <w:r>
        <w:rPr>
          <w:rFonts w:hint="eastAsia" w:ascii="宋体" w:hAnsi="宋体" w:cs="Arial"/>
          <w:color w:val="auto"/>
          <w:szCs w:val="21"/>
        </w:rPr>
        <w:t>8</w:t>
      </w:r>
      <w:r>
        <w:rPr>
          <w:rFonts w:ascii="宋体" w:hAnsi="宋体" w:cs="Arial"/>
          <w:color w:val="auto"/>
          <w:szCs w:val="21"/>
        </w:rPr>
        <w:t>）</w:t>
      </w:r>
      <w:r>
        <w:rPr>
          <w:rFonts w:ascii="宋体" w:hAnsi="宋体"/>
          <w:color w:val="auto"/>
          <w:szCs w:val="21"/>
        </w:rPr>
        <w:t>法律、行政法规或规章规定的其他串通行为。</w:t>
      </w:r>
    </w:p>
    <w:p w14:paraId="243788A2">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30" w:name="_Toc8941"/>
      <w:r>
        <w:rPr>
          <w:rFonts w:hint="eastAsia" w:ascii="黑体" w:hAnsi="黑体" w:eastAsia="黑体"/>
          <w:color w:val="auto"/>
          <w:sz w:val="28"/>
          <w:szCs w:val="28"/>
        </w:rPr>
        <w:t>六、成交结果信息公布与授予合同</w:t>
      </w:r>
      <w:bookmarkEnd w:id="30"/>
    </w:p>
    <w:p w14:paraId="65A7D290">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33.成交信息的公布</w:t>
      </w:r>
    </w:p>
    <w:p w14:paraId="15A0696D">
      <w:pPr>
        <w:pStyle w:val="22"/>
        <w:adjustRightInd w:val="0"/>
        <w:snapToGrid w:val="0"/>
        <w:spacing w:before="156" w:beforeLines="50" w:line="360" w:lineRule="auto"/>
        <w:ind w:firstLine="420" w:firstLineChars="200"/>
        <w:rPr>
          <w:rFonts w:hAnsi="宋体"/>
          <w:color w:val="auto"/>
        </w:rPr>
      </w:pPr>
      <w:r>
        <w:rPr>
          <w:rFonts w:hint="eastAsia" w:hAnsi="宋体"/>
          <w:color w:val="auto"/>
        </w:rPr>
        <w:t>33.1成交供应商确定后2个工作日内，采购人、采购代理机构应将成交结果信息在</w:t>
      </w:r>
      <w:r>
        <w:rPr>
          <w:rFonts w:hint="eastAsia" w:hAnsi="宋体"/>
          <w:b/>
          <w:color w:val="auto"/>
        </w:rPr>
        <w:t>【谈判须知前附表】</w:t>
      </w:r>
      <w:r>
        <w:rPr>
          <w:rFonts w:hint="eastAsia" w:hAnsi="宋体"/>
          <w:color w:val="auto"/>
        </w:rPr>
        <w:t>指定的媒体上公布。</w:t>
      </w:r>
    </w:p>
    <w:p w14:paraId="6671BBCF">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34.询问及质疑</w:t>
      </w:r>
    </w:p>
    <w:p w14:paraId="7A8431BD">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34.1供应商对政府采购活动事项有疑问的，可以向采购人、采购代理机构提出询问。</w:t>
      </w:r>
    </w:p>
    <w:p w14:paraId="21DB7EE7">
      <w:pPr>
        <w:adjustRightInd w:val="0"/>
        <w:snapToGrid w:val="0"/>
        <w:spacing w:before="156" w:beforeLines="50" w:line="360" w:lineRule="auto"/>
        <w:ind w:firstLine="420" w:firstLineChars="200"/>
        <w:jc w:val="left"/>
        <w:rPr>
          <w:rFonts w:hAnsi="宋体"/>
          <w:color w:val="auto"/>
        </w:rPr>
      </w:pPr>
      <w:r>
        <w:rPr>
          <w:rFonts w:hint="eastAsia" w:ascii="宋体" w:hAnsi="宋体"/>
          <w:color w:val="auto"/>
          <w:szCs w:val="21"/>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2F386ABA">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35.成交通知</w:t>
      </w:r>
    </w:p>
    <w:p w14:paraId="72111177">
      <w:pPr>
        <w:pStyle w:val="22"/>
        <w:adjustRightInd w:val="0"/>
        <w:snapToGrid w:val="0"/>
        <w:spacing w:before="156" w:beforeLines="50" w:line="360" w:lineRule="auto"/>
        <w:ind w:firstLine="420" w:firstLineChars="200"/>
        <w:rPr>
          <w:rFonts w:hAnsi="宋体"/>
          <w:color w:val="auto"/>
        </w:rPr>
      </w:pPr>
      <w:r>
        <w:rPr>
          <w:rFonts w:hint="eastAsia" w:hAnsi="宋体"/>
          <w:color w:val="auto"/>
        </w:rPr>
        <w:t>35.1成交供应商确定后，采购人、采购代理机构将以书面形式向成交供应商发出成交通知书。成交通知书对采购人和成交供应商具有同等法律效力。</w:t>
      </w:r>
    </w:p>
    <w:p w14:paraId="726005CE">
      <w:pPr>
        <w:pStyle w:val="22"/>
        <w:adjustRightInd w:val="0"/>
        <w:snapToGrid w:val="0"/>
        <w:spacing w:before="156" w:beforeLines="50" w:line="360" w:lineRule="auto"/>
        <w:ind w:firstLine="420" w:firstLineChars="200"/>
        <w:rPr>
          <w:rFonts w:hAnsi="宋体"/>
          <w:color w:val="auto"/>
        </w:rPr>
      </w:pPr>
      <w:r>
        <w:rPr>
          <w:rFonts w:hint="eastAsia" w:hAnsi="宋体"/>
          <w:color w:val="auto"/>
        </w:rPr>
        <w:t>35.2成交通知书是合同文件的组成部分。</w:t>
      </w:r>
    </w:p>
    <w:p w14:paraId="24E99664">
      <w:pPr>
        <w:tabs>
          <w:tab w:val="left" w:pos="7560"/>
          <w:tab w:val="left" w:pos="7740"/>
          <w:tab w:val="left" w:pos="7920"/>
        </w:tabs>
        <w:autoSpaceDN w:val="0"/>
        <w:adjustRightInd w:val="0"/>
        <w:snapToGrid w:val="0"/>
        <w:spacing w:before="156" w:beforeLines="50" w:line="360" w:lineRule="auto"/>
        <w:ind w:firstLine="420" w:firstLineChars="200"/>
        <w:rPr>
          <w:rFonts w:ascii="宋体" w:hAnsi="宋体"/>
          <w:color w:val="auto"/>
          <w:szCs w:val="21"/>
        </w:rPr>
      </w:pPr>
      <w:r>
        <w:rPr>
          <w:rFonts w:hint="eastAsia" w:ascii="宋体" w:hAnsi="宋体" w:cs="宋体"/>
          <w:color w:val="auto"/>
          <w:kern w:val="0"/>
          <w:szCs w:val="21"/>
        </w:rPr>
        <w:t>35.3</w:t>
      </w:r>
      <w:r>
        <w:rPr>
          <w:rFonts w:hint="eastAsia" w:ascii="宋体" w:hAnsi="宋体"/>
          <w:color w:val="auto"/>
          <w:szCs w:val="21"/>
        </w:rPr>
        <w:t>谈判文件要求成交供应商向采购人提交履约担保的，成交供应商应按照</w:t>
      </w:r>
      <w:r>
        <w:rPr>
          <w:rFonts w:hint="eastAsia" w:ascii="宋体" w:hAnsi="宋体"/>
          <w:b/>
          <w:color w:val="auto"/>
          <w:szCs w:val="21"/>
        </w:rPr>
        <w:t>【谈判须知前附表】</w:t>
      </w:r>
      <w:r>
        <w:rPr>
          <w:rFonts w:hint="eastAsia" w:ascii="宋体" w:hAnsi="宋体"/>
          <w:color w:val="auto"/>
          <w:szCs w:val="21"/>
        </w:rPr>
        <w:t>的规定提交。联合体成交的，履约担保由联合体各方或联合体中牵头人的名义提交。</w:t>
      </w:r>
    </w:p>
    <w:p w14:paraId="6AC5B000">
      <w:pPr>
        <w:pStyle w:val="22"/>
        <w:adjustRightInd w:val="0"/>
        <w:snapToGrid w:val="0"/>
        <w:spacing w:before="156" w:beforeLines="50" w:line="360" w:lineRule="auto"/>
        <w:ind w:firstLine="420" w:firstLineChars="200"/>
        <w:rPr>
          <w:rFonts w:hAnsi="宋体"/>
          <w:color w:val="auto"/>
        </w:rPr>
      </w:pPr>
      <w:r>
        <w:rPr>
          <w:rFonts w:hint="eastAsia" w:hAnsi="宋体"/>
          <w:color w:val="auto"/>
        </w:rPr>
        <w:t>35.4成交供应商</w:t>
      </w:r>
      <w:r>
        <w:rPr>
          <w:rFonts w:hint="eastAsia" w:hAnsi="宋体"/>
          <w:color w:val="auto"/>
          <w:spacing w:val="4"/>
        </w:rPr>
        <w:t>没有按照本章第35.3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228C5A0E">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36.签订合同</w:t>
      </w:r>
    </w:p>
    <w:p w14:paraId="0FD283DC">
      <w:pPr>
        <w:pStyle w:val="22"/>
        <w:adjustRightInd w:val="0"/>
        <w:snapToGrid w:val="0"/>
        <w:spacing w:before="156" w:beforeLines="50" w:line="360" w:lineRule="auto"/>
        <w:ind w:firstLine="420" w:firstLineChars="200"/>
        <w:rPr>
          <w:rFonts w:hAnsi="宋体"/>
          <w:color w:val="auto"/>
        </w:rPr>
      </w:pPr>
      <w:r>
        <w:rPr>
          <w:rFonts w:hint="eastAsia" w:hAnsi="宋体"/>
          <w:color w:val="auto"/>
        </w:rPr>
        <w:t>36.1谈判文件、成交供应商的响应文件及其补充的响应文件等均为签订政府采购合同的依据。</w:t>
      </w:r>
    </w:p>
    <w:p w14:paraId="75AAB85B">
      <w:pPr>
        <w:pStyle w:val="22"/>
        <w:adjustRightInd w:val="0"/>
        <w:snapToGrid w:val="0"/>
        <w:spacing w:before="156" w:beforeLines="50" w:line="360" w:lineRule="auto"/>
        <w:ind w:firstLine="420" w:firstLineChars="200"/>
        <w:rPr>
          <w:rFonts w:hAnsi="宋体"/>
          <w:color w:val="auto"/>
        </w:rPr>
      </w:pPr>
      <w:r>
        <w:rPr>
          <w:rFonts w:hint="eastAsia" w:hAnsi="宋体"/>
          <w:color w:val="auto"/>
        </w:rPr>
        <w:t>36.2成交供应商应当在成交通知书发出之日起30日内与采购人签订政府采购合同。</w:t>
      </w:r>
    </w:p>
    <w:p w14:paraId="7EC78EA0">
      <w:pPr>
        <w:pStyle w:val="22"/>
        <w:adjustRightInd w:val="0"/>
        <w:snapToGrid w:val="0"/>
        <w:spacing w:before="156" w:beforeLines="50" w:line="360" w:lineRule="auto"/>
        <w:ind w:firstLine="420" w:firstLineChars="200"/>
        <w:rPr>
          <w:rFonts w:hAnsi="宋体"/>
          <w:color w:val="auto"/>
        </w:rPr>
      </w:pPr>
      <w:r>
        <w:rPr>
          <w:rFonts w:hint="eastAsia" w:hAnsi="宋体"/>
          <w:color w:val="auto"/>
        </w:rPr>
        <w:t>36.3成交供应商应当按照合同约定履行义务。成交供应商不得向他人转让成交项目，也不得将成交项目分包后分别向他人转让。</w:t>
      </w:r>
    </w:p>
    <w:p w14:paraId="5DECD2CC">
      <w:pPr>
        <w:pStyle w:val="22"/>
        <w:adjustRightInd w:val="0"/>
        <w:snapToGrid w:val="0"/>
        <w:spacing w:before="156" w:beforeLines="50" w:line="360" w:lineRule="auto"/>
        <w:ind w:firstLine="420" w:firstLineChars="200"/>
        <w:rPr>
          <w:rFonts w:hAnsi="宋体"/>
          <w:color w:val="auto"/>
        </w:rPr>
      </w:pPr>
      <w:r>
        <w:rPr>
          <w:rFonts w:hint="eastAsia" w:hAnsi="宋体"/>
          <w:color w:val="auto"/>
        </w:rPr>
        <w:t>36.4成交供应商有下列情形之一的，责令限期改正，情节严重的，列入不良行为记录名单，在1至3年内禁止参加政府采购活动，并予以通报：</w:t>
      </w:r>
    </w:p>
    <w:p w14:paraId="52F80E18">
      <w:pPr>
        <w:pStyle w:val="22"/>
        <w:adjustRightInd w:val="0"/>
        <w:snapToGrid w:val="0"/>
        <w:spacing w:before="156" w:beforeLines="50" w:line="360" w:lineRule="auto"/>
        <w:ind w:firstLine="420" w:firstLineChars="200"/>
        <w:rPr>
          <w:rFonts w:hAnsi="宋体"/>
          <w:color w:val="auto"/>
        </w:rPr>
      </w:pPr>
      <w:r>
        <w:rPr>
          <w:rFonts w:hint="eastAsia" w:hAnsi="宋体"/>
          <w:color w:val="auto"/>
        </w:rPr>
        <w:t>（一）成交后无正当理由不与采购人签订合同的；</w:t>
      </w:r>
    </w:p>
    <w:p w14:paraId="40452C1B">
      <w:pPr>
        <w:pStyle w:val="22"/>
        <w:adjustRightInd w:val="0"/>
        <w:snapToGrid w:val="0"/>
        <w:spacing w:before="156" w:beforeLines="50" w:line="360" w:lineRule="auto"/>
        <w:ind w:firstLine="420" w:firstLineChars="200"/>
        <w:rPr>
          <w:rFonts w:hAnsi="宋体"/>
          <w:color w:val="auto"/>
        </w:rPr>
      </w:pPr>
      <w:r>
        <w:rPr>
          <w:rFonts w:hint="eastAsia" w:hAnsi="宋体"/>
          <w:color w:val="auto"/>
        </w:rPr>
        <w:t>（二）未按照采购文件确定的事项签订政府采购合同，或者与采购人另行订立背离合同实质性内容的协议的；</w:t>
      </w:r>
    </w:p>
    <w:p w14:paraId="43C031CB">
      <w:pPr>
        <w:pStyle w:val="22"/>
        <w:adjustRightInd w:val="0"/>
        <w:snapToGrid w:val="0"/>
        <w:spacing w:before="156" w:beforeLines="50" w:line="360" w:lineRule="auto"/>
        <w:ind w:firstLine="420" w:firstLineChars="200"/>
        <w:rPr>
          <w:rFonts w:hAnsi="宋体"/>
          <w:color w:val="auto"/>
        </w:rPr>
      </w:pPr>
      <w:r>
        <w:rPr>
          <w:rFonts w:hint="eastAsia" w:hAnsi="宋体"/>
          <w:color w:val="auto"/>
        </w:rPr>
        <w:t>（三）拒绝履行合同义务的；</w:t>
      </w:r>
    </w:p>
    <w:p w14:paraId="628EFF04">
      <w:pPr>
        <w:pStyle w:val="22"/>
        <w:adjustRightInd w:val="0"/>
        <w:snapToGrid w:val="0"/>
        <w:spacing w:before="156" w:beforeLines="50" w:line="360" w:lineRule="auto"/>
        <w:ind w:firstLine="420" w:firstLineChars="200"/>
        <w:rPr>
          <w:rFonts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40B3E7CA">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31" w:name="_Toc20430"/>
      <w:bookmarkStart w:id="32" w:name="_Toc22201076"/>
      <w:r>
        <w:rPr>
          <w:rFonts w:hint="eastAsia" w:ascii="黑体" w:hAnsi="黑体" w:eastAsia="黑体"/>
          <w:color w:val="auto"/>
          <w:sz w:val="28"/>
          <w:szCs w:val="28"/>
        </w:rPr>
        <w:t>七、政府采购政策</w:t>
      </w:r>
      <w:bookmarkEnd w:id="31"/>
      <w:bookmarkEnd w:id="32"/>
    </w:p>
    <w:p w14:paraId="514A8FD2">
      <w:pPr>
        <w:pStyle w:val="5"/>
        <w:adjustRightInd w:val="0"/>
        <w:snapToGrid w:val="0"/>
        <w:spacing w:before="50" w:after="0"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37.政府采购政策</w:t>
      </w:r>
    </w:p>
    <w:p w14:paraId="243592FA">
      <w:pPr>
        <w:adjustRightInd w:val="0"/>
        <w:snapToGrid w:val="0"/>
        <w:spacing w:before="156" w:beforeLines="50" w:line="360" w:lineRule="auto"/>
        <w:ind w:firstLine="420" w:firstLineChars="200"/>
        <w:jc w:val="left"/>
        <w:rPr>
          <w:rFonts w:cs="宋体" w:asciiTheme="minorEastAsia" w:hAnsiTheme="minorEastAsia" w:eastAsiaTheme="minorEastAsia"/>
          <w:color w:val="auto"/>
          <w:kern w:val="0"/>
        </w:rPr>
      </w:pPr>
      <w:r>
        <w:rPr>
          <w:rFonts w:hint="eastAsia" w:cs="宋体" w:asciiTheme="minorEastAsia" w:hAnsiTheme="minorEastAsia" w:eastAsiaTheme="minorEastAsia"/>
          <w:color w:val="auto"/>
          <w:kern w:val="0"/>
        </w:rPr>
        <w:t>37.1强制采购：</w:t>
      </w:r>
    </w:p>
    <w:p w14:paraId="378016DB">
      <w:pPr>
        <w:adjustRightInd w:val="0"/>
        <w:snapToGrid w:val="0"/>
        <w:spacing w:before="156" w:beforeLines="50" w:line="360" w:lineRule="auto"/>
        <w:ind w:firstLine="420" w:firstLineChars="200"/>
        <w:jc w:val="left"/>
        <w:rPr>
          <w:rFonts w:cs="宋体" w:asciiTheme="minorEastAsia" w:hAnsiTheme="minorEastAsia" w:eastAsiaTheme="minorEastAsia"/>
          <w:color w:val="auto"/>
          <w:kern w:val="0"/>
        </w:rPr>
      </w:pPr>
      <w:r>
        <w:rPr>
          <w:rFonts w:hint="eastAsia" w:cs="宋体" w:asciiTheme="minorEastAsia" w:hAnsiTheme="minorEastAsia" w:eastAsiaTheme="minorEastAsia"/>
          <w:color w:val="auto"/>
          <w:kern w:val="0"/>
        </w:rPr>
        <w:t>（1）纳入财政部会同国务院有关部门发布的节能产品政府采购品目清单，实施政府强制采购的（品目清单标注</w:t>
      </w:r>
      <w:r>
        <w:rPr>
          <w:rFonts w:hint="eastAsia" w:cs="宋体" w:asciiTheme="minorEastAsia" w:hAnsiTheme="minorEastAsia" w:eastAsiaTheme="minorEastAsia"/>
          <w:color w:val="auto"/>
          <w:kern w:val="0"/>
        </w:rPr>
        <w:sym w:font="Wingdings" w:char="F0AB"/>
      </w:r>
      <w:r>
        <w:rPr>
          <w:rFonts w:hint="eastAsia" w:cs="宋体" w:asciiTheme="minorEastAsia" w:hAnsiTheme="minorEastAsia" w:eastAsiaTheme="minorEastAsia"/>
          <w:color w:val="auto"/>
          <w:kern w:val="0"/>
        </w:rPr>
        <w:t>符号产品），供应商提供的产品应当取得国家确定的认证机构出具的、处于有效期之内的节能产品认证证书，否则其</w:t>
      </w:r>
      <w:r>
        <w:rPr>
          <w:rFonts w:hint="eastAsia" w:cs="宋体" w:asciiTheme="minorEastAsia" w:hAnsiTheme="minorEastAsia" w:eastAsiaTheme="minorEastAsia"/>
          <w:b/>
          <w:color w:val="auto"/>
          <w:kern w:val="0"/>
        </w:rPr>
        <w:t>响应</w:t>
      </w:r>
      <w:r>
        <w:rPr>
          <w:rFonts w:hint="eastAsia" w:cs="宋体" w:asciiTheme="minorEastAsia" w:hAnsiTheme="minorEastAsia" w:eastAsiaTheme="minorEastAsia"/>
          <w:b/>
          <w:color w:val="auto"/>
          <w:kern w:val="0"/>
          <w:szCs w:val="21"/>
        </w:rPr>
        <w:t>无效</w:t>
      </w:r>
      <w:r>
        <w:rPr>
          <w:rFonts w:hint="eastAsia" w:cs="宋体" w:asciiTheme="minorEastAsia" w:hAnsiTheme="minorEastAsia" w:eastAsiaTheme="minorEastAsia"/>
          <w:color w:val="auto"/>
          <w:kern w:val="0"/>
        </w:rPr>
        <w:t>。</w:t>
      </w:r>
    </w:p>
    <w:p w14:paraId="3659793B">
      <w:pPr>
        <w:adjustRightInd w:val="0"/>
        <w:snapToGrid w:val="0"/>
        <w:spacing w:before="156" w:beforeLines="50" w:line="360" w:lineRule="auto"/>
        <w:ind w:firstLine="420" w:firstLineChars="200"/>
        <w:jc w:val="left"/>
        <w:rPr>
          <w:rFonts w:cs="宋体" w:asciiTheme="minorEastAsia" w:hAnsiTheme="minorEastAsia" w:eastAsiaTheme="minorEastAsia"/>
          <w:color w:val="auto"/>
          <w:kern w:val="0"/>
        </w:rPr>
      </w:pPr>
      <w:r>
        <w:rPr>
          <w:rFonts w:hint="eastAsia" w:cs="宋体" w:asciiTheme="minorEastAsia" w:hAnsiTheme="minorEastAsia" w:eastAsiaTheme="minorEastAsia"/>
          <w:color w:val="auto"/>
          <w:kern w:val="0"/>
        </w:rPr>
        <w:t>37.2优先采购：</w:t>
      </w:r>
    </w:p>
    <w:p w14:paraId="1B4F53EA">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（1）</w:t>
      </w:r>
      <w:r>
        <w:rPr>
          <w:rFonts w:hint="eastAsia" w:ascii="宋体" w:hAnsi="宋体"/>
          <w:color w:val="auto"/>
        </w:rPr>
        <w:t>对</w:t>
      </w:r>
      <w:r>
        <w:rPr>
          <w:rFonts w:hint="eastAsia" w:ascii="宋体" w:hAnsi="宋体"/>
          <w:color w:val="auto"/>
          <w:szCs w:val="21"/>
        </w:rPr>
        <w:t>纳入财政部会同国务院有关部门发布的节能产品、环境标志产品政府采购品目清单，实施政府优先采购的，评审时按</w:t>
      </w:r>
      <w:r>
        <w:rPr>
          <w:rFonts w:hint="eastAsia" w:ascii="宋体" w:hAnsi="宋体"/>
          <w:b/>
          <w:color w:val="auto"/>
          <w:szCs w:val="21"/>
        </w:rPr>
        <w:t>【谈判须知前附表】</w:t>
      </w:r>
      <w:r>
        <w:rPr>
          <w:rFonts w:hint="eastAsia" w:ascii="宋体" w:hAnsi="宋体"/>
          <w:color w:val="auto"/>
          <w:szCs w:val="21"/>
        </w:rPr>
        <w:t>规定给予价格折扣；</w:t>
      </w:r>
      <w:r>
        <w:rPr>
          <w:rFonts w:asciiTheme="minorEastAsia" w:hAnsiTheme="minorEastAsia" w:eastAsiaTheme="minorEastAsia"/>
          <w:color w:val="auto"/>
        </w:rPr>
        <w:t xml:space="preserve"> </w:t>
      </w:r>
    </w:p>
    <w:p w14:paraId="711B341C">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37.3价格评审优惠：</w:t>
      </w:r>
    </w:p>
    <w:p w14:paraId="0A1DE010">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（1）</w:t>
      </w:r>
      <w:r>
        <w:rPr>
          <w:rFonts w:hint="eastAsia" w:ascii="宋体" w:hAnsi="宋体"/>
          <w:color w:val="auto"/>
        </w:rPr>
        <w:t>供应商为小型、微型企业，且提供本企业生产的货物或者提供其他小型、微型企业生产的货物，价格按</w:t>
      </w:r>
      <w:r>
        <w:rPr>
          <w:rFonts w:hint="eastAsia" w:ascii="宋体" w:hAnsi="宋体"/>
          <w:b/>
          <w:color w:val="auto"/>
          <w:szCs w:val="21"/>
        </w:rPr>
        <w:t>【谈判须知前附表】</w:t>
      </w:r>
      <w:r>
        <w:rPr>
          <w:rFonts w:hint="eastAsia" w:ascii="宋体" w:hAnsi="宋体"/>
          <w:color w:val="auto"/>
          <w:szCs w:val="21"/>
        </w:rPr>
        <w:t>规定</w:t>
      </w:r>
      <w:r>
        <w:rPr>
          <w:rFonts w:hint="eastAsia" w:ascii="宋体" w:hAnsi="宋体"/>
          <w:color w:val="auto"/>
        </w:rPr>
        <w:t>给予价格折扣，用扣除后的价格参与评审。本项所称货物不包括使用大型企业注册商标的货物；</w:t>
      </w:r>
    </w:p>
    <w:p w14:paraId="4F80A148">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（2）</w:t>
      </w:r>
      <w:r>
        <w:rPr>
          <w:rFonts w:hint="eastAsia" w:ascii="宋体" w:hAnsi="宋体"/>
          <w:color w:val="auto"/>
        </w:rPr>
        <w:t>小型、微型企业参加联合体并在联合体协议中明确其在合同金额占联合体合同总金额 30%以上的，该联合体价格按</w:t>
      </w:r>
      <w:r>
        <w:rPr>
          <w:rFonts w:hint="eastAsia" w:ascii="宋体" w:hAnsi="宋体"/>
          <w:b/>
          <w:color w:val="auto"/>
          <w:szCs w:val="21"/>
        </w:rPr>
        <w:t>【谈判须知前附表】</w:t>
      </w:r>
      <w:r>
        <w:rPr>
          <w:rFonts w:hint="eastAsia" w:ascii="宋体" w:hAnsi="宋体"/>
          <w:color w:val="auto"/>
          <w:szCs w:val="21"/>
        </w:rPr>
        <w:t>规定</w:t>
      </w:r>
      <w:r>
        <w:rPr>
          <w:rFonts w:hint="eastAsia" w:ascii="宋体" w:hAnsi="宋体"/>
          <w:color w:val="auto"/>
        </w:rPr>
        <w:t>给予价格折扣，用扣除后的价格参与评审。联合体各方均为小型、微型企业的，联合体视同为小型、微型企业；</w:t>
      </w:r>
      <w:r>
        <w:rPr>
          <w:rFonts w:asciiTheme="minorEastAsia" w:hAnsiTheme="minorEastAsia" w:eastAsiaTheme="minorEastAsia"/>
          <w:color w:val="auto"/>
        </w:rPr>
        <w:t xml:space="preserve"> </w:t>
      </w:r>
    </w:p>
    <w:p w14:paraId="24D91118">
      <w:pPr>
        <w:adjustRightInd w:val="0"/>
        <w:snapToGrid w:val="0"/>
        <w:spacing w:before="156" w:beforeLines="50" w:line="360" w:lineRule="auto"/>
        <w:ind w:firstLine="420" w:firstLineChars="200"/>
        <w:jc w:val="left"/>
        <w:rPr>
          <w:rFonts w:ascii="宋体" w:hAnsi="宋体"/>
          <w:color w:val="auto"/>
          <w:szCs w:val="21"/>
        </w:rPr>
      </w:pPr>
      <w:r>
        <w:rPr>
          <w:rFonts w:hint="eastAsia" w:asciiTheme="minorEastAsia" w:hAnsiTheme="minorEastAsia" w:eastAsiaTheme="minorEastAsia"/>
          <w:color w:val="auto"/>
        </w:rPr>
        <w:t>（3）</w:t>
      </w:r>
      <w:r>
        <w:rPr>
          <w:rFonts w:hint="eastAsia" w:ascii="宋体" w:hAnsi="宋体"/>
          <w:color w:val="auto"/>
        </w:rPr>
        <w:t>监狱企业、残</w:t>
      </w:r>
      <w:r>
        <w:rPr>
          <w:rFonts w:hint="eastAsia" w:ascii="宋体" w:hAnsi="宋体"/>
          <w:color w:val="auto"/>
          <w:szCs w:val="21"/>
        </w:rPr>
        <w:t>疾人福利性单位视同小型、微型企业，享受评审中价格扣除等促进中小企业发展的政府采购政策。</w:t>
      </w:r>
      <w:r>
        <w:rPr>
          <w:rFonts w:ascii="宋体" w:hAnsi="宋体"/>
          <w:color w:val="auto"/>
          <w:szCs w:val="21"/>
        </w:rPr>
        <w:t xml:space="preserve"> </w:t>
      </w:r>
    </w:p>
    <w:p w14:paraId="2A03A5BC">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37.4政府采购政策交叉与叠加</w:t>
      </w:r>
    </w:p>
    <w:p w14:paraId="5D8EA133">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（1）</w:t>
      </w:r>
      <w:r>
        <w:rPr>
          <w:rFonts w:hint="eastAsia" w:ascii="宋体" w:hAnsi="宋体"/>
          <w:color w:val="auto"/>
        </w:rPr>
        <w:t>供应商提供的产品取得两个及以上优先采购产品认证的，评审时只有其中一项产品能够享受优先采购优惠（供应商自行选择，并在响应文件中并填报相关信息及数据）</w:t>
      </w:r>
    </w:p>
    <w:p w14:paraId="4D8A7F65">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（2）</w:t>
      </w:r>
      <w:r>
        <w:rPr>
          <w:rFonts w:hint="eastAsia" w:ascii="宋体" w:hAnsi="宋体"/>
          <w:color w:val="auto"/>
        </w:rPr>
        <w:t>供应商同时符合小型、微型企业及监狱企业、残疾人福利性单位要求的，评审时只有一种类型享受价格评审优惠政策；</w:t>
      </w:r>
    </w:p>
    <w:p w14:paraId="13053698">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37.5</w:t>
      </w:r>
      <w:r>
        <w:rPr>
          <w:rFonts w:hint="eastAsia" w:ascii="宋体" w:hAnsi="宋体"/>
          <w:color w:val="auto"/>
        </w:rPr>
        <w:t>小型、微型企业的供应商提供部分小型、微型企业制造的产品，以及部分产品属于优先采购的，评审时只对该部分产品的报价实行价格扣除。</w:t>
      </w:r>
    </w:p>
    <w:p w14:paraId="1CA877B3">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37.6响应文件符合本章第37.1款、第37.2款、第37.3款规定的，供应商应提供相关证明资料。</w:t>
      </w:r>
    </w:p>
    <w:p w14:paraId="17B466FF">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（1）</w:t>
      </w:r>
      <w:r>
        <w:rPr>
          <w:rFonts w:hint="eastAsia" w:ascii="宋体" w:hAnsi="宋体"/>
          <w:color w:val="auto"/>
        </w:rPr>
        <w:t>节能产品、环境标志产品：提供国家确定的认证机构出具的、处于有效期之内的节能产品、环境标志产品认证证书（复印件）。</w:t>
      </w:r>
    </w:p>
    <w:p w14:paraId="2440AFDF">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2</w:t>
      </w:r>
      <w:r>
        <w:rPr>
          <w:rFonts w:hint="eastAsia" w:asciiTheme="minorEastAsia" w:hAnsiTheme="minorEastAsia" w:eastAsiaTheme="minorEastAsia"/>
          <w:color w:val="auto"/>
        </w:rPr>
        <w:t>）</w:t>
      </w:r>
      <w:r>
        <w:rPr>
          <w:rFonts w:hint="eastAsia" w:ascii="宋体" w:hAnsi="宋体"/>
          <w:color w:val="auto"/>
        </w:rPr>
        <w:t>中小企业：按《关于印发＜政府采购促进中小企业发展暂行办法＞的通知》(财库[2011]181号)规定，提供《小型、微型企业声明函》（格式）。</w:t>
      </w:r>
    </w:p>
    <w:p w14:paraId="2B52E40D">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3</w:t>
      </w:r>
      <w:r>
        <w:rPr>
          <w:rFonts w:hint="eastAsia" w:asciiTheme="minorEastAsia" w:hAnsiTheme="minorEastAsia" w:eastAsiaTheme="minorEastAsia"/>
          <w:color w:val="auto"/>
        </w:rPr>
        <w:t>）监狱企业：按《关于政府采购支持监狱企业发展有关问题的通知》(财库〔2014〕68号)文件规定提供证明文件（复印件）。</w:t>
      </w:r>
    </w:p>
    <w:p w14:paraId="37A15AFA">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w:t>
      </w:r>
      <w:r>
        <w:rPr>
          <w:rFonts w:hint="eastAsia" w:asciiTheme="minorEastAsia" w:hAnsiTheme="minorEastAsia" w:eastAsiaTheme="minorEastAsia"/>
          <w:color w:val="auto"/>
          <w:lang w:val="en-US" w:eastAsia="zh-CN"/>
        </w:rPr>
        <w:t>4</w:t>
      </w:r>
      <w:r>
        <w:rPr>
          <w:rFonts w:hint="eastAsia" w:asciiTheme="minorEastAsia" w:hAnsiTheme="minorEastAsia" w:eastAsiaTheme="minorEastAsia"/>
          <w:color w:val="auto"/>
        </w:rPr>
        <w:t>）残疾人福利性单位：按《关于促进残疾人就业政府采购政策的通知》(财库〔2017〕141号)文件规定提供《残疾人福利性单位声明函》（格式）。</w:t>
      </w:r>
    </w:p>
    <w:p w14:paraId="1C6C46DB">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b/>
          <w:color w:val="auto"/>
        </w:rPr>
        <w:t>【谈判须知前附表】</w:t>
      </w:r>
      <w:r>
        <w:rPr>
          <w:rFonts w:hint="eastAsia" w:asciiTheme="minorEastAsia" w:hAnsiTheme="minorEastAsia" w:eastAsiaTheme="minorEastAsia"/>
          <w:color w:val="auto"/>
        </w:rPr>
        <w:t>另有规定外，采购项目拒绝进口产品参加谈判。本款规定同意购买进口产品的，不限制满足谈判文件要求的国内产品参与谈判竞争。</w:t>
      </w:r>
    </w:p>
    <w:p w14:paraId="369B06B3">
      <w:pPr>
        <w:adjustRightInd w:val="0"/>
        <w:snapToGrid w:val="0"/>
        <w:spacing w:before="156" w:beforeLines="50" w:line="360" w:lineRule="auto"/>
        <w:ind w:firstLine="420" w:firstLineChars="200"/>
        <w:jc w:val="left"/>
        <w:rPr>
          <w:rFonts w:asciiTheme="minorEastAsia" w:hAnsiTheme="minorEastAsia" w:eastAsiaTheme="minorEastAsia"/>
          <w:color w:val="auto"/>
        </w:rPr>
      </w:pPr>
      <w:r>
        <w:rPr>
          <w:rFonts w:hint="eastAsia" w:asciiTheme="minorEastAsia" w:hAnsiTheme="minorEastAsia" w:eastAsiaTheme="minorEastAsia"/>
          <w:color w:val="auto"/>
        </w:rPr>
        <w:t>37.8供应商有融资、担保需求的，可登陆中国湖南政府采购网查询相关银行、担保机构业务。</w:t>
      </w:r>
    </w:p>
    <w:p w14:paraId="4F957E6D">
      <w:pPr>
        <w:pStyle w:val="4"/>
        <w:keepNext w:val="0"/>
        <w:keepLines w:val="0"/>
        <w:adjustRightInd w:val="0"/>
        <w:snapToGrid w:val="0"/>
        <w:spacing w:before="156" w:beforeLines="50" w:after="0" w:line="360" w:lineRule="auto"/>
        <w:jc w:val="center"/>
        <w:rPr>
          <w:rFonts w:ascii="黑体" w:hAnsi="黑体" w:eastAsia="黑体"/>
          <w:color w:val="auto"/>
          <w:sz w:val="28"/>
          <w:szCs w:val="28"/>
        </w:rPr>
      </w:pPr>
      <w:bookmarkStart w:id="33" w:name="_Toc19903"/>
      <w:r>
        <w:rPr>
          <w:rFonts w:hint="eastAsia" w:ascii="黑体" w:hAnsi="黑体" w:eastAsia="黑体"/>
          <w:color w:val="auto"/>
          <w:sz w:val="28"/>
          <w:szCs w:val="28"/>
        </w:rPr>
        <w:t>八、其他规定</w:t>
      </w:r>
      <w:bookmarkEnd w:id="33"/>
    </w:p>
    <w:p w14:paraId="335E0DA9">
      <w:pPr>
        <w:pStyle w:val="5"/>
        <w:keepNext w:val="0"/>
        <w:keepLines w:val="0"/>
        <w:adjustRightInd w:val="0"/>
        <w:snapToGrid w:val="0"/>
        <w:spacing w:before="50" w:after="0" w:line="360" w:lineRule="auto"/>
        <w:rPr>
          <w:rFonts w:ascii="宋体" w:hAnsi="宋体" w:eastAsia="宋体"/>
          <w:color w:val="auto"/>
          <w:sz w:val="24"/>
          <w:szCs w:val="24"/>
        </w:rPr>
      </w:pPr>
      <w:r>
        <w:rPr>
          <w:rFonts w:hint="eastAsia" w:ascii="宋体" w:hAnsi="宋体" w:eastAsia="宋体"/>
          <w:color w:val="auto"/>
          <w:sz w:val="24"/>
          <w:szCs w:val="24"/>
        </w:rPr>
        <w:t>38.代理服务费</w:t>
      </w:r>
    </w:p>
    <w:p w14:paraId="569D1220">
      <w:pPr>
        <w:keepNext w:val="0"/>
        <w:keepLines w:val="0"/>
        <w:pageBreakBefore w:val="0"/>
        <w:widowControl w:val="0"/>
        <w:tabs>
          <w:tab w:val="left" w:pos="420"/>
          <w:tab w:val="left" w:pos="7560"/>
          <w:tab w:val="left" w:pos="7740"/>
          <w:tab w:val="left" w:pos="7920"/>
        </w:tabs>
        <w:kinsoku/>
        <w:wordWrap/>
        <w:overflowPunct/>
        <w:topLinePunct w:val="0"/>
        <w:autoSpaceDE/>
        <w:autoSpaceDN/>
        <w:bidi w:val="0"/>
        <w:adjustRightInd w:val="0"/>
        <w:snapToGrid w:val="0"/>
        <w:spacing w:before="63" w:beforeLines="20" w:line="360" w:lineRule="auto"/>
        <w:ind w:firstLine="420" w:firstLineChars="200"/>
        <w:textAlignment w:val="auto"/>
        <w:rPr>
          <w:rFonts w:ascii="宋体" w:hAnsi="宋体"/>
          <w:color w:val="auto"/>
          <w:szCs w:val="21"/>
        </w:rPr>
      </w:pPr>
      <w:r>
        <w:rPr>
          <w:rFonts w:hint="eastAsia" w:ascii="宋体" w:hAnsi="宋体"/>
          <w:color w:val="auto"/>
          <w:szCs w:val="21"/>
        </w:rPr>
        <w:t>38.1采购代理服务费由成交供应商支付的，供应商应按</w:t>
      </w:r>
      <w:r>
        <w:rPr>
          <w:rFonts w:hint="eastAsia" w:ascii="宋体" w:hAnsi="宋体"/>
          <w:b/>
          <w:color w:val="auto"/>
          <w:szCs w:val="21"/>
        </w:rPr>
        <w:t>【谈判须知前附表】</w:t>
      </w:r>
      <w:r>
        <w:rPr>
          <w:rFonts w:hint="eastAsia" w:ascii="宋体" w:hAnsi="宋体"/>
          <w:color w:val="auto"/>
          <w:szCs w:val="21"/>
        </w:rPr>
        <w:t>规定向采购代理机构交纳代理服务费，并在谈判文件中提供代理服务费承诺书。</w:t>
      </w:r>
    </w:p>
    <w:p w14:paraId="473D3339">
      <w:pPr>
        <w:pStyle w:val="5"/>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39.其他规定</w:t>
      </w:r>
    </w:p>
    <w:p w14:paraId="6F2A8245">
      <w:pPr>
        <w:adjustRightInd w:val="0"/>
        <w:snapToGrid w:val="0"/>
        <w:spacing w:before="156" w:beforeLines="50" w:line="240" w:lineRule="auto"/>
        <w:ind w:firstLine="420" w:firstLineChars="200"/>
        <w:jc w:val="left"/>
        <w:rPr>
          <w:rFonts w:ascii="宋体" w:hAnsi="宋体"/>
          <w:color w:val="auto"/>
          <w:szCs w:val="21"/>
        </w:rPr>
      </w:pPr>
      <w:r>
        <w:rPr>
          <w:rFonts w:hint="eastAsia" w:ascii="宋体" w:hAnsi="宋体"/>
          <w:b w:val="0"/>
          <w:bCs/>
          <w:color w:val="auto"/>
          <w:szCs w:val="21"/>
          <w:lang w:val="en-US" w:eastAsia="zh-CN"/>
        </w:rPr>
        <w:t>39.1</w:t>
      </w:r>
      <w:r>
        <w:rPr>
          <w:rFonts w:hint="eastAsia" w:ascii="宋体" w:hAnsi="宋体"/>
          <w:b/>
          <w:color w:val="auto"/>
          <w:szCs w:val="21"/>
        </w:rPr>
        <w:t>【谈判须知前附表】</w:t>
      </w:r>
      <w:r>
        <w:rPr>
          <w:rFonts w:hint="eastAsia" w:ascii="宋体" w:hAnsi="宋体"/>
          <w:color w:val="auto"/>
          <w:szCs w:val="21"/>
        </w:rPr>
        <w:t>规定</w:t>
      </w:r>
      <w:r>
        <w:rPr>
          <w:rFonts w:hint="eastAsia" w:ascii="宋体" w:hAnsi="宋体"/>
          <w:color w:val="auto"/>
          <w:szCs w:val="21"/>
          <w:lang w:eastAsia="zh-CN"/>
        </w:rPr>
        <w:t>供应商</w:t>
      </w:r>
      <w:r>
        <w:rPr>
          <w:rFonts w:hint="eastAsia" w:ascii="宋体" w:hAnsi="宋体"/>
          <w:color w:val="auto"/>
          <w:szCs w:val="21"/>
        </w:rPr>
        <w:t>在</w:t>
      </w:r>
      <w:r>
        <w:rPr>
          <w:rFonts w:hint="eastAsia" w:ascii="宋体" w:hAnsi="宋体"/>
          <w:color w:val="auto"/>
          <w:szCs w:val="21"/>
          <w:lang w:eastAsia="zh-CN"/>
        </w:rPr>
        <w:t>响应</w:t>
      </w:r>
      <w:r>
        <w:rPr>
          <w:rFonts w:hint="eastAsia" w:ascii="宋体" w:hAnsi="宋体"/>
          <w:color w:val="auto"/>
          <w:szCs w:val="21"/>
        </w:rPr>
        <w:t>时提供样品的，</w:t>
      </w:r>
      <w:r>
        <w:rPr>
          <w:rFonts w:hint="eastAsia" w:ascii="宋体" w:hAnsi="宋体"/>
          <w:color w:val="auto"/>
          <w:szCs w:val="21"/>
          <w:lang w:eastAsia="zh-CN"/>
        </w:rPr>
        <w:t>供应商</w:t>
      </w:r>
      <w:r>
        <w:rPr>
          <w:color w:val="auto"/>
          <w:szCs w:val="21"/>
        </w:rPr>
        <w:t>有以下情形之一的</w:t>
      </w:r>
      <w:r>
        <w:rPr>
          <w:rFonts w:hint="eastAsia"/>
          <w:color w:val="auto"/>
          <w:szCs w:val="21"/>
        </w:rPr>
        <w:t>，</w:t>
      </w:r>
      <w:r>
        <w:rPr>
          <w:rFonts w:hint="eastAsia" w:ascii="宋体" w:hAnsi="宋体"/>
          <w:color w:val="auto"/>
          <w:szCs w:val="21"/>
        </w:rPr>
        <w:t>在</w:t>
      </w:r>
      <w:r>
        <w:rPr>
          <w:rFonts w:hint="eastAsia" w:ascii="宋体" w:hAnsi="宋体"/>
          <w:color w:val="auto"/>
          <w:szCs w:val="21"/>
          <w:lang w:eastAsia="zh-CN"/>
        </w:rPr>
        <w:t>谈判</w:t>
      </w:r>
      <w:r>
        <w:rPr>
          <w:rFonts w:hint="eastAsia" w:ascii="宋体" w:hAnsi="宋体"/>
          <w:color w:val="auto"/>
          <w:szCs w:val="21"/>
        </w:rPr>
        <w:t>时将其视为无效</w:t>
      </w:r>
      <w:r>
        <w:rPr>
          <w:rFonts w:hint="eastAsia" w:ascii="宋体" w:hAnsi="宋体"/>
          <w:color w:val="auto"/>
          <w:szCs w:val="21"/>
          <w:lang w:eastAsia="zh-CN"/>
        </w:rPr>
        <w:t>响应</w:t>
      </w:r>
      <w:r>
        <w:rPr>
          <w:rFonts w:hint="eastAsia" w:ascii="宋体" w:hAnsi="宋体"/>
          <w:color w:val="auto"/>
          <w:szCs w:val="21"/>
        </w:rPr>
        <w:t>。</w:t>
      </w:r>
    </w:p>
    <w:p w14:paraId="48D37C79">
      <w:pPr>
        <w:adjustRightInd w:val="0"/>
        <w:snapToGrid w:val="0"/>
        <w:spacing w:before="156" w:beforeLines="50" w:line="240" w:lineRule="auto"/>
        <w:ind w:firstLine="420" w:firstLineChars="200"/>
        <w:jc w:val="left"/>
        <w:rPr>
          <w:rFonts w:ascii="宋体" w:hAnsi="宋体"/>
          <w:color w:val="auto"/>
          <w:szCs w:val="21"/>
        </w:rPr>
      </w:pPr>
      <w:r>
        <w:rPr>
          <w:rFonts w:hint="eastAsia" w:ascii="宋体" w:hAnsi="宋体"/>
          <w:color w:val="auto"/>
          <w:szCs w:val="21"/>
        </w:rPr>
        <w:t>（1）未在</w:t>
      </w:r>
      <w:r>
        <w:rPr>
          <w:rFonts w:hint="eastAsia" w:ascii="宋体" w:hAnsi="宋体"/>
          <w:b/>
          <w:color w:val="auto"/>
          <w:szCs w:val="21"/>
        </w:rPr>
        <w:t>【谈判须知前附表】</w:t>
      </w:r>
      <w:r>
        <w:rPr>
          <w:rFonts w:hint="eastAsia" w:ascii="宋体" w:hAnsi="宋体"/>
          <w:color w:val="auto"/>
          <w:szCs w:val="21"/>
        </w:rPr>
        <w:t>规定的提交时间、地点提交</w:t>
      </w:r>
      <w:r>
        <w:rPr>
          <w:color w:val="auto"/>
          <w:szCs w:val="21"/>
        </w:rPr>
        <w:t>的</w:t>
      </w:r>
      <w:r>
        <w:rPr>
          <w:rFonts w:hint="eastAsia" w:ascii="宋体" w:hAnsi="宋体"/>
          <w:color w:val="auto"/>
          <w:szCs w:val="21"/>
        </w:rPr>
        <w:t>；</w:t>
      </w:r>
    </w:p>
    <w:p w14:paraId="378F821B">
      <w:pPr>
        <w:adjustRightInd w:val="0"/>
        <w:snapToGrid w:val="0"/>
        <w:spacing w:before="156" w:beforeLines="50" w:line="240" w:lineRule="auto"/>
        <w:ind w:firstLine="420" w:firstLineChars="200"/>
        <w:jc w:val="left"/>
        <w:rPr>
          <w:rFonts w:hint="eastAsia" w:ascii="宋体" w:hAnsi="宋体"/>
          <w:color w:val="auto"/>
        </w:rPr>
      </w:pPr>
      <w:r>
        <w:rPr>
          <w:rFonts w:hint="eastAsia" w:ascii="宋体" w:hAnsi="宋体"/>
          <w:color w:val="auto"/>
          <w:szCs w:val="21"/>
        </w:rPr>
        <w:t>（2）</w:t>
      </w:r>
      <w:r>
        <w:rPr>
          <w:rFonts w:hint="eastAsia" w:ascii="宋体" w:hAnsi="宋体"/>
          <w:color w:val="auto"/>
          <w:szCs w:val="21"/>
          <w:lang w:eastAsia="zh-CN"/>
        </w:rPr>
        <w:t>供应商</w:t>
      </w:r>
      <w:r>
        <w:rPr>
          <w:rFonts w:hint="eastAsia" w:ascii="宋体" w:hAnsi="宋体"/>
          <w:color w:val="auto"/>
          <w:szCs w:val="21"/>
        </w:rPr>
        <w:t>提供的样品与</w:t>
      </w:r>
      <w:r>
        <w:rPr>
          <w:rFonts w:hint="eastAsia" w:ascii="宋体" w:hAnsi="宋体"/>
          <w:color w:val="auto"/>
          <w:szCs w:val="21"/>
          <w:lang w:eastAsia="zh-CN"/>
        </w:rPr>
        <w:t>响应</w:t>
      </w:r>
      <w:r>
        <w:rPr>
          <w:rFonts w:hint="eastAsia" w:ascii="宋体" w:hAnsi="宋体"/>
          <w:color w:val="auto"/>
          <w:szCs w:val="21"/>
        </w:rPr>
        <w:t>文件中型号、规格不一致</w:t>
      </w:r>
      <w:r>
        <w:rPr>
          <w:color w:val="auto"/>
          <w:szCs w:val="21"/>
        </w:rPr>
        <w:t>的</w:t>
      </w:r>
      <w:r>
        <w:rPr>
          <w:rFonts w:hint="eastAsia" w:ascii="宋体" w:hAnsi="宋体"/>
          <w:color w:val="auto"/>
          <w:szCs w:val="21"/>
        </w:rPr>
        <w:t>。</w:t>
      </w:r>
    </w:p>
    <w:p w14:paraId="65BDA9E5">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rPr>
        <w:t>39.</w:t>
      </w:r>
      <w:r>
        <w:rPr>
          <w:rFonts w:hint="eastAsia" w:ascii="宋体" w:hAnsi="宋体"/>
          <w:color w:val="auto"/>
          <w:lang w:val="en-US" w:eastAsia="zh-CN"/>
        </w:rPr>
        <w:t>2</w:t>
      </w:r>
      <w:r>
        <w:rPr>
          <w:rFonts w:hint="eastAsia" w:ascii="宋体" w:hAnsi="宋体"/>
          <w:color w:val="auto"/>
          <w:szCs w:val="21"/>
        </w:rPr>
        <w:t>谈判文件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【谈判须知前附表】</w:t>
      </w:r>
      <w:r>
        <w:rPr>
          <w:rFonts w:hint="eastAsia" w:ascii="宋体" w:hAnsi="宋体"/>
          <w:color w:val="auto"/>
          <w:szCs w:val="21"/>
        </w:rPr>
        <w:t>。</w:t>
      </w:r>
    </w:p>
    <w:p w14:paraId="661BDDD6">
      <w:pPr>
        <w:pStyle w:val="2"/>
        <w:numPr>
          <w:ilvl w:val="0"/>
          <w:numId w:val="1"/>
        </w:numPr>
        <w:rPr>
          <w:rFonts w:hint="eastAsia" w:ascii="黑体" w:hAnsi="黑体" w:eastAsia="黑体"/>
          <w:color w:val="auto"/>
          <w:sz w:val="32"/>
          <w:szCs w:val="32"/>
        </w:rPr>
      </w:pPr>
      <w:r>
        <w:rPr>
          <w:rFonts w:ascii="宋体" w:hAnsi="宋体"/>
          <w:color w:val="auto"/>
          <w:szCs w:val="21"/>
        </w:rPr>
        <w:br w:type="page"/>
      </w:r>
      <w:bookmarkStart w:id="34" w:name="_Toc4321"/>
      <w:r>
        <w:rPr>
          <w:rFonts w:hint="eastAsia" w:ascii="黑体" w:hAnsi="黑体" w:eastAsia="黑体"/>
          <w:color w:val="auto"/>
          <w:sz w:val="32"/>
          <w:szCs w:val="32"/>
        </w:rPr>
        <w:t>采购需求</w:t>
      </w:r>
      <w:bookmarkEnd w:id="34"/>
    </w:p>
    <w:p w14:paraId="7AF544E1">
      <w:pPr>
        <w:bidi w:val="0"/>
        <w:jc w:val="center"/>
        <w:rPr>
          <w:rFonts w:hint="eastAsia"/>
          <w:b/>
          <w:bCs/>
          <w:color w:val="auto"/>
          <w:sz w:val="24"/>
          <w:szCs w:val="32"/>
          <w:lang w:val="en-US" w:eastAsia="zh-CN"/>
        </w:rPr>
      </w:pPr>
    </w:p>
    <w:p w14:paraId="5E2E3149">
      <w:pPr>
        <w:pStyle w:val="296"/>
        <w:adjustRightInd w:val="0"/>
        <w:snapToGrid w:val="0"/>
        <w:spacing w:before="156" w:beforeLines="50"/>
        <w:jc w:val="center"/>
        <w:rPr>
          <w:rFonts w:hint="eastAsia"/>
          <w:b/>
          <w:bCs/>
          <w:color w:val="auto"/>
          <w:sz w:val="24"/>
          <w:szCs w:val="32"/>
          <w:lang w:val="en-US" w:eastAsia="zh-CN"/>
        </w:rPr>
      </w:pPr>
      <w:r>
        <w:rPr>
          <w:rFonts w:hint="eastAsia" w:ascii="黑体" w:hAnsi="黑体" w:eastAsia="黑体"/>
          <w:color w:val="auto"/>
          <w:sz w:val="28"/>
          <w:szCs w:val="28"/>
          <w:lang w:val="en-US" w:eastAsia="zh-CN"/>
        </w:rPr>
        <w:t>第一节 采购清单</w:t>
      </w:r>
    </w:p>
    <w:p w14:paraId="1E780D57">
      <w:pPr>
        <w:bidi w:val="0"/>
        <w:rPr>
          <w:rFonts w:hint="default"/>
          <w:lang w:val="en-US" w:eastAsia="zh-CN"/>
        </w:rPr>
      </w:pPr>
    </w:p>
    <w:tbl>
      <w:tblPr>
        <w:tblStyle w:val="4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1743"/>
        <w:gridCol w:w="5340"/>
        <w:gridCol w:w="634"/>
        <w:gridCol w:w="769"/>
      </w:tblGrid>
      <w:tr w14:paraId="094A1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5000" w:type="pct"/>
            <w:gridSpan w:val="5"/>
            <w:tcBorders>
              <w:top w:val="nil"/>
              <w:left w:val="nil"/>
              <w:bottom w:val="nil"/>
              <w:right w:val="nil"/>
            </w:tcBorders>
            <w:shd w:val="clear" w:color="auto" w:fill="auto"/>
            <w:noWrap/>
            <w:vAlign w:val="center"/>
          </w:tcPr>
          <w:p w14:paraId="60CB2AF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项目清单表</w:t>
            </w:r>
          </w:p>
        </w:tc>
      </w:tr>
      <w:tr w14:paraId="508F8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1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D39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9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4C2D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 目 名 称</w:t>
            </w:r>
          </w:p>
        </w:tc>
        <w:tc>
          <w:tcPr>
            <w:tcW w:w="29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854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 目 特 征 描 述</w:t>
            </w:r>
          </w:p>
        </w:tc>
        <w:tc>
          <w:tcPr>
            <w:tcW w:w="3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4EF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4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794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r>
      <w:tr w14:paraId="6803B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1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8FE0">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F286">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29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E9E10">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3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31A88">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4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D20C">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r>
      <w:tr w14:paraId="23FEF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9292">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4AD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管理系统</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54388">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831E1">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6BD15">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r>
      <w:tr w14:paraId="07860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266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BB7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网络管理系统</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14E9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1、具有入侵报警：传感器感应到振动触发报警后，客户端须具有声光报警。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2、防破坏报警功能：当远程控制器防拆开关被打开、传感器连接线缆被剪断、控制器与软件网络断开等情况发生时，客户端须具有声光报警。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3、可同过客户端对防区数量、名称、位置进行设置。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4、可通过客户端查询报警信息记录、查询、调用等功能；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5、投标人须承诺免费提供通讯协议，并入现有信息化平台，信号可与监控等系统联动使用。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6、系统可以同时支持国产操作系统和国产数据库。</w:t>
            </w:r>
          </w:p>
          <w:p w14:paraId="248B50E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中标后随产品附检测报告，检测报告内容需满足</w:t>
            </w:r>
            <w:r>
              <w:rPr>
                <w:rFonts w:hint="eastAsia" w:ascii="宋体" w:hAnsi="宋体" w:cs="宋体"/>
                <w:i w:val="0"/>
                <w:iCs w:val="0"/>
                <w:color w:val="000000"/>
                <w:kern w:val="0"/>
                <w:sz w:val="18"/>
                <w:szCs w:val="18"/>
                <w:u w:val="none"/>
                <w:lang w:val="en-US" w:eastAsia="zh-CN" w:bidi="ar"/>
              </w:rPr>
              <w:t>谈判</w:t>
            </w:r>
            <w:r>
              <w:rPr>
                <w:rFonts w:hint="eastAsia" w:ascii="宋体" w:hAnsi="宋体" w:eastAsia="宋体" w:cs="宋体"/>
                <w:i w:val="0"/>
                <w:iCs w:val="0"/>
                <w:color w:val="000000"/>
                <w:kern w:val="0"/>
                <w:sz w:val="18"/>
                <w:szCs w:val="18"/>
                <w:u w:val="none"/>
                <w:lang w:val="en-US" w:eastAsia="zh-CN" w:bidi="ar"/>
              </w:rPr>
              <w:t>文件参数要求。</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E8E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B67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1900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8457">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F083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第一押犯点周界报警</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FEE1D">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880B">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7FB40">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r>
      <w:tr w14:paraId="1F0F1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921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7ABD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远程控制器</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E8514">
            <w:pPr>
              <w:keepNext w:val="0"/>
              <w:keepLines w:val="0"/>
              <w:pageBreakBefore w:val="0"/>
              <w:widowControl/>
              <w:numPr>
                <w:ilvl w:val="0"/>
                <w:numId w:val="2"/>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每个远程控制装置可以控制不小于2个回路，每个回路控制距离：不小于800米。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2、每个探测回路可设置1-40个防区。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3、防区距离设置：防护距离3-20米可设置。</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4、远程控制器具有12路开关量输入。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5、远程控制器具有14路开关量输出</w:t>
            </w:r>
            <w:r>
              <w:rPr>
                <w:rFonts w:hint="eastAsia" w:ascii="宋体" w:hAnsi="宋体" w:cs="宋体"/>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t xml:space="preserve">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6、操作电压：12VDC；输出脉冲振幅：5v；</w:t>
            </w:r>
          </w:p>
          <w:p w14:paraId="49191687">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7、防水防尘等级不低于IP65</w:t>
            </w:r>
            <w:r>
              <w:rPr>
                <w:rFonts w:hint="eastAsia" w:ascii="宋体" w:hAnsi="宋体" w:cs="宋体"/>
                <w:i w:val="0"/>
                <w:iCs w:val="0"/>
                <w:color w:val="auto"/>
                <w:kern w:val="0"/>
                <w:sz w:val="18"/>
                <w:szCs w:val="18"/>
                <w:u w:val="none"/>
                <w:lang w:val="en-US" w:eastAsia="zh-CN" w:bidi="ar"/>
              </w:rPr>
              <w:t xml:space="preserve"> 。</w:t>
            </w:r>
            <w:r>
              <w:rPr>
                <w:rFonts w:hint="eastAsia" w:ascii="宋体" w:hAnsi="宋体" w:eastAsia="宋体" w:cs="宋体"/>
                <w:i w:val="0"/>
                <w:iCs w:val="0"/>
                <w:color w:val="auto"/>
                <w:kern w:val="0"/>
                <w:sz w:val="18"/>
                <w:szCs w:val="18"/>
                <w:u w:val="none"/>
                <w:lang w:val="en-US" w:eastAsia="zh-CN" w:bidi="ar"/>
              </w:rPr>
              <w:t xml:space="preserve">                                                  8、应符合GB/T17626.5-2019中的浪涌（冲击）抗扰度要求</w:t>
            </w:r>
            <w:r>
              <w:rPr>
                <w:rFonts w:hint="eastAsia" w:ascii="宋体" w:hAnsi="宋体" w:cs="宋体"/>
                <w:i w:val="0"/>
                <w:iCs w:val="0"/>
                <w:color w:val="auto"/>
                <w:kern w:val="0"/>
                <w:sz w:val="18"/>
                <w:szCs w:val="18"/>
                <w:u w:val="none"/>
                <w:lang w:val="en-US" w:eastAsia="zh-CN" w:bidi="ar"/>
              </w:rPr>
              <w:t>。</w:t>
            </w:r>
          </w:p>
          <w:p w14:paraId="1194A953">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FF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中标后随产品附检测报告，检测报告内容需满足</w:t>
            </w:r>
            <w:r>
              <w:rPr>
                <w:rFonts w:hint="eastAsia" w:ascii="宋体" w:hAnsi="宋体" w:cs="宋体"/>
                <w:i w:val="0"/>
                <w:iCs w:val="0"/>
                <w:color w:val="000000"/>
                <w:kern w:val="0"/>
                <w:sz w:val="18"/>
                <w:szCs w:val="18"/>
                <w:u w:val="none"/>
                <w:lang w:val="en-US" w:eastAsia="zh-CN" w:bidi="ar"/>
              </w:rPr>
              <w:t>谈判</w:t>
            </w:r>
            <w:r>
              <w:rPr>
                <w:rFonts w:hint="eastAsia" w:ascii="宋体" w:hAnsi="宋体" w:eastAsia="宋体" w:cs="宋体"/>
                <w:i w:val="0"/>
                <w:iCs w:val="0"/>
                <w:color w:val="000000"/>
                <w:kern w:val="0"/>
                <w:sz w:val="18"/>
                <w:szCs w:val="18"/>
                <w:u w:val="none"/>
                <w:lang w:val="en-US" w:eastAsia="zh-CN" w:bidi="ar"/>
              </w:rPr>
              <w:t>文件参数要求。</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172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76D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r w14:paraId="2B0D5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5F3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DA2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微震动传感器</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0C5DD">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1、</w:t>
            </w:r>
            <w:r>
              <w:rPr>
                <w:rFonts w:hint="eastAsia" w:ascii="宋体" w:hAnsi="宋体" w:eastAsia="宋体" w:cs="宋体"/>
                <w:i w:val="0"/>
                <w:iCs w:val="0"/>
                <w:color w:val="auto"/>
                <w:kern w:val="0"/>
                <w:sz w:val="18"/>
                <w:szCs w:val="18"/>
                <w:u w:val="none"/>
                <w:lang w:val="en-US" w:eastAsia="zh-CN" w:bidi="ar"/>
              </w:rPr>
              <w:t xml:space="preserve">入侵探测器采用无源特性传感器，无源特性传感器不供电、不产生电信号，双引脚设计，两个引脚之间的阻值应小于300mΩ（毫欧姆）。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2、操作电压： 12VDC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3、外壳： 高压塑料，防紫外线，工作温度范围：-20℃～60℃。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4、可以安装在任何已有的边界围墙（栅栏）上（如：焊接的网、链锁、装饰篱笆、墙、六角形线圈等），可控制5米高的栅栏和隔离网。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5、传感器安装间距不大于3米。</w:t>
            </w:r>
          </w:p>
          <w:p w14:paraId="43425866">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6</w:t>
            </w:r>
            <w:r>
              <w:rPr>
                <w:rFonts w:hint="eastAsia" w:ascii="宋体" w:hAnsi="宋体" w:eastAsia="宋体" w:cs="宋体"/>
                <w:i w:val="0"/>
                <w:iCs w:val="0"/>
                <w:color w:val="auto"/>
                <w:kern w:val="0"/>
                <w:sz w:val="18"/>
                <w:szCs w:val="18"/>
                <w:u w:val="none"/>
                <w:lang w:val="en-US" w:eastAsia="zh-CN" w:bidi="ar"/>
              </w:rPr>
              <w:t>、防水防尘等级不低于IP68。</w:t>
            </w:r>
          </w:p>
          <w:p w14:paraId="4364AC2E">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中标后随产品附检测报告，检测报告内容需满足谈判文件参数要求。</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9F21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A57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640.00</w:t>
            </w:r>
          </w:p>
        </w:tc>
      </w:tr>
      <w:tr w14:paraId="121F2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CC05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EE6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探测器线缆</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4EC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操作电压： 5-36 v；操作电流：5-50mAmp</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FD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FF9F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1600.00</w:t>
            </w:r>
          </w:p>
        </w:tc>
      </w:tr>
      <w:tr w14:paraId="7EA79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52D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891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声光报警系统</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4FDD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DC24V户外型/4线制/语音/120分呗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2689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FB9E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r>
      <w:tr w14:paraId="4C603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AA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C7CA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网络继电器</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51D0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1.可选择两路或者四路开关量输出                                                                                                                 2.可通过网络控制开关量</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EC07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346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r>
      <w:tr w14:paraId="23B3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B6F2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6584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电源线 </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3C0FB">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RVV-3*2.5</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02D6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3B3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1800.00</w:t>
            </w:r>
          </w:p>
        </w:tc>
      </w:tr>
      <w:tr w14:paraId="1DB5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74CB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B42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超五类网线</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31EBA">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rPr>
              <w:t>超五类室外</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8ECA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73B5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w:t>
            </w:r>
          </w:p>
        </w:tc>
      </w:tr>
      <w:tr w14:paraId="62BF7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73B0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18F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汇聚箱 </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BE1F6">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200*400*500mm含空开</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D01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8F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w:t>
            </w:r>
          </w:p>
        </w:tc>
      </w:tr>
      <w:tr w14:paraId="686AB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6C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48A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光纤 </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62FD0">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GYTA24芯</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E95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DFA3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1800.00</w:t>
            </w:r>
          </w:p>
        </w:tc>
      </w:tr>
      <w:tr w14:paraId="38D61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3F1F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279B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光缆接续 24芯</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9665">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BD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头</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7B1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r w14:paraId="66D1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422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212B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配管PVC15</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DD25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 PC塑料管; </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E2A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02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1800.00</w:t>
            </w:r>
          </w:p>
        </w:tc>
      </w:tr>
      <w:tr w14:paraId="0C955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B3E9C">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796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罪犯总医院周界报警</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D044A">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AD131">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19CB">
            <w:pPr>
              <w:keepNext w:val="0"/>
              <w:keepLines w:val="0"/>
              <w:pageBreakBefore w:val="0"/>
              <w:widowControl/>
              <w:kinsoku/>
              <w:wordWrap/>
              <w:overflowPunct/>
              <w:topLinePunct w:val="0"/>
              <w:autoSpaceDE/>
              <w:autoSpaceDN/>
              <w:bidi w:val="0"/>
              <w:adjustRightInd w:val="0"/>
              <w:snapToGrid w:val="0"/>
              <w:jc w:val="center"/>
              <w:rPr>
                <w:rFonts w:hint="eastAsia" w:ascii="宋体" w:hAnsi="宋体" w:eastAsia="宋体" w:cs="宋体"/>
                <w:i w:val="0"/>
                <w:iCs w:val="0"/>
                <w:color w:val="000000"/>
                <w:sz w:val="18"/>
                <w:szCs w:val="18"/>
                <w:u w:val="none"/>
              </w:rPr>
            </w:pPr>
          </w:p>
        </w:tc>
      </w:tr>
      <w:tr w14:paraId="43289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911C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E01A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远程控制器</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AD6F7">
            <w:pPr>
              <w:keepNext w:val="0"/>
              <w:keepLines w:val="0"/>
              <w:pageBreakBefore w:val="0"/>
              <w:widowControl/>
              <w:numPr>
                <w:ilvl w:val="0"/>
                <w:numId w:val="3"/>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每个远程控制装置可以控制不小于2个回路，每个回路控制距离：不小于800米。</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2、每个探测回路可设置1-40个防区。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3、防区距离设置：防护距离3-20米可设置。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4、远程控制器具有12路开关量输入。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5、远程控制器具有14路开关量输出</w:t>
            </w:r>
            <w:r>
              <w:rPr>
                <w:rFonts w:hint="eastAsia" w:ascii="宋体" w:hAnsi="宋体" w:cs="宋体"/>
                <w:i w:val="0"/>
                <w:iCs w:val="0"/>
                <w:color w:val="auto"/>
                <w:kern w:val="0"/>
                <w:sz w:val="18"/>
                <w:szCs w:val="18"/>
                <w:u w:val="none"/>
                <w:lang w:val="en-US" w:eastAsia="zh-CN" w:bidi="ar"/>
              </w:rPr>
              <w:t>。</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6、操作电压：12VDC；输出脉冲振幅：5v；</w:t>
            </w:r>
          </w:p>
          <w:p w14:paraId="14D7611B">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center"/>
              <w:rPr>
                <w:rFonts w:hint="eastAsia" w:ascii="宋体" w:hAnsi="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7、防水防尘等级不低于IP65</w:t>
            </w:r>
            <w:r>
              <w:rPr>
                <w:rFonts w:hint="eastAsia" w:ascii="宋体" w:hAnsi="宋体" w:cs="宋体"/>
                <w:i w:val="0"/>
                <w:iCs w:val="0"/>
                <w:color w:val="auto"/>
                <w:kern w:val="0"/>
                <w:sz w:val="18"/>
                <w:szCs w:val="18"/>
                <w:u w:val="none"/>
                <w:lang w:val="en-US" w:eastAsia="zh-CN" w:bidi="ar"/>
              </w:rPr>
              <w:t xml:space="preserve"> 。</w:t>
            </w:r>
            <w:r>
              <w:rPr>
                <w:rFonts w:hint="eastAsia" w:ascii="宋体" w:hAnsi="宋体" w:eastAsia="宋体" w:cs="宋体"/>
                <w:i w:val="0"/>
                <w:iCs w:val="0"/>
                <w:color w:val="auto"/>
                <w:kern w:val="0"/>
                <w:sz w:val="18"/>
                <w:szCs w:val="18"/>
                <w:u w:val="none"/>
                <w:lang w:val="en-US" w:eastAsia="zh-CN" w:bidi="ar"/>
              </w:rPr>
              <w:t xml:space="preserve">                                                       8、应符合GB/T17626.5-2019中的浪涌（冲击）抗扰度要求</w:t>
            </w:r>
            <w:r>
              <w:rPr>
                <w:rFonts w:hint="eastAsia" w:ascii="宋体" w:hAnsi="宋体" w:cs="宋体"/>
                <w:i w:val="0"/>
                <w:iCs w:val="0"/>
                <w:color w:val="auto"/>
                <w:kern w:val="0"/>
                <w:sz w:val="18"/>
                <w:szCs w:val="18"/>
                <w:u w:val="none"/>
                <w:lang w:val="en-US" w:eastAsia="zh-CN" w:bidi="ar"/>
              </w:rPr>
              <w:t>。</w:t>
            </w:r>
          </w:p>
          <w:p w14:paraId="2FAEA89F">
            <w:pPr>
              <w:keepNext w:val="0"/>
              <w:keepLines w:val="0"/>
              <w:pageBreakBefore w:val="0"/>
              <w:widowControl/>
              <w:numPr>
                <w:ilvl w:val="0"/>
                <w:numId w:val="0"/>
              </w:numPr>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18"/>
                <w:szCs w:val="18"/>
                <w:u w:val="none"/>
                <w:lang w:val="en-US" w:eastAsia="zh-CN" w:bidi="ar"/>
              </w:rPr>
              <w:t>中标后随产品附检测报告，检测报告内容需满足</w:t>
            </w:r>
            <w:r>
              <w:rPr>
                <w:rFonts w:hint="eastAsia" w:ascii="宋体" w:hAnsi="宋体" w:cs="宋体"/>
                <w:i w:val="0"/>
                <w:iCs w:val="0"/>
                <w:color w:val="000000"/>
                <w:kern w:val="0"/>
                <w:sz w:val="18"/>
                <w:szCs w:val="18"/>
                <w:u w:val="none"/>
                <w:lang w:val="en-US" w:eastAsia="zh-CN" w:bidi="ar"/>
              </w:rPr>
              <w:t>谈判</w:t>
            </w:r>
            <w:r>
              <w:rPr>
                <w:rFonts w:hint="eastAsia" w:ascii="宋体" w:hAnsi="宋体" w:eastAsia="宋体" w:cs="宋体"/>
                <w:i w:val="0"/>
                <w:iCs w:val="0"/>
                <w:color w:val="000000"/>
                <w:kern w:val="0"/>
                <w:sz w:val="18"/>
                <w:szCs w:val="18"/>
                <w:u w:val="none"/>
                <w:lang w:val="en-US" w:eastAsia="zh-CN" w:bidi="ar"/>
              </w:rPr>
              <w:t>文件参数要求。</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946E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7367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54090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BA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F20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微震动传感器</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CE48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1、</w:t>
            </w:r>
            <w:r>
              <w:rPr>
                <w:rFonts w:hint="eastAsia" w:ascii="宋体" w:hAnsi="宋体" w:eastAsia="宋体" w:cs="宋体"/>
                <w:i w:val="0"/>
                <w:iCs w:val="0"/>
                <w:color w:val="auto"/>
                <w:kern w:val="0"/>
                <w:sz w:val="18"/>
                <w:szCs w:val="18"/>
                <w:u w:val="none"/>
                <w:lang w:val="en-US" w:eastAsia="zh-CN" w:bidi="ar"/>
              </w:rPr>
              <w:t xml:space="preserve">入侵探测器采用无源特性传感器，无源特性传感器不供电、不产生电信号，双引脚设计，两个引脚之间的阻值应小于300mΩ（毫欧姆）。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2、操作电压： 12VDC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3、外壳： 高压塑料，防紫外线，工作温度范围：-20℃～60℃。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4、可以安装在任何已有的边界围墙（栅栏）上（如：焊接的网、链锁、装饰篱笆、墙、六角形线圈等），可控制5米高的栅栏和隔离网。 </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5、传感器安装间距不大于3米。</w:t>
            </w:r>
          </w:p>
          <w:p w14:paraId="3204423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6</w:t>
            </w:r>
            <w:r>
              <w:rPr>
                <w:rFonts w:hint="eastAsia" w:ascii="宋体" w:hAnsi="宋体" w:eastAsia="宋体" w:cs="宋体"/>
                <w:i w:val="0"/>
                <w:iCs w:val="0"/>
                <w:color w:val="auto"/>
                <w:kern w:val="0"/>
                <w:sz w:val="18"/>
                <w:szCs w:val="18"/>
                <w:u w:val="none"/>
                <w:lang w:val="en-US" w:eastAsia="zh-CN" w:bidi="ar"/>
              </w:rPr>
              <w:t>、防水防尘等级不低于IP68。</w:t>
            </w:r>
          </w:p>
          <w:p w14:paraId="2E84465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000000"/>
                <w:kern w:val="0"/>
                <w:sz w:val="18"/>
                <w:szCs w:val="18"/>
                <w:u w:val="none"/>
                <w:lang w:val="en-US" w:eastAsia="zh-CN" w:bidi="ar"/>
              </w:rPr>
              <w:t>中标后随产品附检测报告，检测报告内容需满足</w:t>
            </w:r>
            <w:r>
              <w:rPr>
                <w:rFonts w:hint="eastAsia" w:ascii="宋体" w:hAnsi="宋体" w:cs="宋体"/>
                <w:i w:val="0"/>
                <w:iCs w:val="0"/>
                <w:color w:val="000000"/>
                <w:kern w:val="0"/>
                <w:sz w:val="18"/>
                <w:szCs w:val="18"/>
                <w:u w:val="none"/>
                <w:lang w:val="en-US" w:eastAsia="zh-CN" w:bidi="ar"/>
              </w:rPr>
              <w:t>谈判</w:t>
            </w:r>
            <w:r>
              <w:rPr>
                <w:rFonts w:hint="eastAsia" w:ascii="宋体" w:hAnsi="宋体" w:eastAsia="宋体" w:cs="宋体"/>
                <w:i w:val="0"/>
                <w:iCs w:val="0"/>
                <w:color w:val="000000"/>
                <w:kern w:val="0"/>
                <w:sz w:val="18"/>
                <w:szCs w:val="18"/>
                <w:u w:val="none"/>
                <w:lang w:val="en-US" w:eastAsia="zh-CN" w:bidi="ar"/>
              </w:rPr>
              <w:t>文件参数要求。</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52E8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A7CB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240.00</w:t>
            </w:r>
          </w:p>
        </w:tc>
      </w:tr>
      <w:tr w14:paraId="157A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8ABA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A2F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探测器线缆</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943E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操作电压： 5-36 v；操作电流：5-50mAmp</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021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AEC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w:t>
            </w:r>
          </w:p>
        </w:tc>
      </w:tr>
      <w:tr w14:paraId="3785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DCD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886B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声光报警系统</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8D8F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DC24V户外型/4线制/语音/120分呗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D33A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435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r>
      <w:tr w14:paraId="413EE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5D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0DA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网络继电器</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889E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1.可选择两路或者四路开关量输出                                                                                                                 2.可通过网络控制开关量</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17F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5A0C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r>
      <w:tr w14:paraId="51C03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B7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B8C9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电源线 </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2170C">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RVV-3*2.5</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78FD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4899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700.00</w:t>
            </w:r>
          </w:p>
        </w:tc>
      </w:tr>
      <w:tr w14:paraId="6FF3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F9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D4D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超五类网线</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1FC4F">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sz w:val="18"/>
                <w:szCs w:val="18"/>
                <w:u w:val="none"/>
              </w:rPr>
              <w:t>超五类室外</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EFC7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17AF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325.00</w:t>
            </w:r>
          </w:p>
        </w:tc>
      </w:tr>
      <w:tr w14:paraId="18EA8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EB7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846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汇聚箱 </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2E41F">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200*400*500mm含空开</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F717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0CE8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r>
      <w:tr w14:paraId="395B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349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EF1A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xml:space="preserve">光纤 </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994E">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GYTA24芯</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F02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704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700.00</w:t>
            </w:r>
          </w:p>
        </w:tc>
      </w:tr>
      <w:tr w14:paraId="260D5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ACB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E49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光缆接续 24芯</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C2F24">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C629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头</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879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r>
      <w:tr w14:paraId="42CB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9911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2D1D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配管PVC15</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A8FA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1.材质: PC塑料管; </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E878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B8CC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700.00</w:t>
            </w:r>
          </w:p>
        </w:tc>
      </w:tr>
      <w:tr w14:paraId="4F096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DA2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7214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脚手架搭拆</w:t>
            </w:r>
          </w:p>
        </w:tc>
        <w:tc>
          <w:tcPr>
            <w:tcW w:w="2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6CA0">
            <w:pPr>
              <w:keepNext w:val="0"/>
              <w:keepLines w:val="0"/>
              <w:pageBreakBefore w:val="0"/>
              <w:widowControl/>
              <w:kinsoku/>
              <w:wordWrap/>
              <w:overflowPunct/>
              <w:topLinePunct w:val="0"/>
              <w:autoSpaceDE/>
              <w:autoSpaceDN/>
              <w:bidi w:val="0"/>
              <w:adjustRightInd w:val="0"/>
              <w:snapToGrid w:val="0"/>
              <w:jc w:val="left"/>
              <w:rPr>
                <w:rFonts w:hint="eastAsia" w:ascii="宋体" w:hAnsi="宋体" w:eastAsia="宋体" w:cs="宋体"/>
                <w:i w:val="0"/>
                <w:iCs w:val="0"/>
                <w:color w:val="000000"/>
                <w:sz w:val="18"/>
                <w:szCs w:val="18"/>
                <w:u w:val="none"/>
              </w:rPr>
            </w:pP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2A3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4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D500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bl>
    <w:p w14:paraId="378AA5E4">
      <w:pPr>
        <w:rPr>
          <w:rFonts w:hint="eastAsia" w:ascii="黑体" w:hAnsi="黑体" w:eastAsia="黑体"/>
          <w:color w:val="auto"/>
          <w:sz w:val="28"/>
          <w:szCs w:val="28"/>
        </w:rPr>
      </w:pPr>
      <w:r>
        <w:rPr>
          <w:rFonts w:hint="eastAsia" w:ascii="黑体" w:hAnsi="黑体" w:eastAsia="黑体"/>
          <w:color w:val="auto"/>
          <w:sz w:val="28"/>
          <w:szCs w:val="28"/>
        </w:rPr>
        <w:br w:type="page"/>
      </w:r>
    </w:p>
    <w:p w14:paraId="08753494">
      <w:pPr>
        <w:pStyle w:val="296"/>
        <w:adjustRightInd w:val="0"/>
        <w:snapToGrid w:val="0"/>
        <w:spacing w:before="156" w:beforeLines="50"/>
        <w:jc w:val="center"/>
        <w:rPr>
          <w:color w:val="auto"/>
        </w:rPr>
      </w:pPr>
      <w:r>
        <w:rPr>
          <w:rFonts w:hint="eastAsia" w:ascii="黑体" w:hAnsi="黑体" w:eastAsia="黑体"/>
          <w:color w:val="auto"/>
          <w:sz w:val="28"/>
          <w:szCs w:val="28"/>
        </w:rPr>
        <w:t>第二节 实施要求</w:t>
      </w:r>
    </w:p>
    <w:p w14:paraId="3CBBCC8C">
      <w:pPr>
        <w:pStyle w:val="298"/>
        <w:adjustRightInd w:val="0"/>
        <w:snapToGrid w:val="0"/>
        <w:spacing w:line="360" w:lineRule="auto"/>
        <w:ind w:firstLine="472" w:firstLineChars="196"/>
        <w:rPr>
          <w:rFonts w:ascii="宋体" w:hAnsi="宋体"/>
          <w:b/>
          <w:color w:val="auto"/>
          <w:sz w:val="24"/>
        </w:rPr>
      </w:pPr>
      <w:r>
        <w:rPr>
          <w:rFonts w:hint="eastAsia" w:ascii="宋体" w:hAnsi="宋体"/>
          <w:b/>
          <w:color w:val="auto"/>
          <w:sz w:val="24"/>
        </w:rPr>
        <w:t>一、项目实施要求：</w:t>
      </w:r>
    </w:p>
    <w:p w14:paraId="52F8C475">
      <w:pPr>
        <w:pStyle w:val="298"/>
        <w:adjustRightInd w:val="0"/>
        <w:snapToGrid w:val="0"/>
        <w:spacing w:line="360" w:lineRule="auto"/>
        <w:ind w:firstLine="480" w:firstLineChars="200"/>
        <w:rPr>
          <w:rFonts w:hint="eastAsia" w:ascii="宋体" w:hAnsi="宋体"/>
          <w:bCs/>
          <w:color w:val="auto"/>
          <w:sz w:val="24"/>
        </w:rPr>
      </w:pPr>
      <w:r>
        <w:rPr>
          <w:rFonts w:hint="eastAsia" w:ascii="宋体" w:hAnsi="宋体"/>
          <w:bCs/>
          <w:color w:val="auto"/>
          <w:sz w:val="24"/>
        </w:rPr>
        <w:t>1.1、供应商提供的产品须符合采购人和采购人上级部门关于本项目的各项要求。</w:t>
      </w:r>
    </w:p>
    <w:p w14:paraId="512A492D">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1.2、项目实施地点：采购人指定地点。</w:t>
      </w:r>
    </w:p>
    <w:p w14:paraId="6A37CE33">
      <w:pPr>
        <w:pStyle w:val="298"/>
        <w:adjustRightInd w:val="0"/>
        <w:snapToGrid w:val="0"/>
        <w:spacing w:line="360" w:lineRule="auto"/>
        <w:ind w:firstLine="480" w:firstLineChars="200"/>
        <w:rPr>
          <w:rFonts w:ascii="宋体" w:hAnsi="宋体"/>
          <w:bCs/>
          <w:color w:val="FF0000"/>
          <w:sz w:val="24"/>
        </w:rPr>
      </w:pPr>
      <w:r>
        <w:rPr>
          <w:rFonts w:hint="eastAsia" w:ascii="宋体" w:hAnsi="宋体"/>
          <w:bCs/>
          <w:color w:val="FF0000"/>
          <w:sz w:val="24"/>
        </w:rPr>
        <w:t>★1.3、付款方式：</w:t>
      </w:r>
      <w:r>
        <w:rPr>
          <w:rFonts w:hint="eastAsia" w:ascii="宋体" w:hAnsi="宋体"/>
          <w:bCs/>
          <w:color w:val="FF0000"/>
          <w:sz w:val="24"/>
          <w:lang w:val="en-US" w:eastAsia="zh-CN"/>
        </w:rPr>
        <w:t>安装调试完毕验收合格一次性付清</w:t>
      </w:r>
      <w:r>
        <w:rPr>
          <w:rFonts w:hint="eastAsia" w:ascii="宋体" w:hAnsi="宋体"/>
          <w:bCs/>
          <w:color w:val="FF0000"/>
          <w:sz w:val="24"/>
        </w:rPr>
        <w:t>。</w:t>
      </w:r>
    </w:p>
    <w:p w14:paraId="28EA5401">
      <w:pPr>
        <w:pStyle w:val="298"/>
        <w:adjustRightInd w:val="0"/>
        <w:snapToGrid w:val="0"/>
        <w:spacing w:line="360" w:lineRule="auto"/>
        <w:ind w:firstLine="480" w:firstLineChars="200"/>
        <w:rPr>
          <w:rFonts w:ascii="宋体" w:hAnsi="宋体"/>
          <w:bCs/>
          <w:color w:val="FF0000"/>
          <w:sz w:val="24"/>
        </w:rPr>
      </w:pPr>
      <w:r>
        <w:rPr>
          <w:rFonts w:hint="eastAsia" w:ascii="宋体" w:hAnsi="宋体"/>
          <w:bCs/>
          <w:color w:val="FF0000"/>
          <w:sz w:val="24"/>
        </w:rPr>
        <w:t>★1.4、交货时间：合同签订后</w:t>
      </w:r>
      <w:r>
        <w:rPr>
          <w:rFonts w:hint="eastAsia" w:ascii="宋体" w:hAnsi="宋体"/>
          <w:bCs/>
          <w:color w:val="FF0000"/>
          <w:sz w:val="24"/>
          <w:lang w:val="en-US" w:eastAsia="zh-CN"/>
        </w:rPr>
        <w:t>15</w:t>
      </w:r>
      <w:r>
        <w:rPr>
          <w:rFonts w:hint="eastAsia" w:ascii="宋体" w:hAnsi="宋体"/>
          <w:bCs/>
          <w:color w:val="FF0000"/>
          <w:sz w:val="24"/>
        </w:rPr>
        <w:t>日内安装调试完毕。</w:t>
      </w:r>
    </w:p>
    <w:p w14:paraId="495FBFF4">
      <w:pPr>
        <w:pStyle w:val="298"/>
        <w:adjustRightInd w:val="0"/>
        <w:snapToGrid w:val="0"/>
        <w:spacing w:line="360" w:lineRule="auto"/>
        <w:ind w:firstLine="482" w:firstLineChars="200"/>
        <w:rPr>
          <w:rFonts w:ascii="宋体" w:hAnsi="宋体"/>
          <w:b/>
          <w:color w:val="auto"/>
          <w:sz w:val="24"/>
        </w:rPr>
      </w:pPr>
      <w:r>
        <w:rPr>
          <w:rFonts w:hint="eastAsia" w:ascii="宋体" w:hAnsi="宋体"/>
          <w:b/>
          <w:color w:val="auto"/>
          <w:sz w:val="24"/>
        </w:rPr>
        <w:t>二、报价要求：</w:t>
      </w:r>
    </w:p>
    <w:p w14:paraId="1641679B">
      <w:pPr>
        <w:pStyle w:val="298"/>
        <w:adjustRightInd w:val="0"/>
        <w:snapToGrid w:val="0"/>
        <w:spacing w:line="360" w:lineRule="auto"/>
        <w:ind w:firstLine="480" w:firstLineChars="200"/>
        <w:rPr>
          <w:rFonts w:ascii="宋体" w:hAnsi="宋体"/>
          <w:color w:val="auto"/>
          <w:sz w:val="24"/>
        </w:rPr>
      </w:pPr>
      <w:r>
        <w:rPr>
          <w:rFonts w:hint="eastAsia" w:ascii="宋体" w:hAnsi="宋体"/>
          <w:bCs/>
          <w:color w:val="auto"/>
          <w:sz w:val="24"/>
        </w:rPr>
        <w:t>★2.1</w:t>
      </w:r>
      <w:r>
        <w:rPr>
          <w:rFonts w:hint="eastAsia" w:ascii="宋体" w:hAnsi="宋体"/>
          <w:color w:val="auto"/>
          <w:sz w:val="24"/>
        </w:rPr>
        <w:t>投标报价应包含产品、运输、安装调试、备品备件、培训验收、质保期内</w:t>
      </w:r>
      <w:r>
        <w:rPr>
          <w:rFonts w:hint="eastAsia" w:ascii="宋体" w:hAnsi="宋体"/>
          <w:bCs/>
          <w:color w:val="auto"/>
          <w:sz w:val="24"/>
        </w:rPr>
        <w:t>保修维护、</w:t>
      </w:r>
      <w:r>
        <w:rPr>
          <w:rFonts w:hint="eastAsia" w:ascii="宋体" w:hAnsi="宋体"/>
          <w:color w:val="auto"/>
          <w:sz w:val="24"/>
        </w:rPr>
        <w:t>人工工资、保险、税金等所有费用，如一旦成交，在项目实施中出现任何遗漏，均由中标人免费提供，采购人不再支付其他费用。</w:t>
      </w:r>
    </w:p>
    <w:p w14:paraId="6A1C6C9E">
      <w:pPr>
        <w:pStyle w:val="298"/>
        <w:adjustRightInd w:val="0"/>
        <w:snapToGrid w:val="0"/>
        <w:spacing w:line="360" w:lineRule="auto"/>
        <w:ind w:firstLine="482" w:firstLineChars="200"/>
        <w:rPr>
          <w:rFonts w:ascii="宋体" w:hAnsi="宋体"/>
          <w:b/>
          <w:bCs/>
          <w:color w:val="auto"/>
          <w:sz w:val="24"/>
        </w:rPr>
      </w:pPr>
      <w:r>
        <w:rPr>
          <w:rFonts w:hint="eastAsia" w:ascii="宋体" w:hAnsi="宋体"/>
          <w:b/>
          <w:bCs/>
          <w:color w:val="auto"/>
          <w:sz w:val="24"/>
        </w:rPr>
        <w:t>三、供货要求：</w:t>
      </w:r>
    </w:p>
    <w:p w14:paraId="6D9C29CB">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3.1、中标人必须严格按照投标清单提供有厂家质保的正规渠道产品，且包含正常使用时所需的附件、工具等；</w:t>
      </w:r>
    </w:p>
    <w:p w14:paraId="7AD1A855">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3.2、中标人负责产品到交货地点的全部运输，包括装卸及现场搬运等；</w:t>
      </w:r>
    </w:p>
    <w:p w14:paraId="3505A017">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3.3、中标人负责产品的保管，直至项目验收合格；</w:t>
      </w:r>
    </w:p>
    <w:p w14:paraId="246C7409">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3.4、中标人负责其派出的服务人员的人身意外保险，配备至少3名服务人员为本项目实施提供服务，其中至少有一名类似项目经验丰富的项目经理；</w:t>
      </w:r>
    </w:p>
    <w:p w14:paraId="7E9B1F0F">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3.5、中标人应根据采购人的要求将所提供的产品或者货物送到指定的地点，并安装调试完毕验收合格；</w:t>
      </w:r>
    </w:p>
    <w:p w14:paraId="489B6BF9">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3.6、中标人送达产品及进行安装调试，应和采购人单位取得联系，以便采购人单位安排验货和配合安装调试等工作。中标人须加强安装调试过程的组织管理，所有安装调试人员须遵守文明安全操作的有关规章制度，持证上岗；</w:t>
      </w:r>
    </w:p>
    <w:p w14:paraId="404B68AA">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3.7、项目完成后，中标人应将项目有关的全部资料，包括产品资料、技术文档及采购人要求的相关资料等移交采购人。</w:t>
      </w:r>
    </w:p>
    <w:p w14:paraId="36F3B40C">
      <w:pPr>
        <w:pStyle w:val="298"/>
        <w:adjustRightInd w:val="0"/>
        <w:snapToGrid w:val="0"/>
        <w:spacing w:line="360" w:lineRule="auto"/>
        <w:ind w:firstLine="482" w:firstLineChars="200"/>
        <w:rPr>
          <w:rFonts w:ascii="宋体" w:hAnsi="宋体"/>
          <w:b/>
          <w:bCs/>
          <w:color w:val="auto"/>
          <w:sz w:val="24"/>
        </w:rPr>
      </w:pPr>
      <w:r>
        <w:rPr>
          <w:rFonts w:hint="eastAsia" w:ascii="宋体" w:hAnsi="宋体"/>
          <w:b/>
          <w:bCs/>
          <w:color w:val="auto"/>
          <w:sz w:val="24"/>
        </w:rPr>
        <w:t>四、组织架构及进度管理：</w:t>
      </w:r>
    </w:p>
    <w:p w14:paraId="495550A2">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4.1组建项目实施领导小组，明确工作职责，落实和具体工作内容，梳理需求，完善标准体系，按质按量履行项目实施内容。按项目组织架构进行项目的实施和交付，配备经验丰富的项目队伍，以确保项目施工质量和工期。</w:t>
      </w:r>
    </w:p>
    <w:p w14:paraId="24DC90A3">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4.2制定合理的进度计划，合理安排各工作项的工期，明确分工，做好工序无缝衔接，确保按期完成任务。</w:t>
      </w:r>
    </w:p>
    <w:p w14:paraId="763F3EBC">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4.3中标人在项目实施中，必须遵守招标人的管理要求，接受有关单位的监督，严格遵守国家的相关实施规范。</w:t>
      </w:r>
    </w:p>
    <w:p w14:paraId="411872FA">
      <w:pPr>
        <w:pStyle w:val="298"/>
        <w:adjustRightInd w:val="0"/>
        <w:snapToGrid w:val="0"/>
        <w:spacing w:line="360" w:lineRule="auto"/>
        <w:ind w:firstLine="480" w:firstLineChars="200"/>
        <w:rPr>
          <w:rFonts w:ascii="宋体" w:hAnsi="宋体"/>
          <w:b/>
          <w:bCs/>
          <w:color w:val="auto"/>
          <w:sz w:val="24"/>
        </w:rPr>
      </w:pPr>
      <w:r>
        <w:rPr>
          <w:rFonts w:hint="eastAsia" w:ascii="宋体" w:hAnsi="宋体"/>
          <w:color w:val="auto"/>
          <w:sz w:val="24"/>
        </w:rPr>
        <w:t>4.4拟任本项目的项目经理、技术负责人、安全员等关键岗位人员必须按时在岗。</w:t>
      </w:r>
    </w:p>
    <w:p w14:paraId="2F5A71C7">
      <w:pPr>
        <w:pStyle w:val="298"/>
        <w:adjustRightInd w:val="0"/>
        <w:snapToGrid w:val="0"/>
        <w:spacing w:line="360" w:lineRule="auto"/>
        <w:ind w:firstLine="482" w:firstLineChars="200"/>
        <w:rPr>
          <w:rFonts w:ascii="宋体" w:hAnsi="宋体"/>
          <w:b/>
          <w:bCs/>
          <w:color w:val="auto"/>
          <w:sz w:val="24"/>
        </w:rPr>
      </w:pPr>
      <w:r>
        <w:rPr>
          <w:rFonts w:hint="eastAsia" w:ascii="宋体" w:hAnsi="宋体"/>
          <w:b/>
          <w:bCs/>
          <w:color w:val="auto"/>
          <w:sz w:val="24"/>
        </w:rPr>
        <w:t>五、质量保证：</w:t>
      </w:r>
    </w:p>
    <w:p w14:paraId="308DF2E7">
      <w:pPr>
        <w:pStyle w:val="298"/>
        <w:adjustRightInd w:val="0"/>
        <w:snapToGrid w:val="0"/>
        <w:spacing w:line="360" w:lineRule="auto"/>
        <w:ind w:firstLine="480" w:firstLineChars="200"/>
        <w:rPr>
          <w:rFonts w:hint="eastAsia" w:ascii="宋体" w:hAnsi="宋体"/>
          <w:bCs/>
          <w:color w:val="auto"/>
          <w:sz w:val="24"/>
        </w:rPr>
      </w:pPr>
      <w:r>
        <w:rPr>
          <w:rFonts w:hint="eastAsia" w:ascii="宋体" w:hAnsi="宋体"/>
          <w:bCs/>
          <w:color w:val="auto"/>
          <w:sz w:val="24"/>
        </w:rPr>
        <w:t xml:space="preserve">5.1、投标产品必须是符合国家技术规范和质量标准的合格产品，满足采购人的使用需求，并具有可靠的质量服务体系和安全服务体系，质量可靠、使用安全。 </w:t>
      </w:r>
    </w:p>
    <w:p w14:paraId="31AE1E52">
      <w:pPr>
        <w:pStyle w:val="298"/>
        <w:adjustRightInd w:val="0"/>
        <w:snapToGrid w:val="0"/>
        <w:spacing w:line="360" w:lineRule="auto"/>
        <w:ind w:firstLine="480" w:firstLineChars="200"/>
        <w:rPr>
          <w:rFonts w:ascii="宋体" w:hAnsi="宋体"/>
          <w:bCs/>
          <w:color w:val="FF0000"/>
          <w:sz w:val="24"/>
        </w:rPr>
      </w:pPr>
      <w:r>
        <w:rPr>
          <w:rFonts w:hint="eastAsia" w:ascii="宋体" w:hAnsi="宋体"/>
          <w:bCs/>
          <w:color w:val="FF0000"/>
          <w:sz w:val="24"/>
        </w:rPr>
        <w:t>★5.</w:t>
      </w:r>
      <w:r>
        <w:rPr>
          <w:rFonts w:hint="eastAsia" w:ascii="宋体" w:hAnsi="宋体"/>
          <w:bCs/>
          <w:color w:val="FF0000"/>
          <w:sz w:val="24"/>
          <w:lang w:val="en-US" w:eastAsia="zh-CN"/>
        </w:rPr>
        <w:t>2</w:t>
      </w:r>
      <w:r>
        <w:rPr>
          <w:rFonts w:hint="eastAsia" w:ascii="宋体" w:hAnsi="宋体"/>
          <w:bCs/>
          <w:color w:val="FF0000"/>
          <w:sz w:val="24"/>
        </w:rPr>
        <w:t>、质保期：项目整体质保1年（采购清单或国家标准另有要求的按最高标准执行）。</w:t>
      </w:r>
    </w:p>
    <w:p w14:paraId="27BA8E77">
      <w:pPr>
        <w:pStyle w:val="298"/>
        <w:adjustRightInd w:val="0"/>
        <w:snapToGrid w:val="0"/>
        <w:spacing w:line="360" w:lineRule="auto"/>
        <w:ind w:firstLine="480" w:firstLineChars="200"/>
        <w:rPr>
          <w:rFonts w:ascii="宋体" w:hAnsi="宋体"/>
          <w:color w:val="auto"/>
          <w:szCs w:val="21"/>
        </w:rPr>
      </w:pPr>
      <w:r>
        <w:rPr>
          <w:rFonts w:hint="eastAsia" w:ascii="宋体" w:hAnsi="宋体"/>
          <w:bCs/>
          <w:color w:val="auto"/>
          <w:sz w:val="24"/>
        </w:rPr>
        <w:t>5.</w:t>
      </w:r>
      <w:r>
        <w:rPr>
          <w:rFonts w:hint="eastAsia" w:ascii="宋体" w:hAnsi="宋体"/>
          <w:bCs/>
          <w:color w:val="auto"/>
          <w:sz w:val="24"/>
          <w:lang w:val="en-US" w:eastAsia="zh-CN"/>
        </w:rPr>
        <w:t>3</w:t>
      </w:r>
      <w:r>
        <w:rPr>
          <w:rFonts w:hint="eastAsia" w:ascii="宋体" w:hAnsi="宋体"/>
          <w:bCs/>
          <w:color w:val="auto"/>
          <w:sz w:val="24"/>
        </w:rPr>
        <w:t>、质保期从验收合格之日起开始计算。</w:t>
      </w:r>
    </w:p>
    <w:p w14:paraId="23C23162">
      <w:pPr>
        <w:pStyle w:val="298"/>
        <w:adjustRightInd w:val="0"/>
        <w:snapToGrid w:val="0"/>
        <w:spacing w:line="360" w:lineRule="auto"/>
        <w:ind w:firstLine="482" w:firstLineChars="200"/>
        <w:rPr>
          <w:rFonts w:ascii="宋体" w:hAnsi="宋体"/>
          <w:b/>
          <w:bCs/>
          <w:color w:val="auto"/>
          <w:sz w:val="24"/>
        </w:rPr>
      </w:pPr>
      <w:r>
        <w:rPr>
          <w:rFonts w:hint="eastAsia" w:ascii="宋体" w:hAnsi="宋体"/>
          <w:b/>
          <w:bCs/>
          <w:color w:val="auto"/>
          <w:sz w:val="24"/>
        </w:rPr>
        <w:t>六、售后服务：</w:t>
      </w:r>
    </w:p>
    <w:p w14:paraId="73BE1754">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6.1、中标人要严格按照采购人要求提供售后服务，建立专门的售后服务小组，并配备相应的专业技术人员和设施设备，要求原厂服务的必须按要求提供原厂售后服务。</w:t>
      </w:r>
    </w:p>
    <w:p w14:paraId="65A0EA62">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6.2、质保期内出现任何质量问题（人为破坏或自然灾害等不可抗力除外），由中标人负责免费（免全部工时费、材料费、管理费、财务费等）更换或维修；中标人未及时履行售后服务义务的，采购人有权另行选择第三方进行维修，产生费用由中标人承担，采购人可以从质量保证金中予以扣除。</w:t>
      </w:r>
    </w:p>
    <w:p w14:paraId="37BBD99C">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6.3、在质保期内必须为最终用户提供全天候的技术服务支持，负责解答用户在产品使用中遇到的问题，并及时提出解决问题的建议和操作方法。技术服务热线支持应是中文服务。</w:t>
      </w:r>
    </w:p>
    <w:p w14:paraId="3FD6CB67">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6.4、备件服务：提供产品所需更换的任何备品备件，质保期内所有部件均为原厂商备件。中标人不能因为产品停产而拒绝提供备品备件，应提供相应的解决方案和同类档次规格的备品备件。</w:t>
      </w:r>
    </w:p>
    <w:p w14:paraId="6E8BA056">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6.5、产品在质量保证期内使用发生故障时，中标人在接到采购人故障通知后应及时响应（2小时响应，24小时内解决问题），不得影响正常使用（如果不能及时解决，应及时提供备件替代直至问题解决），所发生的一切费用由中标人承担。</w:t>
      </w:r>
    </w:p>
    <w:p w14:paraId="3165F278">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6.6、质量保证期结束后，中标人有义务配合采购人在产品使用地指定有能力的代理人或投标人自行对所提供产品进行维护和修理。如需更换零配件的，应不超过市场平均价予以供应。</w:t>
      </w:r>
    </w:p>
    <w:p w14:paraId="4662FD24">
      <w:pPr>
        <w:pStyle w:val="298"/>
        <w:adjustRightInd w:val="0"/>
        <w:snapToGrid w:val="0"/>
        <w:spacing w:line="360" w:lineRule="auto"/>
        <w:ind w:firstLine="480" w:firstLineChars="200"/>
        <w:rPr>
          <w:rFonts w:ascii="宋体" w:hAnsi="宋体"/>
          <w:b/>
          <w:bCs/>
          <w:color w:val="auto"/>
          <w:sz w:val="24"/>
        </w:rPr>
      </w:pPr>
      <w:r>
        <w:rPr>
          <w:rFonts w:hint="eastAsia" w:ascii="宋体" w:hAnsi="宋体"/>
          <w:color w:val="auto"/>
          <w:sz w:val="24"/>
        </w:rPr>
        <w:t>6.7、售后服务人员必须树立让用户满意是检验服务工作的最终标准的服务理念，要竭尽全力为用户服务。在服务过程中，积极、热情、耐心地解答用户提出的各种问题，认真传授维修保养常识。对用户的问题无法解决时，应予耐心解释，并及时报告。</w:t>
      </w:r>
    </w:p>
    <w:p w14:paraId="398580E2">
      <w:pPr>
        <w:pStyle w:val="298"/>
        <w:adjustRightInd w:val="0"/>
        <w:snapToGrid w:val="0"/>
        <w:spacing w:line="360" w:lineRule="auto"/>
        <w:ind w:firstLine="472" w:firstLineChars="196"/>
        <w:rPr>
          <w:rFonts w:ascii="宋体" w:hAnsi="宋体"/>
          <w:b/>
          <w:color w:val="auto"/>
          <w:sz w:val="24"/>
        </w:rPr>
      </w:pPr>
      <w:r>
        <w:rPr>
          <w:rFonts w:hint="eastAsia" w:ascii="宋体" w:hAnsi="宋体"/>
          <w:b/>
          <w:color w:val="auto"/>
          <w:sz w:val="24"/>
        </w:rPr>
        <w:t>七、培训服务：</w:t>
      </w:r>
    </w:p>
    <w:p w14:paraId="577AEE61">
      <w:pPr>
        <w:pStyle w:val="298"/>
        <w:adjustRightInd w:val="0"/>
        <w:snapToGrid w:val="0"/>
        <w:spacing w:line="360" w:lineRule="auto"/>
        <w:ind w:firstLine="470" w:firstLineChars="196"/>
        <w:rPr>
          <w:rFonts w:ascii="宋体" w:hAnsi="宋体"/>
          <w:bCs/>
          <w:color w:val="auto"/>
          <w:sz w:val="24"/>
        </w:rPr>
      </w:pPr>
      <w:r>
        <w:rPr>
          <w:rFonts w:hint="eastAsia" w:ascii="宋体" w:hAnsi="宋体"/>
          <w:bCs/>
          <w:color w:val="auto"/>
          <w:sz w:val="24"/>
        </w:rPr>
        <w:t>7.1、中标人负责为采购人指定的有关技术人员提供维护、维修、现场使用培训。</w:t>
      </w:r>
    </w:p>
    <w:p w14:paraId="1CE0EE94">
      <w:pPr>
        <w:pStyle w:val="298"/>
        <w:adjustRightInd w:val="0"/>
        <w:snapToGrid w:val="0"/>
        <w:spacing w:line="360" w:lineRule="auto"/>
        <w:ind w:firstLine="470" w:firstLineChars="196"/>
        <w:rPr>
          <w:rFonts w:ascii="宋体" w:hAnsi="宋体"/>
          <w:bCs/>
          <w:color w:val="auto"/>
          <w:sz w:val="24"/>
        </w:rPr>
      </w:pPr>
      <w:r>
        <w:rPr>
          <w:rFonts w:hint="eastAsia" w:ascii="宋体" w:hAnsi="宋体"/>
          <w:bCs/>
          <w:color w:val="auto"/>
          <w:sz w:val="24"/>
        </w:rPr>
        <w:t>7.2、中标人向采购人技术人员提供的维护、维修、使用培训不少于两次。</w:t>
      </w:r>
    </w:p>
    <w:p w14:paraId="057497B5">
      <w:pPr>
        <w:pStyle w:val="298"/>
        <w:adjustRightInd w:val="0"/>
        <w:snapToGrid w:val="0"/>
        <w:spacing w:line="360" w:lineRule="auto"/>
        <w:ind w:firstLine="470" w:firstLineChars="196"/>
        <w:rPr>
          <w:rFonts w:ascii="宋体" w:hAnsi="宋体"/>
          <w:bCs/>
          <w:color w:val="auto"/>
          <w:sz w:val="24"/>
        </w:rPr>
      </w:pPr>
      <w:r>
        <w:rPr>
          <w:rFonts w:hint="eastAsia" w:ascii="宋体" w:hAnsi="宋体"/>
          <w:bCs/>
          <w:color w:val="auto"/>
          <w:sz w:val="24"/>
        </w:rPr>
        <w:t>7.3、中标人</w:t>
      </w:r>
      <w:r>
        <w:rPr>
          <w:rFonts w:hint="eastAsia" w:ascii="宋体" w:hAnsi="宋体"/>
          <w:bCs/>
          <w:color w:val="auto"/>
          <w:sz w:val="24"/>
          <w:lang w:val="en-US" w:eastAsia="zh-CN"/>
        </w:rPr>
        <w:t>负责</w:t>
      </w:r>
      <w:r>
        <w:rPr>
          <w:rFonts w:hint="eastAsia" w:ascii="宋体" w:hAnsi="宋体"/>
          <w:bCs/>
          <w:color w:val="auto"/>
          <w:sz w:val="24"/>
        </w:rPr>
        <w:t>提供详细的培训计划</w:t>
      </w:r>
      <w:r>
        <w:rPr>
          <w:rFonts w:hint="eastAsia" w:ascii="宋体" w:hAnsi="宋体"/>
          <w:bCs/>
          <w:color w:val="auto"/>
          <w:sz w:val="24"/>
          <w:lang w:val="en-US" w:eastAsia="zh-CN"/>
        </w:rPr>
        <w:t>安排</w:t>
      </w:r>
      <w:r>
        <w:rPr>
          <w:rFonts w:hint="eastAsia" w:ascii="宋体" w:hAnsi="宋体"/>
          <w:bCs/>
          <w:color w:val="auto"/>
          <w:sz w:val="24"/>
        </w:rPr>
        <w:t>。</w:t>
      </w:r>
    </w:p>
    <w:p w14:paraId="19445CF6">
      <w:pPr>
        <w:pStyle w:val="298"/>
        <w:adjustRightInd w:val="0"/>
        <w:snapToGrid w:val="0"/>
        <w:spacing w:line="360" w:lineRule="auto"/>
        <w:ind w:firstLine="482" w:firstLineChars="200"/>
        <w:rPr>
          <w:rFonts w:ascii="宋体" w:hAnsi="宋体"/>
          <w:b/>
          <w:bCs/>
          <w:color w:val="auto"/>
          <w:sz w:val="24"/>
        </w:rPr>
      </w:pPr>
      <w:r>
        <w:rPr>
          <w:rFonts w:hint="eastAsia" w:ascii="宋体" w:hAnsi="宋体"/>
          <w:b/>
          <w:bCs/>
          <w:color w:val="auto"/>
          <w:sz w:val="24"/>
        </w:rPr>
        <w:t>八、安全文明施工：</w:t>
      </w:r>
    </w:p>
    <w:p w14:paraId="52E2DCE4">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8.1、执行政府有关文明施工规定，进行经常性的文明施工教育，完善安全文明施工制度建设。</w:t>
      </w:r>
    </w:p>
    <w:p w14:paraId="0F2AEBCE">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8.2、必要时在施工红线内，作周边隔离或安全警示标语、标志。</w:t>
      </w:r>
    </w:p>
    <w:p w14:paraId="481AE823">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8.3、责成值班人员打扫环境，看护好绿化，市政等公用设备，不因施工受到损坏。</w:t>
      </w:r>
    </w:p>
    <w:p w14:paraId="325DDBEB">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8.4、各种材料必须按施工要求位置堆放整齐，保证施工通道平整、畅通，垃圾及时清运，做到工完场地清。</w:t>
      </w:r>
    </w:p>
    <w:p w14:paraId="6A5F5F70">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8.5、采取防粉尘、防噪音措施，把粉尘和噪音降到最低程度。</w:t>
      </w:r>
    </w:p>
    <w:p w14:paraId="19CF5DE8">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8.6、施工现场灭严禁赌博，打架斗殴。</w:t>
      </w:r>
    </w:p>
    <w:p w14:paraId="2031E8C2">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8.7、施工人员进场，应进行登记造册，签订安全承诺书，遵守采购人有关管理规定。</w:t>
      </w:r>
    </w:p>
    <w:p w14:paraId="7745E342">
      <w:pPr>
        <w:pStyle w:val="298"/>
        <w:adjustRightInd w:val="0"/>
        <w:snapToGrid w:val="0"/>
        <w:spacing w:line="360" w:lineRule="auto"/>
        <w:ind w:firstLine="480" w:firstLineChars="200"/>
        <w:rPr>
          <w:rFonts w:ascii="宋体" w:hAnsi="宋体"/>
          <w:bCs/>
          <w:color w:val="auto"/>
          <w:sz w:val="24"/>
        </w:rPr>
      </w:pPr>
      <w:r>
        <w:rPr>
          <w:rFonts w:hint="eastAsia" w:ascii="宋体" w:hAnsi="宋体"/>
          <w:bCs/>
          <w:color w:val="auto"/>
          <w:sz w:val="24"/>
        </w:rPr>
        <w:t>8.8、加强施工现场防火教育，落实消防措施，配备足够的灭火器材。</w:t>
      </w:r>
    </w:p>
    <w:p w14:paraId="277BA817">
      <w:pPr>
        <w:pStyle w:val="298"/>
        <w:adjustRightInd w:val="0"/>
        <w:snapToGrid w:val="0"/>
        <w:spacing w:line="360" w:lineRule="auto"/>
        <w:ind w:firstLine="480" w:firstLineChars="200"/>
        <w:rPr>
          <w:rFonts w:ascii="宋体" w:hAnsi="宋体"/>
          <w:color w:val="auto"/>
          <w:sz w:val="24"/>
        </w:rPr>
      </w:pPr>
      <w:r>
        <w:rPr>
          <w:rFonts w:hint="eastAsia" w:ascii="宋体" w:hAnsi="宋体"/>
          <w:color w:val="auto"/>
          <w:sz w:val="24"/>
        </w:rPr>
        <w:t>8.9、对项目施工过程中可能发生的紧急情况、事故等应有明确的预案和措施。</w:t>
      </w:r>
    </w:p>
    <w:p w14:paraId="63D13F05">
      <w:pPr>
        <w:pStyle w:val="298"/>
        <w:adjustRightInd w:val="0"/>
        <w:snapToGrid w:val="0"/>
        <w:spacing w:line="360" w:lineRule="auto"/>
        <w:ind w:firstLine="482" w:firstLineChars="200"/>
        <w:rPr>
          <w:rFonts w:ascii="宋体" w:hAnsi="宋体"/>
          <w:b/>
          <w:bCs/>
          <w:color w:val="auto"/>
          <w:sz w:val="24"/>
        </w:rPr>
      </w:pPr>
      <w:r>
        <w:rPr>
          <w:rFonts w:hint="eastAsia" w:ascii="宋体" w:hAnsi="宋体"/>
          <w:b/>
          <w:bCs/>
          <w:color w:val="auto"/>
          <w:sz w:val="24"/>
        </w:rPr>
        <w:t>九、验收标准和方法：</w:t>
      </w:r>
    </w:p>
    <w:p w14:paraId="5C133496">
      <w:pPr>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9</w:t>
      </w:r>
      <w:r>
        <w:rPr>
          <w:rFonts w:hint="eastAsia" w:ascii="宋体" w:hAnsi="宋体"/>
          <w:bCs/>
          <w:color w:val="auto"/>
          <w:sz w:val="24"/>
        </w:rPr>
        <w:t>.1本项目按照一般程序进行验收。</w:t>
      </w:r>
    </w:p>
    <w:p w14:paraId="314CE6CF">
      <w:pPr>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9</w:t>
      </w:r>
      <w:r>
        <w:rPr>
          <w:rFonts w:hint="eastAsia" w:ascii="宋体" w:hAnsi="宋体"/>
          <w:bCs/>
          <w:color w:val="auto"/>
          <w:sz w:val="24"/>
        </w:rPr>
        <w:t>.2按照《财政部关于进一步加强政府采购需求和履约验收管理的指导意见》（财库〔2016〕205 号）的要求和招标文件、正式签订的合同要求进行验收。项目验收国家有强制性规定的，按国家规定执行，验收费用由中标人承担，验收报告作为申请付款的凭证之一。</w:t>
      </w:r>
    </w:p>
    <w:p w14:paraId="44E14A22">
      <w:pPr>
        <w:spacing w:line="360" w:lineRule="auto"/>
        <w:ind w:firstLine="480" w:firstLineChars="200"/>
        <w:rPr>
          <w:rFonts w:hint="eastAsia" w:ascii="宋体" w:hAnsi="宋体"/>
          <w:bCs/>
          <w:color w:val="auto"/>
          <w:sz w:val="24"/>
        </w:rPr>
      </w:pPr>
      <w:r>
        <w:rPr>
          <w:rFonts w:hint="eastAsia" w:ascii="宋体" w:hAnsi="宋体"/>
          <w:bCs/>
          <w:color w:val="auto"/>
          <w:sz w:val="24"/>
          <w:lang w:val="en-US" w:eastAsia="zh-CN"/>
        </w:rPr>
        <w:t>9</w:t>
      </w:r>
      <w:r>
        <w:rPr>
          <w:rFonts w:hint="eastAsia" w:ascii="宋体" w:hAnsi="宋体"/>
          <w:bCs/>
          <w:color w:val="auto"/>
          <w:sz w:val="24"/>
        </w:rPr>
        <w:t>.3验收过程中产生纠纷的，由质量技术监督部门认定的检测机构检测,如为中标人原因造成的，由中标人承担检测费用；否则，由采购人承担。</w:t>
      </w:r>
    </w:p>
    <w:p w14:paraId="24EF8490">
      <w:pPr>
        <w:spacing w:line="360" w:lineRule="auto"/>
        <w:ind w:firstLine="480" w:firstLineChars="200"/>
        <w:rPr>
          <w:rFonts w:hint="eastAsia"/>
        </w:rPr>
      </w:pPr>
      <w:r>
        <w:rPr>
          <w:rFonts w:hint="eastAsia" w:ascii="宋体" w:hAnsi="宋体"/>
          <w:bCs/>
          <w:color w:val="auto"/>
          <w:sz w:val="24"/>
          <w:lang w:val="en-US" w:eastAsia="zh-CN"/>
        </w:rPr>
        <w:t>9</w:t>
      </w:r>
      <w:r>
        <w:rPr>
          <w:rFonts w:hint="eastAsia" w:ascii="宋体" w:hAnsi="宋体"/>
          <w:bCs/>
          <w:color w:val="auto"/>
          <w:sz w:val="24"/>
        </w:rPr>
        <w:t>.4项目验收不合格，由成交人返工直至合格，有关返工、再行验收，以及给采购人造成的损失等费用由成交人承担。连续两次项目验收不合格的，采购人可终止合同，另行按规定选择其他供应商采购，由此带来的一切损失由中标人承担。</w:t>
      </w:r>
    </w:p>
    <w:p w14:paraId="3677D14B">
      <w:pPr>
        <w:snapToGrid/>
        <w:spacing w:line="360" w:lineRule="auto"/>
        <w:ind w:left="1079" w:leftChars="228" w:hanging="600" w:hangingChars="250"/>
        <w:jc w:val="both"/>
        <w:rPr>
          <w:rFonts w:hint="eastAsia" w:ascii="宋体" w:hAnsi="宋体" w:eastAsia="宋体" w:cs="宋体"/>
          <w:sz w:val="24"/>
        </w:rPr>
      </w:pPr>
      <w:bookmarkStart w:id="35" w:name="_Toc21641"/>
    </w:p>
    <w:p w14:paraId="02E44E87">
      <w:pPr>
        <w:snapToGrid/>
        <w:spacing w:line="360" w:lineRule="auto"/>
        <w:ind w:left="1079" w:leftChars="228" w:hanging="600" w:hangingChars="250"/>
        <w:jc w:val="both"/>
        <w:rPr>
          <w:rFonts w:hint="eastAsia" w:ascii="宋体" w:hAnsi="宋体" w:eastAsia="宋体" w:cs="宋体"/>
          <w:sz w:val="24"/>
        </w:rPr>
      </w:pPr>
    </w:p>
    <w:p w14:paraId="47AA51B0">
      <w:pPr>
        <w:adjustRightInd w:val="0"/>
        <w:snapToGrid w:val="0"/>
        <w:spacing w:before="156" w:beforeLines="50" w:line="360" w:lineRule="auto"/>
        <w:outlineLvl w:val="9"/>
        <w:rPr>
          <w:rFonts w:hint="eastAsia" w:ascii="黑体" w:hAnsi="黑体" w:eastAsia="黑体"/>
          <w:color w:val="auto"/>
          <w:sz w:val="32"/>
          <w:szCs w:val="32"/>
        </w:rPr>
      </w:pPr>
    </w:p>
    <w:p w14:paraId="7940B82F">
      <w:pPr>
        <w:rPr>
          <w:rFonts w:hint="eastAsia" w:ascii="黑体" w:hAnsi="黑体" w:eastAsia="黑体"/>
          <w:color w:val="auto"/>
          <w:sz w:val="32"/>
          <w:szCs w:val="32"/>
        </w:rPr>
      </w:pPr>
    </w:p>
    <w:p w14:paraId="0E52171C">
      <w:pPr>
        <w:pStyle w:val="17"/>
        <w:rPr>
          <w:rFonts w:hint="eastAsia"/>
          <w:color w:val="auto"/>
        </w:rPr>
      </w:pPr>
    </w:p>
    <w:p w14:paraId="6F436B37">
      <w:pPr>
        <w:rPr>
          <w:rFonts w:hint="eastAsia"/>
          <w:color w:val="auto"/>
        </w:rPr>
      </w:pPr>
      <w:r>
        <w:rPr>
          <w:rFonts w:hint="eastAsia"/>
          <w:color w:val="auto"/>
        </w:rPr>
        <w:br w:type="page"/>
      </w:r>
    </w:p>
    <w:p w14:paraId="7DED1093">
      <w:pPr>
        <w:pStyle w:val="2"/>
        <w:adjustRightInd w:val="0"/>
        <w:snapToGrid w:val="0"/>
        <w:spacing w:before="156" w:beforeLines="50" w:line="360" w:lineRule="auto"/>
        <w:rPr>
          <w:rFonts w:ascii="黑体" w:hAnsi="黑体" w:eastAsia="黑体"/>
          <w:color w:val="auto"/>
          <w:sz w:val="32"/>
          <w:szCs w:val="32"/>
        </w:rPr>
      </w:pPr>
      <w:r>
        <w:rPr>
          <w:rFonts w:hint="eastAsia" w:ascii="黑体" w:hAnsi="黑体" w:eastAsia="黑体"/>
          <w:color w:val="auto"/>
          <w:sz w:val="32"/>
          <w:szCs w:val="32"/>
        </w:rPr>
        <w:t>第四章 合同草案条款</w:t>
      </w:r>
      <w:bookmarkEnd w:id="35"/>
    </w:p>
    <w:p w14:paraId="24AB12E0">
      <w:pPr>
        <w:pStyle w:val="3"/>
        <w:adjustRightInd w:val="0"/>
        <w:snapToGrid w:val="0"/>
        <w:spacing w:before="156" w:beforeLines="50"/>
        <w:jc w:val="center"/>
        <w:rPr>
          <w:rFonts w:hint="eastAsia" w:ascii="黑体" w:hAnsi="华文中宋" w:eastAsia="黑体"/>
          <w:color w:val="auto"/>
          <w:sz w:val="28"/>
          <w:szCs w:val="28"/>
          <w:lang w:eastAsia="zh-CN"/>
        </w:rPr>
      </w:pPr>
      <w:bookmarkStart w:id="36" w:name="_Toc22201110"/>
      <w:bookmarkStart w:id="37" w:name="_Toc3032"/>
      <w:r>
        <w:rPr>
          <w:rFonts w:hint="eastAsia" w:ascii="黑体" w:hAnsi="华文中宋" w:eastAsia="黑体"/>
          <w:color w:val="auto"/>
          <w:sz w:val="28"/>
          <w:szCs w:val="28"/>
        </w:rPr>
        <w:t>第一节 合同协议书</w:t>
      </w:r>
      <w:bookmarkEnd w:id="36"/>
      <w:r>
        <w:rPr>
          <w:rFonts w:hint="eastAsia" w:ascii="黑体" w:hAnsi="华文中宋" w:eastAsia="黑体"/>
          <w:color w:val="auto"/>
          <w:sz w:val="28"/>
          <w:szCs w:val="28"/>
          <w:lang w:eastAsia="zh-CN"/>
        </w:rPr>
        <w:t>（格式）</w:t>
      </w:r>
      <w:bookmarkEnd w:id="37"/>
    </w:p>
    <w:p w14:paraId="5979D694">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r>
        <w:rPr>
          <w:rFonts w:ascii="宋体" w:hAnsi="宋体"/>
          <w:color w:val="auto"/>
          <w:szCs w:val="21"/>
          <w:u w:val="single"/>
        </w:rPr>
        <w:t xml:space="preserve">                 </w:t>
      </w:r>
    </w:p>
    <w:p w14:paraId="7E4F0A7E">
      <w:pPr>
        <w:bidi w:val="0"/>
        <w:rPr>
          <w:color w:val="auto"/>
        </w:rPr>
      </w:pPr>
    </w:p>
    <w:p w14:paraId="57F98A12">
      <w:pPr>
        <w:adjustRightInd w:val="0"/>
        <w:snapToGrid w:val="0"/>
        <w:spacing w:before="156" w:beforeLines="50" w:line="360" w:lineRule="auto"/>
        <w:rPr>
          <w:rFonts w:ascii="宋体" w:hAnsi="宋体"/>
          <w:color w:val="auto"/>
          <w:szCs w:val="21"/>
        </w:rPr>
      </w:pPr>
      <w:r>
        <w:rPr>
          <w:rFonts w:hint="eastAsia" w:ascii="宋体" w:hAnsi="宋体"/>
          <w:color w:val="auto"/>
          <w:szCs w:val="21"/>
        </w:rPr>
        <w:t>采购人（全称）：</w:t>
      </w:r>
      <w:r>
        <w:rPr>
          <w:rFonts w:hint="eastAsia" w:ascii="宋体" w:hAnsi="宋体"/>
          <w:color w:val="auto"/>
          <w:szCs w:val="21"/>
          <w:u w:val="single"/>
          <w:lang w:val="en-US" w:eastAsia="zh-CN"/>
        </w:rPr>
        <w:t xml:space="preserve">              </w:t>
      </w:r>
      <w:r>
        <w:rPr>
          <w:rFonts w:hint="eastAsia" w:ascii="宋体" w:hAnsi="宋体" w:eastAsia="宋体" w:cs="宋体"/>
          <w:b w:val="0"/>
          <w:bCs/>
          <w:color w:val="auto"/>
          <w:sz w:val="21"/>
          <w:szCs w:val="21"/>
          <w:u w:val="single"/>
          <w:lang w:val="en-US" w:eastAsia="zh-CN"/>
        </w:rPr>
        <w:t xml:space="preserve">               </w:t>
      </w:r>
      <w:r>
        <w:rPr>
          <w:rFonts w:hint="eastAsia" w:ascii="宋体" w:hAnsi="宋体"/>
          <w:color w:val="auto"/>
          <w:szCs w:val="21"/>
        </w:rPr>
        <w:t>（甲方）</w:t>
      </w:r>
    </w:p>
    <w:p w14:paraId="4EFB48B2">
      <w:pPr>
        <w:adjustRightInd w:val="0"/>
        <w:snapToGrid w:val="0"/>
        <w:spacing w:before="156" w:beforeLines="50" w:line="360" w:lineRule="auto"/>
        <w:rPr>
          <w:rFonts w:ascii="宋体" w:hAnsi="宋体"/>
          <w:color w:val="auto"/>
          <w:szCs w:val="21"/>
        </w:rPr>
      </w:pPr>
      <w:r>
        <w:rPr>
          <w:rFonts w:hint="eastAsia" w:ascii="宋体" w:hAnsi="宋体"/>
          <w:color w:val="auto"/>
          <w:szCs w:val="21"/>
        </w:rPr>
        <w:t>供应商（全称）：</w:t>
      </w:r>
      <w:r>
        <w:rPr>
          <w:rFonts w:hint="eastAsia" w:ascii="宋体" w:hAnsi="宋体"/>
          <w:color w:val="auto"/>
          <w:szCs w:val="21"/>
          <w:u w:val="single"/>
        </w:rPr>
        <w:t xml:space="preserve">                             </w:t>
      </w:r>
      <w:r>
        <w:rPr>
          <w:rFonts w:hint="eastAsia" w:ascii="宋体" w:hAnsi="宋体"/>
          <w:color w:val="auto"/>
          <w:szCs w:val="21"/>
        </w:rPr>
        <w:t>（乙方）</w:t>
      </w:r>
    </w:p>
    <w:p w14:paraId="5AFF18B1">
      <w:pPr>
        <w:bidi w:val="0"/>
        <w:rPr>
          <w:color w:val="auto"/>
        </w:rPr>
      </w:pPr>
    </w:p>
    <w:p w14:paraId="3B1BD6B2">
      <w:pPr>
        <w:pStyle w:val="18"/>
        <w:adjustRightInd w:val="0"/>
        <w:snapToGrid w:val="0"/>
        <w:spacing w:before="156" w:beforeLines="50" w:after="0" w:line="360" w:lineRule="auto"/>
        <w:ind w:left="0" w:leftChars="0" w:firstLine="420" w:firstLineChars="200"/>
        <w:rPr>
          <w:rFonts w:ascii="宋体" w:hAnsi="宋体"/>
          <w:color w:val="auto"/>
          <w:szCs w:val="21"/>
        </w:rPr>
      </w:pPr>
      <w:r>
        <w:rPr>
          <w:rFonts w:hint="eastAsia" w:ascii="宋体" w:hAnsi="宋体"/>
          <w:color w:val="auto"/>
          <w:szCs w:val="21"/>
        </w:rPr>
        <w:t>为了保护甲、乙双方合法权益，根据《中华人民共和国</w:t>
      </w:r>
      <w:r>
        <w:rPr>
          <w:rFonts w:hint="eastAsia" w:ascii="宋体" w:hAnsi="宋体"/>
          <w:color w:val="auto"/>
          <w:szCs w:val="21"/>
          <w:lang w:val="en-US" w:eastAsia="zh-CN"/>
        </w:rPr>
        <w:t>民法典</w:t>
      </w:r>
      <w:r>
        <w:rPr>
          <w:rFonts w:hint="eastAsia" w:ascii="宋体" w:hAnsi="宋体"/>
          <w:color w:val="auto"/>
          <w:szCs w:val="21"/>
        </w:rPr>
        <w:t>》、《中华人民共和国政府采购法》及其他有关法律、法规、规章，双方签订本合同协议书。</w:t>
      </w:r>
    </w:p>
    <w:p w14:paraId="55B8EA12">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rPr>
      </w:pPr>
      <w:bookmarkStart w:id="38" w:name="_Toc19948"/>
      <w:r>
        <w:rPr>
          <w:rFonts w:hint="eastAsia" w:ascii="黑体" w:hAnsi="黑体" w:eastAsia="黑体"/>
          <w:color w:val="auto"/>
          <w:sz w:val="24"/>
          <w:szCs w:val="24"/>
        </w:rPr>
        <w:t>1.项目信息</w:t>
      </w:r>
      <w:bookmarkEnd w:id="38"/>
    </w:p>
    <w:p w14:paraId="3D9F14C3">
      <w:pPr>
        <w:pStyle w:val="18"/>
        <w:pageBreakBefore w:val="0"/>
        <w:widowControl w:val="0"/>
        <w:kinsoku/>
        <w:wordWrap/>
        <w:overflowPunct/>
        <w:topLinePunct w:val="0"/>
        <w:autoSpaceDE/>
        <w:autoSpaceDN/>
        <w:bidi w:val="0"/>
        <w:adjustRightInd w:val="0"/>
        <w:snapToGrid w:val="0"/>
        <w:spacing w:after="0" w:line="500" w:lineRule="exact"/>
        <w:textAlignment w:val="auto"/>
        <w:rPr>
          <w:rFonts w:hint="default" w:ascii="宋体" w:hAnsi="宋体" w:eastAsia="宋体"/>
          <w:b w:val="0"/>
          <w:bCs/>
          <w:color w:val="auto"/>
          <w:sz w:val="21"/>
          <w:szCs w:val="21"/>
          <w:u w:val="single"/>
          <w:lang w:val="en-US" w:eastAsia="zh-CN"/>
        </w:rPr>
      </w:pPr>
      <w:r>
        <w:rPr>
          <w:rFonts w:hint="eastAsia" w:ascii="宋体" w:hAnsi="宋体"/>
          <w:color w:val="auto"/>
          <w:szCs w:val="21"/>
        </w:rPr>
        <w:t>（1）采购项目名称：</w:t>
      </w:r>
      <w:r>
        <w:rPr>
          <w:rFonts w:hint="eastAsia" w:ascii="宋体" w:hAnsi="宋体"/>
          <w:color w:val="auto"/>
          <w:szCs w:val="21"/>
          <w:u w:val="single"/>
          <w:lang w:val="en-US" w:eastAsia="zh-CN"/>
        </w:rPr>
        <w:t xml:space="preserve">                          </w:t>
      </w:r>
    </w:p>
    <w:p w14:paraId="716508C2">
      <w:pPr>
        <w:pStyle w:val="18"/>
        <w:pageBreakBefore w:val="0"/>
        <w:widowControl w:val="0"/>
        <w:kinsoku/>
        <w:wordWrap/>
        <w:overflowPunct/>
        <w:topLinePunct w:val="0"/>
        <w:autoSpaceDE/>
        <w:autoSpaceDN/>
        <w:bidi w:val="0"/>
        <w:adjustRightInd w:val="0"/>
        <w:snapToGrid w:val="0"/>
        <w:spacing w:after="0" w:line="500" w:lineRule="exact"/>
        <w:textAlignment w:val="auto"/>
        <w:rPr>
          <w:rFonts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ascii="宋体" w:hAnsi="宋体"/>
          <w:color w:val="auto"/>
          <w:szCs w:val="21"/>
        </w:rPr>
        <w:t xml:space="preserve"> </w:t>
      </w:r>
    </w:p>
    <w:p w14:paraId="1AA0BFD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（3）项目内容：</w:t>
      </w:r>
      <w:r>
        <w:rPr>
          <w:rFonts w:hint="eastAsia" w:ascii="宋体" w:hAnsi="宋体"/>
          <w:color w:val="auto"/>
          <w:szCs w:val="21"/>
          <w:u w:val="single"/>
        </w:rPr>
        <w:t xml:space="preserve">                             </w:t>
      </w:r>
    </w:p>
    <w:p w14:paraId="7A42F2B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（4）项目负责人：</w:t>
      </w:r>
      <w:r>
        <w:rPr>
          <w:rFonts w:hint="eastAsia" w:ascii="宋体" w:hAnsi="宋体"/>
          <w:color w:val="auto"/>
          <w:szCs w:val="21"/>
          <w:u w:val="single"/>
        </w:rPr>
        <w:t xml:space="preserve">              </w:t>
      </w:r>
      <w:r>
        <w:rPr>
          <w:rFonts w:hint="eastAsia" w:ascii="宋体" w:hAnsi="宋体"/>
          <w:color w:val="auto"/>
          <w:szCs w:val="21"/>
        </w:rPr>
        <w:t xml:space="preserve"> </w:t>
      </w:r>
    </w:p>
    <w:p w14:paraId="3A38F4C3">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rPr>
      </w:pPr>
      <w:bookmarkStart w:id="39" w:name="_Toc32472"/>
      <w:r>
        <w:rPr>
          <w:rFonts w:hint="eastAsia" w:ascii="黑体" w:hAnsi="黑体" w:eastAsia="黑体"/>
          <w:color w:val="auto"/>
          <w:sz w:val="24"/>
          <w:szCs w:val="24"/>
        </w:rPr>
        <w:t>2.合同金额</w:t>
      </w:r>
      <w:bookmarkEnd w:id="39"/>
    </w:p>
    <w:p w14:paraId="4911439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default" w:ascii="宋体" w:hAnsi="宋体" w:eastAsia="宋体"/>
          <w:color w:val="auto"/>
          <w:szCs w:val="21"/>
          <w:lang w:val="en-US" w:eastAsia="zh-CN"/>
        </w:rPr>
      </w:pPr>
      <w:r>
        <w:rPr>
          <w:rFonts w:hint="eastAsia" w:ascii="宋体" w:hAnsi="宋体"/>
          <w:color w:val="auto"/>
          <w:szCs w:val="21"/>
        </w:rPr>
        <w:t>（1）合同金额小写：</w:t>
      </w:r>
      <w:r>
        <w:rPr>
          <w:rFonts w:hint="eastAsia" w:ascii="宋体" w:hAnsi="宋体"/>
          <w:color w:val="auto"/>
          <w:szCs w:val="21"/>
          <w:u w:val="single"/>
          <w:lang w:val="en-US" w:eastAsia="zh-CN"/>
        </w:rPr>
        <w:t xml:space="preserve">       </w:t>
      </w:r>
      <w:r>
        <w:rPr>
          <w:rFonts w:hint="eastAsia" w:ascii="宋体" w:hAnsi="宋体"/>
          <w:color w:val="auto"/>
          <w:szCs w:val="21"/>
          <w:u w:val="none"/>
          <w:lang w:val="en-US" w:eastAsia="zh-CN"/>
        </w:rPr>
        <w:t xml:space="preserve"> 元</w:t>
      </w:r>
    </w:p>
    <w:p w14:paraId="31DE993D">
      <w:pPr>
        <w:pageBreakBefore w:val="0"/>
        <w:widowControl w:val="0"/>
        <w:kinsoku/>
        <w:wordWrap/>
        <w:overflowPunct/>
        <w:topLinePunct w:val="0"/>
        <w:autoSpaceDE/>
        <w:autoSpaceDN/>
        <w:bidi w:val="0"/>
        <w:adjustRightInd w:val="0"/>
        <w:snapToGrid w:val="0"/>
        <w:spacing w:line="500" w:lineRule="exact"/>
        <w:ind w:firstLine="1260" w:firstLineChars="600"/>
        <w:textAlignment w:val="auto"/>
        <w:rPr>
          <w:rFonts w:ascii="宋体" w:hAnsi="宋体"/>
          <w:b/>
          <w:color w:val="auto"/>
          <w:szCs w:val="21"/>
        </w:rPr>
      </w:pPr>
      <w:r>
        <w:rPr>
          <w:rFonts w:hint="eastAsia" w:ascii="宋体" w:hAnsi="宋体"/>
          <w:color w:val="auto"/>
          <w:szCs w:val="21"/>
        </w:rPr>
        <w:t>大写：</w:t>
      </w:r>
      <w:r>
        <w:rPr>
          <w:rFonts w:hint="eastAsia" w:ascii="宋体" w:hAnsi="宋体"/>
          <w:color w:val="auto"/>
          <w:szCs w:val="21"/>
          <w:u w:val="single"/>
        </w:rPr>
        <w:t xml:space="preserve">                      </w:t>
      </w:r>
    </w:p>
    <w:p w14:paraId="1145F38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（2）具体标的见附件。</w:t>
      </w:r>
    </w:p>
    <w:p w14:paraId="64EA970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（3）合同价格形式：</w:t>
      </w:r>
      <w:r>
        <w:rPr>
          <w:rFonts w:hint="eastAsia" w:ascii="宋体" w:hAnsi="宋体"/>
          <w:color w:val="auto"/>
          <w:szCs w:val="21"/>
          <w:u w:val="single"/>
        </w:rPr>
        <w:t xml:space="preserve">           </w:t>
      </w:r>
      <w:r>
        <w:rPr>
          <w:rFonts w:hint="eastAsia" w:ascii="宋体" w:hAnsi="宋体"/>
          <w:color w:val="auto"/>
          <w:szCs w:val="21"/>
        </w:rPr>
        <w:t xml:space="preserve"> </w:t>
      </w:r>
    </w:p>
    <w:p w14:paraId="7648B36A">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u w:val="single"/>
        </w:rPr>
      </w:pPr>
      <w:bookmarkStart w:id="40" w:name="_Toc14599"/>
      <w:r>
        <w:rPr>
          <w:rFonts w:hint="eastAsia" w:ascii="黑体" w:hAnsi="黑体" w:eastAsia="黑体"/>
          <w:color w:val="auto"/>
          <w:sz w:val="24"/>
          <w:szCs w:val="24"/>
        </w:rPr>
        <w:t>3.履行合同的时间、地点及方式</w:t>
      </w:r>
      <w:bookmarkEnd w:id="40"/>
    </w:p>
    <w:p w14:paraId="44ECD067">
      <w:pPr>
        <w:pageBreakBefore w:val="0"/>
        <w:widowControl w:val="0"/>
        <w:kinsoku/>
        <w:wordWrap/>
        <w:overflowPunct/>
        <w:topLinePunct w:val="0"/>
        <w:autoSpaceDE/>
        <w:autoSpaceDN/>
        <w:bidi w:val="0"/>
        <w:adjustRightInd w:val="0"/>
        <w:snapToGrid w:val="0"/>
        <w:spacing w:line="500" w:lineRule="exact"/>
        <w:ind w:firstLine="630" w:firstLineChars="300"/>
        <w:textAlignment w:val="auto"/>
        <w:rPr>
          <w:rFonts w:ascii="宋体" w:hAnsi="宋体"/>
          <w:color w:val="auto"/>
          <w:szCs w:val="21"/>
        </w:rPr>
      </w:pPr>
      <w:r>
        <w:rPr>
          <w:rFonts w:hint="eastAsia" w:ascii="宋体" w:hAnsi="宋体"/>
          <w:color w:val="auto"/>
          <w:szCs w:val="21"/>
        </w:rPr>
        <w:t>起始日期：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日，完成日期：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日。总日历天数：</w:t>
      </w:r>
      <w:r>
        <w:rPr>
          <w:rFonts w:hint="eastAsia" w:ascii="宋体" w:hAnsi="宋体"/>
          <w:color w:val="auto"/>
          <w:szCs w:val="21"/>
          <w:u w:val="single"/>
        </w:rPr>
        <w:t xml:space="preserve">     </w:t>
      </w:r>
      <w:r>
        <w:rPr>
          <w:rFonts w:hint="eastAsia" w:ascii="宋体" w:hAnsi="宋体"/>
          <w:color w:val="auto"/>
          <w:szCs w:val="21"/>
        </w:rPr>
        <w:t>天。</w:t>
      </w:r>
    </w:p>
    <w:p w14:paraId="041D5633">
      <w:pPr>
        <w:pageBreakBefore w:val="0"/>
        <w:widowControl w:val="0"/>
        <w:kinsoku/>
        <w:wordWrap/>
        <w:overflowPunct/>
        <w:topLinePunct w:val="0"/>
        <w:autoSpaceDE/>
        <w:autoSpaceDN/>
        <w:bidi w:val="0"/>
        <w:adjustRightInd w:val="0"/>
        <w:snapToGrid w:val="0"/>
        <w:spacing w:line="500" w:lineRule="exact"/>
        <w:ind w:firstLine="630" w:firstLineChars="300"/>
        <w:textAlignment w:val="auto"/>
        <w:rPr>
          <w:rFonts w:ascii="宋体" w:hAnsi="宋体"/>
          <w:color w:val="auto"/>
          <w:szCs w:val="21"/>
          <w:u w:val="single"/>
        </w:rPr>
      </w:pP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u w:val="single"/>
        </w:rPr>
        <w:t xml:space="preserve">                             </w:t>
      </w:r>
    </w:p>
    <w:p w14:paraId="7BB3A20E">
      <w:pPr>
        <w:pageBreakBefore w:val="0"/>
        <w:widowControl w:val="0"/>
        <w:kinsoku/>
        <w:wordWrap/>
        <w:overflowPunct/>
        <w:topLinePunct w:val="0"/>
        <w:autoSpaceDE/>
        <w:autoSpaceDN/>
        <w:bidi w:val="0"/>
        <w:adjustRightInd w:val="0"/>
        <w:snapToGrid w:val="0"/>
        <w:spacing w:line="500" w:lineRule="exact"/>
        <w:ind w:firstLine="630" w:firstLineChars="300"/>
        <w:textAlignment w:val="auto"/>
        <w:rPr>
          <w:rFonts w:ascii="宋体" w:hAnsi="宋体"/>
          <w:color w:val="auto"/>
          <w:szCs w:val="21"/>
        </w:rPr>
      </w:pPr>
      <w:r>
        <w:rPr>
          <w:rFonts w:hint="eastAsia" w:ascii="宋体" w:hAnsi="宋体"/>
          <w:color w:val="auto"/>
          <w:szCs w:val="21"/>
        </w:rPr>
        <w:t>方式：</w:t>
      </w:r>
      <w:r>
        <w:rPr>
          <w:rFonts w:hint="eastAsia" w:ascii="宋体" w:hAnsi="宋体"/>
          <w:color w:val="auto"/>
          <w:szCs w:val="21"/>
          <w:u w:val="single"/>
        </w:rPr>
        <w:t xml:space="preserve">                             </w:t>
      </w:r>
    </w:p>
    <w:p w14:paraId="4C517A7E">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rPr>
      </w:pPr>
      <w:bookmarkStart w:id="41" w:name="_Toc19539"/>
      <w:r>
        <w:rPr>
          <w:rFonts w:hint="eastAsia" w:ascii="黑体" w:hAnsi="黑体" w:eastAsia="黑体"/>
          <w:color w:val="auto"/>
          <w:sz w:val="24"/>
          <w:szCs w:val="24"/>
        </w:rPr>
        <w:t>4.付款</w:t>
      </w:r>
      <w:bookmarkEnd w:id="41"/>
    </w:p>
    <w:p w14:paraId="341AD51C">
      <w:pPr>
        <w:pageBreakBefore w:val="0"/>
        <w:widowControl w:val="0"/>
        <w:kinsoku/>
        <w:wordWrap/>
        <w:overflowPunct/>
        <w:topLinePunct w:val="0"/>
        <w:autoSpaceDE/>
        <w:autoSpaceDN/>
        <w:bidi w:val="0"/>
        <w:adjustRightInd w:val="0"/>
        <w:snapToGrid w:val="0"/>
        <w:spacing w:line="500" w:lineRule="exact"/>
        <w:ind w:firstLine="630" w:firstLineChars="300"/>
        <w:textAlignment w:val="auto"/>
        <w:rPr>
          <w:rFonts w:ascii="宋体" w:hAnsi="宋体"/>
          <w:color w:val="auto"/>
          <w:szCs w:val="21"/>
        </w:rPr>
      </w:pPr>
      <w:r>
        <w:rPr>
          <w:rFonts w:hint="eastAsia" w:ascii="宋体" w:hAnsi="宋体"/>
          <w:color w:val="auto"/>
          <w:szCs w:val="21"/>
        </w:rPr>
        <w:t>1、</w:t>
      </w:r>
      <w:r>
        <w:rPr>
          <w:rFonts w:hint="eastAsia" w:ascii="宋体" w:hAnsi="宋体"/>
          <w:color w:val="auto"/>
          <w:szCs w:val="21"/>
          <w:u w:val="single"/>
        </w:rPr>
        <w:t xml:space="preserve">                                             </w:t>
      </w:r>
      <w:r>
        <w:rPr>
          <w:rFonts w:hint="eastAsia" w:ascii="宋体" w:hAnsi="宋体"/>
          <w:color w:val="auto"/>
          <w:szCs w:val="21"/>
        </w:rPr>
        <w:t xml:space="preserve">。  </w:t>
      </w:r>
    </w:p>
    <w:p w14:paraId="39C5A80E">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rPr>
      </w:pPr>
      <w:bookmarkStart w:id="42" w:name="_Toc4820"/>
      <w:r>
        <w:rPr>
          <w:rFonts w:hint="eastAsia" w:ascii="黑体" w:hAnsi="黑体" w:eastAsia="黑体"/>
          <w:color w:val="auto"/>
          <w:sz w:val="24"/>
          <w:szCs w:val="24"/>
        </w:rPr>
        <w:t>5.解决合同纠纷方式</w:t>
      </w:r>
      <w:bookmarkEnd w:id="42"/>
    </w:p>
    <w:p w14:paraId="6C30A93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首先通过双方协商解决，协商解决不成，则通过以下途径之一解决纠纷：</w:t>
      </w:r>
    </w:p>
    <w:p w14:paraId="7E6459DE">
      <w:pPr>
        <w:pageBreakBefore w:val="0"/>
        <w:widowControl w:val="0"/>
        <w:kinsoku/>
        <w:wordWrap/>
        <w:overflowPunct/>
        <w:topLinePunct w:val="0"/>
        <w:autoSpaceDE/>
        <w:autoSpaceDN/>
        <w:bidi w:val="0"/>
        <w:adjustRightInd w:val="0"/>
        <w:snapToGrid w:val="0"/>
        <w:spacing w:line="500" w:lineRule="exact"/>
        <w:ind w:firstLine="840" w:firstLineChars="400"/>
        <w:textAlignment w:val="auto"/>
        <w:rPr>
          <w:rFonts w:ascii="宋体" w:hAnsi="宋体"/>
          <w:color w:val="auto"/>
          <w:szCs w:val="21"/>
        </w:rPr>
      </w:pPr>
      <w:r>
        <w:rPr>
          <w:rFonts w:hint="eastAsia" w:ascii="宋体" w:hAnsi="宋体"/>
          <w:color w:val="auto"/>
          <w:szCs w:val="21"/>
        </w:rPr>
        <w:t>□ 提请仲裁       □ 向人民法院提起诉讼</w:t>
      </w:r>
    </w:p>
    <w:p w14:paraId="06D0403F">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rPr>
      </w:pPr>
      <w:bookmarkStart w:id="43" w:name="_Toc11345"/>
      <w:r>
        <w:rPr>
          <w:rFonts w:hint="eastAsia" w:ascii="黑体" w:hAnsi="黑体" w:eastAsia="黑体"/>
          <w:color w:val="auto"/>
          <w:sz w:val="24"/>
          <w:szCs w:val="24"/>
        </w:rPr>
        <w:t>6.组成合同的文件</w:t>
      </w:r>
      <w:bookmarkEnd w:id="43"/>
    </w:p>
    <w:p w14:paraId="347E9B0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23B2543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（1）在采购或合同履行过程中乙方作出的承诺以及双方协商达成的变更或补充协议</w:t>
      </w:r>
    </w:p>
    <w:p w14:paraId="2DAFB85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（2）本合同协议书</w:t>
      </w:r>
    </w:p>
    <w:p w14:paraId="1B79E0B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（3）成交通知书</w:t>
      </w:r>
    </w:p>
    <w:p w14:paraId="3A7D1DE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（4）响应文件</w:t>
      </w:r>
    </w:p>
    <w:p w14:paraId="18A8CFF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（5）政府采购合同</w:t>
      </w:r>
    </w:p>
    <w:p w14:paraId="65D0BFA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（6）谈判文件</w:t>
      </w:r>
    </w:p>
    <w:p w14:paraId="5500F76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（7）标准、规范及有关技术文件，图纸。</w:t>
      </w:r>
    </w:p>
    <w:p w14:paraId="4F61681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（8）其他合同文件。</w:t>
      </w:r>
    </w:p>
    <w:p w14:paraId="4366562E">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rPr>
      </w:pPr>
      <w:bookmarkStart w:id="44" w:name="_Toc3662"/>
      <w:r>
        <w:rPr>
          <w:rFonts w:hint="eastAsia" w:ascii="黑体" w:hAnsi="黑体" w:eastAsia="黑体"/>
          <w:color w:val="auto"/>
          <w:sz w:val="24"/>
          <w:szCs w:val="24"/>
        </w:rPr>
        <w:t>7.合同生效</w:t>
      </w:r>
      <w:bookmarkEnd w:id="44"/>
    </w:p>
    <w:p w14:paraId="3E077CB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476F0742">
      <w:pPr>
        <w:pStyle w:val="4"/>
        <w:pageBreakBefore w:val="0"/>
        <w:widowControl w:val="0"/>
        <w:kinsoku/>
        <w:wordWrap/>
        <w:overflowPunct/>
        <w:topLinePunct w:val="0"/>
        <w:autoSpaceDE/>
        <w:autoSpaceDN/>
        <w:bidi w:val="0"/>
        <w:adjustRightInd w:val="0"/>
        <w:snapToGrid w:val="0"/>
        <w:spacing w:before="0" w:after="0" w:line="500" w:lineRule="exact"/>
        <w:textAlignment w:val="auto"/>
        <w:rPr>
          <w:rFonts w:ascii="黑体" w:hAnsi="黑体" w:eastAsia="黑体"/>
          <w:color w:val="auto"/>
          <w:sz w:val="24"/>
          <w:szCs w:val="24"/>
        </w:rPr>
      </w:pPr>
      <w:bookmarkStart w:id="45" w:name="_Toc15529"/>
      <w:r>
        <w:rPr>
          <w:rFonts w:hint="eastAsia" w:ascii="黑体" w:hAnsi="黑体" w:eastAsia="黑体"/>
          <w:color w:val="auto"/>
          <w:sz w:val="24"/>
          <w:szCs w:val="24"/>
        </w:rPr>
        <w:t>8.合同份数</w:t>
      </w:r>
      <w:bookmarkEnd w:id="45"/>
    </w:p>
    <w:p w14:paraId="40E6A8A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份，采购人执</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55E1A122">
      <w:pPr>
        <w:pageBreakBefore w:val="0"/>
        <w:widowControl w:val="0"/>
        <w:kinsoku/>
        <w:wordWrap/>
        <w:overflowPunct/>
        <w:topLinePunct w:val="0"/>
        <w:autoSpaceDE/>
        <w:autoSpaceDN/>
        <w:bidi w:val="0"/>
        <w:snapToGrid w:val="0"/>
        <w:spacing w:line="500" w:lineRule="exact"/>
        <w:textAlignment w:val="auto"/>
        <w:rPr>
          <w:color w:val="auto"/>
        </w:rPr>
      </w:pPr>
    </w:p>
    <w:p w14:paraId="003863AB">
      <w:pPr>
        <w:pageBreakBefore w:val="0"/>
        <w:widowControl w:val="0"/>
        <w:kinsoku/>
        <w:wordWrap/>
        <w:overflowPunct/>
        <w:topLinePunct w:val="0"/>
        <w:autoSpaceDE/>
        <w:autoSpaceDN/>
        <w:bidi w:val="0"/>
        <w:adjustRightInd w:val="0"/>
        <w:snapToGrid w:val="0"/>
        <w:spacing w:line="500" w:lineRule="exact"/>
        <w:textAlignment w:val="auto"/>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EA40C81">
      <w:pPr>
        <w:pageBreakBefore w:val="0"/>
        <w:widowControl w:val="0"/>
        <w:kinsoku/>
        <w:wordWrap/>
        <w:overflowPunct/>
        <w:topLinePunct w:val="0"/>
        <w:autoSpaceDE/>
        <w:autoSpaceDN/>
        <w:bidi w:val="0"/>
        <w:adjustRightInd w:val="0"/>
        <w:snapToGrid w:val="0"/>
        <w:spacing w:line="500" w:lineRule="exact"/>
        <w:textAlignment w:val="auto"/>
        <w:rPr>
          <w:rFonts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6B1C67F8">
      <w:pPr>
        <w:pageBreakBefore w:val="0"/>
        <w:widowControl w:val="0"/>
        <w:kinsoku/>
        <w:wordWrap/>
        <w:overflowPunct/>
        <w:topLinePunct w:val="0"/>
        <w:autoSpaceDE/>
        <w:autoSpaceDN/>
        <w:bidi w:val="0"/>
        <w:snapToGrid w:val="0"/>
        <w:spacing w:line="500" w:lineRule="exact"/>
        <w:textAlignment w:val="auto"/>
        <w:rPr>
          <w:color w:val="auto"/>
        </w:rPr>
      </w:pPr>
      <w:r>
        <w:rPr>
          <w:rFonts w:hint="eastAsia"/>
          <w:color w:val="auto"/>
        </w:rPr>
        <w:t xml:space="preserve">    </w:t>
      </w:r>
    </w:p>
    <w:p w14:paraId="20E011F3">
      <w:pPr>
        <w:pageBreakBefore w:val="0"/>
        <w:widowControl w:val="0"/>
        <w:kinsoku/>
        <w:wordWrap/>
        <w:overflowPunct/>
        <w:topLinePunct w:val="0"/>
        <w:autoSpaceDE/>
        <w:autoSpaceDN/>
        <w:bidi w:val="0"/>
        <w:adjustRightInd w:val="0"/>
        <w:snapToGrid w:val="0"/>
        <w:spacing w:line="500" w:lineRule="exact"/>
        <w:textAlignment w:val="auto"/>
        <w:rPr>
          <w:rFonts w:ascii="宋体" w:hAnsi="宋体"/>
          <w:color w:val="auto"/>
          <w:szCs w:val="21"/>
        </w:rPr>
      </w:pPr>
      <w:r>
        <w:rPr>
          <w:rFonts w:hint="eastAsia" w:ascii="宋体" w:hAnsi="宋体"/>
          <w:color w:val="auto"/>
          <w:szCs w:val="21"/>
        </w:rPr>
        <w:t>甲      方：（公章）                     乙      方：（公章）</w:t>
      </w:r>
    </w:p>
    <w:p w14:paraId="1A28871A">
      <w:pPr>
        <w:pageBreakBefore w:val="0"/>
        <w:widowControl w:val="0"/>
        <w:kinsoku/>
        <w:wordWrap/>
        <w:overflowPunct/>
        <w:topLinePunct w:val="0"/>
        <w:autoSpaceDE/>
        <w:autoSpaceDN/>
        <w:bidi w:val="0"/>
        <w:adjustRightInd w:val="0"/>
        <w:snapToGrid w:val="0"/>
        <w:spacing w:line="500" w:lineRule="exact"/>
        <w:textAlignment w:val="auto"/>
        <w:rPr>
          <w:rFonts w:ascii="宋体" w:hAnsi="宋体"/>
          <w:color w:val="auto"/>
          <w:szCs w:val="21"/>
        </w:rPr>
      </w:pPr>
      <w:r>
        <w:rPr>
          <w:rFonts w:hint="eastAsia" w:ascii="宋体" w:hAnsi="宋体"/>
          <w:color w:val="auto"/>
          <w:szCs w:val="21"/>
        </w:rPr>
        <w:t>法定代表人：</w:t>
      </w:r>
      <w:r>
        <w:rPr>
          <w:rFonts w:hint="eastAsia" w:ascii="宋体" w:hAnsi="宋体"/>
          <w:color w:val="auto"/>
          <w:szCs w:val="21"/>
          <w:u w:val="single"/>
        </w:rPr>
        <w:t xml:space="preserve">                   </w:t>
      </w:r>
      <w:r>
        <w:rPr>
          <w:rFonts w:hint="eastAsia" w:ascii="宋体" w:hAnsi="宋体"/>
          <w:color w:val="auto"/>
          <w:szCs w:val="21"/>
        </w:rPr>
        <w:t xml:space="preserve">         法定代表人：</w:t>
      </w:r>
      <w:r>
        <w:rPr>
          <w:rFonts w:hint="eastAsia" w:ascii="宋体" w:hAnsi="宋体"/>
          <w:color w:val="auto"/>
          <w:szCs w:val="21"/>
          <w:u w:val="single"/>
        </w:rPr>
        <w:t xml:space="preserve">                   </w:t>
      </w:r>
    </w:p>
    <w:p w14:paraId="71B0ADE3">
      <w:pPr>
        <w:pageBreakBefore w:val="0"/>
        <w:widowControl w:val="0"/>
        <w:kinsoku/>
        <w:wordWrap/>
        <w:overflowPunct/>
        <w:topLinePunct w:val="0"/>
        <w:autoSpaceDE/>
        <w:autoSpaceDN/>
        <w:bidi w:val="0"/>
        <w:adjustRightInd w:val="0"/>
        <w:snapToGrid w:val="0"/>
        <w:spacing w:line="500" w:lineRule="exact"/>
        <w:textAlignment w:val="auto"/>
        <w:rPr>
          <w:rFonts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 xml:space="preserve">         委托代理人：</w:t>
      </w:r>
      <w:r>
        <w:rPr>
          <w:rFonts w:hint="eastAsia" w:ascii="宋体" w:hAnsi="宋体"/>
          <w:color w:val="auto"/>
          <w:szCs w:val="21"/>
          <w:u w:val="single"/>
        </w:rPr>
        <w:t xml:space="preserve">                   </w:t>
      </w:r>
    </w:p>
    <w:p w14:paraId="3CEFA887">
      <w:pPr>
        <w:pageBreakBefore w:val="0"/>
        <w:widowControl w:val="0"/>
        <w:kinsoku/>
        <w:wordWrap/>
        <w:overflowPunct/>
        <w:topLinePunct w:val="0"/>
        <w:autoSpaceDE/>
        <w:autoSpaceDN/>
        <w:bidi w:val="0"/>
        <w:adjustRightInd w:val="0"/>
        <w:snapToGrid w:val="0"/>
        <w:spacing w:line="500" w:lineRule="exact"/>
        <w:textAlignment w:val="auto"/>
        <w:rPr>
          <w:rFonts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rPr>
        <w:t xml:space="preserve">         电      话：</w:t>
      </w:r>
      <w:r>
        <w:rPr>
          <w:rFonts w:hint="eastAsia" w:ascii="宋体" w:hAnsi="宋体"/>
          <w:color w:val="auto"/>
          <w:szCs w:val="21"/>
          <w:u w:val="single"/>
        </w:rPr>
        <w:t xml:space="preserve">                   </w:t>
      </w:r>
    </w:p>
    <w:p w14:paraId="182320CE">
      <w:pPr>
        <w:pageBreakBefore w:val="0"/>
        <w:widowControl w:val="0"/>
        <w:kinsoku/>
        <w:wordWrap/>
        <w:overflowPunct/>
        <w:topLinePunct w:val="0"/>
        <w:autoSpaceDE/>
        <w:autoSpaceDN/>
        <w:bidi w:val="0"/>
        <w:adjustRightInd w:val="0"/>
        <w:snapToGrid w:val="0"/>
        <w:spacing w:line="500" w:lineRule="exact"/>
        <w:textAlignment w:val="auto"/>
        <w:rPr>
          <w:rFonts w:ascii="宋体" w:hAnsi="宋体"/>
          <w:color w:val="auto"/>
          <w:szCs w:val="21"/>
        </w:rPr>
      </w:pPr>
      <w:r>
        <w:rPr>
          <w:rFonts w:hint="eastAsia" w:ascii="宋体" w:hAnsi="宋体"/>
          <w:color w:val="auto"/>
          <w:szCs w:val="21"/>
        </w:rPr>
        <w:t>传      真：</w:t>
      </w:r>
      <w:r>
        <w:rPr>
          <w:rFonts w:hint="eastAsia" w:ascii="宋体" w:hAnsi="宋体"/>
          <w:color w:val="auto"/>
          <w:szCs w:val="21"/>
          <w:u w:val="single"/>
        </w:rPr>
        <w:t xml:space="preserve">                   </w:t>
      </w:r>
      <w:r>
        <w:rPr>
          <w:rFonts w:hint="eastAsia" w:ascii="宋体" w:hAnsi="宋体"/>
          <w:color w:val="auto"/>
          <w:szCs w:val="21"/>
        </w:rPr>
        <w:t xml:space="preserve">         传      真：</w:t>
      </w:r>
      <w:r>
        <w:rPr>
          <w:rFonts w:hint="eastAsia" w:ascii="宋体" w:hAnsi="宋体"/>
          <w:color w:val="auto"/>
          <w:szCs w:val="21"/>
          <w:u w:val="single"/>
        </w:rPr>
        <w:t xml:space="preserve">                   </w:t>
      </w:r>
    </w:p>
    <w:p w14:paraId="5DF7271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hAnsi="宋体"/>
          <w:color w:val="auto"/>
          <w:szCs w:val="21"/>
        </w:rPr>
      </w:pPr>
      <w:r>
        <w:rPr>
          <w:rFonts w:hint="eastAsia" w:ascii="宋体" w:hAnsi="宋体"/>
          <w:color w:val="auto"/>
          <w:szCs w:val="21"/>
        </w:rPr>
        <w:t xml:space="preserve">                                    开 户 银 行：</w:t>
      </w:r>
      <w:r>
        <w:rPr>
          <w:rFonts w:hint="eastAsia" w:ascii="宋体" w:hAnsi="宋体"/>
          <w:color w:val="auto"/>
          <w:szCs w:val="21"/>
          <w:u w:val="single"/>
        </w:rPr>
        <w:t xml:space="preserve">                   </w:t>
      </w:r>
    </w:p>
    <w:p w14:paraId="1042752E">
      <w:pPr>
        <w:pageBreakBefore w:val="0"/>
        <w:widowControl w:val="0"/>
        <w:kinsoku/>
        <w:wordWrap/>
        <w:overflowPunct/>
        <w:topLinePunct w:val="0"/>
        <w:autoSpaceDE/>
        <w:autoSpaceDN/>
        <w:bidi w:val="0"/>
        <w:adjustRightInd w:val="0"/>
        <w:snapToGrid w:val="0"/>
        <w:spacing w:line="500" w:lineRule="exact"/>
        <w:jc w:val="center"/>
        <w:textAlignment w:val="auto"/>
        <w:rPr>
          <w:rFonts w:ascii="宋体" w:hAnsi="宋体"/>
          <w:b/>
          <w:color w:val="auto"/>
          <w:szCs w:val="21"/>
        </w:rPr>
      </w:pPr>
      <w:r>
        <w:rPr>
          <w:rFonts w:hint="eastAsia" w:ascii="宋体" w:hAnsi="宋体"/>
          <w:color w:val="auto"/>
          <w:szCs w:val="21"/>
        </w:rPr>
        <w:t xml:space="preserve">         帐       号：</w:t>
      </w:r>
      <w:r>
        <w:rPr>
          <w:rFonts w:hint="eastAsia" w:ascii="宋体" w:hAnsi="宋体"/>
          <w:color w:val="auto"/>
          <w:szCs w:val="21"/>
          <w:u w:val="single"/>
        </w:rPr>
        <w:t xml:space="preserve">                 </w:t>
      </w:r>
    </w:p>
    <w:p w14:paraId="0DFD8586">
      <w:pPr>
        <w:pStyle w:val="3"/>
        <w:adjustRightInd w:val="0"/>
        <w:snapToGrid w:val="0"/>
        <w:spacing w:before="156" w:beforeLines="50"/>
        <w:jc w:val="center"/>
        <w:rPr>
          <w:rFonts w:ascii="黑体" w:hAnsi="黑体" w:eastAsia="黑体"/>
          <w:color w:val="auto"/>
          <w:sz w:val="28"/>
          <w:szCs w:val="28"/>
        </w:rPr>
      </w:pPr>
      <w:r>
        <w:rPr>
          <w:rFonts w:ascii="宋体" w:hAnsi="宋体"/>
          <w:color w:val="auto"/>
          <w:sz w:val="21"/>
          <w:szCs w:val="21"/>
          <w:u w:val="single"/>
        </w:rPr>
        <w:br w:type="page"/>
      </w:r>
      <w:bookmarkStart w:id="46" w:name="_Toc22201111"/>
      <w:bookmarkStart w:id="47" w:name="_Toc21903"/>
      <w:r>
        <w:rPr>
          <w:rFonts w:hint="eastAsia" w:ascii="黑体" w:hAnsi="黑体" w:eastAsia="黑体"/>
          <w:color w:val="auto"/>
          <w:sz w:val="28"/>
          <w:szCs w:val="28"/>
        </w:rPr>
        <w:t>第二节 采购合同</w:t>
      </w:r>
      <w:bookmarkEnd w:id="46"/>
      <w:bookmarkEnd w:id="47"/>
    </w:p>
    <w:p w14:paraId="0DDCE6F4">
      <w:pPr>
        <w:pStyle w:val="4"/>
        <w:bidi w:val="0"/>
        <w:jc w:val="center"/>
        <w:rPr>
          <w:b/>
          <w:bCs/>
          <w:color w:val="auto"/>
        </w:rPr>
      </w:pPr>
      <w:bookmarkStart w:id="48" w:name="_Toc31788"/>
      <w:bookmarkStart w:id="49" w:name="_Toc22201136"/>
      <w:r>
        <w:rPr>
          <w:rFonts w:hint="eastAsia"/>
          <w:color w:val="auto"/>
        </w:rPr>
        <w:t>采购合同通用条款</w:t>
      </w:r>
      <w:bookmarkEnd w:id="48"/>
    </w:p>
    <w:p w14:paraId="438988FE">
      <w:pPr>
        <w:keepNext w:val="0"/>
        <w:keepLines w:val="0"/>
        <w:pageBreakBefore w:val="0"/>
        <w:widowControl w:val="0"/>
        <w:tabs>
          <w:tab w:val="left" w:pos="8820"/>
          <w:tab w:val="left" w:pos="9345"/>
          <w:tab w:val="left" w:pos="9765"/>
        </w:tabs>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color w:val="auto"/>
          <w:sz w:val="24"/>
        </w:rPr>
        <w:t>1.</w:t>
      </w:r>
      <w:r>
        <w:rPr>
          <w:rFonts w:hint="eastAsia" w:asciiTheme="minorEastAsia" w:hAnsiTheme="minorEastAsia" w:eastAsiaTheme="minorEastAsia"/>
          <w:b/>
          <w:bCs/>
          <w:color w:val="auto"/>
          <w:sz w:val="24"/>
        </w:rPr>
        <w:t>定义</w:t>
      </w:r>
    </w:p>
    <w:p w14:paraId="2D5B240A">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1.1合同当事人</w:t>
      </w:r>
    </w:p>
    <w:p w14:paraId="748FAF51">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（1）采购人（以下称甲方）是指使用财政性资金，通过政府采购程序向供应商购买货物、服务的国家机关、事业单位、团体组织。本次采购的甲方名称、地址见</w:t>
      </w:r>
      <w:r>
        <w:rPr>
          <w:rFonts w:hint="eastAsia" w:asciiTheme="minorEastAsia" w:hAnsiTheme="minorEastAsia" w:eastAsiaTheme="minorEastAsia"/>
          <w:b/>
          <w:color w:val="auto"/>
          <w:szCs w:val="21"/>
        </w:rPr>
        <w:t>【政府采购合同专用条款】。</w:t>
      </w:r>
    </w:p>
    <w:p w14:paraId="6BF8AFD2">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b/>
          <w:color w:val="auto"/>
          <w:szCs w:val="21"/>
        </w:rPr>
      </w:pPr>
      <w:r>
        <w:rPr>
          <w:rFonts w:hint="eastAsia" w:asciiTheme="minorEastAsia" w:hAnsiTheme="minorEastAsia" w:eastAsiaTheme="minorEastAsia"/>
          <w:color w:val="auto"/>
          <w:szCs w:val="21"/>
        </w:rPr>
        <w:t>（2）供应商（以下称乙方）是指参加政府采购活动而取得中标结果，并向采购人提供货物、服务的法人、其他组织或者自然人。</w:t>
      </w:r>
    </w:p>
    <w:p w14:paraId="00F83F4E">
      <w:pPr>
        <w:keepNext w:val="0"/>
        <w:keepLines w:val="0"/>
        <w:pageBreakBefore w:val="0"/>
        <w:widowControl w:val="0"/>
        <w:tabs>
          <w:tab w:val="left" w:pos="570"/>
          <w:tab w:val="left" w:pos="9240"/>
          <w:tab w:val="left" w:pos="9555"/>
        </w:tabs>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1.2本合同下列术语应解释为：</w:t>
      </w:r>
    </w:p>
    <w:p w14:paraId="1033CB8F">
      <w:pPr>
        <w:keepNext w:val="0"/>
        <w:keepLines w:val="0"/>
        <w:pageBreakBefore w:val="0"/>
        <w:widowControl w:val="0"/>
        <w:tabs>
          <w:tab w:val="left" w:pos="570"/>
          <w:tab w:val="left" w:pos="9240"/>
          <w:tab w:val="left" w:pos="9555"/>
        </w:tabs>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（1）“合同”系指甲乙双方签署的、政府采购合同协议书中载明的甲乙双方所达成的协议，包括所有的附件、附录和上述文件所提到的构成合同的所有文件。</w:t>
      </w:r>
    </w:p>
    <w:p w14:paraId="63476EE5">
      <w:pPr>
        <w:keepNext w:val="0"/>
        <w:keepLines w:val="0"/>
        <w:pageBreakBefore w:val="0"/>
        <w:widowControl w:val="0"/>
        <w:tabs>
          <w:tab w:val="left" w:pos="570"/>
          <w:tab w:val="left" w:pos="9240"/>
          <w:tab w:val="left" w:pos="9555"/>
        </w:tabs>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（2）“合同价”系指根据本合同规定乙方在正确地完全履行合同义务后甲方应支付给乙方的价款。</w:t>
      </w:r>
    </w:p>
    <w:p w14:paraId="52AD6BD1">
      <w:pPr>
        <w:keepNext w:val="0"/>
        <w:keepLines w:val="0"/>
        <w:pageBreakBefore w:val="0"/>
        <w:widowControl w:val="0"/>
        <w:tabs>
          <w:tab w:val="left" w:pos="570"/>
          <w:tab w:val="left" w:pos="9240"/>
          <w:tab w:val="left" w:pos="9555"/>
        </w:tabs>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（3）“货物”系指乙方根据本合同规定须向甲方提供的各种形态和种类的物品，包括原材料、设备、产品（包括软件）及相关的其备品备件、工具、手册及其它技术资料和材料。</w:t>
      </w:r>
    </w:p>
    <w:p w14:paraId="50DD481A">
      <w:pPr>
        <w:keepNext w:val="0"/>
        <w:keepLines w:val="0"/>
        <w:pageBreakBefore w:val="0"/>
        <w:widowControl w:val="0"/>
        <w:tabs>
          <w:tab w:val="left" w:pos="570"/>
          <w:tab w:val="left" w:pos="8880"/>
          <w:tab w:val="left" w:pos="9555"/>
        </w:tabs>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386F47E8">
      <w:pPr>
        <w:keepNext w:val="0"/>
        <w:keepLines w:val="0"/>
        <w:pageBreakBefore w:val="0"/>
        <w:widowControl w:val="0"/>
        <w:tabs>
          <w:tab w:val="left" w:pos="570"/>
          <w:tab w:val="left" w:pos="9240"/>
          <w:tab w:val="left" w:pos="9555"/>
        </w:tabs>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（5）“合同条款”系指本合同条款。</w:t>
      </w:r>
    </w:p>
    <w:p w14:paraId="6A94AAC5">
      <w:pPr>
        <w:keepNext w:val="0"/>
        <w:keepLines w:val="0"/>
        <w:pageBreakBefore w:val="0"/>
        <w:widowControl w:val="0"/>
        <w:tabs>
          <w:tab w:val="left" w:pos="570"/>
          <w:tab w:val="left" w:pos="9240"/>
          <w:tab w:val="left" w:pos="9555"/>
        </w:tabs>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（6）“项目现场”系指本合同项下货物安装、运行的现场，其名称见</w:t>
      </w:r>
      <w:r>
        <w:rPr>
          <w:rFonts w:hint="eastAsia" w:asciiTheme="minorEastAsia" w:hAnsiTheme="minorEastAsia" w:eastAsiaTheme="minorEastAsia"/>
          <w:b/>
          <w:color w:val="auto"/>
          <w:szCs w:val="21"/>
        </w:rPr>
        <w:t>【政府采购合同专用条款】</w:t>
      </w:r>
      <w:r>
        <w:rPr>
          <w:rFonts w:hint="eastAsia" w:asciiTheme="minorEastAsia" w:hAnsiTheme="minorEastAsia" w:eastAsiaTheme="minorEastAsia"/>
          <w:color w:val="auto"/>
          <w:szCs w:val="21"/>
        </w:rPr>
        <w:t>。</w:t>
      </w:r>
    </w:p>
    <w:p w14:paraId="31EDFF66">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2.合同的适用范围</w:t>
      </w:r>
    </w:p>
    <w:p w14:paraId="6FD86E30">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2.1 本合同条款适用于没有被本合同其他部分的条款所取代的范围。</w:t>
      </w:r>
    </w:p>
    <w:p w14:paraId="48D83263">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2.2 合同内容根据</w:t>
      </w:r>
      <w:r>
        <w:rPr>
          <w:rFonts w:hint="eastAsia" w:asciiTheme="minorEastAsia" w:hAnsiTheme="minorEastAsia" w:eastAsiaTheme="minorEastAsia"/>
          <w:color w:val="auto"/>
          <w:szCs w:val="21"/>
          <w:lang w:eastAsia="zh-CN"/>
        </w:rPr>
        <w:t>采购</w:t>
      </w:r>
      <w:r>
        <w:rPr>
          <w:rFonts w:hint="eastAsia" w:asciiTheme="minorEastAsia" w:hAnsiTheme="minorEastAsia" w:eastAsiaTheme="minorEastAsia"/>
          <w:color w:val="auto"/>
          <w:szCs w:val="21"/>
        </w:rPr>
        <w:t>文件、</w:t>
      </w:r>
      <w:r>
        <w:rPr>
          <w:rFonts w:hint="eastAsia" w:asciiTheme="minorEastAsia" w:hAnsiTheme="minorEastAsia" w:eastAsiaTheme="minorEastAsia"/>
          <w:color w:val="auto"/>
          <w:szCs w:val="21"/>
          <w:lang w:eastAsia="zh-CN"/>
        </w:rPr>
        <w:t>响应</w:t>
      </w:r>
      <w:r>
        <w:rPr>
          <w:rFonts w:hint="eastAsia" w:asciiTheme="minorEastAsia" w:hAnsiTheme="minorEastAsia" w:eastAsiaTheme="minorEastAsia"/>
          <w:color w:val="auto"/>
          <w:szCs w:val="21"/>
        </w:rPr>
        <w:t>文件而确定。</w:t>
      </w:r>
    </w:p>
    <w:p w14:paraId="63C4B5E6">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3.</w:t>
      </w:r>
      <w:r>
        <w:rPr>
          <w:rFonts w:hint="eastAsia" w:asciiTheme="minorEastAsia" w:hAnsiTheme="minorEastAsia" w:eastAsiaTheme="minorEastAsia"/>
          <w:b/>
          <w:color w:val="auto"/>
          <w:sz w:val="24"/>
        </w:rPr>
        <w:t>合同标的及金额</w:t>
      </w:r>
    </w:p>
    <w:p w14:paraId="2252727F">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3.1 合同标的及金额应与中标结果一致。</w:t>
      </w:r>
    </w:p>
    <w:p w14:paraId="7C094F02">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4.</w:t>
      </w:r>
      <w:r>
        <w:rPr>
          <w:rFonts w:hint="eastAsia" w:asciiTheme="minorEastAsia" w:hAnsiTheme="minorEastAsia" w:eastAsiaTheme="minorEastAsia"/>
          <w:b/>
          <w:color w:val="auto"/>
          <w:sz w:val="24"/>
        </w:rPr>
        <w:t>合同价款</w:t>
      </w:r>
    </w:p>
    <w:p w14:paraId="5B18462A">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b/>
          <w:bCs/>
          <w:i/>
          <w:iCs/>
          <w:color w:val="auto"/>
          <w:szCs w:val="21"/>
        </w:rPr>
      </w:pPr>
      <w:r>
        <w:rPr>
          <w:rFonts w:hint="eastAsia" w:asciiTheme="minorEastAsia" w:hAnsiTheme="minorEastAsia" w:eastAsiaTheme="minorEastAsia"/>
          <w:color w:val="auto"/>
          <w:szCs w:val="21"/>
        </w:rPr>
        <w:t>4.1具体合同价款见本合同第3.1条。乙方为履行本合同而发生的所有费用均应包含在合同价款中，甲方不再另行支付其它任何费用。</w:t>
      </w:r>
    </w:p>
    <w:p w14:paraId="521FFD1D">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5.履行合同的时间、地点和方式</w:t>
      </w:r>
    </w:p>
    <w:p w14:paraId="4CAB0E07">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5.1 乙方应当在甲方确定的时间、指定的地点履行合同，具体的交货时间、地点和方式见</w:t>
      </w:r>
      <w:r>
        <w:rPr>
          <w:rFonts w:hint="eastAsia" w:asciiTheme="minorEastAsia" w:hAnsiTheme="minorEastAsia" w:eastAsiaTheme="minorEastAsia"/>
          <w:b/>
          <w:color w:val="auto"/>
          <w:szCs w:val="21"/>
        </w:rPr>
        <w:t>【政府采购合同专用条款】</w:t>
      </w:r>
      <w:r>
        <w:rPr>
          <w:rFonts w:hint="eastAsia" w:asciiTheme="minorEastAsia" w:hAnsiTheme="minorEastAsia" w:eastAsiaTheme="minorEastAsia"/>
          <w:color w:val="auto"/>
          <w:szCs w:val="21"/>
        </w:rPr>
        <w:t>。</w:t>
      </w:r>
    </w:p>
    <w:p w14:paraId="7F4E5E96">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5.2 乙方提供服务的应当在甲方指定的地点完成服务项目。</w:t>
      </w:r>
    </w:p>
    <w:p w14:paraId="7823411E">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6.</w:t>
      </w:r>
      <w:r>
        <w:rPr>
          <w:rFonts w:hint="eastAsia" w:asciiTheme="minorEastAsia" w:hAnsiTheme="minorEastAsia" w:eastAsiaTheme="minorEastAsia"/>
          <w:b/>
          <w:color w:val="auto"/>
          <w:sz w:val="24"/>
        </w:rPr>
        <w:t>货物的验收</w:t>
      </w:r>
    </w:p>
    <w:p w14:paraId="1299D870">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6.1 甲方在收到乙方交付的货物后应当及时组织验收。</w:t>
      </w:r>
    </w:p>
    <w:p w14:paraId="77F85D5B">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6.2 货物的表面瑕疵，甲方应在验收时当面提出；对质量问题有异议的应在安装调试后十个工作日内提出。</w:t>
      </w:r>
    </w:p>
    <w:p w14:paraId="1345C15B">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6.3 在验收过程中发现数量不足或有质量、技术等问题，乙方应负责按照甲方的要求采取补足、更换或退货等处理措施，并承担由此发生的一切费用和损失。</w:t>
      </w:r>
    </w:p>
    <w:p w14:paraId="3F47E91E">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6.4 甲方在乙方按合同规定交货或安装、调试后，无正当理由而拖延接收、验收或拒绝接收、验收的，应承担因此给乙方造成的直接损失。</w:t>
      </w:r>
    </w:p>
    <w:p w14:paraId="0B718F90">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6.5 甲方对货物进行检查验收合格后，应当收取发票并在《交货验收单》上签署验收意见及加盖单位印章。</w:t>
      </w:r>
    </w:p>
    <w:p w14:paraId="3C2FE671">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6.6 大型或者复杂的货物采购项目，甲方可以邀请国家认可的质量检测机构参加验收工作，并由其出具验收报告单。</w:t>
      </w:r>
    </w:p>
    <w:p w14:paraId="7B563CAE">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6.7 乙方提供的进口产品，乙方应出示中华人民共和国进出口商品检验部门出具的检验证书（</w:t>
      </w:r>
      <w:r>
        <w:rPr>
          <w:rFonts w:hint="eastAsia" w:asciiTheme="minorEastAsia" w:hAnsiTheme="minorEastAsia" w:eastAsiaTheme="minorEastAsia"/>
          <w:color w:val="auto"/>
          <w:szCs w:val="21"/>
          <w:lang w:eastAsia="zh-CN"/>
        </w:rPr>
        <w:t>采购</w:t>
      </w:r>
      <w:r>
        <w:rPr>
          <w:rFonts w:hint="eastAsia" w:asciiTheme="minorEastAsia" w:hAnsiTheme="minorEastAsia" w:eastAsiaTheme="minorEastAsia"/>
          <w:color w:val="auto"/>
          <w:szCs w:val="21"/>
        </w:rPr>
        <w:t>文件第</w:t>
      </w:r>
      <w:r>
        <w:rPr>
          <w:rFonts w:hint="eastAsia" w:asciiTheme="minorEastAsia" w:hAnsiTheme="minorEastAsia" w:eastAsiaTheme="minorEastAsia"/>
          <w:color w:val="auto"/>
          <w:szCs w:val="21"/>
          <w:lang w:eastAsia="zh-CN"/>
        </w:rPr>
        <w:t>三</w:t>
      </w:r>
      <w:r>
        <w:rPr>
          <w:rFonts w:hint="eastAsia" w:asciiTheme="minorEastAsia" w:hAnsiTheme="minorEastAsia" w:eastAsiaTheme="minorEastAsia"/>
          <w:color w:val="auto"/>
          <w:szCs w:val="21"/>
        </w:rPr>
        <w:t>章采购需求另有约定的除外）。</w:t>
      </w:r>
    </w:p>
    <w:p w14:paraId="31FA39E4">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7.货物包装要求</w:t>
      </w:r>
    </w:p>
    <w:p w14:paraId="448EE243">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22AEE742">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7.2 每一个包装箱内应附一份详细装箱单、质量证书和保修保养证书。</w:t>
      </w:r>
    </w:p>
    <w:p w14:paraId="510F6182">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8.运输和保险</w:t>
      </w:r>
    </w:p>
    <w:p w14:paraId="7E53669A">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8.1乙方负责办理将货物运抵本合同第5.1条规定的交货地点的一切运输事项，相关费用应包括在合同总价中。</w:t>
      </w:r>
    </w:p>
    <w:p w14:paraId="11E145B3">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8.2乙方应向保险公司投保以甲方为受益人的发运合同货物发票金额的110％运输一切险。</w:t>
      </w:r>
    </w:p>
    <w:p w14:paraId="0F87B3FB">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9.质量标准和保证</w:t>
      </w:r>
    </w:p>
    <w:p w14:paraId="30C61E3F">
      <w:pPr>
        <w:pStyle w:val="22"/>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b/>
          <w:color w:val="auto"/>
        </w:rPr>
      </w:pPr>
      <w:r>
        <w:rPr>
          <w:rFonts w:hint="eastAsia" w:asciiTheme="minorEastAsia" w:hAnsiTheme="minorEastAsia" w:eastAsiaTheme="minorEastAsia"/>
          <w:color w:val="auto"/>
        </w:rPr>
        <w:t>9.1 质量标准</w:t>
      </w:r>
    </w:p>
    <w:p w14:paraId="404EFD55">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（1）本合同下交付的货物应符合</w:t>
      </w:r>
      <w:r>
        <w:rPr>
          <w:rFonts w:hint="eastAsia" w:asciiTheme="minorEastAsia" w:hAnsiTheme="minorEastAsia" w:eastAsiaTheme="minorEastAsia"/>
          <w:color w:val="auto"/>
          <w:szCs w:val="21"/>
          <w:lang w:eastAsia="zh-CN"/>
        </w:rPr>
        <w:t>采购</w:t>
      </w:r>
      <w:r>
        <w:rPr>
          <w:rFonts w:hint="eastAsia" w:asciiTheme="minorEastAsia" w:hAnsiTheme="minorEastAsia" w:eastAsiaTheme="minorEastAsia"/>
          <w:color w:val="auto"/>
          <w:szCs w:val="21"/>
        </w:rPr>
        <w:t>文件第</w:t>
      </w:r>
      <w:r>
        <w:rPr>
          <w:rFonts w:hint="eastAsia" w:asciiTheme="minorEastAsia" w:hAnsiTheme="minorEastAsia" w:eastAsiaTheme="minorEastAsia"/>
          <w:color w:val="auto"/>
          <w:szCs w:val="21"/>
          <w:lang w:eastAsia="zh-CN"/>
        </w:rPr>
        <w:t>三</w:t>
      </w:r>
      <w:r>
        <w:rPr>
          <w:rFonts w:hint="eastAsia" w:asciiTheme="minorEastAsia" w:hAnsiTheme="minorEastAsia" w:eastAsiaTheme="minorEastAsia"/>
          <w:color w:val="auto"/>
          <w:szCs w:val="21"/>
        </w:rPr>
        <w:t>章“</w:t>
      </w:r>
      <w:r>
        <w:rPr>
          <w:rFonts w:hint="eastAsia" w:asciiTheme="minorEastAsia" w:hAnsiTheme="minorEastAsia" w:eastAsiaTheme="minorEastAsia"/>
          <w:color w:val="auto"/>
          <w:szCs w:val="21"/>
          <w:lang w:eastAsia="zh-CN"/>
        </w:rPr>
        <w:t>采购需求</w:t>
      </w:r>
      <w:r>
        <w:rPr>
          <w:rFonts w:hint="eastAsia" w:asciiTheme="minorEastAsia" w:hAnsiTheme="minorEastAsia" w:eastAsiaTheme="minorEastAsia"/>
          <w:color w:val="auto"/>
          <w:szCs w:val="21"/>
        </w:rPr>
        <w:t>”所述的标准。如果没有提及适用标准，则应符合中华人民共和国有关机构发布的最新版本的标准。</w:t>
      </w:r>
    </w:p>
    <w:p w14:paraId="61E89764">
      <w:pPr>
        <w:pStyle w:val="22"/>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rPr>
      </w:pPr>
      <w:r>
        <w:rPr>
          <w:rFonts w:hint="eastAsia" w:asciiTheme="minorEastAsia" w:hAnsiTheme="minorEastAsia" w:eastAsiaTheme="minorEastAsia"/>
          <w:color w:val="auto"/>
        </w:rPr>
        <w:t>（2）采用中华人民共和国法定计量单位。</w:t>
      </w:r>
    </w:p>
    <w:p w14:paraId="35201F81">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（3）乙方所出售的货物还应符合国家有关安全、环保、卫生之规定。</w:t>
      </w:r>
    </w:p>
    <w:p w14:paraId="70A275A7">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9.2 保证</w:t>
      </w:r>
    </w:p>
    <w:p w14:paraId="70F321B0">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Theme="minorEastAsia" w:hAnsiTheme="minorEastAsia" w:eastAsiaTheme="minorEastAsia"/>
          <w:b/>
          <w:color w:val="auto"/>
          <w:szCs w:val="21"/>
        </w:rPr>
        <w:t>【政府采购合同专用条款】</w:t>
      </w:r>
      <w:r>
        <w:rPr>
          <w:rFonts w:hint="eastAsia" w:asciiTheme="minorEastAsia" w:hAnsiTheme="minorEastAsia" w:eastAsiaTheme="minorEastAsia"/>
          <w:color w:val="auto"/>
          <w:szCs w:val="21"/>
        </w:rPr>
        <w:t>规定或乙方承诺（两者以较长的为准）的质量保证期内，本保证保持有效。</w:t>
      </w:r>
    </w:p>
    <w:p w14:paraId="1311C350">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（2）在质量保证期内所发现的缺陷，甲方应尽快以书面形式通知乙方。</w:t>
      </w:r>
    </w:p>
    <w:p w14:paraId="4F8E2F69">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（3）乙方收到通知后应在</w:t>
      </w:r>
      <w:r>
        <w:rPr>
          <w:rFonts w:hint="eastAsia" w:asciiTheme="minorEastAsia" w:hAnsiTheme="minorEastAsia" w:eastAsiaTheme="minorEastAsia"/>
          <w:b/>
          <w:color w:val="auto"/>
          <w:szCs w:val="21"/>
        </w:rPr>
        <w:t>【政府采购合同专用条款】</w:t>
      </w:r>
      <w:r>
        <w:rPr>
          <w:rFonts w:hint="eastAsia" w:asciiTheme="minorEastAsia" w:hAnsiTheme="minorEastAsia" w:eastAsiaTheme="minorEastAsia"/>
          <w:color w:val="auto"/>
          <w:szCs w:val="21"/>
        </w:rPr>
        <w:t>规定的响应时间内以合理的速度免费维修或更换有缺陷的货物或部件。</w:t>
      </w:r>
    </w:p>
    <w:p w14:paraId="3133627D">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101E3104">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b/>
          <w:color w:val="auto"/>
          <w:szCs w:val="21"/>
        </w:rPr>
      </w:pPr>
      <w:r>
        <w:rPr>
          <w:rFonts w:hint="eastAsia" w:asciiTheme="minorEastAsia" w:hAnsiTheme="minorEastAsia" w:eastAsiaTheme="minorEastAsia"/>
          <w:color w:val="auto"/>
          <w:szCs w:val="21"/>
        </w:rPr>
        <w:t>（5）乙方在约定的时间内未能弥补缺陷，甲方可采取必要的补救措施，但其风险和费用将由乙方承担，甲方根据合同规定对乙方行使的其他权利不受影响。</w:t>
      </w:r>
    </w:p>
    <w:p w14:paraId="362721D1">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10.权利瑕疵担保</w:t>
      </w:r>
    </w:p>
    <w:p w14:paraId="6336DE24">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10.1 乙方保证对其出售的货物享有合法的权利。</w:t>
      </w:r>
    </w:p>
    <w:p w14:paraId="38111B4F">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10.2 乙方保证在其出售的货物上不存在任何未曾向甲方透露的担保物权，如抵押权、质押权、留置权等。</w:t>
      </w:r>
    </w:p>
    <w:p w14:paraId="5578EE02">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10.3 如甲方使用该货物构成上述侵权的，则由乙方承担全部责任。</w:t>
      </w:r>
    </w:p>
    <w:p w14:paraId="1BF76126">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11.知识产权保护</w:t>
      </w:r>
    </w:p>
    <w:p w14:paraId="56FE414F">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11.1 乙方对其所销售的货物应当享有知识产权或经权利人合法授权，保证没有侵犯任何第三人的知识产权和商业秘密等权利。</w:t>
      </w:r>
    </w:p>
    <w:p w14:paraId="1B329B85">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11.2 甲方使用乙方提供的货物对第三人构成侵权的，应当由乙方承担全部法律责任，给甲方造成损害的，乙方应当承担赔偿责任。</w:t>
      </w:r>
    </w:p>
    <w:p w14:paraId="18AAAFD8">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11.3 甲方委托乙方开发的产品，甲方享有知识产权，未经甲方许可不得转让任何第三人。</w:t>
      </w:r>
    </w:p>
    <w:p w14:paraId="177DB766">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12.保密义务</w:t>
      </w:r>
    </w:p>
    <w:p w14:paraId="15BDDE62">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12.1 甲、乙双方在采购和履行合同过程中所获悉的对方属于保密的内容，双方均有保密义务。</w:t>
      </w:r>
    </w:p>
    <w:p w14:paraId="56677341">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13.合同价款支付</w:t>
      </w:r>
    </w:p>
    <w:p w14:paraId="4907F68C">
      <w:pPr>
        <w:adjustRightInd w:val="0"/>
        <w:snapToGrid w:val="0"/>
        <w:spacing w:before="50" w:line="360" w:lineRule="auto"/>
        <w:ind w:firstLine="420" w:firstLineChars="200"/>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rPr>
        <w:t>13.1验收合格后，乙方出具正规发票给甲方</w:t>
      </w:r>
      <w:r>
        <w:rPr>
          <w:rFonts w:hint="eastAsia" w:asciiTheme="minorEastAsia" w:hAnsiTheme="minorEastAsia" w:eastAsiaTheme="minorEastAsia"/>
          <w:color w:val="auto"/>
          <w:szCs w:val="21"/>
          <w:lang w:val="en-US" w:eastAsia="zh-CN"/>
        </w:rPr>
        <w:t>并提供相关报账资料</w:t>
      </w:r>
      <w:r>
        <w:rPr>
          <w:rFonts w:hint="eastAsia" w:asciiTheme="minorEastAsia" w:hAnsiTheme="minorEastAsia" w:eastAsiaTheme="minorEastAsia"/>
          <w:color w:val="auto"/>
          <w:szCs w:val="21"/>
        </w:rPr>
        <w:t>，凭甲方开具的《验收报告单》办理合同价</w:t>
      </w:r>
      <w:r>
        <w:rPr>
          <w:rFonts w:hint="eastAsia" w:asciiTheme="minorEastAsia" w:hAnsiTheme="minorEastAsia" w:eastAsiaTheme="minorEastAsia"/>
          <w:bCs/>
          <w:color w:val="auto"/>
          <w:szCs w:val="21"/>
        </w:rPr>
        <w:t>款</w:t>
      </w:r>
      <w:r>
        <w:rPr>
          <w:rFonts w:hint="eastAsia" w:asciiTheme="minorEastAsia" w:hAnsiTheme="minorEastAsia" w:eastAsiaTheme="minorEastAsia"/>
          <w:color w:val="auto"/>
          <w:szCs w:val="21"/>
        </w:rPr>
        <w:t>结算手续。</w:t>
      </w:r>
    </w:p>
    <w:p w14:paraId="11455533">
      <w:pPr>
        <w:autoSpaceDE w:val="0"/>
        <w:autoSpaceDN w:val="0"/>
        <w:adjustRightInd w:val="0"/>
        <w:snapToGrid w:val="0"/>
        <w:spacing w:before="50" w:line="360" w:lineRule="auto"/>
        <w:ind w:firstLine="420" w:firstLineChars="200"/>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rPr>
        <w:t>13.2 合同价款构成中应当由财政支付的部分，甲方应当在货物验收合格后的</w:t>
      </w:r>
      <w:r>
        <w:rPr>
          <w:rFonts w:hint="eastAsia" w:asciiTheme="minorEastAsia" w:hAnsiTheme="minorEastAsia" w:eastAsiaTheme="minorEastAsia"/>
          <w:color w:val="auto"/>
          <w:szCs w:val="21"/>
          <w:lang w:val="en-US" w:eastAsia="zh-CN"/>
        </w:rPr>
        <w:t>六十</w:t>
      </w:r>
      <w:r>
        <w:rPr>
          <w:rFonts w:hint="eastAsia" w:asciiTheme="minorEastAsia" w:hAnsiTheme="minorEastAsia" w:eastAsiaTheme="minorEastAsia"/>
          <w:color w:val="auto"/>
          <w:szCs w:val="21"/>
        </w:rPr>
        <w:t>个工作日内向国库管理部门申请支付，经国库管理部门审核后直接支付给乙方。</w:t>
      </w:r>
    </w:p>
    <w:p w14:paraId="75254484">
      <w:pPr>
        <w:adjustRightInd w:val="0"/>
        <w:snapToGrid w:val="0"/>
        <w:spacing w:before="50" w:line="360" w:lineRule="auto"/>
        <w:ind w:firstLine="420" w:firstLineChars="200"/>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rPr>
        <w:t>13.3 合同价款构成中应当由甲方自行支付的部分，甲方应当在货物验收合格后</w:t>
      </w:r>
      <w:r>
        <w:rPr>
          <w:rFonts w:hint="eastAsia" w:asciiTheme="minorEastAsia" w:hAnsiTheme="minorEastAsia" w:eastAsiaTheme="minorEastAsia"/>
          <w:color w:val="auto"/>
          <w:szCs w:val="21"/>
          <w:lang w:val="en-US" w:eastAsia="zh-CN"/>
        </w:rPr>
        <w:t>六十</w:t>
      </w:r>
      <w:r>
        <w:rPr>
          <w:rFonts w:hint="eastAsia" w:asciiTheme="minorEastAsia" w:hAnsiTheme="minorEastAsia" w:eastAsiaTheme="minorEastAsia"/>
          <w:color w:val="auto"/>
          <w:szCs w:val="21"/>
        </w:rPr>
        <w:t>个工作内支付。</w:t>
      </w:r>
    </w:p>
    <w:p w14:paraId="1014B333">
      <w:pPr>
        <w:adjustRightInd w:val="0"/>
        <w:snapToGrid w:val="0"/>
        <w:spacing w:before="50" w:line="360" w:lineRule="auto"/>
        <w:ind w:firstLine="420" w:firstLineChars="200"/>
        <w:jc w:val="left"/>
        <w:rPr>
          <w:rFonts w:asciiTheme="minorEastAsia" w:hAnsiTheme="minorEastAsia" w:eastAsiaTheme="minorEastAsia"/>
          <w:color w:val="auto"/>
          <w:szCs w:val="21"/>
        </w:rPr>
      </w:pPr>
      <w:r>
        <w:rPr>
          <w:rFonts w:hint="eastAsia" w:asciiTheme="minorEastAsia" w:hAnsiTheme="minorEastAsia" w:eastAsiaTheme="minorEastAsia"/>
          <w:color w:val="auto"/>
          <w:szCs w:val="21"/>
        </w:rPr>
        <w:t>13.4支付合同价</w:t>
      </w:r>
      <w:r>
        <w:rPr>
          <w:rFonts w:hint="eastAsia" w:asciiTheme="minorEastAsia" w:hAnsiTheme="minorEastAsia" w:eastAsiaTheme="minorEastAsia"/>
          <w:bCs/>
          <w:color w:val="auto"/>
          <w:szCs w:val="21"/>
        </w:rPr>
        <w:t>款</w:t>
      </w:r>
      <w:r>
        <w:rPr>
          <w:rFonts w:hint="eastAsia" w:asciiTheme="minorEastAsia" w:hAnsiTheme="minorEastAsia" w:eastAsiaTheme="minorEastAsia"/>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525FEA94">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13.5 合同价款支付方式</w:t>
      </w:r>
      <w:r>
        <w:rPr>
          <w:rFonts w:hint="eastAsia" w:asciiTheme="minorEastAsia" w:hAnsiTheme="minorEastAsia" w:eastAsiaTheme="minorEastAsia"/>
          <w:bCs/>
          <w:color w:val="auto"/>
          <w:szCs w:val="21"/>
        </w:rPr>
        <w:t>和条件在</w:t>
      </w:r>
      <w:r>
        <w:rPr>
          <w:rFonts w:hint="eastAsia" w:asciiTheme="minorEastAsia" w:hAnsiTheme="minorEastAsia" w:eastAsiaTheme="minorEastAsia"/>
          <w:b/>
          <w:color w:val="auto"/>
          <w:szCs w:val="21"/>
        </w:rPr>
        <w:t>【政府采购合同专用条款】</w:t>
      </w:r>
      <w:r>
        <w:rPr>
          <w:rFonts w:hint="eastAsia" w:asciiTheme="minorEastAsia" w:hAnsiTheme="minorEastAsia" w:eastAsiaTheme="minorEastAsia"/>
          <w:color w:val="auto"/>
          <w:szCs w:val="21"/>
        </w:rPr>
        <w:t>中另有规定。</w:t>
      </w:r>
    </w:p>
    <w:p w14:paraId="3FD26B23">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bCs/>
          <w:color w:val="auto"/>
          <w:sz w:val="24"/>
        </w:rPr>
        <w:t>14.</w:t>
      </w:r>
      <w:r>
        <w:rPr>
          <w:rFonts w:hint="eastAsia"/>
          <w:b/>
          <w:color w:val="auto"/>
          <w:sz w:val="24"/>
        </w:rPr>
        <w:t>乙方应提供的</w:t>
      </w:r>
      <w:r>
        <w:rPr>
          <w:rFonts w:hint="eastAsia" w:asciiTheme="minorEastAsia" w:hAnsiTheme="minorEastAsia" w:eastAsiaTheme="minorEastAsia"/>
          <w:b/>
          <w:color w:val="auto"/>
          <w:sz w:val="24"/>
        </w:rPr>
        <w:t>服务</w:t>
      </w:r>
    </w:p>
    <w:p w14:paraId="55E90B2B">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14.1 乙方应向甲方提交所提供货物的技术文件，包括相应的中文技术文件，如：产品目录、图纸、操作手册、使用说明、维护手册或服务指南。这些文件应包装好随同货物一起发运。</w:t>
      </w:r>
    </w:p>
    <w:p w14:paraId="0AB0A43B">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14.2 乙方还应提供下列服务：</w:t>
      </w:r>
    </w:p>
    <w:p w14:paraId="41368E07">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（1）货物的现场移动、安装、调试、启动监督及技术支持；</w:t>
      </w:r>
    </w:p>
    <w:p w14:paraId="7B794424">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（2）提供货物组装和维修所需的专用工具和辅助材料；</w:t>
      </w:r>
    </w:p>
    <w:p w14:paraId="161A5868">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（3）在合同各方商定的一定期限内对所有的货物实施运行监督、维修，但前提条件是该服务并不能免除乙方在质量保证期内所承担的义务；</w:t>
      </w:r>
    </w:p>
    <w:p w14:paraId="518B1E2E">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（4）在制造商或项目现场就货物的安装、启动、运营、维护对甲方操作人员进行培训；</w:t>
      </w:r>
    </w:p>
    <w:p w14:paraId="601CCE0D">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（5）</w:t>
      </w:r>
      <w:r>
        <w:rPr>
          <w:rFonts w:hint="eastAsia" w:asciiTheme="minorEastAsia" w:hAnsiTheme="minorEastAsia" w:eastAsiaTheme="minorEastAsia"/>
          <w:b/>
          <w:color w:val="auto"/>
          <w:szCs w:val="21"/>
        </w:rPr>
        <w:t>【政府采购合同专用条款】</w:t>
      </w:r>
      <w:r>
        <w:rPr>
          <w:rFonts w:hint="eastAsia" w:asciiTheme="minorEastAsia" w:hAnsiTheme="minorEastAsia" w:eastAsiaTheme="minorEastAsia"/>
          <w:color w:val="auto"/>
          <w:szCs w:val="21"/>
        </w:rPr>
        <w:t>规定由乙方提供的其他服务。</w:t>
      </w:r>
    </w:p>
    <w:p w14:paraId="3C34C58B">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14.3 乙方提供的服务的费用应包含在合同价款中，甲方不再另行支付。</w:t>
      </w:r>
    </w:p>
    <w:p w14:paraId="6087A4F7">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15.违约责任</w:t>
      </w:r>
    </w:p>
    <w:p w14:paraId="64967006">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15.1质量瑕疵的补救措施和索赔</w:t>
      </w:r>
    </w:p>
    <w:p w14:paraId="679F4315">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1CF13F0A">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①乙方同意退货并将货款退还给甲方，由此发生的一切费用和损失由乙方承担。</w:t>
      </w:r>
    </w:p>
    <w:p w14:paraId="21FB47E0">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②根据货物的质量状况以及甲方所遭受的损失，经过甲乙双方商定降低货物的价格。</w:t>
      </w:r>
    </w:p>
    <w:p w14:paraId="750FAEE4">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781D551">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1A6482E">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15.2 迟延交货的违约责任</w:t>
      </w:r>
    </w:p>
    <w:p w14:paraId="48673F44">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E8CC5ED">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（2）除本合同</w:t>
      </w:r>
      <w:r>
        <w:rPr>
          <w:rFonts w:hint="eastAsia" w:asciiTheme="minorEastAsia" w:hAnsiTheme="minorEastAsia" w:eastAsiaTheme="minorEastAsia"/>
          <w:bCs/>
          <w:color w:val="auto"/>
          <w:szCs w:val="21"/>
        </w:rPr>
        <w:t>第20条</w:t>
      </w:r>
      <w:r>
        <w:rPr>
          <w:rFonts w:hint="eastAsia" w:asciiTheme="minorEastAsia" w:hAnsiTheme="minorEastAsia" w:eastAsiaTheme="minorEastAsia"/>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8464895">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5E835C38">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16.合同的变更</w:t>
      </w:r>
    </w:p>
    <w:p w14:paraId="42BB24C0">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16.1 在合同履行过程中，甲、乙双方可就合同履行的时间、地点和方式等协商进行变更。协商一致后，双方应签订书面的补充协议。</w:t>
      </w:r>
    </w:p>
    <w:p w14:paraId="616BE4A1">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16.2 在不改变合同其他条款的前提下，甲方有权在合同价款百分之十的范围内追加与合同标的相同的货物或服务，并就此与乙方签订补充合同，乙方不得拒绝。</w:t>
      </w:r>
    </w:p>
    <w:p w14:paraId="427D111D">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16.3 除双方签署书面协议，并成为合同不可分割的一部分外，本合同条件不得有任何变更。</w:t>
      </w:r>
    </w:p>
    <w:p w14:paraId="0C5FCF18">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17.合同中止与终止</w:t>
      </w:r>
    </w:p>
    <w:p w14:paraId="0982FB17">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17.1合同的中止</w:t>
      </w:r>
    </w:p>
    <w:p w14:paraId="49549CC5">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（1）合同在履行过程中，因采购计划调整，甲方可以要求中止履行，待计划确定后继续履行；</w:t>
      </w:r>
    </w:p>
    <w:p w14:paraId="41A215E3">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（2）合同履行过程中因供应商就采购过程或结果提起投诉的，甲方认为有必要或财政部门责令中止的，应当中止合同的履行。</w:t>
      </w:r>
    </w:p>
    <w:p w14:paraId="7AD8F8E5">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17.2合同的终止</w:t>
      </w:r>
    </w:p>
    <w:p w14:paraId="69FB581F">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（1）合同因有效期限届满而终止；</w:t>
      </w:r>
    </w:p>
    <w:p w14:paraId="117E3D12">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（2）乙方未能依照本合同约定条件履行合同，已构成根本性违约的，甲方有权终止本合同，并追究乙方的违约责任。</w:t>
      </w:r>
    </w:p>
    <w:p w14:paraId="6EC695F4">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（3）如果乙方丧失履约能力或被宣告破产，甲方可在任何时候以书面形式通知乙方终止合同而不给乙方补偿。</w:t>
      </w:r>
    </w:p>
    <w:p w14:paraId="3406A15B">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（4）如果乙方在履行合同过程中有不正当竞争行为，甲方有权解除合同，并按《中华人民共和国反不正当竞争法》规定由有关部门追究其法律责任。</w:t>
      </w:r>
    </w:p>
    <w:p w14:paraId="4EF355D8">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（5）如果合同的履行将损害国家利益或社会公共利益，甲方有权终止合同的履行，给乙方造成损失的予以相应补偿。</w:t>
      </w:r>
    </w:p>
    <w:p w14:paraId="666CB781">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18.合同转让和分包</w:t>
      </w:r>
    </w:p>
    <w:p w14:paraId="366D75AF">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18.1 乙方不得以任何形式将合同转包。</w:t>
      </w:r>
    </w:p>
    <w:p w14:paraId="5E0E0C17">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18.2 乙方未在投标文件中说明，不得将</w:t>
      </w:r>
      <w:r>
        <w:rPr>
          <w:rFonts w:hint="eastAsia" w:asciiTheme="minorEastAsia" w:hAnsiTheme="minorEastAsia" w:eastAsiaTheme="minorEastAsia"/>
          <w:bCs/>
          <w:color w:val="auto"/>
          <w:szCs w:val="21"/>
        </w:rPr>
        <w:t>合同</w:t>
      </w:r>
      <w:r>
        <w:rPr>
          <w:rFonts w:hint="eastAsia" w:asciiTheme="minorEastAsia" w:hAnsiTheme="minorEastAsia" w:eastAsiaTheme="minorEastAsia"/>
          <w:color w:val="auto"/>
          <w:szCs w:val="21"/>
        </w:rPr>
        <w:t>的非主体、非关键性工作分包给他人。</w:t>
      </w:r>
    </w:p>
    <w:p w14:paraId="4203B99C">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19.不可抗力</w:t>
      </w:r>
    </w:p>
    <w:p w14:paraId="276C7AEE">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19.1 不可抗力是指合同双方不可预见、不可避免、不可克服的自然灾害和社会事件。</w:t>
      </w:r>
    </w:p>
    <w:p w14:paraId="03B6EC1C">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19.2 任何一方对由于不可抗力造成的部分或全部不能履行合同不承担违约责任。但迟延履行后发生不可抗力的，不能免除责任。</w:t>
      </w:r>
    </w:p>
    <w:p w14:paraId="03EEC093">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19.3 遇有不可抗力的一方，应在三日内将事件的情况以书面形式通知另一方，并在事件发生后十日内，向另一方提交合同不能履行或部分不能履行或需要延期履行理由的报告。</w:t>
      </w:r>
    </w:p>
    <w:p w14:paraId="220F5E6F">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20.解决争议的方法</w:t>
      </w:r>
    </w:p>
    <w:p w14:paraId="56B818FD">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20.1 合同各方应通过友好协商，解决在执行合同过程中所发生的或与合同有关的一切争端。如从协商开始后十日内仍不能解决，可以向财政部门提请调解。</w:t>
      </w:r>
    </w:p>
    <w:p w14:paraId="7298FE56">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20.2 调解不成可以按</w:t>
      </w:r>
      <w:r>
        <w:rPr>
          <w:rFonts w:hint="eastAsia" w:asciiTheme="minorEastAsia" w:hAnsiTheme="minorEastAsia" w:eastAsiaTheme="minorEastAsia"/>
          <w:b/>
          <w:color w:val="auto"/>
          <w:szCs w:val="21"/>
        </w:rPr>
        <w:t>【政府采购合同专用条款】</w:t>
      </w:r>
      <w:r>
        <w:rPr>
          <w:rFonts w:hint="eastAsia" w:asciiTheme="minorEastAsia" w:hAnsiTheme="minorEastAsia" w:eastAsiaTheme="minorEastAsia"/>
          <w:color w:val="auto"/>
          <w:szCs w:val="21"/>
        </w:rPr>
        <w:t>中约定中规定下列方式之一提起仲裁或诉讼：</w:t>
      </w:r>
    </w:p>
    <w:p w14:paraId="3B467EEC">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（1）向甲方所在地仲裁机构提起仲裁；</w:t>
      </w:r>
    </w:p>
    <w:p w14:paraId="07C42049">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（2）向甲方所在地人民法院提起诉讼。</w:t>
      </w:r>
    </w:p>
    <w:p w14:paraId="79880606">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20.3 如仲裁或诉讼事项不影响合同其它部分的履行，则在仲裁或诉讼期间，除正在进行仲裁或诉讼的部分外，合同的其它部分应继续执行。</w:t>
      </w:r>
    </w:p>
    <w:p w14:paraId="2D86D75E">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color w:val="auto"/>
          <w:sz w:val="24"/>
        </w:rPr>
        <w:t>21.法律适用</w:t>
      </w:r>
    </w:p>
    <w:p w14:paraId="1B9E621B">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21.1 本合同适用中华人民共和国现行法律、行政法规和规章，如合同条款与法律、行政法规和规章不一致的，按照法律、行政法规和规章修改本合同。</w:t>
      </w:r>
    </w:p>
    <w:p w14:paraId="4F808D6D">
      <w:pPr>
        <w:keepNext w:val="0"/>
        <w:keepLines w:val="0"/>
        <w:pageBreakBefore w:val="0"/>
        <w:widowControl w:val="0"/>
        <w:kinsoku/>
        <w:wordWrap/>
        <w:overflowPunct/>
        <w:topLinePunct w:val="0"/>
        <w:autoSpaceDE w:val="0"/>
        <w:autoSpaceDN w:val="0"/>
        <w:bidi w:val="0"/>
        <w:adjustRightInd w:val="0"/>
        <w:snapToGrid w:val="0"/>
        <w:spacing w:before="40" w:line="360" w:lineRule="auto"/>
        <w:jc w:val="left"/>
        <w:textAlignment w:val="auto"/>
        <w:rPr>
          <w:rFonts w:asciiTheme="minorEastAsia" w:hAnsiTheme="minorEastAsia" w:eastAsiaTheme="minorEastAsia"/>
          <w:b/>
          <w:color w:val="auto"/>
          <w:sz w:val="24"/>
        </w:rPr>
      </w:pPr>
      <w:r>
        <w:rPr>
          <w:rFonts w:hint="eastAsia" w:asciiTheme="minorEastAsia" w:hAnsiTheme="minorEastAsia" w:eastAsiaTheme="minorEastAsia"/>
          <w:b/>
          <w:bCs/>
          <w:color w:val="auto"/>
          <w:sz w:val="24"/>
        </w:rPr>
        <w:t>22.</w:t>
      </w:r>
      <w:r>
        <w:rPr>
          <w:rFonts w:hint="eastAsia" w:asciiTheme="minorEastAsia" w:hAnsiTheme="minorEastAsia" w:eastAsiaTheme="minorEastAsia"/>
          <w:b/>
          <w:color w:val="auto"/>
          <w:sz w:val="24"/>
        </w:rPr>
        <w:t>通知</w:t>
      </w:r>
    </w:p>
    <w:p w14:paraId="14D7DD66">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22.1本合同一方给另一方的通知均应采用书面形式，传真或快递送到本合同中规定的对方的地址和办理签收手续，</w:t>
      </w:r>
    </w:p>
    <w:p w14:paraId="73A993BB">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color w:val="auto"/>
          <w:szCs w:val="21"/>
        </w:rPr>
      </w:pPr>
      <w:r>
        <w:rPr>
          <w:rFonts w:hint="eastAsia" w:asciiTheme="minorEastAsia" w:hAnsiTheme="minorEastAsia" w:eastAsiaTheme="minorEastAsia"/>
          <w:color w:val="auto"/>
          <w:szCs w:val="21"/>
        </w:rPr>
        <w:t>22.2通知以送到之日或通知书中规定的生效之日起生效，两者中以较迟之日为准。</w:t>
      </w:r>
    </w:p>
    <w:p w14:paraId="741E195D">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23. 合同未尽事项</w:t>
      </w:r>
    </w:p>
    <w:p w14:paraId="7DCE1B6F">
      <w:pPr>
        <w:keepNext w:val="0"/>
        <w:keepLines w:val="0"/>
        <w:pageBreakBefore w:val="0"/>
        <w:widowControl w:val="0"/>
        <w:kinsoku/>
        <w:wordWrap/>
        <w:overflowPunct/>
        <w:topLinePunct w:val="0"/>
        <w:bidi w:val="0"/>
        <w:adjustRightInd w:val="0"/>
        <w:snapToGrid w:val="0"/>
        <w:spacing w:before="40" w:line="360" w:lineRule="auto"/>
        <w:ind w:firstLine="420" w:firstLineChars="200"/>
        <w:jc w:val="left"/>
        <w:textAlignment w:val="auto"/>
        <w:rPr>
          <w:rFonts w:asciiTheme="minorEastAsia" w:hAnsiTheme="minorEastAsia" w:eastAsiaTheme="minorEastAsia"/>
          <w:bCs/>
          <w:color w:val="auto"/>
          <w:szCs w:val="21"/>
        </w:rPr>
      </w:pPr>
      <w:r>
        <w:rPr>
          <w:rFonts w:hint="eastAsia" w:asciiTheme="minorEastAsia" w:hAnsiTheme="minorEastAsia" w:eastAsiaTheme="minorEastAsia"/>
          <w:bCs/>
          <w:color w:val="auto"/>
          <w:szCs w:val="21"/>
        </w:rPr>
        <w:t>23.1合同未尽事项见</w:t>
      </w:r>
      <w:r>
        <w:rPr>
          <w:rFonts w:hint="eastAsia" w:asciiTheme="minorEastAsia" w:hAnsiTheme="minorEastAsia" w:eastAsiaTheme="minorEastAsia"/>
          <w:b/>
          <w:color w:val="auto"/>
          <w:szCs w:val="21"/>
        </w:rPr>
        <w:t>【政府采购合同专用条款】。</w:t>
      </w:r>
    </w:p>
    <w:p w14:paraId="4615384F">
      <w:pPr>
        <w:keepNext w:val="0"/>
        <w:keepLines w:val="0"/>
        <w:pageBreakBefore w:val="0"/>
        <w:widowControl w:val="0"/>
        <w:kinsoku/>
        <w:wordWrap/>
        <w:overflowPunct/>
        <w:topLinePunct w:val="0"/>
        <w:bidi w:val="0"/>
        <w:adjustRightInd w:val="0"/>
        <w:snapToGrid w:val="0"/>
        <w:spacing w:before="40" w:line="360" w:lineRule="auto"/>
        <w:jc w:val="left"/>
        <w:textAlignment w:val="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24.合同生效</w:t>
      </w:r>
    </w:p>
    <w:p w14:paraId="50CBE7DF">
      <w:pPr>
        <w:keepNext w:val="0"/>
        <w:keepLines w:val="0"/>
        <w:pageBreakBefore w:val="0"/>
        <w:widowControl w:val="0"/>
        <w:kinsoku/>
        <w:wordWrap/>
        <w:overflowPunct/>
        <w:topLinePunct w:val="0"/>
        <w:autoSpaceDE w:val="0"/>
        <w:autoSpaceDN w:val="0"/>
        <w:bidi w:val="0"/>
        <w:adjustRightInd w:val="0"/>
        <w:snapToGrid w:val="0"/>
        <w:spacing w:before="40" w:line="360" w:lineRule="auto"/>
        <w:ind w:firstLine="420" w:firstLineChars="200"/>
        <w:jc w:val="left"/>
        <w:textAlignment w:val="auto"/>
        <w:rPr>
          <w:rFonts w:ascii="黑体" w:hAnsi="黑体" w:eastAsia="黑体"/>
          <w:b/>
          <w:bCs/>
          <w:color w:val="auto"/>
          <w:sz w:val="32"/>
        </w:rPr>
      </w:pPr>
      <w:r>
        <w:rPr>
          <w:rFonts w:hint="eastAsia" w:asciiTheme="minorEastAsia" w:hAnsiTheme="minorEastAsia" w:eastAsiaTheme="minorEastAsia"/>
          <w:color w:val="auto"/>
          <w:szCs w:val="21"/>
        </w:rPr>
        <w:t>24.1 本合同在合同双方签字盖章后生效。</w:t>
      </w:r>
      <w:r>
        <w:rPr>
          <w:rFonts w:ascii="黑体" w:hAnsi="黑体" w:eastAsia="黑体"/>
          <w:b/>
          <w:bCs/>
          <w:color w:val="auto"/>
          <w:sz w:val="32"/>
        </w:rPr>
        <w:br w:type="page"/>
      </w:r>
    </w:p>
    <w:p w14:paraId="6AF12235">
      <w:pPr>
        <w:pStyle w:val="4"/>
        <w:bidi w:val="0"/>
        <w:jc w:val="center"/>
        <w:rPr>
          <w:rFonts w:ascii="黑体" w:hAnsi="华文中宋" w:eastAsia="黑体"/>
          <w:color w:val="auto"/>
          <w:szCs w:val="28"/>
        </w:rPr>
      </w:pPr>
      <w:bookmarkStart w:id="50" w:name="_Toc23766"/>
      <w:bookmarkStart w:id="51" w:name="_Toc20651239"/>
      <w:r>
        <w:rPr>
          <w:rFonts w:hint="eastAsia"/>
          <w:color w:val="auto"/>
        </w:rPr>
        <w:t>政府采购合同专用条款</w:t>
      </w:r>
      <w:bookmarkEnd w:id="50"/>
      <w:bookmarkEnd w:id="51"/>
    </w:p>
    <w:p w14:paraId="6699EB36">
      <w:pPr>
        <w:bidi w:val="0"/>
        <w:rPr>
          <w:color w:val="auto"/>
        </w:rPr>
      </w:pPr>
    </w:p>
    <w:tbl>
      <w:tblPr>
        <w:tblStyle w:val="44"/>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71BE2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4" w:hRule="atLeast"/>
        </w:trPr>
        <w:tc>
          <w:tcPr>
            <w:tcW w:w="1701" w:type="dxa"/>
            <w:vAlign w:val="center"/>
          </w:tcPr>
          <w:p w14:paraId="4C639CF8">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16170D4A">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第1.1款</w:t>
            </w:r>
          </w:p>
        </w:tc>
        <w:tc>
          <w:tcPr>
            <w:tcW w:w="1843" w:type="dxa"/>
            <w:vAlign w:val="center"/>
          </w:tcPr>
          <w:p w14:paraId="3EC73E64">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甲方名称、地址</w:t>
            </w:r>
          </w:p>
        </w:tc>
        <w:tc>
          <w:tcPr>
            <w:tcW w:w="5464" w:type="dxa"/>
            <w:vAlign w:val="center"/>
          </w:tcPr>
          <w:p w14:paraId="6A01780D">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宋体" w:hAnsi="宋体" w:eastAsia="宋体"/>
                <w:b w:val="0"/>
                <w:bCs w:val="0"/>
                <w:color w:val="auto"/>
                <w:szCs w:val="21"/>
                <w:lang w:eastAsia="zh-CN"/>
              </w:rPr>
            </w:pPr>
            <w:r>
              <w:rPr>
                <w:rFonts w:hint="eastAsia" w:ascii="宋体" w:hAnsi="宋体"/>
                <w:b w:val="0"/>
                <w:bCs w:val="0"/>
                <w:color w:val="auto"/>
                <w:szCs w:val="21"/>
              </w:rPr>
              <w:t>采购人：</w:t>
            </w:r>
            <w:r>
              <w:rPr>
                <w:rFonts w:hint="eastAsia" w:ascii="宋体" w:hAnsi="宋体"/>
                <w:b w:val="0"/>
                <w:bCs w:val="0"/>
                <w:color w:val="auto"/>
                <w:szCs w:val="21"/>
                <w:lang w:eastAsia="zh-CN"/>
              </w:rPr>
              <w:t>湖南省津市监狱</w:t>
            </w:r>
          </w:p>
          <w:p w14:paraId="78497A96">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宋体" w:hAnsi="宋体" w:eastAsia="宋体"/>
                <w:b w:val="0"/>
                <w:bCs w:val="0"/>
                <w:color w:val="auto"/>
                <w:szCs w:val="21"/>
                <w:lang w:eastAsia="zh-CN"/>
              </w:rPr>
            </w:pPr>
            <w:r>
              <w:rPr>
                <w:rFonts w:hint="eastAsia" w:ascii="宋体" w:hAnsi="宋体"/>
                <w:b w:val="0"/>
                <w:bCs w:val="0"/>
                <w:color w:val="auto"/>
                <w:szCs w:val="21"/>
              </w:rPr>
              <w:t>地  址：</w:t>
            </w:r>
            <w:r>
              <w:rPr>
                <w:rFonts w:hint="eastAsia" w:ascii="宋体" w:hAnsi="宋体"/>
                <w:b w:val="0"/>
                <w:bCs w:val="0"/>
                <w:color w:val="auto"/>
                <w:szCs w:val="21"/>
                <w:lang w:eastAsia="zh-CN"/>
              </w:rPr>
              <w:t>津市市白羊堤</w:t>
            </w:r>
          </w:p>
        </w:tc>
      </w:tr>
      <w:tr w14:paraId="1A51CB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01" w:type="dxa"/>
            <w:vAlign w:val="center"/>
          </w:tcPr>
          <w:p w14:paraId="43B5FEC8">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5F892C0A">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第1.2（6）项</w:t>
            </w:r>
          </w:p>
        </w:tc>
        <w:tc>
          <w:tcPr>
            <w:tcW w:w="1843" w:type="dxa"/>
            <w:vAlign w:val="center"/>
          </w:tcPr>
          <w:p w14:paraId="762C1836">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项目现场</w:t>
            </w:r>
          </w:p>
        </w:tc>
        <w:tc>
          <w:tcPr>
            <w:tcW w:w="5464" w:type="dxa"/>
            <w:vAlign w:val="center"/>
          </w:tcPr>
          <w:p w14:paraId="20CCA0D8">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宋体" w:hAnsi="宋体" w:eastAsia="宋体"/>
                <w:b w:val="0"/>
                <w:bCs w:val="0"/>
                <w:color w:val="auto"/>
                <w:szCs w:val="21"/>
                <w:lang w:eastAsia="zh-CN"/>
              </w:rPr>
            </w:pPr>
            <w:r>
              <w:rPr>
                <w:rFonts w:hint="eastAsia" w:ascii="宋体" w:hAnsi="宋体"/>
                <w:bCs/>
                <w:color w:val="auto"/>
                <w:sz w:val="21"/>
                <w:szCs w:val="21"/>
                <w:lang w:val="en-US" w:eastAsia="zh-CN"/>
              </w:rPr>
              <w:t>详见第三章采购需求</w:t>
            </w:r>
          </w:p>
        </w:tc>
      </w:tr>
      <w:tr w14:paraId="1B38E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42" w:hRule="atLeast"/>
        </w:trPr>
        <w:tc>
          <w:tcPr>
            <w:tcW w:w="1701" w:type="dxa"/>
            <w:vAlign w:val="center"/>
          </w:tcPr>
          <w:p w14:paraId="2682AB84">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5DA5C9B8">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第5.1款</w:t>
            </w:r>
          </w:p>
        </w:tc>
        <w:tc>
          <w:tcPr>
            <w:tcW w:w="1843" w:type="dxa"/>
            <w:vAlign w:val="center"/>
          </w:tcPr>
          <w:p w14:paraId="1AB85C5B">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履行合同的时间、地点及方式</w:t>
            </w:r>
          </w:p>
        </w:tc>
        <w:tc>
          <w:tcPr>
            <w:tcW w:w="5464" w:type="dxa"/>
            <w:vAlign w:val="center"/>
          </w:tcPr>
          <w:p w14:paraId="132930D0">
            <w:pPr>
              <w:adjustRightInd w:val="0"/>
              <w:snapToGrid w:val="0"/>
              <w:spacing w:line="360" w:lineRule="auto"/>
              <w:outlineLvl w:val="9"/>
              <w:rPr>
                <w:rFonts w:hint="default" w:ascii="宋体" w:hAnsi="宋体" w:eastAsia="宋体"/>
                <w:b w:val="0"/>
                <w:bCs w:val="0"/>
                <w:color w:val="auto"/>
                <w:szCs w:val="21"/>
                <w:lang w:val="en-US" w:eastAsia="zh-CN"/>
              </w:rPr>
            </w:pPr>
            <w:r>
              <w:rPr>
                <w:rFonts w:hint="eastAsia" w:ascii="宋体" w:hAnsi="宋体"/>
                <w:b w:val="0"/>
                <w:bCs w:val="0"/>
                <w:color w:val="auto"/>
                <w:szCs w:val="21"/>
              </w:rPr>
              <w:t>时间：</w:t>
            </w:r>
            <w:r>
              <w:rPr>
                <w:rFonts w:hint="eastAsia" w:ascii="宋体" w:hAnsi="宋体"/>
                <w:bCs/>
                <w:color w:val="auto"/>
                <w:sz w:val="21"/>
                <w:szCs w:val="21"/>
                <w:lang w:val="en-US" w:eastAsia="zh-CN"/>
              </w:rPr>
              <w:t>详见第三章采购需求</w:t>
            </w:r>
          </w:p>
          <w:p w14:paraId="61C67CBB">
            <w:pPr>
              <w:keepNext w:val="0"/>
              <w:keepLines w:val="0"/>
              <w:pageBreakBefore w:val="0"/>
              <w:widowControl w:val="0"/>
              <w:kinsoku/>
              <w:wordWrap/>
              <w:overflowPunct/>
              <w:topLinePunct w:val="0"/>
              <w:bidi w:val="0"/>
              <w:adjustRightInd w:val="0"/>
              <w:snapToGrid w:val="0"/>
              <w:spacing w:line="240" w:lineRule="auto"/>
              <w:jc w:val="left"/>
              <w:textAlignment w:val="auto"/>
              <w:rPr>
                <w:rFonts w:ascii="宋体" w:hAnsi="宋体"/>
                <w:b w:val="0"/>
                <w:bCs w:val="0"/>
                <w:color w:val="auto"/>
                <w:szCs w:val="21"/>
              </w:rPr>
            </w:pPr>
            <w:r>
              <w:rPr>
                <w:rFonts w:hint="eastAsia" w:ascii="宋体" w:hAnsi="宋体"/>
                <w:b w:val="0"/>
                <w:bCs w:val="0"/>
                <w:color w:val="auto"/>
                <w:szCs w:val="21"/>
              </w:rPr>
              <w:t>地点：</w:t>
            </w:r>
            <w:r>
              <w:rPr>
                <w:rFonts w:hint="eastAsia" w:ascii="宋体" w:hAnsi="宋体"/>
                <w:bCs/>
                <w:color w:val="auto"/>
                <w:sz w:val="21"/>
                <w:szCs w:val="21"/>
                <w:lang w:val="en-US" w:eastAsia="zh-CN"/>
              </w:rPr>
              <w:t>详见第三章采购需求</w:t>
            </w:r>
          </w:p>
          <w:p w14:paraId="61A8FEB3">
            <w:pPr>
              <w:keepNext w:val="0"/>
              <w:keepLines w:val="0"/>
              <w:pageBreakBefore w:val="0"/>
              <w:widowControl w:val="0"/>
              <w:kinsoku/>
              <w:wordWrap/>
              <w:overflowPunct/>
              <w:topLinePunct w:val="0"/>
              <w:bidi w:val="0"/>
              <w:adjustRightInd w:val="0"/>
              <w:snapToGrid w:val="0"/>
              <w:spacing w:line="240" w:lineRule="auto"/>
              <w:jc w:val="left"/>
              <w:textAlignment w:val="auto"/>
              <w:rPr>
                <w:rFonts w:ascii="宋体" w:hAnsi="宋体"/>
                <w:b w:val="0"/>
                <w:bCs w:val="0"/>
                <w:color w:val="auto"/>
                <w:szCs w:val="21"/>
              </w:rPr>
            </w:pPr>
            <w:r>
              <w:rPr>
                <w:rFonts w:hint="eastAsia" w:ascii="宋体" w:hAnsi="宋体"/>
                <w:b w:val="0"/>
                <w:bCs w:val="0"/>
                <w:color w:val="auto"/>
                <w:szCs w:val="21"/>
              </w:rPr>
              <w:t>方式：</w:t>
            </w:r>
            <w:r>
              <w:rPr>
                <w:rFonts w:hint="eastAsia" w:ascii="宋体" w:hAnsi="宋体"/>
                <w:bCs/>
                <w:color w:val="auto"/>
                <w:sz w:val="21"/>
                <w:szCs w:val="21"/>
                <w:lang w:val="en-US" w:eastAsia="zh-CN"/>
              </w:rPr>
              <w:t>详见第三章采购需求</w:t>
            </w:r>
          </w:p>
        </w:tc>
      </w:tr>
      <w:tr w14:paraId="73DA27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9" w:hRule="atLeast"/>
        </w:trPr>
        <w:tc>
          <w:tcPr>
            <w:tcW w:w="1701" w:type="dxa"/>
            <w:vAlign w:val="center"/>
          </w:tcPr>
          <w:p w14:paraId="6D7840BF">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68CC3B9A">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第9.2（1）项</w:t>
            </w:r>
          </w:p>
        </w:tc>
        <w:tc>
          <w:tcPr>
            <w:tcW w:w="1843" w:type="dxa"/>
            <w:vAlign w:val="center"/>
          </w:tcPr>
          <w:p w14:paraId="74260C9D">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质量保证期</w:t>
            </w:r>
          </w:p>
        </w:tc>
        <w:tc>
          <w:tcPr>
            <w:tcW w:w="5464" w:type="dxa"/>
            <w:vAlign w:val="center"/>
          </w:tcPr>
          <w:p w14:paraId="3A90921E">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ascii="宋体" w:hAnsi="宋体"/>
                <w:b w:val="0"/>
                <w:bCs w:val="0"/>
                <w:color w:val="auto"/>
                <w:szCs w:val="21"/>
              </w:rPr>
            </w:pPr>
            <w:r>
              <w:rPr>
                <w:rFonts w:hint="eastAsia" w:ascii="宋体" w:hAnsi="宋体"/>
                <w:bCs/>
                <w:color w:val="auto"/>
                <w:sz w:val="21"/>
                <w:szCs w:val="21"/>
                <w:lang w:val="en-US" w:eastAsia="zh-CN"/>
              </w:rPr>
              <w:t>详见第三章采购需求</w:t>
            </w:r>
          </w:p>
        </w:tc>
      </w:tr>
      <w:tr w14:paraId="26707B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9" w:hRule="atLeast"/>
        </w:trPr>
        <w:tc>
          <w:tcPr>
            <w:tcW w:w="1701" w:type="dxa"/>
            <w:vAlign w:val="center"/>
          </w:tcPr>
          <w:p w14:paraId="1C005FCA">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6D98EFBB">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第9.2（3）项</w:t>
            </w:r>
          </w:p>
        </w:tc>
        <w:tc>
          <w:tcPr>
            <w:tcW w:w="1843" w:type="dxa"/>
            <w:vAlign w:val="center"/>
          </w:tcPr>
          <w:p w14:paraId="7DD5017F">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响应时间</w:t>
            </w:r>
          </w:p>
        </w:tc>
        <w:tc>
          <w:tcPr>
            <w:tcW w:w="5464" w:type="dxa"/>
            <w:vAlign w:val="center"/>
          </w:tcPr>
          <w:p w14:paraId="10694D59">
            <w:pPr>
              <w:keepNext w:val="0"/>
              <w:keepLines w:val="0"/>
              <w:pageBreakBefore w:val="0"/>
              <w:widowControl w:val="0"/>
              <w:kinsoku/>
              <w:wordWrap/>
              <w:overflowPunct/>
              <w:topLinePunct w:val="0"/>
              <w:bidi w:val="0"/>
              <w:adjustRightInd w:val="0"/>
              <w:snapToGrid w:val="0"/>
              <w:spacing w:line="240" w:lineRule="auto"/>
              <w:jc w:val="left"/>
              <w:textAlignment w:val="auto"/>
              <w:rPr>
                <w:rFonts w:ascii="宋体" w:hAnsi="宋体"/>
                <w:b w:val="0"/>
                <w:bCs w:val="0"/>
                <w:color w:val="auto"/>
                <w:szCs w:val="21"/>
              </w:rPr>
            </w:pPr>
            <w:r>
              <w:rPr>
                <w:rFonts w:hint="eastAsia" w:ascii="宋体" w:hAnsi="宋体"/>
                <w:b w:val="0"/>
                <w:bCs w:val="0"/>
                <w:color w:val="auto"/>
                <w:szCs w:val="21"/>
              </w:rPr>
              <w:t>2小时响应，24小时解决问题。</w:t>
            </w:r>
          </w:p>
        </w:tc>
      </w:tr>
      <w:tr w14:paraId="428E65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4" w:hRule="atLeast"/>
        </w:trPr>
        <w:tc>
          <w:tcPr>
            <w:tcW w:w="1701" w:type="dxa"/>
            <w:vAlign w:val="center"/>
          </w:tcPr>
          <w:p w14:paraId="387C7FFF">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07F4C128">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第13.5款</w:t>
            </w:r>
          </w:p>
        </w:tc>
        <w:tc>
          <w:tcPr>
            <w:tcW w:w="1843" w:type="dxa"/>
            <w:vAlign w:val="center"/>
          </w:tcPr>
          <w:p w14:paraId="300D5BC6">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合同价款支付方式</w:t>
            </w:r>
            <w:r>
              <w:rPr>
                <w:rFonts w:hint="eastAsia" w:ascii="宋体" w:hAnsi="宋体"/>
                <w:bCs/>
                <w:color w:val="auto"/>
                <w:szCs w:val="21"/>
              </w:rPr>
              <w:t>和条件</w:t>
            </w:r>
          </w:p>
        </w:tc>
        <w:tc>
          <w:tcPr>
            <w:tcW w:w="5464" w:type="dxa"/>
            <w:vAlign w:val="center"/>
          </w:tcPr>
          <w:p w14:paraId="161C60F1">
            <w:pPr>
              <w:keepNext w:val="0"/>
              <w:keepLines w:val="0"/>
              <w:pageBreakBefore w:val="0"/>
              <w:widowControl w:val="0"/>
              <w:kinsoku/>
              <w:wordWrap/>
              <w:overflowPunct/>
              <w:topLinePunct w:val="0"/>
              <w:bidi w:val="0"/>
              <w:adjustRightInd w:val="0"/>
              <w:snapToGrid w:val="0"/>
              <w:spacing w:line="360" w:lineRule="auto"/>
              <w:jc w:val="left"/>
              <w:textAlignment w:val="auto"/>
              <w:rPr>
                <w:rFonts w:ascii="宋体" w:hAnsi="宋体"/>
                <w:b w:val="0"/>
                <w:bCs w:val="0"/>
                <w:color w:val="auto"/>
                <w:szCs w:val="21"/>
              </w:rPr>
            </w:pPr>
            <w:r>
              <w:rPr>
                <w:rFonts w:hint="eastAsia" w:ascii="宋体" w:hAnsi="宋体"/>
                <w:bCs/>
                <w:color w:val="auto"/>
                <w:sz w:val="21"/>
                <w:szCs w:val="21"/>
                <w:lang w:val="en-US" w:eastAsia="zh-CN"/>
              </w:rPr>
              <w:t>详见第三章采购需求</w:t>
            </w:r>
          </w:p>
        </w:tc>
      </w:tr>
      <w:tr w14:paraId="52B4CD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4" w:hRule="atLeast"/>
        </w:trPr>
        <w:tc>
          <w:tcPr>
            <w:tcW w:w="1701" w:type="dxa"/>
            <w:vAlign w:val="center"/>
          </w:tcPr>
          <w:p w14:paraId="3374AB73">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1D229D05">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第14.2（6）项</w:t>
            </w:r>
          </w:p>
        </w:tc>
        <w:tc>
          <w:tcPr>
            <w:tcW w:w="1843" w:type="dxa"/>
            <w:vAlign w:val="center"/>
          </w:tcPr>
          <w:p w14:paraId="389C5201">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乙方提供的其他服务</w:t>
            </w:r>
          </w:p>
        </w:tc>
        <w:tc>
          <w:tcPr>
            <w:tcW w:w="5464" w:type="dxa"/>
            <w:vAlign w:val="center"/>
          </w:tcPr>
          <w:p w14:paraId="65EB7D94">
            <w:pPr>
              <w:keepNext w:val="0"/>
              <w:keepLines w:val="0"/>
              <w:pageBreakBefore w:val="0"/>
              <w:widowControl w:val="0"/>
              <w:kinsoku/>
              <w:wordWrap/>
              <w:overflowPunct/>
              <w:topLinePunct w:val="0"/>
              <w:bidi w:val="0"/>
              <w:adjustRightInd w:val="0"/>
              <w:snapToGrid w:val="0"/>
              <w:spacing w:line="240" w:lineRule="auto"/>
              <w:jc w:val="left"/>
              <w:textAlignment w:val="auto"/>
              <w:rPr>
                <w:rFonts w:ascii="宋体" w:hAnsi="宋体"/>
                <w:b w:val="0"/>
                <w:bCs w:val="0"/>
                <w:color w:val="auto"/>
                <w:szCs w:val="21"/>
              </w:rPr>
            </w:pPr>
            <w:r>
              <w:rPr>
                <w:rFonts w:hint="eastAsia" w:ascii="宋体" w:hAnsi="宋体"/>
                <w:b w:val="0"/>
                <w:bCs w:val="0"/>
                <w:color w:val="auto"/>
                <w:szCs w:val="21"/>
                <w:u w:val="single"/>
                <w:lang w:eastAsia="zh-CN"/>
              </w:rPr>
              <w:t>无</w:t>
            </w:r>
            <w:r>
              <w:rPr>
                <w:rFonts w:hint="eastAsia" w:ascii="宋体" w:hAnsi="宋体"/>
                <w:b w:val="0"/>
                <w:bCs w:val="0"/>
                <w:color w:val="auto"/>
                <w:szCs w:val="21"/>
                <w:u w:val="single"/>
              </w:rPr>
              <w:t xml:space="preserve">  </w:t>
            </w:r>
            <w:r>
              <w:rPr>
                <w:rFonts w:hint="eastAsia" w:ascii="宋体" w:hAnsi="宋体"/>
                <w:b w:val="0"/>
                <w:bCs w:val="0"/>
                <w:color w:val="auto"/>
                <w:szCs w:val="21"/>
              </w:rPr>
              <w:t>，</w:t>
            </w:r>
            <w:r>
              <w:rPr>
                <w:rFonts w:hint="eastAsia" w:ascii="宋体" w:hAnsi="宋体"/>
                <w:b w:val="0"/>
                <w:bCs w:val="0"/>
                <w:color w:val="auto"/>
                <w:szCs w:val="21"/>
                <w:lang w:eastAsia="zh-CN"/>
              </w:rPr>
              <w:t>（</w:t>
            </w:r>
            <w:r>
              <w:rPr>
                <w:rFonts w:hint="eastAsia" w:ascii="宋体" w:hAnsi="宋体"/>
                <w:b w:val="0"/>
                <w:bCs w:val="0"/>
                <w:color w:val="auto"/>
                <w:szCs w:val="21"/>
              </w:rPr>
              <w:t>第</w:t>
            </w:r>
            <w:r>
              <w:rPr>
                <w:rFonts w:hint="eastAsia" w:ascii="宋体" w:hAnsi="宋体"/>
                <w:b w:val="0"/>
                <w:bCs w:val="0"/>
                <w:color w:val="auto"/>
                <w:szCs w:val="21"/>
                <w:lang w:eastAsia="zh-CN"/>
              </w:rPr>
              <w:t>三</w:t>
            </w:r>
            <w:r>
              <w:rPr>
                <w:rFonts w:hint="eastAsia" w:ascii="宋体" w:hAnsi="宋体"/>
                <w:b w:val="0"/>
                <w:bCs w:val="0"/>
                <w:color w:val="auto"/>
                <w:szCs w:val="21"/>
              </w:rPr>
              <w:t>章采购需求另有要求的</w:t>
            </w:r>
            <w:r>
              <w:rPr>
                <w:rFonts w:hint="eastAsia" w:ascii="宋体" w:hAnsi="宋体"/>
                <w:b w:val="0"/>
                <w:bCs w:val="0"/>
                <w:color w:val="auto"/>
                <w:szCs w:val="21"/>
                <w:lang w:eastAsia="zh-CN"/>
              </w:rPr>
              <w:t>从其规定）</w:t>
            </w:r>
            <w:r>
              <w:rPr>
                <w:rFonts w:hint="eastAsia" w:ascii="宋体" w:hAnsi="宋体"/>
                <w:b w:val="0"/>
                <w:bCs w:val="0"/>
                <w:color w:val="auto"/>
                <w:szCs w:val="21"/>
              </w:rPr>
              <w:t>。</w:t>
            </w:r>
          </w:p>
        </w:tc>
      </w:tr>
      <w:tr w14:paraId="66EC4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4" w:hRule="atLeast"/>
        </w:trPr>
        <w:tc>
          <w:tcPr>
            <w:tcW w:w="1701" w:type="dxa"/>
            <w:vAlign w:val="center"/>
          </w:tcPr>
          <w:p w14:paraId="15F5C61A">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2F80AA82">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bCs/>
                <w:color w:val="auto"/>
                <w:szCs w:val="21"/>
              </w:rPr>
            </w:pPr>
            <w:r>
              <w:rPr>
                <w:rFonts w:hint="eastAsia" w:ascii="宋体" w:hAnsi="宋体"/>
                <w:color w:val="auto"/>
                <w:szCs w:val="21"/>
              </w:rPr>
              <w:t>第20.2款</w:t>
            </w:r>
          </w:p>
        </w:tc>
        <w:tc>
          <w:tcPr>
            <w:tcW w:w="1843" w:type="dxa"/>
            <w:vAlign w:val="center"/>
          </w:tcPr>
          <w:p w14:paraId="023412CB">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bCs/>
                <w:color w:val="auto"/>
                <w:szCs w:val="21"/>
              </w:rPr>
            </w:pPr>
            <w:r>
              <w:rPr>
                <w:rFonts w:hint="eastAsia" w:ascii="宋体" w:hAnsi="宋体"/>
                <w:color w:val="auto"/>
                <w:szCs w:val="21"/>
              </w:rPr>
              <w:t>解决争议的方式</w:t>
            </w:r>
          </w:p>
        </w:tc>
        <w:tc>
          <w:tcPr>
            <w:tcW w:w="5464" w:type="dxa"/>
            <w:vAlign w:val="center"/>
          </w:tcPr>
          <w:p w14:paraId="3AC269BF">
            <w:pPr>
              <w:keepNext w:val="0"/>
              <w:keepLines w:val="0"/>
              <w:pageBreakBefore w:val="0"/>
              <w:widowControl w:val="0"/>
              <w:kinsoku/>
              <w:wordWrap/>
              <w:overflowPunct/>
              <w:topLinePunct w:val="0"/>
              <w:bidi w:val="0"/>
              <w:adjustRightInd w:val="0"/>
              <w:snapToGrid w:val="0"/>
              <w:spacing w:line="240" w:lineRule="auto"/>
              <w:jc w:val="left"/>
              <w:textAlignment w:val="auto"/>
              <w:rPr>
                <w:rFonts w:ascii="宋体" w:hAnsi="宋体"/>
                <w:b w:val="0"/>
                <w:bCs w:val="0"/>
                <w:color w:val="auto"/>
                <w:szCs w:val="21"/>
              </w:rPr>
            </w:pPr>
            <w:r>
              <w:rPr>
                <w:rFonts w:hint="eastAsia" w:ascii="宋体" w:hAnsi="宋体"/>
                <w:b w:val="0"/>
                <w:bCs w:val="0"/>
                <w:color w:val="auto"/>
                <w:szCs w:val="21"/>
              </w:rPr>
              <w:t>□ 诉讼</w:t>
            </w:r>
          </w:p>
          <w:p w14:paraId="1E30B613">
            <w:pPr>
              <w:keepNext w:val="0"/>
              <w:keepLines w:val="0"/>
              <w:pageBreakBefore w:val="0"/>
              <w:widowControl w:val="0"/>
              <w:kinsoku/>
              <w:wordWrap/>
              <w:overflowPunct/>
              <w:topLinePunct w:val="0"/>
              <w:bidi w:val="0"/>
              <w:adjustRightInd w:val="0"/>
              <w:snapToGrid w:val="0"/>
              <w:spacing w:line="240" w:lineRule="auto"/>
              <w:jc w:val="left"/>
              <w:textAlignment w:val="auto"/>
              <w:rPr>
                <w:rFonts w:ascii="宋体" w:hAnsi="宋体"/>
                <w:b w:val="0"/>
                <w:bCs w:val="0"/>
                <w:color w:val="auto"/>
                <w:szCs w:val="21"/>
              </w:rPr>
            </w:pPr>
            <w:r>
              <w:rPr>
                <w:rFonts w:hint="eastAsia" w:ascii="宋体" w:hAnsi="宋体"/>
                <w:b w:val="0"/>
                <w:bCs w:val="0"/>
                <w:color w:val="auto"/>
                <w:szCs w:val="21"/>
              </w:rPr>
              <w:t>■ 仲裁</w:t>
            </w:r>
          </w:p>
        </w:tc>
      </w:tr>
      <w:tr w14:paraId="4D04B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9" w:hRule="atLeast"/>
        </w:trPr>
        <w:tc>
          <w:tcPr>
            <w:tcW w:w="1701" w:type="dxa"/>
            <w:vAlign w:val="center"/>
          </w:tcPr>
          <w:p w14:paraId="5626D181">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本章第二节</w:t>
            </w:r>
          </w:p>
          <w:p w14:paraId="2B3C48B6">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color w:val="auto"/>
                <w:szCs w:val="21"/>
              </w:rPr>
              <w:t>第23.1款</w:t>
            </w:r>
          </w:p>
        </w:tc>
        <w:tc>
          <w:tcPr>
            <w:tcW w:w="1843" w:type="dxa"/>
            <w:vAlign w:val="center"/>
          </w:tcPr>
          <w:p w14:paraId="568B556B">
            <w:pPr>
              <w:keepNext w:val="0"/>
              <w:keepLines w:val="0"/>
              <w:pageBreakBefore w:val="0"/>
              <w:widowControl w:val="0"/>
              <w:kinsoku/>
              <w:wordWrap/>
              <w:overflowPunct/>
              <w:topLinePunct w:val="0"/>
              <w:bidi w:val="0"/>
              <w:adjustRightInd w:val="0"/>
              <w:snapToGrid w:val="0"/>
              <w:spacing w:line="240" w:lineRule="auto"/>
              <w:jc w:val="center"/>
              <w:textAlignment w:val="auto"/>
              <w:rPr>
                <w:rFonts w:ascii="宋体" w:hAnsi="宋体"/>
                <w:color w:val="auto"/>
                <w:szCs w:val="21"/>
              </w:rPr>
            </w:pPr>
            <w:r>
              <w:rPr>
                <w:rFonts w:hint="eastAsia" w:ascii="宋体" w:hAnsi="宋体"/>
                <w:bCs/>
                <w:color w:val="auto"/>
                <w:szCs w:val="21"/>
              </w:rPr>
              <w:t>合同未尽事项</w:t>
            </w:r>
          </w:p>
        </w:tc>
        <w:tc>
          <w:tcPr>
            <w:tcW w:w="5464" w:type="dxa"/>
            <w:vAlign w:val="center"/>
          </w:tcPr>
          <w:p w14:paraId="5794B6CF">
            <w:pPr>
              <w:keepNext w:val="0"/>
              <w:keepLines w:val="0"/>
              <w:pageBreakBefore w:val="0"/>
              <w:widowControl w:val="0"/>
              <w:kinsoku/>
              <w:wordWrap/>
              <w:overflowPunct/>
              <w:topLinePunct w:val="0"/>
              <w:bidi w:val="0"/>
              <w:adjustRightInd w:val="0"/>
              <w:snapToGrid w:val="0"/>
              <w:spacing w:line="240" w:lineRule="auto"/>
              <w:jc w:val="left"/>
              <w:textAlignment w:val="auto"/>
              <w:rPr>
                <w:rFonts w:hint="eastAsia" w:ascii="宋体" w:hAnsi="宋体" w:eastAsia="宋体"/>
                <w:b w:val="0"/>
                <w:bCs w:val="0"/>
                <w:color w:val="auto"/>
                <w:szCs w:val="21"/>
                <w:lang w:eastAsia="zh-CN"/>
              </w:rPr>
            </w:pPr>
            <w:r>
              <w:rPr>
                <w:rFonts w:hint="eastAsia" w:ascii="宋体" w:hAnsi="宋体"/>
                <w:b w:val="0"/>
                <w:bCs w:val="0"/>
                <w:color w:val="auto"/>
                <w:szCs w:val="21"/>
              </w:rPr>
              <w:t>甲乙双方友好协商另行补充</w:t>
            </w:r>
            <w:r>
              <w:rPr>
                <w:rFonts w:hint="eastAsia" w:ascii="宋体" w:hAnsi="宋体"/>
                <w:b w:val="0"/>
                <w:bCs w:val="0"/>
                <w:color w:val="auto"/>
                <w:szCs w:val="21"/>
                <w:lang w:eastAsia="zh-CN"/>
              </w:rPr>
              <w:t>。</w:t>
            </w:r>
          </w:p>
        </w:tc>
      </w:tr>
    </w:tbl>
    <w:p w14:paraId="4A1F5B65">
      <w:pPr>
        <w:bidi w:val="0"/>
        <w:rPr>
          <w:color w:val="auto"/>
        </w:rPr>
      </w:pPr>
    </w:p>
    <w:p w14:paraId="7E4E3AC0">
      <w:pPr>
        <w:pStyle w:val="3"/>
        <w:jc w:val="center"/>
        <w:rPr>
          <w:rFonts w:ascii="黑体" w:hAnsi="黑体" w:eastAsia="黑体"/>
          <w:color w:val="auto"/>
          <w:sz w:val="32"/>
        </w:rPr>
      </w:pPr>
      <w:r>
        <w:rPr>
          <w:color w:val="auto"/>
        </w:rPr>
        <w:br w:type="page"/>
      </w:r>
      <w:bookmarkEnd w:id="49"/>
      <w:bookmarkStart w:id="52" w:name="_Toc1028"/>
      <w:bookmarkStart w:id="53" w:name="_Toc19628646"/>
      <w:r>
        <w:rPr>
          <w:rFonts w:hint="eastAsia" w:ascii="黑体" w:hAnsi="黑体" w:eastAsia="黑体"/>
          <w:color w:val="auto"/>
          <w:sz w:val="32"/>
        </w:rPr>
        <w:t>第五章 响应文件组成</w:t>
      </w:r>
      <w:bookmarkEnd w:id="52"/>
      <w:bookmarkEnd w:id="53"/>
    </w:p>
    <w:p w14:paraId="3A8A6C7A">
      <w:pPr>
        <w:bidi w:val="0"/>
        <w:rPr>
          <w:color w:val="auto"/>
        </w:rPr>
      </w:pPr>
    </w:p>
    <w:p w14:paraId="565BE1A3">
      <w:pPr>
        <w:adjustRightInd w:val="0"/>
        <w:snapToGrid w:val="0"/>
        <w:spacing w:before="156" w:beforeLines="50" w:line="360" w:lineRule="auto"/>
        <w:rPr>
          <w:rFonts w:ascii="宋体"/>
          <w:color w:val="auto"/>
        </w:rPr>
      </w:pPr>
      <w:r>
        <w:rPr>
          <w:rFonts w:hint="eastAsia" w:ascii="宋体"/>
          <w:color w:val="auto"/>
        </w:rPr>
        <w:t>供应商的响应文件应包含以下部分：</w:t>
      </w:r>
    </w:p>
    <w:p w14:paraId="02847BAD">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一、谈判响应声明(格式)</w:t>
      </w:r>
    </w:p>
    <w:p w14:paraId="75906FDB">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二、法定代表人（单位负责人）身份证明(格式)</w:t>
      </w:r>
    </w:p>
    <w:p w14:paraId="16D15ACC">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三、授权委托书(格式)</w:t>
      </w:r>
    </w:p>
    <w:p w14:paraId="2EB38056">
      <w:pPr>
        <w:widowControl/>
        <w:tabs>
          <w:tab w:val="left" w:pos="753"/>
        </w:tabs>
        <w:adjustRightInd w:val="0"/>
        <w:snapToGrid w:val="0"/>
        <w:spacing w:before="156" w:beforeLines="50" w:line="360" w:lineRule="auto"/>
        <w:ind w:firstLine="420" w:firstLineChars="200"/>
        <w:rPr>
          <w:rFonts w:ascii="宋体"/>
          <w:color w:val="auto"/>
          <w:szCs w:val="21"/>
        </w:rPr>
      </w:pPr>
      <w:r>
        <w:rPr>
          <w:rFonts w:hint="eastAsia" w:ascii="宋体" w:hAnsi="宋体"/>
          <w:color w:val="auto"/>
          <w:szCs w:val="21"/>
        </w:rPr>
        <w:t>四、保证金</w:t>
      </w:r>
    </w:p>
    <w:p w14:paraId="6CC82831">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五、报价表及报价文件(格式)</w:t>
      </w:r>
    </w:p>
    <w:p w14:paraId="398B19F0">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六、采购需求响应</w:t>
      </w:r>
    </w:p>
    <w:p w14:paraId="75372789">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七、合同条款偏离表</w:t>
      </w:r>
    </w:p>
    <w:p w14:paraId="58189EB6">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八、采购需求偏离表</w:t>
      </w:r>
    </w:p>
    <w:p w14:paraId="0F28B3D0">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九、享受政府采购政策优惠的证明资料</w:t>
      </w:r>
    </w:p>
    <w:p w14:paraId="52747C99">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十、</w:t>
      </w:r>
      <w:r>
        <w:rPr>
          <w:rFonts w:hint="eastAsia" w:ascii="宋体" w:hAnsi="宋体"/>
          <w:color w:val="auto"/>
          <w:kern w:val="32"/>
          <w:szCs w:val="21"/>
        </w:rPr>
        <w:t>关于资格的声明(格式)</w:t>
      </w:r>
    </w:p>
    <w:p w14:paraId="25CCE0DE">
      <w:pPr>
        <w:widowControl/>
        <w:tabs>
          <w:tab w:val="left" w:pos="753"/>
        </w:tabs>
        <w:adjustRightInd w:val="0"/>
        <w:snapToGrid w:val="0"/>
        <w:spacing w:before="156" w:beforeLines="50" w:line="360" w:lineRule="auto"/>
        <w:ind w:firstLine="420" w:firstLineChars="200"/>
        <w:rPr>
          <w:rFonts w:hint="eastAsia" w:ascii="宋体" w:hAnsi="宋体" w:eastAsia="宋体"/>
          <w:color w:val="auto"/>
          <w:kern w:val="32"/>
          <w:szCs w:val="21"/>
          <w:lang w:eastAsia="zh-CN"/>
        </w:rPr>
      </w:pPr>
      <w:r>
        <w:rPr>
          <w:rFonts w:hint="eastAsia" w:ascii="宋体" w:hAnsi="宋体"/>
          <w:color w:val="auto"/>
          <w:kern w:val="32"/>
          <w:szCs w:val="21"/>
        </w:rPr>
        <w:t>十一、</w:t>
      </w:r>
      <w:r>
        <w:rPr>
          <w:rFonts w:hint="eastAsia" w:ascii="宋体" w:hAnsi="宋体"/>
          <w:color w:val="auto"/>
          <w:szCs w:val="21"/>
          <w:lang w:eastAsia="zh-CN"/>
        </w:rPr>
        <w:t>供应商认为需提供的其他资料</w:t>
      </w:r>
    </w:p>
    <w:p w14:paraId="08FD9231">
      <w:pPr>
        <w:widowControl/>
        <w:tabs>
          <w:tab w:val="left" w:pos="753"/>
        </w:tabs>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十二、最终报价</w:t>
      </w:r>
    </w:p>
    <w:p w14:paraId="231EF373">
      <w:pPr>
        <w:adjustRightInd w:val="0"/>
        <w:snapToGrid w:val="0"/>
        <w:spacing w:before="156" w:beforeLines="50" w:line="360" w:lineRule="auto"/>
        <w:rPr>
          <w:rFonts w:ascii="宋体"/>
          <w:color w:val="auto"/>
        </w:rPr>
      </w:pPr>
    </w:p>
    <w:p w14:paraId="4EEB6016">
      <w:pPr>
        <w:spacing w:line="360" w:lineRule="exact"/>
        <w:jc w:val="center"/>
        <w:rPr>
          <w:rFonts w:ascii="黑体" w:eastAsia="黑体"/>
          <w:b/>
          <w:color w:val="auto"/>
          <w:sz w:val="32"/>
          <w:szCs w:val="32"/>
        </w:rPr>
      </w:pPr>
    </w:p>
    <w:p w14:paraId="24C9C129">
      <w:pPr>
        <w:pStyle w:val="5"/>
        <w:rPr>
          <w:color w:val="auto"/>
        </w:rPr>
      </w:pPr>
    </w:p>
    <w:p w14:paraId="355787B6">
      <w:pPr>
        <w:spacing w:line="360" w:lineRule="exact"/>
        <w:jc w:val="center"/>
        <w:rPr>
          <w:rFonts w:ascii="黑体" w:eastAsia="黑体"/>
          <w:b/>
          <w:color w:val="auto"/>
          <w:sz w:val="32"/>
          <w:szCs w:val="32"/>
        </w:rPr>
      </w:pPr>
    </w:p>
    <w:p w14:paraId="71D8BDCC">
      <w:pPr>
        <w:spacing w:line="360" w:lineRule="exact"/>
        <w:jc w:val="center"/>
        <w:rPr>
          <w:rFonts w:ascii="黑体" w:eastAsia="黑体"/>
          <w:b/>
          <w:color w:val="auto"/>
          <w:sz w:val="32"/>
          <w:szCs w:val="32"/>
        </w:rPr>
      </w:pPr>
    </w:p>
    <w:p w14:paraId="68D3D792">
      <w:pPr>
        <w:spacing w:line="360" w:lineRule="exact"/>
        <w:jc w:val="center"/>
        <w:rPr>
          <w:rFonts w:ascii="黑体" w:eastAsia="黑体"/>
          <w:b/>
          <w:color w:val="auto"/>
          <w:sz w:val="32"/>
          <w:szCs w:val="32"/>
        </w:rPr>
      </w:pPr>
    </w:p>
    <w:p w14:paraId="7370655A">
      <w:pPr>
        <w:spacing w:line="360" w:lineRule="exact"/>
        <w:jc w:val="center"/>
        <w:rPr>
          <w:rFonts w:ascii="黑体" w:eastAsia="黑体"/>
          <w:b/>
          <w:color w:val="auto"/>
          <w:sz w:val="32"/>
          <w:szCs w:val="32"/>
        </w:rPr>
      </w:pPr>
    </w:p>
    <w:p w14:paraId="08F4DD4C">
      <w:pPr>
        <w:spacing w:line="360" w:lineRule="exact"/>
        <w:jc w:val="center"/>
        <w:rPr>
          <w:rFonts w:ascii="黑体" w:eastAsia="黑体"/>
          <w:b/>
          <w:color w:val="auto"/>
          <w:sz w:val="32"/>
          <w:szCs w:val="32"/>
        </w:rPr>
      </w:pPr>
    </w:p>
    <w:p w14:paraId="146D47C9">
      <w:pPr>
        <w:spacing w:line="360" w:lineRule="exact"/>
        <w:jc w:val="center"/>
        <w:rPr>
          <w:rFonts w:ascii="黑体" w:eastAsia="黑体"/>
          <w:b/>
          <w:color w:val="auto"/>
          <w:sz w:val="32"/>
          <w:szCs w:val="32"/>
        </w:rPr>
      </w:pPr>
    </w:p>
    <w:p w14:paraId="5300A57C">
      <w:pPr>
        <w:spacing w:line="360" w:lineRule="exact"/>
        <w:jc w:val="center"/>
        <w:rPr>
          <w:rFonts w:ascii="黑体" w:eastAsia="黑体"/>
          <w:b/>
          <w:color w:val="auto"/>
          <w:sz w:val="32"/>
          <w:szCs w:val="32"/>
        </w:rPr>
      </w:pPr>
    </w:p>
    <w:p w14:paraId="469020E1">
      <w:pPr>
        <w:adjustRightInd w:val="0"/>
        <w:snapToGrid w:val="0"/>
        <w:spacing w:line="360" w:lineRule="auto"/>
        <w:jc w:val="center"/>
        <w:rPr>
          <w:rFonts w:ascii="黑体" w:eastAsia="黑体"/>
          <w:color w:val="auto"/>
          <w:sz w:val="32"/>
          <w:szCs w:val="32"/>
        </w:rPr>
      </w:pPr>
    </w:p>
    <w:p w14:paraId="30A0F2DE">
      <w:pPr>
        <w:pStyle w:val="22"/>
        <w:adjustRightInd w:val="0"/>
        <w:snapToGrid w:val="0"/>
        <w:spacing w:line="360" w:lineRule="auto"/>
        <w:jc w:val="center"/>
        <w:rPr>
          <w:rFonts w:hint="eastAsia" w:hAnsi="宋体"/>
          <w:b/>
          <w:bCs/>
          <w:color w:val="auto"/>
          <w:sz w:val="72"/>
          <w:szCs w:val="72"/>
        </w:rPr>
      </w:pPr>
    </w:p>
    <w:p w14:paraId="599E4168">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响 应 文 件</w:t>
      </w:r>
    </w:p>
    <w:p w14:paraId="444673C4">
      <w:pPr>
        <w:adjustRightInd w:val="0"/>
        <w:snapToGrid w:val="0"/>
        <w:spacing w:line="360" w:lineRule="auto"/>
        <w:rPr>
          <w:rFonts w:ascii="黑体" w:hAnsi="黑体" w:eastAsia="黑体"/>
          <w:b/>
          <w:color w:val="auto"/>
          <w:sz w:val="32"/>
          <w:szCs w:val="32"/>
        </w:rPr>
      </w:pPr>
    </w:p>
    <w:p w14:paraId="44F03D1F">
      <w:pPr>
        <w:adjustRightInd w:val="0"/>
        <w:snapToGrid w:val="0"/>
        <w:spacing w:line="360" w:lineRule="auto"/>
        <w:rPr>
          <w:rFonts w:ascii="宋体" w:hAnsi="宋体"/>
          <w:b/>
          <w:color w:val="auto"/>
          <w:sz w:val="30"/>
          <w:szCs w:val="30"/>
        </w:rPr>
      </w:pPr>
      <w:r>
        <w:rPr>
          <w:rFonts w:hint="eastAsia" w:ascii="宋体" w:hAnsi="宋体"/>
          <w:b/>
          <w:color w:val="auto"/>
          <w:sz w:val="32"/>
          <w:szCs w:val="32"/>
        </w:rPr>
        <w:t xml:space="preserve">                     </w:t>
      </w:r>
    </w:p>
    <w:p w14:paraId="1A622FE7">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r>
        <w:rPr>
          <w:rFonts w:hint="eastAsia" w:hAnsi="宋体"/>
          <w:b/>
          <w:bCs/>
          <w:color w:val="auto"/>
          <w:sz w:val="30"/>
          <w:szCs w:val="30"/>
          <w:u w:val="single"/>
        </w:rPr>
        <w:t xml:space="preserve">                       </w:t>
      </w:r>
    </w:p>
    <w:p w14:paraId="67ABDA1D">
      <w:pPr>
        <w:pStyle w:val="22"/>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r>
        <w:rPr>
          <w:rFonts w:hint="eastAsia" w:hAnsi="宋体"/>
          <w:b/>
          <w:bCs/>
          <w:color w:val="auto"/>
          <w:sz w:val="30"/>
          <w:szCs w:val="30"/>
          <w:u w:val="single"/>
        </w:rPr>
        <w:t xml:space="preserve">                       </w:t>
      </w:r>
    </w:p>
    <w:p w14:paraId="056BD782">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lang w:eastAsia="zh-CN"/>
        </w:rPr>
        <w:t>委托代理编号</w:t>
      </w:r>
      <w:r>
        <w:rPr>
          <w:rFonts w:hint="eastAsia" w:hAnsi="宋体"/>
          <w:b/>
          <w:bCs/>
          <w:color w:val="auto"/>
          <w:sz w:val="30"/>
          <w:szCs w:val="30"/>
        </w:rPr>
        <w:t>:</w:t>
      </w:r>
      <w:r>
        <w:rPr>
          <w:rFonts w:hint="eastAsia" w:hAnsi="宋体"/>
          <w:b/>
          <w:bCs/>
          <w:color w:val="auto"/>
          <w:sz w:val="30"/>
          <w:szCs w:val="30"/>
          <w:u w:val="single"/>
        </w:rPr>
        <w:t xml:space="preserve">                       </w:t>
      </w:r>
    </w:p>
    <w:p w14:paraId="11203B41">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r>
        <w:rPr>
          <w:rFonts w:hint="eastAsia" w:hAnsi="宋体"/>
          <w:b/>
          <w:bCs/>
          <w:color w:val="auto"/>
          <w:sz w:val="30"/>
          <w:szCs w:val="30"/>
          <w:u w:val="single"/>
        </w:rPr>
        <w:t xml:space="preserve">                      </w:t>
      </w:r>
    </w:p>
    <w:p w14:paraId="6E5ABFB7">
      <w:pPr>
        <w:adjustRightInd w:val="0"/>
        <w:snapToGrid w:val="0"/>
        <w:spacing w:line="360" w:lineRule="auto"/>
        <w:rPr>
          <w:rFonts w:ascii="黑体" w:hAnsi="黑体" w:eastAsia="黑体"/>
          <w:color w:val="auto"/>
          <w:sz w:val="30"/>
          <w:szCs w:val="30"/>
        </w:rPr>
      </w:pPr>
    </w:p>
    <w:p w14:paraId="25B94004">
      <w:pPr>
        <w:adjustRightInd w:val="0"/>
        <w:snapToGrid w:val="0"/>
        <w:rPr>
          <w:rFonts w:ascii="黑体" w:hAnsi="宋体" w:eastAsia="黑体"/>
          <w:color w:val="auto"/>
          <w:sz w:val="30"/>
          <w:szCs w:val="30"/>
        </w:rPr>
      </w:pPr>
    </w:p>
    <w:p w14:paraId="4CFB6DA3">
      <w:pPr>
        <w:adjustRightInd w:val="0"/>
        <w:snapToGrid w:val="0"/>
        <w:spacing w:line="360" w:lineRule="auto"/>
        <w:rPr>
          <w:rFonts w:ascii="黑体" w:hAnsi="宋体" w:eastAsia="黑体"/>
          <w:color w:val="auto"/>
          <w:sz w:val="30"/>
          <w:szCs w:val="30"/>
        </w:rPr>
      </w:pPr>
    </w:p>
    <w:p w14:paraId="58DDBDEB">
      <w:pPr>
        <w:adjustRightInd w:val="0"/>
        <w:snapToGrid w:val="0"/>
        <w:spacing w:line="360" w:lineRule="auto"/>
        <w:rPr>
          <w:rFonts w:ascii="黑体" w:hAnsi="宋体" w:eastAsia="黑体"/>
          <w:color w:val="auto"/>
          <w:sz w:val="30"/>
          <w:szCs w:val="30"/>
        </w:rPr>
      </w:pPr>
    </w:p>
    <w:p w14:paraId="331BE51F">
      <w:pPr>
        <w:adjustRightInd w:val="0"/>
        <w:snapToGrid w:val="0"/>
        <w:spacing w:line="360" w:lineRule="auto"/>
        <w:rPr>
          <w:rFonts w:ascii="黑体" w:hAnsi="宋体" w:eastAsia="黑体"/>
          <w:color w:val="auto"/>
          <w:sz w:val="30"/>
          <w:szCs w:val="30"/>
        </w:rPr>
      </w:pPr>
    </w:p>
    <w:p w14:paraId="728662B7">
      <w:pPr>
        <w:adjustRightInd w:val="0"/>
        <w:snapToGrid w:val="0"/>
        <w:spacing w:line="360" w:lineRule="auto"/>
        <w:ind w:firstLine="1984" w:firstLineChars="620"/>
        <w:rPr>
          <w:rFonts w:ascii="黑体" w:hAnsi="黑体" w:eastAsia="黑体"/>
          <w:color w:val="auto"/>
          <w:sz w:val="32"/>
          <w:szCs w:val="32"/>
          <w:u w:val="single"/>
        </w:rPr>
      </w:pPr>
      <w:r>
        <w:rPr>
          <w:rFonts w:hint="eastAsia" w:ascii="黑体" w:hAnsi="黑体" w:eastAsia="黑体"/>
          <w:color w:val="auto"/>
          <w:sz w:val="32"/>
          <w:szCs w:val="32"/>
        </w:rPr>
        <w:t>供应商</w:t>
      </w:r>
      <w:r>
        <w:rPr>
          <w:rFonts w:hint="eastAsia" w:ascii="黑体" w:hAnsi="黑体" w:eastAsia="黑体"/>
          <w:color w:val="auto"/>
          <w:sz w:val="32"/>
          <w:szCs w:val="32"/>
          <w:lang w:eastAsia="zh-CN"/>
        </w:rPr>
        <w:t>：</w:t>
      </w:r>
      <w:r>
        <w:rPr>
          <w:rFonts w:hint="eastAsia" w:ascii="黑体" w:hAnsi="黑体" w:eastAsia="黑体"/>
          <w:color w:val="auto"/>
          <w:sz w:val="32"/>
          <w:szCs w:val="32"/>
          <w:u w:val="single"/>
        </w:rPr>
        <w:t xml:space="preserve">                         </w:t>
      </w:r>
    </w:p>
    <w:p w14:paraId="2BBF1FD3">
      <w:pPr>
        <w:jc w:val="center"/>
        <w:rPr>
          <w:rFonts w:ascii="黑体" w:hAnsi="黑体" w:eastAsia="黑体"/>
          <w:color w:val="auto"/>
          <w:sz w:val="32"/>
          <w:szCs w:val="32"/>
        </w:rPr>
      </w:pPr>
      <w:r>
        <w:rPr>
          <w:rFonts w:hint="eastAsia" w:ascii="黑体" w:hAnsi="黑体" w:eastAsia="黑体"/>
          <w:color w:val="auto"/>
          <w:sz w:val="32"/>
          <w:szCs w:val="32"/>
        </w:rPr>
        <w:t>年  月  日</w:t>
      </w:r>
    </w:p>
    <w:p w14:paraId="77E0AC23">
      <w:pPr>
        <w:pStyle w:val="3"/>
        <w:jc w:val="center"/>
        <w:rPr>
          <w:rFonts w:ascii="黑体" w:hAnsi="黑体" w:eastAsia="黑体"/>
          <w:color w:val="auto"/>
          <w:sz w:val="28"/>
          <w:szCs w:val="28"/>
        </w:rPr>
      </w:pPr>
      <w:r>
        <w:rPr>
          <w:rFonts w:ascii="黑体" w:hAnsi="黑体" w:eastAsia="黑体"/>
          <w:color w:val="auto"/>
          <w:sz w:val="28"/>
          <w:szCs w:val="28"/>
        </w:rPr>
        <w:br w:type="page"/>
      </w:r>
      <w:bookmarkStart w:id="54" w:name="_Toc7915"/>
      <w:r>
        <w:rPr>
          <w:rFonts w:hint="eastAsia" w:ascii="黑体" w:hAnsi="黑体" w:eastAsia="黑体"/>
          <w:color w:val="auto"/>
          <w:sz w:val="28"/>
          <w:szCs w:val="28"/>
        </w:rPr>
        <w:t>一、谈判响应声明(格式)</w:t>
      </w:r>
      <w:bookmarkEnd w:id="54"/>
    </w:p>
    <w:p w14:paraId="55CC5F00">
      <w:pPr>
        <w:bidi w:val="0"/>
        <w:rPr>
          <w:rFonts w:hint="eastAsia"/>
          <w:color w:val="auto"/>
        </w:rPr>
      </w:pPr>
    </w:p>
    <w:p w14:paraId="15C2C9CD">
      <w:pPr>
        <w:adjustRightInd w:val="0"/>
        <w:snapToGrid w:val="0"/>
        <w:spacing w:before="156" w:beforeLines="50" w:line="360" w:lineRule="auto"/>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 xml:space="preserve">            </w:t>
      </w:r>
      <w:r>
        <w:rPr>
          <w:rFonts w:hint="eastAsia" w:ascii="宋体" w:hAnsi="宋体"/>
          <w:color w:val="auto"/>
          <w:szCs w:val="21"/>
        </w:rPr>
        <w:t xml:space="preserve"> (采购人、采购代理机构)：</w:t>
      </w:r>
    </w:p>
    <w:p w14:paraId="07C0DCBF">
      <w:pPr>
        <w:adjustRightInd w:val="0"/>
        <w:snapToGrid w:val="0"/>
        <w:spacing w:before="156" w:beforeLines="50" w:line="360" w:lineRule="auto"/>
        <w:ind w:firstLine="435"/>
        <w:rPr>
          <w:rFonts w:ascii="宋体" w:hAnsi="宋体"/>
          <w:color w:val="auto"/>
          <w:szCs w:val="21"/>
        </w:rPr>
      </w:pPr>
      <w:r>
        <w:rPr>
          <w:rFonts w:hint="eastAsia" w:ascii="宋体" w:hAnsi="宋体"/>
          <w:color w:val="auto"/>
          <w:szCs w:val="21"/>
        </w:rPr>
        <w:t>根据贵方为</w:t>
      </w:r>
      <w:r>
        <w:rPr>
          <w:rFonts w:hint="eastAsia" w:ascii="宋体" w:hAnsi="宋体"/>
          <w:color w:val="auto"/>
          <w:szCs w:val="21"/>
          <w:u w:val="single"/>
        </w:rPr>
        <w:t xml:space="preserve">           </w:t>
      </w:r>
      <w:r>
        <w:rPr>
          <w:rFonts w:hint="eastAsia" w:ascii="宋体" w:hAnsi="宋体"/>
          <w:color w:val="auto"/>
          <w:szCs w:val="21"/>
        </w:rPr>
        <w:t>（项目名称）的谈判邀请（</w:t>
      </w:r>
      <w:r>
        <w:rPr>
          <w:rFonts w:hint="eastAsia" w:ascii="宋体" w:hAnsi="宋体"/>
          <w:color w:val="auto"/>
          <w:szCs w:val="21"/>
          <w:lang w:eastAsia="zh-CN"/>
        </w:rPr>
        <w:t>委托代理编号</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），签字代表 </w:t>
      </w:r>
      <w:r>
        <w:rPr>
          <w:rFonts w:hint="eastAsia" w:ascii="宋体" w:hAnsi="宋体"/>
          <w:color w:val="auto"/>
          <w:szCs w:val="21"/>
          <w:u w:val="single"/>
        </w:rPr>
        <w:t xml:space="preserve">      </w:t>
      </w:r>
      <w:r>
        <w:rPr>
          <w:rFonts w:hint="eastAsia" w:ascii="宋体" w:hAnsi="宋体"/>
          <w:color w:val="auto"/>
          <w:szCs w:val="21"/>
        </w:rPr>
        <w:t>（姓名、职务）经正式授权并代表供应商</w:t>
      </w:r>
      <w:r>
        <w:rPr>
          <w:rFonts w:hint="eastAsia" w:ascii="宋体" w:hAnsi="宋体"/>
          <w:color w:val="auto"/>
          <w:szCs w:val="21"/>
          <w:u w:val="single"/>
        </w:rPr>
        <w:t xml:space="preserve">       </w:t>
      </w:r>
      <w:r>
        <w:rPr>
          <w:rFonts w:hint="eastAsia" w:ascii="宋体" w:hAnsi="宋体"/>
          <w:color w:val="auto"/>
          <w:szCs w:val="21"/>
        </w:rPr>
        <w:t xml:space="preserve"> （供应商名称）提交响应文件正本一份,副本</w:t>
      </w:r>
      <w:r>
        <w:rPr>
          <w:rFonts w:hint="eastAsia" w:ascii="宋体" w:hAnsi="宋体"/>
          <w:color w:val="auto"/>
          <w:szCs w:val="21"/>
          <w:u w:val="single"/>
        </w:rPr>
        <w:t xml:space="preserve">     </w:t>
      </w:r>
      <w:r>
        <w:rPr>
          <w:rFonts w:hint="eastAsia" w:ascii="宋体" w:hAnsi="宋体"/>
          <w:color w:val="auto"/>
          <w:szCs w:val="21"/>
        </w:rPr>
        <w:t>份；响应文件电子文档</w:t>
      </w:r>
      <w:r>
        <w:rPr>
          <w:rFonts w:hint="eastAsia" w:ascii="宋体" w:hAnsi="宋体"/>
          <w:color w:val="auto"/>
          <w:szCs w:val="21"/>
          <w:lang w:eastAsia="zh-CN"/>
        </w:rPr>
        <w:t>一</w:t>
      </w:r>
      <w:r>
        <w:rPr>
          <w:rFonts w:hint="eastAsia" w:ascii="宋体" w:hAnsi="宋体"/>
          <w:color w:val="auto"/>
          <w:szCs w:val="21"/>
        </w:rPr>
        <w:t>份，参加采购项目第</w:t>
      </w:r>
      <w:r>
        <w:rPr>
          <w:rFonts w:hint="eastAsia" w:ascii="宋体" w:hAnsi="宋体"/>
          <w:color w:val="auto"/>
          <w:szCs w:val="21"/>
          <w:u w:val="single"/>
        </w:rPr>
        <w:t xml:space="preserve">   </w:t>
      </w:r>
      <w:r>
        <w:rPr>
          <w:rFonts w:hint="eastAsia" w:ascii="宋体" w:hAnsi="宋体"/>
          <w:color w:val="auto"/>
          <w:szCs w:val="21"/>
        </w:rPr>
        <w:t>包谈判，并在此声明，所递交的响应文件内容完整、真实。</w:t>
      </w:r>
    </w:p>
    <w:p w14:paraId="6EED5DD5">
      <w:pPr>
        <w:pStyle w:val="22"/>
        <w:adjustRightInd w:val="0"/>
        <w:snapToGrid w:val="0"/>
        <w:spacing w:before="156" w:beforeLines="50" w:line="360" w:lineRule="auto"/>
        <w:ind w:firstLine="420" w:firstLineChars="200"/>
        <w:rPr>
          <w:rFonts w:hAnsi="宋体"/>
          <w:color w:val="auto"/>
        </w:rPr>
      </w:pPr>
      <w:r>
        <w:rPr>
          <w:rFonts w:hint="eastAsia" w:hAnsi="宋体"/>
          <w:color w:val="auto"/>
        </w:rPr>
        <w:t>一、我方已详细审查谈判文件。我们完全理解并同意放弃对这方面有不明及误解的权力。</w:t>
      </w:r>
    </w:p>
    <w:p w14:paraId="67BDCA64">
      <w:pPr>
        <w:pStyle w:val="22"/>
        <w:adjustRightInd w:val="0"/>
        <w:snapToGrid w:val="0"/>
        <w:spacing w:before="156" w:beforeLines="50" w:line="360" w:lineRule="auto"/>
        <w:ind w:firstLine="420" w:firstLineChars="200"/>
        <w:rPr>
          <w:rFonts w:hAnsi="宋体"/>
          <w:bCs/>
          <w:color w:val="auto"/>
        </w:rPr>
      </w:pPr>
      <w:r>
        <w:rPr>
          <w:rFonts w:hint="eastAsia" w:hAnsi="宋体"/>
          <w:color w:val="auto"/>
        </w:rPr>
        <w:t>二、我方愿意向贵方提供任何与本项采购有关的数据、情况和技术资料。若贵方需要，我方愿意提供我方作出的一切承诺的证明材料。</w:t>
      </w:r>
    </w:p>
    <w:p w14:paraId="47C23685">
      <w:pPr>
        <w:pStyle w:val="22"/>
        <w:adjustRightInd w:val="0"/>
        <w:snapToGrid w:val="0"/>
        <w:spacing w:before="156" w:beforeLines="50" w:line="360" w:lineRule="auto"/>
        <w:ind w:firstLine="420" w:firstLineChars="200"/>
        <w:rPr>
          <w:rFonts w:hAnsi="宋体"/>
          <w:color w:val="auto"/>
        </w:rPr>
      </w:pPr>
      <w:r>
        <w:rPr>
          <w:rFonts w:hint="eastAsia" w:hAnsi="宋体"/>
          <w:color w:val="auto"/>
        </w:rPr>
        <w:t>三、我方愿意按谈判文件规定和谈判小组要求重新提交响应文件和最后报价。</w:t>
      </w:r>
    </w:p>
    <w:p w14:paraId="13037CD7">
      <w:pPr>
        <w:pStyle w:val="22"/>
        <w:adjustRightInd w:val="0"/>
        <w:snapToGrid w:val="0"/>
        <w:spacing w:before="156" w:beforeLines="50" w:line="360" w:lineRule="auto"/>
        <w:ind w:firstLine="420" w:firstLineChars="200"/>
        <w:rPr>
          <w:rFonts w:hAnsi="宋体"/>
          <w:color w:val="auto"/>
        </w:rPr>
      </w:pPr>
      <w:r>
        <w:rPr>
          <w:rFonts w:hint="eastAsia" w:hAnsi="宋体"/>
          <w:color w:val="auto"/>
        </w:rPr>
        <w:t>四、我方同意在谈判文件中规定的提交首次响应文件截止时间起</w:t>
      </w:r>
      <w:r>
        <w:rPr>
          <w:rFonts w:hint="eastAsia" w:hAnsi="宋体"/>
          <w:color w:val="auto"/>
          <w:u w:val="single"/>
        </w:rPr>
        <w:t xml:space="preserve">    </w:t>
      </w:r>
      <w:r>
        <w:rPr>
          <w:rFonts w:hint="eastAsia" w:hAnsi="宋体"/>
          <w:color w:val="auto"/>
        </w:rPr>
        <w:t>日内(响应文件有效期)遵守本响应文件中的承诺且在此期限期满之前均具有法律约束力。</w:t>
      </w:r>
    </w:p>
    <w:p w14:paraId="2FABFE4E">
      <w:pPr>
        <w:pStyle w:val="22"/>
        <w:adjustRightInd w:val="0"/>
        <w:snapToGrid w:val="0"/>
        <w:spacing w:before="156" w:beforeLines="50" w:line="360" w:lineRule="auto"/>
        <w:ind w:firstLine="420" w:firstLineChars="200"/>
        <w:rPr>
          <w:rFonts w:hAnsi="宋体"/>
          <w:color w:val="auto"/>
        </w:rPr>
      </w:pPr>
      <w:r>
        <w:rPr>
          <w:rFonts w:hint="eastAsia" w:hAnsi="宋体"/>
          <w:color w:val="auto"/>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479BD3CD">
      <w:pPr>
        <w:pStyle w:val="22"/>
        <w:adjustRightInd w:val="0"/>
        <w:snapToGrid w:val="0"/>
        <w:spacing w:before="156" w:beforeLines="50" w:line="360" w:lineRule="auto"/>
        <w:ind w:firstLine="420" w:firstLineChars="200"/>
        <w:rPr>
          <w:rFonts w:hAnsi="宋体"/>
          <w:color w:val="auto"/>
        </w:rPr>
      </w:pPr>
      <w:r>
        <w:rPr>
          <w:rFonts w:hint="eastAsia" w:hAnsi="宋体"/>
          <w:color w:val="auto"/>
        </w:rPr>
        <w:t>六、我方承诺在参与竞争性谈判过程中，若出现《政府采购法》第七十七条、《政府采购法实施条例》第七十二条和《政府采购非招标方式管理办法》第五十四条规定之情形，我方同意接受条款规定作出的处罚。</w:t>
      </w:r>
    </w:p>
    <w:p w14:paraId="2CC112AF">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七、我方的联系方式：</w:t>
      </w:r>
    </w:p>
    <w:p w14:paraId="6BDE666F">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地址：</w:t>
      </w:r>
      <w:r>
        <w:rPr>
          <w:rFonts w:hint="eastAsia" w:ascii="宋体" w:hAnsi="宋体"/>
          <w:color w:val="auto"/>
          <w:szCs w:val="21"/>
          <w:u w:val="single"/>
        </w:rPr>
        <w:t xml:space="preserve">    </w:t>
      </w:r>
      <w:r>
        <w:rPr>
          <w:rFonts w:hint="eastAsia" w:ascii="宋体" w:hAnsi="宋体"/>
          <w:color w:val="auto"/>
          <w:szCs w:val="21"/>
        </w:rPr>
        <w:t>；邮编：</w:t>
      </w:r>
      <w:r>
        <w:rPr>
          <w:rFonts w:hint="eastAsia" w:ascii="宋体" w:hAnsi="宋体"/>
          <w:color w:val="auto"/>
          <w:szCs w:val="21"/>
          <w:u w:val="single"/>
        </w:rPr>
        <w:t xml:space="preserve">     </w:t>
      </w:r>
      <w:r>
        <w:rPr>
          <w:rFonts w:hint="eastAsia" w:ascii="宋体" w:hAnsi="宋体"/>
          <w:color w:val="auto"/>
          <w:szCs w:val="21"/>
        </w:rPr>
        <w:t xml:space="preserve"> ；电话：</w:t>
      </w:r>
      <w:r>
        <w:rPr>
          <w:rFonts w:hint="eastAsia" w:ascii="宋体" w:hAnsi="宋体"/>
          <w:color w:val="auto"/>
          <w:szCs w:val="21"/>
          <w:u w:val="single"/>
        </w:rPr>
        <w:t xml:space="preserve">      </w:t>
      </w:r>
      <w:r>
        <w:rPr>
          <w:rFonts w:hint="eastAsia" w:ascii="宋体" w:hAnsi="宋体"/>
          <w:color w:val="auto"/>
          <w:szCs w:val="21"/>
        </w:rPr>
        <w:t>；电子邮箱：</w:t>
      </w:r>
      <w:r>
        <w:rPr>
          <w:rFonts w:hint="eastAsia" w:ascii="宋体" w:hAnsi="宋体"/>
          <w:color w:val="auto"/>
          <w:szCs w:val="21"/>
          <w:u w:val="single"/>
        </w:rPr>
        <w:t xml:space="preserve">        </w:t>
      </w:r>
      <w:r>
        <w:rPr>
          <w:rFonts w:hint="eastAsia" w:ascii="宋体" w:hAnsi="宋体"/>
          <w:color w:val="auto"/>
          <w:szCs w:val="21"/>
        </w:rPr>
        <w:t xml:space="preserve"> 。</w:t>
      </w:r>
    </w:p>
    <w:p w14:paraId="03BCFAF0">
      <w:pPr>
        <w:pStyle w:val="22"/>
        <w:adjustRightInd w:val="0"/>
        <w:snapToGrid w:val="0"/>
        <w:spacing w:before="156" w:beforeLines="50" w:line="360" w:lineRule="auto"/>
        <w:rPr>
          <w:rFonts w:hAnsi="宋体"/>
          <w:color w:val="auto"/>
        </w:rPr>
      </w:pPr>
    </w:p>
    <w:p w14:paraId="2E146647">
      <w:pPr>
        <w:pStyle w:val="22"/>
        <w:adjustRightInd w:val="0"/>
        <w:snapToGrid w:val="0"/>
        <w:spacing w:before="156" w:beforeLines="50" w:line="360" w:lineRule="auto"/>
        <w:rPr>
          <w:rFonts w:hAnsi="宋体"/>
          <w:color w:val="auto"/>
        </w:rPr>
      </w:pPr>
      <w:r>
        <w:rPr>
          <w:rFonts w:hint="eastAsia" w:hAnsi="宋体"/>
          <w:color w:val="auto"/>
        </w:rPr>
        <w:t>供应商名称(盖单位公章)：</w:t>
      </w:r>
    </w:p>
    <w:p w14:paraId="640C6998">
      <w:pPr>
        <w:adjustRightInd w:val="0"/>
        <w:snapToGrid w:val="0"/>
        <w:spacing w:before="156" w:beforeLines="50"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1ECE41CE">
      <w:pPr>
        <w:adjustRightInd w:val="0"/>
        <w:snapToGrid w:val="0"/>
        <w:spacing w:before="156" w:beforeLines="50"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2C53FA0">
      <w:pPr>
        <w:pStyle w:val="3"/>
        <w:jc w:val="center"/>
        <w:rPr>
          <w:rFonts w:ascii="黑体" w:hAnsi="黑体" w:eastAsia="黑体"/>
          <w:color w:val="auto"/>
          <w:sz w:val="28"/>
          <w:szCs w:val="28"/>
        </w:rPr>
      </w:pPr>
      <w:r>
        <w:rPr>
          <w:rFonts w:ascii="宋体" w:hAnsi="宋体"/>
          <w:color w:val="auto"/>
          <w:szCs w:val="21"/>
        </w:rPr>
        <w:br w:type="page"/>
      </w:r>
      <w:bookmarkStart w:id="55" w:name="_Toc6417"/>
      <w:r>
        <w:rPr>
          <w:rFonts w:hint="eastAsia" w:ascii="黑体" w:hAnsi="黑体" w:eastAsia="黑体"/>
          <w:color w:val="auto"/>
          <w:sz w:val="28"/>
          <w:szCs w:val="28"/>
        </w:rPr>
        <w:t>二、法定代表人（单位负责人）身份证明(格式)</w:t>
      </w:r>
      <w:bookmarkEnd w:id="55"/>
    </w:p>
    <w:p w14:paraId="5E22262B">
      <w:pPr>
        <w:tabs>
          <w:tab w:val="left" w:pos="3880"/>
        </w:tabs>
        <w:autoSpaceDE w:val="0"/>
        <w:autoSpaceDN w:val="0"/>
        <w:adjustRightInd w:val="0"/>
        <w:snapToGrid w:val="0"/>
        <w:spacing w:before="156" w:beforeLines="50" w:line="360" w:lineRule="auto"/>
        <w:ind w:left="100" w:right="-20"/>
        <w:jc w:val="left"/>
        <w:rPr>
          <w:rFonts w:ascii="宋体" w:hAnsi="宋体" w:cs="微软雅黑"/>
          <w:color w:val="auto"/>
          <w:kern w:val="0"/>
          <w:position w:val="-4"/>
          <w:szCs w:val="21"/>
        </w:rPr>
      </w:pPr>
    </w:p>
    <w:p w14:paraId="6B2EF064">
      <w:pPr>
        <w:tabs>
          <w:tab w:val="left" w:pos="3880"/>
        </w:tabs>
        <w:autoSpaceDE w:val="0"/>
        <w:autoSpaceDN w:val="0"/>
        <w:adjustRightInd w:val="0"/>
        <w:snapToGrid w:val="0"/>
        <w:spacing w:before="156" w:beforeLines="50" w:line="360" w:lineRule="auto"/>
        <w:ind w:right="-20"/>
        <w:jc w:val="left"/>
        <w:rPr>
          <w:rFonts w:ascii="宋体" w:hAnsi="宋体" w:cs="微软雅黑"/>
          <w:color w:val="auto"/>
          <w:kern w:val="0"/>
          <w:szCs w:val="21"/>
        </w:rPr>
      </w:pPr>
      <w:r>
        <w:rPr>
          <w:rFonts w:hint="eastAsia" w:ascii="宋体" w:hAnsi="宋体" w:cs="微软雅黑"/>
          <w:color w:val="auto"/>
          <w:kern w:val="0"/>
          <w:position w:val="-4"/>
          <w:szCs w:val="21"/>
        </w:rPr>
        <w:t>供应商名</w:t>
      </w:r>
      <w:r>
        <w:rPr>
          <w:rFonts w:hint="eastAsia" w:ascii="宋体" w:hAnsi="宋体" w:cs="微软雅黑"/>
          <w:color w:val="auto"/>
          <w:spacing w:val="-2"/>
          <w:kern w:val="0"/>
          <w:position w:val="-4"/>
          <w:szCs w:val="21"/>
        </w:rPr>
        <w:t>称</w:t>
      </w:r>
      <w:r>
        <w:rPr>
          <w:rFonts w:hint="eastAsia" w:ascii="宋体" w:hAnsi="宋体" w:cs="微软雅黑"/>
          <w:color w:val="auto"/>
          <w:kern w:val="0"/>
          <w:position w:val="-4"/>
          <w:szCs w:val="21"/>
        </w:rPr>
        <w:t>：</w:t>
      </w:r>
      <w:r>
        <w:rPr>
          <w:rFonts w:hint="eastAsia" w:ascii="宋体" w:hAnsi="宋体"/>
          <w:color w:val="auto"/>
          <w:szCs w:val="21"/>
          <w:u w:val="single"/>
        </w:rPr>
        <w:t xml:space="preserve">                 </w:t>
      </w:r>
    </w:p>
    <w:p w14:paraId="383D0410">
      <w:pPr>
        <w:tabs>
          <w:tab w:val="left" w:pos="2400"/>
          <w:tab w:val="left" w:pos="3880"/>
          <w:tab w:val="left" w:pos="5340"/>
          <w:tab w:val="left" w:pos="6820"/>
        </w:tabs>
        <w:autoSpaceDE w:val="0"/>
        <w:autoSpaceDN w:val="0"/>
        <w:adjustRightInd w:val="0"/>
        <w:snapToGrid w:val="0"/>
        <w:spacing w:before="156" w:beforeLines="50" w:line="360" w:lineRule="auto"/>
        <w:ind w:right="-20"/>
        <w:jc w:val="left"/>
        <w:rPr>
          <w:rFonts w:ascii="宋体" w:hAnsi="宋体" w:cs="微软雅黑"/>
          <w:color w:val="auto"/>
          <w:kern w:val="0"/>
          <w:position w:val="-2"/>
          <w:szCs w:val="21"/>
        </w:rPr>
      </w:pPr>
      <w:r>
        <w:rPr>
          <w:rFonts w:hint="eastAsia" w:ascii="宋体" w:hAnsi="宋体" w:cs="微软雅黑"/>
          <w:color w:val="auto"/>
          <w:kern w:val="0"/>
          <w:position w:val="-2"/>
          <w:szCs w:val="21"/>
        </w:rPr>
        <w:t>统一社会信用代码：</w:t>
      </w:r>
      <w:r>
        <w:rPr>
          <w:rFonts w:hint="eastAsia" w:ascii="宋体" w:hAnsi="宋体"/>
          <w:color w:val="auto"/>
          <w:szCs w:val="21"/>
          <w:u w:val="single"/>
        </w:rPr>
        <w:t xml:space="preserve">                 </w:t>
      </w:r>
    </w:p>
    <w:p w14:paraId="1838967D">
      <w:pPr>
        <w:tabs>
          <w:tab w:val="left" w:pos="2400"/>
          <w:tab w:val="left" w:pos="3880"/>
          <w:tab w:val="left" w:pos="5340"/>
          <w:tab w:val="left" w:pos="6820"/>
        </w:tabs>
        <w:autoSpaceDE w:val="0"/>
        <w:autoSpaceDN w:val="0"/>
        <w:adjustRightInd w:val="0"/>
        <w:snapToGrid w:val="0"/>
        <w:spacing w:before="156" w:beforeLines="50" w:line="360" w:lineRule="auto"/>
        <w:ind w:right="-20"/>
        <w:jc w:val="left"/>
        <w:rPr>
          <w:rFonts w:ascii="宋体" w:hAnsi="宋体" w:cs="微软雅黑"/>
          <w:color w:val="auto"/>
          <w:kern w:val="0"/>
          <w:position w:val="-2"/>
          <w:szCs w:val="21"/>
        </w:rPr>
      </w:pPr>
      <w:r>
        <w:rPr>
          <w:rFonts w:hint="eastAsia" w:ascii="宋体" w:hAnsi="宋体" w:cs="微软雅黑"/>
          <w:color w:val="auto"/>
          <w:kern w:val="0"/>
          <w:position w:val="-2"/>
          <w:szCs w:val="21"/>
        </w:rPr>
        <w:t>注册地址：</w:t>
      </w:r>
      <w:r>
        <w:rPr>
          <w:rFonts w:hint="eastAsia" w:ascii="宋体" w:hAnsi="宋体"/>
          <w:color w:val="auto"/>
          <w:szCs w:val="21"/>
          <w:u w:val="single"/>
        </w:rPr>
        <w:t xml:space="preserve">                 </w:t>
      </w:r>
    </w:p>
    <w:p w14:paraId="18126444">
      <w:pPr>
        <w:autoSpaceDE w:val="0"/>
        <w:autoSpaceDN w:val="0"/>
        <w:adjustRightInd w:val="0"/>
        <w:snapToGrid w:val="0"/>
        <w:spacing w:beforeLines="50" w:line="360" w:lineRule="auto"/>
        <w:jc w:val="left"/>
        <w:rPr>
          <w:rFonts w:ascii="宋体" w:cs="宋体"/>
          <w:color w:val="auto"/>
          <w:kern w:val="0"/>
          <w:szCs w:val="21"/>
        </w:rPr>
      </w:pPr>
      <w:r>
        <w:rPr>
          <w:rFonts w:hint="eastAsia" w:ascii="宋体" w:hAnsi="宋体" w:cs="宋体"/>
          <w:color w:val="auto"/>
          <w:kern w:val="0"/>
          <w:szCs w:val="21"/>
        </w:rPr>
        <w:t>成立时间：</w:t>
      </w:r>
      <w:r>
        <w:rPr>
          <w:rFonts w:ascii="宋体" w:hAnsi="宋体" w:cs="宋体"/>
          <w:color w:val="auto"/>
          <w:kern w:val="0"/>
          <w:szCs w:val="21"/>
        </w:rPr>
        <w:t xml:space="preserve"> </w:t>
      </w:r>
      <w:r>
        <w:rPr>
          <w:rFonts w:ascii="宋体" w:hAnsi="宋体" w:cs="宋体"/>
          <w:color w:val="auto"/>
          <w:kern w:val="0"/>
          <w:szCs w:val="21"/>
          <w:u w:val="single"/>
        </w:rPr>
        <w:t xml:space="preserve">       </w:t>
      </w:r>
      <w:r>
        <w:rPr>
          <w:rFonts w:hint="eastAsia" w:ascii="宋体" w:hAnsi="宋体" w:cs="宋体"/>
          <w:color w:val="auto"/>
          <w:kern w:val="0"/>
          <w:szCs w:val="21"/>
        </w:rPr>
        <w:t>年</w:t>
      </w:r>
      <w:r>
        <w:rPr>
          <w:rFonts w:ascii="宋体" w:hAnsi="宋体" w:cs="宋体"/>
          <w:color w:val="auto"/>
          <w:kern w:val="0"/>
          <w:szCs w:val="21"/>
        </w:rPr>
        <w:t xml:space="preserve"> </w:t>
      </w:r>
      <w:r>
        <w:rPr>
          <w:rFonts w:ascii="宋体" w:hAnsi="宋体" w:cs="宋体"/>
          <w:color w:val="auto"/>
          <w:kern w:val="0"/>
          <w:szCs w:val="21"/>
          <w:u w:val="single"/>
        </w:rPr>
        <w:t xml:space="preserve">     </w:t>
      </w:r>
      <w:r>
        <w:rPr>
          <w:rFonts w:hint="eastAsia" w:ascii="宋体" w:hAnsi="宋体" w:cs="宋体"/>
          <w:color w:val="auto"/>
          <w:kern w:val="0"/>
          <w:szCs w:val="21"/>
        </w:rPr>
        <w:t>月</w:t>
      </w:r>
      <w:r>
        <w:rPr>
          <w:rFonts w:ascii="宋体" w:hAnsi="宋体" w:cs="宋体"/>
          <w:color w:val="auto"/>
          <w:kern w:val="0"/>
          <w:szCs w:val="21"/>
          <w:u w:val="single"/>
        </w:rPr>
        <w:t xml:space="preserve">    </w:t>
      </w:r>
      <w:r>
        <w:rPr>
          <w:rFonts w:ascii="宋体" w:hAnsi="宋体" w:cs="宋体"/>
          <w:color w:val="auto"/>
          <w:kern w:val="0"/>
          <w:szCs w:val="21"/>
        </w:rPr>
        <w:t xml:space="preserve"> </w:t>
      </w:r>
      <w:r>
        <w:rPr>
          <w:rFonts w:hint="eastAsia" w:ascii="宋体" w:hAnsi="宋体" w:cs="宋体"/>
          <w:color w:val="auto"/>
          <w:kern w:val="0"/>
          <w:szCs w:val="21"/>
        </w:rPr>
        <w:t>日</w:t>
      </w:r>
    </w:p>
    <w:p w14:paraId="1D60CA5B">
      <w:pPr>
        <w:autoSpaceDE w:val="0"/>
        <w:autoSpaceDN w:val="0"/>
        <w:adjustRightInd w:val="0"/>
        <w:snapToGrid w:val="0"/>
        <w:spacing w:beforeLines="50" w:line="360" w:lineRule="auto"/>
        <w:jc w:val="left"/>
        <w:rPr>
          <w:rFonts w:ascii="宋体" w:cs="宋体"/>
          <w:color w:val="auto"/>
          <w:kern w:val="0"/>
          <w:szCs w:val="21"/>
          <w:u w:val="single"/>
        </w:rPr>
      </w:pPr>
      <w:r>
        <w:rPr>
          <w:rFonts w:hint="eastAsia" w:ascii="宋体" w:hAnsi="宋体" w:cs="宋体"/>
          <w:color w:val="auto"/>
          <w:kern w:val="0"/>
          <w:szCs w:val="21"/>
        </w:rPr>
        <w:t>经营期限：</w:t>
      </w:r>
      <w:r>
        <w:rPr>
          <w:rFonts w:ascii="宋体" w:hAnsi="宋体" w:cs="宋体"/>
          <w:color w:val="auto"/>
          <w:kern w:val="0"/>
          <w:szCs w:val="21"/>
          <w:u w:val="single"/>
        </w:rPr>
        <w:t xml:space="preserve">                  </w:t>
      </w:r>
    </w:p>
    <w:p w14:paraId="55ED4E47">
      <w:pPr>
        <w:tabs>
          <w:tab w:val="left" w:pos="2400"/>
          <w:tab w:val="left" w:pos="3880"/>
          <w:tab w:val="left" w:pos="5340"/>
          <w:tab w:val="left" w:pos="6820"/>
        </w:tabs>
        <w:autoSpaceDE w:val="0"/>
        <w:autoSpaceDN w:val="0"/>
        <w:adjustRightInd w:val="0"/>
        <w:snapToGrid w:val="0"/>
        <w:spacing w:before="156" w:beforeLines="50" w:line="360" w:lineRule="auto"/>
        <w:ind w:right="-23"/>
        <w:jc w:val="left"/>
        <w:rPr>
          <w:rFonts w:hint="eastAsia" w:ascii="宋体" w:hAnsi="宋体" w:cs="微软雅黑"/>
          <w:color w:val="auto"/>
          <w:kern w:val="0"/>
          <w:position w:val="-2"/>
          <w:szCs w:val="21"/>
        </w:rPr>
      </w:pPr>
      <w:r>
        <w:rPr>
          <w:rFonts w:hint="eastAsia" w:ascii="宋体" w:hAnsi="宋体" w:cs="宋体"/>
          <w:color w:val="auto"/>
          <w:kern w:val="0"/>
          <w:szCs w:val="21"/>
        </w:rPr>
        <w:t>经营范围：主营：</w:t>
      </w:r>
      <w:r>
        <w:rPr>
          <w:rFonts w:ascii="宋体" w:hAnsi="宋体" w:cs="宋体"/>
          <w:color w:val="auto"/>
          <w:kern w:val="0"/>
          <w:szCs w:val="21"/>
          <w:u w:val="single"/>
        </w:rPr>
        <w:t xml:space="preserve">              </w:t>
      </w:r>
      <w:r>
        <w:rPr>
          <w:rFonts w:ascii="宋体" w:hAnsi="宋体" w:cs="宋体"/>
          <w:color w:val="auto"/>
          <w:kern w:val="0"/>
          <w:szCs w:val="21"/>
        </w:rPr>
        <w:t xml:space="preserve"> </w:t>
      </w:r>
      <w:r>
        <w:rPr>
          <w:rFonts w:hint="eastAsia" w:ascii="宋体" w:hAnsi="宋体" w:cs="宋体"/>
          <w:color w:val="auto"/>
          <w:kern w:val="0"/>
          <w:szCs w:val="21"/>
        </w:rPr>
        <w:t>；兼营：</w:t>
      </w:r>
      <w:r>
        <w:rPr>
          <w:rFonts w:ascii="宋体" w:hAnsi="宋体" w:cs="宋体"/>
          <w:color w:val="auto"/>
          <w:kern w:val="0"/>
          <w:szCs w:val="21"/>
          <w:u w:val="single"/>
        </w:rPr>
        <w:t xml:space="preserve">              </w:t>
      </w:r>
    </w:p>
    <w:p w14:paraId="7180BDE5">
      <w:pPr>
        <w:tabs>
          <w:tab w:val="left" w:pos="2400"/>
          <w:tab w:val="left" w:pos="3880"/>
          <w:tab w:val="left" w:pos="5340"/>
          <w:tab w:val="left" w:pos="6820"/>
        </w:tabs>
        <w:autoSpaceDE w:val="0"/>
        <w:autoSpaceDN w:val="0"/>
        <w:adjustRightInd w:val="0"/>
        <w:snapToGrid w:val="0"/>
        <w:spacing w:before="156" w:beforeLines="50" w:line="360" w:lineRule="auto"/>
        <w:ind w:right="-23"/>
        <w:jc w:val="left"/>
        <w:rPr>
          <w:rFonts w:hint="eastAsia" w:ascii="宋体" w:hAnsi="宋体" w:eastAsia="宋体" w:cs="微软雅黑"/>
          <w:color w:val="auto"/>
          <w:kern w:val="0"/>
          <w:szCs w:val="21"/>
          <w:lang w:eastAsia="zh-CN"/>
        </w:rPr>
      </w:pPr>
      <w:r>
        <w:rPr>
          <w:rFonts w:hint="eastAsia" w:ascii="宋体" w:hAnsi="宋体" w:cs="微软雅黑"/>
          <w:color w:val="auto"/>
          <w:kern w:val="0"/>
          <w:position w:val="-2"/>
          <w:szCs w:val="21"/>
        </w:rPr>
        <w:t>姓名</w:t>
      </w:r>
      <w:r>
        <w:rPr>
          <w:rFonts w:hint="eastAsia" w:ascii="宋体" w:hAnsi="宋体" w:cs="微软雅黑"/>
          <w:color w:val="auto"/>
          <w:spacing w:val="-2"/>
          <w:kern w:val="0"/>
          <w:position w:val="-2"/>
          <w:szCs w:val="21"/>
        </w:rPr>
        <w:t>：</w:t>
      </w:r>
      <w:r>
        <w:rPr>
          <w:rFonts w:hint="eastAsia" w:ascii="宋体" w:hAnsi="宋体"/>
          <w:color w:val="auto"/>
          <w:szCs w:val="21"/>
          <w:u w:val="single"/>
        </w:rPr>
        <w:t xml:space="preserve">         </w:t>
      </w:r>
      <w:r>
        <w:rPr>
          <w:rFonts w:hint="eastAsia" w:ascii="宋体" w:hAnsi="宋体" w:cs="微软雅黑"/>
          <w:color w:val="auto"/>
          <w:kern w:val="0"/>
          <w:position w:val="-2"/>
          <w:szCs w:val="21"/>
        </w:rPr>
        <w:t>性别</w:t>
      </w:r>
      <w:r>
        <w:rPr>
          <w:rFonts w:hint="eastAsia" w:ascii="宋体" w:hAnsi="宋体" w:cs="微软雅黑"/>
          <w:color w:val="auto"/>
          <w:spacing w:val="-2"/>
          <w:kern w:val="0"/>
          <w:position w:val="-2"/>
          <w:szCs w:val="21"/>
        </w:rPr>
        <w:t>：</w:t>
      </w:r>
      <w:r>
        <w:rPr>
          <w:rFonts w:hint="eastAsia" w:ascii="宋体" w:hAnsi="宋体"/>
          <w:color w:val="auto"/>
          <w:szCs w:val="21"/>
          <w:u w:val="single"/>
        </w:rPr>
        <w:t xml:space="preserve">         </w:t>
      </w:r>
      <w:r>
        <w:rPr>
          <w:rFonts w:hint="eastAsia" w:ascii="宋体" w:hAnsi="宋体" w:cs="微软雅黑"/>
          <w:color w:val="auto"/>
          <w:kern w:val="0"/>
          <w:position w:val="-2"/>
          <w:szCs w:val="21"/>
        </w:rPr>
        <w:t>年</w:t>
      </w:r>
      <w:r>
        <w:rPr>
          <w:rFonts w:hint="eastAsia" w:ascii="宋体" w:hAnsi="宋体" w:cs="微软雅黑"/>
          <w:color w:val="auto"/>
          <w:spacing w:val="-2"/>
          <w:kern w:val="0"/>
          <w:position w:val="-2"/>
          <w:szCs w:val="21"/>
        </w:rPr>
        <w:t>龄</w:t>
      </w:r>
      <w:r>
        <w:rPr>
          <w:rFonts w:hint="eastAsia" w:ascii="宋体" w:hAnsi="宋体" w:cs="微软雅黑"/>
          <w:color w:val="auto"/>
          <w:kern w:val="0"/>
          <w:position w:val="-2"/>
          <w:szCs w:val="21"/>
        </w:rPr>
        <w:t>：</w:t>
      </w:r>
      <w:r>
        <w:rPr>
          <w:rFonts w:hint="eastAsia" w:ascii="宋体" w:hAnsi="宋体"/>
          <w:color w:val="auto"/>
          <w:szCs w:val="21"/>
          <w:u w:val="single"/>
        </w:rPr>
        <w:t xml:space="preserve">         </w:t>
      </w:r>
      <w:r>
        <w:rPr>
          <w:rFonts w:hint="eastAsia" w:ascii="宋体" w:hAnsi="宋体" w:cs="微软雅黑"/>
          <w:color w:val="auto"/>
          <w:kern w:val="0"/>
          <w:position w:val="-2"/>
          <w:szCs w:val="21"/>
        </w:rPr>
        <w:t>职</w:t>
      </w:r>
      <w:r>
        <w:rPr>
          <w:rFonts w:hint="eastAsia" w:ascii="宋体" w:hAnsi="宋体" w:cs="微软雅黑"/>
          <w:color w:val="auto"/>
          <w:spacing w:val="-2"/>
          <w:kern w:val="0"/>
          <w:position w:val="-2"/>
          <w:szCs w:val="21"/>
        </w:rPr>
        <w:t>务</w:t>
      </w:r>
      <w:r>
        <w:rPr>
          <w:rFonts w:hint="eastAsia" w:ascii="宋体" w:hAnsi="宋体" w:cs="微软雅黑"/>
          <w:color w:val="auto"/>
          <w:kern w:val="0"/>
          <w:position w:val="-2"/>
          <w:szCs w:val="21"/>
        </w:rPr>
        <w:t>：</w:t>
      </w:r>
      <w:r>
        <w:rPr>
          <w:rFonts w:hint="eastAsia" w:ascii="宋体" w:hAnsi="宋体"/>
          <w:color w:val="auto"/>
          <w:szCs w:val="21"/>
          <w:u w:val="single"/>
        </w:rPr>
        <w:t xml:space="preserve">         </w:t>
      </w:r>
      <w:r>
        <w:rPr>
          <w:rFonts w:hint="eastAsia" w:ascii="宋体" w:hAnsi="宋体" w:cs="微软雅黑"/>
          <w:color w:val="auto"/>
          <w:kern w:val="0"/>
          <w:position w:val="-2"/>
          <w:szCs w:val="21"/>
        </w:rPr>
        <w:t>系</w:t>
      </w:r>
      <w:r>
        <w:rPr>
          <w:rFonts w:hint="eastAsia" w:ascii="宋体" w:hAnsi="宋体"/>
          <w:color w:val="auto"/>
          <w:szCs w:val="21"/>
          <w:u w:val="single"/>
        </w:rPr>
        <w:t xml:space="preserve">         </w:t>
      </w:r>
      <w:r>
        <w:rPr>
          <w:rFonts w:hint="eastAsia" w:ascii="宋体" w:hAnsi="宋体" w:cs="微软雅黑"/>
          <w:color w:val="auto"/>
          <w:spacing w:val="-2"/>
          <w:kern w:val="0"/>
          <w:position w:val="-2"/>
          <w:szCs w:val="21"/>
        </w:rPr>
        <w:t>（</w:t>
      </w:r>
      <w:r>
        <w:rPr>
          <w:rFonts w:hint="eastAsia" w:ascii="宋体" w:hAnsi="宋体" w:cs="微软雅黑"/>
          <w:color w:val="auto"/>
          <w:kern w:val="0"/>
          <w:position w:val="-2"/>
          <w:szCs w:val="21"/>
        </w:rPr>
        <w:t>供应商</w:t>
      </w:r>
      <w:r>
        <w:rPr>
          <w:rFonts w:hint="eastAsia" w:ascii="宋体" w:hAnsi="宋体" w:cs="微软雅黑"/>
          <w:color w:val="auto"/>
          <w:spacing w:val="-2"/>
          <w:kern w:val="0"/>
          <w:position w:val="-2"/>
          <w:szCs w:val="21"/>
        </w:rPr>
        <w:t>名</w:t>
      </w:r>
      <w:r>
        <w:rPr>
          <w:rFonts w:hint="eastAsia" w:ascii="宋体" w:hAnsi="宋体" w:cs="微软雅黑"/>
          <w:color w:val="auto"/>
          <w:kern w:val="0"/>
          <w:position w:val="-2"/>
          <w:szCs w:val="21"/>
        </w:rPr>
        <w:t>称</w:t>
      </w:r>
      <w:r>
        <w:rPr>
          <w:rFonts w:hint="eastAsia" w:ascii="宋体" w:hAnsi="宋体" w:cs="微软雅黑"/>
          <w:color w:val="auto"/>
          <w:spacing w:val="-2"/>
          <w:kern w:val="0"/>
          <w:position w:val="-2"/>
          <w:szCs w:val="21"/>
        </w:rPr>
        <w:t>）</w:t>
      </w:r>
      <w:r>
        <w:rPr>
          <w:rFonts w:hint="eastAsia" w:ascii="宋体" w:hAnsi="宋体" w:cs="微软雅黑"/>
          <w:color w:val="auto"/>
          <w:kern w:val="0"/>
          <w:position w:val="-2"/>
          <w:szCs w:val="21"/>
        </w:rPr>
        <w:t>的</w:t>
      </w:r>
      <w:r>
        <w:rPr>
          <w:rFonts w:hint="eastAsia" w:ascii="宋体" w:hAnsi="宋体" w:cs="微软雅黑"/>
          <w:color w:val="auto"/>
          <w:spacing w:val="-2"/>
          <w:kern w:val="0"/>
          <w:position w:val="-2"/>
          <w:szCs w:val="21"/>
        </w:rPr>
        <w:t>法定</w:t>
      </w:r>
      <w:r>
        <w:rPr>
          <w:rFonts w:hint="eastAsia" w:ascii="宋体" w:hAnsi="宋体" w:cs="微软雅黑"/>
          <w:color w:val="auto"/>
          <w:kern w:val="0"/>
          <w:position w:val="-2"/>
          <w:szCs w:val="21"/>
        </w:rPr>
        <w:t>代表</w:t>
      </w:r>
      <w:r>
        <w:rPr>
          <w:rFonts w:hint="eastAsia" w:ascii="宋体" w:hAnsi="宋体" w:cs="微软雅黑"/>
          <w:color w:val="auto"/>
          <w:spacing w:val="-2"/>
          <w:kern w:val="0"/>
          <w:position w:val="-2"/>
          <w:szCs w:val="21"/>
        </w:rPr>
        <w:t>人</w:t>
      </w:r>
      <w:r>
        <w:rPr>
          <w:rFonts w:hint="eastAsia" w:ascii="宋体" w:hAnsi="宋体" w:cs="微软雅黑"/>
          <w:color w:val="auto"/>
          <w:kern w:val="0"/>
          <w:position w:val="-2"/>
          <w:szCs w:val="21"/>
        </w:rPr>
        <w:t>（</w:t>
      </w:r>
      <w:r>
        <w:rPr>
          <w:rFonts w:hint="eastAsia" w:ascii="宋体" w:hAnsi="宋体" w:cs="微软雅黑"/>
          <w:color w:val="auto"/>
          <w:spacing w:val="-2"/>
          <w:kern w:val="0"/>
          <w:position w:val="-2"/>
          <w:szCs w:val="21"/>
        </w:rPr>
        <w:t>单</w:t>
      </w:r>
      <w:r>
        <w:rPr>
          <w:rFonts w:hint="eastAsia" w:ascii="宋体" w:hAnsi="宋体" w:cs="微软雅黑"/>
          <w:color w:val="auto"/>
          <w:kern w:val="0"/>
          <w:position w:val="-2"/>
          <w:szCs w:val="21"/>
        </w:rPr>
        <w:t>位</w:t>
      </w:r>
      <w:r>
        <w:rPr>
          <w:rFonts w:hint="eastAsia" w:ascii="宋体" w:hAnsi="宋体" w:cs="微软雅黑"/>
          <w:color w:val="auto"/>
          <w:spacing w:val="-2"/>
          <w:kern w:val="0"/>
          <w:position w:val="-2"/>
          <w:szCs w:val="21"/>
        </w:rPr>
        <w:t>负</w:t>
      </w:r>
      <w:r>
        <w:rPr>
          <w:rFonts w:hint="eastAsia" w:ascii="宋体" w:hAnsi="宋体" w:cs="微软雅黑"/>
          <w:color w:val="auto"/>
          <w:kern w:val="0"/>
          <w:position w:val="-2"/>
          <w:szCs w:val="21"/>
        </w:rPr>
        <w:t>责</w:t>
      </w:r>
      <w:r>
        <w:rPr>
          <w:rFonts w:hint="eastAsia" w:ascii="宋体" w:hAnsi="宋体" w:cs="微软雅黑"/>
          <w:color w:val="auto"/>
          <w:spacing w:val="-2"/>
          <w:kern w:val="0"/>
          <w:position w:val="-2"/>
          <w:szCs w:val="21"/>
        </w:rPr>
        <w:t>人</w:t>
      </w:r>
      <w:r>
        <w:rPr>
          <w:rFonts w:hint="eastAsia" w:ascii="宋体" w:hAnsi="宋体" w:cs="微软雅黑"/>
          <w:color w:val="auto"/>
          <w:spacing w:val="-106"/>
          <w:kern w:val="0"/>
          <w:position w:val="-2"/>
          <w:szCs w:val="21"/>
        </w:rPr>
        <w:t>）</w:t>
      </w:r>
      <w:r>
        <w:rPr>
          <w:rFonts w:hint="eastAsia" w:ascii="宋体" w:hAnsi="宋体" w:cs="微软雅黑"/>
          <w:color w:val="auto"/>
          <w:kern w:val="0"/>
          <w:position w:val="-2"/>
          <w:szCs w:val="21"/>
        </w:rPr>
        <w:t>。</w:t>
      </w:r>
    </w:p>
    <w:p w14:paraId="0398F37B">
      <w:pPr>
        <w:autoSpaceDE w:val="0"/>
        <w:autoSpaceDN w:val="0"/>
        <w:adjustRightInd w:val="0"/>
        <w:snapToGrid w:val="0"/>
        <w:spacing w:before="156" w:beforeLines="50" w:line="360" w:lineRule="auto"/>
        <w:ind w:left="520" w:right="-20"/>
        <w:jc w:val="left"/>
        <w:rPr>
          <w:rFonts w:ascii="宋体" w:hAnsi="宋体" w:cs="微软雅黑"/>
          <w:color w:val="auto"/>
          <w:kern w:val="0"/>
          <w:szCs w:val="21"/>
        </w:rPr>
      </w:pPr>
      <w:r>
        <w:rPr>
          <w:rFonts w:hint="eastAsia" w:ascii="宋体" w:hAnsi="宋体" w:cs="微软雅黑"/>
          <w:color w:val="auto"/>
          <w:kern w:val="0"/>
          <w:szCs w:val="21"/>
        </w:rPr>
        <w:t>特此</w:t>
      </w:r>
      <w:r>
        <w:rPr>
          <w:rFonts w:hint="eastAsia" w:ascii="宋体" w:hAnsi="宋体" w:cs="微软雅黑"/>
          <w:color w:val="auto"/>
          <w:spacing w:val="-2"/>
          <w:kern w:val="0"/>
          <w:szCs w:val="21"/>
        </w:rPr>
        <w:t>证</w:t>
      </w:r>
      <w:r>
        <w:rPr>
          <w:rFonts w:hint="eastAsia" w:ascii="宋体" w:hAnsi="宋体" w:cs="微软雅黑"/>
          <w:color w:val="auto"/>
          <w:kern w:val="0"/>
          <w:szCs w:val="21"/>
        </w:rPr>
        <w:t>明。</w:t>
      </w:r>
    </w:p>
    <w:p w14:paraId="4329C0E9">
      <w:pPr>
        <w:autoSpaceDE w:val="0"/>
        <w:autoSpaceDN w:val="0"/>
        <w:adjustRightInd w:val="0"/>
        <w:snapToGrid w:val="0"/>
        <w:spacing w:before="156" w:beforeLines="50" w:line="360" w:lineRule="auto"/>
        <w:ind w:left="100" w:right="4231"/>
        <w:jc w:val="left"/>
        <w:rPr>
          <w:rFonts w:ascii="宋体" w:hAnsi="宋体" w:cs="微软雅黑"/>
          <w:color w:val="auto"/>
          <w:kern w:val="0"/>
          <w:szCs w:val="21"/>
        </w:rPr>
      </w:pPr>
      <w:r>
        <w:rPr>
          <w:rFonts w:hint="eastAsia" w:ascii="宋体" w:hAnsi="宋体" w:cs="微软雅黑"/>
          <w:color w:val="auto"/>
          <w:kern w:val="0"/>
          <w:szCs w:val="21"/>
        </w:rPr>
        <w:t>附：</w:t>
      </w: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微软雅黑"/>
          <w:color w:val="auto"/>
          <w:kern w:val="0"/>
          <w:szCs w:val="21"/>
        </w:rPr>
        <w:t>身</w:t>
      </w:r>
      <w:r>
        <w:rPr>
          <w:rFonts w:hint="eastAsia" w:ascii="宋体" w:hAnsi="宋体" w:cs="微软雅黑"/>
          <w:color w:val="auto"/>
          <w:spacing w:val="-2"/>
          <w:kern w:val="0"/>
          <w:szCs w:val="21"/>
        </w:rPr>
        <w:t>份</w:t>
      </w:r>
      <w:r>
        <w:rPr>
          <w:rFonts w:hint="eastAsia" w:ascii="宋体" w:hAnsi="宋体" w:cs="微软雅黑"/>
          <w:color w:val="auto"/>
          <w:kern w:val="0"/>
          <w:szCs w:val="21"/>
        </w:rPr>
        <w:t>证</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r>
        <w:rPr>
          <w:rFonts w:hint="eastAsia" w:ascii="宋体" w:hAnsi="宋体" w:cs="微软雅黑"/>
          <w:color w:val="auto"/>
          <w:kern w:val="0"/>
          <w:szCs w:val="21"/>
        </w:rPr>
        <w:t>。</w:t>
      </w:r>
    </w:p>
    <w:tbl>
      <w:tblPr>
        <w:tblStyle w:val="4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8"/>
        <w:gridCol w:w="4530"/>
      </w:tblGrid>
      <w:tr w14:paraId="6A47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trPr>
        <w:tc>
          <w:tcPr>
            <w:tcW w:w="2499" w:type="pct"/>
            <w:shd w:val="clear" w:color="auto" w:fill="auto"/>
            <w:vAlign w:val="center"/>
          </w:tcPr>
          <w:p w14:paraId="78625BC0">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2500" w:type="pct"/>
            <w:shd w:val="clear" w:color="auto" w:fill="auto"/>
            <w:vAlign w:val="center"/>
          </w:tcPr>
          <w:p w14:paraId="66C9B9CD">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70DE2BDB">
      <w:pPr>
        <w:adjustRightInd w:val="0"/>
        <w:snapToGrid w:val="0"/>
        <w:spacing w:before="156" w:beforeLines="50" w:line="360" w:lineRule="auto"/>
        <w:rPr>
          <w:rFonts w:ascii="宋体" w:hAnsi="宋体"/>
          <w:color w:val="auto"/>
          <w:szCs w:val="21"/>
        </w:rPr>
      </w:pPr>
    </w:p>
    <w:p w14:paraId="25E31FF9">
      <w:pPr>
        <w:adjustRightInd w:val="0"/>
        <w:snapToGrid w:val="0"/>
        <w:spacing w:before="156" w:beforeLines="50" w:line="360" w:lineRule="auto"/>
        <w:rPr>
          <w:rFonts w:ascii="宋体" w:hAnsi="宋体"/>
          <w:color w:val="auto"/>
          <w:szCs w:val="21"/>
        </w:rPr>
      </w:pPr>
      <w:r>
        <w:rPr>
          <w:rFonts w:hint="eastAsia" w:ascii="宋体" w:hAnsi="宋体"/>
          <w:color w:val="auto"/>
          <w:szCs w:val="21"/>
        </w:rPr>
        <w:t>注：供应商代表为法定代表人（单位负责人）的提供。供应商为自然人的无需提供。</w:t>
      </w:r>
    </w:p>
    <w:p w14:paraId="4834D863">
      <w:pPr>
        <w:adjustRightInd w:val="0"/>
        <w:snapToGrid w:val="0"/>
        <w:spacing w:before="156" w:beforeLines="50" w:line="360" w:lineRule="auto"/>
        <w:rPr>
          <w:rFonts w:ascii="宋体" w:hAnsi="宋体"/>
          <w:color w:val="auto"/>
          <w:szCs w:val="21"/>
        </w:rPr>
      </w:pPr>
    </w:p>
    <w:p w14:paraId="2B17F9AA">
      <w:pPr>
        <w:pStyle w:val="22"/>
        <w:adjustRightInd w:val="0"/>
        <w:snapToGrid w:val="0"/>
        <w:spacing w:before="156" w:beforeLines="50" w:line="360" w:lineRule="auto"/>
        <w:rPr>
          <w:rFonts w:hAnsi="宋体"/>
          <w:color w:val="auto"/>
        </w:rPr>
      </w:pPr>
      <w:r>
        <w:rPr>
          <w:rFonts w:hint="eastAsia" w:hAnsi="宋体"/>
          <w:color w:val="auto"/>
        </w:rPr>
        <w:t>供应商名称(盖单位公章)：</w:t>
      </w:r>
    </w:p>
    <w:p w14:paraId="2DD2F361">
      <w:pPr>
        <w:adjustRightInd w:val="0"/>
        <w:snapToGrid w:val="0"/>
        <w:spacing w:before="156" w:beforeLines="50" w:line="360" w:lineRule="auto"/>
        <w:ind w:right="24"/>
        <w:rPr>
          <w:rFonts w:ascii="仿宋_GB2312" w:hAnsi="宋体" w:eastAsia="仿宋_GB2312"/>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221DA0AC">
      <w:pPr>
        <w:pStyle w:val="3"/>
        <w:jc w:val="center"/>
        <w:rPr>
          <w:rFonts w:ascii="黑体" w:hAnsi="黑体" w:eastAsia="黑体"/>
          <w:color w:val="auto"/>
          <w:sz w:val="28"/>
          <w:szCs w:val="28"/>
        </w:rPr>
      </w:pPr>
      <w:r>
        <w:rPr>
          <w:color w:val="auto"/>
        </w:rPr>
        <w:br w:type="page"/>
      </w:r>
      <w:bookmarkStart w:id="56" w:name="_Toc5499"/>
      <w:r>
        <w:rPr>
          <w:rFonts w:hint="eastAsia" w:ascii="黑体" w:hAnsi="黑体" w:eastAsia="黑体"/>
          <w:color w:val="auto"/>
          <w:sz w:val="28"/>
          <w:szCs w:val="28"/>
        </w:rPr>
        <w:t>三、授权委托书(格式)</w:t>
      </w:r>
      <w:bookmarkEnd w:id="56"/>
    </w:p>
    <w:p w14:paraId="6AFBAF84">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p>
    <w:p w14:paraId="33AB415E">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供应商</w:t>
      </w:r>
      <w:r>
        <w:rPr>
          <w:rFonts w:hint="eastAsia" w:ascii="宋体" w:hAnsi="宋体" w:cs="宋体"/>
          <w:color w:val="auto"/>
          <w:kern w:val="0"/>
          <w:szCs w:val="21"/>
        </w:rPr>
        <w:t>名称）的法定代表人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kern w:val="0"/>
          <w:szCs w:val="21"/>
        </w:rPr>
        <w:t>，现授权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kern w:val="0"/>
          <w:szCs w:val="21"/>
          <w:lang w:eastAsia="zh-CN"/>
        </w:rPr>
        <w:t>委托代理编号</w:t>
      </w:r>
      <w:r>
        <w:rPr>
          <w:rFonts w:hint="eastAsia" w:ascii="宋体" w:hAnsi="宋体" w:cs="宋体"/>
          <w:color w:val="auto"/>
          <w:kern w:val="0"/>
          <w:szCs w:val="21"/>
        </w:rPr>
        <w:t>）响应文件；(2)签署并重新提交响应文件及最后报价；(3)退出谈判（如可能）；(4)签订合同和处理有关事宜，其法律后果由我方承担。</w:t>
      </w:r>
    </w:p>
    <w:p w14:paraId="6DFEE955">
      <w:pPr>
        <w:autoSpaceDE w:val="0"/>
        <w:autoSpaceDN w:val="0"/>
        <w:adjustRightInd w:val="0"/>
        <w:snapToGrid w:val="0"/>
        <w:spacing w:before="156"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7916159">
      <w:pPr>
        <w:adjustRightInd w:val="0"/>
        <w:snapToGrid w:val="0"/>
        <w:spacing w:before="156" w:beforeLines="50"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24C776EF">
      <w:pPr>
        <w:adjustRightInd w:val="0"/>
        <w:snapToGrid w:val="0"/>
        <w:spacing w:before="156" w:beforeLines="50" w:line="360" w:lineRule="auto"/>
        <w:ind w:firstLine="435"/>
        <w:rPr>
          <w:rFonts w:ascii="宋体" w:hAnsi="宋体" w:cs="微软雅黑"/>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4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8"/>
        <w:gridCol w:w="4530"/>
      </w:tblGrid>
      <w:tr w14:paraId="40E2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9" w:hRule="atLeast"/>
        </w:trPr>
        <w:tc>
          <w:tcPr>
            <w:tcW w:w="2499" w:type="pct"/>
            <w:shd w:val="clear" w:color="auto" w:fill="auto"/>
            <w:vAlign w:val="center"/>
          </w:tcPr>
          <w:p w14:paraId="07ED0434">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2500" w:type="pct"/>
            <w:shd w:val="clear" w:color="auto" w:fill="auto"/>
            <w:vAlign w:val="center"/>
          </w:tcPr>
          <w:p w14:paraId="3937E830">
            <w:pPr>
              <w:adjustRightInd w:val="0"/>
              <w:snapToGrid w:val="0"/>
              <w:spacing w:before="156" w:beforeLines="50"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36E08A57">
      <w:pPr>
        <w:adjustRightInd w:val="0"/>
        <w:snapToGrid w:val="0"/>
        <w:spacing w:before="156" w:beforeLines="50" w:line="360" w:lineRule="auto"/>
        <w:rPr>
          <w:rFonts w:ascii="宋体" w:hAnsi="宋体"/>
          <w:color w:val="auto"/>
          <w:szCs w:val="21"/>
        </w:rPr>
      </w:pPr>
    </w:p>
    <w:p w14:paraId="2857A426">
      <w:pPr>
        <w:adjustRightInd w:val="0"/>
        <w:snapToGrid w:val="0"/>
        <w:spacing w:before="156" w:beforeLines="50" w:line="360" w:lineRule="auto"/>
        <w:rPr>
          <w:rFonts w:ascii="宋体" w:hAnsi="宋体"/>
          <w:color w:val="auto"/>
          <w:szCs w:val="21"/>
        </w:rPr>
      </w:pPr>
      <w:r>
        <w:rPr>
          <w:rFonts w:hint="eastAsia" w:ascii="宋体" w:hAnsi="宋体"/>
          <w:color w:val="auto"/>
          <w:szCs w:val="21"/>
        </w:rPr>
        <w:t>注：供应商代表不是供应商的法定代表人（单位负责人）的提供。供应商为自然人的无需提供。</w:t>
      </w:r>
    </w:p>
    <w:p w14:paraId="413E3DBF">
      <w:pPr>
        <w:adjustRightInd w:val="0"/>
        <w:snapToGrid w:val="0"/>
        <w:spacing w:before="156" w:beforeLines="50" w:line="360" w:lineRule="auto"/>
        <w:ind w:firstLine="420" w:firstLineChars="200"/>
        <w:rPr>
          <w:rFonts w:ascii="宋体" w:hAnsi="宋体"/>
          <w:color w:val="auto"/>
          <w:szCs w:val="21"/>
        </w:rPr>
      </w:pPr>
    </w:p>
    <w:p w14:paraId="2044CE18">
      <w:pPr>
        <w:adjustRightInd w:val="0"/>
        <w:snapToGrid w:val="0"/>
        <w:spacing w:before="156" w:beforeLines="50" w:line="360" w:lineRule="auto"/>
        <w:ind w:firstLine="420" w:firstLineChars="200"/>
        <w:rPr>
          <w:rFonts w:ascii="宋体" w:hAnsi="宋体"/>
          <w:color w:val="auto"/>
          <w:szCs w:val="21"/>
        </w:rPr>
      </w:pPr>
    </w:p>
    <w:p w14:paraId="24735587">
      <w:pPr>
        <w:pStyle w:val="22"/>
        <w:adjustRightInd w:val="0"/>
        <w:snapToGrid w:val="0"/>
        <w:spacing w:before="156" w:beforeLines="50" w:line="360" w:lineRule="auto"/>
        <w:rPr>
          <w:rFonts w:hAnsi="宋体"/>
          <w:color w:val="auto"/>
        </w:rPr>
      </w:pPr>
      <w:r>
        <w:rPr>
          <w:rFonts w:hint="eastAsia" w:hAnsi="宋体"/>
          <w:color w:val="auto"/>
        </w:rPr>
        <w:t>供应商名称(盖单位公章)：</w:t>
      </w:r>
    </w:p>
    <w:p w14:paraId="7E52C655">
      <w:pPr>
        <w:adjustRightInd w:val="0"/>
        <w:snapToGrid w:val="0"/>
        <w:spacing w:before="156" w:beforeLines="50"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493CE006">
      <w:pPr>
        <w:adjustRightInd w:val="0"/>
        <w:snapToGrid w:val="0"/>
        <w:spacing w:before="156" w:beforeLines="50"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48938529">
      <w:pPr>
        <w:pStyle w:val="3"/>
        <w:jc w:val="center"/>
        <w:rPr>
          <w:rFonts w:ascii="黑体" w:hAnsi="黑体" w:eastAsia="黑体"/>
          <w:color w:val="auto"/>
          <w:sz w:val="28"/>
          <w:szCs w:val="28"/>
        </w:rPr>
      </w:pPr>
      <w:r>
        <w:rPr>
          <w:rFonts w:ascii="宋体"/>
          <w:color w:val="auto"/>
        </w:rPr>
        <w:br w:type="page"/>
      </w:r>
      <w:bookmarkStart w:id="57" w:name="_Toc15705"/>
      <w:r>
        <w:rPr>
          <w:rFonts w:hint="eastAsia" w:ascii="黑体" w:hAnsi="黑体" w:eastAsia="黑体"/>
          <w:color w:val="auto"/>
          <w:sz w:val="28"/>
          <w:szCs w:val="28"/>
        </w:rPr>
        <w:t>四、保证金</w:t>
      </w:r>
      <w:bookmarkEnd w:id="57"/>
    </w:p>
    <w:p w14:paraId="29229121">
      <w:pPr>
        <w:rPr>
          <w:rFonts w:hint="default" w:eastAsia="宋体"/>
          <w:color w:val="auto"/>
          <w:lang w:val="en-US" w:eastAsia="zh-CN"/>
        </w:rPr>
      </w:pPr>
      <w:r>
        <w:rPr>
          <w:rFonts w:hint="eastAsia"/>
          <w:color w:val="auto"/>
          <w:lang w:val="en-US" w:eastAsia="zh-CN"/>
        </w:rPr>
        <w:t>本项目不适用</w:t>
      </w:r>
    </w:p>
    <w:p w14:paraId="2491B523">
      <w:pPr>
        <w:pStyle w:val="3"/>
        <w:jc w:val="center"/>
        <w:rPr>
          <w:rFonts w:ascii="黑体" w:hAnsi="黑体" w:eastAsia="黑体"/>
          <w:color w:val="auto"/>
          <w:sz w:val="28"/>
          <w:szCs w:val="28"/>
        </w:rPr>
      </w:pPr>
      <w:r>
        <w:rPr>
          <w:color w:val="auto"/>
        </w:rPr>
        <w:br w:type="page"/>
      </w:r>
      <w:bookmarkStart w:id="58" w:name="_Toc27073"/>
      <w:r>
        <w:rPr>
          <w:rFonts w:hint="eastAsia" w:ascii="黑体" w:hAnsi="黑体" w:eastAsia="黑体"/>
          <w:color w:val="auto"/>
          <w:sz w:val="28"/>
          <w:szCs w:val="28"/>
        </w:rPr>
        <w:t>五、报价表及报价文件(格式)</w:t>
      </w:r>
      <w:bookmarkEnd w:id="58"/>
    </w:p>
    <w:p w14:paraId="4637ACF9">
      <w:pPr>
        <w:pStyle w:val="4"/>
        <w:rPr>
          <w:rFonts w:ascii="宋体" w:hAnsi="宋体"/>
          <w:color w:val="auto"/>
          <w:sz w:val="21"/>
          <w:szCs w:val="21"/>
        </w:rPr>
      </w:pPr>
      <w:bookmarkStart w:id="59" w:name="_Toc13768"/>
      <w:r>
        <w:rPr>
          <w:rFonts w:hint="eastAsia" w:ascii="宋体" w:hAnsi="宋体"/>
          <w:color w:val="auto"/>
          <w:sz w:val="21"/>
          <w:szCs w:val="21"/>
          <w:lang w:eastAsia="zh-CN"/>
        </w:rPr>
        <w:t>附</w:t>
      </w:r>
      <w:r>
        <w:rPr>
          <w:rFonts w:hint="eastAsia" w:ascii="宋体" w:hAnsi="宋体"/>
          <w:color w:val="auto"/>
          <w:sz w:val="21"/>
          <w:szCs w:val="21"/>
        </w:rPr>
        <w:t>件5-1 报价表</w:t>
      </w:r>
      <w:bookmarkEnd w:id="59"/>
    </w:p>
    <w:p w14:paraId="25414BBE">
      <w:pPr>
        <w:jc w:val="center"/>
        <w:rPr>
          <w:rFonts w:ascii="黑体" w:hAnsi="黑体" w:eastAsia="黑体"/>
          <w:b/>
          <w:color w:val="auto"/>
          <w:sz w:val="28"/>
          <w:szCs w:val="28"/>
        </w:rPr>
      </w:pPr>
      <w:r>
        <w:rPr>
          <w:rFonts w:hint="eastAsia" w:ascii="黑体" w:hAnsi="黑体" w:eastAsia="黑体"/>
          <w:b/>
          <w:color w:val="auto"/>
          <w:sz w:val="28"/>
          <w:szCs w:val="28"/>
        </w:rPr>
        <w:t>报价表</w:t>
      </w:r>
    </w:p>
    <w:p w14:paraId="05A1C2DC">
      <w:pPr>
        <w:adjustRightInd w:val="0"/>
        <w:snapToGrid w:val="0"/>
        <w:spacing w:line="360" w:lineRule="auto"/>
        <w:ind w:left="-88" w:leftChars="-42"/>
        <w:jc w:val="center"/>
        <w:rPr>
          <w:rFonts w:ascii="仿宋_GB2312" w:hAnsi="宋体" w:eastAsia="仿宋_GB2312"/>
          <w:color w:val="auto"/>
          <w:sz w:val="24"/>
        </w:rPr>
      </w:pPr>
    </w:p>
    <w:p w14:paraId="5AF1D9D7">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委托代理编号</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p>
    <w:p w14:paraId="5C09530D">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26"/>
        <w:gridCol w:w="6363"/>
      </w:tblGrid>
      <w:tr w14:paraId="4E52A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2426" w:type="dxa"/>
            <w:shd w:val="clear" w:color="auto" w:fill="auto"/>
            <w:vAlign w:val="center"/>
          </w:tcPr>
          <w:p w14:paraId="561A2350">
            <w:pPr>
              <w:adjustRightInd w:val="0"/>
              <w:snapToGrid w:val="0"/>
              <w:spacing w:before="156" w:beforeLines="50" w:line="360" w:lineRule="auto"/>
              <w:jc w:val="center"/>
              <w:rPr>
                <w:rFonts w:hint="eastAsia" w:ascii="宋体" w:hAnsi="宋体" w:eastAsia="宋体"/>
                <w:b/>
                <w:bCs w:val="0"/>
                <w:color w:val="auto"/>
                <w:kern w:val="0"/>
                <w:sz w:val="24"/>
                <w:szCs w:val="24"/>
                <w:lang w:eastAsia="zh-CN"/>
              </w:rPr>
            </w:pPr>
            <w:r>
              <w:rPr>
                <w:rFonts w:hint="eastAsia" w:ascii="宋体" w:hAnsi="宋体"/>
                <w:b/>
                <w:bCs w:val="0"/>
                <w:color w:val="auto"/>
                <w:kern w:val="0"/>
                <w:sz w:val="24"/>
                <w:szCs w:val="24"/>
                <w:lang w:eastAsia="zh-CN"/>
              </w:rPr>
              <w:t>项目名称</w:t>
            </w:r>
          </w:p>
        </w:tc>
        <w:tc>
          <w:tcPr>
            <w:tcW w:w="6363" w:type="dxa"/>
            <w:shd w:val="clear" w:color="auto" w:fill="auto"/>
            <w:vAlign w:val="center"/>
          </w:tcPr>
          <w:p w14:paraId="7B8418A1">
            <w:pPr>
              <w:adjustRightInd w:val="0"/>
              <w:snapToGrid w:val="0"/>
              <w:spacing w:before="156" w:beforeLines="50" w:line="360" w:lineRule="auto"/>
              <w:jc w:val="center"/>
              <w:rPr>
                <w:rFonts w:ascii="宋体" w:hAnsi="宋体"/>
                <w:b/>
                <w:color w:val="auto"/>
                <w:kern w:val="0"/>
                <w:szCs w:val="21"/>
              </w:rPr>
            </w:pPr>
          </w:p>
        </w:tc>
      </w:tr>
      <w:tr w14:paraId="4ED9CB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2426" w:type="dxa"/>
            <w:shd w:val="clear" w:color="auto" w:fill="auto"/>
            <w:vAlign w:val="center"/>
          </w:tcPr>
          <w:p w14:paraId="53F35B3B">
            <w:pPr>
              <w:adjustRightInd w:val="0"/>
              <w:snapToGrid w:val="0"/>
              <w:spacing w:before="156" w:beforeLines="50" w:line="360" w:lineRule="auto"/>
              <w:jc w:val="center"/>
              <w:rPr>
                <w:rFonts w:hint="eastAsia" w:ascii="宋体" w:hAnsi="宋体" w:eastAsia="宋体" w:cs="Times New Roman"/>
                <w:b/>
                <w:bCs w:val="0"/>
                <w:color w:val="auto"/>
                <w:kern w:val="0"/>
                <w:sz w:val="24"/>
                <w:szCs w:val="24"/>
                <w:lang w:val="en-US" w:eastAsia="zh-CN" w:bidi="ar-SA"/>
              </w:rPr>
            </w:pPr>
            <w:r>
              <w:rPr>
                <w:rFonts w:hint="eastAsia" w:ascii="宋体" w:hAnsi="宋体"/>
                <w:b/>
                <w:bCs w:val="0"/>
                <w:color w:val="auto"/>
                <w:kern w:val="0"/>
                <w:sz w:val="24"/>
                <w:szCs w:val="24"/>
              </w:rPr>
              <w:t>报价</w:t>
            </w:r>
          </w:p>
        </w:tc>
        <w:tc>
          <w:tcPr>
            <w:tcW w:w="6363" w:type="dxa"/>
            <w:shd w:val="clear" w:color="auto" w:fill="auto"/>
            <w:vAlign w:val="center"/>
          </w:tcPr>
          <w:p w14:paraId="5113A7D5">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Cs w:val="21"/>
                <w:u w:val="single"/>
                <w:lang w:val="en-US" w:eastAsia="zh-CN"/>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6E87C943">
            <w:pPr>
              <w:adjustRightInd w:val="0"/>
              <w:snapToGrid w:val="0"/>
              <w:spacing w:before="156" w:beforeLines="50" w:line="360" w:lineRule="auto"/>
              <w:jc w:val="center"/>
              <w:rPr>
                <w:rFonts w:hint="eastAsia" w:ascii="宋体" w:hAnsi="宋体" w:eastAsia="宋体" w:cs="Times New Roman"/>
                <w:b/>
                <w:color w:val="auto"/>
                <w:kern w:val="0"/>
                <w:sz w:val="21"/>
                <w:szCs w:val="21"/>
                <w:lang w:val="en-US" w:eastAsia="zh-CN" w:bidi="ar-SA"/>
              </w:rPr>
            </w:pPr>
            <w:r>
              <w:rPr>
                <w:rFonts w:hint="eastAsia" w:ascii="宋体" w:hAnsi="宋体"/>
                <w:color w:val="auto"/>
                <w:kern w:val="0"/>
                <w:szCs w:val="21"/>
              </w:rPr>
              <w:t>大写金额：</w:t>
            </w:r>
            <w:r>
              <w:rPr>
                <w:rFonts w:hint="eastAsia" w:ascii="宋体" w:hAnsi="宋体"/>
                <w:color w:val="auto"/>
                <w:kern w:val="0"/>
                <w:szCs w:val="21"/>
                <w:u w:val="single"/>
                <w:lang w:val="en-US" w:eastAsia="zh-CN"/>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tc>
      </w:tr>
      <w:tr w14:paraId="4AB929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2426" w:type="dxa"/>
            <w:shd w:val="clear" w:color="auto" w:fill="auto"/>
            <w:vAlign w:val="center"/>
          </w:tcPr>
          <w:p w14:paraId="702427EF">
            <w:pPr>
              <w:spacing w:line="420" w:lineRule="exact"/>
              <w:jc w:val="center"/>
              <w:outlineLvl w:val="9"/>
              <w:rPr>
                <w:rFonts w:hint="eastAsia" w:ascii="宋体" w:hAnsi="宋体" w:eastAsia="宋体"/>
                <w:b/>
                <w:bCs w:val="0"/>
                <w:color w:val="auto"/>
                <w:kern w:val="0"/>
                <w:sz w:val="24"/>
                <w:szCs w:val="24"/>
                <w:lang w:eastAsia="zh-CN"/>
              </w:rPr>
            </w:pPr>
            <w:r>
              <w:rPr>
                <w:rFonts w:hint="eastAsia" w:ascii="宋体" w:hAnsi="宋体"/>
                <w:b/>
                <w:bCs w:val="0"/>
                <w:color w:val="auto"/>
                <w:sz w:val="24"/>
                <w:szCs w:val="24"/>
                <w:lang w:eastAsia="zh-CN"/>
              </w:rPr>
              <w:t>交货时间（或服务期）</w:t>
            </w:r>
          </w:p>
        </w:tc>
        <w:tc>
          <w:tcPr>
            <w:tcW w:w="6363" w:type="dxa"/>
            <w:shd w:val="clear" w:color="auto" w:fill="auto"/>
            <w:vAlign w:val="center"/>
          </w:tcPr>
          <w:p w14:paraId="06CA32C1">
            <w:pPr>
              <w:adjustRightInd w:val="0"/>
              <w:snapToGrid w:val="0"/>
              <w:spacing w:before="156" w:beforeLines="50" w:line="360" w:lineRule="auto"/>
              <w:jc w:val="center"/>
              <w:rPr>
                <w:rFonts w:ascii="宋体" w:hAnsi="宋体"/>
                <w:color w:val="auto"/>
                <w:kern w:val="0"/>
                <w:szCs w:val="21"/>
              </w:rPr>
            </w:pPr>
          </w:p>
        </w:tc>
      </w:tr>
      <w:tr w14:paraId="098820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2426" w:type="dxa"/>
            <w:shd w:val="clear" w:color="auto" w:fill="auto"/>
            <w:vAlign w:val="center"/>
          </w:tcPr>
          <w:p w14:paraId="374CFF2E">
            <w:pPr>
              <w:spacing w:line="420" w:lineRule="exact"/>
              <w:jc w:val="center"/>
              <w:outlineLvl w:val="9"/>
              <w:rPr>
                <w:rFonts w:ascii="宋体" w:hAnsi="宋体"/>
                <w:b/>
                <w:bCs w:val="0"/>
                <w:color w:val="auto"/>
                <w:kern w:val="0"/>
                <w:sz w:val="24"/>
                <w:szCs w:val="24"/>
              </w:rPr>
            </w:pPr>
            <w:r>
              <w:rPr>
                <w:rFonts w:hint="eastAsia" w:ascii="宋体" w:hAnsi="宋体"/>
                <w:b/>
                <w:bCs w:val="0"/>
                <w:color w:val="auto"/>
                <w:sz w:val="24"/>
                <w:szCs w:val="24"/>
              </w:rPr>
              <w:t>项目负责人</w:t>
            </w:r>
          </w:p>
        </w:tc>
        <w:tc>
          <w:tcPr>
            <w:tcW w:w="6363" w:type="dxa"/>
            <w:shd w:val="clear" w:color="auto" w:fill="auto"/>
            <w:vAlign w:val="center"/>
          </w:tcPr>
          <w:p w14:paraId="63E04027">
            <w:pPr>
              <w:adjustRightInd w:val="0"/>
              <w:snapToGrid w:val="0"/>
              <w:spacing w:before="156" w:beforeLines="50" w:line="360" w:lineRule="auto"/>
              <w:jc w:val="center"/>
              <w:rPr>
                <w:rFonts w:ascii="宋体" w:hAnsi="宋体"/>
                <w:color w:val="auto"/>
                <w:kern w:val="0"/>
                <w:szCs w:val="21"/>
              </w:rPr>
            </w:pPr>
          </w:p>
        </w:tc>
      </w:tr>
      <w:tr w14:paraId="5D5A5A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2426" w:type="dxa"/>
            <w:shd w:val="clear" w:color="auto" w:fill="auto"/>
            <w:vAlign w:val="center"/>
          </w:tcPr>
          <w:p w14:paraId="61DE29A6">
            <w:pPr>
              <w:adjustRightInd w:val="0"/>
              <w:snapToGrid w:val="0"/>
              <w:spacing w:before="156" w:beforeLines="50" w:line="360" w:lineRule="auto"/>
              <w:jc w:val="center"/>
              <w:rPr>
                <w:rFonts w:hint="eastAsia" w:ascii="宋体" w:hAnsi="宋体"/>
                <w:b/>
                <w:bCs w:val="0"/>
                <w:color w:val="auto"/>
                <w:kern w:val="0"/>
                <w:sz w:val="24"/>
                <w:szCs w:val="24"/>
              </w:rPr>
            </w:pPr>
            <w:r>
              <w:rPr>
                <w:rFonts w:hint="eastAsia" w:ascii="宋体" w:hAnsi="宋体"/>
                <w:b/>
                <w:bCs w:val="0"/>
                <w:color w:val="auto"/>
                <w:kern w:val="0"/>
                <w:sz w:val="24"/>
                <w:szCs w:val="24"/>
              </w:rPr>
              <w:t>其他内容</w:t>
            </w:r>
          </w:p>
        </w:tc>
        <w:tc>
          <w:tcPr>
            <w:tcW w:w="6363" w:type="dxa"/>
            <w:shd w:val="clear" w:color="auto" w:fill="auto"/>
            <w:vAlign w:val="center"/>
          </w:tcPr>
          <w:p w14:paraId="2179F4C3">
            <w:pPr>
              <w:adjustRightInd w:val="0"/>
              <w:snapToGrid w:val="0"/>
              <w:spacing w:before="156" w:beforeLines="50" w:line="360" w:lineRule="auto"/>
              <w:jc w:val="center"/>
              <w:rPr>
                <w:rFonts w:ascii="宋体" w:hAnsi="宋体"/>
                <w:color w:val="auto"/>
                <w:kern w:val="0"/>
                <w:szCs w:val="21"/>
              </w:rPr>
            </w:pPr>
          </w:p>
        </w:tc>
      </w:tr>
    </w:tbl>
    <w:p w14:paraId="29E9FE98">
      <w:pPr>
        <w:adjustRightInd w:val="0"/>
        <w:snapToGrid w:val="0"/>
        <w:spacing w:before="156" w:beforeLines="50" w:line="360" w:lineRule="auto"/>
        <w:rPr>
          <w:rFonts w:ascii="宋体" w:hAnsi="宋体"/>
          <w:color w:val="auto"/>
          <w:szCs w:val="21"/>
        </w:rPr>
      </w:pPr>
      <w:r>
        <w:rPr>
          <w:rFonts w:hint="eastAsia" w:ascii="宋体" w:hAnsi="宋体"/>
          <w:b/>
          <w:color w:val="auto"/>
          <w:szCs w:val="21"/>
        </w:rPr>
        <w:t>备注：</w:t>
      </w:r>
      <w:r>
        <w:rPr>
          <w:rFonts w:hint="eastAsia" w:ascii="宋体" w:hAnsi="宋体"/>
          <w:color w:val="auto"/>
          <w:szCs w:val="21"/>
        </w:rPr>
        <w:t>（1）</w:t>
      </w:r>
      <w:r>
        <w:rPr>
          <w:rFonts w:hint="eastAsia" w:ascii="宋体" w:hAnsi="宋体"/>
          <w:b/>
          <w:bCs/>
          <w:color w:val="auto"/>
          <w:szCs w:val="21"/>
        </w:rPr>
        <w:t>本表须按包填写，一个“包号”一份。</w:t>
      </w:r>
    </w:p>
    <w:p w14:paraId="527615E4">
      <w:pPr>
        <w:bidi w:val="0"/>
        <w:rPr>
          <w:color w:val="auto"/>
        </w:rPr>
      </w:pPr>
    </w:p>
    <w:p w14:paraId="02625FA2">
      <w:pPr>
        <w:bidi w:val="0"/>
        <w:rPr>
          <w:color w:val="auto"/>
        </w:rPr>
      </w:pPr>
    </w:p>
    <w:p w14:paraId="7A500E5F">
      <w:pPr>
        <w:bidi w:val="0"/>
        <w:rPr>
          <w:color w:val="auto"/>
        </w:rPr>
      </w:pPr>
    </w:p>
    <w:p w14:paraId="17EFB7EE">
      <w:pPr>
        <w:bidi w:val="0"/>
        <w:rPr>
          <w:color w:val="auto"/>
        </w:rPr>
      </w:pPr>
    </w:p>
    <w:p w14:paraId="3B5AF3E1">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D06C991">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4D2D132C">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BED9B06">
      <w:pPr>
        <w:adjustRightInd w:val="0"/>
        <w:snapToGrid w:val="0"/>
        <w:jc w:val="center"/>
        <w:rPr>
          <w:rFonts w:ascii="黑体" w:hAnsi="黑体" w:eastAsia="黑体"/>
          <w:bCs/>
          <w:color w:val="auto"/>
          <w:sz w:val="30"/>
          <w:szCs w:val="30"/>
        </w:rPr>
      </w:pPr>
    </w:p>
    <w:p w14:paraId="7C01338B">
      <w:pPr>
        <w:autoSpaceDE w:val="0"/>
        <w:autoSpaceDN w:val="0"/>
        <w:adjustRightInd w:val="0"/>
        <w:snapToGrid w:val="0"/>
        <w:spacing w:before="156" w:beforeLines="50" w:line="360" w:lineRule="auto"/>
        <w:jc w:val="left"/>
        <w:rPr>
          <w:rFonts w:ascii="黑体" w:hAnsi="宋体" w:eastAsia="黑体" w:cs="微软雅黑"/>
          <w:b/>
          <w:color w:val="auto"/>
          <w:kern w:val="0"/>
          <w:sz w:val="28"/>
          <w:szCs w:val="28"/>
        </w:rPr>
      </w:pPr>
      <w:r>
        <w:rPr>
          <w:rFonts w:ascii="黑体" w:hAnsi="黑体" w:eastAsia="黑体"/>
          <w:color w:val="auto"/>
          <w:sz w:val="30"/>
          <w:szCs w:val="30"/>
        </w:rPr>
        <w:br w:type="page"/>
      </w:r>
      <w:bookmarkStart w:id="60" w:name="_Toc22201157"/>
    </w:p>
    <w:p w14:paraId="2DE65E8B">
      <w:pPr>
        <w:pStyle w:val="4"/>
        <w:adjustRightInd w:val="0"/>
        <w:snapToGrid w:val="0"/>
        <w:spacing w:before="156" w:beforeLines="50" w:after="0" w:line="360" w:lineRule="auto"/>
        <w:rPr>
          <w:rFonts w:ascii="宋体" w:hAnsi="宋体"/>
          <w:color w:val="auto"/>
          <w:sz w:val="21"/>
          <w:szCs w:val="21"/>
        </w:rPr>
      </w:pPr>
      <w:bookmarkStart w:id="61" w:name="_Toc25418"/>
      <w:r>
        <w:rPr>
          <w:rFonts w:hint="eastAsia" w:ascii="宋体" w:hAnsi="宋体" w:cs="宋体"/>
          <w:color w:val="auto"/>
          <w:sz w:val="21"/>
          <w:szCs w:val="21"/>
        </w:rPr>
        <w:t>附件5-</w:t>
      </w:r>
      <w:r>
        <w:rPr>
          <w:rFonts w:hint="eastAsia" w:ascii="宋体" w:hAnsi="宋体" w:cs="宋体"/>
          <w:color w:val="auto"/>
          <w:sz w:val="21"/>
          <w:szCs w:val="21"/>
          <w:lang w:val="en-US" w:eastAsia="zh-CN"/>
        </w:rPr>
        <w:t>2</w:t>
      </w:r>
      <w:r>
        <w:rPr>
          <w:rFonts w:hint="eastAsia" w:ascii="宋体" w:hAnsi="宋体" w:cs="宋体"/>
          <w:color w:val="auto"/>
          <w:sz w:val="21"/>
          <w:szCs w:val="21"/>
        </w:rPr>
        <w:t xml:space="preserve"> </w:t>
      </w:r>
      <w:r>
        <w:rPr>
          <w:rFonts w:hint="eastAsia" w:ascii="宋体" w:hAnsi="宋体"/>
          <w:color w:val="auto"/>
          <w:spacing w:val="-2"/>
          <w:position w:val="-3"/>
          <w:sz w:val="21"/>
          <w:szCs w:val="21"/>
        </w:rPr>
        <w:t>分</w:t>
      </w:r>
      <w:r>
        <w:rPr>
          <w:rFonts w:hint="eastAsia" w:ascii="宋体" w:hAnsi="宋体"/>
          <w:color w:val="auto"/>
          <w:position w:val="-3"/>
          <w:sz w:val="21"/>
          <w:szCs w:val="21"/>
        </w:rPr>
        <w:t>项</w:t>
      </w:r>
      <w:r>
        <w:rPr>
          <w:rFonts w:hint="eastAsia" w:ascii="宋体" w:hAnsi="宋体"/>
          <w:color w:val="auto"/>
          <w:spacing w:val="-2"/>
          <w:position w:val="-3"/>
          <w:sz w:val="21"/>
          <w:szCs w:val="21"/>
        </w:rPr>
        <w:t>报</w:t>
      </w:r>
      <w:r>
        <w:rPr>
          <w:rFonts w:hint="eastAsia" w:ascii="宋体" w:hAnsi="宋体"/>
          <w:color w:val="auto"/>
          <w:position w:val="-3"/>
          <w:sz w:val="21"/>
          <w:szCs w:val="21"/>
        </w:rPr>
        <w:t>价明细表</w:t>
      </w:r>
      <w:bookmarkEnd w:id="61"/>
    </w:p>
    <w:p w14:paraId="56A6A706">
      <w:pPr>
        <w:adjustRightInd w:val="0"/>
        <w:snapToGrid w:val="0"/>
        <w:spacing w:before="156" w:beforeLines="50"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w:t>
      </w:r>
    </w:p>
    <w:p w14:paraId="63AA4DC1">
      <w:pPr>
        <w:adjustRightInd w:val="0"/>
        <w:snapToGrid w:val="0"/>
        <w:spacing w:line="360" w:lineRule="auto"/>
        <w:rPr>
          <w:rFonts w:ascii="宋体" w:hAnsi="宋体"/>
          <w:color w:val="auto"/>
          <w:szCs w:val="21"/>
        </w:rPr>
      </w:pPr>
      <w:r>
        <w:rPr>
          <w:rFonts w:hint="eastAsia" w:ascii="宋体" w:hAnsi="宋体"/>
          <w:color w:val="auto"/>
          <w:szCs w:val="21"/>
          <w:lang w:eastAsia="zh-CN"/>
        </w:rPr>
        <w:t>委托代理编号</w:t>
      </w:r>
      <w:r>
        <w:rPr>
          <w:rFonts w:hint="eastAsia" w:ascii="宋体" w:hAnsi="宋体"/>
          <w:color w:val="auto"/>
          <w:szCs w:val="21"/>
        </w:rPr>
        <w:t>：</w:t>
      </w:r>
      <w:r>
        <w:rPr>
          <w:rFonts w:hint="eastAsia" w:ascii="宋体" w:hAnsi="宋体"/>
          <w:color w:val="auto"/>
          <w:szCs w:val="21"/>
          <w:u w:val="single"/>
          <w:lang w:val="en-US" w:eastAsia="zh-CN"/>
        </w:rPr>
        <w:t xml:space="preserve">               </w:t>
      </w:r>
      <w:r>
        <w:rPr>
          <w:rFonts w:hint="eastAsia" w:ascii="宋体" w:hAnsi="宋体"/>
          <w:color w:val="auto"/>
          <w:szCs w:val="21"/>
        </w:rPr>
        <w:t xml:space="preserve">                       </w:t>
      </w:r>
    </w:p>
    <w:p w14:paraId="01FCE817">
      <w:pPr>
        <w:adjustRightInd w:val="0"/>
        <w:snapToGrid w:val="0"/>
        <w:spacing w:line="360" w:lineRule="auto"/>
        <w:rPr>
          <w:rFonts w:ascii="宋体" w:hAnsi="宋体"/>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w:t>
      </w:r>
    </w:p>
    <w:tbl>
      <w:tblPr>
        <w:tblStyle w:val="44"/>
        <w:tblW w:w="5183" w:type="pct"/>
        <w:tblInd w:w="0" w:type="dxa"/>
        <w:tblLayout w:type="autofit"/>
        <w:tblCellMar>
          <w:top w:w="0" w:type="dxa"/>
          <w:left w:w="0" w:type="dxa"/>
          <w:bottom w:w="0" w:type="dxa"/>
          <w:right w:w="0" w:type="dxa"/>
        </w:tblCellMar>
      </w:tblPr>
      <w:tblGrid>
        <w:gridCol w:w="495"/>
        <w:gridCol w:w="1056"/>
        <w:gridCol w:w="1906"/>
        <w:gridCol w:w="1181"/>
        <w:gridCol w:w="870"/>
        <w:gridCol w:w="823"/>
        <w:gridCol w:w="985"/>
        <w:gridCol w:w="1139"/>
        <w:gridCol w:w="744"/>
      </w:tblGrid>
      <w:tr w14:paraId="6A609834">
        <w:tblPrEx>
          <w:tblCellMar>
            <w:top w:w="0" w:type="dxa"/>
            <w:left w:w="0" w:type="dxa"/>
            <w:bottom w:w="0" w:type="dxa"/>
            <w:right w:w="0" w:type="dxa"/>
          </w:tblCellMar>
        </w:tblPrEx>
        <w:trPr>
          <w:trHeight w:val="415" w:hRule="exact"/>
        </w:trPr>
        <w:tc>
          <w:tcPr>
            <w:tcW w:w="269" w:type="pct"/>
            <w:vMerge w:val="restart"/>
            <w:tcBorders>
              <w:top w:val="double" w:color="auto" w:sz="4" w:space="0"/>
              <w:left w:val="double" w:color="auto" w:sz="4" w:space="0"/>
              <w:right w:val="single" w:color="auto" w:sz="4" w:space="0"/>
            </w:tcBorders>
            <w:vAlign w:val="center"/>
          </w:tcPr>
          <w:p w14:paraId="3AE80A47">
            <w:pPr>
              <w:autoSpaceDE w:val="0"/>
              <w:autoSpaceDN w:val="0"/>
              <w:adjustRightInd w:val="0"/>
              <w:snapToGrid w:val="0"/>
              <w:spacing w:line="360" w:lineRule="auto"/>
              <w:ind w:right="-20"/>
              <w:jc w:val="center"/>
              <w:rPr>
                <w:rFonts w:hint="eastAsia" w:ascii="宋体" w:hAnsi="宋体" w:eastAsia="宋体" w:cs="微软雅黑"/>
                <w:color w:val="auto"/>
                <w:kern w:val="0"/>
                <w:position w:val="-1"/>
                <w:szCs w:val="21"/>
                <w:lang w:eastAsia="zh-CN"/>
              </w:rPr>
            </w:pPr>
            <w:r>
              <w:rPr>
                <w:rFonts w:hint="eastAsia" w:ascii="宋体" w:hAnsi="宋体" w:cs="微软雅黑"/>
                <w:color w:val="auto"/>
                <w:kern w:val="0"/>
                <w:position w:val="-1"/>
                <w:szCs w:val="21"/>
                <w:lang w:eastAsia="zh-CN"/>
              </w:rPr>
              <w:t>序号</w:t>
            </w:r>
          </w:p>
        </w:tc>
        <w:tc>
          <w:tcPr>
            <w:tcW w:w="574" w:type="pct"/>
            <w:vMerge w:val="restart"/>
            <w:tcBorders>
              <w:top w:val="double" w:color="auto" w:sz="4" w:space="0"/>
              <w:left w:val="single" w:color="auto" w:sz="4" w:space="0"/>
              <w:right w:val="single" w:color="auto" w:sz="6" w:space="0"/>
            </w:tcBorders>
            <w:vAlign w:val="center"/>
          </w:tcPr>
          <w:p w14:paraId="4896CEC7">
            <w:pPr>
              <w:autoSpaceDE w:val="0"/>
              <w:autoSpaceDN w:val="0"/>
              <w:adjustRightInd w:val="0"/>
              <w:snapToGrid w:val="0"/>
              <w:spacing w:line="360" w:lineRule="auto"/>
              <w:ind w:right="-20"/>
              <w:jc w:val="center"/>
              <w:rPr>
                <w:rFonts w:hint="eastAsia" w:ascii="宋体" w:hAnsi="宋体" w:cs="微软雅黑"/>
                <w:color w:val="auto"/>
                <w:kern w:val="0"/>
                <w:position w:val="-1"/>
                <w:szCs w:val="21"/>
              </w:rPr>
            </w:pPr>
            <w:r>
              <w:rPr>
                <w:rFonts w:hint="eastAsia" w:ascii="宋体" w:hAnsi="宋体" w:cs="微软雅黑"/>
                <w:color w:val="auto"/>
                <w:kern w:val="0"/>
                <w:position w:val="-1"/>
                <w:szCs w:val="21"/>
              </w:rPr>
              <w:t>分项名称</w:t>
            </w:r>
          </w:p>
        </w:tc>
        <w:tc>
          <w:tcPr>
            <w:tcW w:w="1036" w:type="pct"/>
            <w:vMerge w:val="restart"/>
            <w:tcBorders>
              <w:top w:val="double" w:color="auto" w:sz="4" w:space="0"/>
              <w:left w:val="single" w:color="auto" w:sz="6" w:space="0"/>
              <w:bottom w:val="single" w:color="auto" w:sz="6" w:space="0"/>
              <w:right w:val="single" w:color="auto" w:sz="4" w:space="0"/>
            </w:tcBorders>
            <w:vAlign w:val="center"/>
          </w:tcPr>
          <w:p w14:paraId="26A62DB2">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规格型号</w:t>
            </w:r>
          </w:p>
          <w:p w14:paraId="02630C95">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（或项目特征描述</w:t>
            </w:r>
            <w:r>
              <w:rPr>
                <w:rFonts w:ascii="宋体" w:hAnsi="宋体"/>
                <w:color w:val="auto"/>
                <w:szCs w:val="21"/>
              </w:rPr>
              <w:t>）</w:t>
            </w:r>
          </w:p>
        </w:tc>
        <w:tc>
          <w:tcPr>
            <w:tcW w:w="642" w:type="pct"/>
            <w:vMerge w:val="restart"/>
            <w:tcBorders>
              <w:top w:val="double" w:color="auto" w:sz="4" w:space="0"/>
              <w:left w:val="single" w:color="auto" w:sz="4" w:space="0"/>
              <w:bottom w:val="single" w:color="auto" w:sz="6" w:space="0"/>
              <w:right w:val="single" w:color="auto" w:sz="6" w:space="0"/>
            </w:tcBorders>
            <w:vAlign w:val="center"/>
          </w:tcPr>
          <w:p w14:paraId="3CFAD805">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品牌/产地</w:t>
            </w:r>
          </w:p>
        </w:tc>
        <w:tc>
          <w:tcPr>
            <w:tcW w:w="473" w:type="pct"/>
            <w:vMerge w:val="restart"/>
            <w:tcBorders>
              <w:top w:val="double" w:color="auto" w:sz="4" w:space="0"/>
              <w:left w:val="single" w:color="auto" w:sz="6" w:space="0"/>
              <w:right w:val="single" w:color="auto" w:sz="4" w:space="0"/>
            </w:tcBorders>
            <w:vAlign w:val="center"/>
          </w:tcPr>
          <w:p w14:paraId="0FE5AD50">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w:t>
            </w:r>
          </w:p>
        </w:tc>
        <w:tc>
          <w:tcPr>
            <w:tcW w:w="447" w:type="pct"/>
            <w:vMerge w:val="restart"/>
            <w:tcBorders>
              <w:top w:val="double" w:color="auto" w:sz="4" w:space="0"/>
              <w:left w:val="single" w:color="auto" w:sz="4" w:space="0"/>
              <w:right w:val="single" w:color="auto" w:sz="4" w:space="0"/>
            </w:tcBorders>
            <w:vAlign w:val="center"/>
          </w:tcPr>
          <w:p w14:paraId="2AE7BF57">
            <w:pPr>
              <w:autoSpaceDE w:val="0"/>
              <w:autoSpaceDN w:val="0"/>
              <w:adjustRightInd w:val="0"/>
              <w:snapToGrid w:val="0"/>
              <w:spacing w:line="360" w:lineRule="auto"/>
              <w:ind w:right="-20"/>
              <w:jc w:val="center"/>
              <w:rPr>
                <w:rFonts w:hint="eastAsia" w:ascii="宋体" w:hAnsi="宋体"/>
                <w:color w:val="auto"/>
                <w:kern w:val="0"/>
                <w:szCs w:val="21"/>
              </w:rPr>
            </w:pPr>
            <w:r>
              <w:rPr>
                <w:rFonts w:hint="eastAsia" w:ascii="宋体" w:hAnsi="宋体"/>
                <w:color w:val="auto"/>
                <w:kern w:val="0"/>
                <w:szCs w:val="21"/>
              </w:rPr>
              <w:t>单位</w:t>
            </w:r>
          </w:p>
        </w:tc>
        <w:tc>
          <w:tcPr>
            <w:tcW w:w="1152" w:type="pct"/>
            <w:gridSpan w:val="2"/>
            <w:tcBorders>
              <w:top w:val="double" w:color="auto" w:sz="4" w:space="0"/>
              <w:left w:val="single" w:color="auto" w:sz="4" w:space="0"/>
              <w:bottom w:val="single" w:color="auto" w:sz="6" w:space="0"/>
              <w:right w:val="single" w:color="auto" w:sz="6" w:space="0"/>
            </w:tcBorders>
            <w:vAlign w:val="center"/>
          </w:tcPr>
          <w:p w14:paraId="06F71DD0">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404" w:type="pct"/>
            <w:vMerge w:val="restart"/>
            <w:tcBorders>
              <w:top w:val="double" w:color="auto" w:sz="4" w:space="0"/>
              <w:left w:val="single" w:color="auto" w:sz="6" w:space="0"/>
              <w:bottom w:val="single" w:color="auto" w:sz="6" w:space="0"/>
              <w:right w:val="double" w:color="auto" w:sz="4" w:space="0"/>
            </w:tcBorders>
            <w:vAlign w:val="center"/>
          </w:tcPr>
          <w:p w14:paraId="11A51789">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06CE45B1">
        <w:tblPrEx>
          <w:tblCellMar>
            <w:top w:w="0" w:type="dxa"/>
            <w:left w:w="0" w:type="dxa"/>
            <w:bottom w:w="0" w:type="dxa"/>
            <w:right w:w="0" w:type="dxa"/>
          </w:tblCellMar>
        </w:tblPrEx>
        <w:trPr>
          <w:trHeight w:val="415" w:hRule="exact"/>
        </w:trPr>
        <w:tc>
          <w:tcPr>
            <w:tcW w:w="269" w:type="pct"/>
            <w:vMerge w:val="continue"/>
            <w:tcBorders>
              <w:left w:val="double" w:color="auto" w:sz="4" w:space="0"/>
              <w:bottom w:val="single" w:color="auto" w:sz="6" w:space="0"/>
              <w:right w:val="single" w:color="auto" w:sz="4" w:space="0"/>
            </w:tcBorders>
          </w:tcPr>
          <w:p w14:paraId="3C69E12C">
            <w:pPr>
              <w:autoSpaceDE w:val="0"/>
              <w:autoSpaceDN w:val="0"/>
              <w:adjustRightInd w:val="0"/>
              <w:snapToGrid w:val="0"/>
              <w:spacing w:line="360" w:lineRule="auto"/>
              <w:ind w:left="352" w:right="-20"/>
              <w:jc w:val="left"/>
              <w:rPr>
                <w:rFonts w:ascii="宋体" w:hAnsi="宋体"/>
                <w:color w:val="auto"/>
                <w:kern w:val="0"/>
                <w:szCs w:val="21"/>
              </w:rPr>
            </w:pPr>
          </w:p>
        </w:tc>
        <w:tc>
          <w:tcPr>
            <w:tcW w:w="574" w:type="pct"/>
            <w:vMerge w:val="continue"/>
            <w:tcBorders>
              <w:left w:val="single" w:color="auto" w:sz="4" w:space="0"/>
              <w:bottom w:val="single" w:color="auto" w:sz="6" w:space="0"/>
              <w:right w:val="single" w:color="auto" w:sz="6" w:space="0"/>
            </w:tcBorders>
          </w:tcPr>
          <w:p w14:paraId="7B6E24B3">
            <w:pPr>
              <w:autoSpaceDE w:val="0"/>
              <w:autoSpaceDN w:val="0"/>
              <w:adjustRightInd w:val="0"/>
              <w:snapToGrid w:val="0"/>
              <w:spacing w:line="360" w:lineRule="auto"/>
              <w:ind w:left="352" w:right="-20"/>
              <w:jc w:val="left"/>
              <w:rPr>
                <w:rFonts w:ascii="宋体" w:hAnsi="宋体"/>
                <w:color w:val="auto"/>
                <w:kern w:val="0"/>
                <w:szCs w:val="21"/>
              </w:rPr>
            </w:pPr>
          </w:p>
        </w:tc>
        <w:tc>
          <w:tcPr>
            <w:tcW w:w="1036" w:type="pct"/>
            <w:vMerge w:val="continue"/>
            <w:tcBorders>
              <w:top w:val="single" w:color="auto" w:sz="6" w:space="0"/>
              <w:left w:val="single" w:color="auto" w:sz="6" w:space="0"/>
              <w:bottom w:val="single" w:color="auto" w:sz="6" w:space="0"/>
              <w:right w:val="single" w:color="auto" w:sz="4" w:space="0"/>
            </w:tcBorders>
            <w:vAlign w:val="center"/>
          </w:tcPr>
          <w:p w14:paraId="6FD1DAD2">
            <w:pPr>
              <w:autoSpaceDE w:val="0"/>
              <w:autoSpaceDN w:val="0"/>
              <w:adjustRightInd w:val="0"/>
              <w:snapToGrid w:val="0"/>
              <w:spacing w:line="360" w:lineRule="auto"/>
              <w:ind w:right="-20"/>
              <w:jc w:val="center"/>
              <w:rPr>
                <w:rFonts w:ascii="宋体" w:hAnsi="宋体"/>
                <w:color w:val="auto"/>
                <w:kern w:val="0"/>
                <w:szCs w:val="21"/>
              </w:rPr>
            </w:pPr>
          </w:p>
        </w:tc>
        <w:tc>
          <w:tcPr>
            <w:tcW w:w="642" w:type="pct"/>
            <w:vMerge w:val="continue"/>
            <w:tcBorders>
              <w:top w:val="single" w:color="auto" w:sz="6" w:space="0"/>
              <w:left w:val="single" w:color="auto" w:sz="4" w:space="0"/>
              <w:bottom w:val="single" w:color="auto" w:sz="6" w:space="0"/>
              <w:right w:val="single" w:color="auto" w:sz="6" w:space="0"/>
            </w:tcBorders>
            <w:vAlign w:val="center"/>
          </w:tcPr>
          <w:p w14:paraId="042002A9">
            <w:pPr>
              <w:autoSpaceDE w:val="0"/>
              <w:autoSpaceDN w:val="0"/>
              <w:adjustRightInd w:val="0"/>
              <w:snapToGrid w:val="0"/>
              <w:spacing w:line="360" w:lineRule="auto"/>
              <w:ind w:right="-20"/>
              <w:jc w:val="center"/>
              <w:rPr>
                <w:rFonts w:ascii="宋体" w:hAnsi="宋体"/>
                <w:color w:val="auto"/>
                <w:kern w:val="0"/>
                <w:szCs w:val="21"/>
              </w:rPr>
            </w:pPr>
          </w:p>
        </w:tc>
        <w:tc>
          <w:tcPr>
            <w:tcW w:w="473" w:type="pct"/>
            <w:vMerge w:val="continue"/>
            <w:tcBorders>
              <w:left w:val="single" w:color="auto" w:sz="6" w:space="0"/>
              <w:bottom w:val="single" w:color="auto" w:sz="6" w:space="0"/>
              <w:right w:val="single" w:color="auto" w:sz="4" w:space="0"/>
            </w:tcBorders>
            <w:vAlign w:val="center"/>
          </w:tcPr>
          <w:p w14:paraId="08CFE7AC">
            <w:pPr>
              <w:autoSpaceDE w:val="0"/>
              <w:autoSpaceDN w:val="0"/>
              <w:adjustRightInd w:val="0"/>
              <w:snapToGrid w:val="0"/>
              <w:spacing w:line="360" w:lineRule="auto"/>
              <w:ind w:right="-20"/>
              <w:jc w:val="center"/>
              <w:rPr>
                <w:rFonts w:ascii="宋体" w:hAnsi="宋体"/>
                <w:color w:val="auto"/>
                <w:kern w:val="0"/>
                <w:szCs w:val="21"/>
              </w:rPr>
            </w:pPr>
          </w:p>
        </w:tc>
        <w:tc>
          <w:tcPr>
            <w:tcW w:w="447" w:type="pct"/>
            <w:vMerge w:val="continue"/>
            <w:tcBorders>
              <w:left w:val="single" w:color="auto" w:sz="4" w:space="0"/>
              <w:bottom w:val="single" w:color="auto" w:sz="6" w:space="0"/>
              <w:right w:val="single" w:color="auto" w:sz="4" w:space="0"/>
            </w:tcBorders>
            <w:vAlign w:val="center"/>
          </w:tcPr>
          <w:p w14:paraId="390C9D6A">
            <w:pPr>
              <w:autoSpaceDE w:val="0"/>
              <w:autoSpaceDN w:val="0"/>
              <w:adjustRightInd w:val="0"/>
              <w:snapToGrid w:val="0"/>
              <w:spacing w:line="360" w:lineRule="auto"/>
              <w:ind w:right="-20"/>
              <w:jc w:val="center"/>
              <w:rPr>
                <w:rFonts w:ascii="宋体" w:hAnsi="宋体"/>
                <w:color w:val="auto"/>
                <w:kern w:val="0"/>
                <w:szCs w:val="21"/>
              </w:rPr>
            </w:pPr>
          </w:p>
        </w:tc>
        <w:tc>
          <w:tcPr>
            <w:tcW w:w="533" w:type="pct"/>
            <w:tcBorders>
              <w:top w:val="single" w:color="auto" w:sz="6" w:space="0"/>
              <w:left w:val="single" w:color="auto" w:sz="4" w:space="0"/>
              <w:bottom w:val="single" w:color="auto" w:sz="6" w:space="0"/>
              <w:right w:val="single" w:color="auto" w:sz="4" w:space="0"/>
            </w:tcBorders>
            <w:vAlign w:val="center"/>
          </w:tcPr>
          <w:p w14:paraId="0D58B3AB">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619" w:type="pct"/>
            <w:tcBorders>
              <w:top w:val="single" w:color="auto" w:sz="6" w:space="0"/>
              <w:left w:val="single" w:color="auto" w:sz="4" w:space="0"/>
              <w:bottom w:val="single" w:color="auto" w:sz="6" w:space="0"/>
              <w:right w:val="single" w:color="auto" w:sz="6" w:space="0"/>
            </w:tcBorders>
            <w:vAlign w:val="center"/>
          </w:tcPr>
          <w:p w14:paraId="15DDE19C">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404" w:type="pct"/>
            <w:vMerge w:val="continue"/>
            <w:tcBorders>
              <w:top w:val="single" w:color="auto" w:sz="6" w:space="0"/>
              <w:left w:val="single" w:color="auto" w:sz="6" w:space="0"/>
              <w:bottom w:val="single" w:color="auto" w:sz="6" w:space="0"/>
              <w:right w:val="double" w:color="auto" w:sz="4" w:space="0"/>
            </w:tcBorders>
          </w:tcPr>
          <w:p w14:paraId="00FA8063">
            <w:pPr>
              <w:autoSpaceDE w:val="0"/>
              <w:autoSpaceDN w:val="0"/>
              <w:adjustRightInd w:val="0"/>
              <w:snapToGrid w:val="0"/>
              <w:spacing w:line="360" w:lineRule="auto"/>
              <w:ind w:left="422" w:right="-20"/>
              <w:jc w:val="left"/>
              <w:rPr>
                <w:rFonts w:ascii="宋体" w:hAnsi="宋体"/>
                <w:color w:val="auto"/>
                <w:kern w:val="0"/>
                <w:szCs w:val="21"/>
              </w:rPr>
            </w:pPr>
          </w:p>
        </w:tc>
      </w:tr>
      <w:tr w14:paraId="0794AFD8">
        <w:tblPrEx>
          <w:tblCellMar>
            <w:top w:w="0" w:type="dxa"/>
            <w:left w:w="0" w:type="dxa"/>
            <w:bottom w:w="0" w:type="dxa"/>
            <w:right w:w="0" w:type="dxa"/>
          </w:tblCellMar>
        </w:tblPrEx>
        <w:trPr>
          <w:trHeight w:val="378" w:hRule="exact"/>
        </w:trPr>
        <w:tc>
          <w:tcPr>
            <w:tcW w:w="269" w:type="pct"/>
            <w:tcBorders>
              <w:top w:val="single" w:color="auto" w:sz="6" w:space="0"/>
              <w:left w:val="double" w:color="auto" w:sz="4" w:space="0"/>
              <w:bottom w:val="single" w:color="auto" w:sz="6" w:space="0"/>
              <w:right w:val="single" w:color="auto" w:sz="6" w:space="0"/>
            </w:tcBorders>
            <w:vAlign w:val="center"/>
          </w:tcPr>
          <w:p w14:paraId="249E84DE">
            <w:pPr>
              <w:jc w:val="center"/>
              <w:rPr>
                <w:rFonts w:ascii="宋体" w:hAnsi="宋体" w:cs="宋体"/>
                <w:color w:val="auto"/>
              </w:rPr>
            </w:pPr>
            <w:r>
              <w:rPr>
                <w:rFonts w:hint="eastAsia" w:ascii="宋体" w:hAnsi="宋体" w:cs="宋体"/>
                <w:color w:val="auto"/>
              </w:rPr>
              <w:t>1</w:t>
            </w:r>
          </w:p>
        </w:tc>
        <w:tc>
          <w:tcPr>
            <w:tcW w:w="574" w:type="pct"/>
            <w:tcBorders>
              <w:top w:val="single" w:color="auto" w:sz="6" w:space="0"/>
              <w:left w:val="single" w:color="auto" w:sz="6" w:space="0"/>
              <w:bottom w:val="single" w:color="auto" w:sz="6" w:space="0"/>
              <w:right w:val="single" w:color="auto" w:sz="6" w:space="0"/>
            </w:tcBorders>
            <w:vAlign w:val="center"/>
          </w:tcPr>
          <w:p w14:paraId="345BC872">
            <w:pPr>
              <w:autoSpaceDE w:val="0"/>
              <w:autoSpaceDN w:val="0"/>
              <w:adjustRightInd w:val="0"/>
              <w:snapToGrid w:val="0"/>
              <w:spacing w:line="360" w:lineRule="auto"/>
              <w:jc w:val="center"/>
              <w:rPr>
                <w:rFonts w:ascii="宋体" w:hAnsi="宋体"/>
                <w:color w:val="auto"/>
                <w:kern w:val="0"/>
                <w:szCs w:val="21"/>
              </w:rPr>
            </w:pPr>
          </w:p>
        </w:tc>
        <w:tc>
          <w:tcPr>
            <w:tcW w:w="1036" w:type="pct"/>
            <w:tcBorders>
              <w:top w:val="single" w:color="auto" w:sz="6" w:space="0"/>
              <w:left w:val="single" w:color="auto" w:sz="6" w:space="0"/>
              <w:bottom w:val="single" w:color="auto" w:sz="6" w:space="0"/>
              <w:right w:val="single" w:color="auto" w:sz="4" w:space="0"/>
            </w:tcBorders>
          </w:tcPr>
          <w:p w14:paraId="05D7DFDD">
            <w:pPr>
              <w:autoSpaceDE w:val="0"/>
              <w:autoSpaceDN w:val="0"/>
              <w:adjustRightInd w:val="0"/>
              <w:snapToGrid w:val="0"/>
              <w:spacing w:line="360" w:lineRule="auto"/>
              <w:jc w:val="left"/>
              <w:rPr>
                <w:rFonts w:ascii="宋体" w:hAnsi="宋体"/>
                <w:color w:val="auto"/>
                <w:kern w:val="0"/>
                <w:szCs w:val="21"/>
              </w:rPr>
            </w:pPr>
          </w:p>
        </w:tc>
        <w:tc>
          <w:tcPr>
            <w:tcW w:w="642" w:type="pct"/>
            <w:tcBorders>
              <w:top w:val="single" w:color="auto" w:sz="6" w:space="0"/>
              <w:left w:val="single" w:color="auto" w:sz="4" w:space="0"/>
              <w:bottom w:val="single" w:color="auto" w:sz="6" w:space="0"/>
              <w:right w:val="single" w:color="auto" w:sz="6" w:space="0"/>
            </w:tcBorders>
          </w:tcPr>
          <w:p w14:paraId="3E2713A5">
            <w:pPr>
              <w:autoSpaceDE w:val="0"/>
              <w:autoSpaceDN w:val="0"/>
              <w:adjustRightInd w:val="0"/>
              <w:snapToGrid w:val="0"/>
              <w:spacing w:line="360" w:lineRule="auto"/>
              <w:jc w:val="left"/>
              <w:rPr>
                <w:rFonts w:ascii="宋体" w:hAnsi="宋体"/>
                <w:color w:val="auto"/>
                <w:kern w:val="0"/>
                <w:szCs w:val="21"/>
              </w:rPr>
            </w:pPr>
          </w:p>
        </w:tc>
        <w:tc>
          <w:tcPr>
            <w:tcW w:w="473" w:type="pct"/>
            <w:tcBorders>
              <w:top w:val="single" w:color="auto" w:sz="6" w:space="0"/>
              <w:left w:val="single" w:color="auto" w:sz="6" w:space="0"/>
              <w:bottom w:val="single" w:color="auto" w:sz="6" w:space="0"/>
              <w:right w:val="single" w:color="auto" w:sz="4" w:space="0"/>
            </w:tcBorders>
          </w:tcPr>
          <w:p w14:paraId="7E2C6C21">
            <w:pPr>
              <w:autoSpaceDE w:val="0"/>
              <w:autoSpaceDN w:val="0"/>
              <w:adjustRightInd w:val="0"/>
              <w:snapToGrid w:val="0"/>
              <w:spacing w:line="360" w:lineRule="auto"/>
              <w:jc w:val="left"/>
              <w:rPr>
                <w:rFonts w:ascii="宋体" w:hAnsi="宋体"/>
                <w:color w:val="auto"/>
                <w:kern w:val="0"/>
                <w:szCs w:val="21"/>
              </w:rPr>
            </w:pPr>
          </w:p>
        </w:tc>
        <w:tc>
          <w:tcPr>
            <w:tcW w:w="447" w:type="pct"/>
            <w:tcBorders>
              <w:top w:val="single" w:color="auto" w:sz="6" w:space="0"/>
              <w:left w:val="single" w:color="auto" w:sz="4" w:space="0"/>
              <w:bottom w:val="single" w:color="auto" w:sz="6" w:space="0"/>
              <w:right w:val="single" w:color="auto" w:sz="4" w:space="0"/>
            </w:tcBorders>
          </w:tcPr>
          <w:p w14:paraId="47E208BE">
            <w:pPr>
              <w:autoSpaceDE w:val="0"/>
              <w:autoSpaceDN w:val="0"/>
              <w:adjustRightInd w:val="0"/>
              <w:snapToGrid w:val="0"/>
              <w:spacing w:line="360" w:lineRule="auto"/>
              <w:jc w:val="left"/>
              <w:rPr>
                <w:rFonts w:ascii="宋体" w:hAnsi="宋体"/>
                <w:color w:val="auto"/>
                <w:kern w:val="0"/>
                <w:szCs w:val="21"/>
              </w:rPr>
            </w:pPr>
          </w:p>
        </w:tc>
        <w:tc>
          <w:tcPr>
            <w:tcW w:w="533" w:type="pct"/>
            <w:tcBorders>
              <w:top w:val="single" w:color="auto" w:sz="6" w:space="0"/>
              <w:left w:val="single" w:color="auto" w:sz="6" w:space="0"/>
              <w:bottom w:val="single" w:color="auto" w:sz="6" w:space="0"/>
              <w:right w:val="single" w:color="auto" w:sz="6" w:space="0"/>
            </w:tcBorders>
          </w:tcPr>
          <w:p w14:paraId="045F6675">
            <w:pPr>
              <w:autoSpaceDE w:val="0"/>
              <w:autoSpaceDN w:val="0"/>
              <w:adjustRightInd w:val="0"/>
              <w:snapToGrid w:val="0"/>
              <w:spacing w:line="360" w:lineRule="auto"/>
              <w:jc w:val="left"/>
              <w:rPr>
                <w:rFonts w:ascii="宋体" w:hAnsi="宋体"/>
                <w:color w:val="auto"/>
                <w:kern w:val="0"/>
                <w:szCs w:val="21"/>
              </w:rPr>
            </w:pPr>
          </w:p>
        </w:tc>
        <w:tc>
          <w:tcPr>
            <w:tcW w:w="619" w:type="pct"/>
            <w:tcBorders>
              <w:top w:val="single" w:color="auto" w:sz="6" w:space="0"/>
              <w:left w:val="single" w:color="auto" w:sz="6" w:space="0"/>
              <w:bottom w:val="single" w:color="auto" w:sz="6" w:space="0"/>
              <w:right w:val="single" w:color="auto" w:sz="6" w:space="0"/>
            </w:tcBorders>
          </w:tcPr>
          <w:p w14:paraId="40B8233F">
            <w:pPr>
              <w:autoSpaceDE w:val="0"/>
              <w:autoSpaceDN w:val="0"/>
              <w:adjustRightInd w:val="0"/>
              <w:snapToGrid w:val="0"/>
              <w:spacing w:line="360" w:lineRule="auto"/>
              <w:jc w:val="left"/>
              <w:rPr>
                <w:rFonts w:ascii="宋体" w:hAnsi="宋体"/>
                <w:color w:val="auto"/>
                <w:kern w:val="0"/>
                <w:szCs w:val="21"/>
              </w:rPr>
            </w:pPr>
          </w:p>
        </w:tc>
        <w:tc>
          <w:tcPr>
            <w:tcW w:w="404" w:type="pct"/>
            <w:tcBorders>
              <w:top w:val="single" w:color="auto" w:sz="6" w:space="0"/>
              <w:left w:val="single" w:color="auto" w:sz="6" w:space="0"/>
              <w:bottom w:val="single" w:color="auto" w:sz="6" w:space="0"/>
              <w:right w:val="double" w:color="auto" w:sz="4" w:space="0"/>
            </w:tcBorders>
          </w:tcPr>
          <w:p w14:paraId="7AD3C081">
            <w:pPr>
              <w:autoSpaceDE w:val="0"/>
              <w:autoSpaceDN w:val="0"/>
              <w:adjustRightInd w:val="0"/>
              <w:snapToGrid w:val="0"/>
              <w:spacing w:line="360" w:lineRule="auto"/>
              <w:jc w:val="left"/>
              <w:rPr>
                <w:rFonts w:ascii="宋体" w:hAnsi="宋体"/>
                <w:color w:val="auto"/>
                <w:kern w:val="0"/>
                <w:szCs w:val="21"/>
              </w:rPr>
            </w:pPr>
          </w:p>
        </w:tc>
      </w:tr>
      <w:tr w14:paraId="1D9E0E43">
        <w:tblPrEx>
          <w:tblCellMar>
            <w:top w:w="0" w:type="dxa"/>
            <w:left w:w="0" w:type="dxa"/>
            <w:bottom w:w="0" w:type="dxa"/>
            <w:right w:w="0" w:type="dxa"/>
          </w:tblCellMar>
        </w:tblPrEx>
        <w:trPr>
          <w:trHeight w:val="415" w:hRule="exact"/>
        </w:trPr>
        <w:tc>
          <w:tcPr>
            <w:tcW w:w="269" w:type="pct"/>
            <w:tcBorders>
              <w:top w:val="single" w:color="auto" w:sz="6" w:space="0"/>
              <w:left w:val="double" w:color="auto" w:sz="4" w:space="0"/>
              <w:bottom w:val="single" w:color="auto" w:sz="6" w:space="0"/>
              <w:right w:val="single" w:color="auto" w:sz="6" w:space="0"/>
            </w:tcBorders>
            <w:vAlign w:val="center"/>
          </w:tcPr>
          <w:p w14:paraId="4CFF7E26">
            <w:pPr>
              <w:jc w:val="center"/>
              <w:rPr>
                <w:rFonts w:ascii="宋体" w:hAnsi="宋体" w:cs="宋体"/>
                <w:color w:val="auto"/>
              </w:rPr>
            </w:pPr>
            <w:r>
              <w:rPr>
                <w:rFonts w:hint="eastAsia" w:ascii="宋体" w:hAnsi="宋体" w:cs="宋体"/>
                <w:color w:val="auto"/>
              </w:rPr>
              <w:t>2</w:t>
            </w:r>
          </w:p>
        </w:tc>
        <w:tc>
          <w:tcPr>
            <w:tcW w:w="574" w:type="pct"/>
            <w:tcBorders>
              <w:top w:val="single" w:color="auto" w:sz="6" w:space="0"/>
              <w:left w:val="single" w:color="auto" w:sz="6" w:space="0"/>
              <w:bottom w:val="single" w:color="auto" w:sz="6" w:space="0"/>
              <w:right w:val="single" w:color="auto" w:sz="6" w:space="0"/>
            </w:tcBorders>
            <w:vAlign w:val="center"/>
          </w:tcPr>
          <w:p w14:paraId="05576FB0">
            <w:pPr>
              <w:autoSpaceDE w:val="0"/>
              <w:autoSpaceDN w:val="0"/>
              <w:adjustRightInd w:val="0"/>
              <w:snapToGrid w:val="0"/>
              <w:spacing w:line="360" w:lineRule="auto"/>
              <w:jc w:val="center"/>
              <w:rPr>
                <w:rFonts w:ascii="宋体" w:hAnsi="宋体"/>
                <w:color w:val="auto"/>
                <w:kern w:val="0"/>
                <w:szCs w:val="21"/>
              </w:rPr>
            </w:pPr>
          </w:p>
        </w:tc>
        <w:tc>
          <w:tcPr>
            <w:tcW w:w="1036" w:type="pct"/>
            <w:tcBorders>
              <w:top w:val="single" w:color="auto" w:sz="6" w:space="0"/>
              <w:left w:val="single" w:color="auto" w:sz="6" w:space="0"/>
              <w:bottom w:val="single" w:color="auto" w:sz="6" w:space="0"/>
              <w:right w:val="single" w:color="auto" w:sz="4" w:space="0"/>
            </w:tcBorders>
          </w:tcPr>
          <w:p w14:paraId="3D3849E2">
            <w:pPr>
              <w:autoSpaceDE w:val="0"/>
              <w:autoSpaceDN w:val="0"/>
              <w:adjustRightInd w:val="0"/>
              <w:snapToGrid w:val="0"/>
              <w:spacing w:line="360" w:lineRule="auto"/>
              <w:jc w:val="left"/>
              <w:rPr>
                <w:rFonts w:ascii="宋体" w:hAnsi="宋体"/>
                <w:color w:val="auto"/>
                <w:kern w:val="0"/>
                <w:szCs w:val="21"/>
              </w:rPr>
            </w:pPr>
          </w:p>
        </w:tc>
        <w:tc>
          <w:tcPr>
            <w:tcW w:w="642" w:type="pct"/>
            <w:tcBorders>
              <w:top w:val="single" w:color="auto" w:sz="6" w:space="0"/>
              <w:left w:val="single" w:color="auto" w:sz="4" w:space="0"/>
              <w:bottom w:val="single" w:color="auto" w:sz="6" w:space="0"/>
              <w:right w:val="single" w:color="auto" w:sz="6" w:space="0"/>
            </w:tcBorders>
          </w:tcPr>
          <w:p w14:paraId="11FC9287">
            <w:pPr>
              <w:autoSpaceDE w:val="0"/>
              <w:autoSpaceDN w:val="0"/>
              <w:adjustRightInd w:val="0"/>
              <w:snapToGrid w:val="0"/>
              <w:spacing w:line="360" w:lineRule="auto"/>
              <w:jc w:val="left"/>
              <w:rPr>
                <w:rFonts w:ascii="宋体" w:hAnsi="宋体"/>
                <w:color w:val="auto"/>
                <w:kern w:val="0"/>
                <w:szCs w:val="21"/>
              </w:rPr>
            </w:pPr>
          </w:p>
        </w:tc>
        <w:tc>
          <w:tcPr>
            <w:tcW w:w="473" w:type="pct"/>
            <w:tcBorders>
              <w:top w:val="single" w:color="auto" w:sz="6" w:space="0"/>
              <w:left w:val="single" w:color="auto" w:sz="6" w:space="0"/>
              <w:bottom w:val="single" w:color="auto" w:sz="6" w:space="0"/>
              <w:right w:val="single" w:color="auto" w:sz="4" w:space="0"/>
            </w:tcBorders>
          </w:tcPr>
          <w:p w14:paraId="56927F09">
            <w:pPr>
              <w:autoSpaceDE w:val="0"/>
              <w:autoSpaceDN w:val="0"/>
              <w:adjustRightInd w:val="0"/>
              <w:snapToGrid w:val="0"/>
              <w:spacing w:line="360" w:lineRule="auto"/>
              <w:jc w:val="left"/>
              <w:rPr>
                <w:rFonts w:ascii="宋体" w:hAnsi="宋体"/>
                <w:color w:val="auto"/>
                <w:kern w:val="0"/>
                <w:szCs w:val="21"/>
              </w:rPr>
            </w:pPr>
          </w:p>
        </w:tc>
        <w:tc>
          <w:tcPr>
            <w:tcW w:w="447" w:type="pct"/>
            <w:tcBorders>
              <w:top w:val="single" w:color="auto" w:sz="6" w:space="0"/>
              <w:left w:val="single" w:color="auto" w:sz="4" w:space="0"/>
              <w:bottom w:val="single" w:color="auto" w:sz="6" w:space="0"/>
              <w:right w:val="single" w:color="auto" w:sz="4" w:space="0"/>
            </w:tcBorders>
          </w:tcPr>
          <w:p w14:paraId="074C853C">
            <w:pPr>
              <w:autoSpaceDE w:val="0"/>
              <w:autoSpaceDN w:val="0"/>
              <w:adjustRightInd w:val="0"/>
              <w:snapToGrid w:val="0"/>
              <w:spacing w:line="360" w:lineRule="auto"/>
              <w:jc w:val="left"/>
              <w:rPr>
                <w:rFonts w:ascii="宋体" w:hAnsi="宋体"/>
                <w:color w:val="auto"/>
                <w:kern w:val="0"/>
                <w:szCs w:val="21"/>
              </w:rPr>
            </w:pPr>
          </w:p>
        </w:tc>
        <w:tc>
          <w:tcPr>
            <w:tcW w:w="533" w:type="pct"/>
            <w:tcBorders>
              <w:top w:val="single" w:color="auto" w:sz="6" w:space="0"/>
              <w:left w:val="single" w:color="auto" w:sz="6" w:space="0"/>
              <w:bottom w:val="single" w:color="auto" w:sz="6" w:space="0"/>
              <w:right w:val="single" w:color="auto" w:sz="6" w:space="0"/>
            </w:tcBorders>
          </w:tcPr>
          <w:p w14:paraId="2EB343D6">
            <w:pPr>
              <w:autoSpaceDE w:val="0"/>
              <w:autoSpaceDN w:val="0"/>
              <w:adjustRightInd w:val="0"/>
              <w:snapToGrid w:val="0"/>
              <w:spacing w:line="360" w:lineRule="auto"/>
              <w:jc w:val="left"/>
              <w:rPr>
                <w:rFonts w:ascii="宋体" w:hAnsi="宋体"/>
                <w:color w:val="auto"/>
                <w:kern w:val="0"/>
                <w:szCs w:val="21"/>
              </w:rPr>
            </w:pPr>
          </w:p>
        </w:tc>
        <w:tc>
          <w:tcPr>
            <w:tcW w:w="619" w:type="pct"/>
            <w:tcBorders>
              <w:top w:val="single" w:color="auto" w:sz="6" w:space="0"/>
              <w:left w:val="single" w:color="auto" w:sz="6" w:space="0"/>
              <w:bottom w:val="single" w:color="auto" w:sz="6" w:space="0"/>
              <w:right w:val="single" w:color="auto" w:sz="6" w:space="0"/>
            </w:tcBorders>
          </w:tcPr>
          <w:p w14:paraId="6711B8E8">
            <w:pPr>
              <w:autoSpaceDE w:val="0"/>
              <w:autoSpaceDN w:val="0"/>
              <w:adjustRightInd w:val="0"/>
              <w:snapToGrid w:val="0"/>
              <w:spacing w:line="360" w:lineRule="auto"/>
              <w:jc w:val="left"/>
              <w:rPr>
                <w:rFonts w:ascii="宋体" w:hAnsi="宋体"/>
                <w:color w:val="auto"/>
                <w:kern w:val="0"/>
                <w:szCs w:val="21"/>
              </w:rPr>
            </w:pPr>
          </w:p>
        </w:tc>
        <w:tc>
          <w:tcPr>
            <w:tcW w:w="404" w:type="pct"/>
            <w:tcBorders>
              <w:top w:val="single" w:color="auto" w:sz="6" w:space="0"/>
              <w:left w:val="single" w:color="auto" w:sz="6" w:space="0"/>
              <w:bottom w:val="single" w:color="auto" w:sz="6" w:space="0"/>
              <w:right w:val="double" w:color="auto" w:sz="4" w:space="0"/>
            </w:tcBorders>
          </w:tcPr>
          <w:p w14:paraId="5897A674">
            <w:pPr>
              <w:autoSpaceDE w:val="0"/>
              <w:autoSpaceDN w:val="0"/>
              <w:adjustRightInd w:val="0"/>
              <w:snapToGrid w:val="0"/>
              <w:spacing w:line="360" w:lineRule="auto"/>
              <w:jc w:val="left"/>
              <w:rPr>
                <w:rFonts w:ascii="宋体" w:hAnsi="宋体"/>
                <w:color w:val="auto"/>
                <w:kern w:val="0"/>
                <w:szCs w:val="21"/>
              </w:rPr>
            </w:pPr>
          </w:p>
        </w:tc>
      </w:tr>
      <w:tr w14:paraId="4F38E06B">
        <w:tblPrEx>
          <w:tblCellMar>
            <w:top w:w="0" w:type="dxa"/>
            <w:left w:w="0" w:type="dxa"/>
            <w:bottom w:w="0" w:type="dxa"/>
            <w:right w:w="0" w:type="dxa"/>
          </w:tblCellMar>
        </w:tblPrEx>
        <w:trPr>
          <w:trHeight w:val="415" w:hRule="exact"/>
        </w:trPr>
        <w:tc>
          <w:tcPr>
            <w:tcW w:w="269" w:type="pct"/>
            <w:tcBorders>
              <w:top w:val="single" w:color="auto" w:sz="6" w:space="0"/>
              <w:left w:val="double" w:color="auto" w:sz="4" w:space="0"/>
              <w:bottom w:val="single" w:color="auto" w:sz="6" w:space="0"/>
              <w:right w:val="single" w:color="auto" w:sz="6" w:space="0"/>
            </w:tcBorders>
            <w:vAlign w:val="center"/>
          </w:tcPr>
          <w:p w14:paraId="717868C9">
            <w:pPr>
              <w:jc w:val="center"/>
              <w:rPr>
                <w:rFonts w:ascii="宋体" w:hAnsi="宋体" w:cs="宋体"/>
                <w:color w:val="auto"/>
              </w:rPr>
            </w:pPr>
            <w:r>
              <w:rPr>
                <w:rFonts w:hint="eastAsia" w:ascii="宋体" w:hAnsi="宋体" w:cs="宋体"/>
                <w:color w:val="auto"/>
              </w:rPr>
              <w:t>3</w:t>
            </w:r>
          </w:p>
        </w:tc>
        <w:tc>
          <w:tcPr>
            <w:tcW w:w="574" w:type="pct"/>
            <w:tcBorders>
              <w:top w:val="single" w:color="auto" w:sz="6" w:space="0"/>
              <w:left w:val="single" w:color="auto" w:sz="6" w:space="0"/>
              <w:bottom w:val="single" w:color="auto" w:sz="6" w:space="0"/>
              <w:right w:val="single" w:color="auto" w:sz="6" w:space="0"/>
            </w:tcBorders>
            <w:vAlign w:val="center"/>
          </w:tcPr>
          <w:p w14:paraId="4D6F0EF2">
            <w:pPr>
              <w:autoSpaceDE w:val="0"/>
              <w:autoSpaceDN w:val="0"/>
              <w:adjustRightInd w:val="0"/>
              <w:snapToGrid w:val="0"/>
              <w:spacing w:line="360" w:lineRule="auto"/>
              <w:jc w:val="center"/>
              <w:rPr>
                <w:rFonts w:ascii="宋体" w:hAnsi="宋体"/>
                <w:color w:val="auto"/>
                <w:kern w:val="0"/>
                <w:szCs w:val="21"/>
              </w:rPr>
            </w:pPr>
          </w:p>
        </w:tc>
        <w:tc>
          <w:tcPr>
            <w:tcW w:w="1036" w:type="pct"/>
            <w:tcBorders>
              <w:top w:val="single" w:color="auto" w:sz="6" w:space="0"/>
              <w:left w:val="single" w:color="auto" w:sz="6" w:space="0"/>
              <w:bottom w:val="single" w:color="auto" w:sz="6" w:space="0"/>
              <w:right w:val="single" w:color="auto" w:sz="4" w:space="0"/>
            </w:tcBorders>
          </w:tcPr>
          <w:p w14:paraId="65F0EFE3">
            <w:pPr>
              <w:autoSpaceDE w:val="0"/>
              <w:autoSpaceDN w:val="0"/>
              <w:adjustRightInd w:val="0"/>
              <w:snapToGrid w:val="0"/>
              <w:spacing w:line="360" w:lineRule="auto"/>
              <w:jc w:val="left"/>
              <w:rPr>
                <w:rFonts w:ascii="宋体" w:hAnsi="宋体"/>
                <w:color w:val="auto"/>
                <w:kern w:val="0"/>
                <w:szCs w:val="21"/>
              </w:rPr>
            </w:pPr>
          </w:p>
        </w:tc>
        <w:tc>
          <w:tcPr>
            <w:tcW w:w="642" w:type="pct"/>
            <w:tcBorders>
              <w:top w:val="single" w:color="auto" w:sz="6" w:space="0"/>
              <w:left w:val="single" w:color="auto" w:sz="4" w:space="0"/>
              <w:bottom w:val="single" w:color="auto" w:sz="6" w:space="0"/>
              <w:right w:val="single" w:color="auto" w:sz="6" w:space="0"/>
            </w:tcBorders>
          </w:tcPr>
          <w:p w14:paraId="13AA9FC6">
            <w:pPr>
              <w:autoSpaceDE w:val="0"/>
              <w:autoSpaceDN w:val="0"/>
              <w:adjustRightInd w:val="0"/>
              <w:snapToGrid w:val="0"/>
              <w:spacing w:line="360" w:lineRule="auto"/>
              <w:jc w:val="left"/>
              <w:rPr>
                <w:rFonts w:ascii="宋体" w:hAnsi="宋体"/>
                <w:color w:val="auto"/>
                <w:kern w:val="0"/>
                <w:szCs w:val="21"/>
              </w:rPr>
            </w:pPr>
          </w:p>
        </w:tc>
        <w:tc>
          <w:tcPr>
            <w:tcW w:w="473" w:type="pct"/>
            <w:tcBorders>
              <w:top w:val="single" w:color="auto" w:sz="6" w:space="0"/>
              <w:left w:val="single" w:color="auto" w:sz="6" w:space="0"/>
              <w:bottom w:val="single" w:color="auto" w:sz="6" w:space="0"/>
              <w:right w:val="single" w:color="auto" w:sz="4" w:space="0"/>
            </w:tcBorders>
          </w:tcPr>
          <w:p w14:paraId="5FABDD4B">
            <w:pPr>
              <w:autoSpaceDE w:val="0"/>
              <w:autoSpaceDN w:val="0"/>
              <w:adjustRightInd w:val="0"/>
              <w:snapToGrid w:val="0"/>
              <w:spacing w:line="360" w:lineRule="auto"/>
              <w:jc w:val="left"/>
              <w:rPr>
                <w:rFonts w:ascii="宋体" w:hAnsi="宋体"/>
                <w:color w:val="auto"/>
                <w:kern w:val="0"/>
                <w:szCs w:val="21"/>
              </w:rPr>
            </w:pPr>
          </w:p>
        </w:tc>
        <w:tc>
          <w:tcPr>
            <w:tcW w:w="447" w:type="pct"/>
            <w:tcBorders>
              <w:top w:val="single" w:color="auto" w:sz="6" w:space="0"/>
              <w:left w:val="single" w:color="auto" w:sz="4" w:space="0"/>
              <w:bottom w:val="single" w:color="auto" w:sz="6" w:space="0"/>
              <w:right w:val="single" w:color="auto" w:sz="4" w:space="0"/>
            </w:tcBorders>
          </w:tcPr>
          <w:p w14:paraId="441C2314">
            <w:pPr>
              <w:autoSpaceDE w:val="0"/>
              <w:autoSpaceDN w:val="0"/>
              <w:adjustRightInd w:val="0"/>
              <w:snapToGrid w:val="0"/>
              <w:spacing w:line="360" w:lineRule="auto"/>
              <w:jc w:val="left"/>
              <w:rPr>
                <w:rFonts w:ascii="宋体" w:hAnsi="宋体"/>
                <w:color w:val="auto"/>
                <w:kern w:val="0"/>
                <w:szCs w:val="21"/>
              </w:rPr>
            </w:pPr>
          </w:p>
        </w:tc>
        <w:tc>
          <w:tcPr>
            <w:tcW w:w="533" w:type="pct"/>
            <w:tcBorders>
              <w:top w:val="single" w:color="auto" w:sz="6" w:space="0"/>
              <w:left w:val="single" w:color="auto" w:sz="6" w:space="0"/>
              <w:bottom w:val="single" w:color="auto" w:sz="6" w:space="0"/>
              <w:right w:val="single" w:color="auto" w:sz="6" w:space="0"/>
            </w:tcBorders>
          </w:tcPr>
          <w:p w14:paraId="7E21B459">
            <w:pPr>
              <w:autoSpaceDE w:val="0"/>
              <w:autoSpaceDN w:val="0"/>
              <w:adjustRightInd w:val="0"/>
              <w:snapToGrid w:val="0"/>
              <w:spacing w:line="360" w:lineRule="auto"/>
              <w:jc w:val="left"/>
              <w:rPr>
                <w:rFonts w:ascii="宋体" w:hAnsi="宋体"/>
                <w:color w:val="auto"/>
                <w:kern w:val="0"/>
                <w:szCs w:val="21"/>
              </w:rPr>
            </w:pPr>
          </w:p>
        </w:tc>
        <w:tc>
          <w:tcPr>
            <w:tcW w:w="619" w:type="pct"/>
            <w:tcBorders>
              <w:top w:val="single" w:color="auto" w:sz="6" w:space="0"/>
              <w:left w:val="single" w:color="auto" w:sz="6" w:space="0"/>
              <w:bottom w:val="single" w:color="auto" w:sz="6" w:space="0"/>
              <w:right w:val="single" w:color="auto" w:sz="6" w:space="0"/>
            </w:tcBorders>
          </w:tcPr>
          <w:p w14:paraId="5B70BF2F">
            <w:pPr>
              <w:autoSpaceDE w:val="0"/>
              <w:autoSpaceDN w:val="0"/>
              <w:adjustRightInd w:val="0"/>
              <w:snapToGrid w:val="0"/>
              <w:spacing w:line="360" w:lineRule="auto"/>
              <w:jc w:val="left"/>
              <w:rPr>
                <w:rFonts w:ascii="宋体" w:hAnsi="宋体"/>
                <w:color w:val="auto"/>
                <w:kern w:val="0"/>
                <w:szCs w:val="21"/>
              </w:rPr>
            </w:pPr>
          </w:p>
        </w:tc>
        <w:tc>
          <w:tcPr>
            <w:tcW w:w="404" w:type="pct"/>
            <w:tcBorders>
              <w:top w:val="single" w:color="auto" w:sz="6" w:space="0"/>
              <w:left w:val="single" w:color="auto" w:sz="6" w:space="0"/>
              <w:bottom w:val="single" w:color="auto" w:sz="6" w:space="0"/>
              <w:right w:val="double" w:color="auto" w:sz="4" w:space="0"/>
            </w:tcBorders>
          </w:tcPr>
          <w:p w14:paraId="1B825715">
            <w:pPr>
              <w:autoSpaceDE w:val="0"/>
              <w:autoSpaceDN w:val="0"/>
              <w:adjustRightInd w:val="0"/>
              <w:snapToGrid w:val="0"/>
              <w:spacing w:line="360" w:lineRule="auto"/>
              <w:jc w:val="left"/>
              <w:rPr>
                <w:rFonts w:ascii="宋体" w:hAnsi="宋体"/>
                <w:color w:val="auto"/>
                <w:kern w:val="0"/>
                <w:szCs w:val="21"/>
              </w:rPr>
            </w:pPr>
          </w:p>
        </w:tc>
      </w:tr>
      <w:tr w14:paraId="27E2F75E">
        <w:tblPrEx>
          <w:tblCellMar>
            <w:top w:w="0" w:type="dxa"/>
            <w:left w:w="0" w:type="dxa"/>
            <w:bottom w:w="0" w:type="dxa"/>
            <w:right w:w="0" w:type="dxa"/>
          </w:tblCellMar>
        </w:tblPrEx>
        <w:trPr>
          <w:trHeight w:val="415" w:hRule="exact"/>
        </w:trPr>
        <w:tc>
          <w:tcPr>
            <w:tcW w:w="269" w:type="pct"/>
            <w:tcBorders>
              <w:top w:val="single" w:color="auto" w:sz="6" w:space="0"/>
              <w:left w:val="double" w:color="auto" w:sz="4" w:space="0"/>
              <w:bottom w:val="single" w:color="auto" w:sz="6" w:space="0"/>
              <w:right w:val="single" w:color="auto" w:sz="6" w:space="0"/>
            </w:tcBorders>
            <w:vAlign w:val="center"/>
          </w:tcPr>
          <w:p w14:paraId="2565EDBF">
            <w:pPr>
              <w:jc w:val="center"/>
              <w:rPr>
                <w:rFonts w:ascii="宋体" w:hAnsi="宋体" w:cs="宋体"/>
                <w:color w:val="auto"/>
              </w:rPr>
            </w:pPr>
            <w:r>
              <w:rPr>
                <w:rFonts w:hint="eastAsia" w:ascii="宋体" w:hAnsi="宋体" w:cs="宋体"/>
                <w:color w:val="auto"/>
              </w:rPr>
              <w:t>4</w:t>
            </w:r>
          </w:p>
        </w:tc>
        <w:tc>
          <w:tcPr>
            <w:tcW w:w="574" w:type="pct"/>
            <w:tcBorders>
              <w:top w:val="single" w:color="auto" w:sz="6" w:space="0"/>
              <w:left w:val="single" w:color="auto" w:sz="6" w:space="0"/>
              <w:bottom w:val="single" w:color="auto" w:sz="6" w:space="0"/>
              <w:right w:val="single" w:color="auto" w:sz="6" w:space="0"/>
            </w:tcBorders>
            <w:vAlign w:val="center"/>
          </w:tcPr>
          <w:p w14:paraId="04EA9C9F">
            <w:pPr>
              <w:autoSpaceDE w:val="0"/>
              <w:autoSpaceDN w:val="0"/>
              <w:adjustRightInd w:val="0"/>
              <w:snapToGrid w:val="0"/>
              <w:spacing w:line="360" w:lineRule="auto"/>
              <w:jc w:val="center"/>
              <w:rPr>
                <w:rFonts w:ascii="宋体" w:hAnsi="宋体"/>
                <w:color w:val="auto"/>
                <w:kern w:val="0"/>
                <w:szCs w:val="21"/>
              </w:rPr>
            </w:pPr>
          </w:p>
        </w:tc>
        <w:tc>
          <w:tcPr>
            <w:tcW w:w="1036" w:type="pct"/>
            <w:tcBorders>
              <w:top w:val="single" w:color="auto" w:sz="6" w:space="0"/>
              <w:left w:val="single" w:color="auto" w:sz="6" w:space="0"/>
              <w:bottom w:val="single" w:color="auto" w:sz="6" w:space="0"/>
              <w:right w:val="single" w:color="auto" w:sz="4" w:space="0"/>
            </w:tcBorders>
          </w:tcPr>
          <w:p w14:paraId="0EE53BE6">
            <w:pPr>
              <w:autoSpaceDE w:val="0"/>
              <w:autoSpaceDN w:val="0"/>
              <w:adjustRightInd w:val="0"/>
              <w:snapToGrid w:val="0"/>
              <w:spacing w:line="360" w:lineRule="auto"/>
              <w:jc w:val="left"/>
              <w:rPr>
                <w:rFonts w:ascii="宋体" w:hAnsi="宋体"/>
                <w:color w:val="auto"/>
                <w:kern w:val="0"/>
                <w:szCs w:val="21"/>
              </w:rPr>
            </w:pPr>
          </w:p>
        </w:tc>
        <w:tc>
          <w:tcPr>
            <w:tcW w:w="642" w:type="pct"/>
            <w:tcBorders>
              <w:top w:val="single" w:color="auto" w:sz="6" w:space="0"/>
              <w:left w:val="single" w:color="auto" w:sz="4" w:space="0"/>
              <w:bottom w:val="single" w:color="auto" w:sz="6" w:space="0"/>
              <w:right w:val="single" w:color="auto" w:sz="6" w:space="0"/>
            </w:tcBorders>
          </w:tcPr>
          <w:p w14:paraId="57F39603">
            <w:pPr>
              <w:autoSpaceDE w:val="0"/>
              <w:autoSpaceDN w:val="0"/>
              <w:adjustRightInd w:val="0"/>
              <w:snapToGrid w:val="0"/>
              <w:spacing w:line="360" w:lineRule="auto"/>
              <w:jc w:val="left"/>
              <w:rPr>
                <w:rFonts w:ascii="宋体" w:hAnsi="宋体"/>
                <w:color w:val="auto"/>
                <w:kern w:val="0"/>
                <w:szCs w:val="21"/>
              </w:rPr>
            </w:pPr>
          </w:p>
        </w:tc>
        <w:tc>
          <w:tcPr>
            <w:tcW w:w="473" w:type="pct"/>
            <w:tcBorders>
              <w:top w:val="single" w:color="auto" w:sz="6" w:space="0"/>
              <w:left w:val="single" w:color="auto" w:sz="6" w:space="0"/>
              <w:bottom w:val="single" w:color="auto" w:sz="6" w:space="0"/>
              <w:right w:val="single" w:color="auto" w:sz="4" w:space="0"/>
            </w:tcBorders>
          </w:tcPr>
          <w:p w14:paraId="5F449295">
            <w:pPr>
              <w:autoSpaceDE w:val="0"/>
              <w:autoSpaceDN w:val="0"/>
              <w:adjustRightInd w:val="0"/>
              <w:snapToGrid w:val="0"/>
              <w:spacing w:line="360" w:lineRule="auto"/>
              <w:jc w:val="left"/>
              <w:rPr>
                <w:rFonts w:ascii="宋体" w:hAnsi="宋体"/>
                <w:color w:val="auto"/>
                <w:kern w:val="0"/>
                <w:szCs w:val="21"/>
              </w:rPr>
            </w:pPr>
          </w:p>
        </w:tc>
        <w:tc>
          <w:tcPr>
            <w:tcW w:w="447" w:type="pct"/>
            <w:tcBorders>
              <w:top w:val="single" w:color="auto" w:sz="6" w:space="0"/>
              <w:left w:val="single" w:color="auto" w:sz="4" w:space="0"/>
              <w:bottom w:val="single" w:color="auto" w:sz="6" w:space="0"/>
              <w:right w:val="single" w:color="auto" w:sz="4" w:space="0"/>
            </w:tcBorders>
          </w:tcPr>
          <w:p w14:paraId="721B689E">
            <w:pPr>
              <w:autoSpaceDE w:val="0"/>
              <w:autoSpaceDN w:val="0"/>
              <w:adjustRightInd w:val="0"/>
              <w:snapToGrid w:val="0"/>
              <w:spacing w:line="360" w:lineRule="auto"/>
              <w:jc w:val="left"/>
              <w:rPr>
                <w:rFonts w:ascii="宋体" w:hAnsi="宋体"/>
                <w:color w:val="auto"/>
                <w:kern w:val="0"/>
                <w:szCs w:val="21"/>
              </w:rPr>
            </w:pPr>
          </w:p>
        </w:tc>
        <w:tc>
          <w:tcPr>
            <w:tcW w:w="533" w:type="pct"/>
            <w:tcBorders>
              <w:top w:val="single" w:color="auto" w:sz="6" w:space="0"/>
              <w:left w:val="single" w:color="auto" w:sz="4" w:space="0"/>
              <w:bottom w:val="single" w:color="auto" w:sz="6" w:space="0"/>
              <w:right w:val="single" w:color="auto" w:sz="6" w:space="0"/>
            </w:tcBorders>
          </w:tcPr>
          <w:p w14:paraId="1CE8B42A">
            <w:pPr>
              <w:autoSpaceDE w:val="0"/>
              <w:autoSpaceDN w:val="0"/>
              <w:adjustRightInd w:val="0"/>
              <w:snapToGrid w:val="0"/>
              <w:spacing w:line="360" w:lineRule="auto"/>
              <w:jc w:val="left"/>
              <w:rPr>
                <w:rFonts w:ascii="宋体" w:hAnsi="宋体"/>
                <w:color w:val="auto"/>
                <w:kern w:val="0"/>
                <w:szCs w:val="21"/>
              </w:rPr>
            </w:pPr>
          </w:p>
        </w:tc>
        <w:tc>
          <w:tcPr>
            <w:tcW w:w="619" w:type="pct"/>
            <w:tcBorders>
              <w:top w:val="single" w:color="auto" w:sz="6" w:space="0"/>
              <w:left w:val="single" w:color="auto" w:sz="6" w:space="0"/>
              <w:bottom w:val="single" w:color="auto" w:sz="6" w:space="0"/>
              <w:right w:val="single" w:color="auto" w:sz="6" w:space="0"/>
            </w:tcBorders>
          </w:tcPr>
          <w:p w14:paraId="5D41E044">
            <w:pPr>
              <w:autoSpaceDE w:val="0"/>
              <w:autoSpaceDN w:val="0"/>
              <w:adjustRightInd w:val="0"/>
              <w:snapToGrid w:val="0"/>
              <w:spacing w:line="360" w:lineRule="auto"/>
              <w:jc w:val="left"/>
              <w:rPr>
                <w:rFonts w:ascii="宋体" w:hAnsi="宋体"/>
                <w:color w:val="auto"/>
                <w:kern w:val="0"/>
                <w:szCs w:val="21"/>
              </w:rPr>
            </w:pPr>
          </w:p>
        </w:tc>
        <w:tc>
          <w:tcPr>
            <w:tcW w:w="404" w:type="pct"/>
            <w:tcBorders>
              <w:top w:val="single" w:color="auto" w:sz="6" w:space="0"/>
              <w:left w:val="single" w:color="auto" w:sz="6" w:space="0"/>
              <w:bottom w:val="single" w:color="auto" w:sz="6" w:space="0"/>
              <w:right w:val="double" w:color="auto" w:sz="4" w:space="0"/>
            </w:tcBorders>
          </w:tcPr>
          <w:p w14:paraId="5E6CD0EF">
            <w:pPr>
              <w:autoSpaceDE w:val="0"/>
              <w:autoSpaceDN w:val="0"/>
              <w:adjustRightInd w:val="0"/>
              <w:snapToGrid w:val="0"/>
              <w:spacing w:line="360" w:lineRule="auto"/>
              <w:jc w:val="left"/>
              <w:rPr>
                <w:rFonts w:ascii="宋体" w:hAnsi="宋体"/>
                <w:color w:val="auto"/>
                <w:kern w:val="0"/>
                <w:szCs w:val="21"/>
              </w:rPr>
            </w:pPr>
          </w:p>
        </w:tc>
      </w:tr>
      <w:tr w14:paraId="5F81E2BA">
        <w:tblPrEx>
          <w:tblCellMar>
            <w:top w:w="0" w:type="dxa"/>
            <w:left w:w="0" w:type="dxa"/>
            <w:bottom w:w="0" w:type="dxa"/>
            <w:right w:w="0" w:type="dxa"/>
          </w:tblCellMar>
        </w:tblPrEx>
        <w:trPr>
          <w:trHeight w:val="415" w:hRule="exact"/>
        </w:trPr>
        <w:tc>
          <w:tcPr>
            <w:tcW w:w="269" w:type="pct"/>
            <w:tcBorders>
              <w:top w:val="single" w:color="auto" w:sz="6" w:space="0"/>
              <w:left w:val="double" w:color="auto" w:sz="4" w:space="0"/>
              <w:bottom w:val="single" w:color="auto" w:sz="6" w:space="0"/>
              <w:right w:val="single" w:color="auto" w:sz="6" w:space="0"/>
            </w:tcBorders>
            <w:vAlign w:val="center"/>
          </w:tcPr>
          <w:p w14:paraId="5500F758">
            <w:pPr>
              <w:jc w:val="center"/>
              <w:rPr>
                <w:rFonts w:ascii="宋体" w:hAnsi="宋体" w:cs="宋体"/>
                <w:color w:val="auto"/>
              </w:rPr>
            </w:pPr>
            <w:r>
              <w:rPr>
                <w:rFonts w:hint="eastAsia" w:ascii="宋体" w:hAnsi="宋体" w:cs="宋体"/>
                <w:color w:val="auto"/>
              </w:rPr>
              <w:t>5</w:t>
            </w:r>
          </w:p>
        </w:tc>
        <w:tc>
          <w:tcPr>
            <w:tcW w:w="574" w:type="pct"/>
            <w:tcBorders>
              <w:top w:val="single" w:color="auto" w:sz="6" w:space="0"/>
              <w:left w:val="single" w:color="auto" w:sz="6" w:space="0"/>
              <w:bottom w:val="single" w:color="auto" w:sz="6" w:space="0"/>
              <w:right w:val="single" w:color="auto" w:sz="6" w:space="0"/>
            </w:tcBorders>
            <w:vAlign w:val="center"/>
          </w:tcPr>
          <w:p w14:paraId="361F9189">
            <w:pPr>
              <w:autoSpaceDE w:val="0"/>
              <w:autoSpaceDN w:val="0"/>
              <w:adjustRightInd w:val="0"/>
              <w:snapToGrid w:val="0"/>
              <w:spacing w:line="360" w:lineRule="auto"/>
              <w:jc w:val="center"/>
              <w:rPr>
                <w:rFonts w:ascii="宋体" w:hAnsi="宋体"/>
                <w:color w:val="auto"/>
                <w:kern w:val="0"/>
                <w:szCs w:val="21"/>
              </w:rPr>
            </w:pPr>
          </w:p>
        </w:tc>
        <w:tc>
          <w:tcPr>
            <w:tcW w:w="1036" w:type="pct"/>
            <w:tcBorders>
              <w:top w:val="single" w:color="auto" w:sz="6" w:space="0"/>
              <w:left w:val="single" w:color="auto" w:sz="6" w:space="0"/>
              <w:bottom w:val="single" w:color="auto" w:sz="6" w:space="0"/>
              <w:right w:val="single" w:color="auto" w:sz="4" w:space="0"/>
            </w:tcBorders>
          </w:tcPr>
          <w:p w14:paraId="4C53F75A">
            <w:pPr>
              <w:autoSpaceDE w:val="0"/>
              <w:autoSpaceDN w:val="0"/>
              <w:adjustRightInd w:val="0"/>
              <w:snapToGrid w:val="0"/>
              <w:spacing w:line="360" w:lineRule="auto"/>
              <w:jc w:val="left"/>
              <w:rPr>
                <w:rFonts w:ascii="宋体" w:hAnsi="宋体"/>
                <w:color w:val="auto"/>
                <w:kern w:val="0"/>
                <w:szCs w:val="21"/>
              </w:rPr>
            </w:pPr>
          </w:p>
        </w:tc>
        <w:tc>
          <w:tcPr>
            <w:tcW w:w="642" w:type="pct"/>
            <w:tcBorders>
              <w:top w:val="single" w:color="auto" w:sz="6" w:space="0"/>
              <w:left w:val="single" w:color="auto" w:sz="4" w:space="0"/>
              <w:bottom w:val="single" w:color="auto" w:sz="6" w:space="0"/>
              <w:right w:val="single" w:color="auto" w:sz="6" w:space="0"/>
            </w:tcBorders>
          </w:tcPr>
          <w:p w14:paraId="094252DC">
            <w:pPr>
              <w:autoSpaceDE w:val="0"/>
              <w:autoSpaceDN w:val="0"/>
              <w:adjustRightInd w:val="0"/>
              <w:snapToGrid w:val="0"/>
              <w:spacing w:line="360" w:lineRule="auto"/>
              <w:jc w:val="left"/>
              <w:rPr>
                <w:rFonts w:ascii="宋体" w:hAnsi="宋体"/>
                <w:color w:val="auto"/>
                <w:kern w:val="0"/>
                <w:szCs w:val="21"/>
              </w:rPr>
            </w:pPr>
          </w:p>
        </w:tc>
        <w:tc>
          <w:tcPr>
            <w:tcW w:w="473" w:type="pct"/>
            <w:tcBorders>
              <w:top w:val="single" w:color="auto" w:sz="6" w:space="0"/>
              <w:left w:val="single" w:color="auto" w:sz="6" w:space="0"/>
              <w:bottom w:val="single" w:color="auto" w:sz="6" w:space="0"/>
              <w:right w:val="single" w:color="auto" w:sz="4" w:space="0"/>
            </w:tcBorders>
          </w:tcPr>
          <w:p w14:paraId="420E0540">
            <w:pPr>
              <w:autoSpaceDE w:val="0"/>
              <w:autoSpaceDN w:val="0"/>
              <w:adjustRightInd w:val="0"/>
              <w:snapToGrid w:val="0"/>
              <w:spacing w:line="360" w:lineRule="auto"/>
              <w:jc w:val="left"/>
              <w:rPr>
                <w:rFonts w:ascii="宋体" w:hAnsi="宋体"/>
                <w:color w:val="auto"/>
                <w:kern w:val="0"/>
                <w:szCs w:val="21"/>
              </w:rPr>
            </w:pPr>
          </w:p>
        </w:tc>
        <w:tc>
          <w:tcPr>
            <w:tcW w:w="447" w:type="pct"/>
            <w:tcBorders>
              <w:top w:val="single" w:color="auto" w:sz="6" w:space="0"/>
              <w:left w:val="single" w:color="auto" w:sz="4" w:space="0"/>
              <w:bottom w:val="single" w:color="auto" w:sz="6" w:space="0"/>
              <w:right w:val="single" w:color="auto" w:sz="4" w:space="0"/>
            </w:tcBorders>
          </w:tcPr>
          <w:p w14:paraId="36BBFE7A">
            <w:pPr>
              <w:autoSpaceDE w:val="0"/>
              <w:autoSpaceDN w:val="0"/>
              <w:adjustRightInd w:val="0"/>
              <w:snapToGrid w:val="0"/>
              <w:spacing w:line="360" w:lineRule="auto"/>
              <w:jc w:val="left"/>
              <w:rPr>
                <w:rFonts w:ascii="宋体" w:hAnsi="宋体"/>
                <w:color w:val="auto"/>
                <w:kern w:val="0"/>
                <w:szCs w:val="21"/>
              </w:rPr>
            </w:pPr>
          </w:p>
        </w:tc>
        <w:tc>
          <w:tcPr>
            <w:tcW w:w="533" w:type="pct"/>
            <w:tcBorders>
              <w:top w:val="single" w:color="auto" w:sz="6" w:space="0"/>
              <w:left w:val="single" w:color="auto" w:sz="4" w:space="0"/>
              <w:bottom w:val="single" w:color="auto" w:sz="6" w:space="0"/>
              <w:right w:val="single" w:color="auto" w:sz="6" w:space="0"/>
            </w:tcBorders>
          </w:tcPr>
          <w:p w14:paraId="1FB7C53A">
            <w:pPr>
              <w:autoSpaceDE w:val="0"/>
              <w:autoSpaceDN w:val="0"/>
              <w:adjustRightInd w:val="0"/>
              <w:snapToGrid w:val="0"/>
              <w:spacing w:line="360" w:lineRule="auto"/>
              <w:jc w:val="left"/>
              <w:rPr>
                <w:rFonts w:ascii="宋体" w:hAnsi="宋体"/>
                <w:color w:val="auto"/>
                <w:kern w:val="0"/>
                <w:szCs w:val="21"/>
              </w:rPr>
            </w:pPr>
          </w:p>
        </w:tc>
        <w:tc>
          <w:tcPr>
            <w:tcW w:w="619" w:type="pct"/>
            <w:tcBorders>
              <w:top w:val="single" w:color="auto" w:sz="6" w:space="0"/>
              <w:left w:val="single" w:color="auto" w:sz="6" w:space="0"/>
              <w:bottom w:val="single" w:color="auto" w:sz="6" w:space="0"/>
              <w:right w:val="single" w:color="auto" w:sz="6" w:space="0"/>
            </w:tcBorders>
          </w:tcPr>
          <w:p w14:paraId="4AEAEDB5">
            <w:pPr>
              <w:autoSpaceDE w:val="0"/>
              <w:autoSpaceDN w:val="0"/>
              <w:adjustRightInd w:val="0"/>
              <w:snapToGrid w:val="0"/>
              <w:spacing w:line="360" w:lineRule="auto"/>
              <w:jc w:val="left"/>
              <w:rPr>
                <w:rFonts w:ascii="宋体" w:hAnsi="宋体"/>
                <w:color w:val="auto"/>
                <w:kern w:val="0"/>
                <w:szCs w:val="21"/>
              </w:rPr>
            </w:pPr>
          </w:p>
        </w:tc>
        <w:tc>
          <w:tcPr>
            <w:tcW w:w="404" w:type="pct"/>
            <w:tcBorders>
              <w:top w:val="single" w:color="auto" w:sz="6" w:space="0"/>
              <w:left w:val="single" w:color="auto" w:sz="6" w:space="0"/>
              <w:bottom w:val="single" w:color="auto" w:sz="6" w:space="0"/>
              <w:right w:val="double" w:color="auto" w:sz="4" w:space="0"/>
            </w:tcBorders>
          </w:tcPr>
          <w:p w14:paraId="06058469">
            <w:pPr>
              <w:autoSpaceDE w:val="0"/>
              <w:autoSpaceDN w:val="0"/>
              <w:adjustRightInd w:val="0"/>
              <w:snapToGrid w:val="0"/>
              <w:spacing w:line="360" w:lineRule="auto"/>
              <w:jc w:val="left"/>
              <w:rPr>
                <w:rFonts w:ascii="宋体" w:hAnsi="宋体"/>
                <w:color w:val="auto"/>
                <w:kern w:val="0"/>
                <w:szCs w:val="21"/>
              </w:rPr>
            </w:pPr>
          </w:p>
        </w:tc>
      </w:tr>
      <w:tr w14:paraId="721DB721">
        <w:tblPrEx>
          <w:tblCellMar>
            <w:top w:w="0" w:type="dxa"/>
            <w:left w:w="0" w:type="dxa"/>
            <w:bottom w:w="0" w:type="dxa"/>
            <w:right w:w="0" w:type="dxa"/>
          </w:tblCellMar>
        </w:tblPrEx>
        <w:trPr>
          <w:trHeight w:val="415" w:hRule="exact"/>
        </w:trPr>
        <w:tc>
          <w:tcPr>
            <w:tcW w:w="269" w:type="pct"/>
            <w:tcBorders>
              <w:top w:val="single" w:color="auto" w:sz="6" w:space="0"/>
              <w:left w:val="double" w:color="auto" w:sz="4" w:space="0"/>
              <w:bottom w:val="single" w:color="auto" w:sz="6" w:space="0"/>
              <w:right w:val="single" w:color="auto" w:sz="6" w:space="0"/>
            </w:tcBorders>
            <w:vAlign w:val="center"/>
          </w:tcPr>
          <w:p w14:paraId="3C4CD5DF">
            <w:pPr>
              <w:jc w:val="center"/>
              <w:rPr>
                <w:color w:val="auto"/>
              </w:rPr>
            </w:pPr>
            <w:r>
              <w:rPr>
                <w:color w:val="auto"/>
              </w:rPr>
              <w:t>…</w:t>
            </w:r>
          </w:p>
        </w:tc>
        <w:tc>
          <w:tcPr>
            <w:tcW w:w="574" w:type="pct"/>
            <w:tcBorders>
              <w:top w:val="single" w:color="auto" w:sz="6" w:space="0"/>
              <w:left w:val="single" w:color="auto" w:sz="6" w:space="0"/>
              <w:bottom w:val="single" w:color="auto" w:sz="6" w:space="0"/>
              <w:right w:val="single" w:color="auto" w:sz="6" w:space="0"/>
            </w:tcBorders>
          </w:tcPr>
          <w:p w14:paraId="23974A68">
            <w:pPr>
              <w:autoSpaceDE w:val="0"/>
              <w:autoSpaceDN w:val="0"/>
              <w:adjustRightInd w:val="0"/>
              <w:snapToGrid w:val="0"/>
              <w:spacing w:line="360" w:lineRule="auto"/>
              <w:ind w:left="527" w:right="507"/>
              <w:jc w:val="center"/>
              <w:rPr>
                <w:rFonts w:ascii="宋体" w:hAnsi="宋体"/>
                <w:color w:val="auto"/>
                <w:kern w:val="0"/>
                <w:szCs w:val="21"/>
              </w:rPr>
            </w:pPr>
          </w:p>
        </w:tc>
        <w:tc>
          <w:tcPr>
            <w:tcW w:w="1036" w:type="pct"/>
            <w:tcBorders>
              <w:top w:val="single" w:color="auto" w:sz="6" w:space="0"/>
              <w:left w:val="single" w:color="auto" w:sz="6" w:space="0"/>
              <w:bottom w:val="single" w:color="auto" w:sz="6" w:space="0"/>
              <w:right w:val="single" w:color="auto" w:sz="4" w:space="0"/>
            </w:tcBorders>
          </w:tcPr>
          <w:p w14:paraId="7F172659">
            <w:pPr>
              <w:autoSpaceDE w:val="0"/>
              <w:autoSpaceDN w:val="0"/>
              <w:adjustRightInd w:val="0"/>
              <w:snapToGrid w:val="0"/>
              <w:spacing w:line="360" w:lineRule="auto"/>
              <w:jc w:val="left"/>
              <w:rPr>
                <w:rFonts w:ascii="宋体" w:hAnsi="宋体"/>
                <w:color w:val="auto"/>
                <w:kern w:val="0"/>
                <w:szCs w:val="21"/>
              </w:rPr>
            </w:pPr>
          </w:p>
        </w:tc>
        <w:tc>
          <w:tcPr>
            <w:tcW w:w="642" w:type="pct"/>
            <w:tcBorders>
              <w:top w:val="single" w:color="auto" w:sz="6" w:space="0"/>
              <w:left w:val="single" w:color="auto" w:sz="4" w:space="0"/>
              <w:bottom w:val="single" w:color="auto" w:sz="6" w:space="0"/>
              <w:right w:val="single" w:color="auto" w:sz="6" w:space="0"/>
            </w:tcBorders>
          </w:tcPr>
          <w:p w14:paraId="0F073FCA">
            <w:pPr>
              <w:autoSpaceDE w:val="0"/>
              <w:autoSpaceDN w:val="0"/>
              <w:adjustRightInd w:val="0"/>
              <w:snapToGrid w:val="0"/>
              <w:spacing w:line="360" w:lineRule="auto"/>
              <w:jc w:val="left"/>
              <w:rPr>
                <w:rFonts w:ascii="宋体" w:hAnsi="宋体"/>
                <w:color w:val="auto"/>
                <w:kern w:val="0"/>
                <w:szCs w:val="21"/>
              </w:rPr>
            </w:pPr>
          </w:p>
        </w:tc>
        <w:tc>
          <w:tcPr>
            <w:tcW w:w="473" w:type="pct"/>
            <w:tcBorders>
              <w:top w:val="single" w:color="auto" w:sz="6" w:space="0"/>
              <w:left w:val="single" w:color="auto" w:sz="6" w:space="0"/>
              <w:bottom w:val="single" w:color="auto" w:sz="6" w:space="0"/>
              <w:right w:val="single" w:color="auto" w:sz="4" w:space="0"/>
            </w:tcBorders>
          </w:tcPr>
          <w:p w14:paraId="28F4CB47">
            <w:pPr>
              <w:autoSpaceDE w:val="0"/>
              <w:autoSpaceDN w:val="0"/>
              <w:adjustRightInd w:val="0"/>
              <w:snapToGrid w:val="0"/>
              <w:spacing w:line="360" w:lineRule="auto"/>
              <w:jc w:val="left"/>
              <w:rPr>
                <w:rFonts w:ascii="宋体" w:hAnsi="宋体"/>
                <w:color w:val="auto"/>
                <w:kern w:val="0"/>
                <w:szCs w:val="21"/>
              </w:rPr>
            </w:pPr>
          </w:p>
        </w:tc>
        <w:tc>
          <w:tcPr>
            <w:tcW w:w="447" w:type="pct"/>
            <w:tcBorders>
              <w:top w:val="single" w:color="auto" w:sz="6" w:space="0"/>
              <w:left w:val="single" w:color="auto" w:sz="4" w:space="0"/>
              <w:bottom w:val="single" w:color="auto" w:sz="6" w:space="0"/>
              <w:right w:val="single" w:color="auto" w:sz="4" w:space="0"/>
            </w:tcBorders>
          </w:tcPr>
          <w:p w14:paraId="5EE66C44">
            <w:pPr>
              <w:autoSpaceDE w:val="0"/>
              <w:autoSpaceDN w:val="0"/>
              <w:adjustRightInd w:val="0"/>
              <w:snapToGrid w:val="0"/>
              <w:spacing w:line="360" w:lineRule="auto"/>
              <w:jc w:val="left"/>
              <w:rPr>
                <w:rFonts w:ascii="宋体" w:hAnsi="宋体"/>
                <w:color w:val="auto"/>
                <w:kern w:val="0"/>
                <w:szCs w:val="21"/>
              </w:rPr>
            </w:pPr>
          </w:p>
        </w:tc>
        <w:tc>
          <w:tcPr>
            <w:tcW w:w="533" w:type="pct"/>
            <w:tcBorders>
              <w:top w:val="single" w:color="auto" w:sz="6" w:space="0"/>
              <w:left w:val="single" w:color="auto" w:sz="4" w:space="0"/>
              <w:bottom w:val="single" w:color="auto" w:sz="6" w:space="0"/>
              <w:right w:val="single" w:color="auto" w:sz="6" w:space="0"/>
            </w:tcBorders>
          </w:tcPr>
          <w:p w14:paraId="7FA2004D">
            <w:pPr>
              <w:autoSpaceDE w:val="0"/>
              <w:autoSpaceDN w:val="0"/>
              <w:adjustRightInd w:val="0"/>
              <w:snapToGrid w:val="0"/>
              <w:spacing w:line="360" w:lineRule="auto"/>
              <w:jc w:val="left"/>
              <w:rPr>
                <w:rFonts w:ascii="宋体" w:hAnsi="宋体"/>
                <w:color w:val="auto"/>
                <w:kern w:val="0"/>
                <w:szCs w:val="21"/>
              </w:rPr>
            </w:pPr>
          </w:p>
        </w:tc>
        <w:tc>
          <w:tcPr>
            <w:tcW w:w="619" w:type="pct"/>
            <w:tcBorders>
              <w:top w:val="single" w:color="auto" w:sz="6" w:space="0"/>
              <w:left w:val="single" w:color="auto" w:sz="6" w:space="0"/>
              <w:bottom w:val="single" w:color="auto" w:sz="6" w:space="0"/>
              <w:right w:val="single" w:color="auto" w:sz="6" w:space="0"/>
            </w:tcBorders>
          </w:tcPr>
          <w:p w14:paraId="48B644FB">
            <w:pPr>
              <w:autoSpaceDE w:val="0"/>
              <w:autoSpaceDN w:val="0"/>
              <w:adjustRightInd w:val="0"/>
              <w:snapToGrid w:val="0"/>
              <w:spacing w:line="360" w:lineRule="auto"/>
              <w:jc w:val="left"/>
              <w:rPr>
                <w:rFonts w:ascii="宋体" w:hAnsi="宋体"/>
                <w:color w:val="auto"/>
                <w:kern w:val="0"/>
                <w:szCs w:val="21"/>
              </w:rPr>
            </w:pPr>
          </w:p>
        </w:tc>
        <w:tc>
          <w:tcPr>
            <w:tcW w:w="404" w:type="pct"/>
            <w:tcBorders>
              <w:top w:val="single" w:color="auto" w:sz="6" w:space="0"/>
              <w:left w:val="single" w:color="auto" w:sz="6" w:space="0"/>
              <w:bottom w:val="single" w:color="auto" w:sz="6" w:space="0"/>
              <w:right w:val="double" w:color="auto" w:sz="4" w:space="0"/>
            </w:tcBorders>
          </w:tcPr>
          <w:p w14:paraId="0C9F6232">
            <w:pPr>
              <w:autoSpaceDE w:val="0"/>
              <w:autoSpaceDN w:val="0"/>
              <w:adjustRightInd w:val="0"/>
              <w:snapToGrid w:val="0"/>
              <w:spacing w:line="360" w:lineRule="auto"/>
              <w:jc w:val="left"/>
              <w:rPr>
                <w:rFonts w:ascii="宋体" w:hAnsi="宋体"/>
                <w:color w:val="auto"/>
                <w:kern w:val="0"/>
                <w:szCs w:val="21"/>
              </w:rPr>
            </w:pPr>
          </w:p>
        </w:tc>
      </w:tr>
      <w:tr w14:paraId="26D9591F">
        <w:tblPrEx>
          <w:tblCellMar>
            <w:top w:w="0" w:type="dxa"/>
            <w:left w:w="0" w:type="dxa"/>
            <w:bottom w:w="0" w:type="dxa"/>
            <w:right w:w="0" w:type="dxa"/>
          </w:tblCellMar>
        </w:tblPrEx>
        <w:trPr>
          <w:trHeight w:val="415" w:hRule="exact"/>
        </w:trPr>
        <w:tc>
          <w:tcPr>
            <w:tcW w:w="3976" w:type="pct"/>
            <w:gridSpan w:val="7"/>
            <w:tcBorders>
              <w:top w:val="single" w:color="auto" w:sz="6" w:space="0"/>
              <w:left w:val="double" w:color="auto" w:sz="4" w:space="0"/>
              <w:bottom w:val="double" w:color="auto" w:sz="4" w:space="0"/>
              <w:right w:val="single" w:color="auto" w:sz="6" w:space="0"/>
            </w:tcBorders>
            <w:vAlign w:val="center"/>
          </w:tcPr>
          <w:p w14:paraId="4F832F65">
            <w:pPr>
              <w:autoSpaceDE w:val="0"/>
              <w:autoSpaceDN w:val="0"/>
              <w:adjustRightInd w:val="0"/>
              <w:snapToGrid w:val="0"/>
              <w:spacing w:line="360" w:lineRule="auto"/>
              <w:jc w:val="center"/>
              <w:rPr>
                <w:rFonts w:ascii="宋体" w:hAnsi="宋体"/>
                <w:color w:val="auto"/>
                <w:kern w:val="0"/>
                <w:szCs w:val="21"/>
              </w:rPr>
            </w:pPr>
            <w:r>
              <w:rPr>
                <w:rFonts w:hint="eastAsia" w:ascii="宋体" w:hAnsi="宋体" w:cs="微软雅黑"/>
                <w:color w:val="auto"/>
                <w:kern w:val="0"/>
                <w:position w:val="-1"/>
                <w:szCs w:val="21"/>
                <w:lang w:eastAsia="zh-CN"/>
              </w:rPr>
              <w:t>总计</w:t>
            </w:r>
            <w:r>
              <w:rPr>
                <w:rFonts w:hint="eastAsia" w:ascii="宋体" w:hAnsi="宋体" w:cs="微软雅黑"/>
                <w:color w:val="auto"/>
                <w:kern w:val="0"/>
                <w:position w:val="-1"/>
                <w:szCs w:val="21"/>
              </w:rPr>
              <w:t>报价（元）：</w:t>
            </w:r>
          </w:p>
        </w:tc>
        <w:tc>
          <w:tcPr>
            <w:tcW w:w="619" w:type="pct"/>
            <w:tcBorders>
              <w:top w:val="single" w:color="auto" w:sz="6" w:space="0"/>
              <w:left w:val="single" w:color="auto" w:sz="6" w:space="0"/>
              <w:bottom w:val="double" w:color="auto" w:sz="4" w:space="0"/>
              <w:right w:val="single" w:color="auto" w:sz="6" w:space="0"/>
            </w:tcBorders>
          </w:tcPr>
          <w:p w14:paraId="2FE06B8C">
            <w:pPr>
              <w:autoSpaceDE w:val="0"/>
              <w:autoSpaceDN w:val="0"/>
              <w:adjustRightInd w:val="0"/>
              <w:snapToGrid w:val="0"/>
              <w:spacing w:line="360" w:lineRule="auto"/>
              <w:jc w:val="left"/>
              <w:rPr>
                <w:rFonts w:ascii="宋体" w:hAnsi="宋体"/>
                <w:color w:val="auto"/>
                <w:kern w:val="0"/>
                <w:szCs w:val="21"/>
              </w:rPr>
            </w:pPr>
          </w:p>
        </w:tc>
        <w:tc>
          <w:tcPr>
            <w:tcW w:w="404" w:type="pct"/>
            <w:tcBorders>
              <w:top w:val="single" w:color="auto" w:sz="6" w:space="0"/>
              <w:left w:val="single" w:color="auto" w:sz="6" w:space="0"/>
              <w:bottom w:val="double" w:color="auto" w:sz="4" w:space="0"/>
              <w:right w:val="double" w:color="auto" w:sz="4" w:space="0"/>
            </w:tcBorders>
          </w:tcPr>
          <w:p w14:paraId="79AC2B07">
            <w:pPr>
              <w:autoSpaceDE w:val="0"/>
              <w:autoSpaceDN w:val="0"/>
              <w:adjustRightInd w:val="0"/>
              <w:snapToGrid w:val="0"/>
              <w:spacing w:line="360" w:lineRule="auto"/>
              <w:jc w:val="left"/>
              <w:rPr>
                <w:rFonts w:ascii="宋体" w:hAnsi="宋体"/>
                <w:color w:val="auto"/>
                <w:kern w:val="0"/>
                <w:szCs w:val="21"/>
              </w:rPr>
            </w:pPr>
          </w:p>
        </w:tc>
      </w:tr>
    </w:tbl>
    <w:p w14:paraId="36C66F4F">
      <w:pPr>
        <w:adjustRightInd w:val="0"/>
        <w:snapToGrid w:val="0"/>
        <w:spacing w:line="360" w:lineRule="auto"/>
        <w:rPr>
          <w:rFonts w:ascii="宋体" w:hAnsi="宋体"/>
          <w:color w:val="auto"/>
          <w:szCs w:val="21"/>
        </w:rPr>
      </w:pPr>
      <w:r>
        <w:rPr>
          <w:rFonts w:hint="eastAsia" w:ascii="宋体" w:hAnsi="宋体"/>
          <w:color w:val="auto"/>
          <w:szCs w:val="21"/>
        </w:rPr>
        <w:t>备注：（1）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报价表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。供应商如果不提供分项报价明细表，其</w:t>
      </w:r>
      <w:r>
        <w:rPr>
          <w:rFonts w:hint="eastAsia" w:ascii="宋体" w:hAnsi="宋体"/>
          <w:b/>
          <w:color w:val="auto"/>
          <w:szCs w:val="21"/>
        </w:rPr>
        <w:t>响应无效</w:t>
      </w:r>
      <w:r>
        <w:rPr>
          <w:rFonts w:hint="eastAsia" w:ascii="宋体" w:hAnsi="宋体"/>
          <w:color w:val="auto"/>
          <w:szCs w:val="21"/>
        </w:rPr>
        <w:t>。</w:t>
      </w:r>
    </w:p>
    <w:p w14:paraId="477220E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（2）不得填写“免费”或“赠与”，也不得进行“零”报价，否则</w:t>
      </w:r>
      <w:r>
        <w:rPr>
          <w:rFonts w:hint="eastAsia" w:ascii="宋体" w:hAnsi="宋体"/>
          <w:b/>
          <w:color w:val="auto"/>
          <w:szCs w:val="21"/>
        </w:rPr>
        <w:t>响应无效</w:t>
      </w:r>
      <w:r>
        <w:rPr>
          <w:rFonts w:hint="eastAsia" w:ascii="宋体" w:hAnsi="宋体"/>
          <w:color w:val="auto"/>
          <w:szCs w:val="21"/>
        </w:rPr>
        <w:t>。</w:t>
      </w:r>
    </w:p>
    <w:p w14:paraId="7A023DD7">
      <w:pPr>
        <w:adjustRightInd w:val="0"/>
        <w:snapToGrid w:val="0"/>
        <w:spacing w:line="360" w:lineRule="auto"/>
        <w:ind w:firstLine="422" w:firstLineChars="200"/>
        <w:rPr>
          <w:rFonts w:ascii="宋体" w:hAnsi="宋体"/>
          <w:b/>
          <w:color w:val="auto"/>
          <w:szCs w:val="21"/>
        </w:rPr>
      </w:pPr>
    </w:p>
    <w:p w14:paraId="5E7DDFA9">
      <w:pPr>
        <w:adjustRightInd w:val="0"/>
        <w:snapToGrid w:val="0"/>
        <w:spacing w:line="360" w:lineRule="auto"/>
        <w:rPr>
          <w:rFonts w:ascii="宋体" w:hAnsi="宋体"/>
          <w:color w:val="auto"/>
          <w:szCs w:val="21"/>
        </w:rPr>
      </w:pPr>
    </w:p>
    <w:p w14:paraId="0BF60A94">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500F0716">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108B5FE8">
      <w:pPr>
        <w:adjustRightInd w:val="0"/>
        <w:snapToGrid w:val="0"/>
        <w:spacing w:line="360" w:lineRule="auto"/>
        <w:rPr>
          <w:rFonts w:ascii="黑体" w:hAnsi="黑体" w:eastAsia="黑体"/>
          <w:bCs/>
          <w:color w:val="auto"/>
          <w:sz w:val="30"/>
          <w:szCs w:val="30"/>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A8FABD6">
      <w:pPr>
        <w:adjustRightInd w:val="0"/>
        <w:snapToGrid w:val="0"/>
        <w:spacing w:line="360" w:lineRule="auto"/>
        <w:rPr>
          <w:rFonts w:ascii="黑体" w:hAnsi="黑体" w:eastAsia="黑体"/>
          <w:bCs/>
          <w:color w:val="auto"/>
          <w:sz w:val="30"/>
          <w:szCs w:val="30"/>
        </w:rPr>
      </w:pPr>
    </w:p>
    <w:p w14:paraId="051E7F11">
      <w:pPr>
        <w:jc w:val="both"/>
        <w:rPr>
          <w:rFonts w:asciiTheme="minorEastAsia" w:hAnsiTheme="minorEastAsia" w:eastAsiaTheme="minorEastAsia"/>
          <w:color w:val="auto"/>
          <w:szCs w:val="21"/>
        </w:rPr>
      </w:pPr>
    </w:p>
    <w:p w14:paraId="1ED2C33A">
      <w:pPr>
        <w:jc w:val="center"/>
        <w:rPr>
          <w:rFonts w:ascii="黑体" w:hAnsi="黑体" w:eastAsia="黑体"/>
          <w:color w:val="auto"/>
          <w:sz w:val="28"/>
          <w:szCs w:val="28"/>
        </w:rPr>
      </w:pPr>
    </w:p>
    <w:p w14:paraId="1F6B76A9">
      <w:pPr>
        <w:widowControl/>
        <w:jc w:val="left"/>
        <w:rPr>
          <w:color w:val="auto"/>
        </w:rPr>
      </w:pPr>
      <w:r>
        <w:rPr>
          <w:color w:val="auto"/>
        </w:rPr>
        <w:br w:type="page"/>
      </w:r>
    </w:p>
    <w:p w14:paraId="32F4CB9B">
      <w:pPr>
        <w:pStyle w:val="3"/>
        <w:jc w:val="center"/>
        <w:rPr>
          <w:rFonts w:ascii="黑体" w:hAnsi="黑体" w:eastAsia="黑体"/>
          <w:color w:val="auto"/>
          <w:sz w:val="28"/>
          <w:szCs w:val="28"/>
        </w:rPr>
      </w:pPr>
      <w:bookmarkStart w:id="62" w:name="_Toc28142"/>
      <w:r>
        <w:rPr>
          <w:rFonts w:hint="eastAsia" w:ascii="黑体" w:hAnsi="黑体" w:eastAsia="黑体"/>
          <w:color w:val="auto"/>
          <w:sz w:val="28"/>
          <w:szCs w:val="28"/>
        </w:rPr>
        <w:t>六、采购需求的响应</w:t>
      </w:r>
      <w:bookmarkEnd w:id="60"/>
      <w:bookmarkEnd w:id="62"/>
    </w:p>
    <w:p w14:paraId="563C34EE">
      <w:pPr>
        <w:adjustRightInd w:val="0"/>
        <w:snapToGrid w:val="0"/>
        <w:spacing w:line="360" w:lineRule="auto"/>
        <w:rPr>
          <w:rFonts w:ascii="宋体" w:hAnsi="宋体"/>
          <w:b/>
          <w:color w:val="auto"/>
          <w:szCs w:val="21"/>
        </w:rPr>
      </w:pPr>
    </w:p>
    <w:p w14:paraId="0E7A38EE">
      <w:pPr>
        <w:adjustRightInd w:val="0"/>
        <w:snapToGrid w:val="0"/>
        <w:spacing w:line="360" w:lineRule="auto"/>
        <w:rPr>
          <w:b/>
          <w:color w:val="auto"/>
        </w:rPr>
      </w:pPr>
      <w:r>
        <w:rPr>
          <w:rFonts w:hint="eastAsia" w:ascii="宋体" w:hAnsi="宋体"/>
          <w:b/>
          <w:color w:val="auto"/>
          <w:szCs w:val="21"/>
        </w:rPr>
        <w:t>编制说明</w:t>
      </w:r>
      <w:r>
        <w:rPr>
          <w:rFonts w:hint="eastAsia" w:ascii="宋体" w:hAnsi="宋体"/>
          <w:bCs/>
          <w:color w:val="auto"/>
          <w:szCs w:val="21"/>
        </w:rPr>
        <w:t>：</w:t>
      </w:r>
      <w:r>
        <w:rPr>
          <w:rFonts w:hint="eastAsia"/>
          <w:b/>
          <w:color w:val="auto"/>
        </w:rPr>
        <w:t>供应商应按谈判文件第三章采购需求自行编写采购需求响应文件（其内容可包括，且不限于详细的技术指标和性能、售后服务和技术服务的组织及保证措施等，格式自拟）。</w:t>
      </w:r>
    </w:p>
    <w:p w14:paraId="36D540D4">
      <w:pPr>
        <w:bidi w:val="0"/>
        <w:rPr>
          <w:color w:val="auto"/>
        </w:rPr>
      </w:pPr>
    </w:p>
    <w:p w14:paraId="3903D08C">
      <w:pPr>
        <w:bidi w:val="0"/>
        <w:rPr>
          <w:color w:val="auto"/>
        </w:rPr>
      </w:pPr>
    </w:p>
    <w:p w14:paraId="282EEB59">
      <w:pPr>
        <w:bidi w:val="0"/>
        <w:rPr>
          <w:color w:val="auto"/>
        </w:rPr>
      </w:pPr>
    </w:p>
    <w:p w14:paraId="78AC0F09">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040FB114">
      <w:pPr>
        <w:adjustRightInd w:val="0"/>
        <w:snapToGrid w:val="0"/>
        <w:spacing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4D2373F7">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307C2700">
      <w:pPr>
        <w:rPr>
          <w:color w:val="auto"/>
        </w:rPr>
      </w:pPr>
    </w:p>
    <w:p w14:paraId="48AB9207">
      <w:pPr>
        <w:rPr>
          <w:color w:val="auto"/>
        </w:rPr>
      </w:pPr>
    </w:p>
    <w:p w14:paraId="7696BCCB">
      <w:pPr>
        <w:adjustRightInd w:val="0"/>
        <w:snapToGrid w:val="0"/>
        <w:spacing w:line="360" w:lineRule="auto"/>
        <w:rPr>
          <w:rFonts w:ascii="宋体" w:hAnsi="宋体"/>
          <w:color w:val="auto"/>
          <w:szCs w:val="21"/>
        </w:rPr>
      </w:pPr>
    </w:p>
    <w:p w14:paraId="1D129C72">
      <w:pPr>
        <w:adjustRightInd w:val="0"/>
        <w:snapToGrid w:val="0"/>
        <w:spacing w:line="360" w:lineRule="auto"/>
        <w:rPr>
          <w:rFonts w:ascii="黑体" w:hAnsi="宋体" w:eastAsia="黑体"/>
          <w:color w:val="auto"/>
          <w:sz w:val="28"/>
          <w:szCs w:val="28"/>
        </w:rPr>
        <w:sectPr>
          <w:headerReference r:id="rId3" w:type="default"/>
          <w:footerReference r:id="rId4" w:type="default"/>
          <w:pgSz w:w="11906" w:h="16838"/>
          <w:pgMar w:top="1474" w:right="1474" w:bottom="1474" w:left="1588" w:header="851" w:footer="992" w:gutter="0"/>
          <w:pgNumType w:fmt="decimal"/>
          <w:cols w:space="720" w:num="1"/>
          <w:docGrid w:type="lines" w:linePitch="312" w:charSpace="0"/>
        </w:sectPr>
      </w:pPr>
    </w:p>
    <w:p w14:paraId="5A9F1F1C">
      <w:pPr>
        <w:pStyle w:val="3"/>
        <w:jc w:val="center"/>
        <w:rPr>
          <w:rFonts w:ascii="黑体" w:hAnsi="黑体" w:eastAsia="黑体"/>
          <w:color w:val="auto"/>
          <w:sz w:val="28"/>
          <w:szCs w:val="28"/>
        </w:rPr>
      </w:pPr>
      <w:bookmarkStart w:id="63" w:name="_Toc22201159"/>
      <w:bookmarkStart w:id="64" w:name="_Toc18487"/>
      <w:r>
        <w:rPr>
          <w:rFonts w:hint="eastAsia" w:ascii="黑体" w:hAnsi="黑体" w:eastAsia="黑体"/>
          <w:color w:val="auto"/>
          <w:sz w:val="28"/>
          <w:szCs w:val="28"/>
        </w:rPr>
        <w:t>七、合同条款偏离表</w:t>
      </w:r>
      <w:bookmarkEnd w:id="63"/>
      <w:bookmarkEnd w:id="64"/>
    </w:p>
    <w:p w14:paraId="57C025B6">
      <w:pPr>
        <w:adjustRightInd w:val="0"/>
        <w:snapToGrid w:val="0"/>
        <w:spacing w:before="156" w:beforeLines="50" w:line="360" w:lineRule="auto"/>
        <w:rPr>
          <w:rFonts w:ascii="宋体" w:hAnsi="宋体"/>
          <w:color w:val="auto"/>
          <w:szCs w:val="21"/>
          <w:u w:val="single"/>
        </w:rPr>
      </w:pPr>
      <w:r>
        <w:rPr>
          <w:rFonts w:hint="eastAsia" w:ascii="宋体" w:hAnsi="宋体"/>
          <w:color w:val="auto"/>
          <w:spacing w:val="28"/>
          <w:szCs w:val="21"/>
          <w:lang w:eastAsia="zh-CN"/>
        </w:rPr>
        <w:t>委托代理编号</w:t>
      </w: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 xml:space="preserve">           </w:t>
      </w:r>
    </w:p>
    <w:p w14:paraId="57DE9143">
      <w:pPr>
        <w:adjustRightInd w:val="0"/>
        <w:snapToGrid w:val="0"/>
        <w:spacing w:before="50" w:line="360" w:lineRule="auto"/>
        <w:rPr>
          <w:rFonts w:ascii="宋体" w:hAnsi="宋体"/>
          <w:color w:val="auto"/>
          <w:szCs w:val="21"/>
          <w:u w:val="single"/>
        </w:rPr>
      </w:pPr>
      <w:r>
        <w:rPr>
          <w:rFonts w:hint="eastAsia" w:ascii="宋体" w:hAnsi="宋体"/>
          <w:color w:val="auto"/>
          <w:szCs w:val="21"/>
        </w:rPr>
        <w:t>包           号：</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w:t>
      </w:r>
    </w:p>
    <w:tbl>
      <w:tblPr>
        <w:tblStyle w:val="44"/>
        <w:tblW w:w="499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585"/>
        <w:gridCol w:w="2377"/>
        <w:gridCol w:w="1957"/>
        <w:gridCol w:w="2053"/>
        <w:gridCol w:w="1924"/>
      </w:tblGrid>
      <w:tr w14:paraId="6C9F11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29" w:type="pct"/>
            <w:vAlign w:val="center"/>
          </w:tcPr>
          <w:p w14:paraId="21306E90">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1336" w:type="pct"/>
            <w:vAlign w:val="center"/>
          </w:tcPr>
          <w:p w14:paraId="24ED9C3A">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谈判文件章节</w:t>
            </w:r>
            <w:r>
              <w:rPr>
                <w:rFonts w:hint="eastAsia" w:ascii="宋体" w:hAnsi="宋体"/>
                <w:bCs/>
                <w:color w:val="auto"/>
                <w:szCs w:val="21"/>
              </w:rPr>
              <w:t>条</w:t>
            </w:r>
            <w:r>
              <w:rPr>
                <w:rFonts w:hint="eastAsia" w:ascii="宋体" w:hAnsi="宋体"/>
                <w:color w:val="auto"/>
                <w:szCs w:val="21"/>
              </w:rPr>
              <w:t>款号</w:t>
            </w:r>
          </w:p>
        </w:tc>
        <w:tc>
          <w:tcPr>
            <w:tcW w:w="1100" w:type="pct"/>
            <w:vAlign w:val="center"/>
          </w:tcPr>
          <w:p w14:paraId="2ACE3981">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谈判</w:t>
            </w:r>
            <w:r>
              <w:rPr>
                <w:rFonts w:hint="eastAsia"/>
                <w:color w:val="auto"/>
              </w:rPr>
              <w:t>文件要求</w:t>
            </w:r>
          </w:p>
        </w:tc>
        <w:tc>
          <w:tcPr>
            <w:tcW w:w="1154" w:type="pct"/>
            <w:tcBorders>
              <w:right w:val="single" w:color="auto" w:sz="4" w:space="0"/>
            </w:tcBorders>
            <w:vAlign w:val="center"/>
          </w:tcPr>
          <w:p w14:paraId="46126A04">
            <w:pPr>
              <w:adjustRightInd w:val="0"/>
              <w:snapToGrid w:val="0"/>
              <w:spacing w:before="50" w:line="360" w:lineRule="auto"/>
              <w:jc w:val="center"/>
              <w:rPr>
                <w:rFonts w:ascii="宋体" w:hAnsi="宋体"/>
                <w:color w:val="auto"/>
                <w:szCs w:val="21"/>
              </w:rPr>
            </w:pPr>
            <w:r>
              <w:rPr>
                <w:rFonts w:hint="eastAsia"/>
                <w:color w:val="auto"/>
              </w:rPr>
              <w:t>响应文件的应答</w:t>
            </w:r>
          </w:p>
        </w:tc>
        <w:tc>
          <w:tcPr>
            <w:tcW w:w="1077" w:type="pct"/>
            <w:tcBorders>
              <w:left w:val="single" w:color="auto" w:sz="4" w:space="0"/>
            </w:tcBorders>
            <w:vAlign w:val="center"/>
          </w:tcPr>
          <w:p w14:paraId="1C4A0BD1">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66949B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29" w:type="pct"/>
            <w:vAlign w:val="center"/>
          </w:tcPr>
          <w:p w14:paraId="153CED64">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3CF8DA03">
            <w:pPr>
              <w:adjustRightInd w:val="0"/>
              <w:snapToGrid w:val="0"/>
              <w:spacing w:before="50" w:line="360" w:lineRule="auto"/>
              <w:ind w:left="-88" w:leftChars="-42"/>
              <w:jc w:val="center"/>
              <w:rPr>
                <w:rFonts w:ascii="宋体" w:hAnsi="宋体"/>
                <w:color w:val="auto"/>
                <w:szCs w:val="21"/>
              </w:rPr>
            </w:pPr>
          </w:p>
        </w:tc>
        <w:tc>
          <w:tcPr>
            <w:tcW w:w="1100" w:type="pct"/>
          </w:tcPr>
          <w:p w14:paraId="005C9D07">
            <w:pPr>
              <w:adjustRightInd w:val="0"/>
              <w:snapToGrid w:val="0"/>
              <w:spacing w:before="50" w:line="360" w:lineRule="auto"/>
              <w:rPr>
                <w:color w:val="auto"/>
              </w:rPr>
            </w:pPr>
          </w:p>
        </w:tc>
        <w:tc>
          <w:tcPr>
            <w:tcW w:w="1154" w:type="pct"/>
            <w:tcBorders>
              <w:right w:val="single" w:color="auto" w:sz="4" w:space="0"/>
            </w:tcBorders>
          </w:tcPr>
          <w:p w14:paraId="4AB090E9">
            <w:pPr>
              <w:adjustRightInd w:val="0"/>
              <w:snapToGrid w:val="0"/>
              <w:spacing w:before="50" w:line="360" w:lineRule="auto"/>
              <w:rPr>
                <w:color w:val="auto"/>
              </w:rPr>
            </w:pPr>
          </w:p>
        </w:tc>
        <w:tc>
          <w:tcPr>
            <w:tcW w:w="1077" w:type="pct"/>
            <w:tcBorders>
              <w:left w:val="single" w:color="auto" w:sz="4" w:space="0"/>
            </w:tcBorders>
          </w:tcPr>
          <w:p w14:paraId="70D6FE20">
            <w:pPr>
              <w:adjustRightInd w:val="0"/>
              <w:snapToGrid w:val="0"/>
              <w:spacing w:before="50" w:line="360" w:lineRule="auto"/>
              <w:ind w:left="-88" w:leftChars="-42"/>
              <w:jc w:val="center"/>
              <w:rPr>
                <w:rFonts w:ascii="宋体" w:hAnsi="宋体"/>
                <w:color w:val="auto"/>
                <w:szCs w:val="21"/>
              </w:rPr>
            </w:pPr>
          </w:p>
        </w:tc>
      </w:tr>
      <w:tr w14:paraId="4A7A9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29" w:type="pct"/>
            <w:vAlign w:val="center"/>
          </w:tcPr>
          <w:p w14:paraId="1BCEAFD7">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422CFDCE">
            <w:pPr>
              <w:adjustRightInd w:val="0"/>
              <w:snapToGrid w:val="0"/>
              <w:spacing w:before="50" w:line="360" w:lineRule="auto"/>
              <w:ind w:left="-88" w:leftChars="-42"/>
              <w:jc w:val="center"/>
              <w:rPr>
                <w:rFonts w:ascii="宋体" w:hAnsi="宋体"/>
                <w:color w:val="auto"/>
                <w:szCs w:val="21"/>
              </w:rPr>
            </w:pPr>
          </w:p>
        </w:tc>
        <w:tc>
          <w:tcPr>
            <w:tcW w:w="1100" w:type="pct"/>
            <w:vAlign w:val="center"/>
          </w:tcPr>
          <w:p w14:paraId="4F8653F3">
            <w:pPr>
              <w:adjustRightInd w:val="0"/>
              <w:snapToGrid w:val="0"/>
              <w:spacing w:before="50" w:line="360" w:lineRule="auto"/>
              <w:ind w:left="-88" w:leftChars="-42"/>
              <w:jc w:val="center"/>
              <w:rPr>
                <w:rFonts w:ascii="宋体" w:hAnsi="宋体"/>
                <w:color w:val="auto"/>
                <w:szCs w:val="21"/>
              </w:rPr>
            </w:pPr>
          </w:p>
        </w:tc>
        <w:tc>
          <w:tcPr>
            <w:tcW w:w="1154" w:type="pct"/>
            <w:tcBorders>
              <w:right w:val="single" w:color="auto" w:sz="4" w:space="0"/>
            </w:tcBorders>
            <w:vAlign w:val="center"/>
          </w:tcPr>
          <w:p w14:paraId="515073BE">
            <w:pPr>
              <w:adjustRightInd w:val="0"/>
              <w:snapToGrid w:val="0"/>
              <w:spacing w:before="50" w:line="360" w:lineRule="auto"/>
              <w:ind w:left="-88" w:leftChars="-42"/>
              <w:jc w:val="center"/>
              <w:rPr>
                <w:rFonts w:ascii="宋体" w:hAnsi="宋体"/>
                <w:color w:val="auto"/>
                <w:szCs w:val="21"/>
              </w:rPr>
            </w:pPr>
          </w:p>
        </w:tc>
        <w:tc>
          <w:tcPr>
            <w:tcW w:w="1077" w:type="pct"/>
            <w:tcBorders>
              <w:left w:val="single" w:color="auto" w:sz="4" w:space="0"/>
            </w:tcBorders>
            <w:vAlign w:val="center"/>
          </w:tcPr>
          <w:p w14:paraId="64AF77C1">
            <w:pPr>
              <w:adjustRightInd w:val="0"/>
              <w:snapToGrid w:val="0"/>
              <w:spacing w:before="50" w:line="360" w:lineRule="auto"/>
              <w:ind w:left="-88" w:leftChars="-42"/>
              <w:jc w:val="center"/>
              <w:rPr>
                <w:rFonts w:ascii="宋体" w:hAnsi="宋体"/>
                <w:color w:val="auto"/>
                <w:szCs w:val="21"/>
              </w:rPr>
            </w:pPr>
          </w:p>
        </w:tc>
      </w:tr>
      <w:tr w14:paraId="12D8D9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29" w:type="pct"/>
            <w:vAlign w:val="center"/>
          </w:tcPr>
          <w:p w14:paraId="26FFD5F0">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7E621984">
            <w:pPr>
              <w:adjustRightInd w:val="0"/>
              <w:snapToGrid w:val="0"/>
              <w:spacing w:before="50" w:line="360" w:lineRule="auto"/>
              <w:ind w:left="-88" w:leftChars="-42"/>
              <w:jc w:val="center"/>
              <w:rPr>
                <w:rFonts w:ascii="宋体" w:hAnsi="宋体"/>
                <w:color w:val="auto"/>
                <w:szCs w:val="21"/>
              </w:rPr>
            </w:pPr>
          </w:p>
        </w:tc>
        <w:tc>
          <w:tcPr>
            <w:tcW w:w="1100" w:type="pct"/>
            <w:vAlign w:val="center"/>
          </w:tcPr>
          <w:p w14:paraId="659DDDC9">
            <w:pPr>
              <w:adjustRightInd w:val="0"/>
              <w:snapToGrid w:val="0"/>
              <w:spacing w:before="50" w:line="360" w:lineRule="auto"/>
              <w:ind w:left="-88" w:leftChars="-42"/>
              <w:jc w:val="center"/>
              <w:rPr>
                <w:rFonts w:ascii="宋体" w:hAnsi="宋体"/>
                <w:color w:val="auto"/>
                <w:szCs w:val="21"/>
              </w:rPr>
            </w:pPr>
          </w:p>
        </w:tc>
        <w:tc>
          <w:tcPr>
            <w:tcW w:w="1154" w:type="pct"/>
            <w:tcBorders>
              <w:right w:val="single" w:color="auto" w:sz="4" w:space="0"/>
            </w:tcBorders>
            <w:vAlign w:val="center"/>
          </w:tcPr>
          <w:p w14:paraId="5BB5C327">
            <w:pPr>
              <w:adjustRightInd w:val="0"/>
              <w:snapToGrid w:val="0"/>
              <w:spacing w:before="50" w:line="360" w:lineRule="auto"/>
              <w:ind w:left="-88" w:leftChars="-42"/>
              <w:jc w:val="center"/>
              <w:rPr>
                <w:rFonts w:ascii="宋体" w:hAnsi="宋体"/>
                <w:color w:val="auto"/>
                <w:szCs w:val="21"/>
              </w:rPr>
            </w:pPr>
          </w:p>
        </w:tc>
        <w:tc>
          <w:tcPr>
            <w:tcW w:w="1077" w:type="pct"/>
            <w:tcBorders>
              <w:left w:val="single" w:color="auto" w:sz="4" w:space="0"/>
            </w:tcBorders>
            <w:vAlign w:val="center"/>
          </w:tcPr>
          <w:p w14:paraId="5F0CB28E">
            <w:pPr>
              <w:adjustRightInd w:val="0"/>
              <w:snapToGrid w:val="0"/>
              <w:spacing w:before="50" w:line="360" w:lineRule="auto"/>
              <w:ind w:left="-88" w:leftChars="-42"/>
              <w:jc w:val="center"/>
              <w:rPr>
                <w:rFonts w:ascii="宋体" w:hAnsi="宋体"/>
                <w:color w:val="auto"/>
                <w:szCs w:val="21"/>
              </w:rPr>
            </w:pPr>
          </w:p>
        </w:tc>
      </w:tr>
      <w:tr w14:paraId="389C7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29" w:type="pct"/>
            <w:vAlign w:val="center"/>
          </w:tcPr>
          <w:p w14:paraId="2DC4B26C">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710A5A63">
            <w:pPr>
              <w:adjustRightInd w:val="0"/>
              <w:snapToGrid w:val="0"/>
              <w:spacing w:before="50" w:line="360" w:lineRule="auto"/>
              <w:ind w:left="-88" w:leftChars="-42"/>
              <w:jc w:val="center"/>
              <w:rPr>
                <w:rFonts w:ascii="宋体" w:hAnsi="宋体"/>
                <w:color w:val="auto"/>
                <w:szCs w:val="21"/>
              </w:rPr>
            </w:pPr>
          </w:p>
        </w:tc>
        <w:tc>
          <w:tcPr>
            <w:tcW w:w="1100" w:type="pct"/>
            <w:vAlign w:val="center"/>
          </w:tcPr>
          <w:p w14:paraId="752A0C43">
            <w:pPr>
              <w:adjustRightInd w:val="0"/>
              <w:snapToGrid w:val="0"/>
              <w:spacing w:before="50" w:line="360" w:lineRule="auto"/>
              <w:ind w:left="-88" w:leftChars="-42"/>
              <w:jc w:val="center"/>
              <w:rPr>
                <w:rFonts w:ascii="宋体" w:hAnsi="宋体"/>
                <w:color w:val="auto"/>
                <w:szCs w:val="21"/>
              </w:rPr>
            </w:pPr>
          </w:p>
        </w:tc>
        <w:tc>
          <w:tcPr>
            <w:tcW w:w="1154" w:type="pct"/>
            <w:tcBorders>
              <w:right w:val="single" w:color="auto" w:sz="4" w:space="0"/>
            </w:tcBorders>
            <w:vAlign w:val="center"/>
          </w:tcPr>
          <w:p w14:paraId="24DB5F7C">
            <w:pPr>
              <w:adjustRightInd w:val="0"/>
              <w:snapToGrid w:val="0"/>
              <w:spacing w:before="50" w:line="360" w:lineRule="auto"/>
              <w:ind w:left="-88" w:leftChars="-42"/>
              <w:jc w:val="center"/>
              <w:rPr>
                <w:rFonts w:ascii="宋体" w:hAnsi="宋体"/>
                <w:color w:val="auto"/>
                <w:szCs w:val="21"/>
              </w:rPr>
            </w:pPr>
          </w:p>
        </w:tc>
        <w:tc>
          <w:tcPr>
            <w:tcW w:w="1077" w:type="pct"/>
            <w:tcBorders>
              <w:left w:val="single" w:color="auto" w:sz="4" w:space="0"/>
            </w:tcBorders>
            <w:vAlign w:val="center"/>
          </w:tcPr>
          <w:p w14:paraId="7E903968">
            <w:pPr>
              <w:adjustRightInd w:val="0"/>
              <w:snapToGrid w:val="0"/>
              <w:spacing w:before="50" w:line="360" w:lineRule="auto"/>
              <w:ind w:left="-88" w:leftChars="-42"/>
              <w:jc w:val="center"/>
              <w:rPr>
                <w:rFonts w:ascii="宋体" w:hAnsi="宋体"/>
                <w:color w:val="auto"/>
                <w:szCs w:val="21"/>
              </w:rPr>
            </w:pPr>
          </w:p>
        </w:tc>
      </w:tr>
      <w:tr w14:paraId="64C123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29" w:type="pct"/>
            <w:vAlign w:val="center"/>
          </w:tcPr>
          <w:p w14:paraId="34468EF5">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230ED1AD">
            <w:pPr>
              <w:adjustRightInd w:val="0"/>
              <w:snapToGrid w:val="0"/>
              <w:spacing w:before="50" w:line="360" w:lineRule="auto"/>
              <w:ind w:left="-88" w:leftChars="-42"/>
              <w:jc w:val="center"/>
              <w:rPr>
                <w:rFonts w:ascii="宋体" w:hAnsi="宋体"/>
                <w:color w:val="auto"/>
                <w:szCs w:val="21"/>
              </w:rPr>
            </w:pPr>
          </w:p>
        </w:tc>
        <w:tc>
          <w:tcPr>
            <w:tcW w:w="1100" w:type="pct"/>
            <w:vAlign w:val="center"/>
          </w:tcPr>
          <w:p w14:paraId="4C4B8A97">
            <w:pPr>
              <w:adjustRightInd w:val="0"/>
              <w:snapToGrid w:val="0"/>
              <w:spacing w:before="50" w:line="360" w:lineRule="auto"/>
              <w:ind w:left="-88" w:leftChars="-42"/>
              <w:jc w:val="center"/>
              <w:rPr>
                <w:rFonts w:ascii="宋体" w:hAnsi="宋体"/>
                <w:color w:val="auto"/>
                <w:szCs w:val="21"/>
              </w:rPr>
            </w:pPr>
          </w:p>
        </w:tc>
        <w:tc>
          <w:tcPr>
            <w:tcW w:w="1154" w:type="pct"/>
            <w:tcBorders>
              <w:right w:val="single" w:color="auto" w:sz="4" w:space="0"/>
            </w:tcBorders>
            <w:vAlign w:val="center"/>
          </w:tcPr>
          <w:p w14:paraId="133C7DF3">
            <w:pPr>
              <w:adjustRightInd w:val="0"/>
              <w:snapToGrid w:val="0"/>
              <w:spacing w:before="50" w:line="360" w:lineRule="auto"/>
              <w:ind w:left="-88" w:leftChars="-42"/>
              <w:jc w:val="center"/>
              <w:rPr>
                <w:rFonts w:ascii="宋体" w:hAnsi="宋体"/>
                <w:color w:val="auto"/>
                <w:szCs w:val="21"/>
              </w:rPr>
            </w:pPr>
          </w:p>
        </w:tc>
        <w:tc>
          <w:tcPr>
            <w:tcW w:w="1077" w:type="pct"/>
            <w:tcBorders>
              <w:left w:val="single" w:color="auto" w:sz="4" w:space="0"/>
            </w:tcBorders>
            <w:vAlign w:val="center"/>
          </w:tcPr>
          <w:p w14:paraId="73F3AA6D">
            <w:pPr>
              <w:adjustRightInd w:val="0"/>
              <w:snapToGrid w:val="0"/>
              <w:spacing w:before="50" w:line="360" w:lineRule="auto"/>
              <w:ind w:left="-88" w:leftChars="-42"/>
              <w:jc w:val="center"/>
              <w:rPr>
                <w:rFonts w:ascii="宋体" w:hAnsi="宋体"/>
                <w:color w:val="auto"/>
                <w:szCs w:val="21"/>
              </w:rPr>
            </w:pPr>
          </w:p>
        </w:tc>
      </w:tr>
      <w:tr w14:paraId="3515B8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29" w:type="pct"/>
            <w:vAlign w:val="center"/>
          </w:tcPr>
          <w:p w14:paraId="0F9B7F74">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597AC88F">
            <w:pPr>
              <w:adjustRightInd w:val="0"/>
              <w:snapToGrid w:val="0"/>
              <w:spacing w:before="50" w:line="360" w:lineRule="auto"/>
              <w:ind w:left="-88" w:leftChars="-42"/>
              <w:jc w:val="center"/>
              <w:rPr>
                <w:rFonts w:ascii="宋体" w:hAnsi="宋体"/>
                <w:color w:val="auto"/>
                <w:szCs w:val="21"/>
              </w:rPr>
            </w:pPr>
          </w:p>
        </w:tc>
        <w:tc>
          <w:tcPr>
            <w:tcW w:w="1100" w:type="pct"/>
            <w:vAlign w:val="center"/>
          </w:tcPr>
          <w:p w14:paraId="3E78E914">
            <w:pPr>
              <w:adjustRightInd w:val="0"/>
              <w:snapToGrid w:val="0"/>
              <w:spacing w:before="50" w:line="360" w:lineRule="auto"/>
              <w:ind w:left="-88" w:leftChars="-42"/>
              <w:jc w:val="center"/>
              <w:rPr>
                <w:rFonts w:ascii="宋体" w:hAnsi="宋体"/>
                <w:color w:val="auto"/>
                <w:szCs w:val="21"/>
              </w:rPr>
            </w:pPr>
          </w:p>
        </w:tc>
        <w:tc>
          <w:tcPr>
            <w:tcW w:w="1154" w:type="pct"/>
            <w:tcBorders>
              <w:right w:val="single" w:color="auto" w:sz="4" w:space="0"/>
            </w:tcBorders>
            <w:vAlign w:val="center"/>
          </w:tcPr>
          <w:p w14:paraId="797302E0">
            <w:pPr>
              <w:adjustRightInd w:val="0"/>
              <w:snapToGrid w:val="0"/>
              <w:spacing w:before="50" w:line="360" w:lineRule="auto"/>
              <w:ind w:left="-88" w:leftChars="-42"/>
              <w:jc w:val="center"/>
              <w:rPr>
                <w:rFonts w:ascii="宋体" w:hAnsi="宋体"/>
                <w:color w:val="auto"/>
                <w:szCs w:val="21"/>
              </w:rPr>
            </w:pPr>
          </w:p>
        </w:tc>
        <w:tc>
          <w:tcPr>
            <w:tcW w:w="1077" w:type="pct"/>
            <w:tcBorders>
              <w:left w:val="single" w:color="auto" w:sz="4" w:space="0"/>
            </w:tcBorders>
            <w:vAlign w:val="center"/>
          </w:tcPr>
          <w:p w14:paraId="63458855">
            <w:pPr>
              <w:adjustRightInd w:val="0"/>
              <w:snapToGrid w:val="0"/>
              <w:spacing w:before="50" w:line="360" w:lineRule="auto"/>
              <w:ind w:left="-88" w:leftChars="-42"/>
              <w:jc w:val="center"/>
              <w:rPr>
                <w:rFonts w:ascii="宋体" w:hAnsi="宋体"/>
                <w:color w:val="auto"/>
                <w:szCs w:val="21"/>
              </w:rPr>
            </w:pPr>
          </w:p>
        </w:tc>
      </w:tr>
      <w:tr w14:paraId="690CE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000" w:type="pct"/>
            <w:gridSpan w:val="5"/>
            <w:vAlign w:val="center"/>
          </w:tcPr>
          <w:p w14:paraId="61F66B67">
            <w:pPr>
              <w:adjustRightInd w:val="0"/>
              <w:snapToGrid w:val="0"/>
              <w:spacing w:before="50" w:line="360" w:lineRule="auto"/>
              <w:ind w:firstLine="422" w:firstLineChars="200"/>
              <w:jc w:val="left"/>
              <w:rPr>
                <w:rFonts w:ascii="宋体" w:hAnsi="宋体"/>
                <w:b/>
                <w:color w:val="auto"/>
                <w:szCs w:val="21"/>
              </w:rPr>
            </w:pPr>
            <w:r>
              <w:rPr>
                <w:rFonts w:hint="eastAsia" w:ascii="宋体" w:hAnsi="宋体"/>
                <w:b/>
                <w:color w:val="auto"/>
                <w:szCs w:val="21"/>
              </w:rPr>
              <w:t>供应商保证：除本合同条款偏离表列出的偏离外，我单位对谈判文件的其他商务、合同条款完全响应，无偏离。</w:t>
            </w:r>
          </w:p>
        </w:tc>
      </w:tr>
    </w:tbl>
    <w:p w14:paraId="0273955C">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：（1）供应商应根据谈判文件第四章</w:t>
      </w:r>
      <w:r>
        <w:rPr>
          <w:rFonts w:hint="eastAsia" w:ascii="华文宋体" w:hAnsi="华文宋体" w:eastAsia="华文宋体"/>
          <w:color w:val="auto"/>
          <w:szCs w:val="21"/>
        </w:rPr>
        <w:t>“</w:t>
      </w:r>
      <w:r>
        <w:rPr>
          <w:rFonts w:hint="eastAsia" w:ascii="宋体" w:hAnsi="宋体"/>
          <w:color w:val="auto"/>
          <w:szCs w:val="21"/>
        </w:rPr>
        <w:t>合同草案条款</w:t>
      </w:r>
      <w:r>
        <w:rPr>
          <w:rFonts w:hint="eastAsia" w:ascii="华文宋体" w:hAnsi="华文宋体" w:eastAsia="华文宋体"/>
          <w:color w:val="auto"/>
          <w:szCs w:val="21"/>
        </w:rPr>
        <w:t>”</w:t>
      </w:r>
      <w:r>
        <w:rPr>
          <w:rFonts w:hint="eastAsia" w:ascii="宋体" w:hAnsi="宋体"/>
          <w:color w:val="auto"/>
          <w:szCs w:val="21"/>
        </w:rPr>
        <w:t>填写本表；</w:t>
      </w:r>
    </w:p>
    <w:p w14:paraId="35782A45">
      <w:pPr>
        <w:adjustRightInd w:val="0"/>
        <w:snapToGrid w:val="0"/>
        <w:spacing w:before="50" w:line="360" w:lineRule="auto"/>
        <w:ind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供应商如果对谈判文件第四章“合同草案条款”的响应有偏离，应将偏离条款逐条如实应答，并作出说明；</w:t>
      </w:r>
    </w:p>
    <w:p w14:paraId="0A4B8C8F">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（3）如不提供此表，则视为供应商不满足谈判文件第四章的所有条款要求，其</w:t>
      </w:r>
      <w:r>
        <w:rPr>
          <w:rFonts w:hint="eastAsia" w:ascii="宋体" w:hAnsi="宋体"/>
          <w:b/>
          <w:color w:val="auto"/>
          <w:szCs w:val="21"/>
        </w:rPr>
        <w:t>响应无效</w:t>
      </w:r>
      <w:r>
        <w:rPr>
          <w:rFonts w:hint="eastAsia" w:ascii="宋体" w:hAnsi="宋体"/>
          <w:color w:val="auto"/>
          <w:szCs w:val="21"/>
        </w:rPr>
        <w:t>。</w:t>
      </w:r>
    </w:p>
    <w:p w14:paraId="392F16B6">
      <w:pPr>
        <w:adjustRightInd w:val="0"/>
        <w:snapToGrid w:val="0"/>
        <w:spacing w:before="50" w:line="360" w:lineRule="auto"/>
        <w:ind w:firstLine="420" w:firstLineChars="200"/>
        <w:rPr>
          <w:rFonts w:hint="eastAsia" w:ascii="宋体" w:hAnsi="宋体" w:eastAsia="宋体"/>
          <w:color w:val="auto"/>
          <w:szCs w:val="21"/>
          <w:lang w:eastAsia="zh-CN"/>
        </w:rPr>
      </w:pPr>
      <w:r>
        <w:rPr>
          <w:rFonts w:hint="eastAsia" w:ascii="宋体" w:hAnsi="宋体"/>
          <w:color w:val="auto"/>
          <w:szCs w:val="21"/>
          <w:lang w:eastAsia="zh-CN"/>
        </w:rPr>
        <w:t>（</w:t>
      </w:r>
      <w:r>
        <w:rPr>
          <w:rFonts w:hint="eastAsia" w:ascii="宋体" w:hAnsi="宋体"/>
          <w:color w:val="auto"/>
          <w:szCs w:val="21"/>
          <w:lang w:val="en-US" w:eastAsia="zh-CN"/>
        </w:rPr>
        <w:t>4</w:t>
      </w:r>
      <w:r>
        <w:rPr>
          <w:rFonts w:hint="eastAsia" w:ascii="宋体" w:hAnsi="宋体"/>
          <w:color w:val="auto"/>
          <w:szCs w:val="21"/>
          <w:lang w:eastAsia="zh-CN"/>
        </w:rPr>
        <w:t>）</w:t>
      </w:r>
      <w:r>
        <w:rPr>
          <w:rFonts w:hint="eastAsia" w:ascii="宋体" w:hAnsi="宋体"/>
          <w:b/>
          <w:bCs w:val="0"/>
          <w:color w:val="auto"/>
          <w:szCs w:val="21"/>
        </w:rPr>
        <w:t>本表须按包填写，一个“包号”一份</w:t>
      </w:r>
      <w:r>
        <w:rPr>
          <w:rFonts w:hint="eastAsia" w:ascii="宋体" w:hAnsi="宋体"/>
          <w:b/>
          <w:bCs w:val="0"/>
          <w:color w:val="auto"/>
          <w:szCs w:val="21"/>
          <w:lang w:eastAsia="zh-CN"/>
        </w:rPr>
        <w:t>。</w:t>
      </w:r>
    </w:p>
    <w:p w14:paraId="624A7820">
      <w:pPr>
        <w:adjustRightInd w:val="0"/>
        <w:snapToGrid w:val="0"/>
        <w:spacing w:before="50" w:line="360" w:lineRule="auto"/>
        <w:rPr>
          <w:rFonts w:ascii="宋体" w:hAnsi="宋体"/>
          <w:color w:val="auto"/>
          <w:szCs w:val="21"/>
        </w:rPr>
      </w:pPr>
    </w:p>
    <w:p w14:paraId="31D53ADD">
      <w:pPr>
        <w:adjustRightInd w:val="0"/>
        <w:snapToGrid w:val="0"/>
        <w:spacing w:before="50" w:line="360" w:lineRule="auto"/>
        <w:rPr>
          <w:rFonts w:ascii="宋体" w:hAnsi="宋体"/>
          <w:color w:val="auto"/>
          <w:szCs w:val="21"/>
        </w:rPr>
      </w:pPr>
    </w:p>
    <w:p w14:paraId="4DFED295">
      <w:pPr>
        <w:adjustRightInd w:val="0"/>
        <w:snapToGrid w:val="0"/>
        <w:spacing w:before="50" w:line="360" w:lineRule="auto"/>
        <w:rPr>
          <w:rFonts w:ascii="宋体" w:hAnsi="宋体"/>
          <w:color w:val="auto"/>
          <w:szCs w:val="21"/>
        </w:rPr>
      </w:pPr>
      <w:r>
        <w:rPr>
          <w:rFonts w:hint="eastAsia" w:ascii="宋体" w:hAnsi="宋体"/>
          <w:color w:val="auto"/>
          <w:szCs w:val="21"/>
        </w:rPr>
        <w:t>供应商名称（盖单位公章）：</w:t>
      </w:r>
    </w:p>
    <w:p w14:paraId="20D9E41F">
      <w:pPr>
        <w:adjustRightInd w:val="0"/>
        <w:snapToGrid w:val="0"/>
        <w:spacing w:before="50"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28F097CE">
      <w:pPr>
        <w:rPr>
          <w:color w:val="auto"/>
        </w:rPr>
      </w:pPr>
      <w:r>
        <w:rPr>
          <w:rFonts w:hint="eastAsia"/>
          <w:color w:val="auto"/>
        </w:rPr>
        <w:t>日       期：          年        月      日</w:t>
      </w:r>
    </w:p>
    <w:p w14:paraId="25E23A61">
      <w:pPr>
        <w:pStyle w:val="3"/>
        <w:jc w:val="center"/>
        <w:rPr>
          <w:rFonts w:ascii="黑体" w:eastAsia="黑体"/>
          <w:color w:val="auto"/>
          <w:sz w:val="28"/>
          <w:szCs w:val="28"/>
        </w:rPr>
      </w:pPr>
      <w:r>
        <w:rPr>
          <w:rFonts w:ascii="黑体" w:eastAsia="黑体"/>
          <w:color w:val="auto"/>
          <w:sz w:val="28"/>
          <w:szCs w:val="28"/>
        </w:rPr>
        <w:br w:type="page"/>
      </w:r>
      <w:bookmarkStart w:id="65" w:name="_Toc22201160"/>
      <w:bookmarkStart w:id="66" w:name="_Toc23775"/>
      <w:r>
        <w:rPr>
          <w:rFonts w:hint="eastAsia" w:ascii="黑体" w:eastAsia="黑体"/>
          <w:color w:val="auto"/>
          <w:sz w:val="28"/>
          <w:szCs w:val="28"/>
        </w:rPr>
        <w:t>八、采购需求偏离表</w:t>
      </w:r>
      <w:bookmarkEnd w:id="65"/>
      <w:bookmarkEnd w:id="66"/>
    </w:p>
    <w:p w14:paraId="45D44543">
      <w:pPr>
        <w:adjustRightInd w:val="0"/>
        <w:snapToGrid w:val="0"/>
        <w:spacing w:before="156" w:beforeLines="50" w:line="360" w:lineRule="auto"/>
        <w:rPr>
          <w:rFonts w:ascii="宋体" w:hAnsi="宋体"/>
          <w:color w:val="auto"/>
          <w:szCs w:val="21"/>
          <w:u w:val="single"/>
        </w:rPr>
      </w:pPr>
      <w:r>
        <w:rPr>
          <w:rFonts w:hint="eastAsia" w:ascii="宋体" w:hAnsi="宋体"/>
          <w:color w:val="auto"/>
          <w:spacing w:val="28"/>
          <w:szCs w:val="21"/>
          <w:lang w:eastAsia="zh-CN"/>
        </w:rPr>
        <w:t>委托代理编号</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p>
    <w:p w14:paraId="7AA54B8D">
      <w:pPr>
        <w:adjustRightInd w:val="0"/>
        <w:snapToGrid w:val="0"/>
        <w:spacing w:before="156" w:beforeLines="50" w:line="360" w:lineRule="auto"/>
        <w:rPr>
          <w:rFonts w:ascii="宋体" w:hAnsi="宋体"/>
          <w:color w:val="auto"/>
          <w:szCs w:val="21"/>
          <w:u w:val="single"/>
        </w:rPr>
      </w:pPr>
      <w:r>
        <w:rPr>
          <w:rFonts w:hint="eastAsia" w:ascii="宋体" w:hAnsi="宋体"/>
          <w:color w:val="auto"/>
          <w:szCs w:val="21"/>
        </w:rPr>
        <w:t>包           号：</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w:t>
      </w:r>
    </w:p>
    <w:tbl>
      <w:tblPr>
        <w:tblStyle w:val="44"/>
        <w:tblW w:w="499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726"/>
        <w:gridCol w:w="2377"/>
        <w:gridCol w:w="1957"/>
        <w:gridCol w:w="2098"/>
        <w:gridCol w:w="1738"/>
      </w:tblGrid>
      <w:tr w14:paraId="1247A5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408" w:type="pct"/>
            <w:vAlign w:val="center"/>
          </w:tcPr>
          <w:p w14:paraId="50928222">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1336" w:type="pct"/>
            <w:vAlign w:val="center"/>
          </w:tcPr>
          <w:p w14:paraId="1697BB46">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谈判文件章节</w:t>
            </w:r>
            <w:r>
              <w:rPr>
                <w:rFonts w:hint="eastAsia" w:ascii="宋体" w:hAnsi="宋体"/>
                <w:bCs/>
                <w:color w:val="auto"/>
                <w:szCs w:val="21"/>
              </w:rPr>
              <w:t>条</w:t>
            </w:r>
            <w:r>
              <w:rPr>
                <w:rFonts w:hint="eastAsia" w:ascii="宋体" w:hAnsi="宋体"/>
                <w:color w:val="auto"/>
                <w:szCs w:val="21"/>
              </w:rPr>
              <w:t>款号</w:t>
            </w:r>
          </w:p>
        </w:tc>
        <w:tc>
          <w:tcPr>
            <w:tcW w:w="1100" w:type="pct"/>
            <w:tcBorders>
              <w:right w:val="single" w:color="auto" w:sz="4" w:space="0"/>
            </w:tcBorders>
          </w:tcPr>
          <w:p w14:paraId="43D9894F">
            <w:pPr>
              <w:adjustRightInd w:val="0"/>
              <w:snapToGrid w:val="0"/>
              <w:spacing w:before="50" w:line="360" w:lineRule="auto"/>
              <w:jc w:val="center"/>
              <w:rPr>
                <w:color w:val="auto"/>
              </w:rPr>
            </w:pPr>
            <w:r>
              <w:rPr>
                <w:rFonts w:hint="eastAsia" w:ascii="宋体" w:hAnsi="宋体"/>
                <w:color w:val="auto"/>
                <w:szCs w:val="21"/>
              </w:rPr>
              <w:t>谈判</w:t>
            </w:r>
            <w:r>
              <w:rPr>
                <w:rFonts w:hint="eastAsia"/>
                <w:color w:val="auto"/>
              </w:rPr>
              <w:t>文件要求</w:t>
            </w:r>
          </w:p>
        </w:tc>
        <w:tc>
          <w:tcPr>
            <w:tcW w:w="1179" w:type="pct"/>
            <w:tcBorders>
              <w:left w:val="single" w:color="auto" w:sz="4" w:space="0"/>
            </w:tcBorders>
          </w:tcPr>
          <w:p w14:paraId="04E64705">
            <w:pPr>
              <w:adjustRightInd w:val="0"/>
              <w:snapToGrid w:val="0"/>
              <w:spacing w:before="50" w:line="360" w:lineRule="auto"/>
              <w:jc w:val="center"/>
              <w:rPr>
                <w:color w:val="auto"/>
              </w:rPr>
            </w:pPr>
            <w:r>
              <w:rPr>
                <w:rFonts w:hint="eastAsia" w:ascii="宋体" w:hAnsi="宋体"/>
                <w:color w:val="auto"/>
                <w:szCs w:val="21"/>
              </w:rPr>
              <w:t>响应</w:t>
            </w:r>
            <w:r>
              <w:rPr>
                <w:rFonts w:hint="eastAsia"/>
                <w:color w:val="auto"/>
              </w:rPr>
              <w:t>文件应答</w:t>
            </w:r>
          </w:p>
        </w:tc>
        <w:tc>
          <w:tcPr>
            <w:tcW w:w="973" w:type="pct"/>
            <w:vAlign w:val="center"/>
          </w:tcPr>
          <w:p w14:paraId="1420DFA1">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3697BC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8" w:type="pct"/>
            <w:vAlign w:val="center"/>
          </w:tcPr>
          <w:p w14:paraId="3F1674B2">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4F19F8BA">
            <w:pPr>
              <w:adjustRightInd w:val="0"/>
              <w:snapToGrid w:val="0"/>
              <w:spacing w:before="50" w:line="360" w:lineRule="auto"/>
              <w:ind w:left="-88" w:leftChars="-42"/>
              <w:jc w:val="center"/>
              <w:rPr>
                <w:rFonts w:ascii="宋体" w:hAnsi="宋体"/>
                <w:color w:val="auto"/>
                <w:szCs w:val="21"/>
              </w:rPr>
            </w:pPr>
          </w:p>
        </w:tc>
        <w:tc>
          <w:tcPr>
            <w:tcW w:w="1100" w:type="pct"/>
            <w:tcBorders>
              <w:right w:val="single" w:color="auto" w:sz="4" w:space="0"/>
            </w:tcBorders>
            <w:vAlign w:val="center"/>
          </w:tcPr>
          <w:p w14:paraId="13849143">
            <w:pPr>
              <w:adjustRightInd w:val="0"/>
              <w:snapToGrid w:val="0"/>
              <w:spacing w:before="50" w:line="360" w:lineRule="auto"/>
              <w:ind w:left="-88" w:leftChars="-42"/>
              <w:jc w:val="center"/>
              <w:rPr>
                <w:rFonts w:ascii="宋体" w:hAnsi="宋体"/>
                <w:color w:val="auto"/>
                <w:szCs w:val="21"/>
              </w:rPr>
            </w:pPr>
          </w:p>
        </w:tc>
        <w:tc>
          <w:tcPr>
            <w:tcW w:w="1179" w:type="pct"/>
            <w:tcBorders>
              <w:left w:val="single" w:color="auto" w:sz="4" w:space="0"/>
            </w:tcBorders>
            <w:vAlign w:val="center"/>
          </w:tcPr>
          <w:p w14:paraId="19A46A3E">
            <w:pPr>
              <w:adjustRightInd w:val="0"/>
              <w:snapToGrid w:val="0"/>
              <w:spacing w:before="50" w:line="360" w:lineRule="auto"/>
              <w:ind w:left="-88" w:leftChars="-42"/>
              <w:jc w:val="center"/>
              <w:rPr>
                <w:rFonts w:ascii="宋体" w:hAnsi="宋体"/>
                <w:color w:val="auto"/>
                <w:szCs w:val="21"/>
              </w:rPr>
            </w:pPr>
          </w:p>
        </w:tc>
        <w:tc>
          <w:tcPr>
            <w:tcW w:w="973" w:type="pct"/>
            <w:vAlign w:val="center"/>
          </w:tcPr>
          <w:p w14:paraId="05826654">
            <w:pPr>
              <w:adjustRightInd w:val="0"/>
              <w:snapToGrid w:val="0"/>
              <w:spacing w:before="50" w:line="360" w:lineRule="auto"/>
              <w:ind w:left="-88" w:leftChars="-42"/>
              <w:jc w:val="center"/>
              <w:rPr>
                <w:rFonts w:ascii="宋体" w:hAnsi="宋体"/>
                <w:color w:val="auto"/>
                <w:szCs w:val="21"/>
              </w:rPr>
            </w:pPr>
          </w:p>
        </w:tc>
      </w:tr>
      <w:tr w14:paraId="768E1A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8" w:type="pct"/>
            <w:vAlign w:val="center"/>
          </w:tcPr>
          <w:p w14:paraId="310E88C5">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199C2061">
            <w:pPr>
              <w:adjustRightInd w:val="0"/>
              <w:snapToGrid w:val="0"/>
              <w:spacing w:before="50" w:line="360" w:lineRule="auto"/>
              <w:ind w:left="-88" w:leftChars="-42"/>
              <w:jc w:val="center"/>
              <w:rPr>
                <w:rFonts w:ascii="宋体" w:hAnsi="宋体"/>
                <w:color w:val="auto"/>
                <w:szCs w:val="21"/>
              </w:rPr>
            </w:pPr>
          </w:p>
        </w:tc>
        <w:tc>
          <w:tcPr>
            <w:tcW w:w="1100" w:type="pct"/>
            <w:tcBorders>
              <w:right w:val="single" w:color="auto" w:sz="4" w:space="0"/>
            </w:tcBorders>
            <w:vAlign w:val="center"/>
          </w:tcPr>
          <w:p w14:paraId="4EDC3D84">
            <w:pPr>
              <w:adjustRightInd w:val="0"/>
              <w:snapToGrid w:val="0"/>
              <w:spacing w:before="50" w:line="360" w:lineRule="auto"/>
              <w:ind w:left="-88" w:leftChars="-42"/>
              <w:jc w:val="center"/>
              <w:rPr>
                <w:rFonts w:ascii="宋体" w:hAnsi="宋体"/>
                <w:color w:val="auto"/>
                <w:szCs w:val="21"/>
              </w:rPr>
            </w:pPr>
          </w:p>
        </w:tc>
        <w:tc>
          <w:tcPr>
            <w:tcW w:w="1179" w:type="pct"/>
            <w:tcBorders>
              <w:left w:val="single" w:color="auto" w:sz="4" w:space="0"/>
            </w:tcBorders>
            <w:vAlign w:val="center"/>
          </w:tcPr>
          <w:p w14:paraId="28795125">
            <w:pPr>
              <w:adjustRightInd w:val="0"/>
              <w:snapToGrid w:val="0"/>
              <w:spacing w:before="50" w:line="360" w:lineRule="auto"/>
              <w:ind w:left="-88" w:leftChars="-42"/>
              <w:jc w:val="center"/>
              <w:rPr>
                <w:rFonts w:ascii="宋体" w:hAnsi="宋体"/>
                <w:color w:val="auto"/>
                <w:szCs w:val="21"/>
              </w:rPr>
            </w:pPr>
          </w:p>
        </w:tc>
        <w:tc>
          <w:tcPr>
            <w:tcW w:w="973" w:type="pct"/>
            <w:vAlign w:val="center"/>
          </w:tcPr>
          <w:p w14:paraId="1901629C">
            <w:pPr>
              <w:adjustRightInd w:val="0"/>
              <w:snapToGrid w:val="0"/>
              <w:spacing w:before="50" w:line="360" w:lineRule="auto"/>
              <w:ind w:left="-88" w:leftChars="-42"/>
              <w:jc w:val="center"/>
              <w:rPr>
                <w:rFonts w:ascii="宋体" w:hAnsi="宋体"/>
                <w:color w:val="auto"/>
                <w:szCs w:val="21"/>
              </w:rPr>
            </w:pPr>
          </w:p>
        </w:tc>
      </w:tr>
      <w:tr w14:paraId="29996C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8" w:type="pct"/>
            <w:vAlign w:val="center"/>
          </w:tcPr>
          <w:p w14:paraId="2DBA0C6C">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4328BB29">
            <w:pPr>
              <w:adjustRightInd w:val="0"/>
              <w:snapToGrid w:val="0"/>
              <w:spacing w:before="50" w:line="360" w:lineRule="auto"/>
              <w:ind w:left="-88" w:leftChars="-42"/>
              <w:jc w:val="center"/>
              <w:rPr>
                <w:rFonts w:ascii="宋体" w:hAnsi="宋体"/>
                <w:color w:val="auto"/>
                <w:szCs w:val="21"/>
              </w:rPr>
            </w:pPr>
          </w:p>
        </w:tc>
        <w:tc>
          <w:tcPr>
            <w:tcW w:w="1100" w:type="pct"/>
            <w:tcBorders>
              <w:right w:val="single" w:color="auto" w:sz="4" w:space="0"/>
            </w:tcBorders>
            <w:vAlign w:val="center"/>
          </w:tcPr>
          <w:p w14:paraId="1063BA77">
            <w:pPr>
              <w:adjustRightInd w:val="0"/>
              <w:snapToGrid w:val="0"/>
              <w:spacing w:before="50" w:line="360" w:lineRule="auto"/>
              <w:ind w:left="-88" w:leftChars="-42"/>
              <w:jc w:val="center"/>
              <w:rPr>
                <w:rFonts w:ascii="宋体" w:hAnsi="宋体"/>
                <w:color w:val="auto"/>
                <w:szCs w:val="21"/>
              </w:rPr>
            </w:pPr>
          </w:p>
        </w:tc>
        <w:tc>
          <w:tcPr>
            <w:tcW w:w="1179" w:type="pct"/>
            <w:tcBorders>
              <w:left w:val="single" w:color="auto" w:sz="4" w:space="0"/>
            </w:tcBorders>
            <w:vAlign w:val="center"/>
          </w:tcPr>
          <w:p w14:paraId="53546E33">
            <w:pPr>
              <w:adjustRightInd w:val="0"/>
              <w:snapToGrid w:val="0"/>
              <w:spacing w:before="50" w:line="360" w:lineRule="auto"/>
              <w:ind w:left="-88" w:leftChars="-42"/>
              <w:jc w:val="center"/>
              <w:rPr>
                <w:rFonts w:ascii="宋体" w:hAnsi="宋体"/>
                <w:color w:val="auto"/>
                <w:szCs w:val="21"/>
              </w:rPr>
            </w:pPr>
          </w:p>
        </w:tc>
        <w:tc>
          <w:tcPr>
            <w:tcW w:w="973" w:type="pct"/>
            <w:vAlign w:val="center"/>
          </w:tcPr>
          <w:p w14:paraId="28AE3925">
            <w:pPr>
              <w:adjustRightInd w:val="0"/>
              <w:snapToGrid w:val="0"/>
              <w:spacing w:before="50" w:line="360" w:lineRule="auto"/>
              <w:ind w:left="-88" w:leftChars="-42"/>
              <w:jc w:val="center"/>
              <w:rPr>
                <w:rFonts w:ascii="宋体" w:hAnsi="宋体"/>
                <w:color w:val="auto"/>
                <w:szCs w:val="21"/>
              </w:rPr>
            </w:pPr>
          </w:p>
        </w:tc>
      </w:tr>
      <w:tr w14:paraId="65FE9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8" w:type="pct"/>
            <w:vAlign w:val="center"/>
          </w:tcPr>
          <w:p w14:paraId="47F7FD79">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5ACA1684">
            <w:pPr>
              <w:adjustRightInd w:val="0"/>
              <w:snapToGrid w:val="0"/>
              <w:spacing w:before="50" w:line="360" w:lineRule="auto"/>
              <w:ind w:left="-88" w:leftChars="-42"/>
              <w:jc w:val="center"/>
              <w:rPr>
                <w:rFonts w:ascii="宋体" w:hAnsi="宋体"/>
                <w:color w:val="auto"/>
                <w:szCs w:val="21"/>
              </w:rPr>
            </w:pPr>
          </w:p>
        </w:tc>
        <w:tc>
          <w:tcPr>
            <w:tcW w:w="1100" w:type="pct"/>
            <w:tcBorders>
              <w:right w:val="single" w:color="auto" w:sz="4" w:space="0"/>
            </w:tcBorders>
            <w:vAlign w:val="center"/>
          </w:tcPr>
          <w:p w14:paraId="72D60D51">
            <w:pPr>
              <w:adjustRightInd w:val="0"/>
              <w:snapToGrid w:val="0"/>
              <w:spacing w:before="50" w:line="360" w:lineRule="auto"/>
              <w:ind w:left="-88" w:leftChars="-42"/>
              <w:jc w:val="center"/>
              <w:rPr>
                <w:rFonts w:ascii="宋体" w:hAnsi="宋体"/>
                <w:color w:val="auto"/>
                <w:szCs w:val="21"/>
              </w:rPr>
            </w:pPr>
          </w:p>
        </w:tc>
        <w:tc>
          <w:tcPr>
            <w:tcW w:w="1179" w:type="pct"/>
            <w:tcBorders>
              <w:left w:val="single" w:color="auto" w:sz="4" w:space="0"/>
            </w:tcBorders>
            <w:vAlign w:val="center"/>
          </w:tcPr>
          <w:p w14:paraId="26698503">
            <w:pPr>
              <w:adjustRightInd w:val="0"/>
              <w:snapToGrid w:val="0"/>
              <w:spacing w:before="50" w:line="360" w:lineRule="auto"/>
              <w:ind w:left="-88" w:leftChars="-42"/>
              <w:jc w:val="center"/>
              <w:rPr>
                <w:rFonts w:ascii="宋体" w:hAnsi="宋体"/>
                <w:color w:val="auto"/>
                <w:szCs w:val="21"/>
              </w:rPr>
            </w:pPr>
          </w:p>
        </w:tc>
        <w:tc>
          <w:tcPr>
            <w:tcW w:w="973" w:type="pct"/>
            <w:vAlign w:val="center"/>
          </w:tcPr>
          <w:p w14:paraId="5AE0167C">
            <w:pPr>
              <w:adjustRightInd w:val="0"/>
              <w:snapToGrid w:val="0"/>
              <w:spacing w:before="50" w:line="360" w:lineRule="auto"/>
              <w:ind w:left="-88" w:leftChars="-42"/>
              <w:jc w:val="center"/>
              <w:rPr>
                <w:rFonts w:ascii="宋体" w:hAnsi="宋体"/>
                <w:color w:val="auto"/>
                <w:szCs w:val="21"/>
              </w:rPr>
            </w:pPr>
          </w:p>
        </w:tc>
      </w:tr>
      <w:tr w14:paraId="5C7CBE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8" w:type="pct"/>
            <w:vAlign w:val="center"/>
          </w:tcPr>
          <w:p w14:paraId="6B7ACF70">
            <w:pPr>
              <w:adjustRightInd w:val="0"/>
              <w:snapToGrid w:val="0"/>
              <w:spacing w:before="50" w:line="360" w:lineRule="auto"/>
              <w:ind w:left="-88" w:leftChars="-42"/>
              <w:jc w:val="center"/>
              <w:rPr>
                <w:rFonts w:ascii="宋体" w:hAnsi="宋体"/>
                <w:color w:val="auto"/>
                <w:szCs w:val="21"/>
              </w:rPr>
            </w:pPr>
          </w:p>
        </w:tc>
        <w:tc>
          <w:tcPr>
            <w:tcW w:w="1336" w:type="pct"/>
            <w:vAlign w:val="center"/>
          </w:tcPr>
          <w:p w14:paraId="403571CD">
            <w:pPr>
              <w:adjustRightInd w:val="0"/>
              <w:snapToGrid w:val="0"/>
              <w:spacing w:before="50" w:line="360" w:lineRule="auto"/>
              <w:ind w:left="-88" w:leftChars="-42"/>
              <w:jc w:val="center"/>
              <w:rPr>
                <w:rFonts w:ascii="宋体" w:hAnsi="宋体"/>
                <w:color w:val="auto"/>
                <w:szCs w:val="21"/>
              </w:rPr>
            </w:pPr>
          </w:p>
        </w:tc>
        <w:tc>
          <w:tcPr>
            <w:tcW w:w="1100" w:type="pct"/>
            <w:tcBorders>
              <w:right w:val="single" w:color="auto" w:sz="4" w:space="0"/>
            </w:tcBorders>
            <w:vAlign w:val="center"/>
          </w:tcPr>
          <w:p w14:paraId="26651565">
            <w:pPr>
              <w:adjustRightInd w:val="0"/>
              <w:snapToGrid w:val="0"/>
              <w:spacing w:before="50" w:line="360" w:lineRule="auto"/>
              <w:ind w:left="-88" w:leftChars="-42"/>
              <w:jc w:val="center"/>
              <w:rPr>
                <w:rFonts w:ascii="宋体" w:hAnsi="宋体"/>
                <w:color w:val="auto"/>
                <w:szCs w:val="21"/>
              </w:rPr>
            </w:pPr>
          </w:p>
        </w:tc>
        <w:tc>
          <w:tcPr>
            <w:tcW w:w="1179" w:type="pct"/>
            <w:tcBorders>
              <w:left w:val="single" w:color="auto" w:sz="4" w:space="0"/>
            </w:tcBorders>
            <w:vAlign w:val="center"/>
          </w:tcPr>
          <w:p w14:paraId="5CB42A30">
            <w:pPr>
              <w:adjustRightInd w:val="0"/>
              <w:snapToGrid w:val="0"/>
              <w:spacing w:before="50" w:line="360" w:lineRule="auto"/>
              <w:ind w:left="-88" w:leftChars="-42"/>
              <w:jc w:val="center"/>
              <w:rPr>
                <w:rFonts w:ascii="宋体" w:hAnsi="宋体"/>
                <w:color w:val="auto"/>
                <w:szCs w:val="21"/>
              </w:rPr>
            </w:pPr>
          </w:p>
        </w:tc>
        <w:tc>
          <w:tcPr>
            <w:tcW w:w="973" w:type="pct"/>
            <w:vAlign w:val="center"/>
          </w:tcPr>
          <w:p w14:paraId="547C9A87">
            <w:pPr>
              <w:adjustRightInd w:val="0"/>
              <w:snapToGrid w:val="0"/>
              <w:spacing w:before="50" w:line="360" w:lineRule="auto"/>
              <w:ind w:left="-88" w:leftChars="-42"/>
              <w:jc w:val="center"/>
              <w:rPr>
                <w:rFonts w:ascii="宋体" w:hAnsi="宋体"/>
                <w:color w:val="auto"/>
                <w:szCs w:val="21"/>
              </w:rPr>
            </w:pPr>
          </w:p>
        </w:tc>
      </w:tr>
      <w:tr w14:paraId="133D72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000" w:type="pct"/>
            <w:gridSpan w:val="5"/>
            <w:vAlign w:val="center"/>
          </w:tcPr>
          <w:p w14:paraId="29C55796">
            <w:pPr>
              <w:adjustRightInd w:val="0"/>
              <w:snapToGrid w:val="0"/>
              <w:spacing w:before="50" w:line="360" w:lineRule="auto"/>
              <w:ind w:firstLine="422" w:firstLineChars="200"/>
              <w:rPr>
                <w:rFonts w:ascii="宋体" w:hAnsi="宋体"/>
                <w:color w:val="auto"/>
                <w:szCs w:val="21"/>
              </w:rPr>
            </w:pPr>
            <w:r>
              <w:rPr>
                <w:rFonts w:hint="eastAsia" w:ascii="宋体" w:hAnsi="宋体"/>
                <w:b/>
                <w:color w:val="auto"/>
                <w:szCs w:val="21"/>
              </w:rPr>
              <w:t>供应商保证：除本采购需求偏离表列出的偏离外，我单位对谈判文件的其他采购需求条款完全响应，无偏离。</w:t>
            </w:r>
          </w:p>
        </w:tc>
      </w:tr>
    </w:tbl>
    <w:p w14:paraId="66440CEA">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：（1）供应商应根据谈判文件第三章“采购需求”填写本表；</w:t>
      </w:r>
    </w:p>
    <w:p w14:paraId="56981A63">
      <w:pPr>
        <w:adjustRightInd w:val="0"/>
        <w:snapToGrid w:val="0"/>
        <w:spacing w:before="50" w:line="360" w:lineRule="auto"/>
        <w:ind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供应商如果对谈判文件第三章“采购需求”的响应有偏离，应将偏离条款逐条如实应答，并作出说明；</w:t>
      </w:r>
    </w:p>
    <w:p w14:paraId="77ED0981">
      <w:pPr>
        <w:adjustRightInd w:val="0"/>
        <w:snapToGrid w:val="0"/>
        <w:spacing w:before="50" w:line="360" w:lineRule="auto"/>
        <w:ind w:firstLine="420" w:firstLineChars="200"/>
        <w:rPr>
          <w:rFonts w:ascii="宋体" w:hAnsi="宋体"/>
          <w:color w:val="auto"/>
          <w:szCs w:val="21"/>
        </w:rPr>
      </w:pPr>
      <w:r>
        <w:rPr>
          <w:rFonts w:hint="eastAsia" w:ascii="宋体" w:hAnsi="宋体"/>
          <w:color w:val="auto"/>
          <w:szCs w:val="21"/>
        </w:rPr>
        <w:t>（3）如不提供此表，则视为供应商不满足谈判文件第三章的所有条款要求，其</w:t>
      </w:r>
      <w:r>
        <w:rPr>
          <w:rFonts w:hint="eastAsia" w:ascii="宋体" w:hAnsi="宋体"/>
          <w:b/>
          <w:color w:val="auto"/>
          <w:szCs w:val="21"/>
        </w:rPr>
        <w:t>响应无效</w:t>
      </w:r>
      <w:r>
        <w:rPr>
          <w:rFonts w:hint="eastAsia" w:ascii="宋体" w:hAnsi="宋体"/>
          <w:color w:val="auto"/>
          <w:szCs w:val="21"/>
        </w:rPr>
        <w:t>。</w:t>
      </w:r>
    </w:p>
    <w:p w14:paraId="72129A86">
      <w:pPr>
        <w:adjustRightInd w:val="0"/>
        <w:snapToGrid w:val="0"/>
        <w:spacing w:before="50" w:line="360" w:lineRule="auto"/>
        <w:ind w:firstLine="420" w:firstLineChars="200"/>
        <w:rPr>
          <w:rFonts w:hint="eastAsia" w:ascii="宋体" w:hAnsi="宋体" w:eastAsia="宋体"/>
          <w:color w:val="auto"/>
          <w:szCs w:val="21"/>
          <w:lang w:eastAsia="zh-CN"/>
        </w:rPr>
      </w:pPr>
      <w:r>
        <w:rPr>
          <w:rFonts w:hint="eastAsia" w:ascii="宋体" w:hAnsi="宋体"/>
          <w:color w:val="auto"/>
          <w:szCs w:val="21"/>
          <w:lang w:eastAsia="zh-CN"/>
        </w:rPr>
        <w:t>（</w:t>
      </w:r>
      <w:r>
        <w:rPr>
          <w:rFonts w:hint="eastAsia" w:ascii="宋体" w:hAnsi="宋体"/>
          <w:color w:val="auto"/>
          <w:szCs w:val="21"/>
          <w:lang w:val="en-US" w:eastAsia="zh-CN"/>
        </w:rPr>
        <w:t>4</w:t>
      </w:r>
      <w:r>
        <w:rPr>
          <w:rFonts w:hint="eastAsia" w:ascii="宋体" w:hAnsi="宋体"/>
          <w:color w:val="auto"/>
          <w:szCs w:val="21"/>
          <w:lang w:eastAsia="zh-CN"/>
        </w:rPr>
        <w:t>）</w:t>
      </w:r>
      <w:r>
        <w:rPr>
          <w:rFonts w:hint="eastAsia" w:ascii="宋体" w:hAnsi="宋体"/>
          <w:b/>
          <w:bCs w:val="0"/>
          <w:color w:val="auto"/>
          <w:szCs w:val="21"/>
        </w:rPr>
        <w:t>本表须按包填写，一个“包号”一份</w:t>
      </w:r>
      <w:r>
        <w:rPr>
          <w:rFonts w:hint="eastAsia" w:ascii="宋体" w:hAnsi="宋体"/>
          <w:b/>
          <w:bCs w:val="0"/>
          <w:color w:val="auto"/>
          <w:szCs w:val="21"/>
          <w:lang w:eastAsia="zh-CN"/>
        </w:rPr>
        <w:t>。</w:t>
      </w:r>
    </w:p>
    <w:p w14:paraId="3B6BF408">
      <w:pPr>
        <w:adjustRightInd w:val="0"/>
        <w:snapToGrid w:val="0"/>
        <w:spacing w:before="50" w:line="360" w:lineRule="auto"/>
        <w:rPr>
          <w:rFonts w:ascii="宋体" w:hAnsi="宋体"/>
          <w:color w:val="auto"/>
          <w:szCs w:val="21"/>
        </w:rPr>
      </w:pPr>
    </w:p>
    <w:p w14:paraId="6D9A95D3">
      <w:pPr>
        <w:adjustRightInd w:val="0"/>
        <w:snapToGrid w:val="0"/>
        <w:spacing w:before="50" w:line="360" w:lineRule="auto"/>
        <w:rPr>
          <w:rFonts w:ascii="宋体" w:hAnsi="宋体"/>
          <w:color w:val="auto"/>
          <w:szCs w:val="21"/>
        </w:rPr>
      </w:pPr>
    </w:p>
    <w:p w14:paraId="58AFC0FE">
      <w:pPr>
        <w:adjustRightInd w:val="0"/>
        <w:snapToGrid w:val="0"/>
        <w:spacing w:before="50" w:line="360" w:lineRule="auto"/>
        <w:rPr>
          <w:rFonts w:ascii="宋体" w:hAnsi="宋体"/>
          <w:color w:val="auto"/>
          <w:szCs w:val="21"/>
        </w:rPr>
      </w:pPr>
      <w:r>
        <w:rPr>
          <w:rFonts w:hint="eastAsia" w:ascii="宋体" w:hAnsi="宋体"/>
          <w:color w:val="auto"/>
          <w:szCs w:val="21"/>
        </w:rPr>
        <w:t>供应商名称（盖单位公章）：</w:t>
      </w:r>
    </w:p>
    <w:p w14:paraId="1E5DB436">
      <w:pPr>
        <w:adjustRightInd w:val="0"/>
        <w:snapToGrid w:val="0"/>
        <w:spacing w:before="50"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2F94861A">
      <w:pPr>
        <w:adjustRightInd w:val="0"/>
        <w:snapToGrid w:val="0"/>
        <w:spacing w:before="50" w:line="360" w:lineRule="auto"/>
        <w:rPr>
          <w:rFonts w:ascii="宋体" w:hAnsi="宋体"/>
          <w:color w:val="auto"/>
          <w:szCs w:val="21"/>
        </w:rPr>
      </w:pPr>
      <w:r>
        <w:rPr>
          <w:rFonts w:hint="eastAsia" w:ascii="宋体" w:hAnsi="宋体"/>
          <w:color w:val="auto"/>
          <w:szCs w:val="21"/>
        </w:rPr>
        <w:t>日      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_日</w:t>
      </w:r>
    </w:p>
    <w:p w14:paraId="7DB1FF1B">
      <w:pPr>
        <w:rPr>
          <w:color w:val="auto"/>
        </w:rPr>
      </w:pPr>
    </w:p>
    <w:p w14:paraId="661234AC">
      <w:pPr>
        <w:rPr>
          <w:color w:val="auto"/>
        </w:rPr>
      </w:pPr>
    </w:p>
    <w:p w14:paraId="18D7DFCC">
      <w:pPr>
        <w:pStyle w:val="3"/>
        <w:jc w:val="center"/>
        <w:rPr>
          <w:rFonts w:ascii="黑体" w:hAnsi="黑体" w:eastAsia="黑体"/>
          <w:color w:val="auto"/>
          <w:sz w:val="28"/>
          <w:szCs w:val="28"/>
        </w:rPr>
      </w:pPr>
      <w:r>
        <w:rPr>
          <w:color w:val="auto"/>
        </w:rPr>
        <w:br w:type="page"/>
      </w:r>
      <w:bookmarkStart w:id="67" w:name="_Toc22201161"/>
      <w:bookmarkStart w:id="68" w:name="_Toc23888"/>
      <w:r>
        <w:rPr>
          <w:rFonts w:hint="eastAsia" w:ascii="黑体" w:hAnsi="黑体" w:eastAsia="黑体"/>
          <w:color w:val="auto"/>
          <w:sz w:val="28"/>
          <w:szCs w:val="28"/>
        </w:rPr>
        <w:t>九、享受政府采购政策优惠的证明资料</w:t>
      </w:r>
      <w:bookmarkEnd w:id="67"/>
      <w:bookmarkEnd w:id="68"/>
    </w:p>
    <w:p w14:paraId="0010653A">
      <w:pPr>
        <w:adjustRightInd w:val="0"/>
        <w:snapToGrid w:val="0"/>
        <w:spacing w:line="360" w:lineRule="auto"/>
        <w:rPr>
          <w:rFonts w:ascii="黑体" w:hAnsi="华文中宋" w:eastAsia="黑体" w:cs="宋体"/>
          <w:bCs/>
          <w:color w:val="auto"/>
          <w:spacing w:val="6"/>
          <w:kern w:val="0"/>
          <w:szCs w:val="21"/>
        </w:rPr>
      </w:pPr>
    </w:p>
    <w:p w14:paraId="2FC89CD2">
      <w:pPr>
        <w:adjustRightInd w:val="0"/>
        <w:snapToGrid w:val="0"/>
        <w:spacing w:line="360" w:lineRule="auto"/>
        <w:ind w:firstLine="444" w:firstLineChars="200"/>
        <w:rPr>
          <w:rFonts w:ascii="宋体" w:hAnsi="宋体" w:cs="宋体"/>
          <w:bCs/>
          <w:color w:val="auto"/>
          <w:spacing w:val="6"/>
          <w:kern w:val="0"/>
          <w:szCs w:val="21"/>
        </w:rPr>
      </w:pPr>
      <w:r>
        <w:rPr>
          <w:rFonts w:hint="eastAsia" w:ascii="宋体" w:hAnsi="宋体" w:cs="宋体"/>
          <w:bCs/>
          <w:color w:val="auto"/>
          <w:spacing w:val="6"/>
          <w:kern w:val="0"/>
          <w:szCs w:val="21"/>
        </w:rPr>
        <w:t>供应商符合第二章第二节第37条要求的，应提供下列证明资料，并填写相关数据。否则，评审时不予以考虑。</w:t>
      </w:r>
    </w:p>
    <w:p w14:paraId="6FE1B23C">
      <w:pPr>
        <w:adjustRightInd w:val="0"/>
        <w:snapToGrid w:val="0"/>
        <w:spacing w:line="360" w:lineRule="auto"/>
        <w:rPr>
          <w:rFonts w:ascii="黑体" w:hAnsi="华文中宋" w:eastAsia="黑体" w:cs="宋体"/>
          <w:bCs/>
          <w:color w:val="auto"/>
          <w:spacing w:val="6"/>
          <w:kern w:val="0"/>
          <w:szCs w:val="21"/>
        </w:rPr>
      </w:pPr>
    </w:p>
    <w:p w14:paraId="72AC01ED">
      <w:pPr>
        <w:pStyle w:val="4"/>
        <w:rPr>
          <w:rFonts w:ascii="宋体" w:hAnsi="宋体"/>
          <w:color w:val="auto"/>
          <w:sz w:val="21"/>
          <w:szCs w:val="21"/>
        </w:rPr>
      </w:pPr>
      <w:bookmarkStart w:id="69" w:name="_Toc29998"/>
      <w:bookmarkStart w:id="70" w:name="_Toc22201162"/>
      <w:r>
        <w:rPr>
          <w:rFonts w:hint="eastAsia" w:ascii="宋体" w:hAnsi="宋体"/>
          <w:color w:val="auto"/>
          <w:sz w:val="21"/>
          <w:szCs w:val="21"/>
        </w:rPr>
        <w:t>附件9-1小型、微型企业声明函</w:t>
      </w:r>
      <w:bookmarkEnd w:id="69"/>
      <w:bookmarkEnd w:id="70"/>
    </w:p>
    <w:p w14:paraId="2D469935">
      <w:pPr>
        <w:widowControl/>
        <w:adjustRightInd w:val="0"/>
        <w:snapToGrid w:val="0"/>
        <w:spacing w:line="360" w:lineRule="auto"/>
        <w:jc w:val="center"/>
        <w:rPr>
          <w:rFonts w:ascii="黑体" w:hAnsi="黑体" w:eastAsia="黑体" w:cs="宋体"/>
          <w:b/>
          <w:bCs/>
          <w:color w:val="auto"/>
          <w:spacing w:val="6"/>
          <w:kern w:val="0"/>
          <w:sz w:val="28"/>
          <w:szCs w:val="28"/>
        </w:rPr>
      </w:pPr>
      <w:r>
        <w:rPr>
          <w:rFonts w:hint="eastAsia" w:ascii="黑体" w:hAnsi="黑体" w:eastAsia="黑体" w:cs="黑体"/>
          <w:b/>
          <w:bCs/>
          <w:color w:val="auto"/>
          <w:spacing w:val="6"/>
          <w:kern w:val="0"/>
          <w:sz w:val="28"/>
          <w:szCs w:val="28"/>
        </w:rPr>
        <w:t>中小企业声明函</w:t>
      </w:r>
      <w:r>
        <w:rPr>
          <w:rFonts w:hint="eastAsia" w:ascii="黑体" w:hAnsi="黑体" w:eastAsia="黑体" w:cs="黑体"/>
          <w:b/>
          <w:bCs/>
          <w:color w:val="auto"/>
          <w:spacing w:val="6"/>
          <w:kern w:val="0"/>
          <w:sz w:val="28"/>
          <w:szCs w:val="28"/>
          <w:lang w:eastAsia="zh-CN"/>
        </w:rPr>
        <w:t>（货物）</w:t>
      </w:r>
    </w:p>
    <w:p w14:paraId="14171B36">
      <w:pPr>
        <w:bidi w:val="0"/>
        <w:rPr>
          <w:rFonts w:hint="eastAsia"/>
          <w:color w:val="auto"/>
          <w:lang w:val="en-US" w:eastAsia="zh-CN"/>
        </w:rPr>
      </w:pPr>
      <w:r>
        <w:rPr>
          <w:rFonts w:hint="eastAsia"/>
          <w:color w:val="auto"/>
          <w:lang w:val="en-US" w:eastAsia="zh-CN"/>
        </w:rPr>
        <w:t xml:space="preserve">                           </w:t>
      </w:r>
    </w:p>
    <w:p w14:paraId="28DD3A66">
      <w:pPr>
        <w:bidi w:val="0"/>
        <w:rPr>
          <w:rFonts w:hint="default" w:eastAsia="宋体"/>
          <w:color w:val="auto"/>
          <w:lang w:val="en-US" w:eastAsia="zh-CN"/>
        </w:rPr>
      </w:pPr>
    </w:p>
    <w:p w14:paraId="402916B7">
      <w:pPr>
        <w:widowControl/>
        <w:adjustRightInd w:val="0"/>
        <w:snapToGrid w:val="0"/>
        <w:spacing w:beforeLines="50" w:line="360" w:lineRule="auto"/>
        <w:ind w:firstLine="444" w:firstLineChars="200"/>
        <w:jc w:val="left"/>
        <w:rPr>
          <w:rFonts w:hint="eastAsia" w:ascii="宋体" w:hAnsi="宋体" w:cs="宋体"/>
          <w:color w:val="auto"/>
          <w:spacing w:val="6"/>
          <w:kern w:val="0"/>
          <w:szCs w:val="21"/>
        </w:rPr>
      </w:pPr>
      <w:r>
        <w:rPr>
          <w:rFonts w:hint="eastAsia" w:ascii="宋体" w:hAnsi="宋体" w:cs="宋体"/>
          <w:color w:val="auto"/>
          <w:spacing w:val="6"/>
          <w:kern w:val="0"/>
          <w:szCs w:val="21"/>
        </w:rPr>
        <w:t>本公司（联合体）郑重声明，根据《政府采购促进中小企业发展管理办法》（财库﹝2020﹞46号）的规定，本公司（联合体）参加</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（单位名称）</w:t>
      </w:r>
      <w:r>
        <w:rPr>
          <w:rFonts w:hint="eastAsia" w:ascii="宋体" w:hAnsi="宋体" w:cs="宋体"/>
          <w:color w:val="auto"/>
          <w:spacing w:val="6"/>
          <w:kern w:val="0"/>
          <w:szCs w:val="21"/>
        </w:rPr>
        <w:t>的</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（项目名称）</w:t>
      </w:r>
      <w:r>
        <w:rPr>
          <w:rFonts w:hint="eastAsia" w:ascii="宋体" w:hAnsi="宋体" w:cs="宋体"/>
          <w:color w:val="auto"/>
          <w:spacing w:val="6"/>
          <w:kern w:val="0"/>
          <w:szCs w:val="21"/>
        </w:rPr>
        <w:t>采购活动，提供的货物全部由符合政策要求的中小企业制造。相关企业（含联合体中的中小企业、签订分包意向协议的中小企业）的具体情况如下：</w:t>
      </w:r>
    </w:p>
    <w:p w14:paraId="0BF00A12">
      <w:pPr>
        <w:widowControl/>
        <w:numPr>
          <w:ilvl w:val="0"/>
          <w:numId w:val="0"/>
        </w:numPr>
        <w:adjustRightInd w:val="0"/>
        <w:snapToGrid w:val="0"/>
        <w:spacing w:beforeLines="50" w:line="360" w:lineRule="auto"/>
        <w:ind w:firstLine="444" w:firstLineChars="200"/>
        <w:jc w:val="left"/>
        <w:rPr>
          <w:rFonts w:hint="eastAsia" w:ascii="宋体" w:hAnsi="宋体" w:cs="宋体"/>
          <w:color w:val="auto"/>
          <w:spacing w:val="6"/>
          <w:kern w:val="0"/>
          <w:szCs w:val="21"/>
        </w:rPr>
      </w:pPr>
      <w:r>
        <w:rPr>
          <w:rFonts w:hint="eastAsia" w:ascii="宋体" w:hAnsi="宋体" w:cs="宋体"/>
          <w:color w:val="auto"/>
          <w:spacing w:val="6"/>
          <w:kern w:val="0"/>
          <w:szCs w:val="21"/>
          <w:u w:val="none"/>
          <w:lang w:val="en-US" w:eastAsia="zh-CN"/>
        </w:rPr>
        <w:t>1.</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（标的名称）</w:t>
      </w:r>
      <w:r>
        <w:rPr>
          <w:rFonts w:hint="eastAsia" w:ascii="宋体" w:hAnsi="宋体" w:cs="宋体"/>
          <w:color w:val="auto"/>
          <w:spacing w:val="6"/>
          <w:kern w:val="0"/>
          <w:szCs w:val="21"/>
        </w:rPr>
        <w:t>，属于</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w:t>
      </w:r>
      <w:r>
        <w:rPr>
          <w:rFonts w:hint="eastAsia" w:ascii="宋体" w:hAnsi="宋体" w:cs="宋体"/>
          <w:color w:val="auto"/>
          <w:spacing w:val="6"/>
          <w:kern w:val="0"/>
          <w:szCs w:val="21"/>
          <w:u w:val="single"/>
          <w:lang w:eastAsia="zh-CN"/>
        </w:rPr>
        <w:t>标</w:t>
      </w:r>
      <w:r>
        <w:rPr>
          <w:rFonts w:hint="eastAsia" w:ascii="宋体" w:hAnsi="宋体" w:cs="宋体"/>
          <w:color w:val="auto"/>
          <w:spacing w:val="6"/>
          <w:kern w:val="0"/>
          <w:szCs w:val="21"/>
          <w:u w:val="single"/>
        </w:rPr>
        <w:t>的所属行业）行业</w:t>
      </w:r>
      <w:r>
        <w:rPr>
          <w:rFonts w:hint="eastAsia" w:ascii="宋体" w:hAnsi="宋体" w:cs="宋体"/>
          <w:color w:val="auto"/>
          <w:spacing w:val="6"/>
          <w:kern w:val="0"/>
          <w:szCs w:val="21"/>
        </w:rPr>
        <w:t>；制造商为</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（企业名称）</w:t>
      </w:r>
      <w:r>
        <w:rPr>
          <w:rFonts w:hint="eastAsia" w:ascii="宋体" w:hAnsi="宋体" w:cs="宋体"/>
          <w:color w:val="auto"/>
          <w:spacing w:val="6"/>
          <w:kern w:val="0"/>
          <w:szCs w:val="21"/>
        </w:rPr>
        <w:t>，从业人员</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rPr>
        <w:t>人，营业收入为</w:t>
      </w:r>
      <w:r>
        <w:rPr>
          <w:rFonts w:hint="eastAsia" w:ascii="宋体" w:hAnsi="宋体" w:cs="宋体"/>
          <w:color w:val="auto"/>
          <w:spacing w:val="6"/>
          <w:kern w:val="0"/>
          <w:szCs w:val="21"/>
          <w:u w:val="single"/>
        </w:rPr>
        <w:t xml:space="preserve"> </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rPr>
        <w:t>万元，资产总额为</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rPr>
        <w:t>万元，属于</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（中型企业、小型企业、微型企业）</w:t>
      </w:r>
      <w:r>
        <w:rPr>
          <w:rFonts w:hint="eastAsia" w:ascii="宋体" w:hAnsi="宋体" w:cs="宋体"/>
          <w:color w:val="auto"/>
          <w:spacing w:val="6"/>
          <w:kern w:val="0"/>
          <w:szCs w:val="21"/>
        </w:rPr>
        <w:t>；</w:t>
      </w:r>
    </w:p>
    <w:p w14:paraId="78F352B1">
      <w:pPr>
        <w:widowControl/>
        <w:adjustRightInd w:val="0"/>
        <w:snapToGrid w:val="0"/>
        <w:spacing w:beforeLines="50" w:line="360" w:lineRule="auto"/>
        <w:ind w:firstLine="444" w:firstLineChars="200"/>
        <w:jc w:val="left"/>
        <w:rPr>
          <w:rFonts w:hint="eastAsia" w:ascii="宋体" w:hAnsi="宋体" w:cs="宋体"/>
          <w:color w:val="auto"/>
          <w:spacing w:val="6"/>
          <w:kern w:val="0"/>
          <w:szCs w:val="21"/>
        </w:rPr>
      </w:pPr>
      <w:r>
        <w:rPr>
          <w:rFonts w:hint="eastAsia" w:ascii="宋体" w:hAnsi="宋体" w:cs="宋体"/>
          <w:color w:val="auto"/>
          <w:spacing w:val="6"/>
          <w:kern w:val="0"/>
          <w:szCs w:val="21"/>
          <w:lang w:val="en-US" w:eastAsia="zh-CN"/>
        </w:rPr>
        <w:t>2.</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（标的名称）</w:t>
      </w:r>
      <w:r>
        <w:rPr>
          <w:rFonts w:hint="eastAsia" w:ascii="宋体" w:hAnsi="宋体" w:cs="宋体"/>
          <w:color w:val="auto"/>
          <w:spacing w:val="6"/>
          <w:kern w:val="0"/>
          <w:szCs w:val="21"/>
        </w:rPr>
        <w:t>，属于</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w:t>
      </w:r>
      <w:r>
        <w:rPr>
          <w:rFonts w:hint="eastAsia" w:ascii="宋体" w:hAnsi="宋体" w:cs="宋体"/>
          <w:color w:val="auto"/>
          <w:spacing w:val="6"/>
          <w:kern w:val="0"/>
          <w:szCs w:val="21"/>
          <w:u w:val="single"/>
          <w:lang w:eastAsia="zh-CN"/>
        </w:rPr>
        <w:t>标</w:t>
      </w:r>
      <w:r>
        <w:rPr>
          <w:rFonts w:hint="eastAsia" w:ascii="宋体" w:hAnsi="宋体" w:cs="宋体"/>
          <w:color w:val="auto"/>
          <w:spacing w:val="6"/>
          <w:kern w:val="0"/>
          <w:szCs w:val="21"/>
          <w:u w:val="single"/>
        </w:rPr>
        <w:t>的所属行业）行业</w:t>
      </w:r>
      <w:r>
        <w:rPr>
          <w:rFonts w:hint="eastAsia" w:ascii="宋体" w:hAnsi="宋体" w:cs="宋体"/>
          <w:color w:val="auto"/>
          <w:spacing w:val="6"/>
          <w:kern w:val="0"/>
          <w:szCs w:val="21"/>
        </w:rPr>
        <w:t>；制造商为</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（企业名称）</w:t>
      </w:r>
      <w:r>
        <w:rPr>
          <w:rFonts w:hint="eastAsia" w:ascii="宋体" w:hAnsi="宋体" w:cs="宋体"/>
          <w:color w:val="auto"/>
          <w:spacing w:val="6"/>
          <w:kern w:val="0"/>
          <w:szCs w:val="21"/>
        </w:rPr>
        <w:t>，从业人员</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rPr>
        <w:t>人，营业收入为</w:t>
      </w:r>
      <w:r>
        <w:rPr>
          <w:rFonts w:hint="eastAsia" w:ascii="宋体" w:hAnsi="宋体" w:cs="宋体"/>
          <w:color w:val="auto"/>
          <w:spacing w:val="6"/>
          <w:kern w:val="0"/>
          <w:szCs w:val="21"/>
          <w:u w:val="single"/>
        </w:rPr>
        <w:t xml:space="preserve"> </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rPr>
        <w:t>万元，资产总额为</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rPr>
        <w:t>万元，属于</w:t>
      </w:r>
      <w:r>
        <w:rPr>
          <w:rFonts w:hint="eastAsia" w:ascii="宋体" w:hAnsi="宋体" w:cs="宋体"/>
          <w:color w:val="auto"/>
          <w:spacing w:val="6"/>
          <w:kern w:val="0"/>
          <w:szCs w:val="21"/>
          <w:u w:val="single"/>
          <w:lang w:val="en-US" w:eastAsia="zh-CN"/>
        </w:rPr>
        <w:t xml:space="preserve">   </w:t>
      </w:r>
      <w:r>
        <w:rPr>
          <w:rFonts w:hint="eastAsia" w:ascii="宋体" w:hAnsi="宋体" w:cs="宋体"/>
          <w:color w:val="auto"/>
          <w:spacing w:val="6"/>
          <w:kern w:val="0"/>
          <w:szCs w:val="21"/>
          <w:u w:val="single"/>
        </w:rPr>
        <w:t>（中型企业、小型企业、微型企业）</w:t>
      </w:r>
      <w:r>
        <w:rPr>
          <w:rFonts w:hint="eastAsia" w:ascii="宋体" w:hAnsi="宋体" w:cs="宋体"/>
          <w:color w:val="auto"/>
          <w:spacing w:val="6"/>
          <w:kern w:val="0"/>
          <w:szCs w:val="21"/>
        </w:rPr>
        <w:t>；</w:t>
      </w:r>
    </w:p>
    <w:p w14:paraId="74388A77">
      <w:pPr>
        <w:widowControl/>
        <w:adjustRightInd w:val="0"/>
        <w:snapToGrid w:val="0"/>
        <w:spacing w:beforeLines="50" w:line="360" w:lineRule="auto"/>
        <w:ind w:firstLine="444" w:firstLineChars="200"/>
        <w:jc w:val="left"/>
        <w:rPr>
          <w:rFonts w:hint="eastAsia" w:ascii="宋体" w:hAnsi="宋体" w:cs="宋体"/>
          <w:color w:val="auto"/>
          <w:spacing w:val="6"/>
          <w:kern w:val="0"/>
          <w:szCs w:val="21"/>
        </w:rPr>
      </w:pPr>
      <w:r>
        <w:rPr>
          <w:rFonts w:hint="eastAsia" w:ascii="宋体" w:hAnsi="宋体" w:cs="宋体"/>
          <w:color w:val="auto"/>
          <w:spacing w:val="6"/>
          <w:kern w:val="0"/>
          <w:szCs w:val="21"/>
        </w:rPr>
        <w:t>……</w:t>
      </w:r>
    </w:p>
    <w:p w14:paraId="3271FCA1">
      <w:pPr>
        <w:widowControl/>
        <w:adjustRightInd w:val="0"/>
        <w:snapToGrid w:val="0"/>
        <w:spacing w:beforeLines="50" w:line="360" w:lineRule="auto"/>
        <w:ind w:firstLine="444" w:firstLineChars="200"/>
        <w:jc w:val="left"/>
        <w:rPr>
          <w:rFonts w:hint="eastAsia" w:ascii="宋体" w:hAnsi="宋体" w:cs="宋体"/>
          <w:color w:val="auto"/>
          <w:spacing w:val="6"/>
          <w:kern w:val="0"/>
          <w:szCs w:val="21"/>
        </w:rPr>
      </w:pPr>
      <w:r>
        <w:rPr>
          <w:rFonts w:hint="eastAsia" w:ascii="宋体" w:hAnsi="宋体" w:cs="宋体"/>
          <w:color w:val="auto"/>
          <w:spacing w:val="6"/>
          <w:kern w:val="0"/>
          <w:szCs w:val="21"/>
        </w:rPr>
        <w:t>以上企业，不属于大企业的分支机构，不存在控股股东为大企业的情形，也不存在与大企业的负责人为同一人的情形。</w:t>
      </w:r>
    </w:p>
    <w:p w14:paraId="074391B9">
      <w:pPr>
        <w:widowControl/>
        <w:adjustRightInd w:val="0"/>
        <w:snapToGrid w:val="0"/>
        <w:spacing w:beforeLines="50" w:line="360" w:lineRule="auto"/>
        <w:ind w:firstLine="444" w:firstLineChars="200"/>
        <w:jc w:val="left"/>
        <w:rPr>
          <w:rFonts w:hint="eastAsia" w:ascii="宋体" w:hAnsi="宋体" w:cs="宋体"/>
          <w:color w:val="auto"/>
          <w:spacing w:val="6"/>
          <w:kern w:val="0"/>
          <w:szCs w:val="21"/>
        </w:rPr>
      </w:pPr>
      <w:r>
        <w:rPr>
          <w:rFonts w:hint="eastAsia" w:ascii="宋体" w:hAnsi="宋体" w:cs="宋体"/>
          <w:color w:val="auto"/>
          <w:spacing w:val="6"/>
          <w:kern w:val="0"/>
          <w:szCs w:val="21"/>
        </w:rPr>
        <w:t>本企业对上述声明内容的真实性负责。如有虚假，将依法承担相应责任。</w:t>
      </w:r>
    </w:p>
    <w:p w14:paraId="72C9230F">
      <w:pPr>
        <w:widowControl/>
        <w:adjustRightInd w:val="0"/>
        <w:snapToGrid w:val="0"/>
        <w:spacing w:beforeLines="50" w:line="360" w:lineRule="auto"/>
        <w:ind w:firstLine="444" w:firstLineChars="200"/>
        <w:jc w:val="left"/>
        <w:rPr>
          <w:rFonts w:hint="eastAsia" w:ascii="宋体" w:hAnsi="宋体" w:cs="宋体"/>
          <w:color w:val="auto"/>
          <w:spacing w:val="6"/>
          <w:kern w:val="0"/>
          <w:szCs w:val="21"/>
        </w:rPr>
      </w:pPr>
    </w:p>
    <w:p w14:paraId="3B5581AD">
      <w:pPr>
        <w:widowControl/>
        <w:adjustRightInd w:val="0"/>
        <w:snapToGrid w:val="0"/>
        <w:spacing w:beforeLines="50" w:line="360" w:lineRule="auto"/>
        <w:ind w:firstLine="3330" w:firstLineChars="1500"/>
        <w:jc w:val="both"/>
        <w:rPr>
          <w:rFonts w:hint="eastAsia" w:ascii="宋体" w:hAnsi="宋体" w:cs="宋体"/>
          <w:color w:val="auto"/>
          <w:spacing w:val="6"/>
          <w:kern w:val="0"/>
          <w:szCs w:val="21"/>
        </w:rPr>
      </w:pPr>
      <w:r>
        <w:rPr>
          <w:rFonts w:hint="eastAsia" w:ascii="宋体" w:hAnsi="宋体" w:cs="宋体"/>
          <w:color w:val="auto"/>
          <w:spacing w:val="6"/>
          <w:kern w:val="0"/>
          <w:szCs w:val="21"/>
        </w:rPr>
        <w:t>企业名称（盖章）：</w:t>
      </w:r>
    </w:p>
    <w:p w14:paraId="3568B1CA">
      <w:pPr>
        <w:widowControl/>
        <w:adjustRightInd w:val="0"/>
        <w:snapToGrid w:val="0"/>
        <w:spacing w:line="360" w:lineRule="auto"/>
        <w:ind w:firstLine="444" w:firstLineChars="200"/>
        <w:jc w:val="center"/>
        <w:rPr>
          <w:rFonts w:ascii="宋体" w:hAnsi="宋体" w:cs="宋体"/>
          <w:color w:val="auto"/>
          <w:spacing w:val="6"/>
          <w:kern w:val="0"/>
          <w:szCs w:val="21"/>
          <w:u w:val="single"/>
        </w:rPr>
      </w:pPr>
      <w:r>
        <w:rPr>
          <w:rFonts w:hint="eastAsia" w:ascii="宋体" w:hAnsi="宋体" w:cs="宋体"/>
          <w:color w:val="auto"/>
          <w:spacing w:val="6"/>
          <w:kern w:val="0"/>
          <w:szCs w:val="21"/>
          <w:lang w:val="en-US" w:eastAsia="zh-CN"/>
        </w:rPr>
        <w:t xml:space="preserve">          </w:t>
      </w:r>
      <w:r>
        <w:rPr>
          <w:rFonts w:hint="eastAsia" w:ascii="宋体" w:hAnsi="宋体" w:cs="宋体"/>
          <w:color w:val="auto"/>
          <w:spacing w:val="6"/>
          <w:kern w:val="0"/>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F1E22AA">
      <w:pPr>
        <w:pStyle w:val="5"/>
        <w:rPr>
          <w:rFonts w:ascii="宋体" w:hAnsi="宋体" w:eastAsia="宋体"/>
          <w:color w:val="auto"/>
          <w:sz w:val="21"/>
          <w:szCs w:val="21"/>
        </w:rPr>
      </w:pPr>
      <w:r>
        <w:rPr>
          <w:rFonts w:ascii="宋体" w:cs="宋体"/>
          <w:color w:val="auto"/>
          <w:spacing w:val="6"/>
          <w:kern w:val="0"/>
        </w:rPr>
        <w:br w:type="page"/>
      </w:r>
      <w:bookmarkStart w:id="71" w:name="_Toc22201163"/>
      <w:r>
        <w:rPr>
          <w:rFonts w:hint="eastAsia" w:ascii="宋体" w:hAnsi="宋体" w:eastAsia="宋体" w:cs="宋体"/>
          <w:color w:val="auto"/>
          <w:spacing w:val="6"/>
          <w:kern w:val="0"/>
          <w:sz w:val="21"/>
          <w:szCs w:val="21"/>
        </w:rPr>
        <w:t xml:space="preserve">附页1 </w:t>
      </w:r>
      <w:r>
        <w:rPr>
          <w:rFonts w:hint="eastAsia" w:ascii="宋体" w:hAnsi="宋体" w:eastAsia="宋体"/>
          <w:color w:val="auto"/>
          <w:sz w:val="21"/>
          <w:szCs w:val="21"/>
        </w:rPr>
        <w:t>价格评审优惠货物清单</w:t>
      </w:r>
      <w:bookmarkEnd w:id="71"/>
    </w:p>
    <w:p w14:paraId="513AEB9F">
      <w:pPr>
        <w:adjustRightInd w:val="0"/>
        <w:snapToGrid w:val="0"/>
        <w:spacing w:before="50" w:line="360" w:lineRule="auto"/>
        <w:jc w:val="center"/>
        <w:rPr>
          <w:rFonts w:ascii="宋体" w:hAnsi="宋体"/>
          <w:color w:val="auto"/>
          <w:szCs w:val="21"/>
        </w:rPr>
      </w:pPr>
      <w:r>
        <w:rPr>
          <w:rFonts w:hint="eastAsia" w:ascii="黑体" w:hAnsi="宋体" w:eastAsia="黑体"/>
          <w:b/>
          <w:color w:val="auto"/>
          <w:sz w:val="28"/>
          <w:szCs w:val="28"/>
        </w:rPr>
        <w:t>价格评审优惠货物清单</w:t>
      </w:r>
    </w:p>
    <w:p w14:paraId="42E68DC2">
      <w:pPr>
        <w:adjustRightInd w:val="0"/>
        <w:snapToGrid w:val="0"/>
        <w:spacing w:before="50" w:line="360" w:lineRule="auto"/>
        <w:rPr>
          <w:rFonts w:ascii="宋体" w:hAnsi="宋体"/>
          <w:color w:val="auto"/>
          <w:szCs w:val="21"/>
        </w:rPr>
      </w:pPr>
      <w:r>
        <w:rPr>
          <w:rFonts w:hint="eastAsia" w:ascii="宋体" w:hAnsi="宋体"/>
          <w:color w:val="auto"/>
          <w:szCs w:val="21"/>
          <w:lang w:eastAsia="zh-CN"/>
        </w:rPr>
        <w:t>委托代理编号</w:t>
      </w:r>
      <w:r>
        <w:rPr>
          <w:rFonts w:hint="eastAsia" w:ascii="宋体" w:hAnsi="宋体"/>
          <w:color w:val="auto"/>
          <w:szCs w:val="21"/>
        </w:rPr>
        <w:t>：</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w:t>
      </w:r>
    </w:p>
    <w:p w14:paraId="77BF7E5E">
      <w:pPr>
        <w:adjustRightInd w:val="0"/>
        <w:snapToGrid w:val="0"/>
        <w:spacing w:before="50" w:line="360" w:lineRule="auto"/>
        <w:rPr>
          <w:rFonts w:ascii="宋体" w:hAnsi="宋体"/>
          <w:color w:val="auto"/>
          <w:szCs w:val="21"/>
        </w:rPr>
      </w:pPr>
      <w:r>
        <w:rPr>
          <w:rFonts w:hint="eastAsia" w:ascii="宋体" w:hAnsi="宋体"/>
          <w:color w:val="auto"/>
          <w:szCs w:val="21"/>
        </w:rPr>
        <w:t xml:space="preserve">包   </w:t>
      </w:r>
      <w:r>
        <w:rPr>
          <w:rFonts w:hint="eastAsia" w:ascii="宋体" w:hAnsi="宋体"/>
          <w:color w:val="auto"/>
          <w:szCs w:val="21"/>
          <w:lang w:val="en-US" w:eastAsia="zh-CN"/>
        </w:rPr>
        <w:t xml:space="preserve"> </w:t>
      </w:r>
      <w:r>
        <w:rPr>
          <w:rFonts w:hint="eastAsia" w:ascii="宋体" w:hAnsi="宋体"/>
          <w:color w:val="auto"/>
          <w:szCs w:val="21"/>
        </w:rPr>
        <w:t xml:space="preserve">    号：</w:t>
      </w:r>
      <w:r>
        <w:rPr>
          <w:rFonts w:hint="eastAsia" w:ascii="宋体" w:hAnsi="宋体"/>
          <w:color w:val="auto"/>
          <w:szCs w:val="21"/>
          <w:u w:val="single"/>
          <w:lang w:val="en-US" w:eastAsia="zh-CN"/>
        </w:rPr>
        <w:t xml:space="preserve">              </w:t>
      </w:r>
      <w:r>
        <w:rPr>
          <w:rFonts w:hint="eastAsia" w:ascii="宋体" w:hAnsi="宋体"/>
          <w:color w:val="auto"/>
          <w:szCs w:val="21"/>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299A7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1DC74AEB">
            <w:pPr>
              <w:widowControl/>
              <w:adjustRightInd w:val="0"/>
              <w:snapToGrid w:val="0"/>
              <w:spacing w:line="360" w:lineRule="auto"/>
              <w:ind w:firstLine="480" w:firstLineChars="200"/>
              <w:jc w:val="left"/>
              <w:rPr>
                <w:rFonts w:ascii="黑体" w:hAnsi="宋体" w:eastAsia="黑体"/>
                <w:color w:val="auto"/>
                <w:kern w:val="0"/>
                <w:sz w:val="24"/>
              </w:rPr>
            </w:pPr>
            <w:r>
              <w:rPr>
                <w:rFonts w:hint="eastAsia" w:ascii="黑体" w:hAnsi="宋体" w:eastAsia="黑体"/>
                <w:color w:val="auto"/>
                <w:kern w:val="0"/>
                <w:sz w:val="24"/>
              </w:rPr>
              <w:t>以下为供应商提供的享受价格评审优惠的货物，供应商对本表的真实性负责。如有虚假，将依法承担相应责任。</w:t>
            </w:r>
          </w:p>
        </w:tc>
      </w:tr>
      <w:tr w14:paraId="4A813C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52EE891A">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134" w:type="dxa"/>
            <w:vAlign w:val="center"/>
          </w:tcPr>
          <w:p w14:paraId="40AF642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34" w:type="dxa"/>
            <w:tcBorders>
              <w:right w:val="single" w:color="auto" w:sz="4" w:space="0"/>
            </w:tcBorders>
            <w:vAlign w:val="center"/>
          </w:tcPr>
          <w:p w14:paraId="5C114282">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134" w:type="dxa"/>
            <w:tcBorders>
              <w:left w:val="single" w:color="auto" w:sz="4" w:space="0"/>
            </w:tcBorders>
            <w:vAlign w:val="center"/>
          </w:tcPr>
          <w:p w14:paraId="10CE2702">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701" w:type="dxa"/>
            <w:vAlign w:val="center"/>
          </w:tcPr>
          <w:p w14:paraId="1071ADBB">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43" w:type="dxa"/>
            <w:vAlign w:val="center"/>
          </w:tcPr>
          <w:p w14:paraId="5C97B82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c>
          <w:tcPr>
            <w:tcW w:w="1134" w:type="dxa"/>
            <w:vAlign w:val="center"/>
          </w:tcPr>
          <w:p w14:paraId="3FFCF9C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7</w:t>
            </w:r>
          </w:p>
        </w:tc>
      </w:tr>
      <w:tr w14:paraId="4B98D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7F0D8A16">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134" w:type="dxa"/>
            <w:vAlign w:val="center"/>
          </w:tcPr>
          <w:p w14:paraId="78312D9E">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34" w:type="dxa"/>
            <w:tcBorders>
              <w:right w:val="single" w:color="auto" w:sz="4" w:space="0"/>
            </w:tcBorders>
            <w:vAlign w:val="center"/>
          </w:tcPr>
          <w:p w14:paraId="2E25858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134" w:type="dxa"/>
            <w:tcBorders>
              <w:left w:val="single" w:color="auto" w:sz="4" w:space="0"/>
            </w:tcBorders>
            <w:vAlign w:val="center"/>
          </w:tcPr>
          <w:p w14:paraId="4C93569B">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701" w:type="dxa"/>
            <w:vAlign w:val="center"/>
          </w:tcPr>
          <w:p w14:paraId="26EEBAA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43" w:type="dxa"/>
            <w:vAlign w:val="center"/>
          </w:tcPr>
          <w:p w14:paraId="7C2CBE7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货物制造商类型</w:t>
            </w:r>
          </w:p>
        </w:tc>
        <w:tc>
          <w:tcPr>
            <w:tcW w:w="1134" w:type="dxa"/>
            <w:vAlign w:val="center"/>
          </w:tcPr>
          <w:p w14:paraId="46CE29A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商标名称</w:t>
            </w:r>
          </w:p>
        </w:tc>
      </w:tr>
      <w:tr w14:paraId="396FB2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A9C7041">
            <w:pPr>
              <w:adjustRightInd w:val="0"/>
              <w:snapToGrid w:val="0"/>
              <w:spacing w:line="360" w:lineRule="auto"/>
              <w:jc w:val="center"/>
              <w:rPr>
                <w:rFonts w:ascii="宋体" w:hAnsi="宋体"/>
                <w:color w:val="auto"/>
                <w:szCs w:val="21"/>
              </w:rPr>
            </w:pPr>
          </w:p>
        </w:tc>
        <w:tc>
          <w:tcPr>
            <w:tcW w:w="1134" w:type="dxa"/>
            <w:vAlign w:val="center"/>
          </w:tcPr>
          <w:p w14:paraId="200EA1B9">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0BE54EF1">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7E5356DC">
            <w:pPr>
              <w:adjustRightInd w:val="0"/>
              <w:snapToGrid w:val="0"/>
              <w:spacing w:line="360" w:lineRule="auto"/>
              <w:jc w:val="center"/>
              <w:rPr>
                <w:rFonts w:ascii="宋体" w:hAnsi="宋体"/>
                <w:color w:val="auto"/>
                <w:szCs w:val="21"/>
              </w:rPr>
            </w:pPr>
          </w:p>
        </w:tc>
        <w:tc>
          <w:tcPr>
            <w:tcW w:w="1701" w:type="dxa"/>
            <w:vAlign w:val="center"/>
          </w:tcPr>
          <w:p w14:paraId="4BB9F4E5">
            <w:pPr>
              <w:adjustRightInd w:val="0"/>
              <w:snapToGrid w:val="0"/>
              <w:spacing w:line="360" w:lineRule="auto"/>
              <w:jc w:val="center"/>
              <w:rPr>
                <w:rFonts w:ascii="宋体" w:hAnsi="宋体"/>
                <w:color w:val="auto"/>
                <w:szCs w:val="21"/>
              </w:rPr>
            </w:pPr>
          </w:p>
        </w:tc>
        <w:tc>
          <w:tcPr>
            <w:tcW w:w="1843" w:type="dxa"/>
          </w:tcPr>
          <w:p w14:paraId="3F3D4B64">
            <w:pPr>
              <w:adjustRightInd w:val="0"/>
              <w:snapToGrid w:val="0"/>
              <w:spacing w:line="360" w:lineRule="auto"/>
              <w:jc w:val="center"/>
              <w:rPr>
                <w:rFonts w:ascii="宋体" w:hAnsi="宋体"/>
                <w:color w:val="auto"/>
                <w:szCs w:val="21"/>
              </w:rPr>
            </w:pPr>
          </w:p>
        </w:tc>
        <w:tc>
          <w:tcPr>
            <w:tcW w:w="1134" w:type="dxa"/>
            <w:vAlign w:val="center"/>
          </w:tcPr>
          <w:p w14:paraId="2781654B">
            <w:pPr>
              <w:adjustRightInd w:val="0"/>
              <w:snapToGrid w:val="0"/>
              <w:spacing w:line="360" w:lineRule="auto"/>
              <w:jc w:val="center"/>
              <w:rPr>
                <w:rFonts w:ascii="宋体" w:hAnsi="宋体"/>
                <w:color w:val="auto"/>
                <w:szCs w:val="21"/>
              </w:rPr>
            </w:pPr>
          </w:p>
        </w:tc>
      </w:tr>
      <w:tr w14:paraId="44CCFA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F440A0D">
            <w:pPr>
              <w:adjustRightInd w:val="0"/>
              <w:snapToGrid w:val="0"/>
              <w:spacing w:line="360" w:lineRule="auto"/>
              <w:jc w:val="center"/>
              <w:rPr>
                <w:rFonts w:ascii="宋体" w:hAnsi="宋体"/>
                <w:color w:val="auto"/>
                <w:szCs w:val="21"/>
              </w:rPr>
            </w:pPr>
          </w:p>
        </w:tc>
        <w:tc>
          <w:tcPr>
            <w:tcW w:w="1134" w:type="dxa"/>
            <w:vAlign w:val="center"/>
          </w:tcPr>
          <w:p w14:paraId="2EFF938B">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124E076E">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373FD655">
            <w:pPr>
              <w:adjustRightInd w:val="0"/>
              <w:snapToGrid w:val="0"/>
              <w:spacing w:line="360" w:lineRule="auto"/>
              <w:jc w:val="center"/>
              <w:rPr>
                <w:rFonts w:ascii="宋体" w:hAnsi="宋体"/>
                <w:color w:val="auto"/>
                <w:szCs w:val="21"/>
              </w:rPr>
            </w:pPr>
          </w:p>
        </w:tc>
        <w:tc>
          <w:tcPr>
            <w:tcW w:w="1701" w:type="dxa"/>
            <w:vAlign w:val="center"/>
          </w:tcPr>
          <w:p w14:paraId="02DF5A88">
            <w:pPr>
              <w:adjustRightInd w:val="0"/>
              <w:snapToGrid w:val="0"/>
              <w:spacing w:line="360" w:lineRule="auto"/>
              <w:jc w:val="center"/>
              <w:rPr>
                <w:rFonts w:ascii="宋体" w:hAnsi="宋体"/>
                <w:color w:val="auto"/>
                <w:szCs w:val="21"/>
              </w:rPr>
            </w:pPr>
          </w:p>
        </w:tc>
        <w:tc>
          <w:tcPr>
            <w:tcW w:w="1843" w:type="dxa"/>
          </w:tcPr>
          <w:p w14:paraId="4BC5A4A8">
            <w:pPr>
              <w:adjustRightInd w:val="0"/>
              <w:snapToGrid w:val="0"/>
              <w:spacing w:line="360" w:lineRule="auto"/>
              <w:jc w:val="center"/>
              <w:rPr>
                <w:rFonts w:ascii="宋体" w:hAnsi="宋体"/>
                <w:color w:val="auto"/>
                <w:szCs w:val="21"/>
              </w:rPr>
            </w:pPr>
          </w:p>
        </w:tc>
        <w:tc>
          <w:tcPr>
            <w:tcW w:w="1134" w:type="dxa"/>
            <w:vAlign w:val="center"/>
          </w:tcPr>
          <w:p w14:paraId="1A3FD4DF">
            <w:pPr>
              <w:adjustRightInd w:val="0"/>
              <w:snapToGrid w:val="0"/>
              <w:spacing w:line="360" w:lineRule="auto"/>
              <w:jc w:val="center"/>
              <w:rPr>
                <w:rFonts w:ascii="宋体" w:hAnsi="宋体"/>
                <w:color w:val="auto"/>
                <w:szCs w:val="21"/>
              </w:rPr>
            </w:pPr>
          </w:p>
        </w:tc>
      </w:tr>
      <w:tr w14:paraId="70CEA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9C837E7">
            <w:pPr>
              <w:adjustRightInd w:val="0"/>
              <w:snapToGrid w:val="0"/>
              <w:spacing w:line="360" w:lineRule="auto"/>
              <w:jc w:val="center"/>
              <w:rPr>
                <w:rFonts w:ascii="宋体" w:hAnsi="宋体"/>
                <w:color w:val="auto"/>
                <w:szCs w:val="21"/>
              </w:rPr>
            </w:pPr>
          </w:p>
        </w:tc>
        <w:tc>
          <w:tcPr>
            <w:tcW w:w="1134" w:type="dxa"/>
            <w:vAlign w:val="center"/>
          </w:tcPr>
          <w:p w14:paraId="39F430E1">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2A99C260">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336FAA10">
            <w:pPr>
              <w:adjustRightInd w:val="0"/>
              <w:snapToGrid w:val="0"/>
              <w:spacing w:line="360" w:lineRule="auto"/>
              <w:jc w:val="center"/>
              <w:rPr>
                <w:rFonts w:ascii="宋体" w:hAnsi="宋体"/>
                <w:color w:val="auto"/>
                <w:szCs w:val="21"/>
              </w:rPr>
            </w:pPr>
          </w:p>
        </w:tc>
        <w:tc>
          <w:tcPr>
            <w:tcW w:w="1701" w:type="dxa"/>
            <w:vAlign w:val="center"/>
          </w:tcPr>
          <w:p w14:paraId="10113872">
            <w:pPr>
              <w:adjustRightInd w:val="0"/>
              <w:snapToGrid w:val="0"/>
              <w:spacing w:line="360" w:lineRule="auto"/>
              <w:jc w:val="center"/>
              <w:rPr>
                <w:rFonts w:ascii="宋体" w:hAnsi="宋体"/>
                <w:color w:val="auto"/>
                <w:szCs w:val="21"/>
              </w:rPr>
            </w:pPr>
          </w:p>
        </w:tc>
        <w:tc>
          <w:tcPr>
            <w:tcW w:w="1843" w:type="dxa"/>
          </w:tcPr>
          <w:p w14:paraId="4892E5F7">
            <w:pPr>
              <w:adjustRightInd w:val="0"/>
              <w:snapToGrid w:val="0"/>
              <w:spacing w:line="360" w:lineRule="auto"/>
              <w:jc w:val="center"/>
              <w:rPr>
                <w:rFonts w:ascii="宋体" w:hAnsi="宋体"/>
                <w:color w:val="auto"/>
                <w:szCs w:val="21"/>
              </w:rPr>
            </w:pPr>
          </w:p>
        </w:tc>
        <w:tc>
          <w:tcPr>
            <w:tcW w:w="1134" w:type="dxa"/>
            <w:vAlign w:val="center"/>
          </w:tcPr>
          <w:p w14:paraId="5FB81089">
            <w:pPr>
              <w:adjustRightInd w:val="0"/>
              <w:snapToGrid w:val="0"/>
              <w:spacing w:line="360" w:lineRule="auto"/>
              <w:jc w:val="center"/>
              <w:rPr>
                <w:rFonts w:ascii="宋体" w:hAnsi="宋体"/>
                <w:color w:val="auto"/>
                <w:szCs w:val="21"/>
              </w:rPr>
            </w:pPr>
          </w:p>
        </w:tc>
      </w:tr>
      <w:tr w14:paraId="18C169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614BE89">
            <w:pPr>
              <w:adjustRightInd w:val="0"/>
              <w:snapToGrid w:val="0"/>
              <w:spacing w:line="360" w:lineRule="auto"/>
              <w:jc w:val="center"/>
              <w:rPr>
                <w:rFonts w:ascii="宋体" w:hAnsi="宋体"/>
                <w:color w:val="auto"/>
                <w:szCs w:val="21"/>
              </w:rPr>
            </w:pPr>
          </w:p>
        </w:tc>
        <w:tc>
          <w:tcPr>
            <w:tcW w:w="1134" w:type="dxa"/>
            <w:vAlign w:val="center"/>
          </w:tcPr>
          <w:p w14:paraId="5D7E7906">
            <w:pPr>
              <w:adjustRightInd w:val="0"/>
              <w:snapToGrid w:val="0"/>
              <w:spacing w:line="360" w:lineRule="auto"/>
              <w:jc w:val="center"/>
              <w:rPr>
                <w:rFonts w:ascii="宋体" w:hAnsi="宋体"/>
                <w:color w:val="auto"/>
                <w:szCs w:val="21"/>
              </w:rPr>
            </w:pPr>
          </w:p>
        </w:tc>
        <w:tc>
          <w:tcPr>
            <w:tcW w:w="1134" w:type="dxa"/>
            <w:tcBorders>
              <w:right w:val="single" w:color="auto" w:sz="4" w:space="0"/>
            </w:tcBorders>
            <w:vAlign w:val="center"/>
          </w:tcPr>
          <w:p w14:paraId="2BB43C2D">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7E6213E6">
            <w:pPr>
              <w:adjustRightInd w:val="0"/>
              <w:snapToGrid w:val="0"/>
              <w:spacing w:line="360" w:lineRule="auto"/>
              <w:jc w:val="center"/>
              <w:rPr>
                <w:rFonts w:ascii="宋体" w:hAnsi="宋体"/>
                <w:color w:val="auto"/>
                <w:szCs w:val="21"/>
              </w:rPr>
            </w:pPr>
          </w:p>
        </w:tc>
        <w:tc>
          <w:tcPr>
            <w:tcW w:w="1701" w:type="dxa"/>
            <w:vAlign w:val="center"/>
          </w:tcPr>
          <w:p w14:paraId="0FBDA43A">
            <w:pPr>
              <w:adjustRightInd w:val="0"/>
              <w:snapToGrid w:val="0"/>
              <w:spacing w:line="360" w:lineRule="auto"/>
              <w:jc w:val="center"/>
              <w:rPr>
                <w:rFonts w:ascii="宋体" w:hAnsi="宋体"/>
                <w:color w:val="auto"/>
                <w:szCs w:val="21"/>
              </w:rPr>
            </w:pPr>
          </w:p>
        </w:tc>
        <w:tc>
          <w:tcPr>
            <w:tcW w:w="1843" w:type="dxa"/>
          </w:tcPr>
          <w:p w14:paraId="4687CE87">
            <w:pPr>
              <w:adjustRightInd w:val="0"/>
              <w:snapToGrid w:val="0"/>
              <w:spacing w:line="360" w:lineRule="auto"/>
              <w:jc w:val="center"/>
              <w:rPr>
                <w:rFonts w:ascii="宋体" w:hAnsi="宋体"/>
                <w:color w:val="auto"/>
                <w:szCs w:val="21"/>
              </w:rPr>
            </w:pPr>
          </w:p>
        </w:tc>
        <w:tc>
          <w:tcPr>
            <w:tcW w:w="1134" w:type="dxa"/>
            <w:vAlign w:val="center"/>
          </w:tcPr>
          <w:p w14:paraId="37F3235E">
            <w:pPr>
              <w:adjustRightInd w:val="0"/>
              <w:snapToGrid w:val="0"/>
              <w:spacing w:line="360" w:lineRule="auto"/>
              <w:jc w:val="center"/>
              <w:rPr>
                <w:rFonts w:ascii="宋体" w:hAnsi="宋体"/>
                <w:color w:val="auto"/>
                <w:szCs w:val="21"/>
              </w:rPr>
            </w:pPr>
          </w:p>
        </w:tc>
      </w:tr>
      <w:tr w14:paraId="54F2A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EE83F7C">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134" w:type="dxa"/>
            <w:vAlign w:val="center"/>
          </w:tcPr>
          <w:p w14:paraId="521CB4D1">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c>
          <w:tcPr>
            <w:tcW w:w="1134" w:type="dxa"/>
            <w:tcBorders>
              <w:right w:val="single" w:color="auto" w:sz="4" w:space="0"/>
            </w:tcBorders>
            <w:vAlign w:val="center"/>
          </w:tcPr>
          <w:p w14:paraId="5BC7D825">
            <w:pPr>
              <w:adjustRightInd w:val="0"/>
              <w:snapToGrid w:val="0"/>
              <w:spacing w:line="360" w:lineRule="auto"/>
              <w:jc w:val="center"/>
              <w:rPr>
                <w:rFonts w:ascii="宋体" w:hAnsi="宋体"/>
                <w:color w:val="auto"/>
                <w:szCs w:val="21"/>
              </w:rPr>
            </w:pPr>
          </w:p>
        </w:tc>
        <w:tc>
          <w:tcPr>
            <w:tcW w:w="1134" w:type="dxa"/>
            <w:tcBorders>
              <w:left w:val="single" w:color="auto" w:sz="4" w:space="0"/>
            </w:tcBorders>
            <w:vAlign w:val="center"/>
          </w:tcPr>
          <w:p w14:paraId="3966EB9A">
            <w:pPr>
              <w:adjustRightInd w:val="0"/>
              <w:snapToGrid w:val="0"/>
              <w:spacing w:line="360" w:lineRule="auto"/>
              <w:jc w:val="center"/>
              <w:rPr>
                <w:rFonts w:ascii="宋体" w:hAnsi="宋体"/>
                <w:color w:val="auto"/>
                <w:szCs w:val="21"/>
              </w:rPr>
            </w:pPr>
          </w:p>
        </w:tc>
        <w:tc>
          <w:tcPr>
            <w:tcW w:w="1701" w:type="dxa"/>
            <w:vAlign w:val="center"/>
          </w:tcPr>
          <w:p w14:paraId="2B0308CC">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c>
          <w:tcPr>
            <w:tcW w:w="1843" w:type="dxa"/>
            <w:vAlign w:val="center"/>
          </w:tcPr>
          <w:p w14:paraId="6B80ECFD">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c>
          <w:tcPr>
            <w:tcW w:w="1134" w:type="dxa"/>
            <w:vAlign w:val="center"/>
          </w:tcPr>
          <w:p w14:paraId="20B95319">
            <w:pPr>
              <w:adjustRightInd w:val="0"/>
              <w:snapToGrid w:val="0"/>
              <w:spacing w:line="360" w:lineRule="auto"/>
              <w:jc w:val="center"/>
              <w:rPr>
                <w:rFonts w:ascii="宋体" w:hAnsi="宋体"/>
                <w:color w:val="auto"/>
                <w:szCs w:val="21"/>
              </w:rPr>
            </w:pPr>
            <w:r>
              <w:rPr>
                <w:rFonts w:hint="eastAsia" w:ascii="宋体" w:hAnsi="宋体"/>
                <w:b/>
                <w:color w:val="auto"/>
                <w:szCs w:val="21"/>
              </w:rPr>
              <w:t>/</w:t>
            </w:r>
          </w:p>
        </w:tc>
      </w:tr>
    </w:tbl>
    <w:p w14:paraId="7AD2B021">
      <w:pPr>
        <w:adjustRightInd w:val="0"/>
        <w:snapToGrid w:val="0"/>
        <w:spacing w:line="360" w:lineRule="auto"/>
        <w:rPr>
          <w:rFonts w:ascii="宋体" w:hAnsi="宋体"/>
          <w:color w:val="auto"/>
          <w:szCs w:val="21"/>
        </w:rPr>
      </w:pPr>
      <w:r>
        <w:rPr>
          <w:rFonts w:hint="eastAsia" w:ascii="宋体" w:hAnsi="宋体"/>
          <w:color w:val="auto"/>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1DE6B710">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t>2、栏目4“价格”为综合单价，包含该货物所有隐含的内容，如运输费、保险费、安装调试费、管理费和利润等。</w:t>
      </w:r>
    </w:p>
    <w:p w14:paraId="35CB42E4">
      <w:pPr>
        <w:adjustRightInd w:val="0"/>
        <w:snapToGrid w:val="0"/>
        <w:spacing w:line="360" w:lineRule="auto"/>
        <w:ind w:firstLine="630" w:firstLineChars="300"/>
        <w:rPr>
          <w:rFonts w:ascii="宋体" w:hAnsi="宋体"/>
          <w:color w:val="auto"/>
          <w:szCs w:val="21"/>
        </w:rPr>
      </w:pPr>
    </w:p>
    <w:p w14:paraId="232CD131">
      <w:pPr>
        <w:adjustRightInd w:val="0"/>
        <w:snapToGrid w:val="0"/>
        <w:spacing w:line="360" w:lineRule="auto"/>
        <w:ind w:firstLine="630" w:firstLineChars="300"/>
        <w:rPr>
          <w:rFonts w:ascii="宋体" w:hAnsi="宋体"/>
          <w:color w:val="auto"/>
          <w:szCs w:val="21"/>
        </w:rPr>
      </w:pPr>
    </w:p>
    <w:p w14:paraId="6928538D">
      <w:pPr>
        <w:adjustRightInd w:val="0"/>
        <w:snapToGrid w:val="0"/>
        <w:spacing w:before="156" w:beforeLines="50" w:line="360" w:lineRule="auto"/>
        <w:rPr>
          <w:rFonts w:ascii="宋体" w:hAnsi="宋体"/>
          <w:color w:val="auto"/>
          <w:szCs w:val="21"/>
        </w:rPr>
      </w:pPr>
      <w:r>
        <w:rPr>
          <w:rFonts w:hint="eastAsia" w:ascii="宋体" w:hAnsi="宋体"/>
          <w:color w:val="auto"/>
          <w:szCs w:val="21"/>
        </w:rPr>
        <w:t>供应商名称（盖单位公章）：</w:t>
      </w:r>
    </w:p>
    <w:p w14:paraId="69089453">
      <w:pPr>
        <w:adjustRightInd w:val="0"/>
        <w:snapToGrid w:val="0"/>
        <w:spacing w:before="156" w:beforeLines="50"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r>
        <w:rPr>
          <w:rFonts w:hint="eastAsia" w:ascii="宋体" w:hAnsi="宋体"/>
          <w:color w:val="auto"/>
          <w:szCs w:val="21"/>
          <w:u w:val="single"/>
        </w:rPr>
        <w:t xml:space="preserve">       </w:t>
      </w:r>
    </w:p>
    <w:p w14:paraId="048F59A6">
      <w:pPr>
        <w:adjustRightInd w:val="0"/>
        <w:snapToGrid w:val="0"/>
        <w:spacing w:before="156" w:beforeLines="50" w:line="360" w:lineRule="auto"/>
        <w:rPr>
          <w:color w:val="auto"/>
        </w:rPr>
      </w:pPr>
      <w:r>
        <w:rPr>
          <w:rFonts w:hint="eastAsia"/>
          <w:color w:val="auto"/>
        </w:rPr>
        <w:t>日期：        年    月   日</w:t>
      </w:r>
    </w:p>
    <w:p w14:paraId="6016D6E7">
      <w:pPr>
        <w:pStyle w:val="4"/>
        <w:rPr>
          <w:rFonts w:ascii="宋体" w:hAnsi="宋体"/>
          <w:color w:val="auto"/>
          <w:spacing w:val="6"/>
          <w:sz w:val="21"/>
        </w:rPr>
      </w:pPr>
      <w:r>
        <w:rPr>
          <w:rFonts w:ascii="黑体" w:hAnsi="华文中宋" w:cs="宋体"/>
          <w:color w:val="auto"/>
          <w:spacing w:val="6"/>
          <w:kern w:val="0"/>
        </w:rPr>
        <w:br w:type="page"/>
      </w:r>
      <w:bookmarkStart w:id="72" w:name="_Toc9393"/>
      <w:bookmarkStart w:id="73" w:name="_Toc22201164"/>
      <w:r>
        <w:rPr>
          <w:rFonts w:hint="eastAsia" w:ascii="宋体" w:hAnsi="宋体" w:cs="宋体"/>
          <w:color w:val="auto"/>
          <w:spacing w:val="6"/>
          <w:kern w:val="0"/>
          <w:sz w:val="21"/>
        </w:rPr>
        <w:t xml:space="preserve">附件9-2 </w:t>
      </w:r>
      <w:r>
        <w:rPr>
          <w:rFonts w:hint="eastAsia" w:ascii="宋体" w:hAnsi="宋体"/>
          <w:color w:val="auto"/>
          <w:spacing w:val="6"/>
          <w:sz w:val="21"/>
        </w:rPr>
        <w:t>残疾人福利性单位声明函</w:t>
      </w:r>
      <w:bookmarkEnd w:id="72"/>
      <w:bookmarkEnd w:id="73"/>
    </w:p>
    <w:p w14:paraId="2BB9DC92">
      <w:pPr>
        <w:spacing w:line="588" w:lineRule="exact"/>
        <w:jc w:val="center"/>
        <w:outlineLvl w:val="9"/>
        <w:rPr>
          <w:rFonts w:ascii="宋体" w:hAnsi="宋体" w:cs="宋体"/>
          <w:b/>
          <w:color w:val="auto"/>
          <w:spacing w:val="6"/>
          <w:sz w:val="32"/>
          <w:szCs w:val="32"/>
        </w:rPr>
      </w:pPr>
      <w:bookmarkStart w:id="74" w:name="OLE_LINK14"/>
      <w:bookmarkStart w:id="75" w:name="OLE_LINK13"/>
      <w:r>
        <w:rPr>
          <w:rFonts w:hint="eastAsia" w:ascii="黑体" w:hAnsi="华文中宋" w:eastAsia="黑体" w:cs="宋体"/>
          <w:bCs/>
          <w:color w:val="auto"/>
          <w:spacing w:val="6"/>
          <w:kern w:val="0"/>
          <w:sz w:val="28"/>
          <w:szCs w:val="28"/>
        </w:rPr>
        <w:t>残疾人福利性单位声明函</w:t>
      </w:r>
    </w:p>
    <w:bookmarkEnd w:id="74"/>
    <w:bookmarkEnd w:id="75"/>
    <w:p w14:paraId="22A242A2">
      <w:pPr>
        <w:spacing w:line="588" w:lineRule="exact"/>
        <w:jc w:val="center"/>
        <w:outlineLvl w:val="9"/>
        <w:rPr>
          <w:rFonts w:ascii="宋体" w:hAnsi="宋体" w:cs="宋体"/>
          <w:b/>
          <w:color w:val="auto"/>
          <w:spacing w:val="6"/>
          <w:sz w:val="30"/>
          <w:szCs w:val="30"/>
        </w:rPr>
      </w:pPr>
      <w:r>
        <w:rPr>
          <w:rFonts w:hint="eastAsia" w:ascii="宋体" w:hAnsi="宋体"/>
          <w:b/>
          <w:color w:val="auto"/>
          <w:spacing w:val="6"/>
          <w:szCs w:val="21"/>
        </w:rPr>
        <w:t>(不属于残疾人福利性单位的无需</w:t>
      </w:r>
      <w:r>
        <w:rPr>
          <w:rFonts w:hint="eastAsia" w:ascii="宋体" w:hAnsi="宋体"/>
          <w:b/>
          <w:color w:val="auto"/>
          <w:spacing w:val="6"/>
          <w:szCs w:val="21"/>
          <w:lang w:eastAsia="zh-CN"/>
        </w:rPr>
        <w:t>提供</w:t>
      </w:r>
      <w:r>
        <w:rPr>
          <w:rFonts w:hint="eastAsia" w:ascii="宋体" w:hAnsi="宋体"/>
          <w:b/>
          <w:color w:val="auto"/>
          <w:spacing w:val="6"/>
          <w:szCs w:val="21"/>
        </w:rPr>
        <w:t>)</w:t>
      </w:r>
    </w:p>
    <w:p w14:paraId="6E897D31">
      <w:pPr>
        <w:spacing w:line="588" w:lineRule="exact"/>
        <w:ind w:firstLine="444" w:firstLineChars="200"/>
        <w:outlineLvl w:val="9"/>
        <w:rPr>
          <w:rFonts w:hint="eastAsia" w:ascii="宋体" w:hAnsi="宋体" w:cs="宋体"/>
          <w:color w:val="auto"/>
          <w:spacing w:val="6"/>
          <w:szCs w:val="21"/>
        </w:rPr>
      </w:pPr>
    </w:p>
    <w:p w14:paraId="5730E589">
      <w:pPr>
        <w:spacing w:line="588" w:lineRule="exact"/>
        <w:ind w:firstLine="444" w:firstLineChars="200"/>
        <w:outlineLvl w:val="9"/>
        <w:rPr>
          <w:rFonts w:ascii="宋体" w:hAnsi="宋体" w:cs="宋体"/>
          <w:color w:val="auto"/>
          <w:spacing w:val="6"/>
          <w:szCs w:val="21"/>
        </w:rPr>
      </w:pPr>
      <w:r>
        <w:rPr>
          <w:rFonts w:hint="eastAsia" w:ascii="宋体" w:hAnsi="宋体" w:cs="宋体"/>
          <w:color w:val="auto"/>
          <w:spacing w:val="6"/>
          <w:szCs w:val="21"/>
        </w:rPr>
        <w:t>本单位郑重声明，根据《财政部 民政部 中国残疾人联合会关于促进残疾人就业政府采购政策的通知》（财库</w:t>
      </w:r>
      <w:r>
        <w:rPr>
          <w:rFonts w:hint="eastAsia" w:ascii="宋体" w:hAnsi="宋体" w:cs="宋体"/>
          <w:color w:val="auto"/>
          <w:szCs w:val="21"/>
        </w:rPr>
        <w:t>〔2017〕141</w:t>
      </w:r>
      <w:r>
        <w:rPr>
          <w:rFonts w:hint="eastAsia" w:ascii="宋体" w:hAnsi="宋体" w:cs="宋体"/>
          <w:color w:val="auto"/>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5723B8E">
      <w:pPr>
        <w:spacing w:line="588" w:lineRule="exact"/>
        <w:ind w:firstLine="444" w:firstLineChars="200"/>
        <w:outlineLvl w:val="9"/>
        <w:rPr>
          <w:rFonts w:ascii="宋体" w:hAnsi="宋体" w:cs="宋体"/>
          <w:color w:val="auto"/>
          <w:spacing w:val="6"/>
          <w:szCs w:val="21"/>
        </w:rPr>
      </w:pPr>
      <w:r>
        <w:rPr>
          <w:rFonts w:hint="eastAsia" w:ascii="宋体" w:hAnsi="宋体" w:cs="宋体"/>
          <w:color w:val="auto"/>
          <w:spacing w:val="6"/>
          <w:szCs w:val="21"/>
        </w:rPr>
        <w:t>本单位对上述声明的真实性负责。如有虚假，将依法承担相应责任。</w:t>
      </w:r>
    </w:p>
    <w:p w14:paraId="2C0C8EE6">
      <w:pPr>
        <w:spacing w:line="588" w:lineRule="exact"/>
        <w:ind w:firstLine="444" w:firstLineChars="200"/>
        <w:outlineLvl w:val="9"/>
        <w:rPr>
          <w:rFonts w:ascii="宋体" w:hAnsi="宋体" w:cs="宋体"/>
          <w:color w:val="auto"/>
          <w:spacing w:val="6"/>
          <w:szCs w:val="21"/>
        </w:rPr>
      </w:pPr>
    </w:p>
    <w:p w14:paraId="5A637823">
      <w:pPr>
        <w:spacing w:line="588" w:lineRule="exact"/>
        <w:ind w:firstLine="444" w:firstLineChars="200"/>
        <w:outlineLvl w:val="9"/>
        <w:rPr>
          <w:rFonts w:ascii="宋体" w:hAnsi="宋体" w:cs="宋体"/>
          <w:color w:val="auto"/>
          <w:spacing w:val="6"/>
          <w:szCs w:val="21"/>
        </w:rPr>
      </w:pPr>
    </w:p>
    <w:p w14:paraId="15DFFFAC">
      <w:pPr>
        <w:tabs>
          <w:tab w:val="left" w:pos="4860"/>
        </w:tabs>
        <w:spacing w:line="588" w:lineRule="exact"/>
        <w:ind w:right="1560" w:firstLine="444" w:firstLineChars="200"/>
        <w:jc w:val="center"/>
        <w:outlineLvl w:val="9"/>
        <w:rPr>
          <w:rFonts w:ascii="宋体" w:hAnsi="宋体" w:cs="宋体"/>
          <w:color w:val="auto"/>
          <w:spacing w:val="6"/>
          <w:szCs w:val="21"/>
        </w:rPr>
      </w:pPr>
      <w:r>
        <w:rPr>
          <w:rFonts w:hint="eastAsia" w:ascii="宋体" w:hAnsi="宋体" w:cs="宋体"/>
          <w:color w:val="auto"/>
          <w:spacing w:val="6"/>
          <w:szCs w:val="21"/>
        </w:rPr>
        <w:t xml:space="preserve">               单位名称（盖章）：</w:t>
      </w:r>
    </w:p>
    <w:p w14:paraId="561EBA98">
      <w:pPr>
        <w:tabs>
          <w:tab w:val="left" w:pos="4860"/>
        </w:tabs>
        <w:spacing w:line="588" w:lineRule="exact"/>
        <w:ind w:right="1560" w:firstLine="444" w:firstLineChars="200"/>
        <w:jc w:val="center"/>
        <w:outlineLvl w:val="9"/>
        <w:rPr>
          <w:rFonts w:ascii="仿宋_GB2312" w:eastAsia="仿宋_GB2312"/>
          <w:color w:val="auto"/>
          <w:spacing w:val="6"/>
          <w:szCs w:val="21"/>
        </w:rPr>
      </w:pPr>
      <w:r>
        <w:rPr>
          <w:rFonts w:hint="eastAsia" w:ascii="宋体" w:hAnsi="宋体" w:cs="宋体"/>
          <w:color w:val="auto"/>
          <w:spacing w:val="6"/>
          <w:szCs w:val="21"/>
        </w:rPr>
        <w:t xml:space="preserve">                    日  期：</w:t>
      </w:r>
      <w:r>
        <w:rPr>
          <w:rFonts w:hint="eastAsia" w:ascii="宋体" w:hAnsi="宋体" w:cs="宋体"/>
          <w:color w:val="auto"/>
          <w:spacing w:val="6"/>
          <w:kern w:val="0"/>
          <w:szCs w:val="21"/>
          <w:u w:val="single"/>
        </w:rPr>
        <w:t xml:space="preserve">              </w:t>
      </w:r>
    </w:p>
    <w:p w14:paraId="353A4430">
      <w:pPr>
        <w:adjustRightInd w:val="0"/>
        <w:snapToGrid w:val="0"/>
        <w:spacing w:line="360" w:lineRule="auto"/>
        <w:outlineLvl w:val="9"/>
        <w:rPr>
          <w:rFonts w:ascii="仿宋_GB2312" w:hAnsi="宋体" w:eastAsia="仿宋_GB2312"/>
          <w:color w:val="auto"/>
          <w:szCs w:val="21"/>
        </w:rPr>
      </w:pPr>
    </w:p>
    <w:p w14:paraId="0D5C1161">
      <w:pPr>
        <w:adjustRightInd w:val="0"/>
        <w:snapToGrid w:val="0"/>
        <w:spacing w:line="360" w:lineRule="auto"/>
        <w:outlineLvl w:val="9"/>
        <w:rPr>
          <w:rFonts w:ascii="仿宋_GB2312" w:hAnsi="宋体" w:eastAsia="仿宋_GB2312"/>
          <w:color w:val="auto"/>
          <w:szCs w:val="21"/>
        </w:rPr>
      </w:pPr>
    </w:p>
    <w:p w14:paraId="5F5D3ADF">
      <w:pPr>
        <w:adjustRightInd w:val="0"/>
        <w:snapToGrid w:val="0"/>
        <w:spacing w:line="360" w:lineRule="auto"/>
        <w:outlineLvl w:val="9"/>
        <w:rPr>
          <w:rFonts w:ascii="仿宋_GB2312" w:hAnsi="宋体" w:eastAsia="仿宋_GB2312"/>
          <w:color w:val="auto"/>
          <w:szCs w:val="21"/>
        </w:rPr>
      </w:pPr>
    </w:p>
    <w:p w14:paraId="0F0D1F66">
      <w:pPr>
        <w:spacing w:line="360" w:lineRule="auto"/>
        <w:jc w:val="left"/>
        <w:outlineLvl w:val="9"/>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：填写前请认真阅读《关于促进残疾人就业政府采购政策的通知》（财库〔2017〕141号）相关规定。</w:t>
      </w:r>
    </w:p>
    <w:p w14:paraId="2B0894CD">
      <w:pPr>
        <w:pStyle w:val="4"/>
        <w:rPr>
          <w:rFonts w:ascii="宋体" w:hAnsi="宋体"/>
          <w:color w:val="auto"/>
          <w:sz w:val="21"/>
          <w:szCs w:val="21"/>
        </w:rPr>
      </w:pPr>
      <w:r>
        <w:rPr>
          <w:rFonts w:ascii="黑体" w:hAnsi="华文中宋" w:cs="宋体"/>
          <w:color w:val="auto"/>
          <w:spacing w:val="6"/>
          <w:kern w:val="0"/>
        </w:rPr>
        <w:br w:type="page"/>
      </w:r>
      <w:bookmarkStart w:id="76" w:name="_Toc10434"/>
      <w:bookmarkStart w:id="77" w:name="_Toc22201165"/>
      <w:r>
        <w:rPr>
          <w:rFonts w:hint="eastAsia" w:ascii="宋体" w:hAnsi="宋体" w:cs="宋体"/>
          <w:color w:val="auto"/>
          <w:kern w:val="0"/>
          <w:sz w:val="21"/>
          <w:szCs w:val="21"/>
        </w:rPr>
        <w:t xml:space="preserve">附件9-3 </w:t>
      </w:r>
      <w:r>
        <w:rPr>
          <w:rFonts w:hint="eastAsia" w:ascii="宋体" w:hAnsi="宋体"/>
          <w:color w:val="auto"/>
          <w:sz w:val="21"/>
          <w:szCs w:val="21"/>
        </w:rPr>
        <w:t>监狱企业证明资料</w:t>
      </w:r>
      <w:bookmarkEnd w:id="76"/>
      <w:bookmarkEnd w:id="77"/>
    </w:p>
    <w:p w14:paraId="7E749270">
      <w:pPr>
        <w:spacing w:line="588" w:lineRule="exact"/>
        <w:jc w:val="center"/>
        <w:outlineLvl w:val="9"/>
        <w:rPr>
          <w:rFonts w:ascii="宋体" w:hAnsi="宋体" w:cs="宋体"/>
          <w:b/>
          <w:color w:val="auto"/>
          <w:spacing w:val="6"/>
          <w:sz w:val="32"/>
          <w:szCs w:val="32"/>
        </w:rPr>
      </w:pPr>
      <w:r>
        <w:rPr>
          <w:rFonts w:hint="eastAsia" w:ascii="黑体" w:hAnsi="华文中宋" w:eastAsia="黑体" w:cs="宋体"/>
          <w:bCs/>
          <w:color w:val="auto"/>
          <w:spacing w:val="6"/>
          <w:kern w:val="0"/>
          <w:sz w:val="28"/>
          <w:szCs w:val="28"/>
        </w:rPr>
        <w:t>监狱企业证明资料</w:t>
      </w:r>
    </w:p>
    <w:p w14:paraId="4AE5A10F">
      <w:pPr>
        <w:spacing w:line="588" w:lineRule="exact"/>
        <w:jc w:val="center"/>
        <w:outlineLvl w:val="9"/>
        <w:rPr>
          <w:rFonts w:ascii="宋体" w:hAnsi="宋体" w:cs="宋体"/>
          <w:b/>
          <w:color w:val="auto"/>
          <w:spacing w:val="6"/>
          <w:sz w:val="30"/>
          <w:szCs w:val="30"/>
        </w:rPr>
      </w:pPr>
      <w:r>
        <w:rPr>
          <w:rFonts w:hint="eastAsia" w:ascii="宋体" w:hAnsi="宋体"/>
          <w:b/>
          <w:color w:val="auto"/>
          <w:spacing w:val="6"/>
          <w:szCs w:val="21"/>
        </w:rPr>
        <w:t>(不属于监狱企业的无需</w:t>
      </w:r>
      <w:r>
        <w:rPr>
          <w:rFonts w:hint="eastAsia" w:ascii="宋体" w:hAnsi="宋体"/>
          <w:b/>
          <w:color w:val="auto"/>
          <w:spacing w:val="6"/>
          <w:szCs w:val="21"/>
          <w:lang w:eastAsia="zh-CN"/>
        </w:rPr>
        <w:t>提供</w:t>
      </w:r>
      <w:r>
        <w:rPr>
          <w:rFonts w:hint="eastAsia" w:ascii="宋体" w:hAnsi="宋体"/>
          <w:b/>
          <w:color w:val="auto"/>
          <w:spacing w:val="6"/>
          <w:szCs w:val="21"/>
        </w:rPr>
        <w:t>)</w:t>
      </w:r>
    </w:p>
    <w:p w14:paraId="18C3BCED">
      <w:pPr>
        <w:spacing w:line="588" w:lineRule="exact"/>
        <w:ind w:firstLine="444" w:firstLineChars="200"/>
        <w:outlineLvl w:val="9"/>
        <w:rPr>
          <w:rFonts w:hint="eastAsia" w:ascii="宋体" w:hAnsi="宋体" w:cs="宋体"/>
          <w:color w:val="auto"/>
          <w:spacing w:val="6"/>
          <w:szCs w:val="21"/>
        </w:rPr>
      </w:pPr>
    </w:p>
    <w:p w14:paraId="568D8828">
      <w:pPr>
        <w:spacing w:line="588" w:lineRule="exact"/>
        <w:ind w:firstLine="444" w:firstLineChars="200"/>
        <w:outlineLvl w:val="9"/>
        <w:rPr>
          <w:rFonts w:ascii="宋体" w:hAnsi="宋体" w:cs="宋体"/>
          <w:color w:val="auto"/>
          <w:spacing w:val="6"/>
          <w:szCs w:val="21"/>
        </w:rPr>
      </w:pPr>
      <w:r>
        <w:rPr>
          <w:rFonts w:hint="eastAsia" w:ascii="宋体" w:hAnsi="宋体" w:cs="宋体"/>
          <w:color w:val="auto"/>
          <w:spacing w:val="6"/>
          <w:szCs w:val="21"/>
        </w:rPr>
        <w:t>备注：按《财政部 司法部关于政府采购支持监狱企业发展有关问题的通知》(财库〔2014〕68号)文件规定提供证明文件（复印件）。</w:t>
      </w:r>
    </w:p>
    <w:p w14:paraId="32E862B5">
      <w:pPr>
        <w:spacing w:line="588" w:lineRule="exact"/>
        <w:ind w:firstLine="444" w:firstLineChars="200"/>
        <w:outlineLvl w:val="9"/>
        <w:rPr>
          <w:rFonts w:ascii="宋体" w:hAnsi="宋体" w:cs="宋体"/>
          <w:color w:val="auto"/>
          <w:spacing w:val="6"/>
          <w:szCs w:val="21"/>
        </w:rPr>
      </w:pPr>
    </w:p>
    <w:p w14:paraId="40940A03">
      <w:pPr>
        <w:adjustRightInd w:val="0"/>
        <w:snapToGrid w:val="0"/>
        <w:spacing w:line="360" w:lineRule="auto"/>
        <w:ind w:firstLine="420" w:firstLineChars="200"/>
        <w:rPr>
          <w:rFonts w:ascii="宋体" w:hAnsi="宋体"/>
          <w:color w:val="auto"/>
          <w:szCs w:val="21"/>
        </w:rPr>
      </w:pPr>
    </w:p>
    <w:p w14:paraId="0259DCA3">
      <w:pPr>
        <w:pStyle w:val="4"/>
        <w:rPr>
          <w:rFonts w:ascii="宋体" w:hAnsi="宋体"/>
          <w:color w:val="auto"/>
          <w:sz w:val="21"/>
          <w:szCs w:val="21"/>
        </w:rPr>
      </w:pPr>
      <w:r>
        <w:rPr>
          <w:rFonts w:hAnsi="华文中宋" w:eastAsia="黑体" w:cs="宋体"/>
          <w:color w:val="auto"/>
          <w:spacing w:val="6"/>
          <w:kern w:val="0"/>
        </w:rPr>
        <w:br w:type="page"/>
      </w:r>
      <w:bookmarkStart w:id="78" w:name="_Toc22201166"/>
      <w:bookmarkStart w:id="79" w:name="_Toc15605"/>
      <w:r>
        <w:rPr>
          <w:rFonts w:hint="eastAsia" w:ascii="宋体" w:hAnsi="宋体" w:cs="宋体"/>
          <w:color w:val="auto"/>
          <w:spacing w:val="6"/>
          <w:kern w:val="0"/>
          <w:sz w:val="21"/>
          <w:szCs w:val="21"/>
        </w:rPr>
        <w:t xml:space="preserve">附件9-4 </w:t>
      </w:r>
      <w:r>
        <w:rPr>
          <w:rFonts w:hint="eastAsia" w:ascii="宋体" w:hAnsi="宋体"/>
          <w:color w:val="auto"/>
          <w:sz w:val="21"/>
          <w:szCs w:val="21"/>
        </w:rPr>
        <w:t>强制采购或者优先采购产品的证明材料</w:t>
      </w:r>
      <w:bookmarkEnd w:id="78"/>
      <w:bookmarkEnd w:id="79"/>
    </w:p>
    <w:p w14:paraId="4EE50644">
      <w:pPr>
        <w:adjustRightInd w:val="0"/>
        <w:snapToGrid w:val="0"/>
        <w:spacing w:before="50" w:line="360" w:lineRule="auto"/>
        <w:jc w:val="center"/>
        <w:outlineLvl w:val="9"/>
        <w:rPr>
          <w:rFonts w:ascii="黑体" w:hAnsi="华文中宋" w:eastAsia="黑体" w:cs="宋体"/>
          <w:bCs/>
          <w:color w:val="auto"/>
          <w:spacing w:val="6"/>
          <w:kern w:val="0"/>
          <w:sz w:val="28"/>
          <w:szCs w:val="28"/>
        </w:rPr>
      </w:pPr>
      <w:r>
        <w:rPr>
          <w:rFonts w:hint="eastAsia" w:ascii="黑体" w:hAnsi="华文中宋" w:eastAsia="黑体" w:cs="宋体"/>
          <w:bCs/>
          <w:color w:val="auto"/>
          <w:spacing w:val="6"/>
          <w:kern w:val="0"/>
          <w:sz w:val="28"/>
          <w:szCs w:val="28"/>
        </w:rPr>
        <w:t>“节能产品”、“环境标志产品”证明材料</w:t>
      </w:r>
    </w:p>
    <w:p w14:paraId="7A70A8D9">
      <w:pPr>
        <w:adjustRightInd w:val="0"/>
        <w:snapToGrid w:val="0"/>
        <w:spacing w:before="50" w:line="360" w:lineRule="auto"/>
        <w:jc w:val="center"/>
        <w:outlineLvl w:val="9"/>
        <w:rPr>
          <w:rFonts w:ascii="宋体" w:hAnsi="宋体"/>
          <w:b/>
          <w:color w:val="auto"/>
        </w:rPr>
      </w:pPr>
      <w:r>
        <w:rPr>
          <w:rFonts w:hint="eastAsia" w:ascii="宋体" w:hAnsi="宋体"/>
          <w:b/>
          <w:color w:val="auto"/>
          <w:spacing w:val="6"/>
          <w:szCs w:val="21"/>
        </w:rPr>
        <w:t>(不属于强制采购或者优先采购产品的无需提供)</w:t>
      </w:r>
    </w:p>
    <w:p w14:paraId="4BAFCFDC">
      <w:pPr>
        <w:pStyle w:val="30"/>
        <w:outlineLvl w:val="9"/>
        <w:rPr>
          <w:color w:val="auto"/>
        </w:rPr>
      </w:pPr>
    </w:p>
    <w:p w14:paraId="40FBBF1F">
      <w:pPr>
        <w:adjustRightInd w:val="0"/>
        <w:snapToGrid w:val="0"/>
        <w:spacing w:line="600" w:lineRule="auto"/>
        <w:ind w:firstLine="420" w:firstLineChars="200"/>
        <w:outlineLvl w:val="9"/>
        <w:rPr>
          <w:rFonts w:ascii="宋体" w:hAnsi="宋体"/>
          <w:color w:val="auto"/>
        </w:rPr>
      </w:pPr>
      <w:r>
        <w:rPr>
          <w:rFonts w:hint="eastAsia" w:ascii="宋体" w:hAnsi="宋体"/>
          <w:color w:val="auto"/>
        </w:rPr>
        <w:t>说明：1、供应商提供的产品属于下列情形，应提供相关证明材料（财政部发布的最新一期的《节能产品政府采购品目清单》或者《环境标志产品政府采购品目清单》所在页复印件以及国家确定的认证机构出具的处于有效期之内的节能产品、环境标志产品认证证书复印件。</w:t>
      </w:r>
    </w:p>
    <w:p w14:paraId="0870E934">
      <w:pPr>
        <w:adjustRightInd w:val="0"/>
        <w:snapToGrid w:val="0"/>
        <w:spacing w:line="600" w:lineRule="auto"/>
        <w:ind w:firstLine="840" w:firstLineChars="400"/>
        <w:outlineLvl w:val="9"/>
        <w:rPr>
          <w:rFonts w:ascii="宋体" w:hAnsi="宋体"/>
          <w:color w:val="auto"/>
        </w:rPr>
      </w:pPr>
      <w:r>
        <w:rPr>
          <w:rFonts w:hint="eastAsia" w:ascii="宋体" w:hAnsi="宋体"/>
          <w:color w:val="auto"/>
        </w:rPr>
        <w:t>(1)符合政府采购强制采购政策的(《节能产品政府采购品目清单》中标记★符号节能产品及其他强制采购产品)。（财政部发布的最新一期目录所在页）。</w:t>
      </w:r>
    </w:p>
    <w:p w14:paraId="7DFE3C10">
      <w:pPr>
        <w:adjustRightInd w:val="0"/>
        <w:snapToGrid w:val="0"/>
        <w:spacing w:line="600" w:lineRule="auto"/>
        <w:ind w:firstLine="840" w:firstLineChars="400"/>
        <w:outlineLvl w:val="9"/>
        <w:rPr>
          <w:rFonts w:ascii="宋体" w:hAnsi="宋体"/>
          <w:color w:val="auto"/>
        </w:rPr>
      </w:pPr>
      <w:r>
        <w:rPr>
          <w:rFonts w:hint="eastAsia" w:ascii="宋体" w:hAnsi="宋体"/>
          <w:color w:val="auto"/>
        </w:rPr>
        <w:t>(2)符合政府采购优先采购政策的(《节能产品政府采购品目清单》中非标记★符号节能产品，《环境标志产品政府采购品目清单》中环境标志产品（财政部发布的最新一期目录所在页）。</w:t>
      </w:r>
    </w:p>
    <w:p w14:paraId="31C2A21E">
      <w:pPr>
        <w:adjustRightInd w:val="0"/>
        <w:snapToGrid w:val="0"/>
        <w:spacing w:line="600" w:lineRule="auto"/>
        <w:ind w:firstLine="945" w:firstLineChars="450"/>
        <w:outlineLvl w:val="9"/>
        <w:rPr>
          <w:rFonts w:ascii="宋体" w:hAnsi="宋体"/>
          <w:color w:val="auto"/>
        </w:rPr>
      </w:pPr>
      <w:r>
        <w:rPr>
          <w:rFonts w:hint="eastAsia" w:ascii="宋体" w:hAnsi="宋体"/>
          <w:color w:val="auto"/>
        </w:rPr>
        <w:t>2、未按上述要求提供，评审时不予以考虑。</w:t>
      </w:r>
    </w:p>
    <w:p w14:paraId="08622412">
      <w:pPr>
        <w:pStyle w:val="5"/>
        <w:rPr>
          <w:rFonts w:ascii="宋体" w:hAnsi="宋体" w:eastAsia="宋体"/>
          <w:color w:val="auto"/>
          <w:sz w:val="21"/>
          <w:szCs w:val="21"/>
        </w:rPr>
      </w:pPr>
      <w:r>
        <w:rPr>
          <w:color w:val="auto"/>
        </w:rPr>
        <w:br w:type="page"/>
      </w:r>
      <w:bookmarkStart w:id="80" w:name="_Toc22201167"/>
      <w:r>
        <w:rPr>
          <w:rFonts w:hint="eastAsia" w:ascii="宋体" w:hAnsi="宋体" w:eastAsia="宋体" w:cs="宋体"/>
          <w:color w:val="auto"/>
          <w:spacing w:val="6"/>
          <w:kern w:val="0"/>
          <w:sz w:val="21"/>
          <w:szCs w:val="21"/>
        </w:rPr>
        <w:t xml:space="preserve">附页2 </w:t>
      </w:r>
      <w:r>
        <w:rPr>
          <w:rFonts w:hint="eastAsia" w:ascii="宋体" w:hAnsi="宋体" w:eastAsia="宋体"/>
          <w:color w:val="auto"/>
          <w:sz w:val="21"/>
          <w:szCs w:val="21"/>
        </w:rPr>
        <w:t>优先采购产品清单</w:t>
      </w:r>
      <w:bookmarkEnd w:id="80"/>
    </w:p>
    <w:p w14:paraId="0B520588">
      <w:pPr>
        <w:adjustRightInd w:val="0"/>
        <w:snapToGrid w:val="0"/>
        <w:spacing w:line="360" w:lineRule="auto"/>
        <w:jc w:val="center"/>
        <w:rPr>
          <w:rFonts w:ascii="宋体" w:hAnsi="宋体"/>
          <w:b/>
          <w:color w:val="auto"/>
          <w:spacing w:val="6"/>
          <w:szCs w:val="21"/>
        </w:rPr>
      </w:pPr>
      <w:r>
        <w:rPr>
          <w:rFonts w:hint="eastAsia" w:ascii="黑体" w:hAnsi="宋体" w:eastAsia="黑体"/>
          <w:b/>
          <w:color w:val="auto"/>
          <w:sz w:val="28"/>
          <w:szCs w:val="28"/>
        </w:rPr>
        <w:t>优先采购产品清单</w:t>
      </w:r>
    </w:p>
    <w:p w14:paraId="1E3CDC21">
      <w:pPr>
        <w:adjustRightInd w:val="0"/>
        <w:snapToGrid w:val="0"/>
        <w:spacing w:line="360" w:lineRule="auto"/>
        <w:rPr>
          <w:rFonts w:ascii="宋体" w:hAnsi="宋体"/>
          <w:color w:val="auto"/>
          <w:szCs w:val="21"/>
        </w:rPr>
      </w:pPr>
      <w:r>
        <w:rPr>
          <w:rFonts w:hint="eastAsia" w:ascii="宋体" w:hAnsi="宋体"/>
          <w:color w:val="auto"/>
          <w:szCs w:val="21"/>
          <w:lang w:eastAsia="zh-CN"/>
        </w:rPr>
        <w:t>委托代理编号</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p>
    <w:p w14:paraId="2F2A562B">
      <w:pPr>
        <w:adjustRightInd w:val="0"/>
        <w:snapToGrid w:val="0"/>
        <w:spacing w:line="360" w:lineRule="auto"/>
        <w:rPr>
          <w:rFonts w:ascii="宋体" w:hAnsi="宋体"/>
          <w:color w:val="auto"/>
          <w:szCs w:val="21"/>
        </w:rPr>
      </w:pPr>
      <w:r>
        <w:rPr>
          <w:rFonts w:hint="eastAsia" w:ascii="宋体" w:hAnsi="宋体"/>
          <w:color w:val="auto"/>
          <w:szCs w:val="21"/>
        </w:rPr>
        <w:t xml:space="preserve">包     </w:t>
      </w:r>
      <w:r>
        <w:rPr>
          <w:rFonts w:hint="eastAsia" w:ascii="宋体" w:hAnsi="宋体"/>
          <w:color w:val="auto"/>
          <w:szCs w:val="21"/>
          <w:lang w:val="en-US" w:eastAsia="zh-CN"/>
        </w:rPr>
        <w:t xml:space="preserve"> </w:t>
      </w:r>
      <w:r>
        <w:rPr>
          <w:rFonts w:hint="eastAsia" w:ascii="宋体" w:hAnsi="宋体"/>
          <w:color w:val="auto"/>
          <w:szCs w:val="21"/>
        </w:rPr>
        <w:t xml:space="preserve">  号：</w:t>
      </w:r>
      <w:r>
        <w:rPr>
          <w:rFonts w:hint="eastAsia" w:ascii="宋体" w:hAnsi="宋体"/>
          <w:color w:val="auto"/>
          <w:szCs w:val="21"/>
          <w:u w:val="single"/>
        </w:rPr>
        <w:t>__    ________</w:t>
      </w:r>
      <w:r>
        <w:rPr>
          <w:rFonts w:hint="eastAsia" w:ascii="宋体" w:hAnsi="宋体"/>
          <w:color w:val="auto"/>
          <w:szCs w:val="21"/>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274434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vAlign w:val="center"/>
          </w:tcPr>
          <w:p w14:paraId="4CA0DD71">
            <w:pPr>
              <w:widowControl/>
              <w:adjustRightInd w:val="0"/>
              <w:snapToGrid w:val="0"/>
              <w:spacing w:line="360" w:lineRule="auto"/>
              <w:ind w:firstLine="480" w:firstLineChars="200"/>
              <w:jc w:val="left"/>
              <w:rPr>
                <w:rFonts w:ascii="黑体" w:hAnsi="黑体" w:eastAsia="黑体"/>
                <w:color w:val="auto"/>
                <w:kern w:val="0"/>
                <w:sz w:val="24"/>
              </w:rPr>
            </w:pPr>
            <w:r>
              <w:rPr>
                <w:rFonts w:hint="eastAsia" w:ascii="黑体" w:hAnsi="宋体" w:eastAsia="黑体"/>
                <w:color w:val="auto"/>
                <w:kern w:val="0"/>
                <w:sz w:val="24"/>
              </w:rPr>
              <w:t>以下为供应商提供的政府采购优先采购产品，供应商对本表的真实性负责。如有虚假，将依法承担相应责任。</w:t>
            </w:r>
          </w:p>
        </w:tc>
      </w:tr>
      <w:tr w14:paraId="0719C0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49DD51F6">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739" w:type="dxa"/>
            <w:vAlign w:val="center"/>
          </w:tcPr>
          <w:p w14:paraId="3F37B5E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34" w:type="dxa"/>
            <w:tcBorders>
              <w:right w:val="single" w:color="auto" w:sz="4" w:space="0"/>
            </w:tcBorders>
            <w:vAlign w:val="center"/>
          </w:tcPr>
          <w:p w14:paraId="399B27A3">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418" w:type="dxa"/>
            <w:tcBorders>
              <w:left w:val="single" w:color="auto" w:sz="4" w:space="0"/>
            </w:tcBorders>
            <w:vAlign w:val="center"/>
          </w:tcPr>
          <w:p w14:paraId="6A3AB0B4">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984" w:type="dxa"/>
            <w:vAlign w:val="center"/>
          </w:tcPr>
          <w:p w14:paraId="0D513521">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43" w:type="dxa"/>
            <w:vAlign w:val="center"/>
          </w:tcPr>
          <w:p w14:paraId="6353F24E">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r>
      <w:tr w14:paraId="10123F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479F8194">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739" w:type="dxa"/>
            <w:vAlign w:val="center"/>
          </w:tcPr>
          <w:p w14:paraId="574B83B4">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34" w:type="dxa"/>
            <w:tcBorders>
              <w:right w:val="single" w:color="auto" w:sz="4" w:space="0"/>
            </w:tcBorders>
            <w:vAlign w:val="center"/>
          </w:tcPr>
          <w:p w14:paraId="127310F3">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418" w:type="dxa"/>
            <w:tcBorders>
              <w:left w:val="single" w:color="auto" w:sz="4" w:space="0"/>
            </w:tcBorders>
            <w:vAlign w:val="center"/>
          </w:tcPr>
          <w:p w14:paraId="007744A4">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984" w:type="dxa"/>
            <w:vAlign w:val="center"/>
          </w:tcPr>
          <w:p w14:paraId="62503843">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43" w:type="dxa"/>
            <w:vAlign w:val="center"/>
          </w:tcPr>
          <w:p w14:paraId="4A6BA064">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政策功能编码</w:t>
            </w:r>
          </w:p>
        </w:tc>
      </w:tr>
      <w:tr w14:paraId="57900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28871EB0">
            <w:pPr>
              <w:adjustRightInd w:val="0"/>
              <w:snapToGrid w:val="0"/>
              <w:spacing w:line="360" w:lineRule="auto"/>
              <w:jc w:val="left"/>
              <w:rPr>
                <w:rFonts w:ascii="宋体" w:hAnsi="宋体"/>
                <w:b/>
                <w:color w:val="auto"/>
                <w:szCs w:val="21"/>
              </w:rPr>
            </w:pPr>
            <w:r>
              <w:rPr>
                <w:rFonts w:hint="eastAsia" w:ascii="宋体" w:hAnsi="宋体"/>
                <w:b/>
                <w:color w:val="auto"/>
                <w:szCs w:val="21"/>
              </w:rPr>
              <w:t>节能产品</w:t>
            </w:r>
          </w:p>
        </w:tc>
      </w:tr>
      <w:tr w14:paraId="20BEA2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2CA15C1">
            <w:pPr>
              <w:adjustRightInd w:val="0"/>
              <w:snapToGrid w:val="0"/>
              <w:spacing w:line="360" w:lineRule="auto"/>
              <w:jc w:val="center"/>
              <w:rPr>
                <w:rFonts w:ascii="宋体" w:hAnsi="宋体"/>
                <w:b/>
                <w:color w:val="auto"/>
                <w:szCs w:val="21"/>
              </w:rPr>
            </w:pPr>
          </w:p>
        </w:tc>
        <w:tc>
          <w:tcPr>
            <w:tcW w:w="1739" w:type="dxa"/>
            <w:vAlign w:val="center"/>
          </w:tcPr>
          <w:p w14:paraId="077061C5">
            <w:pPr>
              <w:adjustRightInd w:val="0"/>
              <w:snapToGrid w:val="0"/>
              <w:spacing w:line="360" w:lineRule="auto"/>
              <w:jc w:val="center"/>
              <w:rPr>
                <w:rFonts w:ascii="宋体" w:hAnsi="宋体"/>
                <w:b/>
                <w:color w:val="auto"/>
                <w:szCs w:val="21"/>
              </w:rPr>
            </w:pPr>
          </w:p>
        </w:tc>
        <w:tc>
          <w:tcPr>
            <w:tcW w:w="1134" w:type="dxa"/>
            <w:tcBorders>
              <w:right w:val="single" w:color="auto" w:sz="4" w:space="0"/>
            </w:tcBorders>
            <w:vAlign w:val="center"/>
          </w:tcPr>
          <w:p w14:paraId="070944FE">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41E01792">
            <w:pPr>
              <w:adjustRightInd w:val="0"/>
              <w:snapToGrid w:val="0"/>
              <w:spacing w:line="360" w:lineRule="auto"/>
              <w:jc w:val="left"/>
              <w:rPr>
                <w:rFonts w:ascii="宋体" w:hAnsi="宋体"/>
                <w:b/>
                <w:color w:val="auto"/>
                <w:szCs w:val="21"/>
              </w:rPr>
            </w:pPr>
          </w:p>
        </w:tc>
        <w:tc>
          <w:tcPr>
            <w:tcW w:w="1984" w:type="dxa"/>
            <w:vAlign w:val="center"/>
          </w:tcPr>
          <w:p w14:paraId="5E387C52">
            <w:pPr>
              <w:adjustRightInd w:val="0"/>
              <w:snapToGrid w:val="0"/>
              <w:spacing w:line="360" w:lineRule="auto"/>
              <w:jc w:val="center"/>
              <w:rPr>
                <w:rFonts w:ascii="宋体" w:hAnsi="宋体"/>
                <w:b/>
                <w:color w:val="auto"/>
                <w:szCs w:val="21"/>
              </w:rPr>
            </w:pPr>
          </w:p>
        </w:tc>
        <w:tc>
          <w:tcPr>
            <w:tcW w:w="1843" w:type="dxa"/>
          </w:tcPr>
          <w:p w14:paraId="5152A3C2">
            <w:pPr>
              <w:adjustRightInd w:val="0"/>
              <w:snapToGrid w:val="0"/>
              <w:spacing w:line="360" w:lineRule="auto"/>
              <w:jc w:val="center"/>
              <w:rPr>
                <w:rFonts w:ascii="宋体" w:hAnsi="宋体"/>
                <w:b/>
                <w:color w:val="auto"/>
                <w:szCs w:val="21"/>
              </w:rPr>
            </w:pPr>
          </w:p>
        </w:tc>
      </w:tr>
      <w:tr w14:paraId="49AB5A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79517BD">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39" w:type="dxa"/>
            <w:vAlign w:val="center"/>
          </w:tcPr>
          <w:p w14:paraId="5691C609">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134" w:type="dxa"/>
            <w:tcBorders>
              <w:right w:val="single" w:color="auto" w:sz="4" w:space="0"/>
            </w:tcBorders>
            <w:vAlign w:val="center"/>
          </w:tcPr>
          <w:p w14:paraId="45F9C777">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59C2F7DF">
            <w:pPr>
              <w:adjustRightInd w:val="0"/>
              <w:snapToGrid w:val="0"/>
              <w:spacing w:line="360" w:lineRule="auto"/>
              <w:jc w:val="left"/>
              <w:rPr>
                <w:rFonts w:ascii="宋体" w:hAnsi="宋体"/>
                <w:b/>
                <w:color w:val="auto"/>
                <w:szCs w:val="21"/>
              </w:rPr>
            </w:pPr>
          </w:p>
        </w:tc>
        <w:tc>
          <w:tcPr>
            <w:tcW w:w="1984" w:type="dxa"/>
            <w:vAlign w:val="center"/>
          </w:tcPr>
          <w:p w14:paraId="33586B4C">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843" w:type="dxa"/>
          </w:tcPr>
          <w:p w14:paraId="19CC5408">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r>
      <w:tr w14:paraId="4C8712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08056BCA">
            <w:pPr>
              <w:adjustRightInd w:val="0"/>
              <w:snapToGrid w:val="0"/>
              <w:spacing w:line="360" w:lineRule="auto"/>
              <w:jc w:val="left"/>
              <w:rPr>
                <w:rFonts w:ascii="宋体" w:hAnsi="宋体"/>
                <w:b/>
                <w:color w:val="auto"/>
                <w:szCs w:val="21"/>
              </w:rPr>
            </w:pPr>
            <w:r>
              <w:rPr>
                <w:rFonts w:hint="eastAsia" w:ascii="宋体" w:hAnsi="宋体"/>
                <w:b/>
                <w:color w:val="auto"/>
                <w:szCs w:val="21"/>
              </w:rPr>
              <w:t>环境标志产品</w:t>
            </w:r>
          </w:p>
        </w:tc>
      </w:tr>
      <w:tr w14:paraId="0237B1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2E600B11">
            <w:pPr>
              <w:adjustRightInd w:val="0"/>
              <w:snapToGrid w:val="0"/>
              <w:spacing w:line="360" w:lineRule="auto"/>
              <w:jc w:val="center"/>
              <w:rPr>
                <w:rFonts w:ascii="宋体" w:hAnsi="宋体"/>
                <w:b/>
                <w:color w:val="auto"/>
                <w:szCs w:val="21"/>
              </w:rPr>
            </w:pPr>
          </w:p>
        </w:tc>
        <w:tc>
          <w:tcPr>
            <w:tcW w:w="1739" w:type="dxa"/>
            <w:vAlign w:val="center"/>
          </w:tcPr>
          <w:p w14:paraId="34651FFF">
            <w:pPr>
              <w:adjustRightInd w:val="0"/>
              <w:snapToGrid w:val="0"/>
              <w:spacing w:line="360" w:lineRule="auto"/>
              <w:jc w:val="center"/>
              <w:rPr>
                <w:rFonts w:ascii="宋体" w:hAnsi="宋体"/>
                <w:b/>
                <w:color w:val="auto"/>
                <w:szCs w:val="21"/>
              </w:rPr>
            </w:pPr>
          </w:p>
        </w:tc>
        <w:tc>
          <w:tcPr>
            <w:tcW w:w="1134" w:type="dxa"/>
            <w:tcBorders>
              <w:right w:val="single" w:color="auto" w:sz="4" w:space="0"/>
            </w:tcBorders>
            <w:vAlign w:val="center"/>
          </w:tcPr>
          <w:p w14:paraId="789BF404">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053448D1">
            <w:pPr>
              <w:adjustRightInd w:val="0"/>
              <w:snapToGrid w:val="0"/>
              <w:spacing w:line="360" w:lineRule="auto"/>
              <w:jc w:val="left"/>
              <w:rPr>
                <w:rFonts w:ascii="宋体" w:hAnsi="宋体"/>
                <w:b/>
                <w:color w:val="auto"/>
                <w:szCs w:val="21"/>
              </w:rPr>
            </w:pPr>
          </w:p>
        </w:tc>
        <w:tc>
          <w:tcPr>
            <w:tcW w:w="1984" w:type="dxa"/>
            <w:vAlign w:val="center"/>
          </w:tcPr>
          <w:p w14:paraId="02B5233E">
            <w:pPr>
              <w:adjustRightInd w:val="0"/>
              <w:snapToGrid w:val="0"/>
              <w:spacing w:line="360" w:lineRule="auto"/>
              <w:jc w:val="center"/>
              <w:rPr>
                <w:rFonts w:ascii="宋体" w:hAnsi="宋体"/>
                <w:b/>
                <w:color w:val="auto"/>
                <w:szCs w:val="21"/>
              </w:rPr>
            </w:pPr>
          </w:p>
        </w:tc>
        <w:tc>
          <w:tcPr>
            <w:tcW w:w="1843" w:type="dxa"/>
          </w:tcPr>
          <w:p w14:paraId="0C754074">
            <w:pPr>
              <w:adjustRightInd w:val="0"/>
              <w:snapToGrid w:val="0"/>
              <w:spacing w:line="360" w:lineRule="auto"/>
              <w:jc w:val="center"/>
              <w:rPr>
                <w:rFonts w:ascii="宋体" w:hAnsi="宋体"/>
                <w:b/>
                <w:color w:val="auto"/>
                <w:szCs w:val="21"/>
              </w:rPr>
            </w:pPr>
          </w:p>
        </w:tc>
      </w:tr>
      <w:tr w14:paraId="5E447A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E84EE04">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39" w:type="dxa"/>
            <w:vAlign w:val="center"/>
          </w:tcPr>
          <w:p w14:paraId="73D001E6">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134" w:type="dxa"/>
            <w:tcBorders>
              <w:right w:val="single" w:color="auto" w:sz="4" w:space="0"/>
            </w:tcBorders>
            <w:vAlign w:val="center"/>
          </w:tcPr>
          <w:p w14:paraId="73A7994F">
            <w:pPr>
              <w:adjustRightInd w:val="0"/>
              <w:snapToGrid w:val="0"/>
              <w:spacing w:line="360" w:lineRule="auto"/>
              <w:jc w:val="left"/>
              <w:rPr>
                <w:rFonts w:ascii="宋体" w:hAnsi="宋体"/>
                <w:b/>
                <w:color w:val="auto"/>
                <w:szCs w:val="21"/>
              </w:rPr>
            </w:pPr>
          </w:p>
        </w:tc>
        <w:tc>
          <w:tcPr>
            <w:tcW w:w="1418" w:type="dxa"/>
            <w:tcBorders>
              <w:left w:val="single" w:color="auto" w:sz="4" w:space="0"/>
            </w:tcBorders>
            <w:vAlign w:val="center"/>
          </w:tcPr>
          <w:p w14:paraId="0D10DD9C">
            <w:pPr>
              <w:adjustRightInd w:val="0"/>
              <w:snapToGrid w:val="0"/>
              <w:spacing w:line="360" w:lineRule="auto"/>
              <w:jc w:val="left"/>
              <w:rPr>
                <w:rFonts w:ascii="宋体" w:hAnsi="宋体"/>
                <w:b/>
                <w:color w:val="auto"/>
                <w:szCs w:val="21"/>
              </w:rPr>
            </w:pPr>
          </w:p>
        </w:tc>
        <w:tc>
          <w:tcPr>
            <w:tcW w:w="1984" w:type="dxa"/>
            <w:vAlign w:val="center"/>
          </w:tcPr>
          <w:p w14:paraId="191F64F3">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c>
          <w:tcPr>
            <w:tcW w:w="1843" w:type="dxa"/>
          </w:tcPr>
          <w:p w14:paraId="3709BECC">
            <w:pPr>
              <w:adjustRightInd w:val="0"/>
              <w:snapToGrid w:val="0"/>
              <w:spacing w:line="360" w:lineRule="auto"/>
              <w:jc w:val="center"/>
              <w:rPr>
                <w:rFonts w:ascii="宋体" w:hAnsi="宋体"/>
                <w:b/>
                <w:color w:val="auto"/>
                <w:szCs w:val="21"/>
              </w:rPr>
            </w:pPr>
            <w:r>
              <w:rPr>
                <w:rFonts w:hint="eastAsia" w:ascii="宋体" w:hAnsi="宋体"/>
                <w:b/>
                <w:color w:val="auto"/>
                <w:szCs w:val="21"/>
              </w:rPr>
              <w:t>/</w:t>
            </w:r>
          </w:p>
        </w:tc>
      </w:tr>
    </w:tbl>
    <w:p w14:paraId="3705E6A8">
      <w:pPr>
        <w:adjustRightInd w:val="0"/>
        <w:snapToGrid w:val="0"/>
        <w:spacing w:line="360" w:lineRule="auto"/>
        <w:jc w:val="left"/>
        <w:rPr>
          <w:rFonts w:ascii="宋体" w:hAnsi="宋体"/>
          <w:color w:val="auto"/>
          <w:szCs w:val="21"/>
        </w:rPr>
      </w:pPr>
      <w:r>
        <w:rPr>
          <w:rFonts w:hint="eastAsia" w:ascii="宋体" w:hAnsi="宋体"/>
          <w:color w:val="auto"/>
          <w:szCs w:val="21"/>
        </w:rPr>
        <w:t>说明：</w:t>
      </w:r>
      <w:r>
        <w:rPr>
          <w:rFonts w:hint="eastAsia" w:ascii="宋体" w:hAnsi="宋体"/>
          <w:bCs/>
          <w:color w:val="auto"/>
          <w:szCs w:val="21"/>
        </w:rPr>
        <w:t>1、</w:t>
      </w:r>
      <w:r>
        <w:rPr>
          <w:rFonts w:hint="eastAsia" w:ascii="宋体" w:hAnsi="宋体"/>
          <w:color w:val="auto"/>
          <w:szCs w:val="21"/>
        </w:rPr>
        <w:t>本表用于计算政府采购优先采购产品（节能产品或环境标志产品）的政府采购政策价格扣除。</w:t>
      </w:r>
    </w:p>
    <w:p w14:paraId="3BBB2484">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2、栏目4“价格”为综合单价，包含货物所有隐含的内容，如运输费、保险费、管理费和利润等。</w:t>
      </w:r>
    </w:p>
    <w:p w14:paraId="603E4D0F">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3、栏目6“政策功能编码”是指货物的中国环境标志认证证书编号、中国节能标志认证证书号（货物同时属于节能产品、环境标志产品的，只须填写一种）。</w:t>
      </w:r>
    </w:p>
    <w:p w14:paraId="45195163">
      <w:pPr>
        <w:adjustRightInd w:val="0"/>
        <w:snapToGrid w:val="0"/>
        <w:spacing w:line="360" w:lineRule="auto"/>
        <w:rPr>
          <w:rFonts w:ascii="宋体" w:hAnsi="宋体"/>
          <w:bCs/>
          <w:color w:val="auto"/>
          <w:szCs w:val="21"/>
        </w:rPr>
      </w:pPr>
    </w:p>
    <w:p w14:paraId="4C42E35D">
      <w:pPr>
        <w:adjustRightInd w:val="0"/>
        <w:snapToGrid w:val="0"/>
        <w:spacing w:line="360" w:lineRule="auto"/>
        <w:rPr>
          <w:rFonts w:ascii="宋体" w:hAnsi="宋体"/>
          <w:bCs/>
          <w:color w:val="auto"/>
          <w:szCs w:val="21"/>
        </w:rPr>
      </w:pPr>
    </w:p>
    <w:p w14:paraId="4D08D62B">
      <w:pPr>
        <w:adjustRightInd w:val="0"/>
        <w:snapToGrid w:val="0"/>
        <w:spacing w:line="360" w:lineRule="auto"/>
        <w:rPr>
          <w:rFonts w:ascii="宋体" w:hAnsi="宋体"/>
          <w:color w:val="auto"/>
          <w:szCs w:val="21"/>
        </w:rPr>
      </w:pPr>
    </w:p>
    <w:p w14:paraId="17FA0819">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22CC2F45">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r>
        <w:rPr>
          <w:rFonts w:hint="eastAsia" w:ascii="宋体" w:hAnsi="宋体"/>
          <w:color w:val="auto"/>
          <w:szCs w:val="21"/>
          <w:u w:val="single"/>
        </w:rPr>
        <w:t xml:space="preserve">       </w:t>
      </w:r>
    </w:p>
    <w:p w14:paraId="0D1BA73D">
      <w:pPr>
        <w:rPr>
          <w:color w:val="auto"/>
        </w:rPr>
      </w:pPr>
      <w:r>
        <w:rPr>
          <w:rFonts w:hint="eastAsia"/>
          <w:color w:val="auto"/>
        </w:rPr>
        <w:t>日期：        年    月   日</w:t>
      </w:r>
    </w:p>
    <w:p w14:paraId="2818F7DD">
      <w:pPr>
        <w:rPr>
          <w:color w:val="auto"/>
        </w:rPr>
      </w:pPr>
    </w:p>
    <w:p w14:paraId="76E7EA55">
      <w:pPr>
        <w:pStyle w:val="3"/>
        <w:adjustRightInd w:val="0"/>
        <w:snapToGrid w:val="0"/>
        <w:spacing w:before="156" w:beforeLines="50"/>
        <w:jc w:val="center"/>
        <w:rPr>
          <w:rFonts w:ascii="黑体" w:hAnsi="黑体" w:eastAsia="黑体"/>
          <w:color w:val="auto"/>
          <w:sz w:val="28"/>
          <w:szCs w:val="28"/>
        </w:rPr>
      </w:pPr>
      <w:bookmarkStart w:id="81" w:name="_Toc22167"/>
      <w:r>
        <w:rPr>
          <w:rFonts w:hint="eastAsia" w:ascii="黑体" w:hAnsi="黑体" w:eastAsia="黑体"/>
          <w:color w:val="auto"/>
          <w:sz w:val="28"/>
          <w:szCs w:val="28"/>
        </w:rPr>
        <w:t>十、关于资格的说明(格式)</w:t>
      </w:r>
      <w:bookmarkEnd w:id="81"/>
    </w:p>
    <w:p w14:paraId="33313DF3">
      <w:pPr>
        <w:pStyle w:val="5"/>
        <w:adjustRightInd w:val="0"/>
        <w:snapToGrid w:val="0"/>
        <w:spacing w:before="156" w:beforeLines="50" w:after="0" w:line="360" w:lineRule="auto"/>
        <w:rPr>
          <w:rFonts w:ascii="宋体" w:hAnsi="宋体" w:eastAsia="宋体"/>
          <w:color w:val="auto"/>
          <w:sz w:val="21"/>
          <w:szCs w:val="21"/>
        </w:rPr>
      </w:pPr>
      <w:r>
        <w:rPr>
          <w:rFonts w:hint="eastAsia" w:ascii="宋体" w:hAnsi="宋体" w:eastAsia="宋体"/>
          <w:color w:val="auto"/>
          <w:sz w:val="21"/>
          <w:szCs w:val="21"/>
        </w:rPr>
        <w:t>附件 供应商的资格条件更新材料(如有提供)</w:t>
      </w:r>
    </w:p>
    <w:p w14:paraId="65274F90">
      <w:pPr>
        <w:adjustRightInd w:val="0"/>
        <w:snapToGrid w:val="0"/>
        <w:spacing w:before="156" w:beforeLines="50" w:line="360" w:lineRule="auto"/>
        <w:jc w:val="center"/>
        <w:rPr>
          <w:rFonts w:ascii="仿宋_GB2312" w:hAnsi="宋体" w:eastAsia="仿宋_GB2312"/>
          <w:b/>
          <w:color w:val="auto"/>
          <w:sz w:val="28"/>
          <w:szCs w:val="28"/>
        </w:rPr>
      </w:pPr>
      <w:r>
        <w:rPr>
          <w:rFonts w:hint="eastAsia" w:ascii="黑体" w:hAnsi="宋体" w:eastAsia="黑体"/>
          <w:b/>
          <w:color w:val="auto"/>
          <w:sz w:val="28"/>
          <w:szCs w:val="28"/>
        </w:rPr>
        <w:t>供应商的资格条件更新材料</w:t>
      </w:r>
    </w:p>
    <w:p w14:paraId="4EDBED9B">
      <w:pPr>
        <w:adjustRightInd w:val="0"/>
        <w:snapToGrid w:val="0"/>
        <w:spacing w:before="156" w:beforeLines="50" w:line="360" w:lineRule="auto"/>
        <w:rPr>
          <w:rFonts w:ascii="宋体" w:hAnsi="宋体"/>
          <w:color w:val="auto"/>
          <w:szCs w:val="21"/>
        </w:rPr>
      </w:pPr>
      <w:r>
        <w:rPr>
          <w:rFonts w:hint="eastAsia" w:ascii="宋体" w:hAnsi="宋体"/>
          <w:color w:val="auto"/>
          <w:szCs w:val="21"/>
        </w:rPr>
        <w:t>说明</w:t>
      </w:r>
      <w:r>
        <w:rPr>
          <w:rFonts w:hint="eastAsia" w:ascii="宋体" w:hAnsi="宋体"/>
          <w:color w:val="auto"/>
        </w:rPr>
        <w:t>：</w:t>
      </w:r>
      <w:r>
        <w:rPr>
          <w:rFonts w:hint="eastAsia" w:ascii="宋体" w:hAnsi="宋体" w:cs="宋体"/>
          <w:color w:val="auto"/>
          <w:kern w:val="0"/>
          <w:szCs w:val="21"/>
          <w:lang w:val="zh-CN"/>
        </w:rPr>
        <w:t>根据谈判文件第二章第二节第18.1款规定，被邀请的</w:t>
      </w:r>
      <w:r>
        <w:rPr>
          <w:rFonts w:hint="eastAsia" w:ascii="宋体" w:hAnsi="宋体"/>
          <w:color w:val="auto"/>
          <w:szCs w:val="21"/>
        </w:rPr>
        <w:t>供应商在提交资格证明材料</w:t>
      </w:r>
      <w:r>
        <w:rPr>
          <w:rFonts w:hint="eastAsia" w:ascii="宋体" w:hAnsi="宋体"/>
          <w:bCs/>
          <w:color w:val="auto"/>
          <w:szCs w:val="21"/>
        </w:rPr>
        <w:t>起</w:t>
      </w:r>
      <w:r>
        <w:rPr>
          <w:rFonts w:hint="eastAsia" w:ascii="宋体" w:hAnsi="宋体"/>
          <w:color w:val="auto"/>
          <w:szCs w:val="21"/>
        </w:rPr>
        <w:t>至</w:t>
      </w:r>
      <w:r>
        <w:rPr>
          <w:rFonts w:hint="eastAsia" w:ascii="宋体" w:hAnsi="宋体" w:cs="宋体"/>
          <w:color w:val="auto"/>
          <w:kern w:val="0"/>
          <w:szCs w:val="21"/>
        </w:rPr>
        <w:t>提交首次响应文件</w:t>
      </w:r>
      <w:r>
        <w:rPr>
          <w:rFonts w:hint="eastAsia" w:ascii="宋体" w:hAnsi="宋体"/>
          <w:color w:val="auto"/>
          <w:szCs w:val="21"/>
        </w:rPr>
        <w:t>止，其资格条件发生变化，影响或者可能影响资格条件的，应随本响应文件提供更新或者补充的资格证明材料。</w:t>
      </w:r>
    </w:p>
    <w:p w14:paraId="108DBA64">
      <w:pPr>
        <w:rPr>
          <w:color w:val="auto"/>
        </w:rPr>
      </w:pPr>
    </w:p>
    <w:p w14:paraId="306AD15F">
      <w:pPr>
        <w:spacing w:line="480" w:lineRule="exact"/>
        <w:rPr>
          <w:rFonts w:ascii="黑体" w:eastAsia="黑体"/>
          <w:color w:val="auto"/>
          <w:sz w:val="24"/>
        </w:rPr>
      </w:pPr>
    </w:p>
    <w:p w14:paraId="10B3A96B">
      <w:pPr>
        <w:widowControl/>
        <w:adjustRightInd w:val="0"/>
        <w:snapToGrid w:val="0"/>
        <w:spacing w:before="156" w:beforeLines="50" w:line="360" w:lineRule="auto"/>
        <w:jc w:val="center"/>
        <w:rPr>
          <w:rFonts w:cs="宋体" w:asciiTheme="minorEastAsia" w:hAnsiTheme="minorEastAsia" w:eastAsiaTheme="minorEastAsia"/>
          <w:szCs w:val="21"/>
        </w:rPr>
      </w:pPr>
      <w:r>
        <w:rPr>
          <w:rFonts w:hint="eastAsia" w:ascii="黑体" w:hAnsi="仿宋" w:eastAsia="黑体" w:cs="宋体"/>
          <w:b/>
          <w:sz w:val="28"/>
          <w:szCs w:val="28"/>
        </w:rPr>
        <w:t>湖南省政府采购供应商资格承诺函(格式)</w:t>
      </w:r>
    </w:p>
    <w:p w14:paraId="1F6D7B53">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62247D0">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按照《政府采购促进中小企业发展管理办法》(财库〔2020〕46号),本公司企业规模为: 大型口中型口小型□微型□。</w:t>
      </w:r>
    </w:p>
    <w:p w14:paraId="2F3B6F83">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□本公司自愿入驻湖南省政府采购电子卖场,遵守《湖南省政府采购电子卖场管理办法》(湘财购〔2019〕27号),如违反承诺,同意金融机构将增信保证划缴国库(非电子卖场采购活动项目不需勾选)。</w:t>
      </w:r>
    </w:p>
    <w:p w14:paraId="55B19281">
      <w:pPr>
        <w:widowControl/>
        <w:spacing w:before="156" w:beforeLines="50" w:line="360" w:lineRule="auto"/>
        <w:ind w:firstLine="420" w:firstLineChars="200"/>
        <w:jc w:val="left"/>
        <w:rPr>
          <w:rFonts w:ascii="宋体" w:hAnsi="宋体" w:cs="宋体"/>
          <w:szCs w:val="21"/>
        </w:rPr>
      </w:pPr>
    </w:p>
    <w:p w14:paraId="549EBD56">
      <w:pPr>
        <w:widowControl/>
        <w:spacing w:before="156" w:beforeLines="50" w:line="360" w:lineRule="auto"/>
        <w:ind w:firstLine="5040" w:firstLineChars="2400"/>
        <w:jc w:val="left"/>
        <w:rPr>
          <w:rFonts w:ascii="宋体" w:hAnsi="宋体" w:cs="宋体"/>
          <w:szCs w:val="21"/>
        </w:rPr>
      </w:pPr>
      <w:r>
        <w:rPr>
          <w:rFonts w:hint="eastAsia" w:ascii="宋体" w:hAnsi="宋体" w:cs="宋体"/>
          <w:szCs w:val="21"/>
        </w:rPr>
        <w:t>公司(单位)名称(盖章)：</w:t>
      </w:r>
    </w:p>
    <w:p w14:paraId="15350B6C">
      <w:pPr>
        <w:widowControl/>
        <w:spacing w:before="156" w:beforeLines="50" w:line="360" w:lineRule="auto"/>
        <w:ind w:firstLine="4830" w:firstLineChars="2300"/>
        <w:jc w:val="left"/>
        <w:rPr>
          <w:rFonts w:ascii="宋体" w:hAnsi="宋体" w:cs="宋体"/>
          <w:szCs w:val="21"/>
        </w:rPr>
      </w:pP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年</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月</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日</w:t>
      </w:r>
    </w:p>
    <w:p w14:paraId="32D6D155">
      <w:pPr>
        <w:widowControl/>
        <w:spacing w:before="156" w:beforeLines="50" w:line="360" w:lineRule="auto"/>
        <w:ind w:firstLine="420" w:firstLineChars="200"/>
        <w:jc w:val="left"/>
        <w:rPr>
          <w:rFonts w:ascii="宋体" w:hAnsi="宋体" w:cs="宋体"/>
          <w:szCs w:val="21"/>
        </w:rPr>
      </w:pPr>
    </w:p>
    <w:p w14:paraId="1D3D87E5">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机构代码、注册登记机构、日期、有效期、注册资本、地 址、经济行业、经济性质</w:t>
      </w:r>
    </w:p>
    <w:p w14:paraId="10EC270A">
      <w:pPr>
        <w:widowControl/>
        <w:spacing w:before="156" w:beforeLines="50" w:line="360" w:lineRule="auto"/>
        <w:ind w:firstLine="420" w:firstLineChars="200"/>
        <w:jc w:val="left"/>
        <w:rPr>
          <w:rFonts w:ascii="宋体" w:hAnsi="宋体" w:cs="宋体"/>
          <w:szCs w:val="21"/>
        </w:rPr>
      </w:pPr>
    </w:p>
    <w:p w14:paraId="70F09256">
      <w:pPr>
        <w:widowControl/>
        <w:spacing w:before="156" w:beforeLines="50" w:line="360" w:lineRule="auto"/>
        <w:ind w:firstLine="420" w:firstLineChars="200"/>
        <w:jc w:val="left"/>
        <w:rPr>
          <w:rFonts w:ascii="宋体" w:hAnsi="宋体" w:cs="宋体"/>
          <w:szCs w:val="21"/>
        </w:rPr>
      </w:pPr>
      <w:r>
        <w:rPr>
          <w:rFonts w:hint="eastAsia" w:ascii="宋体" w:hAnsi="宋体" w:cs="宋体"/>
          <w:szCs w:val="21"/>
        </w:rPr>
        <w:t>法定代表人(负责人)姓名(签字)、身份证号、手机号:</w:t>
      </w:r>
    </w:p>
    <w:p w14:paraId="3E59627B">
      <w:pPr>
        <w:adjustRightInd w:val="0"/>
        <w:snapToGrid w:val="0"/>
        <w:spacing w:line="360" w:lineRule="auto"/>
        <w:jc w:val="both"/>
        <w:rPr>
          <w:rFonts w:ascii="黑体" w:eastAsia="黑体"/>
          <w:b/>
          <w:bCs/>
          <w:color w:val="auto"/>
          <w:sz w:val="32"/>
          <w:szCs w:val="32"/>
        </w:rPr>
      </w:pPr>
      <w:r>
        <w:rPr>
          <w:rFonts w:hint="eastAsia" w:ascii="宋体" w:hAnsi="宋体" w:cs="宋体"/>
          <w:szCs w:val="21"/>
        </w:rPr>
        <w:t>授权代表人姓名(签字)、身份证号、手机号:</w:t>
      </w:r>
    </w:p>
    <w:p w14:paraId="4B5F4117">
      <w:pPr>
        <w:pStyle w:val="3"/>
        <w:jc w:val="center"/>
        <w:rPr>
          <w:rFonts w:ascii="黑体" w:hAnsi="黑体" w:eastAsia="黑体"/>
          <w:color w:val="auto"/>
          <w:sz w:val="28"/>
          <w:szCs w:val="28"/>
        </w:rPr>
      </w:pPr>
      <w:r>
        <w:rPr>
          <w:color w:val="auto"/>
        </w:rPr>
        <w:br w:type="page"/>
      </w:r>
      <w:bookmarkStart w:id="82" w:name="_Toc8370"/>
      <w:r>
        <w:rPr>
          <w:rFonts w:hint="eastAsia" w:ascii="黑体" w:hAnsi="黑体" w:eastAsia="黑体"/>
          <w:color w:val="auto"/>
          <w:sz w:val="28"/>
          <w:szCs w:val="28"/>
        </w:rPr>
        <w:t>十一、</w:t>
      </w:r>
      <w:r>
        <w:rPr>
          <w:rFonts w:hint="eastAsia" w:ascii="黑体" w:hAnsi="黑体" w:eastAsia="黑体"/>
          <w:b/>
          <w:color w:val="auto"/>
          <w:sz w:val="28"/>
          <w:szCs w:val="28"/>
        </w:rPr>
        <w:t>供应商认为需提供的其他资料</w:t>
      </w:r>
      <w:bookmarkEnd w:id="82"/>
    </w:p>
    <w:p w14:paraId="0A50E51F">
      <w:pPr>
        <w:adjustRightInd w:val="0"/>
        <w:snapToGrid w:val="0"/>
        <w:spacing w:line="360" w:lineRule="auto"/>
        <w:rPr>
          <w:rFonts w:ascii="宋体" w:hAnsi="宋体"/>
          <w:color w:val="auto"/>
          <w:szCs w:val="21"/>
        </w:rPr>
      </w:pPr>
    </w:p>
    <w:p w14:paraId="1D1155FE">
      <w:pPr>
        <w:adjustRightInd w:val="0"/>
        <w:snapToGrid w:val="0"/>
        <w:spacing w:before="156" w:beforeLines="50" w:line="360" w:lineRule="auto"/>
        <w:rPr>
          <w:rFonts w:ascii="宋体" w:hAnsi="宋体"/>
          <w:color w:val="auto"/>
        </w:rPr>
      </w:pPr>
      <w:r>
        <w:rPr>
          <w:rFonts w:hint="eastAsia" w:ascii="宋体" w:hAnsi="宋体"/>
          <w:color w:val="auto"/>
        </w:rPr>
        <w:t>备注：供应商认为需提供的其他资料包括：</w:t>
      </w:r>
    </w:p>
    <w:p w14:paraId="703022B9">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（1）谈判文件第三章采购需求要求的其他资料；</w:t>
      </w:r>
    </w:p>
    <w:p w14:paraId="13AE74A6">
      <w:pPr>
        <w:adjustRightInd w:val="0"/>
        <w:snapToGrid w:val="0"/>
        <w:spacing w:line="360" w:lineRule="auto"/>
        <w:ind w:firstLine="420" w:firstLineChars="200"/>
        <w:rPr>
          <w:rFonts w:ascii="宋体" w:hAnsi="宋体"/>
          <w:color w:val="auto"/>
        </w:rPr>
      </w:pPr>
      <w:r>
        <w:rPr>
          <w:rFonts w:hint="eastAsia" w:ascii="宋体" w:hAnsi="宋体"/>
          <w:color w:val="auto"/>
        </w:rPr>
        <w:t>（2）谈判文件要求的其他相关资料</w:t>
      </w:r>
      <w:r>
        <w:rPr>
          <w:rFonts w:hint="eastAsia" w:ascii="宋体" w:hAnsi="宋体"/>
          <w:color w:val="auto"/>
          <w:szCs w:val="21"/>
        </w:rPr>
        <w:t>。</w:t>
      </w:r>
    </w:p>
    <w:p w14:paraId="0C4915E6">
      <w:pPr>
        <w:adjustRightInd w:val="0"/>
        <w:snapToGrid w:val="0"/>
        <w:spacing w:before="156" w:beforeLines="50" w:line="360" w:lineRule="auto"/>
        <w:ind w:firstLine="562" w:firstLineChars="200"/>
        <w:rPr>
          <w:rFonts w:ascii="宋体" w:hAnsi="宋体"/>
          <w:color w:val="auto"/>
        </w:rPr>
      </w:pPr>
      <w:r>
        <w:rPr>
          <w:rFonts w:ascii="黑体" w:eastAsia="黑体"/>
          <w:b/>
          <w:bCs/>
          <w:color w:val="auto"/>
          <w:sz w:val="28"/>
          <w:szCs w:val="28"/>
        </w:rPr>
        <w:br w:type="page"/>
      </w:r>
    </w:p>
    <w:p w14:paraId="2BADF411">
      <w:pPr>
        <w:pStyle w:val="3"/>
        <w:jc w:val="center"/>
        <w:rPr>
          <w:rFonts w:ascii="黑体" w:hAnsi="黑体" w:eastAsia="黑体"/>
          <w:color w:val="auto"/>
          <w:sz w:val="28"/>
          <w:szCs w:val="28"/>
        </w:rPr>
      </w:pPr>
      <w:bookmarkStart w:id="83" w:name="_Toc28751"/>
      <w:r>
        <w:rPr>
          <w:rFonts w:hint="eastAsia" w:ascii="黑体" w:hAnsi="黑体" w:eastAsia="黑体"/>
          <w:color w:val="auto"/>
          <w:sz w:val="28"/>
          <w:szCs w:val="28"/>
        </w:rPr>
        <w:t>十二、代理服务费承诺书</w:t>
      </w:r>
      <w:bookmarkEnd w:id="83"/>
    </w:p>
    <w:p w14:paraId="746702E9">
      <w:pPr>
        <w:adjustRightInd w:val="0"/>
        <w:snapToGrid w:val="0"/>
        <w:spacing w:line="360" w:lineRule="auto"/>
        <w:rPr>
          <w:rFonts w:ascii="宋体" w:hAnsi="宋体" w:cs="仿宋_GB2312"/>
          <w:color w:val="auto"/>
          <w:szCs w:val="21"/>
        </w:rPr>
      </w:pPr>
    </w:p>
    <w:p w14:paraId="5D505A5A">
      <w:pPr>
        <w:adjustRightInd w:val="0"/>
        <w:snapToGrid w:val="0"/>
        <w:spacing w:line="360" w:lineRule="auto"/>
        <w:rPr>
          <w:rFonts w:ascii="宋体" w:hAnsi="宋体"/>
          <w:color w:val="auto"/>
          <w:szCs w:val="21"/>
          <w:u w:val="single"/>
        </w:rPr>
      </w:pPr>
      <w:r>
        <w:rPr>
          <w:rFonts w:hint="eastAsia" w:ascii="宋体" w:hAnsi="宋体" w:cs="仿宋_GB2312"/>
          <w:color w:val="auto"/>
          <w:szCs w:val="21"/>
        </w:rPr>
        <w:t>致（采购代理机构）</w:t>
      </w:r>
      <w:r>
        <w:rPr>
          <w:rFonts w:hint="eastAsia" w:ascii="宋体" w:hAnsi="宋体" w:cs="仿宋_GB2312"/>
          <w:color w:val="auto"/>
          <w:szCs w:val="21"/>
          <w:u w:val="single"/>
        </w:rPr>
        <w:t xml:space="preserve">                 </w:t>
      </w:r>
      <w:r>
        <w:rPr>
          <w:rFonts w:hint="eastAsia" w:ascii="宋体" w:hAnsi="宋体" w:cs="仿宋_GB2312"/>
          <w:color w:val="auto"/>
          <w:szCs w:val="21"/>
        </w:rPr>
        <w:t xml:space="preserve"> ：</w:t>
      </w:r>
    </w:p>
    <w:p w14:paraId="676E89ED">
      <w:pPr>
        <w:adjustRightInd w:val="0"/>
        <w:snapToGrid w:val="0"/>
        <w:spacing w:line="360" w:lineRule="auto"/>
        <w:ind w:firstLine="420" w:firstLineChars="200"/>
        <w:rPr>
          <w:rFonts w:ascii="宋体" w:hAnsi="宋体"/>
          <w:color w:val="auto"/>
          <w:szCs w:val="21"/>
        </w:rPr>
      </w:pPr>
      <w:r>
        <w:rPr>
          <w:rFonts w:hint="eastAsia" w:ascii="宋体" w:hAnsi="宋体" w:cs="仿宋_GB2312"/>
          <w:color w:val="auto"/>
          <w:szCs w:val="21"/>
        </w:rPr>
        <w:t>我们在贵公司组织的</w:t>
      </w:r>
      <w:r>
        <w:rPr>
          <w:rFonts w:hint="eastAsia" w:ascii="宋体" w:hAnsi="宋体"/>
          <w:color w:val="auto"/>
          <w:szCs w:val="21"/>
        </w:rPr>
        <w:t>（项目名称：</w:t>
      </w:r>
      <w:r>
        <w:rPr>
          <w:rFonts w:hint="eastAsia" w:ascii="宋体" w:hAnsi="宋体"/>
          <w:color w:val="auto"/>
          <w:szCs w:val="21"/>
          <w:u w:val="single"/>
        </w:rPr>
        <w:t xml:space="preserve">          </w:t>
      </w:r>
      <w:r>
        <w:rPr>
          <w:rFonts w:hint="eastAsia" w:ascii="宋体" w:hAnsi="宋体"/>
          <w:color w:val="auto"/>
          <w:szCs w:val="21"/>
        </w:rPr>
        <w:t xml:space="preserve"> ，</w:t>
      </w:r>
      <w:r>
        <w:rPr>
          <w:rFonts w:hint="eastAsia" w:ascii="宋体" w:hAnsi="宋体" w:cs="仿宋_GB2312"/>
          <w:color w:val="auto"/>
          <w:szCs w:val="21"/>
          <w:lang w:eastAsia="zh-CN"/>
        </w:rPr>
        <w:t>委托代理编号</w:t>
      </w:r>
      <w:r>
        <w:rPr>
          <w:rFonts w:hint="eastAsia" w:ascii="宋体" w:hAnsi="宋体" w:cs="仿宋_GB2312"/>
          <w:color w:val="auto"/>
          <w:szCs w:val="21"/>
        </w:rPr>
        <w:t>：</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s="仿宋_GB2312"/>
          <w:color w:val="auto"/>
          <w:szCs w:val="21"/>
        </w:rPr>
        <w:t>政府采购活动中若获成交，我们保证在收到成交通知书后5 个工作日内，按谈判文件的规定，以</w:t>
      </w:r>
      <w:r>
        <w:rPr>
          <w:rFonts w:hint="eastAsia" w:ascii="宋体" w:hAnsi="宋体" w:cs="仿宋_GB2312"/>
          <w:color w:val="auto"/>
          <w:szCs w:val="21"/>
          <w:lang w:eastAsia="zh-CN"/>
        </w:rPr>
        <w:t>金融机构转账</w:t>
      </w:r>
      <w:r>
        <w:rPr>
          <w:rFonts w:hint="eastAsia" w:ascii="宋体" w:hAnsi="宋体" w:cs="仿宋_GB2312"/>
          <w:color w:val="auto"/>
          <w:szCs w:val="21"/>
        </w:rPr>
        <w:t>或现金，向贵公司一次性支付代理服务费用。否则，</w:t>
      </w:r>
      <w:r>
        <w:rPr>
          <w:rFonts w:hint="eastAsia" w:ascii="宋体" w:hAnsi="宋体"/>
          <w:color w:val="auto"/>
          <w:szCs w:val="21"/>
        </w:rPr>
        <w:t>由此产生的一切法律后果和责任由我公司承担。我公司声明放弃对此提出任何异议和追索的权利。</w:t>
      </w:r>
    </w:p>
    <w:p w14:paraId="62069BF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特此承诺。</w:t>
      </w:r>
    </w:p>
    <w:p w14:paraId="5BD1BC97">
      <w:pPr>
        <w:adjustRightInd w:val="0"/>
        <w:snapToGrid w:val="0"/>
        <w:spacing w:line="360" w:lineRule="auto"/>
        <w:rPr>
          <w:rFonts w:ascii="宋体" w:hAnsi="宋体"/>
          <w:color w:val="auto"/>
          <w:szCs w:val="21"/>
        </w:rPr>
      </w:pPr>
    </w:p>
    <w:tbl>
      <w:tblPr>
        <w:tblStyle w:val="4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7"/>
      </w:tblGrid>
      <w:tr w14:paraId="0019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7" w:type="dxa"/>
            <w:shd w:val="clear" w:color="auto" w:fill="auto"/>
          </w:tcPr>
          <w:p w14:paraId="7E3F5FC4">
            <w:pPr>
              <w:adjustRightInd w:val="0"/>
              <w:snapToGrid w:val="0"/>
              <w:spacing w:line="360" w:lineRule="auto"/>
              <w:jc w:val="center"/>
              <w:rPr>
                <w:rFonts w:ascii="黑体" w:hAnsi="黑体" w:eastAsia="黑体"/>
                <w:color w:val="auto"/>
                <w:kern w:val="0"/>
                <w:sz w:val="28"/>
                <w:szCs w:val="28"/>
                <w:u w:val="single"/>
              </w:rPr>
            </w:pPr>
            <w:r>
              <w:rPr>
                <w:rFonts w:ascii="黑体" w:hAnsi="黑体" w:eastAsia="黑体"/>
                <w:color w:val="auto"/>
                <w:kern w:val="0"/>
                <w:sz w:val="28"/>
                <w:szCs w:val="28"/>
                <w:u w:val="single"/>
              </w:rPr>
              <w:t>开具</w:t>
            </w:r>
            <w:r>
              <w:rPr>
                <w:rFonts w:hint="eastAsia" w:ascii="黑体" w:hAnsi="黑体" w:eastAsia="黑体"/>
                <w:color w:val="auto"/>
                <w:kern w:val="0"/>
                <w:sz w:val="28"/>
                <w:szCs w:val="28"/>
                <w:u w:val="single"/>
              </w:rPr>
              <w:t>发票信息</w:t>
            </w:r>
          </w:p>
          <w:p w14:paraId="6AD80A1D">
            <w:pPr>
              <w:adjustRightInd w:val="0"/>
              <w:snapToGrid w:val="0"/>
              <w:spacing w:line="360" w:lineRule="auto"/>
              <w:ind w:firstLine="420" w:firstLineChars="200"/>
              <w:rPr>
                <w:rFonts w:ascii="宋体" w:hAnsi="宋体"/>
                <w:color w:val="auto"/>
                <w:kern w:val="0"/>
                <w:sz w:val="20"/>
                <w:szCs w:val="21"/>
              </w:rPr>
            </w:pPr>
            <w:r>
              <w:rPr>
                <w:rFonts w:ascii="宋体" w:hAnsi="宋体"/>
                <w:color w:val="auto"/>
                <w:kern w:val="0"/>
                <w:szCs w:val="21"/>
              </w:rPr>
              <w:t>□</w:t>
            </w:r>
            <w:r>
              <w:rPr>
                <w:rFonts w:hint="eastAsia" w:ascii="宋体" w:hAnsi="宋体"/>
                <w:color w:val="auto"/>
                <w:kern w:val="0"/>
                <w:szCs w:val="21"/>
              </w:rPr>
              <w:t xml:space="preserve"> </w:t>
            </w:r>
            <w:r>
              <w:rPr>
                <w:rFonts w:ascii="宋体" w:hAnsi="宋体"/>
                <w:color w:val="auto"/>
                <w:kern w:val="0"/>
                <w:szCs w:val="21"/>
              </w:rPr>
              <w:t>增值税普通发票</w:t>
            </w:r>
          </w:p>
          <w:p w14:paraId="710D0434">
            <w:pPr>
              <w:adjustRightInd w:val="0"/>
              <w:snapToGrid w:val="0"/>
              <w:spacing w:line="360" w:lineRule="auto"/>
              <w:ind w:firstLine="420" w:firstLineChars="200"/>
              <w:rPr>
                <w:rFonts w:ascii="宋体" w:hAnsi="宋体"/>
                <w:color w:val="auto"/>
                <w:kern w:val="0"/>
                <w:sz w:val="20"/>
                <w:szCs w:val="21"/>
              </w:rPr>
            </w:pPr>
            <w:r>
              <w:rPr>
                <w:rFonts w:ascii="宋体" w:hAnsi="宋体"/>
                <w:color w:val="auto"/>
                <w:kern w:val="0"/>
                <w:szCs w:val="21"/>
              </w:rPr>
              <w:t>单位名称：</w:t>
            </w:r>
            <w:r>
              <w:rPr>
                <w:rFonts w:hint="eastAsia" w:ascii="宋体" w:hAnsi="宋体"/>
                <w:color w:val="auto"/>
                <w:kern w:val="0"/>
                <w:sz w:val="20"/>
                <w:szCs w:val="21"/>
                <w:u w:val="single"/>
              </w:rPr>
              <w:t xml:space="preserve">                   </w:t>
            </w:r>
          </w:p>
          <w:p w14:paraId="1EF6ABC8">
            <w:pPr>
              <w:adjustRightInd w:val="0"/>
              <w:snapToGrid w:val="0"/>
              <w:spacing w:line="360" w:lineRule="auto"/>
              <w:ind w:firstLine="420" w:firstLineChars="200"/>
              <w:rPr>
                <w:rFonts w:ascii="宋体" w:hAnsi="宋体"/>
                <w:color w:val="auto"/>
                <w:kern w:val="0"/>
                <w:sz w:val="20"/>
                <w:szCs w:val="21"/>
              </w:rPr>
            </w:pPr>
            <w:r>
              <w:rPr>
                <w:rFonts w:ascii="宋体" w:hAnsi="宋体"/>
                <w:color w:val="auto"/>
                <w:kern w:val="0"/>
                <w:szCs w:val="21"/>
              </w:rPr>
              <w:t>纳税人识别号：</w:t>
            </w:r>
            <w:r>
              <w:rPr>
                <w:rFonts w:hint="eastAsia" w:ascii="宋体" w:hAnsi="宋体"/>
                <w:color w:val="auto"/>
                <w:kern w:val="0"/>
                <w:sz w:val="20"/>
                <w:szCs w:val="21"/>
                <w:u w:val="single"/>
              </w:rPr>
              <w:t xml:space="preserve">                   </w:t>
            </w:r>
          </w:p>
          <w:p w14:paraId="365A752B">
            <w:pPr>
              <w:adjustRightInd w:val="0"/>
              <w:snapToGrid w:val="0"/>
              <w:spacing w:line="360" w:lineRule="auto"/>
              <w:ind w:firstLine="420" w:firstLineChars="200"/>
              <w:rPr>
                <w:rFonts w:ascii="宋体" w:hAnsi="宋体"/>
                <w:color w:val="auto"/>
                <w:kern w:val="0"/>
                <w:sz w:val="20"/>
                <w:szCs w:val="21"/>
              </w:rPr>
            </w:pPr>
            <w:r>
              <w:rPr>
                <w:rFonts w:ascii="宋体" w:hAnsi="宋体"/>
                <w:color w:val="auto"/>
                <w:kern w:val="0"/>
                <w:szCs w:val="21"/>
              </w:rPr>
              <w:t>地址：</w:t>
            </w:r>
            <w:r>
              <w:rPr>
                <w:rFonts w:hint="eastAsia" w:ascii="宋体" w:hAnsi="宋体"/>
                <w:color w:val="auto"/>
                <w:kern w:val="0"/>
                <w:sz w:val="20"/>
                <w:szCs w:val="21"/>
                <w:u w:val="single"/>
              </w:rPr>
              <w:t xml:space="preserve">                   </w:t>
            </w:r>
          </w:p>
          <w:p w14:paraId="7145D5F4">
            <w:pPr>
              <w:adjustRightInd w:val="0"/>
              <w:snapToGrid w:val="0"/>
              <w:spacing w:line="360" w:lineRule="auto"/>
              <w:ind w:firstLine="420" w:firstLineChars="200"/>
              <w:rPr>
                <w:rFonts w:ascii="宋体" w:hAnsi="宋体"/>
                <w:color w:val="auto"/>
                <w:kern w:val="0"/>
                <w:sz w:val="20"/>
                <w:szCs w:val="21"/>
              </w:rPr>
            </w:pPr>
            <w:r>
              <w:rPr>
                <w:rFonts w:ascii="宋体" w:hAnsi="宋体"/>
                <w:color w:val="auto"/>
                <w:kern w:val="0"/>
                <w:szCs w:val="21"/>
              </w:rPr>
              <w:t>电话：</w:t>
            </w:r>
            <w:r>
              <w:rPr>
                <w:rFonts w:hint="eastAsia" w:ascii="宋体" w:hAnsi="宋体"/>
                <w:color w:val="auto"/>
                <w:kern w:val="0"/>
                <w:sz w:val="20"/>
                <w:szCs w:val="21"/>
                <w:u w:val="single"/>
              </w:rPr>
              <w:t xml:space="preserve">                   </w:t>
            </w:r>
          </w:p>
          <w:p w14:paraId="4D3A9B11">
            <w:pPr>
              <w:adjustRightInd w:val="0"/>
              <w:snapToGrid w:val="0"/>
              <w:spacing w:line="360" w:lineRule="auto"/>
              <w:ind w:firstLine="420" w:firstLineChars="200"/>
              <w:rPr>
                <w:rFonts w:ascii="宋体" w:hAnsi="宋体"/>
                <w:color w:val="auto"/>
                <w:kern w:val="0"/>
                <w:sz w:val="20"/>
                <w:szCs w:val="21"/>
              </w:rPr>
            </w:pPr>
            <w:r>
              <w:rPr>
                <w:rFonts w:ascii="宋体" w:hAnsi="宋体"/>
                <w:color w:val="auto"/>
                <w:kern w:val="0"/>
                <w:szCs w:val="21"/>
              </w:rPr>
              <w:t>开户行：</w:t>
            </w:r>
            <w:r>
              <w:rPr>
                <w:rFonts w:hint="eastAsia" w:ascii="宋体" w:hAnsi="宋体"/>
                <w:color w:val="auto"/>
                <w:kern w:val="0"/>
                <w:sz w:val="20"/>
                <w:szCs w:val="21"/>
                <w:u w:val="single"/>
              </w:rPr>
              <w:t xml:space="preserve">                   </w:t>
            </w:r>
          </w:p>
          <w:p w14:paraId="01DCAABB">
            <w:pPr>
              <w:adjustRightInd w:val="0"/>
              <w:snapToGrid w:val="0"/>
              <w:spacing w:line="360" w:lineRule="auto"/>
              <w:ind w:firstLine="420" w:firstLineChars="200"/>
              <w:rPr>
                <w:rFonts w:ascii="宋体" w:hAnsi="宋体"/>
                <w:color w:val="auto"/>
                <w:kern w:val="0"/>
                <w:sz w:val="20"/>
                <w:szCs w:val="21"/>
              </w:rPr>
            </w:pPr>
            <w:r>
              <w:rPr>
                <w:rFonts w:ascii="宋体" w:hAnsi="宋体"/>
                <w:color w:val="auto"/>
                <w:kern w:val="0"/>
                <w:szCs w:val="21"/>
              </w:rPr>
              <w:t>账号：</w:t>
            </w:r>
            <w:r>
              <w:rPr>
                <w:rFonts w:hint="eastAsia" w:ascii="宋体" w:hAnsi="宋体"/>
                <w:color w:val="auto"/>
                <w:kern w:val="0"/>
                <w:sz w:val="20"/>
                <w:szCs w:val="21"/>
                <w:u w:val="single"/>
              </w:rPr>
              <w:t xml:space="preserve">                   </w:t>
            </w:r>
          </w:p>
        </w:tc>
      </w:tr>
    </w:tbl>
    <w:p w14:paraId="0C5BEECD">
      <w:pPr>
        <w:adjustRightInd w:val="0"/>
        <w:snapToGrid w:val="0"/>
        <w:spacing w:line="360" w:lineRule="auto"/>
        <w:ind w:firstLine="420" w:firstLineChars="200"/>
        <w:rPr>
          <w:rFonts w:ascii="宋体" w:hAnsi="宋体"/>
          <w:color w:val="auto"/>
          <w:szCs w:val="21"/>
        </w:rPr>
      </w:pPr>
    </w:p>
    <w:p w14:paraId="39FEA1C0">
      <w:pPr>
        <w:adjustRightInd w:val="0"/>
        <w:snapToGrid w:val="0"/>
        <w:spacing w:line="360" w:lineRule="auto"/>
        <w:rPr>
          <w:rFonts w:ascii="宋体" w:hAnsi="宋体" w:cs="仿宋_GB2312"/>
          <w:color w:val="auto"/>
          <w:szCs w:val="21"/>
        </w:rPr>
      </w:pPr>
      <w:r>
        <w:rPr>
          <w:rFonts w:ascii="宋体" w:hAnsi="宋体" w:cs="仿宋_GB2312"/>
          <w:color w:val="auto"/>
          <w:szCs w:val="21"/>
        </w:rPr>
        <w:t xml:space="preserve">           </w:t>
      </w:r>
    </w:p>
    <w:p w14:paraId="580C6DF9">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2CE7650A">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2F74C3F0">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_日</w:t>
      </w:r>
    </w:p>
    <w:p w14:paraId="6C2A7D96">
      <w:pPr>
        <w:bidi w:val="0"/>
        <w:rPr>
          <w:color w:val="auto"/>
        </w:rPr>
      </w:pPr>
    </w:p>
    <w:p w14:paraId="0EA08FE3">
      <w:pPr>
        <w:bidi w:val="0"/>
        <w:rPr>
          <w:color w:val="auto"/>
        </w:rPr>
      </w:pPr>
    </w:p>
    <w:p w14:paraId="29DCF5BA">
      <w:pPr>
        <w:bidi w:val="0"/>
        <w:rPr>
          <w:color w:val="auto"/>
        </w:rPr>
      </w:pPr>
    </w:p>
    <w:p w14:paraId="5916E113">
      <w:pPr>
        <w:bidi w:val="0"/>
        <w:rPr>
          <w:color w:val="auto"/>
        </w:rPr>
      </w:pPr>
    </w:p>
    <w:p w14:paraId="46994DE9">
      <w:pPr>
        <w:bidi w:val="0"/>
        <w:rPr>
          <w:color w:val="auto"/>
        </w:rPr>
      </w:pPr>
    </w:p>
    <w:p w14:paraId="0A1FE77A">
      <w:pPr>
        <w:rPr>
          <w:color w:val="auto"/>
        </w:rPr>
      </w:pPr>
      <w:r>
        <w:rPr>
          <w:color w:val="auto"/>
        </w:rPr>
        <w:br w:type="page"/>
      </w:r>
    </w:p>
    <w:p w14:paraId="7516EBE5">
      <w:pPr>
        <w:pStyle w:val="3"/>
        <w:bidi w:val="0"/>
        <w:jc w:val="center"/>
        <w:rPr>
          <w:rFonts w:hint="eastAsia" w:eastAsia="黑体"/>
          <w:color w:val="auto"/>
          <w:lang w:eastAsia="zh-CN"/>
        </w:rPr>
      </w:pPr>
      <w:bookmarkStart w:id="84" w:name="_Toc24281"/>
      <w:r>
        <w:rPr>
          <w:rFonts w:hint="eastAsia" w:ascii="黑体" w:hAnsi="黑体" w:eastAsia="黑体" w:cs="黑体"/>
          <w:color w:val="auto"/>
          <w:sz w:val="28"/>
          <w:szCs w:val="36"/>
          <w:lang w:val="en-US" w:eastAsia="zh-CN"/>
        </w:rPr>
        <w:t>十三、最后报价</w:t>
      </w:r>
      <w:bookmarkEnd w:id="84"/>
    </w:p>
    <w:p w14:paraId="1E0971C1">
      <w:pPr>
        <w:pStyle w:val="260"/>
        <w:rPr>
          <w:color w:val="auto"/>
        </w:rPr>
      </w:pPr>
    </w:p>
    <w:p w14:paraId="2092F2B7">
      <w:pPr>
        <w:pStyle w:val="260"/>
        <w:rPr>
          <w:rFonts w:hint="eastAsia" w:ascii="宋体" w:hAnsi="宋体" w:eastAsia="宋体" w:cs="宋体"/>
          <w:color w:val="auto"/>
          <w:sz w:val="21"/>
          <w:szCs w:val="21"/>
        </w:rPr>
      </w:pPr>
      <w:r>
        <w:rPr>
          <w:rFonts w:hint="eastAsia" w:ascii="宋体" w:hAnsi="宋体" w:eastAsia="宋体" w:cs="宋体"/>
          <w:color w:val="auto"/>
          <w:sz w:val="21"/>
          <w:szCs w:val="21"/>
        </w:rPr>
        <w:t>说明：</w:t>
      </w:r>
    </w:p>
    <w:p w14:paraId="6FB281C4">
      <w:pPr>
        <w:pStyle w:val="26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最后报价按第</w:t>
      </w:r>
      <w:r>
        <w:rPr>
          <w:rFonts w:hint="eastAsia" w:ascii="宋体" w:hAnsi="宋体" w:eastAsia="宋体" w:cs="宋体"/>
          <w:color w:val="auto"/>
          <w:sz w:val="21"/>
          <w:szCs w:val="21"/>
          <w:lang w:eastAsia="zh-CN"/>
        </w:rPr>
        <w:t>二</w:t>
      </w:r>
      <w:r>
        <w:rPr>
          <w:rFonts w:hint="eastAsia" w:ascii="宋体" w:hAnsi="宋体" w:eastAsia="宋体" w:cs="宋体"/>
          <w:color w:val="auto"/>
          <w:sz w:val="21"/>
          <w:szCs w:val="21"/>
        </w:rPr>
        <w:t>章谈判须知</w:t>
      </w:r>
      <w:r>
        <w:rPr>
          <w:rFonts w:hint="eastAsia" w:ascii="宋体" w:hAnsi="宋体" w:eastAsia="宋体" w:cs="宋体"/>
          <w:color w:val="auto"/>
          <w:sz w:val="21"/>
          <w:szCs w:val="21"/>
          <w:lang w:eastAsia="zh-CN"/>
        </w:rPr>
        <w:t>第</w:t>
      </w:r>
      <w:r>
        <w:rPr>
          <w:rFonts w:hint="eastAsia" w:ascii="宋体" w:hAnsi="宋体" w:eastAsia="宋体" w:cs="宋体"/>
          <w:color w:val="auto"/>
          <w:sz w:val="21"/>
          <w:szCs w:val="21"/>
        </w:rPr>
        <w:t>25</w:t>
      </w:r>
      <w:r>
        <w:rPr>
          <w:rFonts w:hint="eastAsia" w:ascii="宋体" w:hAnsi="宋体" w:eastAsia="宋体" w:cs="宋体"/>
          <w:color w:val="auto"/>
          <w:sz w:val="21"/>
          <w:szCs w:val="21"/>
          <w:lang w:eastAsia="zh-CN"/>
        </w:rPr>
        <w:t>条</w:t>
      </w:r>
      <w:r>
        <w:rPr>
          <w:rFonts w:hint="eastAsia" w:ascii="宋体" w:hAnsi="宋体" w:eastAsia="宋体" w:cs="宋体"/>
          <w:color w:val="auto"/>
          <w:sz w:val="21"/>
          <w:szCs w:val="21"/>
        </w:rPr>
        <w:t>规定提供，格式按</w:t>
      </w:r>
      <w:r>
        <w:rPr>
          <w:rFonts w:hint="eastAsia" w:ascii="宋体" w:hAnsi="宋体" w:eastAsia="宋体" w:cs="宋体"/>
          <w:color w:val="auto"/>
          <w:sz w:val="21"/>
          <w:szCs w:val="21"/>
          <w:lang w:eastAsia="zh-CN"/>
        </w:rPr>
        <w:t>本章“</w:t>
      </w:r>
      <w:r>
        <w:rPr>
          <w:rFonts w:hint="eastAsia" w:ascii="宋体" w:hAnsi="宋体" w:eastAsia="宋体" w:cs="宋体"/>
          <w:color w:val="auto"/>
          <w:sz w:val="21"/>
          <w:szCs w:val="21"/>
        </w:rPr>
        <w:t>五、报价表及报价文件(格式)</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p>
    <w:p w14:paraId="6E5BC49B">
      <w:pPr>
        <w:pStyle w:val="260"/>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）最后报价不得装订在响应文件内，在谈判后单独递交。</w:t>
      </w:r>
    </w:p>
    <w:p w14:paraId="3E84B5CE">
      <w:pPr>
        <w:pStyle w:val="260"/>
        <w:rPr>
          <w:rFonts w:hint="eastAsia" w:ascii="宋体" w:hAnsi="宋体" w:eastAsia="宋体" w:cs="宋体"/>
          <w:color w:val="auto"/>
          <w:sz w:val="21"/>
          <w:szCs w:val="21"/>
        </w:rPr>
      </w:pPr>
    </w:p>
    <w:sectPr>
      <w:footerReference r:id="rId5" w:type="default"/>
      <w:footerReference r:id="rId6" w:type="even"/>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5925C7A-BA34-48AD-95FE-B797F6BEF21E}"/>
  </w:font>
  <w:font w:name="Arial">
    <w:panose1 w:val="020B0604020202020204"/>
    <w:charset w:val="01"/>
    <w:family w:val="swiss"/>
    <w:pitch w:val="default"/>
    <w:sig w:usb0="E0002EFF" w:usb1="C000785B" w:usb2="00000009" w:usb3="00000000" w:csb0="400001FF" w:csb1="FFFF0000"/>
    <w:embedRegular r:id="rId2" w:fontKey="{63FA520C-025D-4CBF-8E24-18AFE25F3C20}"/>
  </w:font>
  <w:font w:name="黑体">
    <w:panose1 w:val="02010609060101010101"/>
    <w:charset w:val="86"/>
    <w:family w:val="auto"/>
    <w:pitch w:val="default"/>
    <w:sig w:usb0="800002BF" w:usb1="38CF7CFA" w:usb2="00000016" w:usb3="00000000" w:csb0="00040001" w:csb1="00000000"/>
    <w:embedRegular r:id="rId3" w:fontKey="{C6A2C0A9-C12F-4DCC-9709-70E4E82167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4" w:fontKey="{C7FC9484-90D1-4C5B-A5AD-BAA06ACE89C1}"/>
  </w:font>
  <w:font w:name="仿宋">
    <w:panose1 w:val="02010609060101010101"/>
    <w:charset w:val="86"/>
    <w:family w:val="auto"/>
    <w:pitch w:val="default"/>
    <w:sig w:usb0="800002BF" w:usb1="38CF7CFA" w:usb2="00000016" w:usb3="00000000" w:csb0="00040001" w:csb1="00000000"/>
    <w:embedRegular r:id="rId5" w:fontKey="{6B806A16-1E0B-435D-AC7B-501EA071A451}"/>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6" w:fontKey="{78ACFFEC-A91F-4CEA-B7E6-F31D57ACB805}"/>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embedRegular r:id="rId7" w:fontKey="{E20CA5B4-4E96-47B8-9D3C-AB7509B0804A}"/>
  </w:font>
  <w:font w:name="Arial Unicode MS">
    <w:altName w:val="宋体"/>
    <w:panose1 w:val="020B0604020202020204"/>
    <w:charset w:val="86"/>
    <w:family w:val="swiss"/>
    <w:pitch w:val="default"/>
    <w:sig w:usb0="00000000" w:usb1="00000000" w:usb2="0000007F" w:usb3="00000000" w:csb0="203F01FF" w:csb1="DFFF0000"/>
  </w:font>
  <w:font w:name="Arial Narrow">
    <w:panose1 w:val="020B0606020202030204"/>
    <w:charset w:val="00"/>
    <w:family w:val="swiss"/>
    <w:pitch w:val="default"/>
    <w:sig w:usb0="00000287" w:usb1="000008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embedRegular r:id="rId8" w:fontKey="{ABD52E5E-982E-471E-BFB4-55A579C4A574}"/>
  </w:font>
  <w:font w:name="华文中宋">
    <w:panose1 w:val="02010600040101010101"/>
    <w:charset w:val="86"/>
    <w:family w:val="auto"/>
    <w:pitch w:val="default"/>
    <w:sig w:usb0="00000287" w:usb1="080F0000" w:usb2="00000000" w:usb3="00000000" w:csb0="0004009F" w:csb1="DFD70000"/>
    <w:embedRegular r:id="rId9" w:fontKey="{D045D3C6-7120-4DFE-BBF6-B6FDE6B417F5}"/>
  </w:font>
  <w:font w:name="华文宋体">
    <w:panose1 w:val="02010600040101010101"/>
    <w:charset w:val="86"/>
    <w:family w:val="auto"/>
    <w:pitch w:val="default"/>
    <w:sig w:usb0="00000287" w:usb1="080F0000" w:usb2="00000000" w:usb3="00000000" w:csb0="0004009F" w:csb1="DFD70000"/>
    <w:embedRegular r:id="rId10" w:fontKey="{5864CBDA-8193-47EE-8C54-335C843B0B7C}"/>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1DD20">
    <w:pPr>
      <w:pStyle w:val="27"/>
      <w:ind w:left="240" w:right="359" w:rightChars="171" w:hanging="240" w:hangingChars="100"/>
      <w:jc w:val="left"/>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EBCE02">
                          <w:pPr>
                            <w:pStyle w:val="27"/>
                            <w:ind w:left="240" w:right="359" w:rightChars="171" w:hanging="240" w:hangingChars="100"/>
                            <w:jc w:val="center"/>
                          </w:pPr>
                          <w:r>
                            <w:rPr>
                              <w:rStyle w:val="48"/>
                              <w:rFonts w:hint="eastAsia" w:ascii="仿宋_GB2312" w:eastAsia="仿宋_GB2312"/>
                              <w:sz w:val="24"/>
                              <w:szCs w:val="24"/>
                            </w:rPr>
                            <w:t>—</w:t>
                          </w:r>
                          <w:r>
                            <w:rPr>
                              <w:rStyle w:val="48"/>
                              <w:rFonts w:hint="eastAsia" w:ascii="仿宋_GB2312" w:eastAsia="仿宋_GB2312"/>
                              <w:sz w:val="24"/>
                              <w:szCs w:val="24"/>
                            </w:rPr>
                            <w:fldChar w:fldCharType="begin"/>
                          </w:r>
                          <w:r>
                            <w:rPr>
                              <w:rStyle w:val="48"/>
                              <w:rFonts w:hint="eastAsia" w:ascii="仿宋_GB2312" w:eastAsia="仿宋_GB2312"/>
                              <w:sz w:val="24"/>
                              <w:szCs w:val="24"/>
                            </w:rPr>
                            <w:instrText xml:space="preserve"> PAGE </w:instrText>
                          </w:r>
                          <w:r>
                            <w:rPr>
                              <w:rStyle w:val="48"/>
                              <w:rFonts w:hint="eastAsia" w:ascii="仿宋_GB2312" w:eastAsia="仿宋_GB2312"/>
                              <w:sz w:val="24"/>
                              <w:szCs w:val="24"/>
                            </w:rPr>
                            <w:fldChar w:fldCharType="separate"/>
                          </w:r>
                          <w:r>
                            <w:rPr>
                              <w:rStyle w:val="48"/>
                              <w:rFonts w:ascii="仿宋_GB2312" w:eastAsia="仿宋_GB2312"/>
                              <w:sz w:val="24"/>
                              <w:szCs w:val="24"/>
                            </w:rPr>
                            <w:t>5</w:t>
                          </w:r>
                          <w:r>
                            <w:rPr>
                              <w:rStyle w:val="48"/>
                              <w:rFonts w:hint="eastAsia" w:ascii="仿宋_GB2312" w:eastAsia="仿宋_GB2312"/>
                              <w:sz w:val="24"/>
                              <w:szCs w:val="24"/>
                            </w:rPr>
                            <w:fldChar w:fldCharType="end"/>
                          </w:r>
                          <w:r>
                            <w:rPr>
                              <w:rStyle w:val="48"/>
                              <w:rFonts w:hint="eastAsia" w:ascii="仿宋_GB2312" w:eastAsia="仿宋_GB2312"/>
                              <w:sz w:val="24"/>
                              <w:szCs w:val="2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AEBCE02">
                    <w:pPr>
                      <w:pStyle w:val="27"/>
                      <w:ind w:left="240" w:right="359" w:rightChars="171" w:hanging="240" w:hangingChars="100"/>
                      <w:jc w:val="center"/>
                    </w:pPr>
                    <w:r>
                      <w:rPr>
                        <w:rStyle w:val="48"/>
                        <w:rFonts w:hint="eastAsia" w:ascii="仿宋_GB2312" w:eastAsia="仿宋_GB2312"/>
                        <w:sz w:val="24"/>
                        <w:szCs w:val="24"/>
                      </w:rPr>
                      <w:t>—</w:t>
                    </w:r>
                    <w:r>
                      <w:rPr>
                        <w:rStyle w:val="48"/>
                        <w:rFonts w:hint="eastAsia" w:ascii="仿宋_GB2312" w:eastAsia="仿宋_GB2312"/>
                        <w:sz w:val="24"/>
                        <w:szCs w:val="24"/>
                      </w:rPr>
                      <w:fldChar w:fldCharType="begin"/>
                    </w:r>
                    <w:r>
                      <w:rPr>
                        <w:rStyle w:val="48"/>
                        <w:rFonts w:hint="eastAsia" w:ascii="仿宋_GB2312" w:eastAsia="仿宋_GB2312"/>
                        <w:sz w:val="24"/>
                        <w:szCs w:val="24"/>
                      </w:rPr>
                      <w:instrText xml:space="preserve"> PAGE </w:instrText>
                    </w:r>
                    <w:r>
                      <w:rPr>
                        <w:rStyle w:val="48"/>
                        <w:rFonts w:hint="eastAsia" w:ascii="仿宋_GB2312" w:eastAsia="仿宋_GB2312"/>
                        <w:sz w:val="24"/>
                        <w:szCs w:val="24"/>
                      </w:rPr>
                      <w:fldChar w:fldCharType="separate"/>
                    </w:r>
                    <w:r>
                      <w:rPr>
                        <w:rStyle w:val="48"/>
                        <w:rFonts w:ascii="仿宋_GB2312" w:eastAsia="仿宋_GB2312"/>
                        <w:sz w:val="24"/>
                        <w:szCs w:val="24"/>
                      </w:rPr>
                      <w:t>5</w:t>
                    </w:r>
                    <w:r>
                      <w:rPr>
                        <w:rStyle w:val="48"/>
                        <w:rFonts w:hint="eastAsia" w:ascii="仿宋_GB2312" w:eastAsia="仿宋_GB2312"/>
                        <w:sz w:val="24"/>
                        <w:szCs w:val="24"/>
                      </w:rPr>
                      <w:fldChar w:fldCharType="end"/>
                    </w:r>
                    <w:r>
                      <w:rPr>
                        <w:rStyle w:val="48"/>
                        <w:rFonts w:hint="eastAsia" w:ascii="仿宋_GB2312" w:eastAsia="仿宋_GB2312"/>
                        <w:sz w:val="24"/>
                        <w:szCs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0760">
    <w:pPr>
      <w:pStyle w:val="27"/>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6100CE">
                          <w:pPr>
                            <w:pStyle w:val="27"/>
                            <w:jc w:val="center"/>
                            <w:rPr>
                              <w:rStyle w:val="48"/>
                              <w:rFonts w:ascii="宋体" w:hAnsi="宋体"/>
                              <w:sz w:val="21"/>
                              <w:szCs w:val="21"/>
                            </w:rPr>
                          </w:pPr>
                          <w:r>
                            <w:fldChar w:fldCharType="begin"/>
                          </w:r>
                          <w:r>
                            <w:rPr>
                              <w:rStyle w:val="48"/>
                            </w:rPr>
                            <w:instrText xml:space="preserve">PAGE  </w:instrText>
                          </w:r>
                          <w:r>
                            <w:fldChar w:fldCharType="separate"/>
                          </w:r>
                          <w:r>
                            <w:rPr>
                              <w:rStyle w:val="48"/>
                            </w:rPr>
                            <w:t>61</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6100CE">
                    <w:pPr>
                      <w:pStyle w:val="27"/>
                      <w:jc w:val="center"/>
                      <w:rPr>
                        <w:rStyle w:val="48"/>
                        <w:rFonts w:ascii="宋体" w:hAnsi="宋体"/>
                        <w:sz w:val="21"/>
                        <w:szCs w:val="21"/>
                      </w:rPr>
                    </w:pPr>
                    <w:r>
                      <w:fldChar w:fldCharType="begin"/>
                    </w:r>
                    <w:r>
                      <w:rPr>
                        <w:rStyle w:val="48"/>
                      </w:rPr>
                      <w:instrText xml:space="preserve">PAGE  </w:instrText>
                    </w:r>
                    <w:r>
                      <w:fldChar w:fldCharType="separate"/>
                    </w:r>
                    <w:r>
                      <w:rPr>
                        <w:rStyle w:val="48"/>
                      </w:rPr>
                      <w:t>61</w:t>
                    </w:r>
                    <w:r>
                      <w:rPr>
                        <w:rFonts w:ascii="宋体" w:hAnsi="宋体"/>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8E60">
    <w:pPr>
      <w:pStyle w:val="27"/>
      <w:framePr w:wrap="around" w:vAnchor="text" w:hAnchor="margin" w:xAlign="right" w:y="1"/>
      <w:rPr>
        <w:rStyle w:val="48"/>
      </w:rPr>
    </w:pPr>
    <w:r>
      <w:fldChar w:fldCharType="begin"/>
    </w:r>
    <w:r>
      <w:rPr>
        <w:rStyle w:val="48"/>
      </w:rPr>
      <w:instrText xml:space="preserve">PAGE  </w:instrText>
    </w:r>
    <w:r>
      <w:fldChar w:fldCharType="end"/>
    </w:r>
  </w:p>
  <w:p w14:paraId="6CB7CA9E">
    <w:pPr>
      <w:pStyle w:val="2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91249">
    <w:pPr>
      <w:pStyle w:val="29"/>
      <w:pBdr>
        <w:bottom w:val="none" w:color="auto" w:sz="0" w:space="1"/>
      </w:pBdr>
      <w:jc w:val="center"/>
    </w:pPr>
    <w:r>
      <w:rPr>
        <w:rFonts w:hint="eastAsia" w:eastAsia="宋体"/>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486695"/>
    <w:multiLevelType w:val="singleLevel"/>
    <w:tmpl w:val="C6486695"/>
    <w:lvl w:ilvl="0" w:tentative="0">
      <w:start w:val="1"/>
      <w:numFmt w:val="decimal"/>
      <w:suff w:val="nothing"/>
      <w:lvlText w:val="%1、"/>
      <w:lvlJc w:val="left"/>
    </w:lvl>
  </w:abstractNum>
  <w:abstractNum w:abstractNumId="1">
    <w:nsid w:val="1DB314C1"/>
    <w:multiLevelType w:val="singleLevel"/>
    <w:tmpl w:val="1DB314C1"/>
    <w:lvl w:ilvl="0" w:tentative="0">
      <w:start w:val="1"/>
      <w:numFmt w:val="decimal"/>
      <w:suff w:val="nothing"/>
      <w:lvlText w:val="%1、"/>
      <w:lvlJc w:val="left"/>
    </w:lvl>
  </w:abstractNum>
  <w:abstractNum w:abstractNumId="2">
    <w:nsid w:val="3E7DDD67"/>
    <w:multiLevelType w:val="singleLevel"/>
    <w:tmpl w:val="3E7DDD67"/>
    <w:lvl w:ilvl="0" w:tentative="0">
      <w:start w:val="3"/>
      <w:numFmt w:val="chineseCounting"/>
      <w:suff w:val="space"/>
      <w:lvlText w:val="第%1章"/>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ODljODQ5ZTJjZWUxZjRlZDYxYjgyMTc0YzhjYWM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350"/>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48AB"/>
    <w:rsid w:val="00225954"/>
    <w:rsid w:val="00231B52"/>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554C"/>
    <w:rsid w:val="00515973"/>
    <w:rsid w:val="00516E73"/>
    <w:rsid w:val="00520B9D"/>
    <w:rsid w:val="0052153D"/>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2DC"/>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48F2"/>
    <w:rsid w:val="00EE6CCE"/>
    <w:rsid w:val="00EE7121"/>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0FF7949"/>
    <w:rsid w:val="014B4D5C"/>
    <w:rsid w:val="015263AD"/>
    <w:rsid w:val="015E3B4A"/>
    <w:rsid w:val="01786CD1"/>
    <w:rsid w:val="018117A8"/>
    <w:rsid w:val="01B134FA"/>
    <w:rsid w:val="02171625"/>
    <w:rsid w:val="02CF71D5"/>
    <w:rsid w:val="034F4EF0"/>
    <w:rsid w:val="037C21C2"/>
    <w:rsid w:val="039C3694"/>
    <w:rsid w:val="03C2353D"/>
    <w:rsid w:val="03CD578E"/>
    <w:rsid w:val="03DC50AF"/>
    <w:rsid w:val="045727C7"/>
    <w:rsid w:val="04974ABD"/>
    <w:rsid w:val="04B26652"/>
    <w:rsid w:val="05015619"/>
    <w:rsid w:val="05A66531"/>
    <w:rsid w:val="05C81691"/>
    <w:rsid w:val="05DF6E58"/>
    <w:rsid w:val="0643059A"/>
    <w:rsid w:val="06BC561E"/>
    <w:rsid w:val="06BD01C1"/>
    <w:rsid w:val="06D16238"/>
    <w:rsid w:val="072608F4"/>
    <w:rsid w:val="072A5056"/>
    <w:rsid w:val="0788225E"/>
    <w:rsid w:val="07CB326A"/>
    <w:rsid w:val="08172891"/>
    <w:rsid w:val="08424A58"/>
    <w:rsid w:val="08E57ED2"/>
    <w:rsid w:val="09000C2C"/>
    <w:rsid w:val="093B08C9"/>
    <w:rsid w:val="09A83B16"/>
    <w:rsid w:val="09D76E61"/>
    <w:rsid w:val="09E958BA"/>
    <w:rsid w:val="0A200452"/>
    <w:rsid w:val="0B700B3B"/>
    <w:rsid w:val="0BB554CF"/>
    <w:rsid w:val="0BF21DA7"/>
    <w:rsid w:val="0C0051AC"/>
    <w:rsid w:val="0C8E59BA"/>
    <w:rsid w:val="0CC339C2"/>
    <w:rsid w:val="0D143011"/>
    <w:rsid w:val="0DBB45D9"/>
    <w:rsid w:val="0DD55C7D"/>
    <w:rsid w:val="0F2165AB"/>
    <w:rsid w:val="0F324AEC"/>
    <w:rsid w:val="0F8D2EAD"/>
    <w:rsid w:val="0F8F18A5"/>
    <w:rsid w:val="0FFA09FE"/>
    <w:rsid w:val="10282EAC"/>
    <w:rsid w:val="105E42FA"/>
    <w:rsid w:val="10DC5C58"/>
    <w:rsid w:val="113A623D"/>
    <w:rsid w:val="11DC2455"/>
    <w:rsid w:val="11E250F3"/>
    <w:rsid w:val="1255630A"/>
    <w:rsid w:val="125C1BCC"/>
    <w:rsid w:val="12927B98"/>
    <w:rsid w:val="12F27076"/>
    <w:rsid w:val="130F3B57"/>
    <w:rsid w:val="131E02F6"/>
    <w:rsid w:val="132B616F"/>
    <w:rsid w:val="136B250A"/>
    <w:rsid w:val="13754CF7"/>
    <w:rsid w:val="13A506F1"/>
    <w:rsid w:val="14621358"/>
    <w:rsid w:val="146C3F15"/>
    <w:rsid w:val="14996B3F"/>
    <w:rsid w:val="14CF22DF"/>
    <w:rsid w:val="153250B4"/>
    <w:rsid w:val="159440C7"/>
    <w:rsid w:val="15C471A6"/>
    <w:rsid w:val="15C907EF"/>
    <w:rsid w:val="16012012"/>
    <w:rsid w:val="1608545F"/>
    <w:rsid w:val="1610488C"/>
    <w:rsid w:val="16940700"/>
    <w:rsid w:val="16BC1AC2"/>
    <w:rsid w:val="16C92441"/>
    <w:rsid w:val="16E75D71"/>
    <w:rsid w:val="17110FEA"/>
    <w:rsid w:val="171B0E56"/>
    <w:rsid w:val="175C14E8"/>
    <w:rsid w:val="176E06D5"/>
    <w:rsid w:val="17963A03"/>
    <w:rsid w:val="185D496B"/>
    <w:rsid w:val="1867397D"/>
    <w:rsid w:val="18A877F4"/>
    <w:rsid w:val="19C9715F"/>
    <w:rsid w:val="19F957D5"/>
    <w:rsid w:val="1A167B7E"/>
    <w:rsid w:val="1A654346"/>
    <w:rsid w:val="1A8A7A60"/>
    <w:rsid w:val="1B023B98"/>
    <w:rsid w:val="1B072EF3"/>
    <w:rsid w:val="1B3E3C04"/>
    <w:rsid w:val="1BC1465A"/>
    <w:rsid w:val="1BEE0D32"/>
    <w:rsid w:val="1C36205A"/>
    <w:rsid w:val="1C505D3B"/>
    <w:rsid w:val="1C9A6D9A"/>
    <w:rsid w:val="1CE13300"/>
    <w:rsid w:val="1D136A51"/>
    <w:rsid w:val="1D441DE8"/>
    <w:rsid w:val="1DA96EBE"/>
    <w:rsid w:val="1E13543B"/>
    <w:rsid w:val="1E974B5F"/>
    <w:rsid w:val="1ED92706"/>
    <w:rsid w:val="1F042089"/>
    <w:rsid w:val="1F247797"/>
    <w:rsid w:val="1F2A6A74"/>
    <w:rsid w:val="1F4E1485"/>
    <w:rsid w:val="1F5635BC"/>
    <w:rsid w:val="1FC74F34"/>
    <w:rsid w:val="1FF33A8B"/>
    <w:rsid w:val="20484538"/>
    <w:rsid w:val="20FD17BE"/>
    <w:rsid w:val="21257003"/>
    <w:rsid w:val="213F4340"/>
    <w:rsid w:val="21723985"/>
    <w:rsid w:val="219B7371"/>
    <w:rsid w:val="22082B72"/>
    <w:rsid w:val="2269138C"/>
    <w:rsid w:val="22B51736"/>
    <w:rsid w:val="2375388E"/>
    <w:rsid w:val="23CE0648"/>
    <w:rsid w:val="240476D5"/>
    <w:rsid w:val="24715B94"/>
    <w:rsid w:val="24897F10"/>
    <w:rsid w:val="24A061A3"/>
    <w:rsid w:val="24AC4860"/>
    <w:rsid w:val="24E61397"/>
    <w:rsid w:val="25104DD6"/>
    <w:rsid w:val="251F4BF5"/>
    <w:rsid w:val="25685AC0"/>
    <w:rsid w:val="25AF39BB"/>
    <w:rsid w:val="25E42581"/>
    <w:rsid w:val="264E315E"/>
    <w:rsid w:val="27357F98"/>
    <w:rsid w:val="27473386"/>
    <w:rsid w:val="27724BB6"/>
    <w:rsid w:val="27892CC7"/>
    <w:rsid w:val="28111B92"/>
    <w:rsid w:val="28196E2B"/>
    <w:rsid w:val="28AC0820"/>
    <w:rsid w:val="29955A56"/>
    <w:rsid w:val="2A005EF5"/>
    <w:rsid w:val="2A530859"/>
    <w:rsid w:val="2A5D0744"/>
    <w:rsid w:val="2AC26CEB"/>
    <w:rsid w:val="2AD64BD3"/>
    <w:rsid w:val="2B0A51C0"/>
    <w:rsid w:val="2C3E30C8"/>
    <w:rsid w:val="2C5A651D"/>
    <w:rsid w:val="2C920A30"/>
    <w:rsid w:val="2D044E58"/>
    <w:rsid w:val="2D9C283F"/>
    <w:rsid w:val="2DD01689"/>
    <w:rsid w:val="2E2F5AA5"/>
    <w:rsid w:val="2EF62DA4"/>
    <w:rsid w:val="2F063F34"/>
    <w:rsid w:val="2F340259"/>
    <w:rsid w:val="2F7C246B"/>
    <w:rsid w:val="2FDB2CCA"/>
    <w:rsid w:val="31306EAD"/>
    <w:rsid w:val="3149481C"/>
    <w:rsid w:val="318154D1"/>
    <w:rsid w:val="33611377"/>
    <w:rsid w:val="345D0419"/>
    <w:rsid w:val="34795D75"/>
    <w:rsid w:val="348416D4"/>
    <w:rsid w:val="34C11FCB"/>
    <w:rsid w:val="34F82A2B"/>
    <w:rsid w:val="35451DF3"/>
    <w:rsid w:val="35731797"/>
    <w:rsid w:val="35B83158"/>
    <w:rsid w:val="35D86163"/>
    <w:rsid w:val="35E00274"/>
    <w:rsid w:val="35FB69F9"/>
    <w:rsid w:val="365A1830"/>
    <w:rsid w:val="367D6AD3"/>
    <w:rsid w:val="367E7EB6"/>
    <w:rsid w:val="36842AE4"/>
    <w:rsid w:val="36BE7998"/>
    <w:rsid w:val="36CF1B72"/>
    <w:rsid w:val="37210A4F"/>
    <w:rsid w:val="372A6B5B"/>
    <w:rsid w:val="37431AC5"/>
    <w:rsid w:val="37505BC8"/>
    <w:rsid w:val="37536974"/>
    <w:rsid w:val="37A57C4E"/>
    <w:rsid w:val="37B77DFD"/>
    <w:rsid w:val="37C417AA"/>
    <w:rsid w:val="382B153A"/>
    <w:rsid w:val="383C086C"/>
    <w:rsid w:val="384F46E5"/>
    <w:rsid w:val="38643D5E"/>
    <w:rsid w:val="38683A58"/>
    <w:rsid w:val="386A3E5E"/>
    <w:rsid w:val="388E6749"/>
    <w:rsid w:val="38B627E4"/>
    <w:rsid w:val="3930283D"/>
    <w:rsid w:val="39C2535E"/>
    <w:rsid w:val="3A1A57CE"/>
    <w:rsid w:val="3A255547"/>
    <w:rsid w:val="3A363E04"/>
    <w:rsid w:val="3A942D6E"/>
    <w:rsid w:val="3AA24471"/>
    <w:rsid w:val="3B700B81"/>
    <w:rsid w:val="3BA748FC"/>
    <w:rsid w:val="3C076626"/>
    <w:rsid w:val="3C202BE8"/>
    <w:rsid w:val="3C390F60"/>
    <w:rsid w:val="3CA32DC2"/>
    <w:rsid w:val="3CF70537"/>
    <w:rsid w:val="3CFA5AF9"/>
    <w:rsid w:val="3D0C1B35"/>
    <w:rsid w:val="3D450201"/>
    <w:rsid w:val="3DE324A9"/>
    <w:rsid w:val="3DEE0FD0"/>
    <w:rsid w:val="3E782DEE"/>
    <w:rsid w:val="3F210C7B"/>
    <w:rsid w:val="3F2936B7"/>
    <w:rsid w:val="3F577E93"/>
    <w:rsid w:val="3F720303"/>
    <w:rsid w:val="3F943E63"/>
    <w:rsid w:val="3FF12AB1"/>
    <w:rsid w:val="40434F6B"/>
    <w:rsid w:val="40505213"/>
    <w:rsid w:val="40D70CDF"/>
    <w:rsid w:val="40DE038F"/>
    <w:rsid w:val="40EF47B1"/>
    <w:rsid w:val="41427867"/>
    <w:rsid w:val="414A4121"/>
    <w:rsid w:val="420B5CC3"/>
    <w:rsid w:val="423E1C00"/>
    <w:rsid w:val="42A87239"/>
    <w:rsid w:val="43CC77BA"/>
    <w:rsid w:val="4498603F"/>
    <w:rsid w:val="449B66A3"/>
    <w:rsid w:val="44A07B65"/>
    <w:rsid w:val="44A52D03"/>
    <w:rsid w:val="44AE618B"/>
    <w:rsid w:val="450733D7"/>
    <w:rsid w:val="45103A7F"/>
    <w:rsid w:val="452B78A4"/>
    <w:rsid w:val="453C49FE"/>
    <w:rsid w:val="45654922"/>
    <w:rsid w:val="45927387"/>
    <w:rsid w:val="45CD46FD"/>
    <w:rsid w:val="45D9795D"/>
    <w:rsid w:val="45E4308F"/>
    <w:rsid w:val="45ED08AB"/>
    <w:rsid w:val="460165EB"/>
    <w:rsid w:val="464F2705"/>
    <w:rsid w:val="46597CC6"/>
    <w:rsid w:val="466305F4"/>
    <w:rsid w:val="46705B6E"/>
    <w:rsid w:val="46C24B2F"/>
    <w:rsid w:val="46C95A08"/>
    <w:rsid w:val="47DA0BA3"/>
    <w:rsid w:val="47EB1C72"/>
    <w:rsid w:val="4875070A"/>
    <w:rsid w:val="488822F7"/>
    <w:rsid w:val="489C5993"/>
    <w:rsid w:val="48D8270E"/>
    <w:rsid w:val="48DA54AA"/>
    <w:rsid w:val="491E4135"/>
    <w:rsid w:val="493503FA"/>
    <w:rsid w:val="493B39FD"/>
    <w:rsid w:val="494D658F"/>
    <w:rsid w:val="49A053B2"/>
    <w:rsid w:val="49AC3E75"/>
    <w:rsid w:val="49D577C6"/>
    <w:rsid w:val="4A3E4F45"/>
    <w:rsid w:val="4AA15A2E"/>
    <w:rsid w:val="4B065984"/>
    <w:rsid w:val="4B2968BC"/>
    <w:rsid w:val="4B5B1BF6"/>
    <w:rsid w:val="4B7155ED"/>
    <w:rsid w:val="4BA15E9C"/>
    <w:rsid w:val="4C0D1493"/>
    <w:rsid w:val="4C176086"/>
    <w:rsid w:val="4C717F99"/>
    <w:rsid w:val="4CA11EA9"/>
    <w:rsid w:val="4CA807BA"/>
    <w:rsid w:val="4D28500D"/>
    <w:rsid w:val="4D715704"/>
    <w:rsid w:val="4DA65903"/>
    <w:rsid w:val="4DDF42CD"/>
    <w:rsid w:val="4E375981"/>
    <w:rsid w:val="4E5A0CC9"/>
    <w:rsid w:val="4E9D1D67"/>
    <w:rsid w:val="4EB61EE8"/>
    <w:rsid w:val="4EE625F2"/>
    <w:rsid w:val="4F5D18E7"/>
    <w:rsid w:val="4F9554AB"/>
    <w:rsid w:val="50342247"/>
    <w:rsid w:val="504D2FC4"/>
    <w:rsid w:val="50845DB3"/>
    <w:rsid w:val="508C002B"/>
    <w:rsid w:val="50935FBB"/>
    <w:rsid w:val="50A13664"/>
    <w:rsid w:val="50F36AD6"/>
    <w:rsid w:val="516E3AE8"/>
    <w:rsid w:val="51EC090F"/>
    <w:rsid w:val="5272630C"/>
    <w:rsid w:val="52A36C5D"/>
    <w:rsid w:val="544269B4"/>
    <w:rsid w:val="545D1E7B"/>
    <w:rsid w:val="54C77A15"/>
    <w:rsid w:val="5501598D"/>
    <w:rsid w:val="551536A7"/>
    <w:rsid w:val="55450284"/>
    <w:rsid w:val="56420595"/>
    <w:rsid w:val="564F595A"/>
    <w:rsid w:val="56735CE9"/>
    <w:rsid w:val="567923AB"/>
    <w:rsid w:val="569E0803"/>
    <w:rsid w:val="5788629A"/>
    <w:rsid w:val="579D0C35"/>
    <w:rsid w:val="57CA32E1"/>
    <w:rsid w:val="57CE505B"/>
    <w:rsid w:val="587F072F"/>
    <w:rsid w:val="58EF01A6"/>
    <w:rsid w:val="59BE5645"/>
    <w:rsid w:val="59DB5C81"/>
    <w:rsid w:val="5A5D2F76"/>
    <w:rsid w:val="5B3B2069"/>
    <w:rsid w:val="5B7D5434"/>
    <w:rsid w:val="5BC712A8"/>
    <w:rsid w:val="5BCA7085"/>
    <w:rsid w:val="5C221C80"/>
    <w:rsid w:val="5C3F150E"/>
    <w:rsid w:val="5C7D5808"/>
    <w:rsid w:val="5CC71FA6"/>
    <w:rsid w:val="5CE92072"/>
    <w:rsid w:val="5D2933F0"/>
    <w:rsid w:val="5D3D32E5"/>
    <w:rsid w:val="5D55654E"/>
    <w:rsid w:val="5DA713CA"/>
    <w:rsid w:val="5E375004"/>
    <w:rsid w:val="5E444FB2"/>
    <w:rsid w:val="5F2355F0"/>
    <w:rsid w:val="5F3920A4"/>
    <w:rsid w:val="5FD915D9"/>
    <w:rsid w:val="603262EF"/>
    <w:rsid w:val="604B5FC0"/>
    <w:rsid w:val="6056593C"/>
    <w:rsid w:val="605E363A"/>
    <w:rsid w:val="6099012C"/>
    <w:rsid w:val="610F0CAD"/>
    <w:rsid w:val="6190554E"/>
    <w:rsid w:val="61E154CA"/>
    <w:rsid w:val="61F543E6"/>
    <w:rsid w:val="62060DCB"/>
    <w:rsid w:val="62193D9A"/>
    <w:rsid w:val="623C58F7"/>
    <w:rsid w:val="625366DC"/>
    <w:rsid w:val="625F5057"/>
    <w:rsid w:val="628A33FA"/>
    <w:rsid w:val="629A57B6"/>
    <w:rsid w:val="62B01525"/>
    <w:rsid w:val="631B171E"/>
    <w:rsid w:val="634B7EC8"/>
    <w:rsid w:val="63595D81"/>
    <w:rsid w:val="635F3ACF"/>
    <w:rsid w:val="63C902F8"/>
    <w:rsid w:val="63E11E30"/>
    <w:rsid w:val="64240DA5"/>
    <w:rsid w:val="64362FCC"/>
    <w:rsid w:val="65183A9D"/>
    <w:rsid w:val="6526599B"/>
    <w:rsid w:val="65384140"/>
    <w:rsid w:val="6555279E"/>
    <w:rsid w:val="65E26649"/>
    <w:rsid w:val="66D908C6"/>
    <w:rsid w:val="66E903D3"/>
    <w:rsid w:val="677C1A2D"/>
    <w:rsid w:val="679056DB"/>
    <w:rsid w:val="67C9422B"/>
    <w:rsid w:val="682E381C"/>
    <w:rsid w:val="68304AFE"/>
    <w:rsid w:val="6870602B"/>
    <w:rsid w:val="68AA61BF"/>
    <w:rsid w:val="68C62098"/>
    <w:rsid w:val="68CA213B"/>
    <w:rsid w:val="691F15E0"/>
    <w:rsid w:val="69AD01D6"/>
    <w:rsid w:val="69DA274F"/>
    <w:rsid w:val="6A0340C4"/>
    <w:rsid w:val="6A0D36D8"/>
    <w:rsid w:val="6A263189"/>
    <w:rsid w:val="6A556181"/>
    <w:rsid w:val="6AF11D00"/>
    <w:rsid w:val="6B4022D2"/>
    <w:rsid w:val="6B56060C"/>
    <w:rsid w:val="6B605BC0"/>
    <w:rsid w:val="6BE30B55"/>
    <w:rsid w:val="6BF97267"/>
    <w:rsid w:val="6C6300E3"/>
    <w:rsid w:val="6C830022"/>
    <w:rsid w:val="6C8E26E9"/>
    <w:rsid w:val="6D113BA1"/>
    <w:rsid w:val="6D6E1E73"/>
    <w:rsid w:val="6DCC43B7"/>
    <w:rsid w:val="6DCE6709"/>
    <w:rsid w:val="6E4567EE"/>
    <w:rsid w:val="6E9B5E0E"/>
    <w:rsid w:val="6EDA6F08"/>
    <w:rsid w:val="6F632780"/>
    <w:rsid w:val="6F9367C0"/>
    <w:rsid w:val="6F987D6D"/>
    <w:rsid w:val="6FD924D2"/>
    <w:rsid w:val="6FFF7E87"/>
    <w:rsid w:val="709B6611"/>
    <w:rsid w:val="70B77446"/>
    <w:rsid w:val="70F07506"/>
    <w:rsid w:val="71112A29"/>
    <w:rsid w:val="71882F15"/>
    <w:rsid w:val="72344B67"/>
    <w:rsid w:val="727B6C0B"/>
    <w:rsid w:val="72DB0903"/>
    <w:rsid w:val="72E75B51"/>
    <w:rsid w:val="733712EA"/>
    <w:rsid w:val="73A32C58"/>
    <w:rsid w:val="73FA6DA9"/>
    <w:rsid w:val="741C6D50"/>
    <w:rsid w:val="74C976B2"/>
    <w:rsid w:val="74E97C98"/>
    <w:rsid w:val="750A005E"/>
    <w:rsid w:val="751D073C"/>
    <w:rsid w:val="75554B84"/>
    <w:rsid w:val="75635B5A"/>
    <w:rsid w:val="75673C4B"/>
    <w:rsid w:val="758030B3"/>
    <w:rsid w:val="75EB7153"/>
    <w:rsid w:val="76894190"/>
    <w:rsid w:val="770037CB"/>
    <w:rsid w:val="780A3994"/>
    <w:rsid w:val="7923023A"/>
    <w:rsid w:val="796507DC"/>
    <w:rsid w:val="79A66416"/>
    <w:rsid w:val="79F447B1"/>
    <w:rsid w:val="7A35684D"/>
    <w:rsid w:val="7A90282B"/>
    <w:rsid w:val="7AEA4CE4"/>
    <w:rsid w:val="7B2B76CE"/>
    <w:rsid w:val="7B657511"/>
    <w:rsid w:val="7B9A0AEE"/>
    <w:rsid w:val="7BBD712C"/>
    <w:rsid w:val="7BD36472"/>
    <w:rsid w:val="7BDA022F"/>
    <w:rsid w:val="7BDB7AFC"/>
    <w:rsid w:val="7BDE2BDC"/>
    <w:rsid w:val="7C8C354E"/>
    <w:rsid w:val="7CDF0008"/>
    <w:rsid w:val="7CED1864"/>
    <w:rsid w:val="7D2B224B"/>
    <w:rsid w:val="7D8D4D8A"/>
    <w:rsid w:val="7E183DB3"/>
    <w:rsid w:val="7E4A07A2"/>
    <w:rsid w:val="7E7D41D6"/>
    <w:rsid w:val="7F875650"/>
    <w:rsid w:val="7FFC5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6"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1"/>
    <w:qFormat/>
    <w:uiPriority w:val="0"/>
    <w:pPr>
      <w:keepNext/>
      <w:jc w:val="center"/>
      <w:outlineLvl w:val="0"/>
    </w:pPr>
    <w:rPr>
      <w:b/>
      <w:bCs/>
      <w:sz w:val="24"/>
      <w:szCs w:val="20"/>
    </w:rPr>
  </w:style>
  <w:style w:type="paragraph" w:styleId="3">
    <w:name w:val="heading 2"/>
    <w:basedOn w:val="1"/>
    <w:next w:val="1"/>
    <w:link w:val="140"/>
    <w:qFormat/>
    <w:uiPriority w:val="0"/>
    <w:pPr>
      <w:keepNext/>
      <w:keepLines/>
      <w:spacing w:line="360" w:lineRule="auto"/>
      <w:outlineLvl w:val="1"/>
    </w:pPr>
    <w:rPr>
      <w:rFonts w:ascii="Arial" w:hAnsi="Arial"/>
      <w:b/>
      <w:bCs/>
      <w:sz w:val="24"/>
      <w:szCs w:val="32"/>
    </w:rPr>
  </w:style>
  <w:style w:type="paragraph" w:styleId="4">
    <w:name w:val="heading 3"/>
    <w:basedOn w:val="1"/>
    <w:next w:val="1"/>
    <w:link w:val="99"/>
    <w:qFormat/>
    <w:uiPriority w:val="0"/>
    <w:pPr>
      <w:keepNext/>
      <w:keepLines/>
      <w:spacing w:before="260" w:after="260" w:line="416" w:lineRule="auto"/>
      <w:outlineLvl w:val="2"/>
    </w:pPr>
    <w:rPr>
      <w:b/>
      <w:bCs/>
      <w:sz w:val="32"/>
      <w:szCs w:val="32"/>
    </w:rPr>
  </w:style>
  <w:style w:type="paragraph" w:styleId="5">
    <w:name w:val="heading 4"/>
    <w:basedOn w:val="1"/>
    <w:next w:val="1"/>
    <w:link w:val="7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6"/>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54"/>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33"/>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62"/>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14"/>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92"/>
    <w:semiHidden/>
    <w:qFormat/>
    <w:uiPriority w:val="0"/>
    <w:pPr>
      <w:shd w:val="clear" w:color="auto" w:fill="000080"/>
    </w:pPr>
    <w:rPr>
      <w:lang w:val="zh-CN" w:eastAsia="zh-CN"/>
    </w:rPr>
  </w:style>
  <w:style w:type="paragraph" w:styleId="14">
    <w:name w:val="annotation text"/>
    <w:basedOn w:val="1"/>
    <w:link w:val="143"/>
    <w:semiHidden/>
    <w:qFormat/>
    <w:uiPriority w:val="0"/>
    <w:pPr>
      <w:jc w:val="left"/>
    </w:pPr>
  </w:style>
  <w:style w:type="paragraph" w:styleId="15">
    <w:name w:val="Salutation"/>
    <w:basedOn w:val="1"/>
    <w:next w:val="1"/>
    <w:link w:val="110"/>
    <w:qFormat/>
    <w:uiPriority w:val="0"/>
    <w:rPr>
      <w:rFonts w:ascii="仿宋_GB2312" w:eastAsia="仿宋_GB2312"/>
      <w:sz w:val="24"/>
      <w:lang w:val="zh-CN" w:eastAsia="zh-CN"/>
    </w:rPr>
  </w:style>
  <w:style w:type="paragraph" w:styleId="16">
    <w:name w:val="Body Text 3"/>
    <w:basedOn w:val="1"/>
    <w:link w:val="126"/>
    <w:qFormat/>
    <w:uiPriority w:val="0"/>
    <w:pPr>
      <w:autoSpaceDE w:val="0"/>
      <w:autoSpaceDN w:val="0"/>
      <w:adjustRightInd w:val="0"/>
      <w:spacing w:line="410" w:lineRule="atLeast"/>
      <w:jc w:val="left"/>
    </w:pPr>
    <w:rPr>
      <w:rFonts w:ascii="宋体"/>
      <w:color w:val="000000"/>
      <w:kern w:val="0"/>
      <w:sz w:val="24"/>
      <w:szCs w:val="20"/>
      <w:lang w:val="zh-CN" w:eastAsia="zh-CN"/>
    </w:rPr>
  </w:style>
  <w:style w:type="paragraph" w:styleId="17">
    <w:name w:val="Body Text"/>
    <w:basedOn w:val="1"/>
    <w:next w:val="1"/>
    <w:link w:val="123"/>
    <w:qFormat/>
    <w:uiPriority w:val="0"/>
    <w:pPr>
      <w:spacing w:after="120"/>
    </w:pPr>
    <w:rPr>
      <w:lang w:val="zh-CN" w:eastAsia="zh-CN"/>
    </w:rPr>
  </w:style>
  <w:style w:type="paragraph" w:styleId="18">
    <w:name w:val="Body Text Indent"/>
    <w:basedOn w:val="1"/>
    <w:link w:val="108"/>
    <w:qFormat/>
    <w:uiPriority w:val="0"/>
    <w:pPr>
      <w:spacing w:after="120"/>
      <w:ind w:left="420" w:leftChars="200"/>
    </w:p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qFormat/>
    <w:uiPriority w:val="39"/>
    <w:pPr>
      <w:ind w:left="1680" w:leftChars="800"/>
    </w:pPr>
    <w:rPr>
      <w:rFonts w:ascii="Calibri" w:hAnsi="Calibri"/>
      <w:szCs w:val="22"/>
    </w:rPr>
  </w:style>
  <w:style w:type="paragraph" w:styleId="21">
    <w:name w:val="toc 3"/>
    <w:basedOn w:val="1"/>
    <w:next w:val="1"/>
    <w:qFormat/>
    <w:uiPriority w:val="39"/>
    <w:pPr>
      <w:adjustRightInd w:val="0"/>
      <w:snapToGrid w:val="0"/>
      <w:spacing w:line="360" w:lineRule="auto"/>
      <w:ind w:left="400" w:leftChars="400"/>
    </w:pPr>
  </w:style>
  <w:style w:type="paragraph" w:styleId="22">
    <w:name w:val="Plain Text"/>
    <w:basedOn w:val="1"/>
    <w:link w:val="156"/>
    <w:qFormat/>
    <w:uiPriority w:val="0"/>
    <w:rPr>
      <w:rFonts w:ascii="宋体" w:hAnsi="Courier New" w:cs="Courier New"/>
      <w:szCs w:val="21"/>
    </w:rPr>
  </w:style>
  <w:style w:type="paragraph" w:styleId="23">
    <w:name w:val="toc 8"/>
    <w:basedOn w:val="1"/>
    <w:next w:val="1"/>
    <w:qFormat/>
    <w:uiPriority w:val="39"/>
    <w:pPr>
      <w:ind w:left="2940" w:leftChars="1400"/>
    </w:pPr>
    <w:rPr>
      <w:rFonts w:ascii="Calibri" w:hAnsi="Calibri"/>
      <w:szCs w:val="22"/>
    </w:rPr>
  </w:style>
  <w:style w:type="paragraph" w:styleId="24">
    <w:name w:val="Date"/>
    <w:basedOn w:val="1"/>
    <w:next w:val="1"/>
    <w:link w:val="87"/>
    <w:qFormat/>
    <w:uiPriority w:val="0"/>
    <w:rPr>
      <w:sz w:val="24"/>
      <w:szCs w:val="20"/>
    </w:rPr>
  </w:style>
  <w:style w:type="paragraph" w:styleId="25">
    <w:name w:val="Body Text Indent 2"/>
    <w:basedOn w:val="1"/>
    <w:link w:val="134"/>
    <w:qFormat/>
    <w:uiPriority w:val="0"/>
    <w:pPr>
      <w:spacing w:after="120" w:line="480" w:lineRule="auto"/>
      <w:ind w:left="420" w:leftChars="200"/>
    </w:pPr>
    <w:rPr>
      <w:lang w:val="zh-CN" w:eastAsia="zh-CN"/>
    </w:rPr>
  </w:style>
  <w:style w:type="paragraph" w:styleId="26">
    <w:name w:val="Balloon Text"/>
    <w:basedOn w:val="1"/>
    <w:link w:val="161"/>
    <w:qFormat/>
    <w:uiPriority w:val="0"/>
    <w:rPr>
      <w:rFonts w:ascii="Calibri" w:hAnsi="Calibri"/>
      <w:sz w:val="18"/>
      <w:szCs w:val="18"/>
    </w:rPr>
  </w:style>
  <w:style w:type="paragraph" w:styleId="27">
    <w:name w:val="footer"/>
    <w:basedOn w:val="1"/>
    <w:link w:val="109"/>
    <w:qFormat/>
    <w:uiPriority w:val="0"/>
    <w:pPr>
      <w:tabs>
        <w:tab w:val="center" w:pos="4153"/>
        <w:tab w:val="right" w:pos="8306"/>
      </w:tabs>
      <w:snapToGrid w:val="0"/>
      <w:jc w:val="left"/>
    </w:pPr>
    <w:rPr>
      <w:sz w:val="18"/>
      <w:szCs w:val="18"/>
    </w:rPr>
  </w:style>
  <w:style w:type="paragraph" w:styleId="28">
    <w:name w:val="envelope return"/>
    <w:basedOn w:val="1"/>
    <w:qFormat/>
    <w:uiPriority w:val="0"/>
    <w:pPr>
      <w:snapToGrid w:val="0"/>
    </w:pPr>
    <w:rPr>
      <w:rFonts w:ascii="Arial" w:hAnsi="Arial"/>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adjustRightInd w:val="0"/>
      <w:snapToGrid w:val="0"/>
      <w:spacing w:line="360" w:lineRule="auto"/>
    </w:pPr>
    <w:rPr>
      <w:b/>
      <w:sz w:val="28"/>
    </w:rPr>
  </w:style>
  <w:style w:type="paragraph" w:styleId="31">
    <w:name w:val="toc 4"/>
    <w:basedOn w:val="1"/>
    <w:next w:val="1"/>
    <w:qFormat/>
    <w:uiPriority w:val="39"/>
    <w:pPr>
      <w:adjustRightInd w:val="0"/>
      <w:snapToGrid w:val="0"/>
      <w:spacing w:line="360" w:lineRule="auto"/>
      <w:ind w:left="600" w:leftChars="600"/>
    </w:pPr>
    <w:rPr>
      <w:b/>
    </w:rPr>
  </w:style>
  <w:style w:type="paragraph" w:styleId="32">
    <w:name w:val="toc 6"/>
    <w:basedOn w:val="1"/>
    <w:next w:val="1"/>
    <w:qFormat/>
    <w:uiPriority w:val="39"/>
    <w:pPr>
      <w:ind w:left="2100" w:leftChars="1000"/>
    </w:pPr>
    <w:rPr>
      <w:rFonts w:ascii="Calibri" w:hAnsi="Calibri"/>
      <w:szCs w:val="22"/>
    </w:rPr>
  </w:style>
  <w:style w:type="paragraph" w:styleId="33">
    <w:name w:val="Body Text Indent 3"/>
    <w:basedOn w:val="1"/>
    <w:link w:val="159"/>
    <w:qFormat/>
    <w:uiPriority w:val="0"/>
    <w:pPr>
      <w:spacing w:after="120"/>
      <w:ind w:left="420" w:leftChars="200"/>
    </w:pPr>
    <w:rPr>
      <w:sz w:val="16"/>
      <w:szCs w:val="16"/>
    </w:rPr>
  </w:style>
  <w:style w:type="paragraph" w:styleId="34">
    <w:name w:val="toc 2"/>
    <w:basedOn w:val="1"/>
    <w:next w:val="1"/>
    <w:qFormat/>
    <w:uiPriority w:val="39"/>
    <w:pPr>
      <w:adjustRightInd w:val="0"/>
      <w:snapToGrid w:val="0"/>
      <w:spacing w:line="360" w:lineRule="auto"/>
      <w:ind w:left="200" w:leftChars="200"/>
    </w:pPr>
  </w:style>
  <w:style w:type="paragraph" w:styleId="35">
    <w:name w:val="toc 9"/>
    <w:basedOn w:val="1"/>
    <w:next w:val="1"/>
    <w:qFormat/>
    <w:uiPriority w:val="39"/>
    <w:pPr>
      <w:ind w:left="3360" w:leftChars="1600"/>
    </w:pPr>
    <w:rPr>
      <w:rFonts w:ascii="Calibri" w:hAnsi="Calibri"/>
      <w:szCs w:val="22"/>
    </w:rPr>
  </w:style>
  <w:style w:type="paragraph" w:styleId="36">
    <w:name w:val="Body Text 2"/>
    <w:basedOn w:val="1"/>
    <w:link w:val="89"/>
    <w:qFormat/>
    <w:uiPriority w:val="0"/>
    <w:pPr>
      <w:spacing w:after="120" w:line="480" w:lineRule="auto"/>
    </w:pPr>
    <w:rPr>
      <w:lang w:val="zh-CN" w:eastAsia="zh-CN"/>
    </w:rPr>
  </w:style>
  <w:style w:type="paragraph" w:styleId="37">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eastAsia="zh-CN"/>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pPr>
      <w:spacing w:line="220" w:lineRule="exact"/>
      <w:jc w:val="center"/>
    </w:pPr>
    <w:rPr>
      <w:rFonts w:ascii="仿宋_GB2312" w:eastAsia="仿宋_GB2312"/>
      <w:szCs w:val="20"/>
    </w:rPr>
  </w:style>
  <w:style w:type="paragraph" w:styleId="40">
    <w:name w:val="Title"/>
    <w:basedOn w:val="1"/>
    <w:next w:val="1"/>
    <w:qFormat/>
    <w:uiPriority w:val="0"/>
    <w:pPr>
      <w:spacing w:before="240" w:after="60"/>
      <w:jc w:val="center"/>
      <w:outlineLvl w:val="0"/>
    </w:pPr>
    <w:rPr>
      <w:rFonts w:ascii="Cambria" w:hAnsi="Cambria"/>
      <w:b/>
      <w:sz w:val="32"/>
    </w:rPr>
  </w:style>
  <w:style w:type="paragraph" w:styleId="41">
    <w:name w:val="annotation subject"/>
    <w:basedOn w:val="14"/>
    <w:next w:val="14"/>
    <w:link w:val="111"/>
    <w:qFormat/>
    <w:uiPriority w:val="0"/>
    <w:rPr>
      <w:b/>
      <w:bCs/>
    </w:rPr>
  </w:style>
  <w:style w:type="paragraph" w:styleId="42">
    <w:name w:val="Body Text First Indent"/>
    <w:basedOn w:val="17"/>
    <w:qFormat/>
    <w:uiPriority w:val="0"/>
    <w:pPr>
      <w:spacing w:after="120"/>
      <w:ind w:firstLine="420"/>
      <w:jc w:val="both"/>
    </w:pPr>
    <w:rPr>
      <w:rFonts w:ascii="Times New Roman" w:hAnsi="Times New Roman" w:eastAsia="楷体_GB2312"/>
      <w:sz w:val="20"/>
      <w:szCs w:val="20"/>
      <w:lang w:bidi="ar-SA"/>
    </w:rPr>
  </w:style>
  <w:style w:type="paragraph" w:styleId="43">
    <w:name w:val="Body Text First Indent 2"/>
    <w:basedOn w:val="18"/>
    <w:next w:val="12"/>
    <w:qFormat/>
    <w:uiPriority w:val="6"/>
    <w:pPr>
      <w:ind w:firstLine="420"/>
      <w:jc w:val="left"/>
    </w:pPr>
    <w:rPr>
      <w:rFonts w:cs="Calibri"/>
      <w:kern w:val="0"/>
    </w:rPr>
  </w:style>
  <w:style w:type="table" w:styleId="45">
    <w:name w:val="Table Grid"/>
    <w:basedOn w:val="44"/>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rFonts w:ascii="Times New Roman" w:hAnsi="Times New Roman" w:eastAsia="宋体"/>
    </w:rPr>
  </w:style>
  <w:style w:type="character" w:styleId="51">
    <w:name w:val="HTML Definition"/>
    <w:qFormat/>
    <w:uiPriority w:val="0"/>
    <w:rPr>
      <w:rFonts w:ascii="Times New Roman" w:hAnsi="Times New Roman" w:eastAsia="宋体"/>
    </w:rPr>
  </w:style>
  <w:style w:type="character" w:styleId="52">
    <w:name w:val="HTML Variable"/>
    <w:qFormat/>
    <w:uiPriority w:val="0"/>
    <w:rPr>
      <w:rFonts w:ascii="Times New Roman" w:hAnsi="Times New Roman" w:eastAsia="宋体"/>
    </w:rPr>
  </w:style>
  <w:style w:type="character" w:styleId="53">
    <w:name w:val="Hyperlink"/>
    <w:qFormat/>
    <w:uiPriority w:val="99"/>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0"/>
    <w:rPr>
      <w:sz w:val="21"/>
      <w:szCs w:val="21"/>
    </w:rPr>
  </w:style>
  <w:style w:type="character" w:styleId="56">
    <w:name w:val="HTML Cite"/>
    <w:qFormat/>
    <w:uiPriority w:val="0"/>
    <w:rPr>
      <w:rFonts w:ascii="Times New Roman" w:hAnsi="Times New Roman" w:eastAsia="宋体"/>
    </w:rPr>
  </w:style>
  <w:style w:type="character" w:styleId="57">
    <w:name w:val="HTML Keyboard"/>
    <w:qFormat/>
    <w:uiPriority w:val="0"/>
    <w:rPr>
      <w:rFonts w:ascii="Courier New" w:hAnsi="Courier New" w:eastAsia="Courier New" w:cs="Courier New"/>
      <w:sz w:val="20"/>
    </w:rPr>
  </w:style>
  <w:style w:type="character" w:styleId="58">
    <w:name w:val="HTML Sample"/>
    <w:qFormat/>
    <w:uiPriority w:val="0"/>
    <w:rPr>
      <w:rFonts w:ascii="Courier New" w:hAnsi="Courier New" w:eastAsia="Courier New" w:cs="Courier New"/>
    </w:rPr>
  </w:style>
  <w:style w:type="paragraph" w:customStyle="1" w:styleId="59">
    <w:name w:val="xl110"/>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character" w:customStyle="1" w:styleId="60">
    <w:name w:val="sidecatalog-dot"/>
    <w:qFormat/>
    <w:uiPriority w:val="0"/>
    <w:rPr>
      <w:rFonts w:ascii="Times New Roman" w:hAnsi="Times New Roman" w:eastAsia="宋体"/>
    </w:rPr>
  </w:style>
  <w:style w:type="character" w:customStyle="1" w:styleId="61">
    <w:name w:val="标题 Char1"/>
    <w:qFormat/>
    <w:uiPriority w:val="10"/>
    <w:rPr>
      <w:rFonts w:ascii="Cambria" w:hAnsi="Cambria" w:eastAsia="宋体" w:cs="Times New Roman"/>
      <w:b/>
      <w:bCs/>
      <w:sz w:val="32"/>
      <w:szCs w:val="32"/>
    </w:rPr>
  </w:style>
  <w:style w:type="character" w:customStyle="1" w:styleId="62">
    <w:name w:val="标题 2 Char"/>
    <w:qFormat/>
    <w:uiPriority w:val="0"/>
    <w:rPr>
      <w:rFonts w:ascii="Cambria" w:hAnsi="Cambria" w:eastAsia="宋体" w:cs="Times New Roman"/>
      <w:b/>
      <w:bCs/>
      <w:kern w:val="2"/>
      <w:sz w:val="32"/>
      <w:szCs w:val="32"/>
    </w:rPr>
  </w:style>
  <w:style w:type="character" w:customStyle="1" w:styleId="63">
    <w:name w:val="Font Style123"/>
    <w:unhideWhenUsed/>
    <w:qFormat/>
    <w:uiPriority w:val="0"/>
    <w:rPr>
      <w:rFonts w:hint="eastAsia" w:ascii="宋体" w:hAnsi="宋体" w:eastAsia="宋体"/>
      <w:b/>
      <w:sz w:val="32"/>
    </w:rPr>
  </w:style>
  <w:style w:type="character" w:customStyle="1" w:styleId="64">
    <w:name w:val="font11"/>
    <w:qFormat/>
    <w:uiPriority w:val="0"/>
    <w:rPr>
      <w:rFonts w:hint="eastAsia" w:ascii="宋体" w:hAnsi="宋体" w:eastAsia="宋体" w:cs="宋体"/>
      <w:color w:val="000000"/>
      <w:sz w:val="28"/>
      <w:szCs w:val="28"/>
      <w:u w:val="none"/>
    </w:rPr>
  </w:style>
  <w:style w:type="character" w:customStyle="1" w:styleId="65">
    <w:name w:val="sort1"/>
    <w:qFormat/>
    <w:uiPriority w:val="0"/>
    <w:rPr>
      <w:rFonts w:ascii="Times New Roman" w:hAnsi="Times New Roman" w:eastAsia="宋体"/>
    </w:rPr>
  </w:style>
  <w:style w:type="character" w:customStyle="1" w:styleId="66">
    <w:name w:val="页脚 Char"/>
    <w:qFormat/>
    <w:uiPriority w:val="99"/>
    <w:rPr>
      <w:kern w:val="2"/>
      <w:sz w:val="18"/>
      <w:szCs w:val="18"/>
    </w:rPr>
  </w:style>
  <w:style w:type="character" w:customStyle="1" w:styleId="67">
    <w:name w:val="标题 3 Char"/>
    <w:qFormat/>
    <w:uiPriority w:val="0"/>
    <w:rPr>
      <w:b/>
      <w:bCs/>
      <w:sz w:val="24"/>
      <w:szCs w:val="24"/>
    </w:rPr>
  </w:style>
  <w:style w:type="character" w:customStyle="1" w:styleId="68">
    <w:name w:val="Font Style105"/>
    <w:unhideWhenUsed/>
    <w:qFormat/>
    <w:uiPriority w:val="0"/>
    <w:rPr>
      <w:rFonts w:hint="eastAsia" w:ascii="Times New Roman" w:hAnsi="Times New Roman" w:eastAsia="Times New Roman"/>
      <w:w w:val="60"/>
      <w:sz w:val="26"/>
    </w:rPr>
  </w:style>
  <w:style w:type="character" w:customStyle="1" w:styleId="69">
    <w:name w:val="标题 9 Char"/>
    <w:qFormat/>
    <w:uiPriority w:val="0"/>
    <w:rPr>
      <w:rFonts w:ascii="Arial" w:hAnsi="Arial" w:eastAsia="黑体"/>
      <w:sz w:val="21"/>
      <w:szCs w:val="21"/>
    </w:rPr>
  </w:style>
  <w:style w:type="character" w:customStyle="1" w:styleId="70">
    <w:name w:val="标题 7 Char"/>
    <w:qFormat/>
    <w:uiPriority w:val="0"/>
    <w:rPr>
      <w:b/>
      <w:bCs/>
      <w:sz w:val="24"/>
      <w:szCs w:val="24"/>
    </w:rPr>
  </w:style>
  <w:style w:type="character" w:customStyle="1" w:styleId="71">
    <w:name w:val="标题 1 Char1"/>
    <w:link w:val="2"/>
    <w:qFormat/>
    <w:uiPriority w:val="0"/>
    <w:rPr>
      <w:rFonts w:eastAsia="宋体"/>
      <w:b/>
      <w:bCs/>
      <w:kern w:val="2"/>
      <w:sz w:val="24"/>
      <w:lang w:val="en-US" w:eastAsia="zh-CN" w:bidi="ar-SA"/>
    </w:rPr>
  </w:style>
  <w:style w:type="character" w:customStyle="1" w:styleId="72">
    <w:name w:val="批注文字 Char Char"/>
    <w:qFormat/>
    <w:uiPriority w:val="0"/>
    <w:rPr>
      <w:kern w:val="2"/>
      <w:sz w:val="21"/>
      <w:szCs w:val="24"/>
      <w:lang w:bidi="ar-SA"/>
    </w:rPr>
  </w:style>
  <w:style w:type="character" w:customStyle="1" w:styleId="73">
    <w:name w:val="标题 4 Char1"/>
    <w:link w:val="5"/>
    <w:qFormat/>
    <w:uiPriority w:val="0"/>
    <w:rPr>
      <w:rFonts w:ascii="Arial" w:hAnsi="Arial" w:eastAsia="黑体"/>
      <w:b/>
      <w:bCs/>
      <w:kern w:val="2"/>
      <w:sz w:val="28"/>
      <w:szCs w:val="28"/>
      <w:lang w:val="en-US" w:eastAsia="zh-CN" w:bidi="ar-SA"/>
    </w:rPr>
  </w:style>
  <w:style w:type="character" w:customStyle="1" w:styleId="74">
    <w:name w:val="Font Style104"/>
    <w:unhideWhenUsed/>
    <w:qFormat/>
    <w:uiPriority w:val="0"/>
    <w:rPr>
      <w:rFonts w:hint="eastAsia" w:ascii="宋体" w:hAnsi="宋体" w:eastAsia="宋体"/>
      <w:spacing w:val="30"/>
      <w:sz w:val="18"/>
    </w:rPr>
  </w:style>
  <w:style w:type="character" w:customStyle="1" w:styleId="75">
    <w:name w:val="页眉 Char1"/>
    <w:link w:val="29"/>
    <w:qFormat/>
    <w:uiPriority w:val="0"/>
    <w:rPr>
      <w:rFonts w:eastAsia="宋体"/>
      <w:kern w:val="2"/>
      <w:sz w:val="18"/>
      <w:szCs w:val="18"/>
      <w:lang w:val="en-US" w:eastAsia="zh-CN" w:bidi="ar-SA"/>
    </w:rPr>
  </w:style>
  <w:style w:type="character" w:customStyle="1" w:styleId="76">
    <w:name w:val="Font Style134"/>
    <w:unhideWhenUsed/>
    <w:qFormat/>
    <w:uiPriority w:val="0"/>
    <w:rPr>
      <w:rFonts w:hint="eastAsia" w:ascii="宋体" w:hAnsi="宋体" w:eastAsia="宋体"/>
      <w:spacing w:val="20"/>
      <w:sz w:val="22"/>
    </w:rPr>
  </w:style>
  <w:style w:type="character" w:customStyle="1" w:styleId="77">
    <w:name w:val="标题 4 Char"/>
    <w:qFormat/>
    <w:uiPriority w:val="0"/>
    <w:rPr>
      <w:rFonts w:ascii="Arial" w:hAnsi="Arial" w:eastAsia="宋体" w:cs="Times New Roman"/>
      <w:b/>
      <w:bCs/>
      <w:szCs w:val="28"/>
    </w:rPr>
  </w:style>
  <w:style w:type="character" w:customStyle="1" w:styleId="78">
    <w:name w:val="纯文本 字符"/>
    <w:semiHidden/>
    <w:qFormat/>
    <w:locked/>
    <w:uiPriority w:val="0"/>
    <w:rPr>
      <w:rFonts w:ascii="宋体" w:hAnsi="Courier New" w:eastAsia="宋体" w:cs="Courier New"/>
      <w:kern w:val="2"/>
      <w:sz w:val="21"/>
      <w:szCs w:val="21"/>
      <w:lang w:val="en-US" w:eastAsia="zh-CN" w:bidi="ar-SA"/>
    </w:rPr>
  </w:style>
  <w:style w:type="character" w:customStyle="1" w:styleId="79">
    <w:name w:val="bds_nopic"/>
    <w:qFormat/>
    <w:uiPriority w:val="0"/>
    <w:rPr>
      <w:rFonts w:ascii="Times New Roman" w:hAnsi="Times New Roman" w:eastAsia="宋体"/>
    </w:rPr>
  </w:style>
  <w:style w:type="character" w:customStyle="1" w:styleId="80">
    <w:name w:val="Font Style126"/>
    <w:unhideWhenUsed/>
    <w:qFormat/>
    <w:uiPriority w:val="0"/>
    <w:rPr>
      <w:rFonts w:hint="eastAsia" w:ascii="宋体" w:hAnsi="宋体" w:eastAsia="宋体"/>
      <w:b/>
      <w:spacing w:val="-30"/>
      <w:sz w:val="28"/>
    </w:rPr>
  </w:style>
  <w:style w:type="character" w:customStyle="1" w:styleId="81">
    <w:name w:val="Font Style125"/>
    <w:unhideWhenUsed/>
    <w:qFormat/>
    <w:uiPriority w:val="0"/>
    <w:rPr>
      <w:rFonts w:hint="eastAsia" w:ascii="宋体" w:hAnsi="宋体" w:eastAsia="宋体"/>
      <w:b/>
      <w:sz w:val="26"/>
    </w:rPr>
  </w:style>
  <w:style w:type="character" w:customStyle="1" w:styleId="82">
    <w:name w:val="sidecatalog-index1"/>
    <w:qFormat/>
    <w:uiPriority w:val="0"/>
    <w:rPr>
      <w:rFonts w:ascii="Arial" w:hAnsi="Arial" w:eastAsia="宋体" w:cs="Arial"/>
      <w:b/>
      <w:color w:val="999999"/>
      <w:sz w:val="21"/>
      <w:szCs w:val="21"/>
    </w:rPr>
  </w:style>
  <w:style w:type="character" w:customStyle="1" w:styleId="83">
    <w:name w:val="HTML 预设格式 Char"/>
    <w:link w:val="37"/>
    <w:qFormat/>
    <w:uiPriority w:val="0"/>
    <w:rPr>
      <w:rFonts w:ascii="Arial" w:hAnsi="Arial" w:cs="Arial"/>
      <w:sz w:val="24"/>
      <w:szCs w:val="24"/>
    </w:rPr>
  </w:style>
  <w:style w:type="character" w:customStyle="1" w:styleId="84">
    <w:name w:val="Font Style117"/>
    <w:unhideWhenUsed/>
    <w:qFormat/>
    <w:uiPriority w:val="0"/>
    <w:rPr>
      <w:rFonts w:hint="eastAsia" w:ascii="宋体" w:hAnsi="宋体" w:eastAsia="宋体"/>
      <w:spacing w:val="20"/>
      <w:sz w:val="24"/>
    </w:rPr>
  </w:style>
  <w:style w:type="character" w:customStyle="1" w:styleId="85">
    <w:name w:val="标题 4 Char Char"/>
    <w:qFormat/>
    <w:uiPriority w:val="0"/>
    <w:rPr>
      <w:rFonts w:ascii="Arial" w:hAnsi="Arial" w:eastAsia="宋体"/>
      <w:b/>
      <w:bCs/>
      <w:kern w:val="2"/>
      <w:sz w:val="21"/>
      <w:szCs w:val="28"/>
      <w:lang w:val="en-US" w:eastAsia="zh-CN" w:bidi="ar-SA"/>
    </w:rPr>
  </w:style>
  <w:style w:type="character" w:customStyle="1" w:styleId="86">
    <w:name w:val="bds_nopic2"/>
    <w:qFormat/>
    <w:uiPriority w:val="0"/>
    <w:rPr>
      <w:rFonts w:ascii="Times New Roman" w:hAnsi="Times New Roman" w:eastAsia="宋体"/>
    </w:rPr>
  </w:style>
  <w:style w:type="character" w:customStyle="1" w:styleId="87">
    <w:name w:val="日期 Char1"/>
    <w:link w:val="24"/>
    <w:qFormat/>
    <w:uiPriority w:val="0"/>
    <w:rPr>
      <w:rFonts w:eastAsia="宋体"/>
      <w:kern w:val="2"/>
      <w:sz w:val="24"/>
      <w:lang w:val="en-US" w:eastAsia="zh-CN" w:bidi="ar-SA"/>
    </w:rPr>
  </w:style>
  <w:style w:type="character" w:customStyle="1" w:styleId="88">
    <w:name w:val="标题 6 Char"/>
    <w:qFormat/>
    <w:uiPriority w:val="0"/>
    <w:rPr>
      <w:rFonts w:ascii="Arial" w:hAnsi="Arial" w:eastAsia="黑体"/>
      <w:b/>
      <w:bCs/>
      <w:sz w:val="24"/>
      <w:szCs w:val="24"/>
    </w:rPr>
  </w:style>
  <w:style w:type="character" w:customStyle="1" w:styleId="89">
    <w:name w:val="正文文本 2 Char"/>
    <w:link w:val="36"/>
    <w:qFormat/>
    <w:uiPriority w:val="0"/>
    <w:rPr>
      <w:kern w:val="2"/>
      <w:sz w:val="21"/>
      <w:szCs w:val="24"/>
    </w:rPr>
  </w:style>
  <w:style w:type="character" w:customStyle="1" w:styleId="90">
    <w:name w:val="bds_more6"/>
    <w:qFormat/>
    <w:uiPriority w:val="0"/>
    <w:rPr>
      <w:rFonts w:hint="eastAsia" w:ascii="宋体" w:hAnsi="宋体" w:eastAsia="宋体" w:cs="宋体"/>
    </w:rPr>
  </w:style>
  <w:style w:type="character" w:customStyle="1" w:styleId="91">
    <w:name w:val="标题 1 Char"/>
    <w:qFormat/>
    <w:uiPriority w:val="0"/>
    <w:rPr>
      <w:rFonts w:ascii="Cambria" w:hAnsi="Cambria"/>
      <w:b/>
      <w:bCs/>
      <w:kern w:val="32"/>
      <w:sz w:val="32"/>
      <w:szCs w:val="32"/>
    </w:rPr>
  </w:style>
  <w:style w:type="character" w:customStyle="1" w:styleId="92">
    <w:name w:val="文档结构图 Char"/>
    <w:link w:val="13"/>
    <w:semiHidden/>
    <w:qFormat/>
    <w:uiPriority w:val="0"/>
    <w:rPr>
      <w:kern w:val="2"/>
      <w:sz w:val="21"/>
      <w:szCs w:val="24"/>
      <w:shd w:val="clear" w:color="auto" w:fill="000080"/>
    </w:rPr>
  </w:style>
  <w:style w:type="character" w:customStyle="1" w:styleId="93">
    <w:name w:val="p0 Char"/>
    <w:link w:val="94"/>
    <w:qFormat/>
    <w:uiPriority w:val="0"/>
    <w:rPr>
      <w:rFonts w:eastAsia="宋体"/>
      <w:sz w:val="21"/>
      <w:szCs w:val="21"/>
      <w:lang w:val="en-US" w:eastAsia="zh-CN" w:bidi="ar-SA"/>
    </w:rPr>
  </w:style>
  <w:style w:type="paragraph" w:customStyle="1" w:styleId="94">
    <w:name w:val="p0"/>
    <w:basedOn w:val="1"/>
    <w:link w:val="93"/>
    <w:qFormat/>
    <w:uiPriority w:val="0"/>
    <w:pPr>
      <w:widowControl/>
    </w:pPr>
    <w:rPr>
      <w:kern w:val="0"/>
      <w:szCs w:val="21"/>
    </w:rPr>
  </w:style>
  <w:style w:type="character" w:customStyle="1" w:styleId="95">
    <w:name w:val="Char Char17"/>
    <w:qFormat/>
    <w:uiPriority w:val="0"/>
    <w:rPr>
      <w:rFonts w:ascii="宋体" w:hAnsi="Times New Roman" w:eastAsia="宋体"/>
      <w:b/>
      <w:sz w:val="28"/>
      <w:lang w:val="en-US" w:eastAsia="zh-CN" w:bidi="ar-SA"/>
    </w:rPr>
  </w:style>
  <w:style w:type="character" w:customStyle="1" w:styleId="96">
    <w:name w:val="标题 5 Char1"/>
    <w:link w:val="6"/>
    <w:qFormat/>
    <w:uiPriority w:val="0"/>
    <w:rPr>
      <w:rFonts w:eastAsia="宋体"/>
      <w:b/>
      <w:bCs/>
      <w:sz w:val="28"/>
      <w:szCs w:val="28"/>
      <w:lang w:val="en-US" w:eastAsia="zh-CN" w:bidi="ar-SA"/>
    </w:rPr>
  </w:style>
  <w:style w:type="character" w:customStyle="1" w:styleId="97">
    <w:name w:val="polysemyexp"/>
    <w:qFormat/>
    <w:uiPriority w:val="0"/>
    <w:rPr>
      <w:rFonts w:ascii="Times New Roman" w:hAnsi="Times New Roman" w:eastAsia="宋体"/>
      <w:color w:val="AAAAAA"/>
      <w:sz w:val="18"/>
      <w:szCs w:val="18"/>
    </w:rPr>
  </w:style>
  <w:style w:type="character" w:customStyle="1" w:styleId="98">
    <w:name w:val="font51"/>
    <w:qFormat/>
    <w:uiPriority w:val="0"/>
    <w:rPr>
      <w:rFonts w:hint="eastAsia" w:ascii="宋体" w:hAnsi="宋体" w:eastAsia="宋体" w:cs="宋体"/>
      <w:b/>
      <w:color w:val="000000"/>
      <w:sz w:val="20"/>
      <w:szCs w:val="20"/>
      <w:u w:val="none"/>
    </w:rPr>
  </w:style>
  <w:style w:type="character" w:customStyle="1" w:styleId="99">
    <w:name w:val="标题 3 Char1"/>
    <w:link w:val="4"/>
    <w:qFormat/>
    <w:uiPriority w:val="0"/>
    <w:rPr>
      <w:rFonts w:eastAsia="宋体"/>
      <w:b/>
      <w:bCs/>
      <w:kern w:val="2"/>
      <w:sz w:val="32"/>
      <w:szCs w:val="32"/>
      <w:lang w:val="en-US" w:eastAsia="zh-CN" w:bidi="ar-SA"/>
    </w:rPr>
  </w:style>
  <w:style w:type="character" w:customStyle="1" w:styleId="100">
    <w:name w:val="bds_more10"/>
    <w:qFormat/>
    <w:uiPriority w:val="0"/>
    <w:rPr>
      <w:rFonts w:ascii="Times New Roman" w:hAnsi="Times New Roman" w:eastAsia="宋体"/>
    </w:rPr>
  </w:style>
  <w:style w:type="character" w:customStyle="1" w:styleId="101">
    <w:name w:val="font91"/>
    <w:qFormat/>
    <w:uiPriority w:val="0"/>
    <w:rPr>
      <w:rFonts w:hint="eastAsia" w:ascii="宋体" w:hAnsi="宋体" w:eastAsia="宋体" w:cs="宋体"/>
      <w:color w:val="000000"/>
      <w:sz w:val="20"/>
      <w:szCs w:val="20"/>
      <w:u w:val="none"/>
      <w:vertAlign w:val="superscript"/>
    </w:rPr>
  </w:style>
  <w:style w:type="character" w:customStyle="1" w:styleId="102">
    <w:name w:val="Char Char15"/>
    <w:qFormat/>
    <w:uiPriority w:val="0"/>
    <w:rPr>
      <w:b/>
      <w:bCs/>
      <w:sz w:val="24"/>
      <w:szCs w:val="24"/>
    </w:rPr>
  </w:style>
  <w:style w:type="character" w:customStyle="1" w:styleId="103">
    <w:name w:val="Char Char12"/>
    <w:qFormat/>
    <w:uiPriority w:val="0"/>
    <w:rPr>
      <w:rFonts w:ascii="Arial" w:hAnsi="Arial" w:eastAsia="黑体"/>
      <w:b/>
      <w:bCs/>
      <w:kern w:val="2"/>
      <w:sz w:val="28"/>
      <w:szCs w:val="28"/>
      <w:lang w:val="en-US" w:eastAsia="zh-CN" w:bidi="ar-SA"/>
    </w:rPr>
  </w:style>
  <w:style w:type="character" w:customStyle="1" w:styleId="104">
    <w:name w:val="Font Style122"/>
    <w:unhideWhenUsed/>
    <w:qFormat/>
    <w:uiPriority w:val="0"/>
    <w:rPr>
      <w:rFonts w:hint="eastAsia" w:ascii="宋体" w:hAnsi="宋体" w:eastAsia="宋体"/>
      <w:spacing w:val="20"/>
      <w:sz w:val="24"/>
    </w:rPr>
  </w:style>
  <w:style w:type="character" w:customStyle="1" w:styleId="105">
    <w:name w:val="Font Style115"/>
    <w:unhideWhenUsed/>
    <w:qFormat/>
    <w:uiPriority w:val="0"/>
    <w:rPr>
      <w:rFonts w:hint="eastAsia" w:ascii="Times New Roman" w:hAnsi="Times New Roman" w:eastAsia="Times New Roman"/>
      <w:sz w:val="16"/>
    </w:rPr>
  </w:style>
  <w:style w:type="character" w:customStyle="1" w:styleId="106">
    <w:name w:val="sidecatalog-dot1"/>
    <w:qFormat/>
    <w:uiPriority w:val="0"/>
    <w:rPr>
      <w:rFonts w:ascii="Times New Roman" w:hAnsi="Times New Roman" w:eastAsia="宋体"/>
    </w:rPr>
  </w:style>
  <w:style w:type="character" w:customStyle="1" w:styleId="107">
    <w:name w:val="font41"/>
    <w:qFormat/>
    <w:uiPriority w:val="0"/>
    <w:rPr>
      <w:rFonts w:hint="eastAsia" w:ascii="宋体" w:hAnsi="宋体" w:eastAsia="宋体" w:cs="宋体"/>
      <w:color w:val="FF0000"/>
      <w:sz w:val="20"/>
      <w:szCs w:val="20"/>
      <w:u w:val="none"/>
    </w:rPr>
  </w:style>
  <w:style w:type="character" w:customStyle="1" w:styleId="108">
    <w:name w:val="正文文本缩进 Char"/>
    <w:link w:val="18"/>
    <w:qFormat/>
    <w:uiPriority w:val="0"/>
    <w:rPr>
      <w:rFonts w:eastAsia="宋体"/>
      <w:kern w:val="2"/>
      <w:sz w:val="21"/>
      <w:szCs w:val="24"/>
      <w:lang w:val="en-US" w:eastAsia="zh-CN" w:bidi="ar-SA"/>
    </w:rPr>
  </w:style>
  <w:style w:type="character" w:customStyle="1" w:styleId="109">
    <w:name w:val="页脚 Char1"/>
    <w:link w:val="27"/>
    <w:qFormat/>
    <w:uiPriority w:val="0"/>
    <w:rPr>
      <w:rFonts w:eastAsia="宋体"/>
      <w:kern w:val="2"/>
      <w:sz w:val="18"/>
      <w:szCs w:val="18"/>
      <w:lang w:val="en-US" w:eastAsia="zh-CN" w:bidi="ar-SA"/>
    </w:rPr>
  </w:style>
  <w:style w:type="character" w:customStyle="1" w:styleId="110">
    <w:name w:val="称呼 Char"/>
    <w:link w:val="15"/>
    <w:qFormat/>
    <w:uiPriority w:val="0"/>
    <w:rPr>
      <w:rFonts w:ascii="仿宋_GB2312" w:eastAsia="仿宋_GB2312"/>
      <w:kern w:val="2"/>
      <w:sz w:val="24"/>
      <w:szCs w:val="24"/>
    </w:rPr>
  </w:style>
  <w:style w:type="character" w:customStyle="1" w:styleId="111">
    <w:name w:val="批注主题 Char1"/>
    <w:link w:val="41"/>
    <w:qFormat/>
    <w:uiPriority w:val="0"/>
    <w:rPr>
      <w:rFonts w:eastAsia="宋体"/>
      <w:b/>
      <w:bCs/>
      <w:kern w:val="2"/>
      <w:sz w:val="21"/>
      <w:szCs w:val="24"/>
      <w:lang w:val="en-US" w:eastAsia="zh-CN" w:bidi="ar-SA"/>
    </w:rPr>
  </w:style>
  <w:style w:type="character" w:customStyle="1" w:styleId="112">
    <w:name w:val="lemmatitleh12"/>
    <w:qFormat/>
    <w:uiPriority w:val="0"/>
    <w:rPr>
      <w:rFonts w:ascii="Times New Roman" w:hAnsi="Times New Roman" w:eastAsia="宋体"/>
    </w:rPr>
  </w:style>
  <w:style w:type="character" w:customStyle="1" w:styleId="113">
    <w:name w:val="正文文本缩进 3 Char"/>
    <w:qFormat/>
    <w:uiPriority w:val="0"/>
    <w:rPr>
      <w:rFonts w:ascii="宋体" w:hAnsi="MS Sans Serif"/>
      <w:color w:val="000000"/>
      <w:sz w:val="24"/>
    </w:rPr>
  </w:style>
  <w:style w:type="character" w:customStyle="1" w:styleId="114">
    <w:name w:val="标题 9 Char1"/>
    <w:link w:val="10"/>
    <w:qFormat/>
    <w:uiPriority w:val="0"/>
    <w:rPr>
      <w:rFonts w:ascii="Arial" w:hAnsi="Arial" w:eastAsia="黑体"/>
      <w:sz w:val="21"/>
      <w:szCs w:val="21"/>
      <w:lang w:val="en-US" w:eastAsia="zh-CN" w:bidi="ar-SA"/>
    </w:rPr>
  </w:style>
  <w:style w:type="character" w:customStyle="1" w:styleId="115">
    <w:name w:val="Font Style127"/>
    <w:unhideWhenUsed/>
    <w:qFormat/>
    <w:uiPriority w:val="0"/>
    <w:rPr>
      <w:rFonts w:hint="eastAsia" w:ascii="Times New Roman" w:hAnsi="Times New Roman" w:eastAsia="Times New Roman"/>
      <w:sz w:val="20"/>
    </w:rPr>
  </w:style>
  <w:style w:type="character" w:customStyle="1" w:styleId="116">
    <w:name w:val="日期 Char"/>
    <w:qFormat/>
    <w:uiPriority w:val="0"/>
    <w:rPr>
      <w:kern w:val="2"/>
      <w:sz w:val="21"/>
      <w:szCs w:val="24"/>
    </w:rPr>
  </w:style>
  <w:style w:type="character" w:customStyle="1" w:styleId="117">
    <w:name w:val="批注框文本 Char"/>
    <w:qFormat/>
    <w:uiPriority w:val="0"/>
    <w:rPr>
      <w:kern w:val="2"/>
      <w:sz w:val="18"/>
      <w:szCs w:val="18"/>
    </w:rPr>
  </w:style>
  <w:style w:type="character" w:customStyle="1" w:styleId="118">
    <w:name w:val="Font Style131"/>
    <w:unhideWhenUsed/>
    <w:qFormat/>
    <w:uiPriority w:val="0"/>
    <w:rPr>
      <w:rFonts w:hint="eastAsia" w:ascii="Times New Roman" w:hAnsi="Times New Roman" w:eastAsia="Times New Roman"/>
      <w:sz w:val="18"/>
    </w:rPr>
  </w:style>
  <w:style w:type="character" w:customStyle="1" w:styleId="119">
    <w:name w:val="批注主题 Char"/>
    <w:qFormat/>
    <w:uiPriority w:val="0"/>
    <w:rPr>
      <w:b/>
      <w:bCs/>
      <w:kern w:val="2"/>
      <w:sz w:val="21"/>
      <w:szCs w:val="24"/>
    </w:rPr>
  </w:style>
  <w:style w:type="character" w:customStyle="1" w:styleId="120">
    <w:name w:val="标题 8 Char"/>
    <w:qFormat/>
    <w:uiPriority w:val="0"/>
    <w:rPr>
      <w:rFonts w:ascii="Arial" w:hAnsi="Arial" w:eastAsia="黑体"/>
      <w:sz w:val="24"/>
      <w:szCs w:val="24"/>
    </w:rPr>
  </w:style>
  <w:style w:type="character" w:customStyle="1" w:styleId="121">
    <w:name w:val="纯文本 Char1"/>
    <w:semiHidden/>
    <w:qFormat/>
    <w:locked/>
    <w:uiPriority w:val="0"/>
    <w:rPr>
      <w:rFonts w:ascii="宋体" w:hAnsi="Courier New" w:eastAsia="宋体" w:cs="Courier New"/>
      <w:kern w:val="2"/>
      <w:sz w:val="21"/>
      <w:szCs w:val="21"/>
      <w:lang w:val="en-US" w:eastAsia="zh-CN" w:bidi="ar-SA"/>
    </w:rPr>
  </w:style>
  <w:style w:type="character" w:customStyle="1" w:styleId="122">
    <w:name w:val="Font Style116"/>
    <w:unhideWhenUsed/>
    <w:qFormat/>
    <w:uiPriority w:val="0"/>
    <w:rPr>
      <w:rFonts w:hint="eastAsia" w:ascii="宋体" w:hAnsi="宋体" w:eastAsia="宋体"/>
      <w:spacing w:val="-20"/>
      <w:sz w:val="24"/>
    </w:rPr>
  </w:style>
  <w:style w:type="character" w:customStyle="1" w:styleId="123">
    <w:name w:val="正文文本 Char"/>
    <w:link w:val="17"/>
    <w:qFormat/>
    <w:uiPriority w:val="0"/>
    <w:rPr>
      <w:kern w:val="2"/>
      <w:sz w:val="21"/>
      <w:szCs w:val="24"/>
    </w:rPr>
  </w:style>
  <w:style w:type="character" w:customStyle="1" w:styleId="124">
    <w:name w:val="sort"/>
    <w:qFormat/>
    <w:uiPriority w:val="0"/>
    <w:rPr>
      <w:rFonts w:ascii="Times New Roman" w:hAnsi="Times New Roman" w:eastAsia="宋体"/>
      <w:color w:val="FFFFFF"/>
      <w:bdr w:val="single" w:color="auto" w:sz="24" w:space="0"/>
    </w:rPr>
  </w:style>
  <w:style w:type="character" w:customStyle="1" w:styleId="125">
    <w:name w:val="标题 Char"/>
    <w:qFormat/>
    <w:uiPriority w:val="0"/>
    <w:rPr>
      <w:rFonts w:ascii="Cambria" w:hAnsi="Cambria"/>
      <w:b/>
      <w:kern w:val="2"/>
      <w:sz w:val="32"/>
      <w:szCs w:val="24"/>
    </w:rPr>
  </w:style>
  <w:style w:type="character" w:customStyle="1" w:styleId="126">
    <w:name w:val="正文文本 3 Char"/>
    <w:link w:val="16"/>
    <w:qFormat/>
    <w:uiPriority w:val="0"/>
    <w:rPr>
      <w:rFonts w:ascii="宋体"/>
      <w:color w:val="000000"/>
      <w:sz w:val="24"/>
    </w:rPr>
  </w:style>
  <w:style w:type="character" w:customStyle="1" w:styleId="127">
    <w:name w:val="Char Char13"/>
    <w:qFormat/>
    <w:uiPriority w:val="0"/>
    <w:rPr>
      <w:rFonts w:eastAsia="宋体"/>
      <w:b/>
      <w:bCs/>
      <w:kern w:val="2"/>
      <w:sz w:val="24"/>
      <w:lang w:val="en-US" w:eastAsia="zh-CN" w:bidi="ar-SA"/>
    </w:rPr>
  </w:style>
  <w:style w:type="character" w:customStyle="1" w:styleId="128">
    <w:name w:val="bds_more7"/>
    <w:qFormat/>
    <w:uiPriority w:val="0"/>
    <w:rPr>
      <w:rFonts w:ascii="Times New Roman" w:hAnsi="Times New Roman" w:eastAsia="宋体"/>
    </w:rPr>
  </w:style>
  <w:style w:type="character" w:customStyle="1" w:styleId="129">
    <w:name w:val="sidecatalog-index2"/>
    <w:qFormat/>
    <w:uiPriority w:val="0"/>
    <w:rPr>
      <w:rFonts w:ascii="Arail" w:hAnsi="Arail" w:eastAsia="Arail" w:cs="Arail"/>
      <w:color w:val="999999"/>
      <w:sz w:val="21"/>
      <w:szCs w:val="21"/>
    </w:rPr>
  </w:style>
  <w:style w:type="character" w:customStyle="1" w:styleId="130">
    <w:name w:val="批注文字 Char"/>
    <w:qFormat/>
    <w:uiPriority w:val="0"/>
    <w:rPr>
      <w:kern w:val="2"/>
      <w:sz w:val="21"/>
      <w:szCs w:val="24"/>
    </w:rPr>
  </w:style>
  <w:style w:type="character" w:customStyle="1" w:styleId="131">
    <w:name w:val="bds_more8"/>
    <w:qFormat/>
    <w:uiPriority w:val="0"/>
    <w:rPr>
      <w:rFonts w:ascii="Times New Roman" w:hAnsi="Times New Roman" w:eastAsia="宋体"/>
    </w:rPr>
  </w:style>
  <w:style w:type="character" w:customStyle="1" w:styleId="132">
    <w:name w:val="font81"/>
    <w:qFormat/>
    <w:uiPriority w:val="0"/>
    <w:rPr>
      <w:rFonts w:ascii="font-weight : 700" w:hAnsi="font-weight : 700" w:eastAsia="font-weight : 700" w:cs="font-weight : 700"/>
      <w:color w:val="000000"/>
      <w:sz w:val="20"/>
      <w:szCs w:val="20"/>
      <w:u w:val="none"/>
    </w:rPr>
  </w:style>
  <w:style w:type="character" w:customStyle="1" w:styleId="133">
    <w:name w:val="标题 7 Char1"/>
    <w:link w:val="8"/>
    <w:qFormat/>
    <w:uiPriority w:val="0"/>
    <w:rPr>
      <w:rFonts w:eastAsia="宋体"/>
      <w:b/>
      <w:bCs/>
      <w:sz w:val="24"/>
      <w:szCs w:val="24"/>
      <w:lang w:val="en-US" w:eastAsia="zh-CN" w:bidi="ar-SA"/>
    </w:rPr>
  </w:style>
  <w:style w:type="character" w:customStyle="1" w:styleId="134">
    <w:name w:val="正文文本缩进 2 Char"/>
    <w:link w:val="25"/>
    <w:qFormat/>
    <w:uiPriority w:val="0"/>
    <w:rPr>
      <w:kern w:val="2"/>
      <w:sz w:val="21"/>
      <w:szCs w:val="24"/>
    </w:rPr>
  </w:style>
  <w:style w:type="character" w:customStyle="1" w:styleId="135">
    <w:name w:val="content_11"/>
    <w:qFormat/>
    <w:uiPriority w:val="0"/>
    <w:rPr>
      <w:sz w:val="20"/>
      <w:szCs w:val="20"/>
    </w:rPr>
  </w:style>
  <w:style w:type="character" w:customStyle="1" w:styleId="136">
    <w:name w:val="font21"/>
    <w:qFormat/>
    <w:uiPriority w:val="0"/>
    <w:rPr>
      <w:rFonts w:ascii="font-weight : 400" w:hAnsi="font-weight : 400" w:eastAsia="font-weight : 400" w:cs="font-weight : 400"/>
      <w:color w:val="000000"/>
      <w:sz w:val="20"/>
      <w:szCs w:val="20"/>
      <w:u w:val="none"/>
    </w:rPr>
  </w:style>
  <w:style w:type="character" w:customStyle="1" w:styleId="137">
    <w:name w:val="desc"/>
    <w:qFormat/>
    <w:uiPriority w:val="0"/>
    <w:rPr>
      <w:rFonts w:ascii="Times New Roman" w:hAnsi="Times New Roman" w:eastAsia="宋体"/>
      <w:color w:val="000000"/>
      <w:sz w:val="18"/>
      <w:szCs w:val="18"/>
    </w:rPr>
  </w:style>
  <w:style w:type="character" w:customStyle="1" w:styleId="138">
    <w:name w:val="bds_more9"/>
    <w:qFormat/>
    <w:uiPriority w:val="0"/>
    <w:rPr>
      <w:rFonts w:ascii="Times New Roman" w:hAnsi="Times New Roman" w:eastAsia="宋体"/>
    </w:rPr>
  </w:style>
  <w:style w:type="character" w:customStyle="1" w:styleId="139">
    <w:name w:val="p0 Char Char"/>
    <w:qFormat/>
    <w:uiPriority w:val="0"/>
    <w:rPr>
      <w:rFonts w:eastAsia="宋体"/>
      <w:kern w:val="2"/>
      <w:sz w:val="21"/>
      <w:szCs w:val="21"/>
      <w:lang w:val="en-US" w:eastAsia="zh-CN" w:bidi="ar-SA"/>
    </w:rPr>
  </w:style>
  <w:style w:type="character" w:customStyle="1" w:styleId="140">
    <w:name w:val="标题 2 Char1"/>
    <w:link w:val="3"/>
    <w:qFormat/>
    <w:uiPriority w:val="0"/>
    <w:rPr>
      <w:rFonts w:ascii="Arial" w:hAnsi="Arial" w:eastAsia="宋体"/>
      <w:b/>
      <w:bCs/>
      <w:kern w:val="2"/>
      <w:sz w:val="24"/>
      <w:szCs w:val="32"/>
      <w:lang w:val="en-US" w:eastAsia="zh-CN" w:bidi="ar-SA"/>
    </w:rPr>
  </w:style>
  <w:style w:type="character" w:customStyle="1" w:styleId="141">
    <w:name w:val="页眉 Char"/>
    <w:qFormat/>
    <w:uiPriority w:val="99"/>
    <w:rPr>
      <w:kern w:val="2"/>
      <w:sz w:val="18"/>
      <w:szCs w:val="18"/>
    </w:rPr>
  </w:style>
  <w:style w:type="character" w:customStyle="1" w:styleId="142">
    <w:name w:val="polysemyred"/>
    <w:qFormat/>
    <w:uiPriority w:val="0"/>
    <w:rPr>
      <w:rFonts w:ascii="Times New Roman" w:hAnsi="Times New Roman" w:eastAsia="宋体"/>
      <w:color w:val="FF6666"/>
      <w:sz w:val="18"/>
      <w:szCs w:val="18"/>
    </w:rPr>
  </w:style>
  <w:style w:type="character" w:customStyle="1" w:styleId="143">
    <w:name w:val="批注文字 Char1"/>
    <w:link w:val="14"/>
    <w:qFormat/>
    <w:uiPriority w:val="0"/>
    <w:rPr>
      <w:rFonts w:eastAsia="宋体"/>
      <w:kern w:val="2"/>
      <w:sz w:val="21"/>
      <w:szCs w:val="24"/>
      <w:lang w:val="en-US" w:eastAsia="zh-CN" w:bidi="ar-SA"/>
    </w:rPr>
  </w:style>
  <w:style w:type="character" w:customStyle="1" w:styleId="144">
    <w:name w:val="Char Char14"/>
    <w:qFormat/>
    <w:uiPriority w:val="0"/>
    <w:rPr>
      <w:rFonts w:ascii="Arial" w:hAnsi="Arial" w:eastAsia="黑体"/>
      <w:b/>
      <w:bCs/>
      <w:sz w:val="28"/>
      <w:szCs w:val="28"/>
      <w:lang w:val="en-US" w:eastAsia="zh-CN" w:bidi="ar-SA"/>
    </w:rPr>
  </w:style>
  <w:style w:type="character" w:customStyle="1" w:styleId="145">
    <w:name w:val="Font Style133"/>
    <w:unhideWhenUsed/>
    <w:qFormat/>
    <w:uiPriority w:val="0"/>
    <w:rPr>
      <w:rFonts w:hint="eastAsia" w:ascii="宋体" w:hAnsi="宋体" w:eastAsia="宋体"/>
      <w:spacing w:val="30"/>
      <w:sz w:val="24"/>
    </w:rPr>
  </w:style>
  <w:style w:type="character" w:customStyle="1" w:styleId="146">
    <w:name w:val="Char Char16"/>
    <w:qFormat/>
    <w:uiPriority w:val="0"/>
    <w:rPr>
      <w:rFonts w:ascii="宋体" w:hAnsi="Times New Roman" w:eastAsia="宋体"/>
      <w:b/>
      <w:sz w:val="24"/>
      <w:lang w:val="en-US" w:eastAsia="zh-CN" w:bidi="ar-SA"/>
    </w:rPr>
  </w:style>
  <w:style w:type="character" w:customStyle="1" w:styleId="147">
    <w:name w:val="Font Style121"/>
    <w:unhideWhenUsed/>
    <w:qFormat/>
    <w:uiPriority w:val="0"/>
    <w:rPr>
      <w:rFonts w:hint="eastAsia" w:ascii="宋体" w:hAnsi="宋体" w:eastAsia="宋体"/>
      <w:spacing w:val="-10"/>
      <w:sz w:val="30"/>
    </w:rPr>
  </w:style>
  <w:style w:type="character" w:customStyle="1" w:styleId="148">
    <w:name w:val="Font Style94"/>
    <w:unhideWhenUsed/>
    <w:qFormat/>
    <w:uiPriority w:val="0"/>
    <w:rPr>
      <w:rFonts w:hint="eastAsia" w:ascii="Times New Roman" w:hAnsi="Times New Roman" w:eastAsia="Times New Roman"/>
      <w:sz w:val="28"/>
    </w:rPr>
  </w:style>
  <w:style w:type="character" w:customStyle="1" w:styleId="149">
    <w:name w:val="Font Style124"/>
    <w:unhideWhenUsed/>
    <w:qFormat/>
    <w:uiPriority w:val="0"/>
    <w:rPr>
      <w:rFonts w:hint="eastAsia" w:ascii="宋体" w:hAnsi="宋体" w:eastAsia="宋体"/>
      <w:spacing w:val="30"/>
      <w:sz w:val="24"/>
    </w:rPr>
  </w:style>
  <w:style w:type="character" w:customStyle="1" w:styleId="150">
    <w:name w:val="bds_nopic1"/>
    <w:qFormat/>
    <w:uiPriority w:val="0"/>
    <w:rPr>
      <w:rFonts w:ascii="Times New Roman" w:hAnsi="Times New Roman" w:eastAsia="宋体"/>
    </w:rPr>
  </w:style>
  <w:style w:type="character" w:customStyle="1" w:styleId="151">
    <w:name w:val="morelink-item"/>
    <w:qFormat/>
    <w:uiPriority w:val="0"/>
    <w:rPr>
      <w:rFonts w:ascii="Times New Roman" w:hAnsi="Times New Roman" w:eastAsia="宋体"/>
    </w:rPr>
  </w:style>
  <w:style w:type="character" w:customStyle="1" w:styleId="152">
    <w:name w:val="Font Style86"/>
    <w:unhideWhenUsed/>
    <w:qFormat/>
    <w:uiPriority w:val="0"/>
    <w:rPr>
      <w:rFonts w:hint="eastAsia" w:ascii="黑体" w:hAnsi="黑体" w:eastAsia="黑体"/>
      <w:spacing w:val="10"/>
      <w:sz w:val="30"/>
    </w:rPr>
  </w:style>
  <w:style w:type="character" w:customStyle="1" w:styleId="153">
    <w:name w:val="Font Style128"/>
    <w:unhideWhenUsed/>
    <w:qFormat/>
    <w:uiPriority w:val="0"/>
    <w:rPr>
      <w:rFonts w:hint="eastAsia" w:ascii="Times New Roman" w:hAnsi="Times New Roman" w:eastAsia="Times New Roman"/>
      <w:sz w:val="16"/>
    </w:rPr>
  </w:style>
  <w:style w:type="character" w:customStyle="1" w:styleId="154">
    <w:name w:val="标题 6 Char1"/>
    <w:link w:val="7"/>
    <w:qFormat/>
    <w:uiPriority w:val="0"/>
    <w:rPr>
      <w:rFonts w:ascii="Arial" w:hAnsi="Arial" w:eastAsia="黑体"/>
      <w:b/>
      <w:bCs/>
      <w:sz w:val="24"/>
      <w:szCs w:val="24"/>
      <w:lang w:val="en-US" w:eastAsia="zh-CN" w:bidi="ar-SA"/>
    </w:rPr>
  </w:style>
  <w:style w:type="character" w:customStyle="1" w:styleId="155">
    <w:name w:val="plus"/>
    <w:qFormat/>
    <w:uiPriority w:val="0"/>
    <w:rPr>
      <w:rFonts w:ascii="Times New Roman" w:hAnsi="Times New Roman" w:eastAsia="宋体"/>
      <w:b/>
      <w:vanish/>
      <w:color w:val="1F8DEF"/>
      <w:sz w:val="24"/>
      <w:szCs w:val="24"/>
    </w:rPr>
  </w:style>
  <w:style w:type="character" w:customStyle="1" w:styleId="156">
    <w:name w:val="纯文本 Char"/>
    <w:link w:val="22"/>
    <w:qFormat/>
    <w:locked/>
    <w:uiPriority w:val="0"/>
    <w:rPr>
      <w:rFonts w:ascii="宋体" w:hAnsi="Courier New" w:eastAsia="宋体" w:cs="Courier New"/>
      <w:kern w:val="2"/>
      <w:sz w:val="21"/>
      <w:szCs w:val="21"/>
      <w:lang w:val="en-US" w:eastAsia="zh-CN" w:bidi="ar-SA"/>
    </w:rPr>
  </w:style>
  <w:style w:type="character" w:customStyle="1" w:styleId="157">
    <w:name w:val="Font Style90"/>
    <w:unhideWhenUsed/>
    <w:qFormat/>
    <w:uiPriority w:val="0"/>
    <w:rPr>
      <w:rFonts w:hint="eastAsia" w:ascii="宋体" w:hAnsi="宋体" w:eastAsia="宋体"/>
      <w:b/>
      <w:spacing w:val="-20"/>
      <w:sz w:val="40"/>
    </w:rPr>
  </w:style>
  <w:style w:type="character" w:customStyle="1" w:styleId="158">
    <w:name w:val="Font Style119"/>
    <w:unhideWhenUsed/>
    <w:qFormat/>
    <w:uiPriority w:val="0"/>
    <w:rPr>
      <w:rFonts w:hint="eastAsia" w:ascii="宋体" w:hAnsi="宋体" w:eastAsia="宋体"/>
      <w:sz w:val="24"/>
    </w:rPr>
  </w:style>
  <w:style w:type="character" w:customStyle="1" w:styleId="159">
    <w:name w:val="正文文本缩进 3 Char1"/>
    <w:link w:val="33"/>
    <w:qFormat/>
    <w:uiPriority w:val="0"/>
    <w:rPr>
      <w:rFonts w:eastAsia="宋体"/>
      <w:kern w:val="2"/>
      <w:sz w:val="16"/>
      <w:szCs w:val="16"/>
      <w:lang w:val="en-US" w:eastAsia="zh-CN" w:bidi="ar-SA"/>
    </w:rPr>
  </w:style>
  <w:style w:type="character" w:customStyle="1" w:styleId="160">
    <w:name w:val="标题 5 Char"/>
    <w:qFormat/>
    <w:uiPriority w:val="0"/>
    <w:rPr>
      <w:b/>
      <w:bCs/>
      <w:kern w:val="2"/>
      <w:sz w:val="28"/>
      <w:szCs w:val="28"/>
    </w:rPr>
  </w:style>
  <w:style w:type="character" w:customStyle="1" w:styleId="161">
    <w:name w:val="批注框文本 Char1"/>
    <w:link w:val="26"/>
    <w:qFormat/>
    <w:locked/>
    <w:uiPriority w:val="0"/>
    <w:rPr>
      <w:rFonts w:ascii="Calibri" w:hAnsi="Calibri" w:eastAsia="宋体"/>
      <w:kern w:val="2"/>
      <w:sz w:val="18"/>
      <w:szCs w:val="18"/>
      <w:lang w:val="en-US" w:eastAsia="zh-CN" w:bidi="ar-SA"/>
    </w:rPr>
  </w:style>
  <w:style w:type="character" w:customStyle="1" w:styleId="162">
    <w:name w:val="标题 8 Char1"/>
    <w:link w:val="9"/>
    <w:qFormat/>
    <w:uiPriority w:val="0"/>
    <w:rPr>
      <w:rFonts w:ascii="Arial" w:hAnsi="Arial" w:eastAsia="黑体"/>
      <w:sz w:val="24"/>
      <w:szCs w:val="24"/>
      <w:lang w:val="en-US" w:eastAsia="zh-CN" w:bidi="ar-SA"/>
    </w:rPr>
  </w:style>
  <w:style w:type="paragraph" w:customStyle="1" w:styleId="163">
    <w:name w:val="文章正文"/>
    <w:basedOn w:val="1"/>
    <w:qFormat/>
    <w:uiPriority w:val="0"/>
    <w:pPr>
      <w:adjustRightInd w:val="0"/>
      <w:snapToGrid w:val="0"/>
      <w:spacing w:beforeLines="100" w:line="360" w:lineRule="auto"/>
      <w:ind w:firstLine="200" w:firstLineChars="200"/>
    </w:pPr>
    <w:rPr>
      <w:sz w:val="24"/>
      <w:szCs w:val="22"/>
    </w:rPr>
  </w:style>
  <w:style w:type="paragraph" w:customStyle="1" w:styleId="164">
    <w:name w:val="Char1 Char Char Char 字元 Char Char 字元 Char 字元 Char1 Char Char Char"/>
    <w:basedOn w:val="1"/>
    <w:qFormat/>
    <w:uiPriority w:val="0"/>
    <w:rPr>
      <w:szCs w:val="20"/>
    </w:rPr>
  </w:style>
  <w:style w:type="paragraph" w:customStyle="1" w:styleId="165">
    <w:name w:val="Style9"/>
    <w:basedOn w:val="1"/>
    <w:unhideWhenUsed/>
    <w:qFormat/>
    <w:uiPriority w:val="0"/>
  </w:style>
  <w:style w:type="paragraph" w:customStyle="1" w:styleId="166">
    <w:name w:val="Style52"/>
    <w:basedOn w:val="1"/>
    <w:unhideWhenUsed/>
    <w:qFormat/>
    <w:uiPriority w:val="0"/>
    <w:pPr>
      <w:spacing w:line="682" w:lineRule="exact"/>
      <w:ind w:firstLine="557"/>
    </w:pPr>
  </w:style>
  <w:style w:type="paragraph" w:customStyle="1" w:styleId="1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_Style 39"/>
    <w:basedOn w:val="169"/>
    <w:qFormat/>
    <w:uiPriority w:val="0"/>
  </w:style>
  <w:style w:type="paragraph" w:customStyle="1" w:styleId="16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1">
    <w:name w:val="Style76"/>
    <w:basedOn w:val="1"/>
    <w:unhideWhenUsed/>
    <w:qFormat/>
    <w:uiPriority w:val="0"/>
  </w:style>
  <w:style w:type="paragraph" w:customStyle="1" w:styleId="172">
    <w:name w:val="Style36"/>
    <w:basedOn w:val="1"/>
    <w:unhideWhenUsed/>
    <w:qFormat/>
    <w:uiPriority w:val="0"/>
  </w:style>
  <w:style w:type="paragraph" w:customStyle="1" w:styleId="173">
    <w:name w:val="Style15"/>
    <w:basedOn w:val="1"/>
    <w:unhideWhenUsed/>
    <w:qFormat/>
    <w:uiPriority w:val="0"/>
    <w:pPr>
      <w:spacing w:line="557" w:lineRule="exact"/>
      <w:ind w:firstLine="672"/>
    </w:pPr>
  </w:style>
  <w:style w:type="paragraph" w:customStyle="1" w:styleId="174">
    <w:name w:val="Char"/>
    <w:basedOn w:val="1"/>
    <w:qFormat/>
    <w:uiPriority w:val="0"/>
    <w:pPr>
      <w:tabs>
        <w:tab w:val="left" w:pos="360"/>
      </w:tabs>
      <w:ind w:left="360" w:hanging="360" w:hangingChars="200"/>
    </w:pPr>
    <w:rPr>
      <w:sz w:val="24"/>
    </w:rPr>
  </w:style>
  <w:style w:type="paragraph" w:customStyle="1" w:styleId="175">
    <w:name w:val="NO3"/>
    <w:basedOn w:val="1"/>
    <w:qFormat/>
    <w:uiPriority w:val="0"/>
    <w:pPr>
      <w:tabs>
        <w:tab w:val="left" w:pos="907"/>
      </w:tabs>
      <w:spacing w:line="360" w:lineRule="auto"/>
    </w:pPr>
    <w:rPr>
      <w:rFonts w:ascii="宋体" w:hAnsi="宋体"/>
      <w:sz w:val="24"/>
    </w:rPr>
  </w:style>
  <w:style w:type="paragraph" w:customStyle="1" w:styleId="176">
    <w:name w:val="Style62"/>
    <w:basedOn w:val="1"/>
    <w:unhideWhenUsed/>
    <w:qFormat/>
    <w:uiPriority w:val="0"/>
  </w:style>
  <w:style w:type="paragraph" w:customStyle="1" w:styleId="177">
    <w:name w:val="Char Char1 Char Char Char"/>
    <w:basedOn w:val="1"/>
    <w:qFormat/>
    <w:uiPriority w:val="0"/>
    <w:rPr>
      <w:kern w:val="0"/>
      <w:sz w:val="20"/>
      <w:szCs w:val="20"/>
    </w:rPr>
  </w:style>
  <w:style w:type="paragraph" w:customStyle="1" w:styleId="1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79">
    <w:name w:val="Style73"/>
    <w:basedOn w:val="1"/>
    <w:unhideWhenUsed/>
    <w:qFormat/>
    <w:uiPriority w:val="0"/>
    <w:pPr>
      <w:spacing w:line="538" w:lineRule="exact"/>
      <w:ind w:firstLine="533"/>
    </w:pPr>
  </w:style>
  <w:style w:type="paragraph" w:customStyle="1" w:styleId="180">
    <w:name w:val="Style71"/>
    <w:basedOn w:val="1"/>
    <w:unhideWhenUsed/>
    <w:qFormat/>
    <w:uiPriority w:val="0"/>
    <w:pPr>
      <w:spacing w:line="538" w:lineRule="exact"/>
      <w:ind w:firstLine="101"/>
    </w:pPr>
  </w:style>
  <w:style w:type="paragraph" w:customStyle="1" w:styleId="181">
    <w:name w:val="Char1 Char Char Char Char Char Char Char Char Char"/>
    <w:basedOn w:val="1"/>
    <w:qFormat/>
    <w:uiPriority w:val="0"/>
    <w:rPr>
      <w:szCs w:val="20"/>
    </w:rPr>
  </w:style>
  <w:style w:type="paragraph" w:customStyle="1" w:styleId="182">
    <w:name w:val="Style4"/>
    <w:basedOn w:val="1"/>
    <w:unhideWhenUsed/>
    <w:qFormat/>
    <w:uiPriority w:val="0"/>
  </w:style>
  <w:style w:type="paragraph" w:customStyle="1" w:styleId="18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4">
    <w:name w:val="Style78"/>
    <w:basedOn w:val="1"/>
    <w:unhideWhenUsed/>
    <w:qFormat/>
    <w:uiPriority w:val="0"/>
  </w:style>
  <w:style w:type="paragraph" w:customStyle="1" w:styleId="185">
    <w:name w:val="Style60"/>
    <w:basedOn w:val="1"/>
    <w:unhideWhenUsed/>
    <w:qFormat/>
    <w:uiPriority w:val="0"/>
    <w:pPr>
      <w:spacing w:line="566" w:lineRule="exact"/>
    </w:pPr>
  </w:style>
  <w:style w:type="paragraph" w:customStyle="1" w:styleId="186">
    <w:name w:val="1"/>
    <w:basedOn w:val="1"/>
    <w:qFormat/>
    <w:uiPriority w:val="0"/>
    <w:pPr>
      <w:spacing w:after="156" w:afterLines="50" w:line="360" w:lineRule="auto"/>
    </w:pPr>
    <w:rPr>
      <w:rFonts w:ascii="宋体" w:hAnsi="宋体"/>
      <w:b/>
      <w:sz w:val="30"/>
      <w:szCs w:val="21"/>
    </w:rPr>
  </w:style>
  <w:style w:type="paragraph" w:customStyle="1" w:styleId="187">
    <w:name w:val="Style48"/>
    <w:basedOn w:val="1"/>
    <w:unhideWhenUsed/>
    <w:qFormat/>
    <w:uiPriority w:val="0"/>
    <w:pPr>
      <w:spacing w:line="542" w:lineRule="exact"/>
      <w:jc w:val="right"/>
    </w:pPr>
  </w:style>
  <w:style w:type="paragraph" w:customStyle="1" w:styleId="188">
    <w:name w:val="Style41"/>
    <w:basedOn w:val="1"/>
    <w:unhideWhenUsed/>
    <w:qFormat/>
    <w:uiPriority w:val="0"/>
    <w:pPr>
      <w:spacing w:line="542" w:lineRule="exact"/>
      <w:ind w:firstLine="125"/>
    </w:pPr>
  </w:style>
  <w:style w:type="paragraph" w:customStyle="1" w:styleId="189">
    <w:name w:val="Style50"/>
    <w:basedOn w:val="1"/>
    <w:unhideWhenUsed/>
    <w:qFormat/>
    <w:uiPriority w:val="0"/>
  </w:style>
  <w:style w:type="paragraph" w:customStyle="1" w:styleId="190">
    <w:name w:val="Char Char1 Char Char Char Char Char Char Char"/>
    <w:basedOn w:val="1"/>
    <w:qFormat/>
    <w:uiPriority w:val="0"/>
    <w:pPr>
      <w:widowControl/>
      <w:spacing w:after="160" w:line="240" w:lineRule="exact"/>
      <w:jc w:val="left"/>
    </w:pPr>
  </w:style>
  <w:style w:type="paragraph" w:customStyle="1" w:styleId="191">
    <w:name w:val="Style59"/>
    <w:basedOn w:val="1"/>
    <w:unhideWhenUsed/>
    <w:qFormat/>
    <w:uiPriority w:val="0"/>
  </w:style>
  <w:style w:type="paragraph" w:customStyle="1" w:styleId="192">
    <w:name w:val="Style27"/>
    <w:basedOn w:val="1"/>
    <w:unhideWhenUsed/>
    <w:qFormat/>
    <w:uiPriority w:val="0"/>
  </w:style>
  <w:style w:type="paragraph" w:customStyle="1" w:styleId="193">
    <w:name w:val="Style61"/>
    <w:basedOn w:val="1"/>
    <w:unhideWhenUsed/>
    <w:qFormat/>
    <w:uiPriority w:val="0"/>
  </w:style>
  <w:style w:type="paragraph" w:customStyle="1" w:styleId="194">
    <w:name w:val="Style80"/>
    <w:basedOn w:val="1"/>
    <w:unhideWhenUsed/>
    <w:qFormat/>
    <w:uiPriority w:val="0"/>
  </w:style>
  <w:style w:type="paragraph" w:customStyle="1" w:styleId="195">
    <w:name w:val="Style12"/>
    <w:basedOn w:val="1"/>
    <w:unhideWhenUsed/>
    <w:qFormat/>
    <w:uiPriority w:val="0"/>
    <w:pPr>
      <w:spacing w:line="564" w:lineRule="exact"/>
      <w:ind w:hanging="115"/>
    </w:pPr>
  </w:style>
  <w:style w:type="paragraph" w:customStyle="1" w:styleId="19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7">
    <w:name w:val="Style46"/>
    <w:basedOn w:val="1"/>
    <w:unhideWhenUsed/>
    <w:qFormat/>
    <w:uiPriority w:val="0"/>
    <w:pPr>
      <w:spacing w:line="672" w:lineRule="exact"/>
    </w:pPr>
  </w:style>
  <w:style w:type="paragraph" w:customStyle="1" w:styleId="198">
    <w:name w:val="Style53"/>
    <w:basedOn w:val="1"/>
    <w:unhideWhenUsed/>
    <w:qFormat/>
    <w:uiPriority w:val="0"/>
    <w:pPr>
      <w:spacing w:line="533" w:lineRule="exact"/>
      <w:ind w:firstLine="581"/>
    </w:pPr>
  </w:style>
  <w:style w:type="paragraph" w:customStyle="1" w:styleId="19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0">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01">
    <w:name w:val="Revision"/>
    <w:qFormat/>
    <w:uiPriority w:val="0"/>
    <w:rPr>
      <w:rFonts w:ascii="Times New Roman" w:hAnsi="Times New Roman" w:eastAsia="宋体" w:cs="Times New Roman"/>
      <w:kern w:val="2"/>
      <w:sz w:val="21"/>
      <w:szCs w:val="24"/>
      <w:lang w:val="en-US" w:eastAsia="zh-CN" w:bidi="ar-SA"/>
    </w:rPr>
  </w:style>
  <w:style w:type="paragraph" w:customStyle="1" w:styleId="202">
    <w:name w:val="Style16"/>
    <w:basedOn w:val="1"/>
    <w:unhideWhenUsed/>
    <w:qFormat/>
    <w:uiPriority w:val="0"/>
    <w:pPr>
      <w:jc w:val="right"/>
    </w:pPr>
  </w:style>
  <w:style w:type="paragraph" w:customStyle="1" w:styleId="203">
    <w:name w:val="Table Paragraph"/>
    <w:basedOn w:val="1"/>
    <w:qFormat/>
    <w:uiPriority w:val="0"/>
    <w:pPr>
      <w:autoSpaceDE w:val="0"/>
      <w:autoSpaceDN w:val="0"/>
      <w:adjustRightInd w:val="0"/>
      <w:jc w:val="left"/>
    </w:pPr>
    <w:rPr>
      <w:rFonts w:ascii="Calibri" w:hAnsi="Calibri"/>
      <w:kern w:val="0"/>
      <w:sz w:val="24"/>
    </w:rPr>
  </w:style>
  <w:style w:type="paragraph" w:customStyle="1" w:styleId="204">
    <w:name w:val="Style77"/>
    <w:basedOn w:val="1"/>
    <w:unhideWhenUsed/>
    <w:qFormat/>
    <w:uiPriority w:val="0"/>
  </w:style>
  <w:style w:type="paragraph" w:customStyle="1" w:styleId="205">
    <w:name w:val="Style68"/>
    <w:basedOn w:val="1"/>
    <w:unhideWhenUsed/>
    <w:qFormat/>
    <w:uiPriority w:val="0"/>
    <w:pPr>
      <w:spacing w:line="547" w:lineRule="exact"/>
    </w:pPr>
  </w:style>
  <w:style w:type="paragraph" w:customStyle="1" w:styleId="206">
    <w:name w:val="Style58"/>
    <w:basedOn w:val="1"/>
    <w:unhideWhenUsed/>
    <w:qFormat/>
    <w:uiPriority w:val="0"/>
    <w:pPr>
      <w:spacing w:line="413" w:lineRule="exact"/>
    </w:pPr>
  </w:style>
  <w:style w:type="paragraph" w:customStyle="1" w:styleId="20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8">
    <w:name w:val="Style42"/>
    <w:basedOn w:val="1"/>
    <w:unhideWhenUsed/>
    <w:qFormat/>
    <w:uiPriority w:val="0"/>
    <w:pPr>
      <w:spacing w:line="542" w:lineRule="exact"/>
      <w:ind w:firstLine="547"/>
    </w:pPr>
  </w:style>
  <w:style w:type="paragraph" w:customStyle="1" w:styleId="209">
    <w:name w:val="Style69"/>
    <w:basedOn w:val="1"/>
    <w:unhideWhenUsed/>
    <w:qFormat/>
    <w:uiPriority w:val="0"/>
    <w:pPr>
      <w:spacing w:line="557" w:lineRule="exact"/>
      <w:ind w:firstLine="1666"/>
    </w:pPr>
  </w:style>
  <w:style w:type="paragraph" w:customStyle="1" w:styleId="210">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11">
    <w:name w:val="Char Char1"/>
    <w:basedOn w:val="1"/>
    <w:qFormat/>
    <w:uiPriority w:val="0"/>
    <w:rPr>
      <w:rFonts w:ascii="Tahoma" w:hAnsi="Tahoma"/>
      <w:sz w:val="24"/>
      <w:szCs w:val="20"/>
    </w:rPr>
  </w:style>
  <w:style w:type="paragraph" w:customStyle="1" w:styleId="21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3">
    <w:name w:val="Style11"/>
    <w:basedOn w:val="1"/>
    <w:unhideWhenUsed/>
    <w:qFormat/>
    <w:uiPriority w:val="0"/>
    <w:pPr>
      <w:spacing w:line="559" w:lineRule="exact"/>
      <w:ind w:firstLine="590"/>
    </w:pPr>
  </w:style>
  <w:style w:type="paragraph" w:customStyle="1" w:styleId="214">
    <w:name w:val="Style23"/>
    <w:basedOn w:val="1"/>
    <w:unhideWhenUsed/>
    <w:qFormat/>
    <w:uiPriority w:val="0"/>
  </w:style>
  <w:style w:type="paragraph" w:customStyle="1" w:styleId="215">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customStyle="1" w:styleId="216">
    <w:name w:val="列出段落1"/>
    <w:basedOn w:val="1"/>
    <w:qFormat/>
    <w:uiPriority w:val="0"/>
    <w:pPr>
      <w:ind w:firstLine="420" w:firstLineChars="200"/>
    </w:pPr>
    <w:rPr>
      <w:rFonts w:ascii="Calibri" w:hAnsi="Calibri"/>
      <w:szCs w:val="22"/>
    </w:rPr>
  </w:style>
  <w:style w:type="paragraph" w:customStyle="1" w:styleId="21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18">
    <w:name w:val="1 Char Char Char Char"/>
    <w:basedOn w:val="1"/>
    <w:qFormat/>
    <w:uiPriority w:val="0"/>
  </w:style>
  <w:style w:type="paragraph" w:customStyle="1" w:styleId="219">
    <w:name w:val="Style13"/>
    <w:basedOn w:val="1"/>
    <w:unhideWhenUsed/>
    <w:qFormat/>
    <w:uiPriority w:val="0"/>
  </w:style>
  <w:style w:type="paragraph" w:customStyle="1" w:styleId="220">
    <w:name w:val="列出段落2"/>
    <w:basedOn w:val="1"/>
    <w:qFormat/>
    <w:uiPriority w:val="0"/>
    <w:pPr>
      <w:ind w:firstLine="420" w:firstLineChars="200"/>
    </w:pPr>
    <w:rPr>
      <w:rFonts w:ascii="Calibri" w:hAnsi="Calibri" w:cs="Calibri"/>
      <w:szCs w:val="21"/>
    </w:rPr>
  </w:style>
  <w:style w:type="paragraph" w:customStyle="1" w:styleId="221">
    <w:name w:val="Style65"/>
    <w:basedOn w:val="1"/>
    <w:unhideWhenUsed/>
    <w:qFormat/>
    <w:uiPriority w:val="0"/>
  </w:style>
  <w:style w:type="paragraph" w:customStyle="1" w:styleId="222">
    <w:name w:val="Char1 Char Char Char"/>
    <w:basedOn w:val="1"/>
    <w:qFormat/>
    <w:uiPriority w:val="0"/>
    <w:pPr>
      <w:widowControl/>
      <w:spacing w:after="160" w:line="240" w:lineRule="exact"/>
      <w:jc w:val="left"/>
    </w:pPr>
    <w:rPr>
      <w:kern w:val="0"/>
      <w:sz w:val="24"/>
      <w:szCs w:val="20"/>
    </w:rPr>
  </w:style>
  <w:style w:type="paragraph" w:customStyle="1" w:styleId="223">
    <w:name w:val="Style70"/>
    <w:basedOn w:val="1"/>
    <w:unhideWhenUsed/>
    <w:qFormat/>
    <w:uiPriority w:val="0"/>
    <w:pPr>
      <w:spacing w:line="549" w:lineRule="exact"/>
      <w:ind w:firstLine="686"/>
    </w:pPr>
  </w:style>
  <w:style w:type="paragraph" w:customStyle="1" w:styleId="224">
    <w:name w:val="标题2"/>
    <w:basedOn w:val="40"/>
    <w:qFormat/>
    <w:uiPriority w:val="0"/>
    <w:pPr>
      <w:spacing w:after="240"/>
      <w:jc w:val="left"/>
    </w:pPr>
    <w:rPr>
      <w:sz w:val="30"/>
    </w:rPr>
  </w:style>
  <w:style w:type="paragraph" w:customStyle="1" w:styleId="225">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26">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227">
    <w:name w:val="Char Char1 Char Char Char Char Char1 Char Char Char Char"/>
    <w:basedOn w:val="13"/>
    <w:qFormat/>
    <w:uiPriority w:val="0"/>
    <w:rPr>
      <w:rFonts w:ascii="Tahoma" w:hAnsi="Tahoma"/>
    </w:rPr>
  </w:style>
  <w:style w:type="paragraph" w:customStyle="1" w:styleId="228">
    <w:name w:val="标题 1 +"/>
    <w:basedOn w:val="2"/>
    <w:next w:val="1"/>
    <w:qFormat/>
    <w:uiPriority w:val="0"/>
    <w:pPr>
      <w:keepLines/>
      <w:spacing w:line="600" w:lineRule="auto"/>
    </w:pPr>
    <w:rPr>
      <w:rFonts w:eastAsia="黑体"/>
      <w:kern w:val="0"/>
      <w:sz w:val="32"/>
      <w:szCs w:val="32"/>
    </w:rPr>
  </w:style>
  <w:style w:type="paragraph" w:customStyle="1" w:styleId="229">
    <w:name w:val="样式1"/>
    <w:basedOn w:val="1"/>
    <w:link w:val="275"/>
    <w:qFormat/>
    <w:uiPriority w:val="0"/>
    <w:pPr>
      <w:tabs>
        <w:tab w:val="left" w:pos="360"/>
      </w:tabs>
      <w:adjustRightInd w:val="0"/>
      <w:ind w:left="360" w:hanging="360"/>
      <w:textAlignment w:val="baseline"/>
    </w:pPr>
    <w:rPr>
      <w:rFonts w:ascii="宋体" w:hAnsi="宋体"/>
      <w:kern w:val="0"/>
      <w:szCs w:val="21"/>
      <w:lang w:val="zh-CN" w:eastAsia="zh-CN"/>
    </w:rPr>
  </w:style>
  <w:style w:type="paragraph" w:customStyle="1" w:styleId="230">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1">
    <w:name w:val="附录标识"/>
    <w:basedOn w:val="225"/>
    <w:qFormat/>
    <w:uiPriority w:val="0"/>
    <w:pPr>
      <w:tabs>
        <w:tab w:val="left" w:pos="6405"/>
        <w:tab w:val="clear" w:pos="360"/>
        <w:tab w:val="clear" w:pos="720"/>
      </w:tabs>
      <w:spacing w:after="200"/>
    </w:pPr>
    <w:rPr>
      <w:sz w:val="21"/>
    </w:rPr>
  </w:style>
  <w:style w:type="paragraph" w:customStyle="1" w:styleId="23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33">
    <w:name w:val="Style29"/>
    <w:basedOn w:val="1"/>
    <w:unhideWhenUsed/>
    <w:qFormat/>
    <w:uiPriority w:val="0"/>
    <w:pPr>
      <w:spacing w:line="547" w:lineRule="exact"/>
      <w:ind w:firstLine="547"/>
    </w:pPr>
  </w:style>
  <w:style w:type="paragraph" w:customStyle="1" w:styleId="234">
    <w:name w:val="Style34"/>
    <w:basedOn w:val="1"/>
    <w:unhideWhenUsed/>
    <w:qFormat/>
    <w:uiPriority w:val="0"/>
    <w:pPr>
      <w:spacing w:line="375" w:lineRule="exact"/>
    </w:pPr>
  </w:style>
  <w:style w:type="paragraph" w:customStyle="1" w:styleId="235">
    <w:name w:val="默认段落字体 Para Char Char Char Char Char Char Char Char Char Char Char Char Char Char Char Char Char Char Char"/>
    <w:basedOn w:val="1"/>
    <w:qFormat/>
    <w:uiPriority w:val="0"/>
  </w:style>
  <w:style w:type="paragraph" w:customStyle="1" w:styleId="236">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3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8">
    <w:name w:val="Style74"/>
    <w:basedOn w:val="1"/>
    <w:unhideWhenUsed/>
    <w:qFormat/>
    <w:uiPriority w:val="0"/>
    <w:pPr>
      <w:spacing w:line="437" w:lineRule="exact"/>
    </w:pPr>
  </w:style>
  <w:style w:type="paragraph" w:customStyle="1" w:styleId="239">
    <w:name w:val="Style28"/>
    <w:basedOn w:val="1"/>
    <w:unhideWhenUsed/>
    <w:qFormat/>
    <w:uiPriority w:val="0"/>
    <w:pPr>
      <w:spacing w:line="552" w:lineRule="exact"/>
      <w:ind w:firstLine="547"/>
    </w:pPr>
  </w:style>
  <w:style w:type="paragraph" w:customStyle="1" w:styleId="240">
    <w:name w:val="Style24"/>
    <w:basedOn w:val="1"/>
    <w:unhideWhenUsed/>
    <w:qFormat/>
    <w:uiPriority w:val="0"/>
  </w:style>
  <w:style w:type="paragraph" w:customStyle="1" w:styleId="241">
    <w:name w:val="Style63"/>
    <w:basedOn w:val="1"/>
    <w:unhideWhenUsed/>
    <w:qFormat/>
    <w:uiPriority w:val="0"/>
    <w:pPr>
      <w:spacing w:line="564" w:lineRule="exact"/>
      <w:ind w:firstLine="682"/>
    </w:pPr>
  </w:style>
  <w:style w:type="paragraph" w:customStyle="1" w:styleId="242">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3">
    <w:name w:val="Style45"/>
    <w:basedOn w:val="1"/>
    <w:unhideWhenUsed/>
    <w:qFormat/>
    <w:uiPriority w:val="0"/>
  </w:style>
  <w:style w:type="paragraph" w:customStyle="1" w:styleId="244">
    <w:name w:val="p16"/>
    <w:basedOn w:val="1"/>
    <w:qFormat/>
    <w:uiPriority w:val="0"/>
    <w:pPr>
      <w:widowControl/>
      <w:jc w:val="left"/>
    </w:pPr>
    <w:rPr>
      <w:kern w:val="0"/>
      <w:szCs w:val="21"/>
    </w:rPr>
  </w:style>
  <w:style w:type="paragraph" w:customStyle="1" w:styleId="245">
    <w:name w:val="Style64"/>
    <w:basedOn w:val="1"/>
    <w:unhideWhenUsed/>
    <w:qFormat/>
    <w:uiPriority w:val="0"/>
  </w:style>
  <w:style w:type="paragraph" w:customStyle="1" w:styleId="246">
    <w:name w:val="Style72"/>
    <w:basedOn w:val="1"/>
    <w:unhideWhenUsed/>
    <w:qFormat/>
    <w:uiPriority w:val="0"/>
  </w:style>
  <w:style w:type="paragraph" w:customStyle="1" w:styleId="247">
    <w:name w:val="Char Char Char"/>
    <w:basedOn w:val="1"/>
    <w:qFormat/>
    <w:uiPriority w:val="0"/>
    <w:rPr>
      <w:rFonts w:ascii="宋体" w:hAnsi="宋体"/>
      <w:b/>
      <w:sz w:val="28"/>
      <w:szCs w:val="28"/>
    </w:rPr>
  </w:style>
  <w:style w:type="paragraph" w:customStyle="1" w:styleId="248">
    <w:name w:val="Style21"/>
    <w:basedOn w:val="1"/>
    <w:unhideWhenUsed/>
    <w:qFormat/>
    <w:uiPriority w:val="0"/>
    <w:pPr>
      <w:spacing w:line="566" w:lineRule="exact"/>
      <w:ind w:firstLine="682"/>
    </w:pPr>
  </w:style>
  <w:style w:type="paragraph" w:customStyle="1" w:styleId="249">
    <w:name w:val="Style26"/>
    <w:basedOn w:val="1"/>
    <w:unhideWhenUsed/>
    <w:qFormat/>
    <w:uiPriority w:val="0"/>
  </w:style>
  <w:style w:type="paragraph" w:customStyle="1" w:styleId="250">
    <w:name w:val="表格内容"/>
    <w:basedOn w:val="17"/>
    <w:qFormat/>
    <w:uiPriority w:val="0"/>
    <w:pPr>
      <w:suppressLineNumbers/>
      <w:suppressAutoHyphens/>
      <w:jc w:val="left"/>
    </w:pPr>
    <w:rPr>
      <w:rFonts w:cs="Tahoma"/>
      <w:kern w:val="0"/>
      <w:sz w:val="24"/>
    </w:rPr>
  </w:style>
  <w:style w:type="paragraph" w:customStyle="1" w:styleId="251">
    <w:name w:val="Style47"/>
    <w:basedOn w:val="1"/>
    <w:unhideWhenUsed/>
    <w:qFormat/>
    <w:uiPriority w:val="0"/>
  </w:style>
  <w:style w:type="paragraph" w:customStyle="1" w:styleId="252">
    <w:name w:val="Style44"/>
    <w:basedOn w:val="1"/>
    <w:unhideWhenUsed/>
    <w:qFormat/>
    <w:uiPriority w:val="0"/>
  </w:style>
  <w:style w:type="paragraph" w:customStyle="1" w:styleId="253">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54">
    <w:name w:val="Style10"/>
    <w:basedOn w:val="1"/>
    <w:unhideWhenUsed/>
    <w:qFormat/>
    <w:uiPriority w:val="0"/>
    <w:pPr>
      <w:spacing w:line="538" w:lineRule="exact"/>
    </w:pPr>
  </w:style>
  <w:style w:type="paragraph" w:styleId="255">
    <w:name w:val="List Paragraph"/>
    <w:basedOn w:val="1"/>
    <w:link w:val="274"/>
    <w:qFormat/>
    <w:uiPriority w:val="0"/>
    <w:pPr>
      <w:ind w:firstLine="420" w:firstLineChars="200"/>
    </w:pPr>
    <w:rPr>
      <w:rFonts w:ascii="Calibri" w:hAnsi="Calibri"/>
      <w:szCs w:val="22"/>
      <w:lang w:val="zh-CN" w:eastAsia="zh-CN"/>
    </w:rPr>
  </w:style>
  <w:style w:type="paragraph" w:customStyle="1" w:styleId="256">
    <w:name w:val="Style8"/>
    <w:basedOn w:val="1"/>
    <w:unhideWhenUsed/>
    <w:qFormat/>
    <w:uiPriority w:val="0"/>
    <w:pPr>
      <w:spacing w:line="566" w:lineRule="exact"/>
      <w:jc w:val="center"/>
    </w:pPr>
  </w:style>
  <w:style w:type="paragraph" w:customStyle="1" w:styleId="257">
    <w:name w:val="Style54"/>
    <w:basedOn w:val="1"/>
    <w:unhideWhenUsed/>
    <w:qFormat/>
    <w:uiPriority w:val="0"/>
  </w:style>
  <w:style w:type="paragraph" w:customStyle="1" w:styleId="25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9">
    <w:name w:val="Style81"/>
    <w:basedOn w:val="1"/>
    <w:unhideWhenUsed/>
    <w:qFormat/>
    <w:uiPriority w:val="0"/>
    <w:pPr>
      <w:spacing w:line="547" w:lineRule="exact"/>
    </w:pPr>
  </w:style>
  <w:style w:type="paragraph" w:customStyle="1" w:styleId="26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61">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2">
    <w:name w:val="Style56"/>
    <w:basedOn w:val="1"/>
    <w:unhideWhenUsed/>
    <w:qFormat/>
    <w:uiPriority w:val="0"/>
  </w:style>
  <w:style w:type="paragraph" w:customStyle="1" w:styleId="263">
    <w:name w:val="Style5"/>
    <w:basedOn w:val="1"/>
    <w:unhideWhenUsed/>
    <w:qFormat/>
    <w:uiPriority w:val="0"/>
  </w:style>
  <w:style w:type="paragraph" w:customStyle="1" w:styleId="264">
    <w:name w:val="Style67"/>
    <w:basedOn w:val="1"/>
    <w:unhideWhenUsed/>
    <w:qFormat/>
    <w:uiPriority w:val="0"/>
    <w:pPr>
      <w:spacing w:line="566" w:lineRule="exact"/>
      <w:ind w:firstLine="552"/>
    </w:pPr>
  </w:style>
  <w:style w:type="paragraph" w:customStyle="1" w:styleId="26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6">
    <w:name w:val="Char Char Char1"/>
    <w:basedOn w:val="1"/>
    <w:qFormat/>
    <w:uiPriority w:val="0"/>
    <w:rPr>
      <w:rFonts w:ascii="宋体" w:hAnsi="宋体"/>
      <w:b/>
      <w:sz w:val="28"/>
      <w:szCs w:val="28"/>
    </w:rPr>
  </w:style>
  <w:style w:type="paragraph" w:customStyle="1" w:styleId="267">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Char Char Char1 Char1"/>
    <w:basedOn w:val="1"/>
    <w:qFormat/>
    <w:uiPriority w:val="0"/>
    <w:pPr>
      <w:tabs>
        <w:tab w:val="left" w:pos="360"/>
      </w:tabs>
      <w:snapToGrid w:val="0"/>
      <w:spacing w:line="360" w:lineRule="auto"/>
    </w:pPr>
    <w:rPr>
      <w:rFonts w:eastAsia="仿宋_GB2312" w:cs="宋体"/>
      <w:sz w:val="24"/>
    </w:rPr>
  </w:style>
  <w:style w:type="character" w:customStyle="1" w:styleId="269">
    <w:name w:val="fontstyle01"/>
    <w:qFormat/>
    <w:uiPriority w:val="0"/>
    <w:rPr>
      <w:rFonts w:hint="eastAsia" w:ascii="宋体" w:hAnsi="宋体" w:eastAsia="宋体"/>
      <w:color w:val="000000"/>
      <w:sz w:val="24"/>
      <w:szCs w:val="24"/>
    </w:rPr>
  </w:style>
  <w:style w:type="character" w:customStyle="1" w:styleId="270">
    <w:name w:val="fontstyle11"/>
    <w:qFormat/>
    <w:uiPriority w:val="0"/>
    <w:rPr>
      <w:rFonts w:hint="default" w:ascii="TimesNewRomanPSMT" w:hAnsi="TimesNewRomanPSMT"/>
      <w:color w:val="000000"/>
      <w:sz w:val="24"/>
      <w:szCs w:val="24"/>
    </w:rPr>
  </w:style>
  <w:style w:type="paragraph" w:customStyle="1" w:styleId="271">
    <w:name w:val="TOC 标题1"/>
    <w:basedOn w:val="2"/>
    <w:next w:val="1"/>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2">
    <w:name w:val="fontstyle21"/>
    <w:qFormat/>
    <w:uiPriority w:val="0"/>
    <w:rPr>
      <w:rFonts w:hint="eastAsia" w:ascii="宋体" w:hAnsi="宋体" w:eastAsia="宋体"/>
      <w:color w:val="993300"/>
      <w:sz w:val="24"/>
      <w:szCs w:val="24"/>
    </w:rPr>
  </w:style>
  <w:style w:type="character" w:customStyle="1" w:styleId="273">
    <w:name w:val="fontstyle31"/>
    <w:qFormat/>
    <w:uiPriority w:val="0"/>
    <w:rPr>
      <w:rFonts w:hint="default" w:ascii="Arial" w:hAnsi="Arial" w:cs="Arial"/>
      <w:color w:val="993300"/>
      <w:sz w:val="24"/>
      <w:szCs w:val="24"/>
    </w:rPr>
  </w:style>
  <w:style w:type="character" w:customStyle="1" w:styleId="274">
    <w:name w:val="列出段落 Char"/>
    <w:link w:val="255"/>
    <w:qFormat/>
    <w:uiPriority w:val="0"/>
    <w:rPr>
      <w:rFonts w:ascii="Calibri" w:hAnsi="Calibri"/>
      <w:kern w:val="2"/>
      <w:sz w:val="21"/>
      <w:szCs w:val="22"/>
    </w:rPr>
  </w:style>
  <w:style w:type="character" w:customStyle="1" w:styleId="275">
    <w:name w:val="样式1 Char Char"/>
    <w:link w:val="229"/>
    <w:qFormat/>
    <w:uiPriority w:val="0"/>
    <w:rPr>
      <w:rFonts w:ascii="宋体" w:hAnsi="宋体"/>
      <w:sz w:val="21"/>
      <w:szCs w:val="21"/>
    </w:rPr>
  </w:style>
  <w:style w:type="character" w:customStyle="1" w:styleId="276">
    <w:name w:val="l-btn-left"/>
    <w:basedOn w:val="46"/>
    <w:qFormat/>
    <w:uiPriority w:val="0"/>
  </w:style>
  <w:style w:type="character" w:customStyle="1" w:styleId="277">
    <w:name w:val="l-btn-left1"/>
    <w:basedOn w:val="46"/>
    <w:qFormat/>
    <w:uiPriority w:val="0"/>
  </w:style>
  <w:style w:type="character" w:customStyle="1" w:styleId="278">
    <w:name w:val="l-btn-left2"/>
    <w:basedOn w:val="46"/>
    <w:qFormat/>
    <w:uiPriority w:val="0"/>
  </w:style>
  <w:style w:type="character" w:customStyle="1" w:styleId="279">
    <w:name w:val="l-btn-left3"/>
    <w:basedOn w:val="46"/>
    <w:qFormat/>
    <w:uiPriority w:val="0"/>
  </w:style>
  <w:style w:type="character" w:customStyle="1" w:styleId="280">
    <w:name w:val="l-btn-text"/>
    <w:basedOn w:val="46"/>
    <w:qFormat/>
    <w:uiPriority w:val="0"/>
    <w:rPr>
      <w:sz w:val="18"/>
      <w:szCs w:val="18"/>
      <w:vertAlign w:val="baseline"/>
    </w:rPr>
  </w:style>
  <w:style w:type="character" w:customStyle="1" w:styleId="281">
    <w:name w:val="l-btn-icon-left"/>
    <w:basedOn w:val="46"/>
    <w:qFormat/>
    <w:uiPriority w:val="0"/>
  </w:style>
  <w:style w:type="character" w:customStyle="1" w:styleId="282">
    <w:name w:val="l-btn-empty"/>
    <w:basedOn w:val="46"/>
    <w:qFormat/>
    <w:uiPriority w:val="0"/>
  </w:style>
  <w:style w:type="character" w:customStyle="1" w:styleId="283">
    <w:name w:val="l-btn-icon-right"/>
    <w:basedOn w:val="46"/>
    <w:qFormat/>
    <w:uiPriority w:val="0"/>
  </w:style>
  <w:style w:type="character" w:customStyle="1" w:styleId="284">
    <w:name w:val="font61"/>
    <w:basedOn w:val="46"/>
    <w:qFormat/>
    <w:uiPriority w:val="0"/>
    <w:rPr>
      <w:rFonts w:hint="eastAsia" w:ascii="宋体" w:hAnsi="宋体" w:eastAsia="宋体" w:cs="宋体"/>
      <w:color w:val="000000"/>
      <w:sz w:val="24"/>
      <w:szCs w:val="24"/>
      <w:u w:val="none"/>
    </w:rPr>
  </w:style>
  <w:style w:type="character" w:customStyle="1" w:styleId="285">
    <w:name w:val="font112"/>
    <w:basedOn w:val="46"/>
    <w:qFormat/>
    <w:uiPriority w:val="0"/>
    <w:rPr>
      <w:rFonts w:hint="eastAsia" w:ascii="宋体" w:hAnsi="宋体" w:eastAsia="宋体" w:cs="宋体"/>
      <w:color w:val="000000"/>
      <w:sz w:val="18"/>
      <w:szCs w:val="18"/>
      <w:u w:val="none"/>
      <w:vertAlign w:val="superscript"/>
    </w:rPr>
  </w:style>
  <w:style w:type="character" w:customStyle="1" w:styleId="286">
    <w:name w:val="font01"/>
    <w:basedOn w:val="46"/>
    <w:qFormat/>
    <w:uiPriority w:val="0"/>
    <w:rPr>
      <w:rFonts w:hint="eastAsia" w:ascii="宋体" w:hAnsi="宋体" w:eastAsia="宋体" w:cs="宋体"/>
      <w:color w:val="000000"/>
      <w:sz w:val="20"/>
      <w:szCs w:val="20"/>
      <w:u w:val="none"/>
      <w:vertAlign w:val="superscript"/>
    </w:rPr>
  </w:style>
  <w:style w:type="character" w:customStyle="1" w:styleId="287">
    <w:name w:val="font31"/>
    <w:basedOn w:val="46"/>
    <w:qFormat/>
    <w:uiPriority w:val="0"/>
    <w:rPr>
      <w:rFonts w:hint="eastAsia" w:ascii="宋体" w:hAnsi="宋体" w:eastAsia="宋体" w:cs="宋体"/>
      <w:color w:val="000000"/>
      <w:sz w:val="20"/>
      <w:szCs w:val="20"/>
      <w:u w:val="none"/>
    </w:rPr>
  </w:style>
  <w:style w:type="character" w:customStyle="1" w:styleId="288">
    <w:name w:val="font71"/>
    <w:basedOn w:val="46"/>
    <w:qFormat/>
    <w:uiPriority w:val="0"/>
    <w:rPr>
      <w:rFonts w:hint="eastAsia" w:ascii="宋体" w:hAnsi="宋体" w:eastAsia="宋体" w:cs="宋体"/>
      <w:color w:val="000000"/>
      <w:sz w:val="20"/>
      <w:szCs w:val="20"/>
      <w:u w:val="none"/>
    </w:rPr>
  </w:style>
  <w:style w:type="character" w:customStyle="1" w:styleId="289">
    <w:name w:val="font151"/>
    <w:basedOn w:val="46"/>
    <w:qFormat/>
    <w:uiPriority w:val="0"/>
    <w:rPr>
      <w:rFonts w:ascii="Calibri" w:hAnsi="Calibri" w:cs="Calibri"/>
      <w:color w:val="000000"/>
      <w:sz w:val="18"/>
      <w:szCs w:val="18"/>
      <w:u w:val="none"/>
    </w:rPr>
  </w:style>
  <w:style w:type="character" w:customStyle="1" w:styleId="290">
    <w:name w:val="font121"/>
    <w:basedOn w:val="46"/>
    <w:qFormat/>
    <w:uiPriority w:val="0"/>
    <w:rPr>
      <w:rFonts w:hint="default" w:ascii="Times New Roman" w:hAnsi="Times New Roman" w:cs="Times New Roman"/>
      <w:color w:val="000000"/>
      <w:sz w:val="24"/>
      <w:szCs w:val="24"/>
      <w:u w:val="none"/>
    </w:rPr>
  </w:style>
  <w:style w:type="character" w:customStyle="1" w:styleId="291">
    <w:name w:val="font161"/>
    <w:basedOn w:val="46"/>
    <w:qFormat/>
    <w:uiPriority w:val="0"/>
    <w:rPr>
      <w:rFonts w:ascii="等线" w:hAnsi="等线" w:eastAsia="等线" w:cs="等线"/>
      <w:color w:val="000000"/>
      <w:sz w:val="18"/>
      <w:szCs w:val="18"/>
      <w:u w:val="none"/>
    </w:rPr>
  </w:style>
  <w:style w:type="character" w:customStyle="1" w:styleId="292">
    <w:name w:val="font101"/>
    <w:basedOn w:val="46"/>
    <w:qFormat/>
    <w:uiPriority w:val="0"/>
    <w:rPr>
      <w:rFonts w:hint="eastAsia" w:ascii="宋体" w:hAnsi="宋体" w:eastAsia="宋体" w:cs="宋体"/>
      <w:color w:val="000000"/>
      <w:sz w:val="20"/>
      <w:szCs w:val="20"/>
      <w:u w:val="none"/>
    </w:rPr>
  </w:style>
  <w:style w:type="character" w:customStyle="1" w:styleId="293">
    <w:name w:val="font111"/>
    <w:basedOn w:val="46"/>
    <w:qFormat/>
    <w:uiPriority w:val="0"/>
    <w:rPr>
      <w:rFonts w:hint="eastAsia" w:ascii="宋体" w:hAnsi="宋体" w:eastAsia="宋体" w:cs="宋体"/>
      <w:color w:val="FF0000"/>
      <w:sz w:val="11"/>
      <w:szCs w:val="11"/>
      <w:u w:val="none"/>
    </w:rPr>
  </w:style>
  <w:style w:type="character" w:customStyle="1" w:styleId="294">
    <w:name w:val="font122"/>
    <w:basedOn w:val="46"/>
    <w:qFormat/>
    <w:uiPriority w:val="0"/>
    <w:rPr>
      <w:rFonts w:hint="eastAsia" w:ascii="宋体" w:hAnsi="宋体" w:eastAsia="宋体" w:cs="宋体"/>
      <w:b/>
      <w:bCs/>
      <w:color w:val="000000"/>
      <w:sz w:val="11"/>
      <w:szCs w:val="11"/>
      <w:u w:val="none"/>
    </w:rPr>
  </w:style>
  <w:style w:type="character" w:customStyle="1" w:styleId="295">
    <w:name w:val="font131"/>
    <w:basedOn w:val="46"/>
    <w:qFormat/>
    <w:uiPriority w:val="0"/>
    <w:rPr>
      <w:rFonts w:hint="eastAsia" w:ascii="宋体" w:hAnsi="宋体" w:eastAsia="宋体" w:cs="宋体"/>
      <w:color w:val="000000"/>
      <w:sz w:val="11"/>
      <w:szCs w:val="11"/>
      <w:u w:val="none"/>
    </w:rPr>
  </w:style>
  <w:style w:type="paragraph" w:customStyle="1" w:styleId="296">
    <w:name w:val="标题 2_0"/>
    <w:basedOn w:val="297"/>
    <w:next w:val="298"/>
    <w:unhideWhenUsed/>
    <w:qFormat/>
    <w:uiPriority w:val="0"/>
    <w:pPr>
      <w:keepNext/>
      <w:keepLines/>
      <w:spacing w:line="360" w:lineRule="auto"/>
      <w:outlineLvl w:val="1"/>
    </w:pPr>
    <w:rPr>
      <w:rFonts w:ascii="Arial" w:hAnsi="Arial"/>
      <w:b/>
      <w:bCs/>
      <w:sz w:val="24"/>
      <w:szCs w:val="32"/>
    </w:rPr>
  </w:style>
  <w:style w:type="paragraph" w:customStyle="1" w:styleId="297">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8">
    <w:name w:val="正文_0"/>
    <w:next w:val="4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23082</Words>
  <Characters>24557</Characters>
  <Lines>107</Lines>
  <Paragraphs>76</Paragraphs>
  <TotalTime>0</TotalTime>
  <ScaleCrop>false</ScaleCrop>
  <LinksUpToDate>false</LinksUpToDate>
  <CharactersWithSpaces>26353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玲兒</cp:lastModifiedBy>
  <cp:lastPrinted>2023-05-15T02:16:00Z</cp:lastPrinted>
  <dcterms:modified xsi:type="dcterms:W3CDTF">2026-10-14T02:54:40Z</dcterms:modified>
  <dc:title>附件2:</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17EF7B73E9064E7683145371CA9812C6</vt:lpwstr>
  </property>
  <property fmtid="{D5CDD505-2E9C-101B-9397-08002B2CF9AE}" pid="4" name="KSOTemplateDocerSaveRecord">
    <vt:lpwstr>eyJoZGlkIjoiNDAwODljODQ5ZTJjZWUxZjRlZDYxYjgyMTc0YzhjYWMiLCJ1c2VySWQiOiIxMDUxOTA0MzE4In0=</vt:lpwstr>
  </property>
</Properties>
</file>