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A792B">
      <w:pPr>
        <w:rPr>
          <w:rFonts w:ascii="黑体" w:eastAsia="黑体"/>
          <w:color w:val="auto"/>
          <w:sz w:val="32"/>
          <w:szCs w:val="32"/>
          <w:highlight w:val="none"/>
        </w:rPr>
      </w:pPr>
    </w:p>
    <w:p w14:paraId="3CE0D10E">
      <w:pPr>
        <w:rPr>
          <w:rFonts w:ascii="黑体" w:eastAsia="黑体"/>
          <w:color w:val="auto"/>
          <w:sz w:val="32"/>
          <w:szCs w:val="32"/>
          <w:highlight w:val="none"/>
        </w:rPr>
      </w:pPr>
    </w:p>
    <w:p w14:paraId="54B7CEBD">
      <w:pPr>
        <w:rPr>
          <w:rFonts w:ascii="黑体" w:eastAsia="黑体"/>
          <w:color w:val="auto"/>
          <w:sz w:val="32"/>
          <w:szCs w:val="32"/>
          <w:highlight w:val="none"/>
        </w:rPr>
      </w:pPr>
    </w:p>
    <w:p w14:paraId="1DC1AACD">
      <w:pPr>
        <w:pStyle w:val="12"/>
        <w:adjustRightInd w:val="0"/>
        <w:snapToGrid w:val="0"/>
        <w:spacing w:line="360" w:lineRule="auto"/>
        <w:jc w:val="center"/>
        <w:rPr>
          <w:rFonts w:hAnsi="宋体"/>
          <w:b/>
          <w:color w:val="auto"/>
          <w:sz w:val="84"/>
          <w:szCs w:val="84"/>
          <w:highlight w:val="none"/>
        </w:rPr>
      </w:pPr>
    </w:p>
    <w:p w14:paraId="2FBEE560">
      <w:pPr>
        <w:pStyle w:val="12"/>
        <w:jc w:val="center"/>
        <w:rPr>
          <w:rFonts w:hint="eastAsia" w:hAnsi="宋体" w:cs="宋体"/>
          <w:b/>
          <w:bCs/>
          <w:sz w:val="84"/>
          <w:szCs w:val="84"/>
        </w:rPr>
      </w:pPr>
      <w:r>
        <w:rPr>
          <w:rFonts w:hint="eastAsia" w:hAnsi="宋体" w:cs="宋体"/>
          <w:b/>
          <w:sz w:val="84"/>
          <w:szCs w:val="84"/>
        </w:rPr>
        <w:t>政府采购</w:t>
      </w:r>
    </w:p>
    <w:p w14:paraId="73F37DA9">
      <w:pPr>
        <w:pStyle w:val="12"/>
        <w:adjustRightInd w:val="0"/>
        <w:snapToGrid w:val="0"/>
        <w:spacing w:line="360" w:lineRule="auto"/>
        <w:jc w:val="center"/>
        <w:rPr>
          <w:rFonts w:hAnsi="宋体"/>
          <w:b/>
          <w:color w:val="auto"/>
          <w:sz w:val="84"/>
          <w:szCs w:val="84"/>
          <w:highlight w:val="none"/>
        </w:rPr>
      </w:pPr>
      <w:r>
        <w:rPr>
          <w:rFonts w:hint="eastAsia" w:hAnsi="宋体" w:cs="宋体"/>
          <w:b/>
          <w:sz w:val="84"/>
          <w:szCs w:val="84"/>
        </w:rPr>
        <w:t>竞争性磋商文件</w:t>
      </w:r>
      <w:r>
        <w:rPr>
          <w:rFonts w:hint="eastAsia" w:hAnsi="宋体"/>
          <w:b/>
          <w:color w:val="auto"/>
          <w:sz w:val="84"/>
          <w:szCs w:val="84"/>
          <w:highlight w:val="none"/>
        </w:rPr>
        <w:t xml:space="preserve"> </w:t>
      </w:r>
    </w:p>
    <w:p w14:paraId="45497E7E">
      <w:pPr>
        <w:pStyle w:val="12"/>
        <w:adjustRightInd w:val="0"/>
        <w:snapToGrid w:val="0"/>
        <w:spacing w:beforeLines="50" w:line="360" w:lineRule="auto"/>
        <w:ind w:left="846" w:leftChars="403" w:firstLine="156" w:firstLineChars="49"/>
        <w:rPr>
          <w:b/>
          <w:color w:val="auto"/>
          <w:sz w:val="32"/>
          <w:szCs w:val="32"/>
          <w:highlight w:val="none"/>
        </w:rPr>
      </w:pPr>
    </w:p>
    <w:p w14:paraId="412F17E6">
      <w:pPr>
        <w:pStyle w:val="12"/>
        <w:adjustRightInd w:val="0"/>
        <w:snapToGrid w:val="0"/>
        <w:spacing w:before="156" w:beforeLines="50" w:line="360" w:lineRule="auto"/>
        <w:ind w:firstLine="960" w:firstLineChars="300"/>
        <w:rPr>
          <w:rFonts w:hint="eastAsia" w:hAnsi="宋体" w:eastAsia="宋体"/>
          <w:color w:val="auto"/>
          <w:sz w:val="32"/>
          <w:szCs w:val="32"/>
          <w:highlight w:val="none"/>
          <w:u w:val="none"/>
          <w:lang w:eastAsia="zh-CN"/>
        </w:rPr>
      </w:pPr>
      <w:r>
        <w:rPr>
          <w:rFonts w:hint="eastAsia" w:hAnsi="宋体"/>
          <w:color w:val="auto"/>
          <w:sz w:val="32"/>
          <w:szCs w:val="32"/>
          <w:highlight w:val="none"/>
          <w:u w:val="none"/>
        </w:rPr>
        <w:t>采购项目名称：</w:t>
      </w:r>
      <w:r>
        <w:rPr>
          <w:rFonts w:hint="eastAsia" w:hAnsi="宋体" w:cs="Courier New"/>
          <w:color w:val="auto"/>
          <w:sz w:val="32"/>
          <w:szCs w:val="32"/>
          <w:highlight w:val="none"/>
          <w:u w:val="none"/>
          <w:lang w:eastAsia="zh-CN"/>
        </w:rPr>
        <w:t>2026年湖南省国省干线公路重点桥隧监测项目</w:t>
      </w:r>
    </w:p>
    <w:p w14:paraId="205FB10C">
      <w:pPr>
        <w:pStyle w:val="12"/>
        <w:adjustRightInd w:val="0"/>
        <w:snapToGrid w:val="0"/>
        <w:spacing w:before="156" w:beforeLines="50" w:line="360" w:lineRule="auto"/>
        <w:ind w:left="846" w:leftChars="403" w:firstLine="156" w:firstLineChars="49"/>
        <w:rPr>
          <w:rFonts w:hint="eastAsia" w:hAnsi="宋体" w:eastAsia="宋体"/>
          <w:color w:val="auto"/>
          <w:sz w:val="32"/>
          <w:szCs w:val="32"/>
          <w:highlight w:val="none"/>
          <w:u w:val="none"/>
          <w:lang w:eastAsia="zh-CN"/>
        </w:rPr>
      </w:pPr>
      <w:r>
        <w:rPr>
          <w:rFonts w:hint="eastAsia" w:hAnsi="宋体"/>
          <w:color w:val="auto"/>
          <w:sz w:val="32"/>
          <w:szCs w:val="32"/>
          <w:highlight w:val="none"/>
          <w:u w:val="none"/>
        </w:rPr>
        <w:t>采   购   人：</w:t>
      </w:r>
      <w:r>
        <w:rPr>
          <w:rFonts w:hint="eastAsia" w:hAnsi="宋体"/>
          <w:color w:val="auto"/>
          <w:sz w:val="32"/>
          <w:szCs w:val="32"/>
          <w:highlight w:val="none"/>
          <w:u w:val="none"/>
          <w:lang w:eastAsia="zh-CN"/>
        </w:rPr>
        <w:t>湖南省公路事务中心</w:t>
      </w:r>
    </w:p>
    <w:p w14:paraId="01C20298">
      <w:pPr>
        <w:pStyle w:val="12"/>
        <w:adjustRightInd w:val="0"/>
        <w:snapToGrid w:val="0"/>
        <w:spacing w:before="156" w:beforeLines="50" w:line="360" w:lineRule="auto"/>
        <w:ind w:firstLine="944" w:firstLineChars="295"/>
        <w:rPr>
          <w:rFonts w:hint="eastAsia" w:hAnsi="宋体" w:cs="Courier New"/>
          <w:color w:val="auto"/>
          <w:sz w:val="32"/>
          <w:szCs w:val="32"/>
          <w:highlight w:val="yellow"/>
          <w:u w:val="none"/>
          <w:lang w:eastAsia="zh-CN"/>
        </w:rPr>
      </w:pPr>
      <w:r>
        <w:rPr>
          <w:rFonts w:hint="eastAsia" w:hAnsi="宋体"/>
          <w:color w:val="auto"/>
          <w:sz w:val="32"/>
          <w:szCs w:val="32"/>
          <w:highlight w:val="none"/>
          <w:u w:val="none"/>
          <w:lang w:eastAsia="zh-CN"/>
        </w:rPr>
        <w:t xml:space="preserve">政府采购编号: </w:t>
      </w:r>
      <w:r>
        <w:rPr>
          <w:rFonts w:hint="eastAsia" w:hAnsi="宋体"/>
          <w:color w:val="auto"/>
          <w:sz w:val="32"/>
          <w:szCs w:val="32"/>
          <w:highlight w:val="none"/>
          <w:u w:val="none"/>
          <w:lang w:val="en-US" w:eastAsia="zh-CN"/>
        </w:rPr>
        <w:t xml:space="preserve"> </w:t>
      </w:r>
      <w:r>
        <w:rPr>
          <w:rFonts w:hint="eastAsia" w:hAnsi="宋体"/>
          <w:color w:val="auto"/>
          <w:sz w:val="32"/>
          <w:szCs w:val="32"/>
          <w:highlight w:val="none"/>
          <w:u w:val="none"/>
          <w:lang w:eastAsia="zh-CN"/>
        </w:rPr>
        <w:t>(2026)430000000313-1</w:t>
      </w:r>
    </w:p>
    <w:p w14:paraId="58B262F0">
      <w:pPr>
        <w:pStyle w:val="12"/>
        <w:adjustRightInd w:val="0"/>
        <w:snapToGrid w:val="0"/>
        <w:spacing w:before="156" w:beforeLines="50" w:line="360" w:lineRule="auto"/>
        <w:ind w:firstLine="944" w:firstLineChars="295"/>
        <w:rPr>
          <w:rFonts w:hint="eastAsia" w:hAnsi="宋体" w:cs="Courier New"/>
          <w:color w:val="auto"/>
          <w:sz w:val="32"/>
          <w:szCs w:val="32"/>
          <w:highlight w:val="none"/>
          <w:u w:val="none"/>
          <w:lang w:eastAsia="zh-CN"/>
        </w:rPr>
      </w:pPr>
      <w:r>
        <w:rPr>
          <w:rFonts w:hint="eastAsia" w:hAnsi="宋体" w:cs="Times New Roman"/>
          <w:b w:val="0"/>
          <w:bCs w:val="0"/>
          <w:color w:val="auto"/>
          <w:sz w:val="32"/>
          <w:szCs w:val="32"/>
          <w:highlight w:val="none"/>
          <w:u w:val="none"/>
          <w:lang w:val="en-US" w:eastAsia="zh-CN"/>
        </w:rPr>
        <w:t>采购项目编号：CGXM2026430000000505</w:t>
      </w:r>
    </w:p>
    <w:p w14:paraId="42A1A769">
      <w:pPr>
        <w:pStyle w:val="12"/>
        <w:adjustRightInd w:val="0"/>
        <w:snapToGrid w:val="0"/>
        <w:spacing w:before="156" w:beforeLines="50" w:line="360" w:lineRule="auto"/>
        <w:ind w:firstLine="944" w:firstLineChars="295"/>
        <w:rPr>
          <w:rFonts w:hint="eastAsia" w:hAnsi="宋体" w:eastAsia="宋体" w:cs="Courier New"/>
          <w:color w:val="auto"/>
          <w:sz w:val="32"/>
          <w:szCs w:val="32"/>
          <w:highlight w:val="none"/>
          <w:u w:val="none"/>
          <w:lang w:val="en-US" w:eastAsia="zh-CN"/>
        </w:rPr>
      </w:pPr>
      <w:r>
        <w:rPr>
          <w:rFonts w:hint="eastAsia" w:hAnsi="宋体" w:cs="Courier New"/>
          <w:color w:val="auto"/>
          <w:sz w:val="32"/>
          <w:szCs w:val="32"/>
          <w:highlight w:val="none"/>
          <w:u w:val="none"/>
          <w:lang w:val="en-US" w:eastAsia="zh-CN"/>
        </w:rPr>
        <w:t>委托代理编号：</w:t>
      </w:r>
      <w:r>
        <w:rPr>
          <w:rFonts w:hint="eastAsia" w:hAnsi="宋体" w:cs="宋体"/>
          <w:color w:val="auto"/>
          <w:sz w:val="32"/>
          <w:szCs w:val="32"/>
          <w:highlight w:val="none"/>
          <w:u w:val="none"/>
          <w:lang w:eastAsia="zh-CN"/>
        </w:rPr>
        <w:t>cjcg26-011</w:t>
      </w:r>
    </w:p>
    <w:p w14:paraId="01EED562">
      <w:pPr>
        <w:pStyle w:val="12"/>
        <w:adjustRightInd w:val="0"/>
        <w:snapToGrid w:val="0"/>
        <w:spacing w:before="156" w:beforeLines="50" w:line="360" w:lineRule="auto"/>
        <w:ind w:firstLine="944" w:firstLineChars="295"/>
        <w:rPr>
          <w:rFonts w:hint="eastAsia" w:hAnsi="宋体"/>
          <w:color w:val="auto"/>
          <w:sz w:val="32"/>
          <w:szCs w:val="32"/>
          <w:highlight w:val="none"/>
          <w:u w:val="none"/>
          <w:lang w:eastAsia="zh-CN"/>
        </w:rPr>
      </w:pPr>
      <w:r>
        <w:rPr>
          <w:rFonts w:hint="eastAsia" w:hAnsi="宋体"/>
          <w:color w:val="auto"/>
          <w:sz w:val="32"/>
          <w:szCs w:val="32"/>
          <w:highlight w:val="none"/>
          <w:u w:val="none"/>
        </w:rPr>
        <w:t>采购代理机构</w:t>
      </w:r>
      <w:r>
        <w:rPr>
          <w:rFonts w:hint="eastAsia" w:hAnsi="宋体"/>
          <w:b/>
          <w:bCs/>
          <w:color w:val="auto"/>
          <w:sz w:val="32"/>
          <w:szCs w:val="32"/>
          <w:highlight w:val="none"/>
          <w:u w:val="none"/>
        </w:rPr>
        <w:t xml:space="preserve">: </w:t>
      </w:r>
      <w:r>
        <w:rPr>
          <w:rFonts w:hint="eastAsia" w:hAnsi="宋体"/>
          <w:color w:val="auto"/>
          <w:sz w:val="32"/>
          <w:szCs w:val="32"/>
          <w:highlight w:val="none"/>
          <w:u w:val="none"/>
          <w:lang w:eastAsia="zh-CN"/>
        </w:rPr>
        <w:t>长沙工程建设项目管理有限责任公司</w:t>
      </w:r>
    </w:p>
    <w:p w14:paraId="6B2DF614">
      <w:pPr>
        <w:pStyle w:val="12"/>
        <w:adjustRightInd w:val="0"/>
        <w:snapToGrid w:val="0"/>
        <w:spacing w:beforeLines="50" w:line="360" w:lineRule="auto"/>
        <w:ind w:firstLine="0" w:firstLineChars="0"/>
        <w:rPr>
          <w:b/>
          <w:color w:val="auto"/>
          <w:sz w:val="32"/>
          <w:szCs w:val="32"/>
          <w:highlight w:val="none"/>
        </w:rPr>
      </w:pPr>
    </w:p>
    <w:p w14:paraId="48BEEE58">
      <w:pPr>
        <w:pStyle w:val="12"/>
        <w:adjustRightInd w:val="0"/>
        <w:snapToGrid w:val="0"/>
        <w:spacing w:line="360" w:lineRule="auto"/>
        <w:jc w:val="both"/>
        <w:rPr>
          <w:rFonts w:ascii="仿宋_GB2312" w:hAnsi="宋体" w:eastAsia="仿宋_GB2312"/>
          <w:b/>
          <w:color w:val="auto"/>
          <w:sz w:val="32"/>
          <w:highlight w:val="none"/>
        </w:rPr>
      </w:pPr>
    </w:p>
    <w:p w14:paraId="368658A7">
      <w:pPr>
        <w:pStyle w:val="12"/>
        <w:adjustRightInd w:val="0"/>
        <w:snapToGrid w:val="0"/>
        <w:spacing w:line="360" w:lineRule="auto"/>
        <w:jc w:val="center"/>
        <w:rPr>
          <w:rFonts w:hint="eastAsia" w:hAnsi="宋体" w:eastAsia="宋体"/>
          <w:b/>
          <w:color w:val="auto"/>
          <w:sz w:val="32"/>
          <w:highlight w:val="none"/>
          <w:lang w:eastAsia="zh-CN"/>
        </w:rPr>
      </w:pPr>
      <w:r>
        <w:rPr>
          <w:rFonts w:hint="eastAsia" w:hAnsi="宋体"/>
          <w:b/>
          <w:color w:val="auto"/>
          <w:sz w:val="32"/>
          <w:highlight w:val="none"/>
          <w:u w:val="single"/>
          <w:lang w:eastAsia="zh-CN"/>
        </w:rPr>
        <w:t>2026年 0</w:t>
      </w:r>
      <w:r>
        <w:rPr>
          <w:rFonts w:hint="eastAsia" w:hAnsi="宋体"/>
          <w:b/>
          <w:color w:val="auto"/>
          <w:sz w:val="32"/>
          <w:highlight w:val="none"/>
          <w:u w:val="single"/>
          <w:lang w:val="en-US" w:eastAsia="zh-CN"/>
        </w:rPr>
        <w:t>7</w:t>
      </w:r>
      <w:r>
        <w:rPr>
          <w:rFonts w:hint="eastAsia" w:hAnsi="宋体"/>
          <w:b/>
          <w:color w:val="auto"/>
          <w:sz w:val="32"/>
          <w:highlight w:val="none"/>
          <w:u w:val="single"/>
          <w:lang w:eastAsia="zh-CN"/>
        </w:rPr>
        <w:t>月</w:t>
      </w:r>
    </w:p>
    <w:p w14:paraId="79854CCE">
      <w:pPr>
        <w:pStyle w:val="12"/>
        <w:adjustRightInd w:val="0"/>
        <w:snapToGrid w:val="0"/>
        <w:spacing w:line="360" w:lineRule="auto"/>
        <w:jc w:val="center"/>
        <w:rPr>
          <w:rFonts w:ascii="方正小标宋_GBK" w:hAnsi="宋体" w:eastAsia="方正小标宋_GBK"/>
          <w:color w:val="auto"/>
          <w:spacing w:val="160"/>
          <w:sz w:val="36"/>
          <w:szCs w:val="36"/>
          <w:highlight w:val="none"/>
        </w:rPr>
      </w:pPr>
      <w:r>
        <w:rPr>
          <w:rFonts w:hint="eastAsia" w:ascii="方正小标宋_GBK" w:hAnsi="宋体" w:eastAsia="方正小标宋_GBK"/>
          <w:color w:val="auto"/>
          <w:spacing w:val="160"/>
          <w:sz w:val="36"/>
          <w:szCs w:val="36"/>
          <w:highlight w:val="none"/>
        </w:rPr>
        <w:br w:type="page"/>
      </w:r>
      <w:r>
        <w:rPr>
          <w:rFonts w:hint="eastAsia" w:ascii="方正小标宋_GBK" w:hAnsi="宋体" w:eastAsia="方正小标宋_GBK"/>
          <w:color w:val="auto"/>
          <w:spacing w:val="160"/>
          <w:sz w:val="36"/>
          <w:szCs w:val="36"/>
          <w:highlight w:val="none"/>
        </w:rPr>
        <w:t>目录</w:t>
      </w:r>
    </w:p>
    <w:p w14:paraId="6FF7C72E">
      <w:pPr>
        <w:pStyle w:val="12"/>
        <w:adjustRightInd w:val="0"/>
        <w:snapToGrid w:val="0"/>
        <w:spacing w:line="360" w:lineRule="auto"/>
        <w:rPr>
          <w:rFonts w:hAnsi="宋体"/>
          <w:b/>
          <w:color w:val="auto"/>
          <w:sz w:val="24"/>
          <w:szCs w:val="24"/>
          <w:highlight w:val="none"/>
        </w:rPr>
      </w:pPr>
    </w:p>
    <w:p w14:paraId="2F9D9C4C">
      <w:pPr>
        <w:pStyle w:val="12"/>
        <w:adjustRightInd w:val="0"/>
        <w:snapToGrid w:val="0"/>
        <w:spacing w:line="360" w:lineRule="auto"/>
        <w:outlineLvl w:val="0"/>
        <w:rPr>
          <w:rFonts w:hAnsi="宋体"/>
          <w:b/>
          <w:color w:val="auto"/>
          <w:sz w:val="24"/>
          <w:szCs w:val="24"/>
          <w:highlight w:val="none"/>
        </w:rPr>
      </w:pPr>
      <w:bookmarkStart w:id="0" w:name="_Toc1561660915"/>
      <w:r>
        <w:rPr>
          <w:rFonts w:hint="eastAsia" w:hAnsi="宋体"/>
          <w:b/>
          <w:color w:val="auto"/>
          <w:sz w:val="24"/>
          <w:szCs w:val="24"/>
          <w:highlight w:val="none"/>
        </w:rPr>
        <w:t>第一章  磋商邀请</w:t>
      </w:r>
      <w:bookmarkEnd w:id="0"/>
    </w:p>
    <w:p w14:paraId="7DDAC7D0">
      <w:pPr>
        <w:pStyle w:val="12"/>
        <w:adjustRightInd w:val="0"/>
        <w:snapToGrid w:val="0"/>
        <w:spacing w:line="360" w:lineRule="auto"/>
        <w:outlineLvl w:val="0"/>
        <w:rPr>
          <w:rFonts w:hAnsi="宋体"/>
          <w:b/>
          <w:color w:val="auto"/>
          <w:sz w:val="24"/>
          <w:szCs w:val="24"/>
          <w:highlight w:val="none"/>
        </w:rPr>
      </w:pPr>
      <w:bookmarkStart w:id="1" w:name="_Toc289864771"/>
      <w:r>
        <w:rPr>
          <w:rFonts w:hint="eastAsia" w:hAnsi="宋体"/>
          <w:b/>
          <w:color w:val="auto"/>
          <w:sz w:val="24"/>
          <w:szCs w:val="24"/>
          <w:highlight w:val="none"/>
        </w:rPr>
        <w:t>第二章  磋商须知</w:t>
      </w:r>
      <w:bookmarkEnd w:id="1"/>
    </w:p>
    <w:p w14:paraId="5576F889">
      <w:pPr>
        <w:tabs>
          <w:tab w:val="left" w:pos="1440"/>
        </w:tabs>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磋商须知前附表</w:t>
      </w:r>
    </w:p>
    <w:p w14:paraId="2FBB2FC1">
      <w:pPr>
        <w:tabs>
          <w:tab w:val="left" w:pos="1440"/>
        </w:tabs>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磋商须知正文</w:t>
      </w:r>
    </w:p>
    <w:p w14:paraId="1B96F077">
      <w:pPr>
        <w:tabs>
          <w:tab w:val="left" w:pos="1440"/>
        </w:tabs>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一、说明</w:t>
      </w:r>
    </w:p>
    <w:p w14:paraId="594FE690">
      <w:pPr>
        <w:tabs>
          <w:tab w:val="left" w:pos="1440"/>
        </w:tabs>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二、</w:t>
      </w:r>
      <w:r>
        <w:rPr>
          <w:rFonts w:hint="eastAsia" w:ascii="宋体" w:hAnsi="宋体"/>
          <w:bCs/>
          <w:color w:val="auto"/>
          <w:sz w:val="24"/>
          <w:highlight w:val="none"/>
        </w:rPr>
        <w:t>磋商</w:t>
      </w:r>
      <w:r>
        <w:rPr>
          <w:rFonts w:hint="eastAsia" w:ascii="宋体" w:hAnsi="宋体"/>
          <w:color w:val="auto"/>
          <w:sz w:val="24"/>
          <w:highlight w:val="none"/>
        </w:rPr>
        <w:t>文件</w:t>
      </w:r>
    </w:p>
    <w:p w14:paraId="2A8AD73E">
      <w:pPr>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三、响应文件</w:t>
      </w:r>
    </w:p>
    <w:p w14:paraId="4EF69264">
      <w:pPr>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四、响应文件的递交</w:t>
      </w:r>
    </w:p>
    <w:p w14:paraId="41E0830D">
      <w:pPr>
        <w:adjustRightInd w:val="0"/>
        <w:snapToGrid w:val="0"/>
        <w:spacing w:line="360" w:lineRule="auto"/>
        <w:ind w:firstLine="720" w:firstLineChars="300"/>
        <w:rPr>
          <w:rFonts w:ascii="宋体" w:hAnsi="宋体"/>
          <w:bCs/>
          <w:color w:val="auto"/>
          <w:sz w:val="24"/>
          <w:highlight w:val="none"/>
        </w:rPr>
      </w:pPr>
      <w:r>
        <w:rPr>
          <w:rFonts w:hint="eastAsia" w:ascii="宋体" w:hAnsi="宋体"/>
          <w:bCs/>
          <w:color w:val="auto"/>
          <w:sz w:val="24"/>
          <w:highlight w:val="none"/>
        </w:rPr>
        <w:t>五、</w:t>
      </w:r>
      <w:r>
        <w:rPr>
          <w:rFonts w:hint="eastAsia" w:ascii="宋体" w:hAnsi="宋体"/>
          <w:color w:val="auto"/>
          <w:sz w:val="24"/>
          <w:highlight w:val="none"/>
        </w:rPr>
        <w:t>响应文件</w:t>
      </w:r>
      <w:r>
        <w:rPr>
          <w:rFonts w:hint="eastAsia" w:ascii="宋体" w:hAnsi="宋体"/>
          <w:bCs/>
          <w:color w:val="auto"/>
          <w:sz w:val="24"/>
          <w:highlight w:val="none"/>
        </w:rPr>
        <w:t>的</w:t>
      </w:r>
      <w:r>
        <w:rPr>
          <w:rFonts w:hint="eastAsia" w:ascii="宋体" w:hAnsi="宋体"/>
          <w:color w:val="auto"/>
          <w:sz w:val="24"/>
          <w:highlight w:val="none"/>
        </w:rPr>
        <w:t>磋商与评审</w:t>
      </w:r>
    </w:p>
    <w:p w14:paraId="0D2FA283">
      <w:pPr>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六、成交结果信息公布与授予合同</w:t>
      </w:r>
    </w:p>
    <w:p w14:paraId="76BAB094">
      <w:pPr>
        <w:adjustRightInd w:val="0"/>
        <w:snapToGrid w:val="0"/>
        <w:spacing w:line="360" w:lineRule="auto"/>
        <w:ind w:firstLine="720" w:firstLineChars="300"/>
        <w:jc w:val="left"/>
        <w:rPr>
          <w:rFonts w:ascii="宋体" w:hAnsi="宋体"/>
          <w:color w:val="auto"/>
          <w:sz w:val="24"/>
          <w:highlight w:val="none"/>
        </w:rPr>
      </w:pPr>
      <w:r>
        <w:rPr>
          <w:rFonts w:hint="eastAsia" w:ascii="宋体" w:hAnsi="宋体"/>
          <w:color w:val="auto"/>
          <w:sz w:val="24"/>
          <w:highlight w:val="none"/>
        </w:rPr>
        <w:t>七、其他规定</w:t>
      </w:r>
    </w:p>
    <w:p w14:paraId="6A475C81">
      <w:pPr>
        <w:adjustRightInd w:val="0"/>
        <w:snapToGrid w:val="0"/>
        <w:spacing w:line="360" w:lineRule="auto"/>
        <w:outlineLvl w:val="0"/>
        <w:rPr>
          <w:rFonts w:ascii="宋体" w:hAnsi="宋体"/>
          <w:b/>
          <w:color w:val="auto"/>
          <w:sz w:val="24"/>
          <w:highlight w:val="none"/>
        </w:rPr>
      </w:pPr>
      <w:bookmarkStart w:id="2" w:name="_Toc1264294801"/>
      <w:r>
        <w:rPr>
          <w:rFonts w:hint="eastAsia" w:ascii="宋体" w:hAnsi="宋体"/>
          <w:b/>
          <w:color w:val="auto"/>
          <w:sz w:val="24"/>
          <w:highlight w:val="none"/>
        </w:rPr>
        <w:t>第三章  政府采购合同格式</w:t>
      </w:r>
      <w:bookmarkEnd w:id="2"/>
    </w:p>
    <w:p w14:paraId="47F3E58A">
      <w:pPr>
        <w:tabs>
          <w:tab w:val="left" w:pos="1440"/>
        </w:tabs>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一、政府采购合同协议书</w:t>
      </w:r>
    </w:p>
    <w:p w14:paraId="172E54AD">
      <w:pPr>
        <w:tabs>
          <w:tab w:val="left" w:pos="1440"/>
        </w:tabs>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二、</w:t>
      </w:r>
      <w:r>
        <w:rPr>
          <w:rFonts w:hint="eastAsia" w:ascii="宋体" w:hAnsi="宋体"/>
          <w:bCs/>
          <w:color w:val="auto"/>
          <w:sz w:val="24"/>
          <w:highlight w:val="none"/>
        </w:rPr>
        <w:t>政府采购合同通用条款</w:t>
      </w:r>
    </w:p>
    <w:p w14:paraId="68D67A34">
      <w:pPr>
        <w:adjustRightInd w:val="0"/>
        <w:snapToGrid w:val="0"/>
        <w:spacing w:line="360" w:lineRule="auto"/>
        <w:ind w:firstLine="720" w:firstLineChars="300"/>
        <w:rPr>
          <w:rFonts w:ascii="宋体" w:hAnsi="宋体"/>
          <w:b/>
          <w:color w:val="auto"/>
          <w:sz w:val="24"/>
          <w:highlight w:val="none"/>
        </w:rPr>
      </w:pPr>
      <w:r>
        <w:rPr>
          <w:rFonts w:hint="eastAsia" w:ascii="宋体" w:hAnsi="宋体"/>
          <w:color w:val="auto"/>
          <w:sz w:val="24"/>
          <w:highlight w:val="none"/>
        </w:rPr>
        <w:t>三、政府采购合同专用条款</w:t>
      </w:r>
    </w:p>
    <w:p w14:paraId="7D36400C">
      <w:pPr>
        <w:adjustRightInd w:val="0"/>
        <w:snapToGrid w:val="0"/>
        <w:spacing w:line="360" w:lineRule="auto"/>
        <w:outlineLvl w:val="0"/>
        <w:rPr>
          <w:rFonts w:ascii="宋体" w:hAnsi="宋体"/>
          <w:b/>
          <w:color w:val="auto"/>
          <w:sz w:val="24"/>
          <w:highlight w:val="none"/>
        </w:rPr>
      </w:pPr>
      <w:bookmarkStart w:id="3" w:name="_Toc1799516989"/>
      <w:r>
        <w:rPr>
          <w:rFonts w:hint="eastAsia" w:ascii="宋体" w:hAnsi="宋体"/>
          <w:b/>
          <w:color w:val="auto"/>
          <w:sz w:val="24"/>
          <w:highlight w:val="none"/>
        </w:rPr>
        <w:t xml:space="preserve">第四章  </w:t>
      </w:r>
      <w:r>
        <w:rPr>
          <w:rFonts w:hint="eastAsia" w:hAnsi="宋体"/>
          <w:b/>
          <w:color w:val="auto"/>
          <w:sz w:val="24"/>
          <w:highlight w:val="none"/>
        </w:rPr>
        <w:t>采购需求</w:t>
      </w:r>
      <w:bookmarkEnd w:id="3"/>
    </w:p>
    <w:p w14:paraId="1B5C88F7">
      <w:pPr>
        <w:pStyle w:val="12"/>
        <w:adjustRightInd w:val="0"/>
        <w:snapToGrid w:val="0"/>
        <w:spacing w:line="360" w:lineRule="auto"/>
        <w:outlineLvl w:val="0"/>
        <w:rPr>
          <w:rFonts w:hAnsi="宋体"/>
          <w:b/>
          <w:color w:val="auto"/>
          <w:sz w:val="24"/>
          <w:szCs w:val="24"/>
          <w:highlight w:val="none"/>
        </w:rPr>
      </w:pPr>
      <w:bookmarkStart w:id="4" w:name="_Toc1469833422"/>
      <w:r>
        <w:rPr>
          <w:rFonts w:hint="eastAsia" w:hAnsi="宋体"/>
          <w:b/>
          <w:color w:val="auto"/>
          <w:sz w:val="24"/>
          <w:szCs w:val="24"/>
          <w:highlight w:val="none"/>
        </w:rPr>
        <w:t xml:space="preserve">第五章  </w:t>
      </w:r>
      <w:r>
        <w:rPr>
          <w:rFonts w:hint="eastAsia" w:hAnsi="宋体"/>
          <w:b/>
          <w:color w:val="auto"/>
          <w:sz w:val="24"/>
          <w:highlight w:val="none"/>
        </w:rPr>
        <w:t>响应文件组成</w:t>
      </w:r>
      <w:bookmarkEnd w:id="4"/>
    </w:p>
    <w:p w14:paraId="6A9AA111">
      <w:pPr>
        <w:spacing w:line="360" w:lineRule="exact"/>
        <w:rPr>
          <w:rFonts w:ascii="黑体" w:eastAsia="黑体"/>
          <w:b/>
          <w:color w:val="auto"/>
          <w:sz w:val="24"/>
          <w:highlight w:val="none"/>
        </w:rPr>
      </w:pPr>
    </w:p>
    <w:p w14:paraId="57C5EC9E">
      <w:pPr>
        <w:spacing w:line="360" w:lineRule="exact"/>
        <w:rPr>
          <w:rFonts w:ascii="黑体" w:eastAsia="黑体"/>
          <w:b/>
          <w:color w:val="auto"/>
          <w:sz w:val="24"/>
          <w:highlight w:val="none"/>
        </w:rPr>
      </w:pPr>
    </w:p>
    <w:p w14:paraId="19B98D96">
      <w:pPr>
        <w:spacing w:line="360" w:lineRule="exact"/>
        <w:rPr>
          <w:rFonts w:ascii="黑体" w:eastAsia="黑体"/>
          <w:b/>
          <w:color w:val="auto"/>
          <w:sz w:val="24"/>
          <w:highlight w:val="none"/>
        </w:rPr>
      </w:pPr>
    </w:p>
    <w:p w14:paraId="06B1F41F">
      <w:pPr>
        <w:spacing w:line="360" w:lineRule="exact"/>
        <w:rPr>
          <w:rFonts w:ascii="黑体" w:eastAsia="黑体"/>
          <w:b/>
          <w:color w:val="auto"/>
          <w:sz w:val="24"/>
          <w:highlight w:val="none"/>
        </w:rPr>
      </w:pPr>
    </w:p>
    <w:p w14:paraId="4A9419C3">
      <w:pPr>
        <w:spacing w:line="360" w:lineRule="exact"/>
        <w:rPr>
          <w:rFonts w:ascii="黑体" w:eastAsia="黑体"/>
          <w:b/>
          <w:color w:val="auto"/>
          <w:sz w:val="24"/>
          <w:highlight w:val="none"/>
        </w:rPr>
      </w:pPr>
    </w:p>
    <w:p w14:paraId="350D7ADE">
      <w:pPr>
        <w:jc w:val="center"/>
        <w:rPr>
          <w:rFonts w:ascii="黑体" w:hAnsi="宋体" w:eastAsia="黑体"/>
          <w:color w:val="auto"/>
          <w:sz w:val="32"/>
          <w:szCs w:val="32"/>
          <w:highlight w:val="none"/>
        </w:rPr>
      </w:pPr>
    </w:p>
    <w:p w14:paraId="3FD3ADC8">
      <w:pPr>
        <w:jc w:val="center"/>
        <w:rPr>
          <w:rFonts w:ascii="黑体" w:hAnsi="宋体" w:eastAsia="黑体"/>
          <w:color w:val="auto"/>
          <w:sz w:val="32"/>
          <w:szCs w:val="32"/>
          <w:highlight w:val="none"/>
        </w:rPr>
      </w:pPr>
    </w:p>
    <w:p w14:paraId="33404E78">
      <w:pPr>
        <w:jc w:val="center"/>
        <w:rPr>
          <w:rFonts w:ascii="黑体" w:hAnsi="宋体" w:eastAsia="黑体"/>
          <w:color w:val="auto"/>
          <w:sz w:val="32"/>
          <w:szCs w:val="32"/>
          <w:highlight w:val="none"/>
        </w:rPr>
      </w:pPr>
    </w:p>
    <w:p w14:paraId="16BB0579">
      <w:pPr>
        <w:spacing w:line="440" w:lineRule="exact"/>
        <w:jc w:val="center"/>
        <w:outlineLvl w:val="0"/>
        <w:rPr>
          <w:rFonts w:ascii="宋体" w:hAnsi="宋体" w:cs="宋体"/>
          <w:color w:val="auto"/>
          <w:kern w:val="0"/>
          <w:szCs w:val="21"/>
          <w:highlight w:val="none"/>
        </w:rPr>
      </w:pPr>
      <w:r>
        <w:rPr>
          <w:rFonts w:hint="eastAsia" w:ascii="黑体" w:hAnsi="宋体" w:eastAsia="黑体"/>
          <w:b/>
          <w:color w:val="auto"/>
          <w:sz w:val="32"/>
          <w:szCs w:val="32"/>
          <w:highlight w:val="none"/>
        </w:rPr>
        <w:br w:type="page"/>
      </w:r>
      <w:bookmarkStart w:id="5" w:name="_Toc985932113"/>
      <w:r>
        <w:rPr>
          <w:rFonts w:hint="eastAsia" w:ascii="黑体" w:hAnsi="宋体" w:eastAsia="黑体"/>
          <w:b/>
          <w:color w:val="auto"/>
          <w:sz w:val="32"/>
          <w:szCs w:val="32"/>
          <w:highlight w:val="none"/>
        </w:rPr>
        <w:t>第一章  磋商邀请</w:t>
      </w:r>
      <w:bookmarkEnd w:id="5"/>
    </w:p>
    <w:p w14:paraId="568A92BB">
      <w:pPr>
        <w:pStyle w:val="19"/>
        <w:spacing w:before="0" w:beforeAutospacing="0" w:after="0" w:afterAutospacing="0" w:line="440" w:lineRule="exact"/>
        <w:ind w:firstLine="420" w:firstLineChars="200"/>
        <w:rPr>
          <w:color w:val="auto"/>
          <w:sz w:val="21"/>
          <w:szCs w:val="21"/>
          <w:highlight w:val="none"/>
          <w:u w:val="single"/>
        </w:rPr>
      </w:pPr>
      <w:r>
        <w:rPr>
          <w:rFonts w:hint="eastAsia"/>
          <w:color w:val="auto"/>
          <w:sz w:val="21"/>
          <w:szCs w:val="21"/>
          <w:highlight w:val="none"/>
          <w:u w:val="single"/>
        </w:rPr>
        <w:t xml:space="preserve"> 湖南省公路事务中心</w:t>
      </w:r>
      <w:r>
        <w:rPr>
          <w:rFonts w:hint="eastAsia"/>
          <w:color w:val="auto"/>
          <w:sz w:val="21"/>
          <w:szCs w:val="21"/>
          <w:highlight w:val="none"/>
          <w:lang w:eastAsia="zh-CN"/>
        </w:rPr>
        <w:t>的</w:t>
      </w:r>
      <w:r>
        <w:rPr>
          <w:rFonts w:hint="eastAsia"/>
          <w:color w:val="auto"/>
          <w:sz w:val="21"/>
          <w:szCs w:val="21"/>
          <w:highlight w:val="none"/>
          <w:u w:val="single"/>
          <w:lang w:eastAsia="zh-CN"/>
        </w:rPr>
        <w:t>2026年湖南省国省干线公路重点桥隧监测项目</w:t>
      </w:r>
      <w:r>
        <w:rPr>
          <w:rFonts w:hint="eastAsia"/>
          <w:color w:val="auto"/>
          <w:sz w:val="21"/>
          <w:szCs w:val="21"/>
          <w:highlight w:val="none"/>
          <w:u w:val="single"/>
        </w:rPr>
        <w:t xml:space="preserve"> </w:t>
      </w:r>
      <w:r>
        <w:rPr>
          <w:rFonts w:hint="eastAsia"/>
          <w:color w:val="auto"/>
          <w:sz w:val="21"/>
          <w:szCs w:val="21"/>
          <w:highlight w:val="none"/>
        </w:rPr>
        <w:t>进行竞争性磋商采购，现采用发布公告的方式，邀请符合资格条件的供应商参与竞争性磋商采购活动。</w:t>
      </w:r>
    </w:p>
    <w:p w14:paraId="46B65AFA">
      <w:pPr>
        <w:adjustRightInd w:val="0"/>
        <w:snapToGrid w:val="0"/>
        <w:spacing w:line="440" w:lineRule="exact"/>
        <w:outlineLvl w:val="1"/>
        <w:rPr>
          <w:rFonts w:ascii="宋体" w:hAnsi="宋体"/>
          <w:b/>
          <w:color w:val="auto"/>
          <w:szCs w:val="21"/>
          <w:highlight w:val="none"/>
        </w:rPr>
      </w:pPr>
      <w:bookmarkStart w:id="6" w:name="_Toc577202939"/>
      <w:r>
        <w:rPr>
          <w:rFonts w:hint="eastAsia" w:ascii="宋体" w:hAnsi="宋体"/>
          <w:b/>
          <w:color w:val="auto"/>
          <w:szCs w:val="21"/>
          <w:highlight w:val="none"/>
        </w:rPr>
        <w:t>一、采购项目基本概况</w:t>
      </w:r>
      <w:bookmarkEnd w:id="6"/>
    </w:p>
    <w:p w14:paraId="13C3FC0D">
      <w:pPr>
        <w:adjustRightInd w:val="0"/>
        <w:snapToGrid w:val="0"/>
        <w:spacing w:line="440" w:lineRule="exact"/>
        <w:ind w:firstLine="525" w:firstLineChars="250"/>
        <w:rPr>
          <w:rFonts w:hint="eastAsia" w:ascii="宋体" w:hAnsi="宋体"/>
          <w:color w:val="auto"/>
          <w:szCs w:val="21"/>
          <w:highlight w:val="none"/>
        </w:rPr>
      </w:pPr>
      <w:r>
        <w:rPr>
          <w:rFonts w:hint="eastAsia" w:ascii="宋体" w:hAnsi="宋体"/>
          <w:color w:val="auto"/>
          <w:szCs w:val="21"/>
          <w:highlight w:val="none"/>
        </w:rPr>
        <w:t>1、采购项目名称：</w:t>
      </w:r>
      <w:r>
        <w:rPr>
          <w:rFonts w:hint="eastAsia" w:ascii="宋体" w:hAnsi="宋体"/>
          <w:color w:val="auto"/>
          <w:szCs w:val="21"/>
          <w:highlight w:val="none"/>
          <w:u w:val="single"/>
          <w:lang w:eastAsia="zh-CN"/>
        </w:rPr>
        <w:t>2026年湖南省国省干线公路重点桥隧监测项目</w:t>
      </w:r>
      <w:r>
        <w:rPr>
          <w:rFonts w:hint="eastAsia" w:ascii="宋体" w:hAnsi="宋体"/>
          <w:color w:val="auto"/>
          <w:szCs w:val="21"/>
          <w:highlight w:val="none"/>
        </w:rPr>
        <w:t xml:space="preserve">   </w:t>
      </w:r>
    </w:p>
    <w:p w14:paraId="71AD6E6C">
      <w:pPr>
        <w:adjustRightInd w:val="0"/>
        <w:snapToGrid w:val="0"/>
        <w:spacing w:line="440" w:lineRule="exact"/>
        <w:ind w:firstLine="525" w:firstLineChars="250"/>
        <w:rPr>
          <w:rFonts w:hint="default" w:ascii="宋体" w:hAnsi="宋体" w:eastAsia="宋体" w:cs="Times New Roman"/>
          <w:color w:val="auto"/>
          <w:szCs w:val="21"/>
          <w:highlight w:val="yellow"/>
          <w:lang w:val="en-US" w:eastAsia="zh-CN"/>
        </w:rPr>
      </w:pPr>
      <w:r>
        <w:rPr>
          <w:rFonts w:hint="eastAsia" w:ascii="宋体" w:hAnsi="宋体" w:eastAsia="宋体" w:cs="Times New Roman"/>
          <w:color w:val="auto"/>
          <w:szCs w:val="21"/>
          <w:highlight w:val="none"/>
          <w:lang w:val="en-US" w:eastAsia="zh-CN"/>
        </w:rPr>
        <w:t xml:space="preserve">2、政府采购计划编号: </w:t>
      </w:r>
      <w:r>
        <w:rPr>
          <w:rFonts w:hint="eastAsia" w:ascii="宋体" w:hAnsi="宋体" w:eastAsia="宋体"/>
          <w:color w:val="auto"/>
          <w:szCs w:val="21"/>
          <w:highlight w:val="none"/>
          <w:u w:val="single"/>
          <w:lang w:eastAsia="zh-CN"/>
        </w:rPr>
        <w:t>(2026)430000000313-1</w:t>
      </w:r>
    </w:p>
    <w:p w14:paraId="662234FD">
      <w:pPr>
        <w:adjustRightInd w:val="0"/>
        <w:snapToGrid w:val="0"/>
        <w:spacing w:line="440" w:lineRule="exact"/>
        <w:ind w:firstLine="525" w:firstLineChars="250"/>
        <w:rPr>
          <w:rFonts w:hint="eastAsia" w:ascii="宋体" w:hAnsi="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3、</w:t>
      </w:r>
      <w:r>
        <w:rPr>
          <w:rFonts w:hint="eastAsia" w:ascii="宋体" w:hAnsi="宋体" w:cs="Times New Roman"/>
          <w:color w:val="auto"/>
          <w:szCs w:val="21"/>
          <w:highlight w:val="none"/>
          <w:lang w:val="en-US" w:eastAsia="zh-CN"/>
        </w:rPr>
        <w:t>采购项目编号：</w:t>
      </w:r>
      <w:r>
        <w:rPr>
          <w:rFonts w:hint="eastAsia" w:ascii="宋体" w:hAnsi="宋体" w:cs="Times New Roman"/>
          <w:color w:val="auto"/>
          <w:szCs w:val="21"/>
          <w:highlight w:val="none"/>
          <w:u w:val="single"/>
          <w:lang w:val="en-US" w:eastAsia="zh-CN"/>
        </w:rPr>
        <w:t xml:space="preserve">CGXM2026430000000505 </w:t>
      </w:r>
      <w:r>
        <w:rPr>
          <w:rFonts w:hint="eastAsia" w:ascii="宋体" w:hAnsi="宋体" w:cs="Times New Roman"/>
          <w:color w:val="auto"/>
          <w:szCs w:val="21"/>
          <w:highlight w:val="none"/>
          <w:lang w:val="en-US" w:eastAsia="zh-CN"/>
        </w:rPr>
        <w:t xml:space="preserve">       </w:t>
      </w:r>
    </w:p>
    <w:p w14:paraId="0D4C6581">
      <w:pPr>
        <w:adjustRightInd w:val="0"/>
        <w:snapToGrid w:val="0"/>
        <w:spacing w:line="440" w:lineRule="exact"/>
        <w:ind w:firstLine="525" w:firstLineChars="250"/>
        <w:rPr>
          <w:rFonts w:hint="eastAsia" w:ascii="宋体" w:hAnsi="宋体" w:cs="Times New Roman"/>
          <w:color w:val="auto"/>
          <w:szCs w:val="21"/>
          <w:highlight w:val="none"/>
          <w:lang w:eastAsia="zh-CN"/>
        </w:rPr>
      </w:pPr>
      <w:r>
        <w:rPr>
          <w:rFonts w:hint="eastAsia" w:ascii="宋体" w:hAnsi="宋体" w:cs="Times New Roman"/>
          <w:color w:val="auto"/>
          <w:szCs w:val="21"/>
          <w:highlight w:val="none"/>
          <w:lang w:val="en-US" w:eastAsia="zh-CN"/>
        </w:rPr>
        <w:t>4</w:t>
      </w:r>
      <w:r>
        <w:rPr>
          <w:rFonts w:hint="eastAsia" w:ascii="宋体" w:hAnsi="宋体" w:cs="Times New Roman"/>
          <w:color w:val="auto"/>
          <w:szCs w:val="21"/>
          <w:highlight w:val="none"/>
        </w:rPr>
        <w:t>、委托代理编号：</w:t>
      </w:r>
      <w:r>
        <w:rPr>
          <w:rFonts w:hint="eastAsia" w:ascii="宋体" w:hAnsi="宋体" w:cs="Times New Roman"/>
          <w:color w:val="auto"/>
          <w:szCs w:val="21"/>
          <w:highlight w:val="none"/>
          <w:u w:val="single"/>
          <w:lang w:eastAsia="zh-CN"/>
        </w:rPr>
        <w:t>cjcg26-011</w:t>
      </w:r>
    </w:p>
    <w:p w14:paraId="04C44C10">
      <w:pPr>
        <w:adjustRightInd w:val="0"/>
        <w:snapToGrid w:val="0"/>
        <w:spacing w:line="440" w:lineRule="exact"/>
        <w:ind w:firstLine="525" w:firstLineChars="250"/>
        <w:rPr>
          <w:rFonts w:hint="eastAsia" w:ascii="宋体" w:hAnsi="宋体" w:cs="Times New Roman"/>
          <w:color w:val="auto"/>
          <w:szCs w:val="21"/>
          <w:highlight w:val="none"/>
          <w:u w:val="single"/>
          <w:lang w:eastAsia="zh-CN"/>
        </w:rPr>
      </w:pPr>
      <w:r>
        <w:rPr>
          <w:rFonts w:hint="eastAsia" w:ascii="宋体" w:hAnsi="宋体" w:cs="Times New Roman"/>
          <w:color w:val="auto"/>
          <w:szCs w:val="21"/>
          <w:highlight w:val="none"/>
          <w:lang w:val="en-US" w:eastAsia="zh-CN"/>
        </w:rPr>
        <w:t>5</w:t>
      </w:r>
      <w:r>
        <w:rPr>
          <w:rFonts w:hint="eastAsia" w:ascii="宋体" w:hAnsi="宋体" w:cs="Times New Roman"/>
          <w:color w:val="auto"/>
          <w:szCs w:val="21"/>
          <w:highlight w:val="none"/>
        </w:rPr>
        <w:t>、采购项目预算：</w:t>
      </w:r>
      <w:r>
        <w:rPr>
          <w:rFonts w:hint="eastAsia" w:ascii="宋体" w:hAnsi="宋体" w:cs="Times New Roman"/>
          <w:color w:val="auto"/>
          <w:szCs w:val="21"/>
          <w:highlight w:val="none"/>
          <w:u w:val="single"/>
          <w:lang w:eastAsia="zh-CN"/>
        </w:rPr>
        <w:t>1796500.00元，</w:t>
      </w:r>
      <w:r>
        <w:rPr>
          <w:rFonts w:hint="eastAsia" w:ascii="宋体" w:hAnsi="宋体" w:cs="Times New Roman"/>
          <w:color w:val="auto"/>
          <w:szCs w:val="21"/>
          <w:highlight w:val="none"/>
          <w:u w:val="single"/>
          <w:lang w:val="en-US" w:eastAsia="zh-CN"/>
        </w:rPr>
        <w:t>其中</w:t>
      </w:r>
      <w:r>
        <w:rPr>
          <w:rFonts w:hint="eastAsia" w:ascii="宋体" w:hAnsi="宋体" w:cs="Times New Roman"/>
          <w:color w:val="auto"/>
          <w:szCs w:val="21"/>
          <w:highlight w:val="none"/>
          <w:u w:val="single"/>
          <w:lang w:eastAsia="zh-CN"/>
        </w:rPr>
        <w:t>包1预算484500.00元，包2预算481000.00元，包3预算481000.00元，包4预算350000.00元</w:t>
      </w:r>
    </w:p>
    <w:p w14:paraId="38B7BE85">
      <w:pPr>
        <w:adjustRightInd w:val="0"/>
        <w:snapToGrid w:val="0"/>
        <w:spacing w:line="440" w:lineRule="exact"/>
        <w:ind w:firstLine="525" w:firstLineChars="250"/>
        <w:rPr>
          <w:rFonts w:hint="eastAsia" w:ascii="宋体" w:hAnsi="宋体" w:cs="Times New Roman"/>
          <w:color w:val="auto"/>
          <w:szCs w:val="21"/>
          <w:highlight w:val="none"/>
        </w:rPr>
      </w:pPr>
      <w:r>
        <w:rPr>
          <w:rFonts w:hint="eastAsia" w:ascii="宋体" w:hAnsi="宋体" w:cs="Times New Roman"/>
          <w:color w:val="auto"/>
          <w:szCs w:val="21"/>
          <w:highlight w:val="none"/>
          <w:lang w:val="en-US" w:eastAsia="zh-CN"/>
        </w:rPr>
        <w:t>6</w:t>
      </w:r>
      <w:r>
        <w:rPr>
          <w:rFonts w:hint="eastAsia" w:ascii="宋体" w:hAnsi="宋体" w:cs="Times New Roman"/>
          <w:color w:val="auto"/>
          <w:szCs w:val="21"/>
          <w:highlight w:val="none"/>
        </w:rPr>
        <w:t>、本项目对应的中小企业划分标准所属行业：</w:t>
      </w:r>
      <w:r>
        <w:rPr>
          <w:rFonts w:hint="eastAsia" w:ascii="宋体" w:hAnsi="宋体" w:cs="Times New Roman"/>
          <w:color w:val="auto"/>
          <w:szCs w:val="21"/>
          <w:highlight w:val="none"/>
          <w:u w:val="single"/>
          <w:lang w:eastAsia="zh-CN"/>
        </w:rPr>
        <w:t>其他未列明行业</w:t>
      </w:r>
    </w:p>
    <w:p w14:paraId="21669069">
      <w:pPr>
        <w:adjustRightInd w:val="0"/>
        <w:snapToGrid w:val="0"/>
        <w:spacing w:line="440" w:lineRule="exact"/>
        <w:ind w:firstLine="525" w:firstLineChars="250"/>
        <w:rPr>
          <w:rFonts w:hint="eastAsia" w:ascii="宋体" w:hAnsi="宋体" w:cs="Times New Roman"/>
          <w:color w:val="auto"/>
          <w:szCs w:val="21"/>
          <w:highlight w:val="none"/>
        </w:rPr>
      </w:pPr>
      <w:r>
        <w:rPr>
          <w:rFonts w:hint="eastAsia" w:ascii="宋体" w:hAnsi="宋体" w:cs="Times New Roman"/>
          <w:color w:val="auto"/>
          <w:szCs w:val="21"/>
          <w:highlight w:val="none"/>
          <w:lang w:val="en-US" w:eastAsia="zh-CN"/>
        </w:rPr>
        <w:t>7</w:t>
      </w:r>
      <w:r>
        <w:rPr>
          <w:rFonts w:hint="eastAsia" w:ascii="宋体" w:hAnsi="宋体" w:cs="Times New Roman"/>
          <w:color w:val="auto"/>
          <w:szCs w:val="21"/>
          <w:highlight w:val="none"/>
        </w:rPr>
        <w:t xml:space="preserve">、评标方法： </w:t>
      </w:r>
      <w:r>
        <w:rPr>
          <w:rFonts w:hint="eastAsia" w:ascii="宋体" w:hAnsi="宋体" w:cs="Times New Roman"/>
          <w:color w:val="auto"/>
          <w:szCs w:val="21"/>
          <w:highlight w:val="none"/>
          <w:u w:val="single"/>
          <w:lang w:eastAsia="zh-CN"/>
        </w:rPr>
        <w:t xml:space="preserve">综合评分法 </w:t>
      </w:r>
    </w:p>
    <w:p w14:paraId="0EA2965B">
      <w:pPr>
        <w:adjustRightInd w:val="0"/>
        <w:snapToGrid w:val="0"/>
        <w:spacing w:line="440" w:lineRule="exact"/>
        <w:ind w:firstLine="525" w:firstLineChars="250"/>
        <w:rPr>
          <w:rFonts w:hint="eastAsia" w:ascii="宋体" w:hAnsi="宋体" w:cs="Times New Roman"/>
          <w:color w:val="auto"/>
          <w:szCs w:val="21"/>
          <w:highlight w:val="none"/>
        </w:rPr>
      </w:pPr>
      <w:r>
        <w:rPr>
          <w:rFonts w:hint="eastAsia" w:ascii="宋体" w:hAnsi="宋体" w:cs="Times New Roman"/>
          <w:color w:val="auto"/>
          <w:szCs w:val="21"/>
          <w:highlight w:val="none"/>
          <w:lang w:val="en-US" w:eastAsia="zh-CN"/>
        </w:rPr>
        <w:t>8</w:t>
      </w:r>
      <w:r>
        <w:rPr>
          <w:rFonts w:hint="eastAsia" w:ascii="宋体" w:hAnsi="宋体" w:cs="Times New Roman"/>
          <w:color w:val="auto"/>
          <w:szCs w:val="21"/>
          <w:highlight w:val="none"/>
        </w:rPr>
        <w:t>、合同定价方式：</w:t>
      </w:r>
      <w:r>
        <w:rPr>
          <w:rFonts w:hint="eastAsia" w:ascii="宋体" w:hAnsi="宋体" w:cs="Times New Roman"/>
          <w:color w:val="auto"/>
          <w:szCs w:val="21"/>
          <w:highlight w:val="none"/>
          <w:u w:val="single"/>
          <w:lang w:eastAsia="zh-CN"/>
        </w:rPr>
        <w:t>固定</w:t>
      </w:r>
      <w:r>
        <w:rPr>
          <w:rFonts w:hint="eastAsia" w:ascii="宋体" w:hAnsi="宋体" w:cs="Times New Roman"/>
          <w:color w:val="auto"/>
          <w:szCs w:val="21"/>
          <w:highlight w:val="none"/>
          <w:u w:val="single"/>
          <w:lang w:val="en-US" w:eastAsia="zh-CN"/>
        </w:rPr>
        <w:t>总</w:t>
      </w:r>
      <w:r>
        <w:rPr>
          <w:rFonts w:hint="eastAsia" w:ascii="宋体" w:hAnsi="宋体" w:cs="Times New Roman"/>
          <w:color w:val="auto"/>
          <w:szCs w:val="21"/>
          <w:highlight w:val="none"/>
          <w:u w:val="single"/>
          <w:lang w:eastAsia="zh-CN"/>
        </w:rPr>
        <w:t>价</w:t>
      </w:r>
    </w:p>
    <w:p w14:paraId="6614E789">
      <w:pPr>
        <w:adjustRightInd w:val="0"/>
        <w:snapToGrid w:val="0"/>
        <w:spacing w:line="440" w:lineRule="exact"/>
        <w:ind w:firstLine="525" w:firstLineChars="250"/>
        <w:rPr>
          <w:rFonts w:hint="eastAsia" w:ascii="宋体" w:hAnsi="宋体" w:cs="Times New Roman"/>
          <w:color w:val="auto"/>
          <w:szCs w:val="21"/>
          <w:highlight w:val="none"/>
          <w:u w:val="single"/>
          <w:lang w:eastAsia="zh-CN"/>
        </w:rPr>
      </w:pPr>
      <w:r>
        <w:rPr>
          <w:rFonts w:hint="eastAsia" w:ascii="宋体" w:hAnsi="宋体" w:cs="Times New Roman"/>
          <w:color w:val="auto"/>
          <w:szCs w:val="21"/>
          <w:highlight w:val="none"/>
          <w:lang w:val="en-US" w:eastAsia="zh-CN"/>
        </w:rPr>
        <w:t>9</w:t>
      </w:r>
      <w:r>
        <w:rPr>
          <w:rFonts w:hint="eastAsia" w:ascii="宋体" w:hAnsi="宋体" w:cs="Times New Roman"/>
          <w:color w:val="auto"/>
          <w:szCs w:val="21"/>
          <w:highlight w:val="none"/>
        </w:rPr>
        <w:t>、合同履行期限：</w:t>
      </w:r>
      <w:r>
        <w:rPr>
          <w:rFonts w:hint="eastAsia" w:ascii="宋体" w:hAnsi="宋体" w:cs="Times New Roman"/>
          <w:color w:val="auto"/>
          <w:szCs w:val="21"/>
          <w:highlight w:val="none"/>
          <w:u w:val="single"/>
          <w:lang w:eastAsia="zh-CN"/>
        </w:rPr>
        <w:t>详见磋商文件</w:t>
      </w:r>
    </w:p>
    <w:p w14:paraId="0FBDF1E3">
      <w:pPr>
        <w:adjustRightInd w:val="0"/>
        <w:snapToGrid w:val="0"/>
        <w:spacing w:line="440" w:lineRule="exact"/>
        <w:outlineLvl w:val="1"/>
        <w:rPr>
          <w:rFonts w:hint="eastAsia" w:ascii="宋体" w:hAnsi="宋体" w:cs="Times New Roman"/>
          <w:b/>
          <w:color w:val="auto"/>
          <w:szCs w:val="21"/>
          <w:highlight w:val="none"/>
        </w:rPr>
      </w:pPr>
      <w:r>
        <w:rPr>
          <w:rFonts w:hint="eastAsia" w:ascii="宋体" w:hAnsi="宋体" w:cs="Times New Roman"/>
          <w:b/>
          <w:color w:val="auto"/>
          <w:szCs w:val="21"/>
          <w:highlight w:val="none"/>
          <w:lang w:val="en-US" w:eastAsia="zh-CN"/>
        </w:rPr>
        <w:t>二</w:t>
      </w:r>
      <w:r>
        <w:rPr>
          <w:rFonts w:hint="eastAsia" w:ascii="宋体" w:hAnsi="宋体" w:cs="Times New Roman"/>
          <w:b/>
          <w:color w:val="auto"/>
          <w:szCs w:val="21"/>
          <w:highlight w:val="none"/>
        </w:rPr>
        <w:t>、采购需求</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1586"/>
        <w:gridCol w:w="2285"/>
        <w:gridCol w:w="1807"/>
        <w:gridCol w:w="1808"/>
        <w:gridCol w:w="1477"/>
      </w:tblGrid>
      <w:tr w14:paraId="786B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934" w:type="dxa"/>
            <w:vAlign w:val="center"/>
          </w:tcPr>
          <w:p w14:paraId="528E30A2">
            <w:pPr>
              <w:keepNext w:val="0"/>
              <w:keepLines w:val="0"/>
              <w:widowControl/>
              <w:numPr>
                <w:ilvl w:val="0"/>
                <w:numId w:val="0"/>
              </w:numPr>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1"/>
                <w:szCs w:val="21"/>
                <w:u w:val="none"/>
                <w:vertAlign w:val="baseline"/>
                <w:lang w:val="en-US" w:eastAsia="zh-CN"/>
              </w:rPr>
            </w:pPr>
            <w:r>
              <w:rPr>
                <w:rFonts w:hint="eastAsia" w:asciiTheme="minorEastAsia" w:hAnsiTheme="minorEastAsia" w:eastAsiaTheme="minorEastAsia" w:cstheme="minorEastAsia"/>
                <w:color w:val="auto"/>
                <w:sz w:val="21"/>
                <w:szCs w:val="21"/>
                <w:u w:val="none"/>
                <w:vertAlign w:val="baseline"/>
                <w:lang w:val="en-US" w:eastAsia="zh-CN"/>
              </w:rPr>
              <w:t>包名称</w:t>
            </w:r>
          </w:p>
        </w:tc>
        <w:tc>
          <w:tcPr>
            <w:tcW w:w="1586" w:type="dxa"/>
            <w:vAlign w:val="center"/>
          </w:tcPr>
          <w:p w14:paraId="6FCE672B">
            <w:pPr>
              <w:keepNext w:val="0"/>
              <w:keepLines w:val="0"/>
              <w:widowControl/>
              <w:numPr>
                <w:ilvl w:val="0"/>
                <w:numId w:val="0"/>
              </w:numPr>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1"/>
                <w:szCs w:val="21"/>
                <w:u w:val="none"/>
                <w:vertAlign w:val="baseline"/>
                <w:lang w:val="en-US" w:eastAsia="zh-CN"/>
              </w:rPr>
            </w:pPr>
            <w:r>
              <w:rPr>
                <w:rFonts w:hint="eastAsia" w:asciiTheme="minorEastAsia" w:hAnsiTheme="minorEastAsia" w:eastAsiaTheme="minorEastAsia" w:cstheme="minorEastAsia"/>
                <w:color w:val="auto"/>
                <w:sz w:val="21"/>
                <w:szCs w:val="21"/>
                <w:u w:val="none"/>
                <w:vertAlign w:val="baseline"/>
                <w:lang w:val="en-US" w:eastAsia="zh-CN"/>
              </w:rPr>
              <w:t>最高限价（元）</w:t>
            </w:r>
          </w:p>
        </w:tc>
        <w:tc>
          <w:tcPr>
            <w:tcW w:w="2285" w:type="dxa"/>
            <w:vAlign w:val="center"/>
          </w:tcPr>
          <w:p w14:paraId="62E8A808">
            <w:pPr>
              <w:keepNext w:val="0"/>
              <w:keepLines w:val="0"/>
              <w:widowControl/>
              <w:numPr>
                <w:ilvl w:val="0"/>
                <w:numId w:val="0"/>
              </w:numPr>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1"/>
                <w:szCs w:val="21"/>
                <w:u w:val="none"/>
                <w:vertAlign w:val="baseline"/>
                <w:lang w:val="en-US" w:eastAsia="zh-CN"/>
              </w:rPr>
            </w:pPr>
            <w:r>
              <w:rPr>
                <w:rFonts w:hint="eastAsia" w:asciiTheme="minorEastAsia" w:hAnsiTheme="minorEastAsia" w:eastAsiaTheme="minorEastAsia" w:cstheme="minorEastAsia"/>
                <w:color w:val="auto"/>
                <w:sz w:val="21"/>
                <w:szCs w:val="21"/>
                <w:u w:val="none"/>
                <w:vertAlign w:val="baseline"/>
                <w:lang w:val="en-US" w:eastAsia="zh-CN"/>
              </w:rPr>
              <w:t>标的名称</w:t>
            </w:r>
          </w:p>
        </w:tc>
        <w:tc>
          <w:tcPr>
            <w:tcW w:w="1807" w:type="dxa"/>
            <w:vAlign w:val="center"/>
          </w:tcPr>
          <w:p w14:paraId="263FABD7">
            <w:pPr>
              <w:keepNext w:val="0"/>
              <w:keepLines w:val="0"/>
              <w:widowControl/>
              <w:numPr>
                <w:ilvl w:val="0"/>
                <w:numId w:val="0"/>
              </w:numPr>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1"/>
                <w:szCs w:val="21"/>
                <w:u w:val="none"/>
                <w:vertAlign w:val="baseline"/>
              </w:rPr>
            </w:pPr>
            <w:r>
              <w:rPr>
                <w:rFonts w:hint="eastAsia" w:asciiTheme="minorEastAsia" w:hAnsiTheme="minorEastAsia" w:eastAsiaTheme="minorEastAsia" w:cstheme="minorEastAsia"/>
                <w:b w:val="0"/>
                <w:bCs/>
                <w:color w:val="auto"/>
                <w:sz w:val="21"/>
                <w:szCs w:val="21"/>
                <w:u w:val="none"/>
              </w:rPr>
              <w:t>简要技术需求或服务要求</w:t>
            </w:r>
          </w:p>
        </w:tc>
        <w:tc>
          <w:tcPr>
            <w:tcW w:w="1808" w:type="dxa"/>
            <w:vAlign w:val="center"/>
          </w:tcPr>
          <w:p w14:paraId="1DD947BE">
            <w:pPr>
              <w:keepNext w:val="0"/>
              <w:keepLines w:val="0"/>
              <w:widowControl/>
              <w:numPr>
                <w:ilvl w:val="0"/>
                <w:numId w:val="0"/>
              </w:numPr>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1"/>
                <w:szCs w:val="21"/>
                <w:u w:val="none"/>
                <w:vertAlign w:val="baseline"/>
                <w:lang w:val="en-US" w:eastAsia="zh-CN"/>
              </w:rPr>
            </w:pPr>
            <w:r>
              <w:rPr>
                <w:rFonts w:hint="eastAsia" w:asciiTheme="minorEastAsia" w:hAnsiTheme="minorEastAsia" w:eastAsiaTheme="minorEastAsia" w:cstheme="minorEastAsia"/>
                <w:color w:val="auto"/>
                <w:sz w:val="21"/>
                <w:szCs w:val="21"/>
                <w:u w:val="none"/>
                <w:vertAlign w:val="baseline"/>
                <w:lang w:val="en-US" w:eastAsia="zh-CN"/>
              </w:rPr>
              <w:t>数量</w:t>
            </w:r>
          </w:p>
        </w:tc>
        <w:tc>
          <w:tcPr>
            <w:tcW w:w="1477" w:type="dxa"/>
            <w:vAlign w:val="center"/>
          </w:tcPr>
          <w:p w14:paraId="3AA81318">
            <w:pPr>
              <w:keepNext w:val="0"/>
              <w:keepLines w:val="0"/>
              <w:widowControl/>
              <w:numPr>
                <w:ilvl w:val="0"/>
                <w:numId w:val="0"/>
              </w:numPr>
              <w:suppressLineNumbers w:val="0"/>
              <w:spacing w:before="0" w:beforeAutospacing="0" w:after="0" w:afterAutospacing="0" w:line="360" w:lineRule="auto"/>
              <w:ind w:left="0" w:right="0"/>
              <w:jc w:val="center"/>
              <w:rPr>
                <w:rFonts w:hint="default" w:asciiTheme="minorEastAsia" w:hAnsiTheme="minorEastAsia" w:eastAsiaTheme="minorEastAsia" w:cstheme="minorEastAsia"/>
                <w:color w:val="auto"/>
                <w:sz w:val="21"/>
                <w:szCs w:val="21"/>
                <w:u w:val="none"/>
                <w:vertAlign w:val="baseline"/>
                <w:lang w:val="en-US" w:eastAsia="zh-CN"/>
              </w:rPr>
            </w:pPr>
            <w:r>
              <w:rPr>
                <w:rFonts w:hint="eastAsia" w:asciiTheme="minorEastAsia" w:hAnsiTheme="minorEastAsia" w:eastAsiaTheme="minorEastAsia" w:cstheme="minorEastAsia"/>
                <w:color w:val="auto"/>
                <w:sz w:val="21"/>
                <w:szCs w:val="21"/>
                <w:u w:val="none"/>
                <w:vertAlign w:val="baseline"/>
                <w:lang w:val="en-US" w:eastAsia="zh-CN"/>
              </w:rPr>
              <w:t>预算金额（元）</w:t>
            </w:r>
          </w:p>
        </w:tc>
      </w:tr>
      <w:tr w14:paraId="389E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934" w:type="dxa"/>
            <w:vAlign w:val="center"/>
          </w:tcPr>
          <w:p w14:paraId="79C98E3E">
            <w:pPr>
              <w:keepNext w:val="0"/>
              <w:keepLines w:val="0"/>
              <w:widowControl/>
              <w:numPr>
                <w:ilvl w:val="0"/>
                <w:numId w:val="0"/>
              </w:numPr>
              <w:suppressLineNumbers w:val="0"/>
              <w:spacing w:before="0" w:beforeAutospacing="0" w:after="0" w:afterAutospacing="0" w:line="360" w:lineRule="auto"/>
              <w:ind w:left="0" w:right="0"/>
              <w:jc w:val="center"/>
              <w:rPr>
                <w:rFonts w:hint="default" w:asciiTheme="minorEastAsia" w:hAnsiTheme="minorEastAsia" w:eastAsiaTheme="minorEastAsia" w:cstheme="minorEastAsia"/>
                <w:color w:val="auto"/>
                <w:sz w:val="21"/>
                <w:szCs w:val="21"/>
                <w:u w:val="none"/>
                <w:vertAlign w:val="baseline"/>
                <w:lang w:val="en-US" w:eastAsia="zh-CN"/>
              </w:rPr>
            </w:pPr>
            <w:r>
              <w:rPr>
                <w:rFonts w:hint="eastAsia" w:asciiTheme="minorEastAsia" w:hAnsiTheme="minorEastAsia" w:eastAsiaTheme="minorEastAsia" w:cstheme="minorEastAsia"/>
                <w:color w:val="auto"/>
                <w:sz w:val="21"/>
                <w:szCs w:val="21"/>
                <w:u w:val="none"/>
                <w:vertAlign w:val="baseline"/>
                <w:lang w:val="en-US" w:eastAsia="zh-CN"/>
              </w:rPr>
              <w:t>01</w:t>
            </w:r>
          </w:p>
        </w:tc>
        <w:tc>
          <w:tcPr>
            <w:tcW w:w="1586" w:type="dxa"/>
            <w:vAlign w:val="center"/>
          </w:tcPr>
          <w:p w14:paraId="34B7961C">
            <w:pPr>
              <w:keepNext w:val="0"/>
              <w:keepLines w:val="0"/>
              <w:widowControl/>
              <w:numPr>
                <w:ilvl w:val="0"/>
                <w:numId w:val="0"/>
              </w:numPr>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1"/>
                <w:szCs w:val="21"/>
                <w:u w:val="none"/>
                <w:vertAlign w:val="baseline"/>
              </w:rPr>
            </w:pPr>
            <w:r>
              <w:rPr>
                <w:rFonts w:hint="eastAsia" w:ascii="宋体" w:hAnsi="宋体" w:cs="Times New Roman"/>
                <w:color w:val="auto"/>
                <w:szCs w:val="21"/>
                <w:highlight w:val="none"/>
                <w:u w:val="none"/>
                <w:lang w:eastAsia="zh-CN"/>
              </w:rPr>
              <w:t>484500.00</w:t>
            </w:r>
          </w:p>
        </w:tc>
        <w:tc>
          <w:tcPr>
            <w:tcW w:w="2285" w:type="dxa"/>
            <w:shd w:val="clear" w:color="auto" w:fill="auto"/>
            <w:vAlign w:val="center"/>
          </w:tcPr>
          <w:p w14:paraId="713ABF83">
            <w:pPr>
              <w:pStyle w:val="50"/>
              <w:widowControl/>
              <w:jc w:val="center"/>
              <w:rPr>
                <w:rFonts w:hint="eastAsia" w:ascii="宋体" w:hAnsi="宋体" w:eastAsia="宋体" w:cs="宋体"/>
                <w:color w:val="auto"/>
                <w:kern w:val="2"/>
                <w:sz w:val="21"/>
                <w:szCs w:val="21"/>
                <w:highlight w:val="none"/>
                <w:lang w:val="en-US" w:eastAsia="zh-CN" w:bidi="ar-SA"/>
              </w:rPr>
            </w:pPr>
            <w:r>
              <w:rPr>
                <w:rStyle w:val="23"/>
                <w:rFonts w:hint="eastAsia" w:ascii="宋体" w:hAnsi="宋体" w:eastAsia="宋体" w:cs="宋体"/>
                <w:color w:val="auto"/>
                <w:kern w:val="2"/>
                <w:sz w:val="21"/>
                <w:szCs w:val="21"/>
                <w:highlight w:val="none"/>
                <w:lang w:val="en-US" w:eastAsia="zh-CN" w:bidi="ar-SA"/>
              </w:rPr>
              <w:t>普通国省道</w:t>
            </w:r>
            <w:r>
              <w:rPr>
                <w:rStyle w:val="23"/>
                <w:rFonts w:hint="eastAsia" w:ascii="宋体" w:hAnsi="宋体" w:cs="宋体"/>
                <w:color w:val="auto"/>
                <w:kern w:val="2"/>
                <w:sz w:val="21"/>
                <w:szCs w:val="21"/>
                <w:highlight w:val="none"/>
                <w:lang w:val="en-US" w:eastAsia="zh-CN" w:bidi="ar-SA"/>
              </w:rPr>
              <w:t>10座</w:t>
            </w:r>
            <w:r>
              <w:rPr>
                <w:rStyle w:val="23"/>
                <w:rFonts w:hint="eastAsia" w:ascii="宋体" w:hAnsi="宋体" w:eastAsia="宋体" w:cs="宋体"/>
                <w:color w:val="auto"/>
                <w:kern w:val="2"/>
                <w:sz w:val="21"/>
                <w:szCs w:val="21"/>
                <w:highlight w:val="none"/>
                <w:lang w:val="en-US" w:eastAsia="zh-CN" w:bidi="ar-SA"/>
              </w:rPr>
              <w:t>重点桥梁监测</w:t>
            </w:r>
          </w:p>
        </w:tc>
        <w:tc>
          <w:tcPr>
            <w:tcW w:w="1807" w:type="dxa"/>
            <w:vAlign w:val="center"/>
          </w:tcPr>
          <w:p w14:paraId="74D5A30F">
            <w:pPr>
              <w:keepNext w:val="0"/>
              <w:keepLines w:val="0"/>
              <w:widowControl/>
              <w:numPr>
                <w:ilvl w:val="0"/>
                <w:numId w:val="0"/>
              </w:numPr>
              <w:suppressLineNumbers w:val="0"/>
              <w:spacing w:before="0" w:beforeAutospacing="0" w:after="0" w:afterAutospacing="0" w:line="360" w:lineRule="auto"/>
              <w:ind w:left="0" w:right="0"/>
              <w:jc w:val="center"/>
              <w:rPr>
                <w:rFonts w:hint="default" w:asciiTheme="minorEastAsia" w:hAnsiTheme="minorEastAsia" w:eastAsiaTheme="minorEastAsia" w:cstheme="minorEastAsia"/>
                <w:color w:val="auto"/>
                <w:sz w:val="21"/>
                <w:szCs w:val="21"/>
                <w:u w:val="none"/>
                <w:vertAlign w:val="baseline"/>
                <w:lang w:val="en-US" w:eastAsia="zh-CN"/>
              </w:rPr>
            </w:pPr>
            <w:r>
              <w:rPr>
                <w:rFonts w:hint="eastAsia" w:asciiTheme="minorEastAsia" w:hAnsiTheme="minorEastAsia" w:eastAsiaTheme="minorEastAsia" w:cstheme="minorEastAsia"/>
                <w:color w:val="auto"/>
                <w:sz w:val="21"/>
                <w:szCs w:val="21"/>
                <w:u w:val="none"/>
                <w:vertAlign w:val="baseline"/>
                <w:lang w:val="en-US" w:eastAsia="zh-CN"/>
              </w:rPr>
              <w:t>详见磋商文件</w:t>
            </w:r>
          </w:p>
        </w:tc>
        <w:tc>
          <w:tcPr>
            <w:tcW w:w="1808" w:type="dxa"/>
            <w:vAlign w:val="center"/>
          </w:tcPr>
          <w:p w14:paraId="6119C585">
            <w:pPr>
              <w:keepNext w:val="0"/>
              <w:keepLines w:val="0"/>
              <w:widowControl/>
              <w:numPr>
                <w:ilvl w:val="0"/>
                <w:numId w:val="0"/>
              </w:numPr>
              <w:suppressLineNumbers w:val="0"/>
              <w:spacing w:before="0" w:beforeAutospacing="0" w:after="0" w:afterAutospacing="0" w:line="360" w:lineRule="auto"/>
              <w:ind w:left="0" w:right="0"/>
              <w:jc w:val="center"/>
              <w:rPr>
                <w:rFonts w:hint="default" w:asciiTheme="minorEastAsia" w:hAnsiTheme="minorEastAsia" w:eastAsiaTheme="minorEastAsia" w:cstheme="minorEastAsia"/>
                <w:color w:val="auto"/>
                <w:sz w:val="21"/>
                <w:szCs w:val="21"/>
                <w:u w:val="none"/>
                <w:vertAlign w:val="baseline"/>
                <w:lang w:val="en-US" w:eastAsia="zh-CN"/>
              </w:rPr>
            </w:pPr>
            <w:r>
              <w:rPr>
                <w:rFonts w:hint="eastAsia" w:asciiTheme="minorEastAsia" w:hAnsiTheme="minorEastAsia" w:eastAsiaTheme="minorEastAsia" w:cstheme="minorEastAsia"/>
                <w:color w:val="auto"/>
                <w:sz w:val="21"/>
                <w:szCs w:val="21"/>
                <w:u w:val="none"/>
                <w:vertAlign w:val="baseline"/>
                <w:lang w:val="en-US" w:eastAsia="zh-CN"/>
              </w:rPr>
              <w:t>详见磋商文件</w:t>
            </w:r>
          </w:p>
        </w:tc>
        <w:tc>
          <w:tcPr>
            <w:tcW w:w="1477" w:type="dxa"/>
            <w:shd w:val="clear" w:color="auto" w:fill="auto"/>
            <w:vAlign w:val="center"/>
          </w:tcPr>
          <w:p w14:paraId="686B49DA">
            <w:pPr>
              <w:keepNext w:val="0"/>
              <w:keepLines w:val="0"/>
              <w:widowControl/>
              <w:numPr>
                <w:ilvl w:val="0"/>
                <w:numId w:val="0"/>
              </w:numPr>
              <w:suppressLineNumbers w:val="0"/>
              <w:spacing w:before="0" w:beforeAutospacing="0" w:after="0" w:afterAutospacing="0" w:line="360" w:lineRule="auto"/>
              <w:ind w:left="0" w:leftChars="0" w:right="0" w:rightChars="0" w:firstLine="0" w:firstLineChars="0"/>
              <w:jc w:val="center"/>
              <w:rPr>
                <w:rFonts w:hint="eastAsia" w:asciiTheme="minorEastAsia" w:hAnsiTheme="minorEastAsia" w:eastAsiaTheme="minorEastAsia" w:cstheme="minorEastAsia"/>
                <w:color w:val="auto"/>
                <w:kern w:val="2"/>
                <w:sz w:val="21"/>
                <w:szCs w:val="21"/>
                <w:u w:val="none"/>
                <w:vertAlign w:val="baseline"/>
                <w:lang w:val="en-US" w:eastAsia="zh-CN" w:bidi="ar-SA"/>
              </w:rPr>
            </w:pPr>
            <w:r>
              <w:rPr>
                <w:rFonts w:hint="eastAsia" w:ascii="宋体" w:hAnsi="宋体" w:cs="Times New Roman"/>
                <w:color w:val="auto"/>
                <w:szCs w:val="21"/>
                <w:highlight w:val="none"/>
                <w:u w:val="none"/>
                <w:lang w:eastAsia="zh-CN"/>
              </w:rPr>
              <w:t>484500.00</w:t>
            </w:r>
          </w:p>
        </w:tc>
      </w:tr>
      <w:tr w14:paraId="7D10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934" w:type="dxa"/>
            <w:vAlign w:val="center"/>
          </w:tcPr>
          <w:p w14:paraId="6D3104A7">
            <w:pPr>
              <w:keepNext w:val="0"/>
              <w:keepLines w:val="0"/>
              <w:widowControl/>
              <w:numPr>
                <w:ilvl w:val="0"/>
                <w:numId w:val="0"/>
              </w:numPr>
              <w:suppressLineNumbers w:val="0"/>
              <w:spacing w:before="0" w:beforeAutospacing="0" w:after="0" w:afterAutospacing="0" w:line="360" w:lineRule="auto"/>
              <w:ind w:left="0" w:right="0"/>
              <w:jc w:val="center"/>
              <w:rPr>
                <w:rFonts w:hint="default" w:asciiTheme="minorEastAsia" w:hAnsiTheme="minorEastAsia" w:eastAsiaTheme="minorEastAsia" w:cstheme="minorEastAsia"/>
                <w:color w:val="auto"/>
                <w:sz w:val="21"/>
                <w:szCs w:val="21"/>
                <w:u w:val="none"/>
                <w:vertAlign w:val="baseline"/>
                <w:lang w:val="en-US" w:eastAsia="zh-CN"/>
              </w:rPr>
            </w:pPr>
            <w:r>
              <w:rPr>
                <w:rFonts w:hint="eastAsia" w:asciiTheme="minorEastAsia" w:hAnsiTheme="minorEastAsia" w:eastAsiaTheme="minorEastAsia" w:cstheme="minorEastAsia"/>
                <w:color w:val="auto"/>
                <w:sz w:val="21"/>
                <w:szCs w:val="21"/>
                <w:u w:val="none"/>
                <w:vertAlign w:val="baseline"/>
                <w:lang w:val="en-US" w:eastAsia="zh-CN"/>
              </w:rPr>
              <w:t>02</w:t>
            </w:r>
          </w:p>
        </w:tc>
        <w:tc>
          <w:tcPr>
            <w:tcW w:w="1586" w:type="dxa"/>
            <w:vAlign w:val="center"/>
          </w:tcPr>
          <w:p w14:paraId="031CD33F">
            <w:pPr>
              <w:keepNext w:val="0"/>
              <w:keepLines w:val="0"/>
              <w:widowControl/>
              <w:numPr>
                <w:ilvl w:val="0"/>
                <w:numId w:val="0"/>
              </w:numPr>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1"/>
                <w:szCs w:val="21"/>
                <w:u w:val="none"/>
                <w:vertAlign w:val="baseline"/>
              </w:rPr>
            </w:pPr>
            <w:r>
              <w:rPr>
                <w:rFonts w:hint="eastAsia" w:ascii="宋体" w:hAnsi="宋体" w:cs="Times New Roman"/>
                <w:color w:val="auto"/>
                <w:szCs w:val="21"/>
                <w:highlight w:val="none"/>
                <w:u w:val="none"/>
                <w:lang w:eastAsia="zh-CN"/>
              </w:rPr>
              <w:t>481000.00</w:t>
            </w:r>
          </w:p>
        </w:tc>
        <w:tc>
          <w:tcPr>
            <w:tcW w:w="2285" w:type="dxa"/>
            <w:shd w:val="clear" w:color="auto" w:fill="auto"/>
            <w:vAlign w:val="center"/>
          </w:tcPr>
          <w:p w14:paraId="680FACA1">
            <w:pPr>
              <w:pStyle w:val="50"/>
              <w:widowControl/>
              <w:jc w:val="center"/>
              <w:rPr>
                <w:rFonts w:hint="eastAsia" w:ascii="宋体" w:hAnsi="宋体" w:eastAsia="宋体" w:cs="宋体"/>
                <w:color w:val="auto"/>
                <w:kern w:val="2"/>
                <w:sz w:val="21"/>
                <w:szCs w:val="21"/>
                <w:highlight w:val="none"/>
                <w:lang w:val="en-US" w:eastAsia="zh-CN" w:bidi="ar-SA"/>
              </w:rPr>
            </w:pPr>
            <w:r>
              <w:rPr>
                <w:rStyle w:val="23"/>
                <w:rFonts w:hint="eastAsia" w:ascii="宋体" w:hAnsi="宋体" w:eastAsia="宋体" w:cs="宋体"/>
                <w:color w:val="auto"/>
                <w:kern w:val="2"/>
                <w:sz w:val="21"/>
                <w:szCs w:val="21"/>
                <w:highlight w:val="none"/>
                <w:lang w:val="en-US" w:eastAsia="zh-CN" w:bidi="ar-SA"/>
              </w:rPr>
              <w:t>普通国省道</w:t>
            </w:r>
            <w:r>
              <w:rPr>
                <w:rStyle w:val="23"/>
                <w:rFonts w:hint="eastAsia" w:ascii="宋体" w:hAnsi="宋体" w:cs="宋体"/>
                <w:color w:val="auto"/>
                <w:kern w:val="2"/>
                <w:sz w:val="21"/>
                <w:szCs w:val="21"/>
                <w:highlight w:val="none"/>
                <w:lang w:val="en-US" w:eastAsia="zh-CN" w:bidi="ar-SA"/>
              </w:rPr>
              <w:t>2座</w:t>
            </w:r>
            <w:r>
              <w:rPr>
                <w:rStyle w:val="23"/>
                <w:rFonts w:hint="eastAsia" w:ascii="宋体" w:hAnsi="宋体" w:eastAsia="宋体" w:cs="宋体"/>
                <w:color w:val="auto"/>
                <w:kern w:val="2"/>
                <w:sz w:val="21"/>
                <w:szCs w:val="21"/>
                <w:highlight w:val="none"/>
                <w:lang w:val="en-US" w:eastAsia="zh-CN" w:bidi="ar-SA"/>
              </w:rPr>
              <w:t>重点桥梁监测、高速公路</w:t>
            </w:r>
            <w:r>
              <w:rPr>
                <w:rStyle w:val="23"/>
                <w:rFonts w:hint="eastAsia" w:ascii="宋体" w:hAnsi="宋体" w:cs="宋体"/>
                <w:color w:val="auto"/>
                <w:kern w:val="2"/>
                <w:sz w:val="21"/>
                <w:szCs w:val="21"/>
                <w:highlight w:val="none"/>
                <w:lang w:val="en-US" w:eastAsia="zh-CN" w:bidi="ar-SA"/>
              </w:rPr>
              <w:t>6座</w:t>
            </w:r>
            <w:r>
              <w:rPr>
                <w:rStyle w:val="23"/>
                <w:rFonts w:hint="eastAsia" w:ascii="宋体" w:hAnsi="宋体" w:eastAsia="宋体" w:cs="宋体"/>
                <w:color w:val="auto"/>
                <w:kern w:val="2"/>
                <w:sz w:val="21"/>
                <w:szCs w:val="21"/>
                <w:highlight w:val="none"/>
                <w:lang w:val="en-US" w:eastAsia="zh-CN" w:bidi="ar-SA"/>
              </w:rPr>
              <w:t>重点桥梁监测</w:t>
            </w:r>
          </w:p>
        </w:tc>
        <w:tc>
          <w:tcPr>
            <w:tcW w:w="1807" w:type="dxa"/>
            <w:vAlign w:val="center"/>
          </w:tcPr>
          <w:p w14:paraId="0BAD5D27">
            <w:pPr>
              <w:keepNext w:val="0"/>
              <w:keepLines w:val="0"/>
              <w:widowControl/>
              <w:numPr>
                <w:ilvl w:val="0"/>
                <w:numId w:val="0"/>
              </w:numPr>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1"/>
                <w:szCs w:val="21"/>
                <w:u w:val="none"/>
                <w:vertAlign w:val="baseline"/>
              </w:rPr>
            </w:pPr>
            <w:r>
              <w:rPr>
                <w:rFonts w:hint="eastAsia" w:asciiTheme="minorEastAsia" w:hAnsiTheme="minorEastAsia" w:eastAsiaTheme="minorEastAsia" w:cstheme="minorEastAsia"/>
                <w:color w:val="auto"/>
                <w:sz w:val="21"/>
                <w:szCs w:val="21"/>
                <w:u w:val="none"/>
                <w:vertAlign w:val="baseline"/>
                <w:lang w:val="en-US" w:eastAsia="zh-CN"/>
              </w:rPr>
              <w:t>详见磋商文件</w:t>
            </w:r>
          </w:p>
        </w:tc>
        <w:tc>
          <w:tcPr>
            <w:tcW w:w="1808" w:type="dxa"/>
            <w:vAlign w:val="center"/>
          </w:tcPr>
          <w:p w14:paraId="0B07826C">
            <w:pPr>
              <w:keepNext w:val="0"/>
              <w:keepLines w:val="0"/>
              <w:widowControl/>
              <w:numPr>
                <w:ilvl w:val="0"/>
                <w:numId w:val="0"/>
              </w:numPr>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1"/>
                <w:szCs w:val="21"/>
                <w:u w:val="none"/>
                <w:vertAlign w:val="baseline"/>
              </w:rPr>
            </w:pPr>
            <w:r>
              <w:rPr>
                <w:rFonts w:hint="eastAsia" w:asciiTheme="minorEastAsia" w:hAnsiTheme="minorEastAsia" w:eastAsiaTheme="minorEastAsia" w:cstheme="minorEastAsia"/>
                <w:color w:val="auto"/>
                <w:sz w:val="21"/>
                <w:szCs w:val="21"/>
                <w:u w:val="none"/>
                <w:vertAlign w:val="baseline"/>
                <w:lang w:val="en-US" w:eastAsia="zh-CN"/>
              </w:rPr>
              <w:t>详见磋商文件</w:t>
            </w:r>
          </w:p>
        </w:tc>
        <w:tc>
          <w:tcPr>
            <w:tcW w:w="1477" w:type="dxa"/>
            <w:shd w:val="clear" w:color="auto" w:fill="auto"/>
            <w:vAlign w:val="center"/>
          </w:tcPr>
          <w:p w14:paraId="20039AFE">
            <w:pPr>
              <w:keepNext w:val="0"/>
              <w:keepLines w:val="0"/>
              <w:widowControl/>
              <w:numPr>
                <w:ilvl w:val="0"/>
                <w:numId w:val="0"/>
              </w:numPr>
              <w:suppressLineNumbers w:val="0"/>
              <w:spacing w:before="0" w:beforeAutospacing="0" w:after="0" w:afterAutospacing="0" w:line="360" w:lineRule="auto"/>
              <w:ind w:left="0" w:leftChars="0" w:right="0" w:rightChars="0" w:firstLine="0" w:firstLineChars="0"/>
              <w:jc w:val="center"/>
              <w:rPr>
                <w:rFonts w:hint="eastAsia" w:asciiTheme="minorEastAsia" w:hAnsiTheme="minorEastAsia" w:eastAsiaTheme="minorEastAsia" w:cstheme="minorEastAsia"/>
                <w:color w:val="auto"/>
                <w:kern w:val="2"/>
                <w:sz w:val="21"/>
                <w:szCs w:val="21"/>
                <w:u w:val="none"/>
                <w:vertAlign w:val="baseline"/>
                <w:lang w:val="en-US" w:eastAsia="zh-CN" w:bidi="ar-SA"/>
              </w:rPr>
            </w:pPr>
            <w:r>
              <w:rPr>
                <w:rFonts w:hint="eastAsia" w:ascii="宋体" w:hAnsi="宋体" w:cs="Times New Roman"/>
                <w:color w:val="auto"/>
                <w:szCs w:val="21"/>
                <w:highlight w:val="none"/>
                <w:u w:val="none"/>
                <w:lang w:eastAsia="zh-CN"/>
              </w:rPr>
              <w:t>481000.00</w:t>
            </w:r>
          </w:p>
        </w:tc>
      </w:tr>
      <w:tr w14:paraId="51C4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934" w:type="dxa"/>
            <w:vAlign w:val="center"/>
          </w:tcPr>
          <w:p w14:paraId="0C19DC9E">
            <w:pPr>
              <w:keepNext w:val="0"/>
              <w:keepLines w:val="0"/>
              <w:widowControl/>
              <w:numPr>
                <w:ilvl w:val="0"/>
                <w:numId w:val="0"/>
              </w:numPr>
              <w:suppressLineNumbers w:val="0"/>
              <w:spacing w:before="0" w:beforeAutospacing="0" w:after="0" w:afterAutospacing="0" w:line="360" w:lineRule="auto"/>
              <w:ind w:left="0" w:right="0"/>
              <w:jc w:val="center"/>
              <w:rPr>
                <w:rFonts w:hint="default" w:asciiTheme="minorEastAsia" w:hAnsiTheme="minorEastAsia" w:eastAsiaTheme="minorEastAsia" w:cstheme="minorEastAsia"/>
                <w:color w:val="auto"/>
                <w:sz w:val="21"/>
                <w:szCs w:val="21"/>
                <w:u w:val="none"/>
                <w:vertAlign w:val="baseline"/>
                <w:lang w:val="en-US" w:eastAsia="zh-CN"/>
              </w:rPr>
            </w:pPr>
            <w:r>
              <w:rPr>
                <w:rFonts w:hint="eastAsia" w:asciiTheme="minorEastAsia" w:hAnsiTheme="minorEastAsia" w:eastAsiaTheme="minorEastAsia" w:cstheme="minorEastAsia"/>
                <w:color w:val="auto"/>
                <w:sz w:val="21"/>
                <w:szCs w:val="21"/>
                <w:u w:val="none"/>
                <w:vertAlign w:val="baseline"/>
                <w:lang w:val="en-US" w:eastAsia="zh-CN"/>
              </w:rPr>
              <w:t>03</w:t>
            </w:r>
          </w:p>
        </w:tc>
        <w:tc>
          <w:tcPr>
            <w:tcW w:w="1586" w:type="dxa"/>
            <w:vAlign w:val="center"/>
          </w:tcPr>
          <w:p w14:paraId="3962F62C">
            <w:pPr>
              <w:keepNext w:val="0"/>
              <w:keepLines w:val="0"/>
              <w:widowControl/>
              <w:numPr>
                <w:ilvl w:val="0"/>
                <w:numId w:val="0"/>
              </w:numPr>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1"/>
                <w:szCs w:val="21"/>
                <w:u w:val="none"/>
                <w:vertAlign w:val="baseline"/>
              </w:rPr>
            </w:pPr>
            <w:r>
              <w:rPr>
                <w:rFonts w:hint="eastAsia" w:ascii="宋体" w:hAnsi="宋体" w:cs="Times New Roman"/>
                <w:color w:val="auto"/>
                <w:szCs w:val="21"/>
                <w:highlight w:val="none"/>
                <w:u w:val="none"/>
                <w:lang w:eastAsia="zh-CN"/>
              </w:rPr>
              <w:t>481000.00</w:t>
            </w:r>
          </w:p>
        </w:tc>
        <w:tc>
          <w:tcPr>
            <w:tcW w:w="2285" w:type="dxa"/>
            <w:shd w:val="clear" w:color="auto" w:fill="auto"/>
            <w:vAlign w:val="center"/>
          </w:tcPr>
          <w:p w14:paraId="79DD7DA2">
            <w:pPr>
              <w:pStyle w:val="50"/>
              <w:widowControl/>
              <w:jc w:val="center"/>
              <w:rPr>
                <w:rFonts w:hint="eastAsia" w:ascii="宋体" w:hAnsi="宋体" w:eastAsia="宋体" w:cs="宋体"/>
                <w:color w:val="auto"/>
                <w:kern w:val="2"/>
                <w:sz w:val="21"/>
                <w:szCs w:val="21"/>
                <w:highlight w:val="none"/>
                <w:lang w:val="en-US" w:eastAsia="zh-CN" w:bidi="ar-SA"/>
              </w:rPr>
            </w:pPr>
            <w:r>
              <w:rPr>
                <w:rStyle w:val="23"/>
                <w:rFonts w:hint="eastAsia" w:ascii="宋体" w:hAnsi="宋体" w:eastAsia="宋体" w:cs="宋体"/>
                <w:color w:val="auto"/>
                <w:kern w:val="2"/>
                <w:sz w:val="21"/>
                <w:szCs w:val="21"/>
                <w:highlight w:val="none"/>
                <w:lang w:val="en-US" w:eastAsia="zh-CN" w:bidi="ar-SA"/>
              </w:rPr>
              <w:t>普通国省道</w:t>
            </w:r>
            <w:r>
              <w:rPr>
                <w:rStyle w:val="23"/>
                <w:rFonts w:hint="eastAsia" w:ascii="宋体" w:hAnsi="宋体" w:cs="宋体"/>
                <w:color w:val="auto"/>
                <w:kern w:val="2"/>
                <w:sz w:val="21"/>
                <w:szCs w:val="21"/>
                <w:highlight w:val="none"/>
                <w:lang w:val="en-US" w:eastAsia="zh-CN" w:bidi="ar-SA"/>
              </w:rPr>
              <w:t>2座</w:t>
            </w:r>
            <w:r>
              <w:rPr>
                <w:rStyle w:val="23"/>
                <w:rFonts w:hint="eastAsia" w:ascii="宋体" w:hAnsi="宋体" w:eastAsia="宋体" w:cs="宋体"/>
                <w:color w:val="auto"/>
                <w:kern w:val="2"/>
                <w:sz w:val="21"/>
                <w:szCs w:val="21"/>
                <w:highlight w:val="none"/>
                <w:lang w:val="en-US" w:eastAsia="zh-CN" w:bidi="ar-SA"/>
              </w:rPr>
              <w:t>重点桥梁监测、高速公路</w:t>
            </w:r>
            <w:r>
              <w:rPr>
                <w:rStyle w:val="23"/>
                <w:rFonts w:hint="eastAsia" w:ascii="宋体" w:hAnsi="宋体" w:cs="宋体"/>
                <w:color w:val="auto"/>
                <w:kern w:val="2"/>
                <w:sz w:val="21"/>
                <w:szCs w:val="21"/>
                <w:highlight w:val="none"/>
                <w:lang w:val="en-US" w:eastAsia="zh-CN" w:bidi="ar-SA"/>
              </w:rPr>
              <w:t>6座</w:t>
            </w:r>
            <w:r>
              <w:rPr>
                <w:rStyle w:val="23"/>
                <w:rFonts w:hint="eastAsia" w:ascii="宋体" w:hAnsi="宋体" w:eastAsia="宋体" w:cs="宋体"/>
                <w:color w:val="auto"/>
                <w:kern w:val="2"/>
                <w:sz w:val="21"/>
                <w:szCs w:val="21"/>
                <w:highlight w:val="none"/>
                <w:lang w:val="en-US" w:eastAsia="zh-CN" w:bidi="ar-SA"/>
              </w:rPr>
              <w:t>重点桥梁监测</w:t>
            </w:r>
          </w:p>
        </w:tc>
        <w:tc>
          <w:tcPr>
            <w:tcW w:w="1807" w:type="dxa"/>
            <w:vAlign w:val="center"/>
          </w:tcPr>
          <w:p w14:paraId="7F6D0AE7">
            <w:pPr>
              <w:keepNext w:val="0"/>
              <w:keepLines w:val="0"/>
              <w:widowControl/>
              <w:numPr>
                <w:ilvl w:val="0"/>
                <w:numId w:val="0"/>
              </w:numPr>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1"/>
                <w:szCs w:val="21"/>
                <w:u w:val="none"/>
                <w:vertAlign w:val="baseline"/>
              </w:rPr>
            </w:pPr>
            <w:r>
              <w:rPr>
                <w:rFonts w:hint="eastAsia" w:asciiTheme="minorEastAsia" w:hAnsiTheme="minorEastAsia" w:eastAsiaTheme="minorEastAsia" w:cstheme="minorEastAsia"/>
                <w:color w:val="auto"/>
                <w:sz w:val="21"/>
                <w:szCs w:val="21"/>
                <w:u w:val="none"/>
                <w:vertAlign w:val="baseline"/>
                <w:lang w:val="en-US" w:eastAsia="zh-CN"/>
              </w:rPr>
              <w:t>详见磋商文件</w:t>
            </w:r>
          </w:p>
        </w:tc>
        <w:tc>
          <w:tcPr>
            <w:tcW w:w="1808" w:type="dxa"/>
            <w:vAlign w:val="center"/>
          </w:tcPr>
          <w:p w14:paraId="25EA1706">
            <w:pPr>
              <w:keepNext w:val="0"/>
              <w:keepLines w:val="0"/>
              <w:widowControl/>
              <w:numPr>
                <w:ilvl w:val="0"/>
                <w:numId w:val="0"/>
              </w:numPr>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1"/>
                <w:szCs w:val="21"/>
                <w:u w:val="none"/>
                <w:vertAlign w:val="baseline"/>
              </w:rPr>
            </w:pPr>
            <w:r>
              <w:rPr>
                <w:rFonts w:hint="eastAsia" w:asciiTheme="minorEastAsia" w:hAnsiTheme="minorEastAsia" w:eastAsiaTheme="minorEastAsia" w:cstheme="minorEastAsia"/>
                <w:color w:val="auto"/>
                <w:sz w:val="21"/>
                <w:szCs w:val="21"/>
                <w:u w:val="none"/>
                <w:vertAlign w:val="baseline"/>
                <w:lang w:val="en-US" w:eastAsia="zh-CN"/>
              </w:rPr>
              <w:t>详见磋商文件</w:t>
            </w:r>
          </w:p>
        </w:tc>
        <w:tc>
          <w:tcPr>
            <w:tcW w:w="1477" w:type="dxa"/>
            <w:shd w:val="clear" w:color="auto" w:fill="auto"/>
            <w:vAlign w:val="center"/>
          </w:tcPr>
          <w:p w14:paraId="0B6E83EF">
            <w:pPr>
              <w:keepNext w:val="0"/>
              <w:keepLines w:val="0"/>
              <w:widowControl/>
              <w:numPr>
                <w:ilvl w:val="0"/>
                <w:numId w:val="0"/>
              </w:numPr>
              <w:suppressLineNumbers w:val="0"/>
              <w:spacing w:before="0" w:beforeAutospacing="0" w:after="0" w:afterAutospacing="0" w:line="360" w:lineRule="auto"/>
              <w:ind w:left="0" w:leftChars="0" w:right="0" w:rightChars="0" w:firstLine="0" w:firstLineChars="0"/>
              <w:jc w:val="center"/>
              <w:rPr>
                <w:rFonts w:hint="eastAsia" w:asciiTheme="minorEastAsia" w:hAnsiTheme="minorEastAsia" w:eastAsiaTheme="minorEastAsia" w:cstheme="minorEastAsia"/>
                <w:color w:val="auto"/>
                <w:kern w:val="2"/>
                <w:sz w:val="21"/>
                <w:szCs w:val="21"/>
                <w:u w:val="none"/>
                <w:vertAlign w:val="baseline"/>
                <w:lang w:val="en-US" w:eastAsia="zh-CN" w:bidi="ar-SA"/>
              </w:rPr>
            </w:pPr>
            <w:r>
              <w:rPr>
                <w:rFonts w:hint="eastAsia" w:ascii="宋体" w:hAnsi="宋体" w:cs="Times New Roman"/>
                <w:color w:val="auto"/>
                <w:szCs w:val="21"/>
                <w:highlight w:val="none"/>
                <w:u w:val="none"/>
                <w:lang w:eastAsia="zh-CN"/>
              </w:rPr>
              <w:t>481000.00</w:t>
            </w:r>
          </w:p>
        </w:tc>
      </w:tr>
      <w:tr w14:paraId="6AD19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934" w:type="dxa"/>
            <w:vAlign w:val="center"/>
          </w:tcPr>
          <w:p w14:paraId="0ADA934E">
            <w:pPr>
              <w:keepNext w:val="0"/>
              <w:keepLines w:val="0"/>
              <w:widowControl/>
              <w:numPr>
                <w:ilvl w:val="0"/>
                <w:numId w:val="0"/>
              </w:numPr>
              <w:suppressLineNumbers w:val="0"/>
              <w:spacing w:before="0" w:beforeAutospacing="0" w:after="0" w:afterAutospacing="0" w:line="360" w:lineRule="auto"/>
              <w:ind w:left="0" w:right="0"/>
              <w:jc w:val="center"/>
              <w:rPr>
                <w:rFonts w:hint="default" w:asciiTheme="minorEastAsia" w:hAnsiTheme="minorEastAsia" w:eastAsiaTheme="minorEastAsia" w:cstheme="minorEastAsia"/>
                <w:color w:val="auto"/>
                <w:sz w:val="21"/>
                <w:szCs w:val="21"/>
                <w:u w:val="none"/>
                <w:vertAlign w:val="baseline"/>
                <w:lang w:val="en-US" w:eastAsia="zh-CN"/>
              </w:rPr>
            </w:pPr>
            <w:r>
              <w:rPr>
                <w:rFonts w:hint="eastAsia" w:asciiTheme="minorEastAsia" w:hAnsiTheme="minorEastAsia" w:eastAsiaTheme="minorEastAsia" w:cstheme="minorEastAsia"/>
                <w:color w:val="auto"/>
                <w:sz w:val="21"/>
                <w:szCs w:val="21"/>
                <w:u w:val="none"/>
                <w:vertAlign w:val="baseline"/>
                <w:lang w:val="en-US" w:eastAsia="zh-CN"/>
              </w:rPr>
              <w:t>04</w:t>
            </w:r>
          </w:p>
        </w:tc>
        <w:tc>
          <w:tcPr>
            <w:tcW w:w="1586" w:type="dxa"/>
            <w:vAlign w:val="center"/>
          </w:tcPr>
          <w:p w14:paraId="4CC9D2B5">
            <w:pPr>
              <w:keepNext w:val="0"/>
              <w:keepLines w:val="0"/>
              <w:widowControl/>
              <w:numPr>
                <w:ilvl w:val="0"/>
                <w:numId w:val="0"/>
              </w:numPr>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1"/>
                <w:szCs w:val="21"/>
                <w:u w:val="none"/>
                <w:vertAlign w:val="baseline"/>
              </w:rPr>
            </w:pPr>
            <w:r>
              <w:rPr>
                <w:rFonts w:hint="eastAsia" w:ascii="宋体" w:hAnsi="宋体" w:cs="Times New Roman"/>
                <w:color w:val="auto"/>
                <w:szCs w:val="21"/>
                <w:highlight w:val="none"/>
                <w:u w:val="none"/>
                <w:lang w:eastAsia="zh-CN"/>
              </w:rPr>
              <w:t>350000.00</w:t>
            </w:r>
          </w:p>
        </w:tc>
        <w:tc>
          <w:tcPr>
            <w:tcW w:w="2285" w:type="dxa"/>
            <w:shd w:val="clear" w:color="auto" w:fill="auto"/>
            <w:vAlign w:val="center"/>
          </w:tcPr>
          <w:p w14:paraId="3EAB7BB2">
            <w:pPr>
              <w:pStyle w:val="50"/>
              <w:widowControl/>
              <w:jc w:val="center"/>
              <w:rPr>
                <w:rFonts w:hint="eastAsia" w:ascii="宋体" w:hAnsi="宋体" w:eastAsia="宋体" w:cs="宋体"/>
                <w:color w:val="auto"/>
                <w:kern w:val="2"/>
                <w:sz w:val="21"/>
                <w:szCs w:val="21"/>
                <w:highlight w:val="none"/>
                <w:lang w:val="en-US" w:eastAsia="zh-CN" w:bidi="ar-SA"/>
              </w:rPr>
            </w:pPr>
            <w:r>
              <w:rPr>
                <w:rStyle w:val="23"/>
                <w:rFonts w:hint="eastAsia" w:ascii="宋体" w:hAnsi="宋体" w:eastAsia="宋体" w:cs="宋体"/>
                <w:color w:val="auto"/>
                <w:kern w:val="2"/>
                <w:sz w:val="21"/>
                <w:szCs w:val="21"/>
                <w:highlight w:val="none"/>
                <w:lang w:val="en-US" w:eastAsia="zh-CN" w:bidi="ar-SA"/>
              </w:rPr>
              <w:t>普通国省道</w:t>
            </w:r>
            <w:r>
              <w:rPr>
                <w:rStyle w:val="23"/>
                <w:rFonts w:hint="eastAsia" w:ascii="宋体" w:hAnsi="宋体" w:cs="宋体"/>
                <w:color w:val="auto"/>
                <w:kern w:val="2"/>
                <w:sz w:val="21"/>
                <w:szCs w:val="21"/>
                <w:highlight w:val="none"/>
                <w:lang w:val="en-US" w:eastAsia="zh-CN" w:bidi="ar-SA"/>
              </w:rPr>
              <w:t>2座</w:t>
            </w:r>
            <w:r>
              <w:rPr>
                <w:rStyle w:val="23"/>
                <w:rFonts w:hint="eastAsia" w:ascii="宋体" w:hAnsi="宋体" w:eastAsia="宋体" w:cs="宋体"/>
                <w:color w:val="auto"/>
                <w:kern w:val="2"/>
                <w:sz w:val="21"/>
                <w:szCs w:val="21"/>
                <w:highlight w:val="none"/>
                <w:lang w:val="en-US" w:eastAsia="zh-CN" w:bidi="ar-SA"/>
              </w:rPr>
              <w:t>重点隧道监测、高速公路</w:t>
            </w:r>
            <w:r>
              <w:rPr>
                <w:rStyle w:val="23"/>
                <w:rFonts w:hint="eastAsia" w:ascii="宋体" w:hAnsi="宋体" w:cs="宋体"/>
                <w:color w:val="auto"/>
                <w:kern w:val="2"/>
                <w:sz w:val="21"/>
                <w:szCs w:val="21"/>
                <w:highlight w:val="none"/>
                <w:lang w:val="en-US" w:eastAsia="zh-CN" w:bidi="ar-SA"/>
              </w:rPr>
              <w:t>2座</w:t>
            </w:r>
            <w:r>
              <w:rPr>
                <w:rStyle w:val="23"/>
                <w:rFonts w:hint="eastAsia" w:ascii="宋体" w:hAnsi="宋体" w:eastAsia="宋体" w:cs="宋体"/>
                <w:color w:val="auto"/>
                <w:kern w:val="2"/>
                <w:sz w:val="21"/>
                <w:szCs w:val="21"/>
                <w:highlight w:val="none"/>
                <w:lang w:val="en-US" w:eastAsia="zh-CN" w:bidi="ar-SA"/>
              </w:rPr>
              <w:t>重点隧道监测</w:t>
            </w:r>
          </w:p>
        </w:tc>
        <w:tc>
          <w:tcPr>
            <w:tcW w:w="1807" w:type="dxa"/>
            <w:vAlign w:val="center"/>
          </w:tcPr>
          <w:p w14:paraId="524A4ED3">
            <w:pPr>
              <w:keepNext w:val="0"/>
              <w:keepLines w:val="0"/>
              <w:widowControl/>
              <w:numPr>
                <w:ilvl w:val="0"/>
                <w:numId w:val="0"/>
              </w:numPr>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1"/>
                <w:szCs w:val="21"/>
                <w:u w:val="none"/>
                <w:vertAlign w:val="baseline"/>
              </w:rPr>
            </w:pPr>
            <w:r>
              <w:rPr>
                <w:rFonts w:hint="eastAsia" w:asciiTheme="minorEastAsia" w:hAnsiTheme="minorEastAsia" w:eastAsiaTheme="minorEastAsia" w:cstheme="minorEastAsia"/>
                <w:color w:val="auto"/>
                <w:sz w:val="21"/>
                <w:szCs w:val="21"/>
                <w:u w:val="none"/>
                <w:vertAlign w:val="baseline"/>
                <w:lang w:val="en-US" w:eastAsia="zh-CN"/>
              </w:rPr>
              <w:t>详见磋商文件</w:t>
            </w:r>
          </w:p>
        </w:tc>
        <w:tc>
          <w:tcPr>
            <w:tcW w:w="1808" w:type="dxa"/>
            <w:vAlign w:val="center"/>
          </w:tcPr>
          <w:p w14:paraId="07AABB35">
            <w:pPr>
              <w:keepNext w:val="0"/>
              <w:keepLines w:val="0"/>
              <w:widowControl/>
              <w:numPr>
                <w:ilvl w:val="0"/>
                <w:numId w:val="0"/>
              </w:numPr>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1"/>
                <w:szCs w:val="21"/>
                <w:u w:val="none"/>
                <w:vertAlign w:val="baseline"/>
              </w:rPr>
            </w:pPr>
            <w:r>
              <w:rPr>
                <w:rFonts w:hint="eastAsia" w:asciiTheme="minorEastAsia" w:hAnsiTheme="minorEastAsia" w:eastAsiaTheme="minorEastAsia" w:cstheme="minorEastAsia"/>
                <w:color w:val="auto"/>
                <w:sz w:val="21"/>
                <w:szCs w:val="21"/>
                <w:u w:val="none"/>
                <w:vertAlign w:val="baseline"/>
                <w:lang w:val="en-US" w:eastAsia="zh-CN"/>
              </w:rPr>
              <w:t>详见磋商文件</w:t>
            </w:r>
          </w:p>
        </w:tc>
        <w:tc>
          <w:tcPr>
            <w:tcW w:w="1477" w:type="dxa"/>
            <w:shd w:val="clear" w:color="auto" w:fill="auto"/>
            <w:vAlign w:val="center"/>
          </w:tcPr>
          <w:p w14:paraId="49209956">
            <w:pPr>
              <w:keepNext w:val="0"/>
              <w:keepLines w:val="0"/>
              <w:widowControl/>
              <w:numPr>
                <w:ilvl w:val="0"/>
                <w:numId w:val="0"/>
              </w:numPr>
              <w:suppressLineNumbers w:val="0"/>
              <w:spacing w:before="0" w:beforeAutospacing="0" w:after="0" w:afterAutospacing="0" w:line="360" w:lineRule="auto"/>
              <w:ind w:left="0" w:leftChars="0" w:right="0" w:rightChars="0" w:firstLine="0" w:firstLineChars="0"/>
              <w:jc w:val="center"/>
              <w:rPr>
                <w:rFonts w:hint="eastAsia" w:asciiTheme="minorEastAsia" w:hAnsiTheme="minorEastAsia" w:eastAsiaTheme="minorEastAsia" w:cstheme="minorEastAsia"/>
                <w:color w:val="auto"/>
                <w:kern w:val="2"/>
                <w:sz w:val="21"/>
                <w:szCs w:val="21"/>
                <w:u w:val="none"/>
                <w:vertAlign w:val="baseline"/>
                <w:lang w:val="en-US" w:eastAsia="zh-CN" w:bidi="ar-SA"/>
              </w:rPr>
            </w:pPr>
            <w:r>
              <w:rPr>
                <w:rFonts w:hint="eastAsia" w:ascii="宋体" w:hAnsi="宋体" w:cs="Times New Roman"/>
                <w:color w:val="auto"/>
                <w:szCs w:val="21"/>
                <w:highlight w:val="none"/>
                <w:u w:val="none"/>
                <w:lang w:eastAsia="zh-CN"/>
              </w:rPr>
              <w:t>350000.00</w:t>
            </w:r>
          </w:p>
        </w:tc>
      </w:tr>
    </w:tbl>
    <w:p w14:paraId="6D0FC89F">
      <w:pPr>
        <w:adjustRightInd w:val="0"/>
        <w:snapToGrid w:val="0"/>
        <w:spacing w:line="440" w:lineRule="exact"/>
        <w:ind w:firstLine="0" w:firstLineChars="0"/>
        <w:rPr>
          <w:rFonts w:hint="eastAsia" w:ascii="宋体" w:hAnsi="宋体" w:cs="Times New Roman"/>
          <w:color w:val="auto"/>
          <w:szCs w:val="21"/>
          <w:highlight w:val="none"/>
          <w:u w:val="single"/>
          <w:lang w:eastAsia="zh-CN"/>
        </w:rPr>
      </w:pPr>
    </w:p>
    <w:p w14:paraId="27F2A8A6">
      <w:pPr>
        <w:adjustRightInd w:val="0"/>
        <w:snapToGrid w:val="0"/>
        <w:spacing w:line="440" w:lineRule="exact"/>
        <w:outlineLvl w:val="1"/>
        <w:rPr>
          <w:rFonts w:hint="eastAsia" w:ascii="宋体" w:hAnsi="宋体" w:cs="Times New Roman"/>
          <w:b/>
          <w:color w:val="auto"/>
          <w:szCs w:val="21"/>
          <w:highlight w:val="none"/>
        </w:rPr>
      </w:pPr>
      <w:bookmarkStart w:id="7" w:name="_Toc866162274"/>
      <w:r>
        <w:rPr>
          <w:rFonts w:hint="eastAsia" w:ascii="宋体" w:hAnsi="宋体" w:cs="Times New Roman"/>
          <w:b/>
          <w:color w:val="auto"/>
          <w:szCs w:val="21"/>
          <w:highlight w:val="none"/>
          <w:lang w:val="en-US" w:eastAsia="zh-CN"/>
        </w:rPr>
        <w:t>三</w:t>
      </w:r>
      <w:r>
        <w:rPr>
          <w:rFonts w:hint="eastAsia" w:ascii="宋体" w:hAnsi="宋体" w:cs="Times New Roman"/>
          <w:b/>
          <w:color w:val="auto"/>
          <w:szCs w:val="21"/>
          <w:highlight w:val="none"/>
        </w:rPr>
        <w:t>、采购项目需落实的政府采购政策：</w:t>
      </w:r>
      <w:bookmarkEnd w:id="7"/>
    </w:p>
    <w:p w14:paraId="52B3B99B">
      <w:pPr>
        <w:adjustRightInd w:val="0"/>
        <w:snapToGrid w:val="0"/>
        <w:spacing w:line="440" w:lineRule="exact"/>
        <w:ind w:firstLine="525" w:firstLineChars="250"/>
        <w:outlineLvl w:val="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1、优先采购：节能产品、环境标志产品享受加分或价格折扣。</w:t>
      </w:r>
    </w:p>
    <w:p w14:paraId="46D964E6">
      <w:pPr>
        <w:adjustRightInd w:val="0"/>
        <w:snapToGrid w:val="0"/>
        <w:spacing w:line="440" w:lineRule="exact"/>
        <w:ind w:firstLine="525" w:firstLineChars="250"/>
        <w:outlineLvl w:val="9"/>
        <w:rPr>
          <w:rFonts w:hint="eastAsia" w:ascii="宋体" w:hAnsi="宋体" w:eastAsia="宋体" w:cs="Times New Roman"/>
          <w:color w:val="auto"/>
          <w:szCs w:val="21"/>
          <w:highlight w:val="none"/>
          <w:shd w:val="clear" w:color="auto" w:fill="auto"/>
        </w:rPr>
      </w:pPr>
      <w:r>
        <w:rPr>
          <w:rFonts w:hint="eastAsia" w:ascii="宋体" w:hAnsi="宋体" w:eastAsia="宋体" w:cs="Times New Roman"/>
          <w:color w:val="auto"/>
          <w:szCs w:val="21"/>
          <w:highlight w:val="none"/>
          <w:shd w:val="clear" w:color="auto" w:fill="auto"/>
        </w:rPr>
        <w:t>2、支持中小企业：中小企业享受预留采购份额或价格折扣。</w:t>
      </w:r>
    </w:p>
    <w:p w14:paraId="6D1BAF1C">
      <w:pPr>
        <w:adjustRightInd w:val="0"/>
        <w:snapToGrid w:val="0"/>
        <w:spacing w:line="440" w:lineRule="exact"/>
        <w:outlineLvl w:val="1"/>
        <w:rPr>
          <w:rFonts w:ascii="宋体" w:hAnsi="宋体"/>
          <w:b/>
          <w:color w:val="auto"/>
          <w:szCs w:val="21"/>
          <w:highlight w:val="none"/>
        </w:rPr>
      </w:pPr>
      <w:bookmarkStart w:id="8" w:name="_Toc1945179752"/>
      <w:r>
        <w:rPr>
          <w:rFonts w:hint="eastAsia" w:ascii="宋体" w:hAnsi="宋体"/>
          <w:b/>
          <w:color w:val="auto"/>
          <w:szCs w:val="21"/>
          <w:highlight w:val="none"/>
          <w:lang w:val="en-US" w:eastAsia="zh-CN"/>
        </w:rPr>
        <w:t>四</w:t>
      </w:r>
      <w:r>
        <w:rPr>
          <w:rFonts w:hint="eastAsia" w:ascii="宋体" w:hAnsi="宋体"/>
          <w:b/>
          <w:color w:val="auto"/>
          <w:szCs w:val="21"/>
          <w:highlight w:val="none"/>
        </w:rPr>
        <w:t>、供应商</w:t>
      </w:r>
      <w:r>
        <w:rPr>
          <w:rFonts w:hint="eastAsia" w:ascii="宋体" w:hAnsi="宋体"/>
          <w:b/>
          <w:color w:val="auto"/>
          <w:szCs w:val="21"/>
          <w:highlight w:val="none"/>
          <w:lang w:val="en-US" w:eastAsia="zh-CN"/>
        </w:rPr>
        <w:t>的基本</w:t>
      </w:r>
      <w:r>
        <w:rPr>
          <w:rFonts w:hint="eastAsia" w:ascii="宋体" w:hAnsi="宋体"/>
          <w:b/>
          <w:color w:val="auto"/>
          <w:szCs w:val="21"/>
          <w:highlight w:val="none"/>
        </w:rPr>
        <w:t>资格条件：</w:t>
      </w:r>
      <w:bookmarkEnd w:id="8"/>
    </w:p>
    <w:p w14:paraId="2AD7C5F1">
      <w:pPr>
        <w:adjustRightInd w:val="0"/>
        <w:snapToGrid w:val="0"/>
        <w:spacing w:line="440" w:lineRule="exact"/>
        <w:ind w:firstLine="525" w:firstLineChars="250"/>
        <w:outlineLvl w:val="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1、供应商基本资格条件：符合《中华人民共和国政府采购法》第二十二条规定的供应商条件，并提供以下资格证明文件：</w:t>
      </w:r>
    </w:p>
    <w:p w14:paraId="698404D1">
      <w:pPr>
        <w:adjustRightInd w:val="0"/>
        <w:snapToGrid w:val="0"/>
        <w:spacing w:line="440" w:lineRule="exact"/>
        <w:ind w:firstLine="525" w:firstLineChars="250"/>
        <w:outlineLvl w:val="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（1）法人提交企业法人营业执照副本(或者法人登记证书)</w:t>
      </w:r>
    </w:p>
    <w:p w14:paraId="4E16EF93">
      <w:pPr>
        <w:adjustRightInd w:val="0"/>
        <w:snapToGrid w:val="0"/>
        <w:spacing w:line="440" w:lineRule="exact"/>
        <w:ind w:firstLine="525" w:firstLineChars="250"/>
        <w:outlineLvl w:val="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（2）提交《湖南省政府采购供应商资格承诺函》（格式见附件）；</w:t>
      </w:r>
    </w:p>
    <w:p w14:paraId="5336F653">
      <w:pPr>
        <w:adjustRightInd w:val="0"/>
        <w:snapToGrid w:val="0"/>
        <w:spacing w:line="440" w:lineRule="exact"/>
        <w:ind w:firstLine="525" w:firstLineChars="250"/>
        <w:outlineLvl w:val="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（3）法人提交法定代表人身份证明扫描件或者法定代表人授权委托书扫描件以及被授权代表人在</w:t>
      </w:r>
      <w:r>
        <w:rPr>
          <w:rFonts w:hint="eastAsia" w:ascii="宋体" w:hAnsi="宋体" w:eastAsia="宋体" w:cs="Times New Roman"/>
          <w:color w:val="auto"/>
          <w:szCs w:val="21"/>
          <w:highlight w:val="none"/>
          <w:lang w:eastAsia="zh-CN"/>
        </w:rPr>
        <w:t>响应</w:t>
      </w:r>
      <w:r>
        <w:rPr>
          <w:rFonts w:hint="eastAsia" w:ascii="宋体" w:hAnsi="宋体" w:eastAsia="宋体" w:cs="Times New Roman"/>
          <w:color w:val="auto"/>
          <w:szCs w:val="21"/>
          <w:highlight w:val="none"/>
        </w:rPr>
        <w:t>单位或</w:t>
      </w:r>
      <w:r>
        <w:rPr>
          <w:rFonts w:hint="eastAsia" w:ascii="宋体" w:hAnsi="宋体" w:eastAsia="宋体" w:cs="Times New Roman"/>
          <w:color w:val="auto"/>
          <w:szCs w:val="21"/>
          <w:highlight w:val="none"/>
          <w:lang w:eastAsia="zh-CN"/>
        </w:rPr>
        <w:t>响应</w:t>
      </w:r>
      <w:r>
        <w:rPr>
          <w:rFonts w:hint="eastAsia" w:ascii="宋体" w:hAnsi="宋体" w:eastAsia="宋体" w:cs="Times New Roman"/>
          <w:color w:val="auto"/>
          <w:szCs w:val="21"/>
          <w:highlight w:val="none"/>
        </w:rPr>
        <w:t>单位依法登记的分支机构</w:t>
      </w:r>
      <w:r>
        <w:rPr>
          <w:rFonts w:hint="eastAsia" w:ascii="宋体" w:hAnsi="宋体" w:eastAsia="宋体" w:cs="Times New Roman"/>
          <w:color w:val="auto"/>
          <w:szCs w:val="21"/>
          <w:highlight w:val="none"/>
          <w:lang w:eastAsia="zh-CN"/>
        </w:rPr>
        <w:t>于响应截止日前</w:t>
      </w:r>
      <w:r>
        <w:rPr>
          <w:rFonts w:hint="eastAsia" w:ascii="宋体" w:hAnsi="宋体" w:eastAsia="宋体" w:cs="Times New Roman"/>
          <w:color w:val="auto"/>
          <w:szCs w:val="21"/>
          <w:highlight w:val="none"/>
          <w:lang w:val="en-US" w:eastAsia="zh-CN"/>
        </w:rPr>
        <w:t>三个月内任意一个月</w:t>
      </w:r>
      <w:r>
        <w:rPr>
          <w:rFonts w:hint="eastAsia" w:ascii="宋体" w:hAnsi="宋体" w:eastAsia="宋体" w:cs="Times New Roman"/>
          <w:color w:val="auto"/>
          <w:szCs w:val="21"/>
          <w:highlight w:val="none"/>
        </w:rPr>
        <w:t>社保证明并附法定代表人身份证明扫描件，自然人提交身份证扫描件；</w:t>
      </w:r>
    </w:p>
    <w:p w14:paraId="549A92E1">
      <w:pPr>
        <w:adjustRightInd w:val="0"/>
        <w:snapToGrid w:val="0"/>
        <w:spacing w:line="440" w:lineRule="exact"/>
        <w:ind w:firstLine="525" w:firstLineChars="250"/>
        <w:outlineLvl w:val="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（4）其他说明。(非法人组织参与</w:t>
      </w:r>
      <w:r>
        <w:rPr>
          <w:rFonts w:hint="eastAsia" w:ascii="宋体" w:hAnsi="宋体" w:eastAsia="宋体" w:cs="Times New Roman"/>
          <w:color w:val="auto"/>
          <w:szCs w:val="21"/>
          <w:highlight w:val="none"/>
          <w:lang w:eastAsia="zh-CN"/>
        </w:rPr>
        <w:t>响应</w:t>
      </w:r>
      <w:r>
        <w:rPr>
          <w:rFonts w:hint="eastAsia" w:ascii="宋体" w:hAnsi="宋体" w:eastAsia="宋体" w:cs="Times New Roman"/>
          <w:color w:val="auto"/>
          <w:szCs w:val="21"/>
          <w:highlight w:val="none"/>
        </w:rPr>
        <w:t>需提供的相关证明材料)</w:t>
      </w:r>
    </w:p>
    <w:p w14:paraId="7A1ED2A0">
      <w:pPr>
        <w:adjustRightInd w:val="0"/>
        <w:snapToGrid w:val="0"/>
        <w:spacing w:line="440" w:lineRule="exact"/>
        <w:ind w:firstLine="525" w:firstLineChars="250"/>
        <w:outlineLvl w:val="9"/>
        <w:rPr>
          <w:rFonts w:hint="eastAsia" w:ascii="宋体" w:hAnsi="宋体" w:eastAsia="宋体" w:cs="Times New Roman"/>
          <w:color w:val="1F497D" w:themeColor="text2"/>
          <w:szCs w:val="21"/>
          <w:highlight w:val="none"/>
          <w14:textFill>
            <w14:solidFill>
              <w14:schemeClr w14:val="tx2"/>
            </w14:solidFill>
          </w14:textFill>
        </w:rPr>
      </w:pPr>
      <w:r>
        <w:rPr>
          <w:rFonts w:hint="eastAsia" w:ascii="宋体" w:hAnsi="宋体" w:eastAsia="宋体" w:cs="Times New Roman"/>
          <w:color w:val="auto"/>
          <w:szCs w:val="21"/>
          <w:highlight w:val="none"/>
        </w:rPr>
        <w:t>2、采购项目的特定资格条件：</w:t>
      </w:r>
      <w:bookmarkStart w:id="9" w:name="EB19ace4be76a84c0fb62cde9f58b8ba2a"/>
      <w:r>
        <w:rPr>
          <w:rFonts w:hint="eastAsia" w:ascii="宋体" w:hAnsi="宋体" w:eastAsia="宋体" w:cs="Times New Roman"/>
          <w:b/>
          <w:bCs/>
          <w:color w:val="auto"/>
          <w:szCs w:val="21"/>
          <w:highlight w:val="none"/>
          <w:shd w:val="clear" w:color="auto" w:fill="auto"/>
        </w:rPr>
        <w:t>包1</w:t>
      </w:r>
      <w:r>
        <w:rPr>
          <w:rFonts w:hint="eastAsia" w:ascii="宋体" w:hAnsi="宋体" w:cs="Times New Roman"/>
          <w:b/>
          <w:bCs/>
          <w:color w:val="auto"/>
          <w:szCs w:val="21"/>
          <w:highlight w:val="none"/>
          <w:shd w:val="clear" w:color="auto" w:fill="auto"/>
          <w:lang w:eastAsia="zh-CN"/>
        </w:rPr>
        <w:t>、</w:t>
      </w:r>
      <w:r>
        <w:rPr>
          <w:rFonts w:hint="eastAsia" w:ascii="宋体" w:hAnsi="宋体" w:cs="Times New Roman"/>
          <w:b/>
          <w:bCs/>
          <w:color w:val="auto"/>
          <w:szCs w:val="21"/>
          <w:highlight w:val="none"/>
          <w:shd w:val="clear" w:color="auto" w:fill="auto"/>
          <w:lang w:val="en-US" w:eastAsia="zh-CN"/>
        </w:rPr>
        <w:t>包2、包3</w:t>
      </w:r>
      <w:r>
        <w:rPr>
          <w:rFonts w:hint="eastAsia" w:ascii="宋体" w:hAnsi="宋体" w:eastAsia="宋体" w:cs="Times New Roman"/>
          <w:b/>
          <w:bCs/>
          <w:color w:val="auto"/>
          <w:szCs w:val="21"/>
          <w:highlight w:val="none"/>
          <w:shd w:val="clear" w:color="auto" w:fill="auto"/>
        </w:rPr>
        <w:t>为</w:t>
      </w:r>
      <w:r>
        <w:rPr>
          <w:rFonts w:hint="eastAsia" w:ascii="宋体" w:hAnsi="宋体" w:cs="Times New Roman"/>
          <w:b/>
          <w:bCs/>
          <w:color w:val="auto"/>
          <w:szCs w:val="21"/>
          <w:highlight w:val="none"/>
          <w:shd w:val="clear" w:color="auto" w:fill="auto"/>
          <w:lang w:eastAsia="zh-CN"/>
        </w:rPr>
        <w:t>供应商</w:t>
      </w:r>
      <w:r>
        <w:rPr>
          <w:rFonts w:hint="eastAsia" w:ascii="宋体" w:hAnsi="宋体" w:eastAsia="宋体" w:cs="Times New Roman"/>
          <w:b/>
          <w:bCs/>
          <w:color w:val="auto"/>
          <w:szCs w:val="21"/>
          <w:highlight w:val="none"/>
          <w:shd w:val="clear" w:color="auto" w:fill="auto"/>
        </w:rPr>
        <w:t>具有交通运输部核发的公路水运工程试验检测公路工程综合类甲级（或桥梁隧道工程专项资质），并在有效期内;包</w:t>
      </w:r>
      <w:r>
        <w:rPr>
          <w:rFonts w:hint="eastAsia" w:ascii="宋体" w:hAnsi="宋体" w:cs="Times New Roman"/>
          <w:b/>
          <w:bCs/>
          <w:color w:val="auto"/>
          <w:szCs w:val="21"/>
          <w:highlight w:val="none"/>
          <w:shd w:val="clear" w:color="auto" w:fill="auto"/>
          <w:lang w:val="en-US" w:eastAsia="zh-CN"/>
        </w:rPr>
        <w:t>4</w:t>
      </w:r>
      <w:r>
        <w:rPr>
          <w:rFonts w:hint="eastAsia" w:ascii="宋体" w:hAnsi="宋体" w:eastAsia="宋体" w:cs="Times New Roman"/>
          <w:b/>
          <w:bCs/>
          <w:color w:val="auto"/>
          <w:szCs w:val="21"/>
          <w:highlight w:val="none"/>
          <w:shd w:val="clear" w:color="auto" w:fill="auto"/>
        </w:rPr>
        <w:t>为</w:t>
      </w:r>
      <w:r>
        <w:rPr>
          <w:rFonts w:hint="eastAsia" w:ascii="宋体" w:hAnsi="宋体" w:cs="Times New Roman"/>
          <w:b/>
          <w:bCs/>
          <w:color w:val="auto"/>
          <w:szCs w:val="21"/>
          <w:highlight w:val="none"/>
          <w:shd w:val="clear" w:color="auto" w:fill="auto"/>
          <w:lang w:eastAsia="zh-CN"/>
        </w:rPr>
        <w:t>供应商</w:t>
      </w:r>
      <w:r>
        <w:rPr>
          <w:rFonts w:hint="eastAsia" w:ascii="宋体" w:hAnsi="宋体" w:eastAsia="宋体" w:cs="Times New Roman"/>
          <w:b/>
          <w:bCs/>
          <w:color w:val="auto"/>
          <w:szCs w:val="21"/>
          <w:highlight w:val="none"/>
          <w:shd w:val="clear" w:color="auto" w:fill="auto"/>
        </w:rPr>
        <w:t>具有交通运输部核发的公路水运工程试验检测公路工程综合类甲级（或桥梁隧道工程专项资质）及交通工程专项资质，并在有效期内</w:t>
      </w:r>
      <w:bookmarkEnd w:id="9"/>
      <w:r>
        <w:rPr>
          <w:rFonts w:hint="eastAsia" w:ascii="宋体" w:hAnsi="宋体" w:eastAsia="宋体" w:cs="Times New Roman"/>
          <w:b/>
          <w:bCs/>
          <w:color w:val="auto"/>
          <w:szCs w:val="21"/>
          <w:highlight w:val="none"/>
          <w:shd w:val="clear" w:color="auto" w:fill="auto"/>
        </w:rPr>
        <w:t>。</w:t>
      </w:r>
    </w:p>
    <w:p w14:paraId="6467C82A">
      <w:pPr>
        <w:adjustRightInd w:val="0"/>
        <w:snapToGrid w:val="0"/>
        <w:spacing w:line="440" w:lineRule="exact"/>
        <w:ind w:firstLine="525" w:firstLineChars="250"/>
        <w:outlineLvl w:val="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3、单位负责人为同一人或者存在直接控股、管理关系的不同</w:t>
      </w:r>
      <w:r>
        <w:rPr>
          <w:rFonts w:hint="eastAsia" w:ascii="宋体" w:hAnsi="宋体" w:cs="Times New Roman"/>
          <w:color w:val="auto"/>
          <w:szCs w:val="21"/>
          <w:highlight w:val="none"/>
          <w:lang w:eastAsia="zh-CN"/>
        </w:rPr>
        <w:t>供应商</w:t>
      </w:r>
      <w:r>
        <w:rPr>
          <w:rFonts w:hint="eastAsia" w:ascii="宋体" w:hAnsi="宋体" w:eastAsia="宋体" w:cs="Times New Roman"/>
          <w:color w:val="auto"/>
          <w:szCs w:val="21"/>
          <w:highlight w:val="none"/>
        </w:rPr>
        <w:t>，不得参加同一合同项下的政府采购活动。</w:t>
      </w:r>
    </w:p>
    <w:p w14:paraId="3285496A">
      <w:pPr>
        <w:adjustRightInd w:val="0"/>
        <w:snapToGrid w:val="0"/>
        <w:spacing w:line="440" w:lineRule="exact"/>
        <w:ind w:firstLine="525" w:firstLineChars="250"/>
        <w:outlineLvl w:val="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4、为本采购项目提供整体设计、规范编制或者项目管理、监理、检测等服务的，不得再参加此项目的其他</w:t>
      </w:r>
      <w:r>
        <w:rPr>
          <w:rFonts w:hint="eastAsia" w:ascii="宋体" w:hAnsi="宋体" w:cs="Times New Roman"/>
          <w:color w:val="auto"/>
          <w:szCs w:val="21"/>
          <w:highlight w:val="none"/>
          <w:lang w:val="en-US" w:eastAsia="zh-CN"/>
        </w:rPr>
        <w:t>政府</w:t>
      </w:r>
      <w:r>
        <w:rPr>
          <w:rFonts w:hint="eastAsia" w:ascii="宋体" w:hAnsi="宋体" w:eastAsia="宋体" w:cs="Times New Roman"/>
          <w:color w:val="auto"/>
          <w:szCs w:val="21"/>
          <w:highlight w:val="none"/>
        </w:rPr>
        <w:t>采购活动。</w:t>
      </w:r>
    </w:p>
    <w:p w14:paraId="10E35EE2">
      <w:pPr>
        <w:adjustRightInd w:val="0"/>
        <w:snapToGrid w:val="0"/>
        <w:spacing w:line="440" w:lineRule="exact"/>
        <w:ind w:firstLine="525" w:firstLineChars="250"/>
        <w:outlineLvl w:val="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5、列入失信被执行人、重大税收违法案件当事人名单，列入政府采购严重违法失信行为记录名单的，拒绝其参与政府采购活动。</w:t>
      </w:r>
    </w:p>
    <w:p w14:paraId="3D80744B">
      <w:pPr>
        <w:adjustRightInd w:val="0"/>
        <w:snapToGrid w:val="0"/>
        <w:spacing w:line="440" w:lineRule="exact"/>
        <w:ind w:firstLine="525" w:firstLineChars="250"/>
        <w:outlineLvl w:val="9"/>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6、联合体</w:t>
      </w:r>
      <w:r>
        <w:rPr>
          <w:rFonts w:hint="eastAsia" w:ascii="宋体" w:hAnsi="宋体" w:cs="Times New Roman"/>
          <w:color w:val="auto"/>
          <w:szCs w:val="21"/>
          <w:highlight w:val="none"/>
          <w:lang w:eastAsia="zh-CN"/>
        </w:rPr>
        <w:t>响应</w:t>
      </w:r>
      <w:r>
        <w:rPr>
          <w:rFonts w:hint="eastAsia" w:ascii="宋体" w:hAnsi="宋体" w:eastAsia="宋体" w:cs="Times New Roman"/>
          <w:color w:val="auto"/>
          <w:szCs w:val="21"/>
          <w:highlight w:val="none"/>
        </w:rPr>
        <w:t>。本次</w:t>
      </w:r>
      <w:bookmarkStart w:id="10" w:name="EBef6eec53481f4cd1baabd0c7a0f51e7d"/>
      <w:r>
        <w:rPr>
          <w:rFonts w:hint="eastAsia" w:ascii="宋体" w:hAnsi="宋体" w:cs="Times New Roman"/>
          <w:color w:val="auto"/>
          <w:szCs w:val="21"/>
          <w:highlight w:val="none"/>
          <w:lang w:val="en-US" w:eastAsia="zh-CN"/>
        </w:rPr>
        <w:t>磋商</w:t>
      </w:r>
      <w:r>
        <w:rPr>
          <w:rFonts w:hint="eastAsia" w:ascii="宋体" w:hAnsi="宋体" w:eastAsia="宋体" w:cs="Times New Roman"/>
          <w:color w:val="auto"/>
          <w:szCs w:val="21"/>
          <w:highlight w:val="none"/>
        </w:rPr>
        <w:t>不接受</w:t>
      </w:r>
      <w:bookmarkEnd w:id="10"/>
      <w:r>
        <w:rPr>
          <w:rFonts w:hint="eastAsia" w:ascii="宋体" w:hAnsi="宋体" w:eastAsia="宋体" w:cs="Times New Roman"/>
          <w:color w:val="auto"/>
          <w:szCs w:val="21"/>
          <w:highlight w:val="none"/>
        </w:rPr>
        <w:t>(接受或不接受)联合体</w:t>
      </w:r>
      <w:r>
        <w:rPr>
          <w:rFonts w:hint="eastAsia" w:ascii="宋体" w:hAnsi="宋体" w:cs="Times New Roman"/>
          <w:color w:val="auto"/>
          <w:szCs w:val="21"/>
          <w:highlight w:val="none"/>
          <w:lang w:eastAsia="zh-CN"/>
        </w:rPr>
        <w:t>响应</w:t>
      </w:r>
      <w:r>
        <w:rPr>
          <w:rFonts w:hint="eastAsia" w:ascii="宋体" w:hAnsi="宋体" w:eastAsia="宋体" w:cs="Times New Roman"/>
          <w:color w:val="auto"/>
          <w:szCs w:val="21"/>
          <w:highlight w:val="none"/>
        </w:rPr>
        <w:t>。接受联合体</w:t>
      </w:r>
      <w:r>
        <w:rPr>
          <w:rFonts w:hint="eastAsia" w:ascii="宋体" w:hAnsi="宋体" w:cs="Times New Roman"/>
          <w:color w:val="auto"/>
          <w:szCs w:val="21"/>
          <w:highlight w:val="none"/>
          <w:lang w:eastAsia="zh-CN"/>
        </w:rPr>
        <w:t>响应</w:t>
      </w:r>
      <w:r>
        <w:rPr>
          <w:rFonts w:hint="eastAsia" w:ascii="宋体" w:hAnsi="宋体" w:eastAsia="宋体" w:cs="Times New Roman"/>
          <w:color w:val="auto"/>
          <w:szCs w:val="21"/>
          <w:highlight w:val="none"/>
        </w:rPr>
        <w:t>的，联合体应当具备</w:t>
      </w:r>
      <w:bookmarkStart w:id="11" w:name="EB534ab47aea2044e09c7178929cf47967"/>
      <w:r>
        <w:rPr>
          <w:rFonts w:hint="eastAsia" w:ascii="宋体" w:hAnsi="宋体" w:eastAsia="宋体" w:cs="Times New Roman"/>
          <w:color w:val="auto"/>
          <w:szCs w:val="21"/>
          <w:highlight w:val="none"/>
        </w:rPr>
        <w:t>/</w:t>
      </w:r>
      <w:bookmarkEnd w:id="11"/>
      <w:r>
        <w:rPr>
          <w:rFonts w:hint="eastAsia" w:ascii="宋体" w:hAnsi="宋体" w:eastAsia="宋体" w:cs="Times New Roman"/>
          <w:color w:val="auto"/>
          <w:szCs w:val="21"/>
          <w:highlight w:val="none"/>
        </w:rPr>
        <w:t>。</w:t>
      </w:r>
    </w:p>
    <w:p w14:paraId="264F18D6">
      <w:pPr>
        <w:adjustRightInd w:val="0"/>
        <w:snapToGrid w:val="0"/>
        <w:spacing w:line="440" w:lineRule="exact"/>
        <w:outlineLvl w:val="1"/>
        <w:rPr>
          <w:rFonts w:ascii="宋体" w:hAnsi="宋体"/>
          <w:b/>
          <w:color w:val="auto"/>
          <w:szCs w:val="21"/>
          <w:highlight w:val="none"/>
        </w:rPr>
      </w:pPr>
      <w:bookmarkStart w:id="12" w:name="_Toc1492533583"/>
      <w:r>
        <w:rPr>
          <w:rFonts w:hint="eastAsia" w:ascii="宋体" w:hAnsi="宋体"/>
          <w:b/>
          <w:color w:val="auto"/>
          <w:szCs w:val="21"/>
          <w:highlight w:val="none"/>
          <w:lang w:val="en-US" w:eastAsia="zh-CN"/>
        </w:rPr>
        <w:t>四</w:t>
      </w:r>
      <w:r>
        <w:rPr>
          <w:rFonts w:hint="eastAsia" w:ascii="宋体" w:hAnsi="宋体"/>
          <w:b/>
          <w:color w:val="auto"/>
          <w:szCs w:val="21"/>
          <w:highlight w:val="none"/>
        </w:rPr>
        <w:t>、获取磋商文件的时间、地点、方式及磋商文件售价</w:t>
      </w:r>
      <w:bookmarkEnd w:id="12"/>
    </w:p>
    <w:p w14:paraId="2F5AF766">
      <w:pPr>
        <w:adjustRightInd w:val="0"/>
        <w:snapToGrid w:val="0"/>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1、报名及磋商文件发售时间：</w:t>
      </w:r>
      <w:r>
        <w:rPr>
          <w:rFonts w:hint="eastAsia" w:ascii="宋体" w:hAnsi="宋体"/>
          <w:color w:val="auto"/>
          <w:szCs w:val="21"/>
          <w:highlight w:val="none"/>
          <w:u w:val="single"/>
          <w:lang w:eastAsia="zh-CN"/>
        </w:rPr>
        <w:t xml:space="preserve"> 2026年 7  月  14 日起至 2026年 7 月 23 日</w:t>
      </w:r>
      <w:r>
        <w:rPr>
          <w:rFonts w:hint="eastAsia" w:ascii="宋体" w:hAnsi="宋体"/>
          <w:color w:val="auto"/>
          <w:szCs w:val="21"/>
          <w:highlight w:val="none"/>
        </w:rPr>
        <w:t>，每日上午</w:t>
      </w:r>
      <w:r>
        <w:rPr>
          <w:rFonts w:hint="eastAsia" w:ascii="宋体" w:hAnsi="宋体"/>
          <w:color w:val="auto"/>
          <w:highlight w:val="none"/>
          <w:u w:val="single"/>
        </w:rPr>
        <w:t>09:00</w:t>
      </w:r>
      <w:r>
        <w:rPr>
          <w:rFonts w:hint="eastAsia" w:ascii="宋体" w:hAnsi="宋体"/>
          <w:color w:val="auto"/>
          <w:highlight w:val="none"/>
        </w:rPr>
        <w:t xml:space="preserve"> ～ </w:t>
      </w:r>
      <w:r>
        <w:rPr>
          <w:rFonts w:hint="eastAsia" w:ascii="宋体" w:hAnsi="宋体"/>
          <w:color w:val="auto"/>
          <w:highlight w:val="none"/>
          <w:u w:val="single"/>
        </w:rPr>
        <w:t>12:00</w:t>
      </w:r>
      <w:r>
        <w:rPr>
          <w:rFonts w:hint="eastAsia" w:ascii="宋体" w:hAnsi="宋体"/>
          <w:color w:val="auto"/>
          <w:highlight w:val="none"/>
        </w:rPr>
        <w:t>，下午</w:t>
      </w:r>
      <w:r>
        <w:rPr>
          <w:rFonts w:hint="eastAsia" w:ascii="宋体" w:hAnsi="宋体"/>
          <w:color w:val="auto"/>
          <w:highlight w:val="none"/>
          <w:u w:val="single"/>
        </w:rPr>
        <w:t xml:space="preserve"> 14:00</w:t>
      </w:r>
      <w:r>
        <w:rPr>
          <w:rFonts w:hint="eastAsia" w:ascii="宋体" w:hAnsi="宋体"/>
          <w:color w:val="auto"/>
          <w:highlight w:val="none"/>
        </w:rPr>
        <w:t xml:space="preserve"> ～ </w:t>
      </w:r>
      <w:r>
        <w:rPr>
          <w:rFonts w:hint="eastAsia" w:ascii="宋体" w:hAnsi="宋体"/>
          <w:color w:val="auto"/>
          <w:highlight w:val="none"/>
          <w:u w:val="single"/>
        </w:rPr>
        <w:t>17:00</w:t>
      </w:r>
      <w:r>
        <w:rPr>
          <w:rFonts w:hint="eastAsia" w:ascii="宋体" w:hAnsi="宋体"/>
          <w:color w:val="auto"/>
          <w:szCs w:val="21"/>
          <w:highlight w:val="none"/>
        </w:rPr>
        <w:t xml:space="preserve"> （北京时间，下同）（周末、节假日除外）。 </w:t>
      </w:r>
    </w:p>
    <w:p w14:paraId="6BF1921C">
      <w:pPr>
        <w:adjustRightInd w:val="0"/>
        <w:snapToGrid w:val="0"/>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2、磋商文件获取：采购代理机构通过邮件发送磋商文</w:t>
      </w:r>
      <w:bookmarkStart w:id="131" w:name="_GoBack"/>
      <w:bookmarkEnd w:id="131"/>
      <w:r>
        <w:rPr>
          <w:rFonts w:hint="eastAsia" w:ascii="宋体" w:hAnsi="宋体"/>
          <w:color w:val="auto"/>
          <w:szCs w:val="21"/>
          <w:highlight w:val="none"/>
        </w:rPr>
        <w:t>件</w:t>
      </w:r>
      <w:r>
        <w:rPr>
          <w:rFonts w:ascii="宋体" w:hAnsi="宋体"/>
          <w:color w:val="auto"/>
          <w:szCs w:val="21"/>
          <w:highlight w:val="none"/>
        </w:rPr>
        <w:t>给报名资料符合要求的供应商</w:t>
      </w:r>
      <w:r>
        <w:rPr>
          <w:rFonts w:hint="eastAsia" w:ascii="宋体" w:hAnsi="宋体"/>
          <w:color w:val="auto"/>
          <w:szCs w:val="21"/>
          <w:highlight w:val="none"/>
        </w:rPr>
        <w:t xml:space="preserve">。 </w:t>
      </w:r>
    </w:p>
    <w:p w14:paraId="697A576E">
      <w:pPr>
        <w:adjustRightInd w:val="0"/>
        <w:snapToGrid w:val="0"/>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3、报名所需资料： </w:t>
      </w:r>
    </w:p>
    <w:p w14:paraId="229B5C09">
      <w:pPr>
        <w:adjustRightInd w:val="0"/>
        <w:snapToGrid w:val="0"/>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获取磋商文件的材料要求：本人身份证原件、供应商法人身份证明或其授权委托书（附法人身份证明，注：授权委托书的授权范围必须包含“递交报名资料及领取磋商文件”，否则不予受理）、供应商营业执照副本复印件（注：以上资料必须加盖供应商鲜章，否则不予受理）。提供以上资料（加盖单位公章）到长沙工程建设项目管理有限责任公司（长沙市芙蓉中路二段200号华侨国际1010房）获取磋商文件；或邮件方式报名：供应商以“报名项目名称-供应商全称-联系人姓名-联系电话”为邮件标题，将以上资料扫描件以PDF格式发送至邮箱：382317816@qq. com. 报名材料审核通过后，采购代理机构向供应商邮箱发送磋商文件电子版；审核未通过的，采购代理机构以邮件形式回复审核情况，供应商可在磋商文件申领时间内重新提交材料。（公告中其他地方内容与本内容不一致的，以本内容为准。）</w:t>
      </w:r>
    </w:p>
    <w:p w14:paraId="64FC2DD6">
      <w:pPr>
        <w:adjustRightInd w:val="0"/>
        <w:snapToGrid w:val="0"/>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4、逾期送达或未送达指定地点的响应文件，采购人不予受理。 </w:t>
      </w:r>
    </w:p>
    <w:p w14:paraId="7BBFDED6">
      <w:pPr>
        <w:adjustRightInd w:val="0"/>
        <w:snapToGrid w:val="0"/>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5、响应文件递交截止日期及</w:t>
      </w:r>
      <w:r>
        <w:rPr>
          <w:rFonts w:hint="eastAsia" w:ascii="宋体" w:hAnsi="宋体"/>
          <w:color w:val="auto"/>
          <w:szCs w:val="21"/>
          <w:highlight w:val="none"/>
          <w:lang w:val="en-US" w:eastAsia="zh-CN"/>
        </w:rPr>
        <w:t>响应文件开启</w:t>
      </w:r>
      <w:r>
        <w:rPr>
          <w:rFonts w:hint="eastAsia" w:ascii="宋体" w:hAnsi="宋体"/>
          <w:color w:val="auto"/>
          <w:szCs w:val="21"/>
          <w:highlight w:val="none"/>
        </w:rPr>
        <w:t>时间：</w:t>
      </w:r>
      <w:r>
        <w:rPr>
          <w:rFonts w:hint="eastAsia" w:ascii="宋体" w:hAnsi="宋体"/>
          <w:color w:val="auto"/>
          <w:szCs w:val="21"/>
          <w:highlight w:val="none"/>
          <w:u w:val="single"/>
          <w:lang w:eastAsia="zh-CN"/>
        </w:rPr>
        <w:t>2026年  7 月  27 日   9   时 30  分</w:t>
      </w:r>
      <w:r>
        <w:rPr>
          <w:rFonts w:hint="eastAsia" w:ascii="宋体" w:hAnsi="宋体"/>
          <w:color w:val="auto"/>
          <w:szCs w:val="21"/>
          <w:highlight w:val="none"/>
        </w:rPr>
        <w:t xml:space="preserve">。 </w:t>
      </w:r>
    </w:p>
    <w:p w14:paraId="3AEA459F">
      <w:pPr>
        <w:adjustRightInd w:val="0"/>
        <w:snapToGrid w:val="0"/>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6、响应文件送达地点和</w:t>
      </w:r>
      <w:r>
        <w:rPr>
          <w:rFonts w:hint="eastAsia" w:ascii="宋体" w:hAnsi="宋体"/>
          <w:color w:val="auto"/>
          <w:szCs w:val="21"/>
          <w:highlight w:val="none"/>
          <w:lang w:val="en-US" w:eastAsia="zh-CN"/>
        </w:rPr>
        <w:t>响应文件开启</w:t>
      </w:r>
      <w:r>
        <w:rPr>
          <w:rFonts w:hint="eastAsia" w:ascii="宋体" w:hAnsi="宋体"/>
          <w:color w:val="auto"/>
          <w:szCs w:val="21"/>
          <w:highlight w:val="none"/>
        </w:rPr>
        <w:t>地点：长沙工程建设项目管理有限责任公司开标室（长沙市芙蓉中路二段200号华侨国际1010室）。</w:t>
      </w:r>
    </w:p>
    <w:p w14:paraId="06D359EF">
      <w:pPr>
        <w:adjustRightInd w:val="0"/>
        <w:snapToGrid w:val="0"/>
        <w:spacing w:line="440" w:lineRule="exact"/>
        <w:outlineLvl w:val="1"/>
        <w:rPr>
          <w:rFonts w:ascii="宋体" w:hAnsi="宋体"/>
          <w:b/>
          <w:color w:val="auto"/>
          <w:szCs w:val="21"/>
          <w:highlight w:val="none"/>
        </w:rPr>
      </w:pPr>
      <w:bookmarkStart w:id="13" w:name="_Toc255448874"/>
      <w:r>
        <w:rPr>
          <w:rFonts w:hint="eastAsia" w:ascii="宋体" w:hAnsi="宋体"/>
          <w:b/>
          <w:color w:val="auto"/>
          <w:szCs w:val="21"/>
          <w:highlight w:val="none"/>
          <w:lang w:val="en-US" w:eastAsia="zh-CN"/>
        </w:rPr>
        <w:t>五</w:t>
      </w:r>
      <w:r>
        <w:rPr>
          <w:rFonts w:hint="eastAsia" w:ascii="宋体" w:hAnsi="宋体"/>
          <w:b/>
          <w:color w:val="auto"/>
          <w:szCs w:val="21"/>
          <w:highlight w:val="none"/>
        </w:rPr>
        <w:t>、响应文件提交的截止时间、开启时间及地点</w:t>
      </w:r>
      <w:bookmarkEnd w:id="13"/>
    </w:p>
    <w:p w14:paraId="5F30F29A">
      <w:pPr>
        <w:adjustRightInd w:val="0"/>
        <w:snapToGrid w:val="0"/>
        <w:spacing w:line="440" w:lineRule="exact"/>
        <w:ind w:firstLine="420" w:firstLineChars="200"/>
        <w:rPr>
          <w:color w:val="auto"/>
          <w:highlight w:val="none"/>
        </w:rPr>
      </w:pPr>
      <w:r>
        <w:rPr>
          <w:rFonts w:hint="eastAsia" w:ascii="宋体" w:hAnsi="宋体"/>
          <w:color w:val="auto"/>
          <w:szCs w:val="21"/>
          <w:highlight w:val="none"/>
        </w:rPr>
        <w:t>1、提</w:t>
      </w:r>
      <w:r>
        <w:rPr>
          <w:rFonts w:ascii="宋体" w:hAnsi="宋体"/>
          <w:color w:val="auto"/>
          <w:szCs w:val="21"/>
          <w:highlight w:val="none"/>
        </w:rPr>
        <w:t>交</w:t>
      </w:r>
      <w:r>
        <w:rPr>
          <w:rFonts w:hint="eastAsia" w:ascii="宋体" w:hAnsi="宋体"/>
          <w:color w:val="auto"/>
          <w:szCs w:val="21"/>
          <w:highlight w:val="none"/>
        </w:rPr>
        <w:t>首次响应</w:t>
      </w:r>
      <w:r>
        <w:rPr>
          <w:rFonts w:ascii="宋体" w:hAnsi="宋体"/>
          <w:color w:val="auto"/>
          <w:szCs w:val="21"/>
          <w:highlight w:val="none"/>
        </w:rPr>
        <w:t>文件的截止时间为</w:t>
      </w:r>
      <w:r>
        <w:rPr>
          <w:rFonts w:hint="eastAsia" w:ascii="宋体" w:hAnsi="宋体"/>
          <w:color w:val="auto"/>
          <w:szCs w:val="21"/>
          <w:highlight w:val="none"/>
          <w:u w:val="single"/>
          <w:lang w:val="en-US" w:eastAsia="zh-CN"/>
        </w:rPr>
        <w:t>2026年  7 月  27 日   9   时 30  分</w:t>
      </w:r>
      <w:r>
        <w:rPr>
          <w:rFonts w:hint="eastAsia" w:ascii="宋体" w:hAnsi="宋体"/>
          <w:color w:val="auto"/>
          <w:szCs w:val="21"/>
          <w:highlight w:val="none"/>
        </w:rPr>
        <w:t>（北京时间）</w:t>
      </w:r>
      <w:r>
        <w:rPr>
          <w:rFonts w:ascii="宋体" w:hAnsi="宋体"/>
          <w:color w:val="auto"/>
          <w:szCs w:val="21"/>
          <w:highlight w:val="none"/>
        </w:rPr>
        <w:t>，地点为</w:t>
      </w:r>
      <w:r>
        <w:rPr>
          <w:rFonts w:hint="eastAsia" w:ascii="宋体" w:hAnsi="宋体"/>
          <w:color w:val="auto"/>
          <w:szCs w:val="21"/>
          <w:highlight w:val="none"/>
          <w:u w:val="single"/>
        </w:rPr>
        <w:t>长沙工程建设项目管理有限责任公司（长沙市芙蓉中路二段200号华侨国际1010房）</w:t>
      </w:r>
      <w:r>
        <w:rPr>
          <w:rFonts w:hint="eastAsia" w:ascii="宋体" w:hAnsi="宋体"/>
          <w:color w:val="auto"/>
          <w:szCs w:val="21"/>
          <w:highlight w:val="none"/>
        </w:rPr>
        <w:t>。在截止时间后送达的响应文件为无效文件，采购人、采购代理机构或者磋商小组应当拒收。</w:t>
      </w:r>
    </w:p>
    <w:p w14:paraId="7ACB06DA">
      <w:pPr>
        <w:tabs>
          <w:tab w:val="left" w:pos="360"/>
        </w:tabs>
        <w:adjustRightInd w:val="0"/>
        <w:snapToGrid w:val="0"/>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2、首次响应文件的开启时间及地点与提交首次响应文件的截止时间及地点为同一时间及地点。</w:t>
      </w:r>
    </w:p>
    <w:p w14:paraId="72B040C7">
      <w:pPr>
        <w:adjustRightInd w:val="0"/>
        <w:snapToGrid w:val="0"/>
        <w:spacing w:line="440" w:lineRule="exact"/>
        <w:outlineLvl w:val="1"/>
        <w:rPr>
          <w:rFonts w:hint="eastAsia" w:ascii="宋体" w:hAnsi="宋体" w:cs="Times New Roman"/>
          <w:b/>
          <w:color w:val="auto"/>
          <w:szCs w:val="21"/>
          <w:highlight w:val="none"/>
        </w:rPr>
      </w:pPr>
      <w:bookmarkStart w:id="14" w:name="_Toc509414965"/>
      <w:r>
        <w:rPr>
          <w:rFonts w:hint="eastAsia" w:ascii="宋体" w:hAnsi="宋体" w:cs="Times New Roman"/>
          <w:b/>
          <w:color w:val="auto"/>
          <w:szCs w:val="21"/>
          <w:highlight w:val="none"/>
          <w:lang w:val="en-US" w:eastAsia="zh-CN"/>
        </w:rPr>
        <w:t>六</w:t>
      </w:r>
      <w:r>
        <w:rPr>
          <w:rFonts w:hint="eastAsia" w:ascii="宋体" w:hAnsi="宋体" w:cs="Times New Roman"/>
          <w:b/>
          <w:color w:val="auto"/>
          <w:szCs w:val="21"/>
          <w:highlight w:val="none"/>
        </w:rPr>
        <w:t>、公告期限</w:t>
      </w:r>
      <w:bookmarkEnd w:id="14"/>
    </w:p>
    <w:p w14:paraId="2DEACF89">
      <w:pPr>
        <w:widowControl/>
        <w:spacing w:line="360" w:lineRule="auto"/>
        <w:ind w:firstLine="420"/>
        <w:jc w:val="left"/>
        <w:rPr>
          <w:rFonts w:hint="eastAsia" w:ascii="宋体" w:hAnsi="宋体" w:cs="宋体"/>
          <w:color w:val="auto"/>
          <w:szCs w:val="21"/>
        </w:rPr>
      </w:pPr>
      <w:r>
        <w:rPr>
          <w:rFonts w:hint="eastAsia" w:ascii="宋体" w:hAnsi="宋体" w:cs="宋体"/>
          <w:color w:val="auto"/>
          <w:szCs w:val="21"/>
        </w:rPr>
        <w:t>1、本</w:t>
      </w:r>
      <w:r>
        <w:rPr>
          <w:rFonts w:hint="eastAsia" w:ascii="宋体" w:hAnsi="宋体" w:cs="宋体"/>
          <w:color w:val="auto"/>
          <w:szCs w:val="21"/>
          <w:lang w:eastAsia="zh-CN"/>
        </w:rPr>
        <w:t>磋商公告</w:t>
      </w:r>
      <w:r>
        <w:rPr>
          <w:rFonts w:hint="eastAsia" w:ascii="宋体" w:hAnsi="宋体" w:cs="宋体"/>
          <w:color w:val="auto"/>
          <w:szCs w:val="21"/>
        </w:rPr>
        <w:t>在中国湖南政府采购网（www.ccgp-hunan.gov.cn）发布。公告期限从本</w:t>
      </w:r>
      <w:r>
        <w:rPr>
          <w:rFonts w:hint="eastAsia" w:ascii="宋体" w:hAnsi="宋体" w:cs="宋体"/>
          <w:color w:val="auto"/>
          <w:szCs w:val="21"/>
          <w:lang w:eastAsia="zh-CN"/>
        </w:rPr>
        <w:t>磋商公告</w:t>
      </w:r>
      <w:r>
        <w:rPr>
          <w:rFonts w:hint="eastAsia" w:ascii="宋体" w:hAnsi="宋体" w:cs="宋体"/>
          <w:color w:val="auto"/>
          <w:szCs w:val="21"/>
        </w:rPr>
        <w:t>发布之日起5个工作日。</w:t>
      </w:r>
    </w:p>
    <w:p w14:paraId="75F4A5D7">
      <w:pPr>
        <w:widowControl/>
        <w:spacing w:line="360" w:lineRule="auto"/>
        <w:ind w:firstLine="420"/>
        <w:jc w:val="left"/>
        <w:rPr>
          <w:rFonts w:hint="eastAsia" w:ascii="宋体" w:hAnsi="宋体" w:cs="宋体"/>
          <w:color w:val="auto"/>
          <w:szCs w:val="21"/>
        </w:rPr>
      </w:pPr>
      <w:r>
        <w:rPr>
          <w:rFonts w:hint="eastAsia" w:ascii="宋体" w:hAnsi="宋体" w:cs="宋体"/>
          <w:color w:val="auto"/>
          <w:szCs w:val="21"/>
        </w:rPr>
        <w:t>2、在其他媒体发布的</w:t>
      </w:r>
      <w:r>
        <w:rPr>
          <w:rFonts w:hint="eastAsia" w:ascii="宋体" w:hAnsi="宋体" w:cs="宋体"/>
          <w:color w:val="auto"/>
          <w:szCs w:val="21"/>
          <w:lang w:eastAsia="zh-CN"/>
        </w:rPr>
        <w:t>磋商公告</w:t>
      </w:r>
      <w:r>
        <w:rPr>
          <w:rFonts w:hint="eastAsia" w:ascii="宋体" w:hAnsi="宋体" w:cs="宋体"/>
          <w:color w:val="auto"/>
          <w:szCs w:val="21"/>
        </w:rPr>
        <w:t>，公告内容以本</w:t>
      </w:r>
      <w:r>
        <w:rPr>
          <w:rFonts w:hint="eastAsia" w:ascii="宋体" w:hAnsi="宋体" w:cs="宋体"/>
          <w:color w:val="auto"/>
          <w:szCs w:val="21"/>
          <w:lang w:eastAsia="zh-CN"/>
        </w:rPr>
        <w:t>磋商公告</w:t>
      </w:r>
      <w:r>
        <w:rPr>
          <w:rFonts w:hint="eastAsia" w:ascii="宋体" w:hAnsi="宋体" w:cs="宋体"/>
          <w:color w:val="auto"/>
          <w:szCs w:val="21"/>
        </w:rPr>
        <w:t>指定媒体发布的公告为准；公告期限自本</w:t>
      </w:r>
      <w:r>
        <w:rPr>
          <w:rFonts w:hint="eastAsia" w:ascii="宋体" w:hAnsi="宋体" w:cs="宋体"/>
          <w:color w:val="auto"/>
          <w:szCs w:val="21"/>
          <w:lang w:eastAsia="zh-CN"/>
        </w:rPr>
        <w:t>磋商公告</w:t>
      </w:r>
      <w:r>
        <w:rPr>
          <w:rFonts w:hint="eastAsia" w:ascii="宋体" w:hAnsi="宋体" w:cs="宋体"/>
          <w:color w:val="auto"/>
          <w:szCs w:val="21"/>
        </w:rPr>
        <w:t>指定媒体最先发布公告之日起算。</w:t>
      </w:r>
    </w:p>
    <w:p w14:paraId="5DCCEE8F">
      <w:pPr>
        <w:adjustRightInd w:val="0"/>
        <w:snapToGrid w:val="0"/>
        <w:spacing w:line="360" w:lineRule="auto"/>
        <w:outlineLvl w:val="0"/>
        <w:rPr>
          <w:rFonts w:hint="eastAsia" w:ascii="宋体" w:hAnsi="宋体" w:cs="宋体"/>
          <w:b/>
          <w:color w:val="auto"/>
          <w:szCs w:val="21"/>
        </w:rPr>
      </w:pPr>
      <w:bookmarkStart w:id="15" w:name="_Toc1867499813"/>
      <w:r>
        <w:rPr>
          <w:rFonts w:hint="eastAsia" w:ascii="宋体" w:hAnsi="宋体" w:cs="宋体"/>
          <w:b/>
          <w:color w:val="auto"/>
          <w:szCs w:val="21"/>
          <w:lang w:val="en-US" w:eastAsia="zh-CN"/>
        </w:rPr>
        <w:t>七</w:t>
      </w:r>
      <w:r>
        <w:rPr>
          <w:rFonts w:hint="eastAsia" w:ascii="宋体" w:hAnsi="宋体" w:cs="宋体"/>
          <w:b/>
          <w:color w:val="auto"/>
          <w:szCs w:val="21"/>
        </w:rPr>
        <w:t>、询问及质疑</w:t>
      </w:r>
      <w:bookmarkEnd w:id="15"/>
    </w:p>
    <w:p w14:paraId="2A2E8DEC">
      <w:pPr>
        <w:widowControl/>
        <w:spacing w:line="360" w:lineRule="auto"/>
        <w:ind w:firstLine="420"/>
        <w:jc w:val="left"/>
        <w:rPr>
          <w:rFonts w:hint="eastAsia" w:ascii="宋体" w:hAnsi="宋体" w:cs="宋体"/>
          <w:color w:val="auto"/>
          <w:szCs w:val="21"/>
        </w:rPr>
      </w:pPr>
      <w:r>
        <w:rPr>
          <w:rFonts w:hint="eastAsia" w:ascii="宋体" w:hAnsi="宋体" w:cs="宋体"/>
          <w:color w:val="auto"/>
          <w:szCs w:val="21"/>
        </w:rPr>
        <w:t>1、供应商对政府采购活动事项如有疑问的，可以向采购人、采购代理机构提出询问。采购人、采购代理机构将在3个工作日内作出答复。</w:t>
      </w:r>
    </w:p>
    <w:p w14:paraId="6E8C13AC">
      <w:pPr>
        <w:widowControl/>
        <w:spacing w:line="360" w:lineRule="auto"/>
        <w:ind w:firstLine="420"/>
        <w:jc w:val="left"/>
        <w:rPr>
          <w:rFonts w:hint="eastAsia" w:ascii="宋体" w:hAnsi="宋体" w:cs="宋体"/>
          <w:color w:val="auto"/>
          <w:szCs w:val="21"/>
        </w:rPr>
      </w:pPr>
      <w:r>
        <w:rPr>
          <w:rFonts w:hint="eastAsia" w:ascii="宋体" w:hAnsi="宋体" w:cs="宋体"/>
          <w:color w:val="auto"/>
          <w:szCs w:val="21"/>
        </w:rPr>
        <w:t>2、供应商对电子交易平台办理CA证书、操作等如有疑问，请咨询电子交易平台服务机构。</w:t>
      </w:r>
    </w:p>
    <w:p w14:paraId="1C9E51D7">
      <w:pPr>
        <w:widowControl/>
        <w:spacing w:line="360" w:lineRule="auto"/>
        <w:ind w:firstLine="420"/>
        <w:jc w:val="left"/>
        <w:rPr>
          <w:rFonts w:hint="eastAsia" w:ascii="宋体" w:hAnsi="宋体" w:cs="宋体"/>
          <w:color w:val="auto"/>
          <w:szCs w:val="21"/>
        </w:rPr>
      </w:pPr>
      <w:r>
        <w:rPr>
          <w:rFonts w:hint="eastAsia" w:ascii="宋体" w:hAnsi="宋体" w:cs="宋体"/>
          <w:color w:val="auto"/>
          <w:szCs w:val="21"/>
        </w:rPr>
        <w:t>3、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130C44CE">
      <w:pPr>
        <w:widowControl/>
        <w:adjustRightInd w:val="0"/>
        <w:snapToGrid w:val="0"/>
        <w:spacing w:line="440" w:lineRule="exact"/>
        <w:ind w:firstLine="0"/>
        <w:jc w:val="left"/>
        <w:outlineLvl w:val="1"/>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lang w:val="en-US" w:eastAsia="zh-CN"/>
        </w:rPr>
        <w:t>八</w:t>
      </w:r>
      <w:r>
        <w:rPr>
          <w:rFonts w:hint="eastAsia" w:ascii="宋体" w:hAnsi="宋体" w:eastAsia="宋体" w:cs="Times New Roman"/>
          <w:b/>
          <w:color w:val="auto"/>
          <w:szCs w:val="21"/>
          <w:highlight w:val="none"/>
        </w:rPr>
        <w:t>、磋商说明</w:t>
      </w:r>
    </w:p>
    <w:p w14:paraId="500D71EB">
      <w:pPr>
        <w:widowControl/>
        <w:spacing w:line="360" w:lineRule="auto"/>
        <w:ind w:firstLine="420"/>
        <w:jc w:val="left"/>
        <w:rPr>
          <w:rFonts w:hint="eastAsia" w:ascii="宋体" w:hAnsi="宋体" w:cs="宋体"/>
          <w:color w:val="auto"/>
          <w:szCs w:val="21"/>
        </w:rPr>
      </w:pPr>
      <w:r>
        <w:rPr>
          <w:rFonts w:hint="eastAsia" w:ascii="宋体" w:hAnsi="宋体" w:cs="宋体"/>
          <w:color w:val="auto"/>
          <w:szCs w:val="21"/>
        </w:rPr>
        <w:t>1、本公告选项：</w:t>
      </w:r>
      <w:r>
        <w:rPr>
          <w:rFonts w:cs="Arial"/>
          <w:sz w:val="28"/>
          <w:szCs w:val="28"/>
        </w:rPr>
        <w:sym w:font="Wingdings 2" w:char="0052"/>
      </w:r>
      <w:r>
        <w:rPr>
          <w:rFonts w:hint="eastAsia" w:ascii="宋体" w:hAnsi="宋体" w:cs="宋体"/>
          <w:color w:val="auto"/>
          <w:szCs w:val="21"/>
        </w:rPr>
        <w:t>表示选择，</w:t>
      </w:r>
      <w:r>
        <w:rPr>
          <w:rFonts w:cs="Arial"/>
          <w:sz w:val="28"/>
          <w:szCs w:val="28"/>
        </w:rPr>
        <w:sym w:font="Wingdings 2" w:char="F0A3"/>
      </w:r>
      <w:r>
        <w:rPr>
          <w:rFonts w:hint="eastAsia" w:ascii="宋体" w:hAnsi="宋体" w:cs="宋体"/>
          <w:color w:val="auto"/>
          <w:szCs w:val="21"/>
        </w:rPr>
        <w:t>表示未选择。</w:t>
      </w:r>
    </w:p>
    <w:p w14:paraId="68FFB44A">
      <w:pPr>
        <w:widowControl/>
        <w:spacing w:line="360" w:lineRule="auto"/>
        <w:ind w:firstLine="420"/>
        <w:jc w:val="left"/>
        <w:rPr>
          <w:rFonts w:hint="eastAsia" w:ascii="宋体" w:hAnsi="宋体" w:cs="宋体"/>
          <w:color w:val="auto"/>
          <w:szCs w:val="21"/>
        </w:rPr>
      </w:pPr>
      <w:r>
        <w:rPr>
          <w:rFonts w:hint="eastAsia" w:ascii="宋体" w:hAnsi="宋体" w:cs="宋体"/>
          <w:color w:val="auto"/>
          <w:szCs w:val="21"/>
        </w:rPr>
        <w:t>2、供应商参与政府采购活动，无需向采购人、代理机构、交易平台缴纳任何费用。</w:t>
      </w:r>
    </w:p>
    <w:p w14:paraId="0D1F409A">
      <w:pPr>
        <w:adjustRightInd w:val="0"/>
        <w:snapToGrid w:val="0"/>
        <w:spacing w:line="440" w:lineRule="exact"/>
        <w:outlineLvl w:val="1"/>
        <w:rPr>
          <w:rFonts w:ascii="宋体" w:hAnsi="宋体"/>
          <w:b/>
          <w:color w:val="auto"/>
          <w:szCs w:val="21"/>
          <w:highlight w:val="none"/>
        </w:rPr>
      </w:pPr>
      <w:bookmarkStart w:id="16" w:name="_Toc1595856186"/>
      <w:r>
        <w:rPr>
          <w:rFonts w:hint="eastAsia" w:ascii="宋体" w:hAnsi="宋体"/>
          <w:b/>
          <w:color w:val="auto"/>
          <w:szCs w:val="21"/>
          <w:highlight w:val="none"/>
          <w:lang w:val="en-US" w:eastAsia="zh-CN"/>
        </w:rPr>
        <w:t>九</w:t>
      </w:r>
      <w:r>
        <w:rPr>
          <w:rFonts w:hint="eastAsia" w:ascii="宋体" w:hAnsi="宋体"/>
          <w:b/>
          <w:color w:val="auto"/>
          <w:szCs w:val="21"/>
          <w:highlight w:val="none"/>
        </w:rPr>
        <w:t>、采购项目联系人姓名和电话</w:t>
      </w:r>
      <w:bookmarkEnd w:id="16"/>
    </w:p>
    <w:p w14:paraId="57DCF753">
      <w:pPr>
        <w:adjustRightInd w:val="0"/>
        <w:snapToGrid w:val="0"/>
        <w:spacing w:line="440" w:lineRule="exact"/>
        <w:ind w:firstLine="420" w:firstLineChars="200"/>
        <w:rPr>
          <w:rFonts w:ascii="宋体" w:hAnsi="宋体"/>
          <w:iCs/>
          <w:color w:val="auto"/>
          <w:szCs w:val="21"/>
          <w:highlight w:val="none"/>
        </w:rPr>
      </w:pPr>
      <w:r>
        <w:rPr>
          <w:rFonts w:hint="eastAsia" w:ascii="宋体" w:hAnsi="宋体"/>
          <w:iCs/>
          <w:color w:val="auto"/>
          <w:szCs w:val="21"/>
          <w:highlight w:val="none"/>
        </w:rPr>
        <w:t>采购人：湖南省公路事务中心</w:t>
      </w:r>
    </w:p>
    <w:p w14:paraId="7BF57289">
      <w:pPr>
        <w:adjustRightInd w:val="0"/>
        <w:snapToGrid w:val="0"/>
        <w:spacing w:line="440" w:lineRule="exact"/>
        <w:ind w:firstLine="420" w:firstLineChars="200"/>
        <w:rPr>
          <w:rFonts w:ascii="宋体" w:hAnsi="宋体"/>
          <w:iCs/>
          <w:color w:val="auto"/>
          <w:szCs w:val="21"/>
          <w:highlight w:val="none"/>
        </w:rPr>
      </w:pPr>
      <w:r>
        <w:rPr>
          <w:rFonts w:hint="eastAsia" w:ascii="宋体" w:hAnsi="宋体"/>
          <w:iCs/>
          <w:color w:val="auto"/>
          <w:szCs w:val="21"/>
          <w:highlight w:val="none"/>
        </w:rPr>
        <w:t>地  址：湖南省长沙市八一路520号</w:t>
      </w:r>
    </w:p>
    <w:p w14:paraId="7EB627D2">
      <w:pPr>
        <w:adjustRightInd w:val="0"/>
        <w:snapToGrid w:val="0"/>
        <w:spacing w:line="440" w:lineRule="exact"/>
        <w:ind w:firstLine="420" w:firstLineChars="200"/>
        <w:rPr>
          <w:rFonts w:hint="eastAsia" w:ascii="宋体" w:hAnsi="宋体" w:eastAsia="宋体"/>
          <w:iCs/>
          <w:color w:val="auto"/>
          <w:szCs w:val="21"/>
          <w:highlight w:val="none"/>
          <w:lang w:eastAsia="zh-CN"/>
        </w:rPr>
      </w:pPr>
      <w:r>
        <w:rPr>
          <w:rFonts w:hint="eastAsia" w:ascii="宋体" w:hAnsi="宋体"/>
          <w:iCs/>
          <w:color w:val="auto"/>
          <w:szCs w:val="21"/>
          <w:highlight w:val="none"/>
        </w:rPr>
        <w:t>联系人：</w:t>
      </w:r>
      <w:r>
        <w:rPr>
          <w:rFonts w:hint="eastAsia" w:ascii="宋体" w:hAnsi="宋体"/>
          <w:iCs/>
          <w:color w:val="auto"/>
          <w:szCs w:val="21"/>
          <w:highlight w:val="none"/>
          <w:lang w:val="en-US" w:eastAsia="zh-CN"/>
        </w:rPr>
        <w:t>滕</w:t>
      </w:r>
      <w:r>
        <w:rPr>
          <w:rFonts w:hint="eastAsia" w:ascii="宋体" w:hAnsi="宋体"/>
          <w:iCs/>
          <w:color w:val="auto"/>
          <w:szCs w:val="21"/>
          <w:highlight w:val="none"/>
          <w:lang w:eastAsia="zh-CN"/>
        </w:rPr>
        <w:t>先生</w:t>
      </w:r>
    </w:p>
    <w:p w14:paraId="34B437AC">
      <w:pPr>
        <w:adjustRightInd w:val="0"/>
        <w:snapToGrid w:val="0"/>
        <w:spacing w:line="440" w:lineRule="exact"/>
        <w:ind w:firstLine="420" w:firstLineChars="200"/>
        <w:rPr>
          <w:rFonts w:hint="eastAsia" w:ascii="宋体" w:hAnsi="宋体"/>
          <w:iCs/>
          <w:color w:val="auto"/>
          <w:szCs w:val="21"/>
          <w:highlight w:val="yellow"/>
          <w:lang w:val="en-US" w:eastAsia="zh-CN"/>
        </w:rPr>
      </w:pPr>
      <w:r>
        <w:rPr>
          <w:rFonts w:hint="eastAsia" w:ascii="宋体" w:hAnsi="宋体"/>
          <w:iCs/>
          <w:color w:val="auto"/>
          <w:szCs w:val="21"/>
          <w:highlight w:val="none"/>
        </w:rPr>
        <w:t>电</w:t>
      </w:r>
      <w:r>
        <w:rPr>
          <w:rFonts w:ascii="宋体" w:hAnsi="宋体"/>
          <w:iCs/>
          <w:color w:val="auto"/>
          <w:szCs w:val="21"/>
          <w:highlight w:val="none"/>
        </w:rPr>
        <w:t xml:space="preserve">  </w:t>
      </w:r>
      <w:r>
        <w:rPr>
          <w:rFonts w:hint="eastAsia" w:ascii="宋体" w:hAnsi="宋体"/>
          <w:iCs/>
          <w:color w:val="auto"/>
          <w:szCs w:val="21"/>
          <w:highlight w:val="none"/>
        </w:rPr>
        <w:t>话：</w:t>
      </w:r>
      <w:r>
        <w:rPr>
          <w:rFonts w:hint="eastAsia" w:ascii="宋体" w:hAnsi="宋体"/>
          <w:iCs/>
          <w:color w:val="auto"/>
          <w:szCs w:val="21"/>
          <w:highlight w:val="none"/>
          <w:lang w:val="en-US" w:eastAsia="zh-CN"/>
        </w:rPr>
        <w:t>0731-82582315</w:t>
      </w:r>
    </w:p>
    <w:p w14:paraId="52173297">
      <w:pPr>
        <w:adjustRightInd w:val="0"/>
        <w:snapToGrid w:val="0"/>
        <w:spacing w:line="440" w:lineRule="exact"/>
        <w:ind w:firstLine="420" w:firstLineChars="200"/>
        <w:rPr>
          <w:rFonts w:ascii="宋体" w:hAnsi="宋体"/>
          <w:iCs/>
          <w:color w:val="auto"/>
          <w:szCs w:val="21"/>
          <w:highlight w:val="none"/>
        </w:rPr>
      </w:pPr>
      <w:r>
        <w:rPr>
          <w:rFonts w:hint="eastAsia" w:ascii="宋体" w:hAnsi="宋体"/>
          <w:iCs/>
          <w:color w:val="auto"/>
          <w:szCs w:val="21"/>
          <w:highlight w:val="none"/>
        </w:rPr>
        <w:t>采购代理机构：长沙工程建设项目管理有限责任公司</w:t>
      </w:r>
    </w:p>
    <w:p w14:paraId="2ED867E7">
      <w:pPr>
        <w:adjustRightInd w:val="0"/>
        <w:snapToGrid w:val="0"/>
        <w:spacing w:line="440" w:lineRule="exact"/>
        <w:ind w:firstLine="420" w:firstLineChars="200"/>
        <w:rPr>
          <w:rFonts w:ascii="宋体" w:hAnsi="宋体"/>
          <w:iCs/>
          <w:color w:val="auto"/>
          <w:szCs w:val="21"/>
          <w:highlight w:val="none"/>
        </w:rPr>
      </w:pPr>
      <w:r>
        <w:rPr>
          <w:rFonts w:hint="eastAsia" w:ascii="宋体" w:hAnsi="宋体"/>
          <w:iCs/>
          <w:color w:val="auto"/>
          <w:szCs w:val="21"/>
          <w:highlight w:val="none"/>
        </w:rPr>
        <w:t>地  址：长沙市芙蓉中路二段200号新世纪花苑4号栋1010房</w:t>
      </w:r>
    </w:p>
    <w:p w14:paraId="2BC0C34F">
      <w:pPr>
        <w:adjustRightInd w:val="0"/>
        <w:snapToGrid w:val="0"/>
        <w:spacing w:line="440" w:lineRule="exact"/>
        <w:ind w:firstLine="420" w:firstLineChars="200"/>
        <w:rPr>
          <w:rFonts w:hint="eastAsia" w:ascii="宋体" w:hAnsi="宋体" w:eastAsia="宋体"/>
          <w:iCs/>
          <w:color w:val="auto"/>
          <w:szCs w:val="21"/>
          <w:highlight w:val="none"/>
          <w:lang w:eastAsia="zh-CN"/>
        </w:rPr>
      </w:pPr>
      <w:r>
        <w:rPr>
          <w:rFonts w:hint="eastAsia" w:ascii="宋体" w:hAnsi="宋体"/>
          <w:iCs/>
          <w:color w:val="auto"/>
          <w:szCs w:val="21"/>
          <w:highlight w:val="none"/>
        </w:rPr>
        <w:t>联系人：</w:t>
      </w:r>
      <w:r>
        <w:rPr>
          <w:rFonts w:hint="eastAsia" w:ascii="宋体" w:hAnsi="宋体"/>
          <w:iCs/>
          <w:color w:val="auto"/>
          <w:szCs w:val="21"/>
          <w:highlight w:val="none"/>
          <w:lang w:eastAsia="zh-CN"/>
        </w:rPr>
        <w:t>朱茹玥、邹诗剑</w:t>
      </w:r>
    </w:p>
    <w:p w14:paraId="3E2A0840">
      <w:pPr>
        <w:adjustRightInd w:val="0"/>
        <w:snapToGrid w:val="0"/>
        <w:spacing w:line="440" w:lineRule="exact"/>
        <w:ind w:firstLine="420" w:firstLineChars="200"/>
        <w:rPr>
          <w:rFonts w:ascii="宋体" w:hAnsi="宋体"/>
          <w:iCs/>
          <w:color w:val="auto"/>
          <w:szCs w:val="21"/>
          <w:highlight w:val="none"/>
        </w:rPr>
      </w:pPr>
      <w:r>
        <w:rPr>
          <w:rFonts w:hint="eastAsia" w:ascii="宋体" w:hAnsi="宋体"/>
          <w:iCs/>
          <w:color w:val="auto"/>
          <w:szCs w:val="21"/>
          <w:highlight w:val="none"/>
        </w:rPr>
        <w:t>电  话：</w:t>
      </w:r>
      <w:bookmarkStart w:id="17" w:name="EBd19c180086c4460a943a153ea3987ff4"/>
      <w:r>
        <w:rPr>
          <w:rFonts w:hint="eastAsia" w:ascii="宋体" w:hAnsi="宋体"/>
          <w:iCs/>
          <w:color w:val="auto"/>
          <w:szCs w:val="21"/>
          <w:highlight w:val="none"/>
        </w:rPr>
        <w:t>18273388999</w:t>
      </w:r>
      <w:bookmarkEnd w:id="17"/>
    </w:p>
    <w:p w14:paraId="7B4C7EA7">
      <w:pPr>
        <w:adjustRightInd w:val="0"/>
        <w:snapToGrid w:val="0"/>
        <w:spacing w:line="360" w:lineRule="auto"/>
        <w:ind w:firstLine="420" w:firstLineChars="200"/>
        <w:jc w:val="center"/>
        <w:outlineLvl w:val="0"/>
        <w:rPr>
          <w:rFonts w:ascii="黑体" w:eastAsia="黑体"/>
          <w:b/>
          <w:color w:val="auto"/>
          <w:sz w:val="32"/>
          <w:szCs w:val="32"/>
          <w:highlight w:val="none"/>
        </w:rPr>
      </w:pPr>
      <w:r>
        <w:rPr>
          <w:rFonts w:ascii="宋体" w:hAnsi="宋体"/>
          <w:iCs/>
          <w:color w:val="auto"/>
          <w:szCs w:val="21"/>
          <w:highlight w:val="none"/>
        </w:rPr>
        <w:br w:type="page"/>
      </w:r>
      <w:r>
        <w:rPr>
          <w:rFonts w:hint="eastAsia" w:ascii="宋体" w:hAnsi="宋体"/>
          <w:iCs/>
          <w:color w:val="auto"/>
          <w:szCs w:val="21"/>
          <w:highlight w:val="none"/>
        </w:rPr>
        <w:t xml:space="preserve"> </w:t>
      </w:r>
      <w:bookmarkStart w:id="18" w:name="_Toc1631650719"/>
      <w:r>
        <w:rPr>
          <w:rFonts w:hint="eastAsia" w:ascii="黑体" w:eastAsia="黑体"/>
          <w:b/>
          <w:color w:val="auto"/>
          <w:sz w:val="32"/>
          <w:szCs w:val="32"/>
          <w:highlight w:val="none"/>
        </w:rPr>
        <w:t>第二章 磋商须知</w:t>
      </w:r>
      <w:bookmarkEnd w:id="18"/>
    </w:p>
    <w:p w14:paraId="5A81CD7C">
      <w:pPr>
        <w:pStyle w:val="12"/>
        <w:outlineLvl w:val="1"/>
        <w:rPr>
          <w:rFonts w:ascii="黑体" w:eastAsia="黑体"/>
          <w:b/>
          <w:color w:val="auto"/>
          <w:sz w:val="24"/>
          <w:szCs w:val="24"/>
          <w:highlight w:val="none"/>
        </w:rPr>
      </w:pPr>
      <w:bookmarkStart w:id="19" w:name="_Toc1934945690"/>
      <w:r>
        <w:rPr>
          <w:rFonts w:hint="eastAsia" w:ascii="黑体" w:eastAsia="黑体"/>
          <w:b/>
          <w:color w:val="auto"/>
          <w:sz w:val="24"/>
          <w:szCs w:val="24"/>
          <w:highlight w:val="none"/>
        </w:rPr>
        <w:t>磋商须知前附表</w:t>
      </w:r>
      <w:bookmarkEnd w:id="19"/>
    </w:p>
    <w:p w14:paraId="70D6ECF8">
      <w:pPr>
        <w:pStyle w:val="12"/>
        <w:rPr>
          <w:rFonts w:ascii="仿宋" w:hAnsi="仿宋" w:eastAsia="仿宋" w:cs="仿宋"/>
          <w:color w:val="auto"/>
          <w:highlight w:val="none"/>
        </w:rPr>
      </w:pPr>
      <w:r>
        <w:rPr>
          <w:rFonts w:hint="eastAsia" w:ascii="仿宋" w:hAnsi="仿宋" w:eastAsia="仿宋" w:cs="仿宋"/>
          <w:color w:val="auto"/>
          <w:highlight w:val="none"/>
        </w:rPr>
        <w:t>注： 请在方框□内划√选择，在“条款号”内限选一项。（本项目采用的条款用“■”标示）</w:t>
      </w:r>
    </w:p>
    <w:tbl>
      <w:tblPr>
        <w:tblStyle w:val="21"/>
        <w:tblpPr w:leftFromText="180" w:rightFromText="180" w:vertAnchor="text" w:tblpXSpec="center" w:tblpY="1"/>
        <w:tblOverlap w:val="never"/>
        <w:tblW w:w="10244"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58"/>
        <w:gridCol w:w="1950"/>
        <w:gridCol w:w="6536"/>
      </w:tblGrid>
      <w:tr w14:paraId="1D290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tblHeader/>
        </w:trPr>
        <w:tc>
          <w:tcPr>
            <w:tcW w:w="1758" w:type="dxa"/>
            <w:vAlign w:val="center"/>
          </w:tcPr>
          <w:p w14:paraId="1477ECF9">
            <w:pPr>
              <w:adjustRightInd w:val="0"/>
              <w:snapToGrid w:val="0"/>
              <w:jc w:val="center"/>
              <w:rPr>
                <w:rFonts w:ascii="宋体" w:hAnsi="宋体"/>
                <w:b/>
                <w:color w:val="auto"/>
                <w:szCs w:val="21"/>
                <w:highlight w:val="none"/>
              </w:rPr>
            </w:pPr>
            <w:r>
              <w:rPr>
                <w:rFonts w:hint="eastAsia" w:ascii="宋体" w:hAnsi="宋体"/>
                <w:b/>
                <w:color w:val="auto"/>
                <w:szCs w:val="21"/>
                <w:highlight w:val="none"/>
              </w:rPr>
              <w:t>条款号</w:t>
            </w:r>
          </w:p>
        </w:tc>
        <w:tc>
          <w:tcPr>
            <w:tcW w:w="1950" w:type="dxa"/>
            <w:vAlign w:val="center"/>
          </w:tcPr>
          <w:p w14:paraId="681E598C">
            <w:pPr>
              <w:adjustRightInd w:val="0"/>
              <w:snapToGrid w:val="0"/>
              <w:jc w:val="center"/>
              <w:rPr>
                <w:rFonts w:ascii="宋体" w:hAnsi="宋体"/>
                <w:b/>
                <w:color w:val="auto"/>
                <w:szCs w:val="21"/>
                <w:highlight w:val="none"/>
              </w:rPr>
            </w:pPr>
            <w:r>
              <w:rPr>
                <w:rFonts w:hint="eastAsia" w:ascii="宋体" w:hAnsi="宋体"/>
                <w:b/>
                <w:color w:val="auto"/>
                <w:szCs w:val="21"/>
                <w:highlight w:val="none"/>
              </w:rPr>
              <w:t>条款名称</w:t>
            </w:r>
          </w:p>
        </w:tc>
        <w:tc>
          <w:tcPr>
            <w:tcW w:w="6536" w:type="dxa"/>
            <w:vAlign w:val="center"/>
          </w:tcPr>
          <w:p w14:paraId="747D323A">
            <w:pPr>
              <w:adjustRightInd w:val="0"/>
              <w:snapToGrid w:val="0"/>
              <w:jc w:val="center"/>
              <w:rPr>
                <w:rFonts w:ascii="宋体" w:hAnsi="宋体"/>
                <w:b/>
                <w:color w:val="auto"/>
                <w:szCs w:val="21"/>
                <w:highlight w:val="none"/>
              </w:rPr>
            </w:pPr>
            <w:r>
              <w:rPr>
                <w:rFonts w:hint="eastAsia" w:ascii="宋体" w:hAnsi="宋体"/>
                <w:b/>
                <w:color w:val="auto"/>
                <w:szCs w:val="21"/>
                <w:highlight w:val="none"/>
              </w:rPr>
              <w:t>编列内容规定</w:t>
            </w:r>
          </w:p>
        </w:tc>
      </w:tr>
      <w:tr w14:paraId="48D9AC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7" w:hRule="atLeast"/>
        </w:trPr>
        <w:tc>
          <w:tcPr>
            <w:tcW w:w="10244" w:type="dxa"/>
            <w:gridSpan w:val="3"/>
            <w:vAlign w:val="center"/>
          </w:tcPr>
          <w:p w14:paraId="114DF296">
            <w:pPr>
              <w:adjustRightInd w:val="0"/>
              <w:snapToGrid w:val="0"/>
              <w:rPr>
                <w:rFonts w:ascii="宋体" w:hAnsi="宋体"/>
                <w:color w:val="auto"/>
                <w:szCs w:val="21"/>
                <w:highlight w:val="none"/>
              </w:rPr>
            </w:pPr>
            <w:r>
              <w:rPr>
                <w:rFonts w:hint="eastAsia" w:ascii="宋体" w:hAnsi="宋体"/>
                <w:b/>
                <w:color w:val="auto"/>
                <w:szCs w:val="21"/>
                <w:highlight w:val="none"/>
              </w:rPr>
              <w:t>一、说明</w:t>
            </w:r>
          </w:p>
        </w:tc>
      </w:tr>
      <w:tr w14:paraId="7398ED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1758" w:type="dxa"/>
            <w:vAlign w:val="center"/>
          </w:tcPr>
          <w:p w14:paraId="411CF720">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第二章第1.1款</w:t>
            </w:r>
          </w:p>
        </w:tc>
        <w:tc>
          <w:tcPr>
            <w:tcW w:w="1950" w:type="dxa"/>
            <w:vAlign w:val="center"/>
          </w:tcPr>
          <w:p w14:paraId="075AF775">
            <w:pPr>
              <w:adjustRightInd w:val="0"/>
              <w:snapToGrid w:val="0"/>
              <w:jc w:val="center"/>
              <w:rPr>
                <w:rFonts w:ascii="宋体" w:hAnsi="宋体"/>
                <w:color w:val="auto"/>
                <w:szCs w:val="21"/>
                <w:highlight w:val="none"/>
              </w:rPr>
            </w:pPr>
            <w:r>
              <w:rPr>
                <w:rFonts w:hint="eastAsia" w:ascii="宋体" w:hAnsi="宋体"/>
                <w:color w:val="auto"/>
                <w:szCs w:val="21"/>
                <w:highlight w:val="none"/>
              </w:rPr>
              <w:t>采购项目</w:t>
            </w:r>
          </w:p>
        </w:tc>
        <w:tc>
          <w:tcPr>
            <w:tcW w:w="6536" w:type="dxa"/>
            <w:vAlign w:val="center"/>
          </w:tcPr>
          <w:p w14:paraId="57599145">
            <w:pPr>
              <w:adjustRightInd w:val="0"/>
              <w:snapToGrid w:val="0"/>
              <w:rPr>
                <w:rFonts w:ascii="宋体" w:hAnsi="宋体"/>
                <w:color w:val="auto"/>
                <w:szCs w:val="21"/>
                <w:highlight w:val="none"/>
              </w:rPr>
            </w:pPr>
            <w:r>
              <w:rPr>
                <w:rFonts w:hint="eastAsia" w:ascii="宋体" w:hAnsi="宋体"/>
                <w:color w:val="auto"/>
                <w:szCs w:val="21"/>
                <w:highlight w:val="none"/>
                <w:lang w:eastAsia="zh-CN"/>
              </w:rPr>
              <w:t>2026年湖南省国省干线公路重点桥隧监测项目</w:t>
            </w:r>
            <w:r>
              <w:rPr>
                <w:rFonts w:hint="eastAsia" w:ascii="宋体" w:hAnsi="宋体"/>
                <w:color w:val="auto"/>
                <w:szCs w:val="21"/>
                <w:highlight w:val="none"/>
              </w:rPr>
              <w:t xml:space="preserve">  </w:t>
            </w:r>
          </w:p>
        </w:tc>
      </w:tr>
      <w:tr w14:paraId="6053FC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1758" w:type="dxa"/>
            <w:vMerge w:val="restart"/>
            <w:vAlign w:val="center"/>
          </w:tcPr>
          <w:p w14:paraId="5676E9F1">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第二章第1.</w:t>
            </w:r>
            <w:r>
              <w:rPr>
                <w:rFonts w:hint="eastAsia" w:ascii="宋体" w:hAnsi="宋体"/>
                <w:color w:val="auto"/>
                <w:szCs w:val="21"/>
                <w:highlight w:val="none"/>
                <w:lang w:val="en-US" w:eastAsia="zh-CN"/>
              </w:rPr>
              <w:t>2</w:t>
            </w:r>
            <w:r>
              <w:rPr>
                <w:rFonts w:hint="eastAsia" w:ascii="宋体" w:hAnsi="宋体"/>
                <w:color w:val="auto"/>
                <w:szCs w:val="21"/>
                <w:highlight w:val="none"/>
              </w:rPr>
              <w:t>款</w:t>
            </w:r>
          </w:p>
        </w:tc>
        <w:tc>
          <w:tcPr>
            <w:tcW w:w="1950" w:type="dxa"/>
            <w:vAlign w:val="center"/>
          </w:tcPr>
          <w:p w14:paraId="481DA532">
            <w:pPr>
              <w:adjustRightInd w:val="0"/>
              <w:snapToGrid w:val="0"/>
              <w:spacing w:line="360" w:lineRule="auto"/>
              <w:jc w:val="center"/>
              <w:rPr>
                <w:rFonts w:hint="eastAsia" w:ascii="宋体" w:hAnsi="宋体"/>
                <w:b w:val="0"/>
                <w:bCs w:val="0"/>
                <w:color w:val="auto"/>
                <w:szCs w:val="21"/>
                <w:highlight w:val="none"/>
              </w:rPr>
            </w:pPr>
            <w:r>
              <w:rPr>
                <w:rFonts w:hint="eastAsia" w:ascii="宋体" w:hAnsi="宋体"/>
                <w:b w:val="0"/>
                <w:bCs w:val="0"/>
                <w:color w:val="auto"/>
                <w:szCs w:val="21"/>
                <w:highlight w:val="none"/>
                <w:lang w:val="en-US" w:eastAsia="zh-CN"/>
              </w:rPr>
              <w:t>专门面向中小企业</w:t>
            </w:r>
          </w:p>
        </w:tc>
        <w:tc>
          <w:tcPr>
            <w:tcW w:w="6536" w:type="dxa"/>
            <w:vAlign w:val="center"/>
          </w:tcPr>
          <w:p w14:paraId="7588499E">
            <w:pPr>
              <w:adjustRightInd w:val="0"/>
              <w:snapToGrid w:val="0"/>
              <w:spacing w:line="360" w:lineRule="auto"/>
              <w:rPr>
                <w:rFonts w:hint="eastAsia" w:hAnsi="宋体"/>
                <w:color w:val="auto"/>
                <w:kern w:val="2"/>
                <w:sz w:val="21"/>
                <w:szCs w:val="21"/>
                <w:highlight w:val="white"/>
                <w:lang w:val="en-US" w:eastAsia="zh-CN" w:bidi="ar-SA"/>
              </w:rPr>
            </w:pPr>
            <w:r>
              <w:rPr>
                <w:rFonts w:hint="eastAsia" w:hAnsi="宋体"/>
                <w:color w:val="auto"/>
                <w:kern w:val="2"/>
                <w:sz w:val="21"/>
                <w:szCs w:val="21"/>
                <w:highlight w:val="white"/>
                <w:lang w:val="en-US" w:eastAsia="zh-CN" w:bidi="ar-SA"/>
              </w:rPr>
              <w:t>□本项目专门面向中小企业采购</w:t>
            </w:r>
          </w:p>
          <w:p w14:paraId="4D65C6D5">
            <w:pPr>
              <w:adjustRightInd w:val="0"/>
              <w:snapToGrid w:val="0"/>
              <w:spacing w:line="360" w:lineRule="auto"/>
              <w:rPr>
                <w:rFonts w:hint="eastAsia" w:hAnsi="宋体"/>
                <w:color w:val="auto"/>
                <w:kern w:val="2"/>
                <w:sz w:val="21"/>
                <w:szCs w:val="21"/>
                <w:highlight w:val="white"/>
                <w:lang w:val="en-US" w:eastAsia="zh-CN" w:bidi="ar-SA"/>
              </w:rPr>
            </w:pPr>
            <w:r>
              <w:rPr>
                <w:rFonts w:hint="eastAsia" w:hAnsi="宋体"/>
                <w:color w:val="auto"/>
                <w:kern w:val="2"/>
                <w:sz w:val="21"/>
                <w:szCs w:val="21"/>
                <w:highlight w:val="white"/>
                <w:lang w:val="en-US" w:eastAsia="zh-CN" w:bidi="ar-SA"/>
              </w:rPr>
              <w:t>□本项目（）包专门面向中小企业采购</w:t>
            </w:r>
          </w:p>
          <w:p w14:paraId="57269AEF">
            <w:pPr>
              <w:adjustRightInd w:val="0"/>
              <w:snapToGrid w:val="0"/>
              <w:spacing w:line="360" w:lineRule="auto"/>
              <w:rPr>
                <w:rFonts w:hint="eastAsia" w:hAnsi="宋体"/>
                <w:color w:val="auto"/>
                <w:kern w:val="2"/>
                <w:sz w:val="21"/>
                <w:szCs w:val="21"/>
                <w:highlight w:val="white"/>
                <w:lang w:val="en-US" w:eastAsia="zh-CN" w:bidi="ar-SA"/>
              </w:rPr>
            </w:pPr>
            <w:r>
              <w:rPr>
                <w:rFonts w:hint="eastAsia" w:hAnsi="宋体"/>
                <w:color w:val="auto"/>
                <w:kern w:val="2"/>
                <w:sz w:val="21"/>
                <w:szCs w:val="21"/>
                <w:highlight w:val="white"/>
                <w:lang w:val="en-US" w:eastAsia="zh-CN" w:bidi="ar-SA"/>
              </w:rPr>
              <w:t>□本项目专门面向小微企业采购</w:t>
            </w:r>
          </w:p>
          <w:p w14:paraId="69C29513">
            <w:pPr>
              <w:adjustRightInd w:val="0"/>
              <w:snapToGrid w:val="0"/>
              <w:spacing w:line="360" w:lineRule="auto"/>
              <w:rPr>
                <w:rFonts w:hint="eastAsia" w:ascii="宋体" w:hAnsi="宋体"/>
                <w:color w:val="auto"/>
                <w:szCs w:val="21"/>
                <w:highlight w:val="none"/>
                <w:lang w:eastAsia="zh-CN"/>
              </w:rPr>
            </w:pPr>
            <w:r>
              <w:rPr>
                <w:rFonts w:hint="eastAsia" w:hAnsi="宋体"/>
                <w:color w:val="auto"/>
                <w:kern w:val="2"/>
                <w:sz w:val="21"/>
                <w:szCs w:val="21"/>
                <w:highlight w:val="white"/>
                <w:lang w:val="en-US" w:eastAsia="zh-CN" w:bidi="ar-SA"/>
              </w:rPr>
              <w:t>□本项目（）包专门面向小微企业采购</w:t>
            </w:r>
          </w:p>
        </w:tc>
      </w:tr>
      <w:tr w14:paraId="06EAED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1758" w:type="dxa"/>
            <w:vMerge w:val="continue"/>
            <w:vAlign w:val="center"/>
          </w:tcPr>
          <w:p w14:paraId="0CCA39BF">
            <w:pPr>
              <w:adjustRightInd w:val="0"/>
              <w:snapToGrid w:val="0"/>
              <w:spacing w:line="360" w:lineRule="auto"/>
              <w:jc w:val="center"/>
              <w:rPr>
                <w:rFonts w:hint="eastAsia" w:ascii="宋体" w:hAnsi="宋体"/>
                <w:color w:val="auto"/>
                <w:szCs w:val="21"/>
                <w:highlight w:val="none"/>
              </w:rPr>
            </w:pPr>
          </w:p>
        </w:tc>
        <w:tc>
          <w:tcPr>
            <w:tcW w:w="1950" w:type="dxa"/>
            <w:vAlign w:val="center"/>
          </w:tcPr>
          <w:p w14:paraId="38574EBA">
            <w:pPr>
              <w:adjustRightInd w:val="0"/>
              <w:snapToGrid w:val="0"/>
              <w:spacing w:line="360" w:lineRule="auto"/>
              <w:jc w:val="center"/>
              <w:rPr>
                <w:rFonts w:hint="eastAsia" w:ascii="宋体" w:hAnsi="宋体"/>
                <w:b w:val="0"/>
                <w:bCs w:val="0"/>
                <w:color w:val="auto"/>
                <w:szCs w:val="21"/>
                <w:highlight w:val="none"/>
              </w:rPr>
            </w:pPr>
            <w:r>
              <w:rPr>
                <w:rFonts w:hint="eastAsia" w:ascii="宋体" w:hAnsi="宋体"/>
                <w:b w:val="0"/>
                <w:bCs w:val="0"/>
                <w:color w:val="auto"/>
                <w:szCs w:val="21"/>
                <w:highlight w:val="none"/>
                <w:lang w:val="en-US" w:eastAsia="zh-CN"/>
              </w:rPr>
              <w:t>非专门面向中小企业采购</w:t>
            </w:r>
          </w:p>
        </w:tc>
        <w:tc>
          <w:tcPr>
            <w:tcW w:w="6536" w:type="dxa"/>
            <w:vAlign w:val="center"/>
          </w:tcPr>
          <w:p w14:paraId="5F606C87">
            <w:pPr>
              <w:adjustRightInd w:val="0"/>
              <w:snapToGrid w:val="0"/>
              <w:spacing w:line="360" w:lineRule="auto"/>
              <w:rPr>
                <w:rFonts w:hint="eastAsia" w:ascii="宋体" w:hAnsi="宋体"/>
                <w:color w:val="auto"/>
                <w:szCs w:val="21"/>
                <w:highlight w:val="none"/>
                <w:lang w:eastAsia="zh-CN"/>
              </w:rPr>
            </w:pPr>
            <w:r>
              <w:rPr>
                <w:rFonts w:hint="eastAsia" w:ascii="宋体" w:hAnsi="宋体"/>
                <w:color w:val="auto"/>
                <w:szCs w:val="21"/>
                <w:highlight w:val="none"/>
              </w:rPr>
              <w:t>■</w:t>
            </w:r>
          </w:p>
        </w:tc>
      </w:tr>
      <w:tr w14:paraId="5D29A4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7" w:hRule="atLeast"/>
        </w:trPr>
        <w:tc>
          <w:tcPr>
            <w:tcW w:w="1758" w:type="dxa"/>
            <w:vAlign w:val="center"/>
          </w:tcPr>
          <w:p w14:paraId="01A313F2">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第二章第2.1款</w:t>
            </w:r>
          </w:p>
        </w:tc>
        <w:tc>
          <w:tcPr>
            <w:tcW w:w="1950" w:type="dxa"/>
            <w:vAlign w:val="center"/>
          </w:tcPr>
          <w:p w14:paraId="2901E3FC">
            <w:pPr>
              <w:adjustRightInd w:val="0"/>
              <w:snapToGrid w:val="0"/>
              <w:jc w:val="center"/>
              <w:rPr>
                <w:rFonts w:ascii="宋体" w:hAnsi="宋体"/>
                <w:color w:val="auto"/>
                <w:szCs w:val="21"/>
                <w:highlight w:val="none"/>
              </w:rPr>
            </w:pPr>
            <w:r>
              <w:rPr>
                <w:rFonts w:hint="eastAsia" w:ascii="宋体" w:hAnsi="宋体"/>
                <w:color w:val="auto"/>
                <w:szCs w:val="21"/>
                <w:highlight w:val="none"/>
              </w:rPr>
              <w:t>采购人</w:t>
            </w:r>
          </w:p>
        </w:tc>
        <w:tc>
          <w:tcPr>
            <w:tcW w:w="6536" w:type="dxa"/>
            <w:vAlign w:val="center"/>
          </w:tcPr>
          <w:p w14:paraId="7D00D1E0">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采购人：湖南省公路事务中心</w:t>
            </w:r>
          </w:p>
          <w:p w14:paraId="3E327C5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地  址：湖南省长沙市八一路520号</w:t>
            </w:r>
          </w:p>
          <w:p w14:paraId="684A2AEC">
            <w:pPr>
              <w:adjustRightInd w:val="0"/>
              <w:snapToGrid w:val="0"/>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联系人：</w:t>
            </w:r>
            <w:r>
              <w:rPr>
                <w:rFonts w:hint="eastAsia" w:ascii="宋体" w:hAnsi="宋体"/>
                <w:color w:val="auto"/>
                <w:szCs w:val="21"/>
                <w:highlight w:val="none"/>
                <w:lang w:eastAsia="zh-CN"/>
              </w:rPr>
              <w:t>滕先生</w:t>
            </w:r>
          </w:p>
          <w:p w14:paraId="73043A49">
            <w:pPr>
              <w:adjustRightInd w:val="0"/>
              <w:snapToGrid w:val="0"/>
              <w:spacing w:line="360" w:lineRule="auto"/>
              <w:rPr>
                <w:rFonts w:hint="default" w:ascii="宋体" w:hAnsi="宋体" w:eastAsia="宋体"/>
                <w:color w:val="auto"/>
                <w:szCs w:val="21"/>
                <w:highlight w:val="none"/>
                <w:lang w:val="en-US" w:eastAsia="zh-CN"/>
              </w:rPr>
            </w:pPr>
            <w:r>
              <w:rPr>
                <w:rFonts w:hint="eastAsia" w:ascii="宋体" w:hAnsi="宋体"/>
                <w:color w:val="auto"/>
                <w:szCs w:val="21"/>
                <w:highlight w:val="none"/>
              </w:rPr>
              <w:t>电  话：</w:t>
            </w:r>
            <w:r>
              <w:rPr>
                <w:rFonts w:hint="eastAsia" w:ascii="宋体" w:hAnsi="宋体"/>
                <w:iCs/>
                <w:color w:val="auto"/>
                <w:szCs w:val="21"/>
                <w:highlight w:val="none"/>
                <w:lang w:val="en-US" w:eastAsia="zh-CN"/>
              </w:rPr>
              <w:t>0731-82582315</w:t>
            </w:r>
          </w:p>
        </w:tc>
      </w:tr>
      <w:tr w14:paraId="76CC44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758" w:type="dxa"/>
            <w:vAlign w:val="center"/>
          </w:tcPr>
          <w:p w14:paraId="6997AF26">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第二章第2.2款</w:t>
            </w:r>
          </w:p>
        </w:tc>
        <w:tc>
          <w:tcPr>
            <w:tcW w:w="1950" w:type="dxa"/>
            <w:vAlign w:val="center"/>
          </w:tcPr>
          <w:p w14:paraId="726753CE">
            <w:pPr>
              <w:adjustRightInd w:val="0"/>
              <w:snapToGrid w:val="0"/>
              <w:jc w:val="center"/>
              <w:rPr>
                <w:rFonts w:ascii="宋体" w:hAnsi="宋体"/>
                <w:color w:val="auto"/>
                <w:szCs w:val="21"/>
                <w:highlight w:val="none"/>
              </w:rPr>
            </w:pPr>
            <w:r>
              <w:rPr>
                <w:rFonts w:hint="eastAsia" w:ascii="宋体" w:hAnsi="宋体"/>
                <w:color w:val="auto"/>
                <w:szCs w:val="21"/>
                <w:highlight w:val="none"/>
              </w:rPr>
              <w:t>采购代理机构</w:t>
            </w:r>
          </w:p>
        </w:tc>
        <w:tc>
          <w:tcPr>
            <w:tcW w:w="6536" w:type="dxa"/>
            <w:vAlign w:val="center"/>
          </w:tcPr>
          <w:p w14:paraId="70A8DA2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名称：长沙工程建设项目管理有限责任公司</w:t>
            </w:r>
          </w:p>
          <w:p w14:paraId="117C5D79">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地址：长沙市芙蓉中路二段200号新世纪花苑4号栋1010房</w:t>
            </w:r>
            <w:r>
              <w:rPr>
                <w:rFonts w:hint="eastAsia" w:ascii="宋体" w:hAnsi="宋体"/>
                <w:color w:val="auto"/>
                <w:szCs w:val="21"/>
                <w:highlight w:val="none"/>
              </w:rPr>
              <w:tab/>
            </w:r>
          </w:p>
          <w:p w14:paraId="5ED8CF97">
            <w:pPr>
              <w:adjustRightInd w:val="0"/>
              <w:snapToGrid w:val="0"/>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联系人：</w:t>
            </w:r>
            <w:r>
              <w:rPr>
                <w:rFonts w:hint="eastAsia" w:ascii="宋体" w:hAnsi="宋体"/>
                <w:color w:val="auto"/>
                <w:szCs w:val="21"/>
                <w:highlight w:val="none"/>
                <w:lang w:eastAsia="zh-CN"/>
              </w:rPr>
              <w:t>朱茹玥、邹诗剑</w:t>
            </w:r>
          </w:p>
          <w:p w14:paraId="2E6B5523">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联系电话：18273388999</w:t>
            </w:r>
          </w:p>
        </w:tc>
      </w:tr>
      <w:tr w14:paraId="07215C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 w:hRule="atLeast"/>
        </w:trPr>
        <w:tc>
          <w:tcPr>
            <w:tcW w:w="1758" w:type="dxa"/>
            <w:vAlign w:val="center"/>
          </w:tcPr>
          <w:p w14:paraId="4DB2E733">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第二章第2.3款</w:t>
            </w:r>
          </w:p>
        </w:tc>
        <w:tc>
          <w:tcPr>
            <w:tcW w:w="1950" w:type="dxa"/>
            <w:vAlign w:val="center"/>
          </w:tcPr>
          <w:p w14:paraId="18609CF2">
            <w:pPr>
              <w:adjustRightInd w:val="0"/>
              <w:snapToGrid w:val="0"/>
              <w:rPr>
                <w:rFonts w:ascii="宋体" w:hAnsi="宋体"/>
                <w:bCs/>
                <w:color w:val="auto"/>
                <w:szCs w:val="21"/>
                <w:highlight w:val="none"/>
              </w:rPr>
            </w:pPr>
            <w:r>
              <w:rPr>
                <w:rFonts w:hint="eastAsia" w:ascii="宋体" w:hAnsi="宋体" w:cs="宋体"/>
                <w:color w:val="auto"/>
                <w:kern w:val="0"/>
                <w:szCs w:val="21"/>
                <w:highlight w:val="none"/>
              </w:rPr>
              <w:t>供应商的</w:t>
            </w:r>
            <w:r>
              <w:rPr>
                <w:rFonts w:hint="eastAsia" w:ascii="宋体" w:hAnsi="宋体"/>
                <w:color w:val="auto"/>
                <w:szCs w:val="21"/>
                <w:highlight w:val="none"/>
              </w:rPr>
              <w:t>邀请方式</w:t>
            </w:r>
          </w:p>
        </w:tc>
        <w:tc>
          <w:tcPr>
            <w:tcW w:w="6536" w:type="dxa"/>
            <w:vAlign w:val="center"/>
          </w:tcPr>
          <w:p w14:paraId="64251455">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■发布公告</w:t>
            </w:r>
          </w:p>
          <w:p w14:paraId="2EA34D0B">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□从省级以上财政部门建立的供应商库中随机抽取</w:t>
            </w:r>
          </w:p>
          <w:p w14:paraId="0A4460CE">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□采购人和评审专家分别书面推荐的方式</w:t>
            </w:r>
          </w:p>
        </w:tc>
      </w:tr>
      <w:tr w14:paraId="403D10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58" w:type="dxa"/>
            <w:vAlign w:val="center"/>
          </w:tcPr>
          <w:p w14:paraId="0F381387">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第二章第3.1款</w:t>
            </w:r>
          </w:p>
          <w:p w14:paraId="313873CC">
            <w:pPr>
              <w:adjustRightInd w:val="0"/>
              <w:snapToGrid w:val="0"/>
              <w:jc w:val="center"/>
              <w:rPr>
                <w:rFonts w:ascii="宋体" w:hAnsi="宋体"/>
                <w:color w:val="auto"/>
                <w:szCs w:val="21"/>
                <w:highlight w:val="none"/>
              </w:rPr>
            </w:pPr>
          </w:p>
        </w:tc>
        <w:tc>
          <w:tcPr>
            <w:tcW w:w="1950" w:type="dxa"/>
            <w:vAlign w:val="center"/>
          </w:tcPr>
          <w:p w14:paraId="56D08210">
            <w:pPr>
              <w:adjustRightInd w:val="0"/>
              <w:snapToGrid w:val="0"/>
              <w:jc w:val="center"/>
              <w:rPr>
                <w:rFonts w:ascii="宋体" w:hAnsi="宋体"/>
                <w:color w:val="auto"/>
                <w:szCs w:val="21"/>
                <w:highlight w:val="none"/>
              </w:rPr>
            </w:pPr>
            <w:r>
              <w:rPr>
                <w:rFonts w:hint="eastAsia" w:ascii="宋体" w:hAnsi="宋体"/>
                <w:bCs/>
                <w:color w:val="auto"/>
                <w:szCs w:val="21"/>
                <w:highlight w:val="none"/>
              </w:rPr>
              <w:t>供应商</w:t>
            </w:r>
            <w:r>
              <w:rPr>
                <w:rFonts w:hint="eastAsia" w:ascii="宋体" w:hAnsi="宋体"/>
                <w:color w:val="auto"/>
                <w:szCs w:val="21"/>
                <w:highlight w:val="none"/>
              </w:rPr>
              <w:t>资格条件</w:t>
            </w:r>
          </w:p>
          <w:p w14:paraId="0290C9CB">
            <w:pPr>
              <w:adjustRightInd w:val="0"/>
              <w:snapToGrid w:val="0"/>
              <w:jc w:val="center"/>
              <w:rPr>
                <w:rFonts w:ascii="宋体" w:hAnsi="宋体"/>
                <w:color w:val="auto"/>
                <w:szCs w:val="21"/>
                <w:highlight w:val="none"/>
              </w:rPr>
            </w:pPr>
          </w:p>
        </w:tc>
        <w:tc>
          <w:tcPr>
            <w:tcW w:w="6536" w:type="dxa"/>
            <w:vAlign w:val="center"/>
          </w:tcPr>
          <w:p w14:paraId="4ED17154">
            <w:pPr>
              <w:adjustRightInd w:val="0"/>
              <w:snapToGrid w:val="0"/>
              <w:spacing w:line="360" w:lineRule="auto"/>
              <w:rPr>
                <w:rFonts w:hint="eastAsia" w:ascii="宋体" w:hAnsi="宋体" w:cs="Times New Roman"/>
                <w:color w:val="auto"/>
                <w:szCs w:val="21"/>
                <w:highlight w:val="none"/>
              </w:rPr>
            </w:pPr>
            <w:r>
              <w:rPr>
                <w:rFonts w:hint="eastAsia" w:ascii="宋体" w:hAnsi="宋体" w:cs="Times New Roman"/>
                <w:color w:val="auto"/>
                <w:szCs w:val="21"/>
                <w:highlight w:val="none"/>
              </w:rPr>
              <w:t>供应商基本资格条件：符合《中华人民共和国政府采购法》第二十二条规定的供应商条件，并提供以下资格证明文件：</w:t>
            </w:r>
          </w:p>
          <w:p w14:paraId="20D630BF">
            <w:pPr>
              <w:adjustRightInd w:val="0"/>
              <w:snapToGrid w:val="0"/>
              <w:spacing w:line="360" w:lineRule="auto"/>
              <w:rPr>
                <w:rFonts w:hint="eastAsia" w:ascii="宋体" w:hAnsi="宋体" w:cs="Times New Roman"/>
                <w:color w:val="auto"/>
                <w:szCs w:val="21"/>
                <w:highlight w:val="none"/>
              </w:rPr>
            </w:pPr>
            <w:r>
              <w:rPr>
                <w:rFonts w:hint="eastAsia" w:ascii="宋体" w:hAnsi="宋体" w:cs="Times New Roman"/>
                <w:color w:val="auto"/>
                <w:szCs w:val="21"/>
                <w:highlight w:val="none"/>
              </w:rPr>
              <w:t>（1）法人提交企业法人营业执照副本(或者法人登记证书)</w:t>
            </w:r>
          </w:p>
          <w:p w14:paraId="0E76916A">
            <w:pPr>
              <w:adjustRightInd w:val="0"/>
              <w:snapToGrid w:val="0"/>
              <w:spacing w:line="360" w:lineRule="auto"/>
              <w:rPr>
                <w:rFonts w:hint="eastAsia" w:ascii="宋体" w:hAnsi="宋体" w:cs="Times New Roman"/>
                <w:color w:val="auto"/>
                <w:szCs w:val="21"/>
                <w:highlight w:val="none"/>
              </w:rPr>
            </w:pPr>
            <w:r>
              <w:rPr>
                <w:rFonts w:hint="eastAsia" w:ascii="宋体" w:hAnsi="宋体" w:cs="Times New Roman"/>
                <w:color w:val="auto"/>
                <w:szCs w:val="21"/>
                <w:highlight w:val="none"/>
              </w:rPr>
              <w:t>（2）提交《湖南省政府采购供应商资格承诺函》（格式见附件）；</w:t>
            </w:r>
          </w:p>
          <w:p w14:paraId="4E6987D6">
            <w:pPr>
              <w:adjustRightInd w:val="0"/>
              <w:snapToGrid w:val="0"/>
              <w:spacing w:line="360" w:lineRule="auto"/>
              <w:rPr>
                <w:rFonts w:hint="eastAsia" w:ascii="宋体" w:hAnsi="宋体" w:cs="Times New Roman"/>
                <w:color w:val="auto"/>
                <w:szCs w:val="21"/>
                <w:highlight w:val="none"/>
              </w:rPr>
            </w:pPr>
            <w:r>
              <w:rPr>
                <w:rFonts w:hint="eastAsia" w:ascii="宋体" w:hAnsi="宋体" w:cs="Times New Roman"/>
                <w:color w:val="auto"/>
                <w:szCs w:val="21"/>
                <w:highlight w:val="none"/>
              </w:rPr>
              <w:t>（3）法人提交法定代表人身份证明扫描件或者法定代表人授权委托书扫描件以及被授权代表人在</w:t>
            </w:r>
            <w:r>
              <w:rPr>
                <w:rFonts w:hint="eastAsia" w:ascii="宋体" w:hAnsi="宋体" w:cs="Times New Roman"/>
                <w:color w:val="auto"/>
                <w:szCs w:val="21"/>
                <w:highlight w:val="none"/>
                <w:lang w:eastAsia="zh-CN"/>
              </w:rPr>
              <w:t>响应</w:t>
            </w:r>
            <w:r>
              <w:rPr>
                <w:rFonts w:hint="eastAsia" w:ascii="宋体" w:hAnsi="宋体" w:cs="Times New Roman"/>
                <w:color w:val="auto"/>
                <w:szCs w:val="21"/>
                <w:highlight w:val="none"/>
              </w:rPr>
              <w:t>单位或</w:t>
            </w:r>
            <w:r>
              <w:rPr>
                <w:rFonts w:hint="eastAsia" w:ascii="宋体" w:hAnsi="宋体" w:cs="Times New Roman"/>
                <w:color w:val="auto"/>
                <w:szCs w:val="21"/>
                <w:highlight w:val="none"/>
                <w:lang w:eastAsia="zh-CN"/>
              </w:rPr>
              <w:t>响应</w:t>
            </w:r>
            <w:r>
              <w:rPr>
                <w:rFonts w:hint="eastAsia" w:ascii="宋体" w:hAnsi="宋体" w:cs="Times New Roman"/>
                <w:color w:val="auto"/>
                <w:szCs w:val="21"/>
                <w:highlight w:val="none"/>
              </w:rPr>
              <w:t>单位依法登记的分支机构</w:t>
            </w:r>
            <w:r>
              <w:rPr>
                <w:rFonts w:hint="eastAsia" w:ascii="宋体" w:hAnsi="宋体" w:cs="Times New Roman"/>
                <w:color w:val="auto"/>
                <w:szCs w:val="21"/>
                <w:highlight w:val="none"/>
                <w:lang w:eastAsia="zh-CN"/>
              </w:rPr>
              <w:t>于响应截止日前</w:t>
            </w:r>
            <w:r>
              <w:rPr>
                <w:rFonts w:hint="eastAsia" w:ascii="宋体" w:hAnsi="宋体" w:cs="Times New Roman"/>
                <w:color w:val="auto"/>
                <w:szCs w:val="21"/>
                <w:highlight w:val="none"/>
                <w:lang w:val="en-US" w:eastAsia="zh-CN"/>
              </w:rPr>
              <w:t>三个月内任意一个月</w:t>
            </w:r>
            <w:r>
              <w:rPr>
                <w:rFonts w:hint="eastAsia" w:ascii="宋体" w:hAnsi="宋体" w:cs="Times New Roman"/>
                <w:color w:val="auto"/>
                <w:szCs w:val="21"/>
                <w:highlight w:val="none"/>
              </w:rPr>
              <w:t>社保证明并附法定代表人身份证明扫描件，自然人提交身份证扫描件；</w:t>
            </w:r>
          </w:p>
          <w:p w14:paraId="6EA404E0">
            <w:pPr>
              <w:adjustRightInd w:val="0"/>
              <w:snapToGrid w:val="0"/>
              <w:spacing w:line="360" w:lineRule="auto"/>
              <w:rPr>
                <w:rFonts w:hint="eastAsia" w:ascii="宋体" w:hAnsi="宋体" w:cs="Times New Roman"/>
                <w:color w:val="auto"/>
                <w:szCs w:val="21"/>
                <w:highlight w:val="none"/>
              </w:rPr>
            </w:pPr>
            <w:r>
              <w:rPr>
                <w:rFonts w:hint="eastAsia" w:ascii="宋体" w:hAnsi="宋体" w:cs="Times New Roman"/>
                <w:color w:val="auto"/>
                <w:szCs w:val="21"/>
                <w:highlight w:val="none"/>
              </w:rPr>
              <w:t>（4）其他说明。(非法人组织参与</w:t>
            </w:r>
            <w:r>
              <w:rPr>
                <w:rFonts w:hint="eastAsia" w:ascii="宋体" w:hAnsi="宋体" w:cs="Times New Roman"/>
                <w:color w:val="auto"/>
                <w:szCs w:val="21"/>
                <w:highlight w:val="none"/>
                <w:lang w:eastAsia="zh-CN"/>
              </w:rPr>
              <w:t>响应</w:t>
            </w:r>
            <w:r>
              <w:rPr>
                <w:rFonts w:hint="eastAsia" w:ascii="宋体" w:hAnsi="宋体" w:cs="Times New Roman"/>
                <w:color w:val="auto"/>
                <w:szCs w:val="21"/>
                <w:highlight w:val="none"/>
              </w:rPr>
              <w:t>需提供的相关证明材料)</w:t>
            </w:r>
          </w:p>
          <w:p w14:paraId="584A62C6">
            <w:pPr>
              <w:adjustRightInd w:val="0"/>
              <w:snapToGrid w:val="0"/>
              <w:spacing w:line="360" w:lineRule="auto"/>
              <w:rPr>
                <w:rFonts w:hint="eastAsia" w:ascii="宋体" w:hAnsi="宋体" w:cs="Times New Roman"/>
                <w:color w:val="auto"/>
                <w:szCs w:val="21"/>
                <w:highlight w:val="none"/>
              </w:rPr>
            </w:pPr>
            <w:r>
              <w:rPr>
                <w:rFonts w:hint="eastAsia" w:ascii="宋体" w:hAnsi="宋体" w:cs="Times New Roman"/>
                <w:color w:val="auto"/>
                <w:szCs w:val="21"/>
                <w:highlight w:val="none"/>
              </w:rPr>
              <w:t>2、采购项目的特定资格条件：</w:t>
            </w:r>
            <w:r>
              <w:rPr>
                <w:rFonts w:hint="eastAsia" w:ascii="宋体" w:hAnsi="宋体" w:cs="Times New Roman"/>
                <w:color w:val="auto"/>
                <w:szCs w:val="21"/>
                <w:highlight w:val="none"/>
                <w:shd w:val="clear" w:color="auto" w:fill="auto"/>
              </w:rPr>
              <w:t>包1</w:t>
            </w:r>
            <w:r>
              <w:rPr>
                <w:rFonts w:hint="eastAsia" w:ascii="宋体" w:hAnsi="宋体" w:cs="Times New Roman"/>
                <w:color w:val="auto"/>
                <w:szCs w:val="21"/>
                <w:highlight w:val="none"/>
                <w:shd w:val="clear" w:color="auto" w:fill="auto"/>
                <w:lang w:eastAsia="zh-CN"/>
              </w:rPr>
              <w:t>、</w:t>
            </w:r>
            <w:r>
              <w:rPr>
                <w:rFonts w:hint="eastAsia" w:ascii="宋体" w:hAnsi="宋体" w:cs="Times New Roman"/>
                <w:color w:val="auto"/>
                <w:szCs w:val="21"/>
                <w:highlight w:val="none"/>
                <w:shd w:val="clear" w:color="auto" w:fill="auto"/>
                <w:lang w:val="en-US" w:eastAsia="zh-CN"/>
              </w:rPr>
              <w:t>包2、包3</w:t>
            </w:r>
            <w:r>
              <w:rPr>
                <w:rFonts w:hint="eastAsia" w:ascii="宋体" w:hAnsi="宋体" w:cs="Times New Roman"/>
                <w:color w:val="auto"/>
                <w:szCs w:val="21"/>
                <w:highlight w:val="none"/>
                <w:shd w:val="clear" w:color="auto" w:fill="auto"/>
              </w:rPr>
              <w:t>为</w:t>
            </w:r>
            <w:r>
              <w:rPr>
                <w:rFonts w:hint="eastAsia" w:ascii="宋体" w:hAnsi="宋体" w:cs="Times New Roman"/>
                <w:color w:val="auto"/>
                <w:szCs w:val="21"/>
                <w:highlight w:val="none"/>
                <w:shd w:val="clear" w:color="auto" w:fill="auto"/>
                <w:lang w:eastAsia="zh-CN"/>
              </w:rPr>
              <w:t>供应商</w:t>
            </w:r>
            <w:r>
              <w:rPr>
                <w:rFonts w:hint="eastAsia" w:ascii="宋体" w:hAnsi="宋体" w:cs="Times New Roman"/>
                <w:color w:val="auto"/>
                <w:szCs w:val="21"/>
                <w:highlight w:val="none"/>
                <w:shd w:val="clear" w:color="auto" w:fill="auto"/>
              </w:rPr>
              <w:t>具有交通运输部核发的公路水运工程试验检测公路工程综合类甲级（或桥梁隧道工程专项资质），并在有效期内;包</w:t>
            </w:r>
            <w:r>
              <w:rPr>
                <w:rFonts w:hint="eastAsia" w:ascii="宋体" w:hAnsi="宋体" w:cs="Times New Roman"/>
                <w:color w:val="auto"/>
                <w:szCs w:val="21"/>
                <w:highlight w:val="none"/>
                <w:shd w:val="clear" w:color="auto" w:fill="auto"/>
                <w:lang w:val="en-US" w:eastAsia="zh-CN"/>
              </w:rPr>
              <w:t>4</w:t>
            </w:r>
            <w:r>
              <w:rPr>
                <w:rFonts w:hint="eastAsia" w:ascii="宋体" w:hAnsi="宋体" w:cs="Times New Roman"/>
                <w:color w:val="auto"/>
                <w:szCs w:val="21"/>
                <w:highlight w:val="none"/>
                <w:shd w:val="clear" w:color="auto" w:fill="auto"/>
              </w:rPr>
              <w:t>为</w:t>
            </w:r>
            <w:r>
              <w:rPr>
                <w:rFonts w:hint="eastAsia" w:ascii="宋体" w:hAnsi="宋体" w:cs="Times New Roman"/>
                <w:color w:val="auto"/>
                <w:szCs w:val="21"/>
                <w:highlight w:val="none"/>
                <w:shd w:val="clear" w:color="auto" w:fill="auto"/>
                <w:lang w:eastAsia="zh-CN"/>
              </w:rPr>
              <w:t>供应商</w:t>
            </w:r>
            <w:r>
              <w:rPr>
                <w:rFonts w:hint="eastAsia" w:ascii="宋体" w:hAnsi="宋体" w:cs="Times New Roman"/>
                <w:color w:val="auto"/>
                <w:szCs w:val="21"/>
                <w:highlight w:val="none"/>
                <w:shd w:val="clear" w:color="auto" w:fill="auto"/>
              </w:rPr>
              <w:t>具有交通运输部核发的公路水运工程试验检测公路工程综合类甲级（或桥梁隧道工程专项资质）及交通工程专项资质，并在有效期内。</w:t>
            </w:r>
          </w:p>
          <w:p w14:paraId="4671F2B2">
            <w:pPr>
              <w:adjustRightInd w:val="0"/>
              <w:snapToGrid w:val="0"/>
              <w:spacing w:line="360" w:lineRule="auto"/>
              <w:rPr>
                <w:rFonts w:hint="eastAsia" w:ascii="宋体" w:hAnsi="宋体" w:cs="Times New Roman"/>
                <w:color w:val="auto"/>
                <w:szCs w:val="21"/>
                <w:highlight w:val="none"/>
              </w:rPr>
            </w:pPr>
            <w:r>
              <w:rPr>
                <w:rFonts w:hint="eastAsia" w:ascii="宋体" w:hAnsi="宋体" w:cs="Times New Roman"/>
                <w:color w:val="auto"/>
                <w:szCs w:val="21"/>
                <w:highlight w:val="none"/>
              </w:rPr>
              <w:t>3、单位负责人为同一人或者存在直接控股、管理关系的不同</w:t>
            </w:r>
            <w:r>
              <w:rPr>
                <w:rFonts w:hint="eastAsia" w:ascii="宋体" w:hAnsi="宋体" w:cs="Times New Roman"/>
                <w:color w:val="auto"/>
                <w:szCs w:val="21"/>
                <w:highlight w:val="none"/>
                <w:lang w:eastAsia="zh-CN"/>
              </w:rPr>
              <w:t>供应商</w:t>
            </w:r>
            <w:r>
              <w:rPr>
                <w:rFonts w:hint="eastAsia" w:ascii="宋体" w:hAnsi="宋体" w:cs="Times New Roman"/>
                <w:color w:val="auto"/>
                <w:szCs w:val="21"/>
                <w:highlight w:val="none"/>
              </w:rPr>
              <w:t>，不得参加同一合同项下的政府采购活动。</w:t>
            </w:r>
          </w:p>
          <w:p w14:paraId="71DB99A3">
            <w:pPr>
              <w:adjustRightInd w:val="0"/>
              <w:snapToGrid w:val="0"/>
              <w:spacing w:line="360" w:lineRule="auto"/>
              <w:rPr>
                <w:rFonts w:hint="eastAsia" w:ascii="宋体" w:hAnsi="宋体" w:cs="Times New Roman"/>
                <w:color w:val="auto"/>
                <w:szCs w:val="21"/>
                <w:highlight w:val="none"/>
              </w:rPr>
            </w:pPr>
            <w:r>
              <w:rPr>
                <w:rFonts w:hint="eastAsia" w:ascii="宋体" w:hAnsi="宋体" w:cs="Times New Roman"/>
                <w:color w:val="auto"/>
                <w:szCs w:val="21"/>
                <w:highlight w:val="none"/>
              </w:rPr>
              <w:t>4、为本采购项目提供整体设计、规范编制或者项目管理、监理、检测等服务的，不得再参加此项目的其他</w:t>
            </w:r>
            <w:r>
              <w:rPr>
                <w:rFonts w:hint="eastAsia" w:ascii="宋体" w:hAnsi="宋体" w:cs="Times New Roman"/>
                <w:color w:val="auto"/>
                <w:szCs w:val="21"/>
                <w:highlight w:val="none"/>
                <w:lang w:val="en-US" w:eastAsia="zh-CN"/>
              </w:rPr>
              <w:t>政府</w:t>
            </w:r>
            <w:r>
              <w:rPr>
                <w:rFonts w:hint="eastAsia" w:ascii="宋体" w:hAnsi="宋体" w:cs="Times New Roman"/>
                <w:color w:val="auto"/>
                <w:szCs w:val="21"/>
                <w:highlight w:val="none"/>
              </w:rPr>
              <w:t>采购活动。</w:t>
            </w:r>
          </w:p>
          <w:p w14:paraId="753C42FF">
            <w:pPr>
              <w:adjustRightInd w:val="0"/>
              <w:snapToGrid w:val="0"/>
              <w:spacing w:line="360" w:lineRule="auto"/>
              <w:rPr>
                <w:rFonts w:hint="eastAsia" w:ascii="宋体" w:hAnsi="宋体" w:cs="Times New Roman"/>
                <w:color w:val="auto"/>
                <w:szCs w:val="21"/>
                <w:highlight w:val="none"/>
              </w:rPr>
            </w:pPr>
            <w:r>
              <w:rPr>
                <w:rFonts w:hint="eastAsia" w:ascii="宋体" w:hAnsi="宋体" w:cs="Times New Roman"/>
                <w:color w:val="auto"/>
                <w:szCs w:val="21"/>
                <w:highlight w:val="none"/>
              </w:rPr>
              <w:t>5、列入失信被执行人、重大税收违法案件当事人名单，列入政府采购严重违法失信行为记录名单的，拒绝其参与政府采购活动。</w:t>
            </w:r>
          </w:p>
          <w:p w14:paraId="295EAED7">
            <w:pPr>
              <w:adjustRightInd w:val="0"/>
              <w:snapToGrid w:val="0"/>
              <w:spacing w:line="360" w:lineRule="auto"/>
              <w:rPr>
                <w:rFonts w:ascii="宋体" w:hAnsi="宋体" w:cs="宋体"/>
                <w:bCs/>
                <w:color w:val="auto"/>
                <w:szCs w:val="21"/>
                <w:highlight w:val="none"/>
              </w:rPr>
            </w:pPr>
            <w:r>
              <w:rPr>
                <w:rFonts w:hint="eastAsia" w:ascii="宋体" w:hAnsi="宋体" w:cs="Times New Roman"/>
                <w:color w:val="auto"/>
                <w:szCs w:val="21"/>
                <w:highlight w:val="none"/>
              </w:rPr>
              <w:t>6、联合体</w:t>
            </w:r>
            <w:r>
              <w:rPr>
                <w:rFonts w:hint="eastAsia" w:ascii="宋体" w:hAnsi="宋体" w:cs="Times New Roman"/>
                <w:color w:val="auto"/>
                <w:szCs w:val="21"/>
                <w:highlight w:val="none"/>
                <w:lang w:eastAsia="zh-CN"/>
              </w:rPr>
              <w:t>响应</w:t>
            </w:r>
            <w:r>
              <w:rPr>
                <w:rFonts w:hint="eastAsia" w:ascii="宋体" w:hAnsi="宋体" w:cs="Times New Roman"/>
                <w:color w:val="auto"/>
                <w:szCs w:val="21"/>
                <w:highlight w:val="none"/>
              </w:rPr>
              <w:t>。本次</w:t>
            </w:r>
            <w:r>
              <w:rPr>
                <w:rFonts w:hint="eastAsia" w:ascii="宋体" w:hAnsi="宋体" w:cs="Times New Roman"/>
                <w:color w:val="auto"/>
                <w:szCs w:val="21"/>
                <w:highlight w:val="none"/>
                <w:lang w:val="en-US" w:eastAsia="zh-CN"/>
              </w:rPr>
              <w:t>磋商</w:t>
            </w:r>
            <w:r>
              <w:rPr>
                <w:rFonts w:hint="eastAsia" w:ascii="宋体" w:hAnsi="宋体" w:cs="Times New Roman"/>
                <w:color w:val="auto"/>
                <w:szCs w:val="21"/>
                <w:highlight w:val="none"/>
              </w:rPr>
              <w:t>不接受(接受或不接受)联合体</w:t>
            </w:r>
            <w:r>
              <w:rPr>
                <w:rFonts w:hint="eastAsia" w:ascii="宋体" w:hAnsi="宋体" w:cs="Times New Roman"/>
                <w:color w:val="auto"/>
                <w:szCs w:val="21"/>
                <w:highlight w:val="none"/>
                <w:lang w:eastAsia="zh-CN"/>
              </w:rPr>
              <w:t>响应</w:t>
            </w:r>
            <w:r>
              <w:rPr>
                <w:rFonts w:hint="eastAsia" w:ascii="宋体" w:hAnsi="宋体" w:cs="Times New Roman"/>
                <w:color w:val="auto"/>
                <w:szCs w:val="21"/>
                <w:highlight w:val="none"/>
              </w:rPr>
              <w:t>。接受联合体</w:t>
            </w:r>
            <w:r>
              <w:rPr>
                <w:rFonts w:hint="eastAsia" w:ascii="宋体" w:hAnsi="宋体" w:cs="Times New Roman"/>
                <w:color w:val="auto"/>
                <w:szCs w:val="21"/>
                <w:highlight w:val="none"/>
                <w:lang w:eastAsia="zh-CN"/>
              </w:rPr>
              <w:t>响应</w:t>
            </w:r>
            <w:r>
              <w:rPr>
                <w:rFonts w:hint="eastAsia" w:ascii="宋体" w:hAnsi="宋体" w:cs="Times New Roman"/>
                <w:color w:val="auto"/>
                <w:szCs w:val="21"/>
                <w:highlight w:val="none"/>
              </w:rPr>
              <w:t>的，联合体应当具备/。</w:t>
            </w:r>
          </w:p>
        </w:tc>
      </w:tr>
      <w:tr w14:paraId="48DBA0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9" w:hRule="atLeast"/>
        </w:trPr>
        <w:tc>
          <w:tcPr>
            <w:tcW w:w="1758" w:type="dxa"/>
            <w:vAlign w:val="center"/>
          </w:tcPr>
          <w:p w14:paraId="51310D47">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第二章第6.1款</w:t>
            </w:r>
          </w:p>
        </w:tc>
        <w:tc>
          <w:tcPr>
            <w:tcW w:w="1950" w:type="dxa"/>
            <w:vAlign w:val="center"/>
          </w:tcPr>
          <w:p w14:paraId="4593CABD">
            <w:pPr>
              <w:adjustRightInd w:val="0"/>
              <w:snapToGrid w:val="0"/>
              <w:jc w:val="center"/>
              <w:rPr>
                <w:rFonts w:ascii="宋体" w:hAnsi="宋体"/>
                <w:color w:val="auto"/>
                <w:szCs w:val="21"/>
                <w:highlight w:val="none"/>
              </w:rPr>
            </w:pPr>
            <w:r>
              <w:rPr>
                <w:rFonts w:hint="eastAsia" w:ascii="宋体" w:hAnsi="宋体"/>
                <w:color w:val="auto"/>
                <w:szCs w:val="21"/>
                <w:highlight w:val="none"/>
              </w:rPr>
              <w:t>联合体形式</w:t>
            </w:r>
          </w:p>
        </w:tc>
        <w:tc>
          <w:tcPr>
            <w:tcW w:w="6536" w:type="dxa"/>
            <w:vAlign w:val="center"/>
          </w:tcPr>
          <w:p w14:paraId="4A3F4A1C">
            <w:pPr>
              <w:adjustRightInd w:val="0"/>
              <w:snapToGrid w:val="0"/>
              <w:rPr>
                <w:rFonts w:ascii="宋体" w:hAnsi="宋体"/>
                <w:color w:val="auto"/>
                <w:szCs w:val="21"/>
                <w:highlight w:val="none"/>
              </w:rPr>
            </w:pPr>
            <w:r>
              <w:rPr>
                <w:rFonts w:hint="eastAsia" w:ascii="宋体" w:hAnsi="宋体"/>
                <w:color w:val="auto"/>
                <w:szCs w:val="21"/>
                <w:highlight w:val="none"/>
              </w:rPr>
              <w:t>■ 不接受</w:t>
            </w:r>
          </w:p>
          <w:p w14:paraId="18BDB91D">
            <w:pPr>
              <w:adjustRightInd w:val="0"/>
              <w:snapToGrid w:val="0"/>
              <w:rPr>
                <w:rFonts w:ascii="宋体" w:hAnsi="宋体"/>
                <w:color w:val="auto"/>
                <w:szCs w:val="21"/>
                <w:highlight w:val="none"/>
              </w:rPr>
            </w:pPr>
            <w:r>
              <w:rPr>
                <w:rFonts w:hint="eastAsia" w:ascii="宋体" w:hAnsi="宋体"/>
                <w:color w:val="auto"/>
                <w:szCs w:val="21"/>
                <w:highlight w:val="none"/>
              </w:rPr>
              <w:t>□ 接受</w:t>
            </w:r>
          </w:p>
        </w:tc>
      </w:tr>
      <w:tr w14:paraId="58039A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92" w:hRule="atLeast"/>
        </w:trPr>
        <w:tc>
          <w:tcPr>
            <w:tcW w:w="1758" w:type="dxa"/>
            <w:vAlign w:val="center"/>
          </w:tcPr>
          <w:p w14:paraId="4451EC88">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第二章第6.2款</w:t>
            </w:r>
          </w:p>
        </w:tc>
        <w:tc>
          <w:tcPr>
            <w:tcW w:w="1950" w:type="dxa"/>
            <w:vAlign w:val="center"/>
          </w:tcPr>
          <w:p w14:paraId="7A9142CE">
            <w:pPr>
              <w:adjustRightInd w:val="0"/>
              <w:snapToGrid w:val="0"/>
              <w:jc w:val="center"/>
              <w:rPr>
                <w:rFonts w:ascii="宋体" w:hAnsi="宋体"/>
                <w:color w:val="auto"/>
                <w:szCs w:val="21"/>
                <w:highlight w:val="none"/>
              </w:rPr>
            </w:pPr>
            <w:r>
              <w:rPr>
                <w:rFonts w:hint="eastAsia" w:ascii="宋体" w:hAnsi="宋体"/>
                <w:color w:val="auto"/>
                <w:szCs w:val="21"/>
                <w:highlight w:val="none"/>
              </w:rPr>
              <w:t>对联合体各方的要求</w:t>
            </w:r>
          </w:p>
        </w:tc>
        <w:tc>
          <w:tcPr>
            <w:tcW w:w="6536" w:type="dxa"/>
            <w:vAlign w:val="center"/>
          </w:tcPr>
          <w:p w14:paraId="49DF1D4E">
            <w:pPr>
              <w:adjustRightInd w:val="0"/>
              <w:snapToGrid w:val="0"/>
              <w:rPr>
                <w:rFonts w:ascii="宋体" w:hAnsi="宋体"/>
                <w:color w:val="auto"/>
                <w:szCs w:val="21"/>
                <w:highlight w:val="none"/>
              </w:rPr>
            </w:pPr>
            <w:r>
              <w:rPr>
                <w:rFonts w:hint="eastAsia" w:ascii="宋体" w:hAnsi="宋体"/>
                <w:color w:val="auto"/>
                <w:szCs w:val="21"/>
                <w:highlight w:val="none"/>
              </w:rPr>
              <w:t>/</w:t>
            </w:r>
          </w:p>
        </w:tc>
      </w:tr>
      <w:tr w14:paraId="2FE661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9" w:hRule="atLeast"/>
        </w:trPr>
        <w:tc>
          <w:tcPr>
            <w:tcW w:w="1758" w:type="dxa"/>
            <w:vAlign w:val="center"/>
          </w:tcPr>
          <w:p w14:paraId="5455182D">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第二章第7.1款</w:t>
            </w:r>
          </w:p>
        </w:tc>
        <w:tc>
          <w:tcPr>
            <w:tcW w:w="1950" w:type="dxa"/>
            <w:vAlign w:val="center"/>
          </w:tcPr>
          <w:p w14:paraId="4BCBB4E3">
            <w:pPr>
              <w:adjustRightInd w:val="0"/>
              <w:snapToGrid w:val="0"/>
              <w:jc w:val="center"/>
              <w:rPr>
                <w:rFonts w:ascii="宋体" w:hAnsi="宋体"/>
                <w:color w:val="auto"/>
                <w:szCs w:val="21"/>
                <w:highlight w:val="none"/>
              </w:rPr>
            </w:pPr>
            <w:r>
              <w:rPr>
                <w:rFonts w:hint="eastAsia" w:ascii="宋体" w:hAnsi="宋体"/>
                <w:color w:val="auto"/>
                <w:szCs w:val="21"/>
                <w:highlight w:val="none"/>
              </w:rPr>
              <w:t>现场勘察</w:t>
            </w:r>
          </w:p>
        </w:tc>
        <w:tc>
          <w:tcPr>
            <w:tcW w:w="6536" w:type="dxa"/>
            <w:vAlign w:val="center"/>
          </w:tcPr>
          <w:p w14:paraId="7D723D40">
            <w:pPr>
              <w:adjustRightInd w:val="0"/>
              <w:snapToGrid w:val="0"/>
              <w:rPr>
                <w:rFonts w:ascii="宋体" w:hAnsi="宋体"/>
                <w:color w:val="auto"/>
                <w:szCs w:val="21"/>
                <w:highlight w:val="none"/>
              </w:rPr>
            </w:pPr>
            <w:r>
              <w:rPr>
                <w:rFonts w:hint="eastAsia" w:ascii="宋体" w:hAnsi="宋体"/>
                <w:color w:val="auto"/>
                <w:szCs w:val="21"/>
                <w:highlight w:val="none"/>
              </w:rPr>
              <w:t>■ 采购人不组织</w:t>
            </w:r>
          </w:p>
          <w:p w14:paraId="0F337D52">
            <w:pPr>
              <w:adjustRightInd w:val="0"/>
              <w:snapToGrid w:val="0"/>
              <w:rPr>
                <w:rFonts w:ascii="宋体" w:hAnsi="宋体"/>
                <w:color w:val="auto"/>
                <w:szCs w:val="21"/>
                <w:highlight w:val="none"/>
              </w:rPr>
            </w:pPr>
            <w:r>
              <w:rPr>
                <w:rFonts w:hint="eastAsia" w:ascii="宋体" w:hAnsi="宋体"/>
                <w:color w:val="auto"/>
                <w:szCs w:val="21"/>
                <w:highlight w:val="none"/>
              </w:rPr>
              <w:t>□ 采购人组织，时间：</w:t>
            </w:r>
            <w:r>
              <w:rPr>
                <w:rFonts w:hint="eastAsia" w:ascii="宋体" w:hAnsi="宋体"/>
                <w:color w:val="auto"/>
                <w:szCs w:val="21"/>
                <w:highlight w:val="none"/>
                <w:u w:val="single"/>
              </w:rPr>
              <w:t xml:space="preserve">   </w:t>
            </w:r>
            <w:r>
              <w:rPr>
                <w:rFonts w:hint="eastAsia" w:ascii="宋体" w:hAnsi="宋体"/>
                <w:color w:val="auto"/>
                <w:szCs w:val="21"/>
                <w:highlight w:val="none"/>
              </w:rPr>
              <w:t>地点：</w:t>
            </w:r>
            <w:r>
              <w:rPr>
                <w:rFonts w:hint="eastAsia" w:ascii="宋体" w:hAnsi="宋体"/>
                <w:color w:val="auto"/>
                <w:szCs w:val="21"/>
                <w:highlight w:val="none"/>
                <w:u w:val="single"/>
              </w:rPr>
              <w:t xml:space="preserve">   </w:t>
            </w: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p>
        </w:tc>
      </w:tr>
      <w:tr w14:paraId="5EB05F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94" w:hRule="atLeast"/>
        </w:trPr>
        <w:tc>
          <w:tcPr>
            <w:tcW w:w="1758" w:type="dxa"/>
            <w:vAlign w:val="center"/>
          </w:tcPr>
          <w:p w14:paraId="17E63E58">
            <w:pPr>
              <w:rPr>
                <w:rFonts w:ascii="宋体" w:hAnsi="宋体"/>
                <w:color w:val="auto"/>
                <w:szCs w:val="21"/>
                <w:highlight w:val="none"/>
              </w:rPr>
            </w:pPr>
            <w:r>
              <w:rPr>
                <w:rFonts w:hint="eastAsia" w:ascii="宋体" w:hAnsi="宋体"/>
                <w:color w:val="auto"/>
                <w:szCs w:val="21"/>
                <w:highlight w:val="none"/>
              </w:rPr>
              <w:t>第二章第8.1款</w:t>
            </w:r>
          </w:p>
        </w:tc>
        <w:tc>
          <w:tcPr>
            <w:tcW w:w="1950" w:type="dxa"/>
            <w:vAlign w:val="center"/>
          </w:tcPr>
          <w:p w14:paraId="446AF0A9">
            <w:pPr>
              <w:adjustRightInd w:val="0"/>
              <w:snapToGrid w:val="0"/>
              <w:jc w:val="center"/>
              <w:rPr>
                <w:rFonts w:ascii="宋体" w:hAnsi="宋体"/>
                <w:color w:val="auto"/>
                <w:szCs w:val="21"/>
                <w:highlight w:val="none"/>
              </w:rPr>
            </w:pPr>
            <w:r>
              <w:rPr>
                <w:rFonts w:hint="eastAsia" w:ascii="宋体" w:hAnsi="宋体"/>
                <w:color w:val="auto"/>
                <w:szCs w:val="21"/>
                <w:highlight w:val="none"/>
              </w:rPr>
              <w:t>采购进口产品</w:t>
            </w:r>
          </w:p>
        </w:tc>
        <w:tc>
          <w:tcPr>
            <w:tcW w:w="6536" w:type="dxa"/>
            <w:vAlign w:val="center"/>
          </w:tcPr>
          <w:p w14:paraId="6282B0BD">
            <w:pPr>
              <w:adjustRightInd w:val="0"/>
              <w:snapToGrid w:val="0"/>
              <w:rPr>
                <w:rFonts w:ascii="宋体" w:hAnsi="宋体"/>
                <w:color w:val="auto"/>
                <w:szCs w:val="21"/>
                <w:highlight w:val="none"/>
              </w:rPr>
            </w:pPr>
            <w:r>
              <w:rPr>
                <w:rFonts w:hint="eastAsia" w:ascii="宋体" w:hAnsi="宋体"/>
                <w:color w:val="auto"/>
                <w:szCs w:val="21"/>
                <w:highlight w:val="none"/>
              </w:rPr>
              <w:t>■ 本项目拒绝采购进口产品</w:t>
            </w:r>
          </w:p>
          <w:p w14:paraId="3A5899C7">
            <w:pPr>
              <w:adjustRightInd w:val="0"/>
              <w:snapToGrid w:val="0"/>
              <w:rPr>
                <w:rFonts w:ascii="宋体" w:hAnsi="宋体"/>
                <w:color w:val="auto"/>
                <w:szCs w:val="21"/>
                <w:highlight w:val="none"/>
              </w:rPr>
            </w:pPr>
            <w:r>
              <w:rPr>
                <w:rFonts w:hint="eastAsia" w:ascii="宋体" w:hAnsi="宋体"/>
                <w:color w:val="auto"/>
                <w:szCs w:val="21"/>
                <w:highlight w:val="none"/>
              </w:rPr>
              <w:t>□本项目已经财政部门审核同意购买进口产品</w:t>
            </w:r>
          </w:p>
        </w:tc>
      </w:tr>
      <w:tr w14:paraId="7E706C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4" w:hRule="atLeast"/>
        </w:trPr>
        <w:tc>
          <w:tcPr>
            <w:tcW w:w="1758" w:type="dxa"/>
            <w:vMerge w:val="restart"/>
            <w:tcBorders>
              <w:top w:val="single" w:color="auto" w:sz="4" w:space="0"/>
            </w:tcBorders>
            <w:vAlign w:val="center"/>
          </w:tcPr>
          <w:p w14:paraId="5B43D1AB">
            <w:pPr>
              <w:rPr>
                <w:rFonts w:ascii="宋体" w:hAnsi="宋体"/>
                <w:color w:val="auto"/>
                <w:szCs w:val="21"/>
                <w:highlight w:val="none"/>
              </w:rPr>
            </w:pPr>
            <w:r>
              <w:rPr>
                <w:rFonts w:hint="eastAsia" w:ascii="宋体" w:hAnsi="宋体"/>
                <w:color w:val="auto"/>
                <w:szCs w:val="21"/>
                <w:highlight w:val="none"/>
              </w:rPr>
              <w:t>第二章第9.6款</w:t>
            </w:r>
          </w:p>
        </w:tc>
        <w:tc>
          <w:tcPr>
            <w:tcW w:w="1950" w:type="dxa"/>
            <w:tcBorders>
              <w:top w:val="single" w:color="auto" w:sz="4" w:space="0"/>
              <w:bottom w:val="single" w:color="auto" w:sz="4" w:space="0"/>
            </w:tcBorders>
            <w:vAlign w:val="center"/>
          </w:tcPr>
          <w:p w14:paraId="2F074AE4">
            <w:pPr>
              <w:jc w:val="center"/>
              <w:rPr>
                <w:rFonts w:ascii="宋体" w:hAnsi="宋体"/>
                <w:color w:val="auto"/>
                <w:szCs w:val="21"/>
                <w:highlight w:val="none"/>
              </w:rPr>
            </w:pPr>
            <w:r>
              <w:rPr>
                <w:rFonts w:hint="eastAsia" w:ascii="宋体" w:hAnsi="宋体" w:cs="宋体"/>
                <w:bCs/>
                <w:color w:val="auto"/>
                <w:kern w:val="0"/>
                <w:szCs w:val="21"/>
                <w:highlight w:val="none"/>
              </w:rPr>
              <w:t>政府采购支持中小企业融资</w:t>
            </w:r>
          </w:p>
        </w:tc>
        <w:tc>
          <w:tcPr>
            <w:tcW w:w="6536" w:type="dxa"/>
            <w:tcBorders>
              <w:top w:val="single" w:color="auto" w:sz="4" w:space="0"/>
              <w:bottom w:val="single" w:color="auto" w:sz="4" w:space="0"/>
            </w:tcBorders>
            <w:vAlign w:val="center"/>
          </w:tcPr>
          <w:p w14:paraId="43551B16">
            <w:pPr>
              <w:adjustRightInd w:val="0"/>
              <w:snapToGrid w:val="0"/>
              <w:rPr>
                <w:rFonts w:ascii="宋体" w:hAnsi="宋体"/>
                <w:color w:val="auto"/>
                <w:szCs w:val="21"/>
                <w:highlight w:val="none"/>
              </w:rPr>
            </w:pPr>
            <w:r>
              <w:rPr>
                <w:rFonts w:hint="eastAsia" w:ascii="宋体" w:hAnsi="宋体"/>
                <w:color w:val="auto"/>
                <w:szCs w:val="21"/>
                <w:highlight w:val="none"/>
              </w:rPr>
              <w:t>有融资需求的，可向本附表附页1所列银行咨询或登陆中国湖南政府采购网查询。</w:t>
            </w:r>
          </w:p>
        </w:tc>
      </w:tr>
      <w:tr w14:paraId="753CD2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2" w:hRule="atLeast"/>
        </w:trPr>
        <w:tc>
          <w:tcPr>
            <w:tcW w:w="1758" w:type="dxa"/>
            <w:vMerge w:val="continue"/>
            <w:vAlign w:val="center"/>
          </w:tcPr>
          <w:p w14:paraId="777F84E6">
            <w:pPr>
              <w:rPr>
                <w:rFonts w:ascii="宋体" w:hAnsi="宋体"/>
                <w:color w:val="auto"/>
                <w:szCs w:val="21"/>
                <w:highlight w:val="none"/>
              </w:rPr>
            </w:pPr>
          </w:p>
        </w:tc>
        <w:tc>
          <w:tcPr>
            <w:tcW w:w="1950" w:type="dxa"/>
            <w:vAlign w:val="center"/>
          </w:tcPr>
          <w:p w14:paraId="17A9D5B4">
            <w:pPr>
              <w:jc w:val="center"/>
              <w:rPr>
                <w:rFonts w:ascii="宋体" w:hAnsi="宋体"/>
                <w:color w:val="auto"/>
                <w:szCs w:val="21"/>
                <w:highlight w:val="none"/>
              </w:rPr>
            </w:pPr>
            <w:r>
              <w:rPr>
                <w:rFonts w:hint="eastAsia" w:ascii="宋体" w:hAnsi="宋体" w:cs="宋体"/>
                <w:bCs/>
                <w:color w:val="auto"/>
                <w:kern w:val="0"/>
                <w:szCs w:val="21"/>
                <w:highlight w:val="none"/>
              </w:rPr>
              <w:t>政府采购信用担保</w:t>
            </w:r>
          </w:p>
        </w:tc>
        <w:tc>
          <w:tcPr>
            <w:tcW w:w="6536" w:type="dxa"/>
            <w:vAlign w:val="center"/>
          </w:tcPr>
          <w:p w14:paraId="5F512CE9">
            <w:pPr>
              <w:rPr>
                <w:rFonts w:ascii="宋体" w:hAnsi="宋体"/>
                <w:color w:val="auto"/>
                <w:szCs w:val="21"/>
                <w:highlight w:val="none"/>
              </w:rPr>
            </w:pPr>
            <w:r>
              <w:rPr>
                <w:rFonts w:hint="eastAsia" w:ascii="宋体" w:hAnsi="宋体"/>
                <w:color w:val="auto"/>
                <w:szCs w:val="21"/>
                <w:highlight w:val="none"/>
              </w:rPr>
              <w:t>有履约担保或融资担保需求的，可向本附表附页2所列担保机构咨询或登陆中国湖南政府采购网查询，格式见附页3。</w:t>
            </w:r>
          </w:p>
        </w:tc>
      </w:tr>
      <w:tr w14:paraId="702691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2" w:hRule="atLeast"/>
        </w:trPr>
        <w:tc>
          <w:tcPr>
            <w:tcW w:w="1758" w:type="dxa"/>
            <w:vAlign w:val="center"/>
          </w:tcPr>
          <w:p w14:paraId="5954D9E1">
            <w:pPr>
              <w:adjustRightInd w:val="0"/>
              <w:snapToGrid w:val="0"/>
              <w:spacing w:line="360" w:lineRule="auto"/>
              <w:jc w:val="center"/>
              <w:rPr>
                <w:rFonts w:ascii="宋体" w:hAnsi="宋体"/>
                <w:color w:val="auto"/>
                <w:szCs w:val="21"/>
                <w:highlight w:val="none"/>
              </w:rPr>
            </w:pPr>
            <w:r>
              <w:rPr>
                <w:rFonts w:hint="eastAsia" w:ascii="宋体" w:hAnsi="宋体" w:cs="宋体"/>
                <w:color w:val="auto"/>
                <w:szCs w:val="21"/>
                <w:highlight w:val="none"/>
              </w:rPr>
              <w:t>第二章第9.1款</w:t>
            </w:r>
          </w:p>
        </w:tc>
        <w:tc>
          <w:tcPr>
            <w:tcW w:w="1950" w:type="dxa"/>
            <w:vAlign w:val="center"/>
          </w:tcPr>
          <w:p w14:paraId="0BA6DDD6">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政府采购强制采购：</w:t>
            </w:r>
          </w:p>
          <w:p w14:paraId="0DCE9634">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(1)标记★符号的节能产品；</w:t>
            </w:r>
          </w:p>
          <w:p w14:paraId="153E7590">
            <w:pPr>
              <w:adjustRightInd w:val="0"/>
              <w:snapToGrid w:val="0"/>
              <w:spacing w:line="360" w:lineRule="auto"/>
              <w:rPr>
                <w:rFonts w:ascii="宋体" w:hAnsi="宋体" w:cs="宋体"/>
                <w:bCs/>
                <w:color w:val="auto"/>
                <w:kern w:val="0"/>
                <w:szCs w:val="21"/>
                <w:highlight w:val="none"/>
              </w:rPr>
            </w:pPr>
            <w:r>
              <w:rPr>
                <w:rFonts w:hint="eastAsia" w:ascii="宋体" w:hAnsi="宋体" w:cs="宋体"/>
                <w:color w:val="auto"/>
                <w:szCs w:val="21"/>
                <w:highlight w:val="none"/>
              </w:rPr>
              <w:t>(2)其他。</w:t>
            </w:r>
          </w:p>
        </w:tc>
        <w:tc>
          <w:tcPr>
            <w:tcW w:w="6536" w:type="dxa"/>
            <w:vAlign w:val="center"/>
          </w:tcPr>
          <w:p w14:paraId="44DB804B">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否</w:t>
            </w:r>
          </w:p>
          <w:p w14:paraId="4B9A7390">
            <w:pPr>
              <w:adjustRightInd w:val="0"/>
              <w:snapToGrid w:val="0"/>
              <w:spacing w:line="360" w:lineRule="auto"/>
              <w:rPr>
                <w:rFonts w:ascii="宋体" w:hAnsi="宋体"/>
                <w:color w:val="auto"/>
                <w:szCs w:val="21"/>
                <w:highlight w:val="none"/>
              </w:rPr>
            </w:pPr>
            <w:r>
              <w:rPr>
                <w:rFonts w:hint="eastAsia" w:ascii="宋体" w:hAnsi="宋体" w:cs="宋体"/>
                <w:color w:val="auto"/>
                <w:szCs w:val="21"/>
                <w:highlight w:val="none"/>
              </w:rPr>
              <w:t>□ 是，采购《节能产品政府采购清单》(第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期) 内标记★符号的节能产品。</w:t>
            </w:r>
          </w:p>
        </w:tc>
      </w:tr>
      <w:tr w14:paraId="44369B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2" w:hRule="atLeast"/>
        </w:trPr>
        <w:tc>
          <w:tcPr>
            <w:tcW w:w="1758" w:type="dxa"/>
            <w:vAlign w:val="center"/>
          </w:tcPr>
          <w:p w14:paraId="43602087">
            <w:pPr>
              <w:adjustRightInd w:val="0"/>
              <w:snapToGrid w:val="0"/>
              <w:spacing w:line="360" w:lineRule="auto"/>
              <w:jc w:val="center"/>
              <w:rPr>
                <w:rFonts w:ascii="宋体" w:hAnsi="宋体"/>
                <w:color w:val="auto"/>
                <w:szCs w:val="21"/>
                <w:highlight w:val="none"/>
              </w:rPr>
            </w:pPr>
            <w:r>
              <w:rPr>
                <w:rFonts w:hint="eastAsia" w:ascii="宋体" w:hAnsi="宋体" w:cs="宋体"/>
                <w:color w:val="auto"/>
                <w:szCs w:val="21"/>
                <w:highlight w:val="none"/>
              </w:rPr>
              <w:t>第二章第9.2款</w:t>
            </w:r>
          </w:p>
        </w:tc>
        <w:tc>
          <w:tcPr>
            <w:tcW w:w="1950" w:type="dxa"/>
            <w:vAlign w:val="center"/>
          </w:tcPr>
          <w:p w14:paraId="0C578637">
            <w:pPr>
              <w:adjustRightInd w:val="0"/>
              <w:snapToGrid w:val="0"/>
              <w:spacing w:beforeLines="50" w:line="360" w:lineRule="auto"/>
              <w:rPr>
                <w:rFonts w:ascii="宋体" w:hAnsi="宋体" w:cs="宋体"/>
                <w:color w:val="auto"/>
                <w:szCs w:val="21"/>
                <w:highlight w:val="none"/>
              </w:rPr>
            </w:pPr>
            <w:r>
              <w:rPr>
                <w:rFonts w:hint="eastAsia" w:ascii="宋体" w:hAnsi="宋体" w:cs="宋体"/>
                <w:color w:val="auto"/>
                <w:szCs w:val="21"/>
                <w:highlight w:val="none"/>
              </w:rPr>
              <w:t>政府采购优先采购：</w:t>
            </w:r>
          </w:p>
          <w:p w14:paraId="2AD68188">
            <w:pPr>
              <w:adjustRightInd w:val="0"/>
              <w:snapToGrid w:val="0"/>
              <w:spacing w:beforeLines="50" w:line="360" w:lineRule="auto"/>
              <w:rPr>
                <w:rFonts w:ascii="宋体" w:hAnsi="宋体" w:cs="宋体"/>
                <w:color w:val="auto"/>
                <w:szCs w:val="21"/>
                <w:highlight w:val="none"/>
              </w:rPr>
            </w:pPr>
            <w:r>
              <w:rPr>
                <w:rFonts w:hint="eastAsia" w:ascii="宋体" w:hAnsi="宋体" w:cs="宋体"/>
                <w:color w:val="auto"/>
                <w:szCs w:val="21"/>
                <w:highlight w:val="none"/>
              </w:rPr>
              <w:t>(1)非标记★符号的节能产品；</w:t>
            </w:r>
          </w:p>
          <w:p w14:paraId="2A708DFD">
            <w:pPr>
              <w:adjustRightInd w:val="0"/>
              <w:snapToGrid w:val="0"/>
              <w:spacing w:beforeLines="50" w:line="360" w:lineRule="auto"/>
              <w:rPr>
                <w:rFonts w:ascii="宋体" w:hAnsi="宋体" w:cs="宋体"/>
                <w:color w:val="auto"/>
                <w:szCs w:val="21"/>
                <w:highlight w:val="none"/>
              </w:rPr>
            </w:pPr>
            <w:r>
              <w:rPr>
                <w:rFonts w:hint="eastAsia" w:ascii="宋体" w:hAnsi="宋体" w:cs="宋体"/>
                <w:color w:val="auto"/>
                <w:szCs w:val="21"/>
                <w:highlight w:val="none"/>
              </w:rPr>
              <w:t>(2)环境标志产品；</w:t>
            </w:r>
          </w:p>
          <w:p w14:paraId="04AE2105">
            <w:pPr>
              <w:adjustRightInd w:val="0"/>
              <w:snapToGrid w:val="0"/>
              <w:spacing w:beforeLines="50" w:line="360" w:lineRule="auto"/>
              <w:rPr>
                <w:rFonts w:ascii="宋体" w:hAnsi="宋体" w:cs="宋体"/>
                <w:color w:val="auto"/>
                <w:szCs w:val="21"/>
                <w:highlight w:val="none"/>
              </w:rPr>
            </w:pPr>
            <w:r>
              <w:rPr>
                <w:rFonts w:hint="eastAsia" w:ascii="宋体" w:hAnsi="宋体" w:cs="宋体"/>
                <w:color w:val="auto"/>
                <w:szCs w:val="21"/>
                <w:highlight w:val="none"/>
              </w:rPr>
              <w:t>(3)支持中小企业发展</w:t>
            </w:r>
            <w:r>
              <w:rPr>
                <w:rFonts w:hint="eastAsia" w:ascii="宋体" w:hAnsi="宋体" w:cs="宋体"/>
                <w:b/>
                <w:color w:val="auto"/>
                <w:szCs w:val="21"/>
                <w:highlight w:val="none"/>
              </w:rPr>
              <w:t>（监狱企业、残疾人福利性单位视同小微企业）</w:t>
            </w:r>
            <w:r>
              <w:rPr>
                <w:rFonts w:hint="eastAsia" w:ascii="宋体" w:hAnsi="宋体" w:cs="宋体"/>
                <w:color w:val="auto"/>
                <w:szCs w:val="21"/>
                <w:highlight w:val="none"/>
              </w:rPr>
              <w:t>；</w:t>
            </w:r>
          </w:p>
          <w:p w14:paraId="33265C2D">
            <w:pPr>
              <w:adjustRightInd w:val="0"/>
              <w:snapToGrid w:val="0"/>
              <w:spacing w:beforeLines="50" w:line="360" w:lineRule="auto"/>
              <w:rPr>
                <w:rFonts w:ascii="宋体" w:hAnsi="宋体" w:cs="宋体"/>
                <w:color w:val="auto"/>
                <w:szCs w:val="21"/>
                <w:highlight w:val="none"/>
              </w:rPr>
            </w:pPr>
            <w:r>
              <w:rPr>
                <w:rFonts w:hint="eastAsia" w:ascii="宋体" w:hAnsi="宋体" w:cs="宋体"/>
                <w:color w:val="auto"/>
                <w:szCs w:val="21"/>
                <w:highlight w:val="none"/>
              </w:rPr>
              <w:t>(4)其他。</w:t>
            </w:r>
          </w:p>
          <w:p w14:paraId="14AA694F">
            <w:pPr>
              <w:adjustRightInd w:val="0"/>
              <w:snapToGrid w:val="0"/>
              <w:spacing w:beforeLines="50" w:line="360" w:lineRule="auto"/>
              <w:rPr>
                <w:rFonts w:ascii="宋体" w:hAnsi="宋体" w:cs="宋体"/>
                <w:bCs/>
                <w:color w:val="auto"/>
                <w:kern w:val="0"/>
                <w:szCs w:val="21"/>
                <w:highlight w:val="none"/>
              </w:rPr>
            </w:pPr>
          </w:p>
        </w:tc>
        <w:tc>
          <w:tcPr>
            <w:tcW w:w="6536" w:type="dxa"/>
            <w:vAlign w:val="center"/>
          </w:tcPr>
          <w:p w14:paraId="76492716">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1、采购产品为《节能产品政府采购品目清单》（财库(2019)19号）内非标记★符号的，分别给予技术和价格项标准总分值4%-8%的加分。本项目具体加分比例分别为 ：技术</w:t>
            </w:r>
            <w:r>
              <w:rPr>
                <w:rFonts w:hint="eastAsia" w:ascii="宋体" w:hAnsi="宋体" w:cs="宋体"/>
                <w:color w:val="auto"/>
                <w:szCs w:val="21"/>
                <w:u w:val="single"/>
              </w:rPr>
              <w:t xml:space="preserve"> / </w:t>
            </w:r>
            <w:r>
              <w:rPr>
                <w:rFonts w:hint="eastAsia" w:ascii="宋体" w:hAnsi="宋体" w:cs="宋体"/>
                <w:color w:val="auto"/>
                <w:szCs w:val="21"/>
              </w:rPr>
              <w:t>%、价格</w:t>
            </w:r>
            <w:r>
              <w:rPr>
                <w:rFonts w:hint="eastAsia" w:ascii="宋体" w:hAnsi="宋体" w:cs="宋体"/>
                <w:color w:val="auto"/>
                <w:szCs w:val="21"/>
                <w:u w:val="single"/>
              </w:rPr>
              <w:t xml:space="preserve"> / </w:t>
            </w:r>
            <w:r>
              <w:rPr>
                <w:rFonts w:hint="eastAsia" w:ascii="宋体" w:hAnsi="宋体" w:cs="宋体"/>
                <w:color w:val="auto"/>
                <w:szCs w:val="21"/>
              </w:rPr>
              <w:t>%。</w:t>
            </w:r>
          </w:p>
          <w:p w14:paraId="35F4EFBA">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2、采购产品为《环境标志产品政府采购品目清单》内的，分别给予技术和价格项标准总分值4%-8%的加分。本项目具体加分比例分别为 ：技术</w:t>
            </w:r>
            <w:r>
              <w:rPr>
                <w:rFonts w:hint="eastAsia" w:ascii="宋体" w:hAnsi="宋体" w:cs="宋体"/>
                <w:color w:val="auto"/>
                <w:szCs w:val="21"/>
                <w:u w:val="single"/>
              </w:rPr>
              <w:t xml:space="preserve"> / </w:t>
            </w:r>
            <w:r>
              <w:rPr>
                <w:rFonts w:hint="eastAsia" w:ascii="宋体" w:hAnsi="宋体" w:cs="宋体"/>
                <w:color w:val="auto"/>
                <w:szCs w:val="21"/>
              </w:rPr>
              <w:t>%、价格</w:t>
            </w:r>
            <w:r>
              <w:rPr>
                <w:rFonts w:hint="eastAsia" w:ascii="宋体" w:hAnsi="宋体" w:cs="宋体"/>
                <w:color w:val="auto"/>
                <w:szCs w:val="21"/>
                <w:u w:val="single"/>
              </w:rPr>
              <w:t xml:space="preserve"> / </w:t>
            </w:r>
            <w:r>
              <w:rPr>
                <w:rFonts w:hint="eastAsia" w:ascii="宋体" w:hAnsi="宋体" w:cs="宋体"/>
                <w:color w:val="auto"/>
                <w:szCs w:val="21"/>
              </w:rPr>
              <w:t>%。</w:t>
            </w:r>
          </w:p>
          <w:p w14:paraId="1B8834AA">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3、非专门面向中小企业采购，符合政府采购促进中小企业（货物类供应商和产品制造商应同时满足小微企业、福利和监狱企业的条件）发展相关规定的：</w:t>
            </w:r>
          </w:p>
          <w:p w14:paraId="56B8EDD3">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（1）给予小型和微型企业、福利和监狱企业产品的价格给予10%-20%的扣除，用扣除后的价格参与评审，本项目具体扣除比例为</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10</w:t>
            </w:r>
            <w:r>
              <w:rPr>
                <w:rFonts w:hint="eastAsia" w:ascii="宋体" w:hAnsi="宋体" w:cs="宋体"/>
                <w:color w:val="auto"/>
                <w:szCs w:val="21"/>
              </w:rPr>
              <w:t>％，不重复享受政策。</w:t>
            </w:r>
          </w:p>
          <w:p w14:paraId="7488C56C">
            <w:pPr>
              <w:adjustRightInd w:val="0"/>
              <w:snapToGrid w:val="0"/>
              <w:spacing w:beforeLines="50" w:line="360" w:lineRule="auto"/>
              <w:rPr>
                <w:rFonts w:hint="eastAsia" w:ascii="Times New Roman" w:hAnsi="Times New Roman" w:eastAsia="宋体" w:cs="Times New Roman"/>
                <w:color w:val="auto"/>
                <w:highlight w:val="none"/>
                <w:lang w:val="en-US" w:eastAsia="zh-CN"/>
              </w:rPr>
            </w:pPr>
            <w:r>
              <w:rPr>
                <w:rFonts w:hint="eastAsia" w:ascii="宋体" w:hAnsi="宋体" w:cs="宋体"/>
                <w:color w:val="auto"/>
                <w:szCs w:val="21"/>
              </w:rPr>
              <w:t>（2）给予联合体4%-6%的价格扣除，用扣除后的价格参与评审，本项目具体扣除比例为</w:t>
            </w:r>
            <w:r>
              <w:rPr>
                <w:rFonts w:hint="eastAsia" w:ascii="宋体" w:hAnsi="宋体" w:cs="宋体"/>
                <w:color w:val="auto"/>
                <w:szCs w:val="21"/>
                <w:u w:val="single"/>
              </w:rPr>
              <w:t xml:space="preserve"> / </w:t>
            </w:r>
            <w:r>
              <w:rPr>
                <w:rFonts w:hint="eastAsia" w:ascii="宋体" w:hAnsi="宋体" w:cs="宋体"/>
                <w:color w:val="auto"/>
                <w:szCs w:val="21"/>
              </w:rPr>
              <w:t>％。</w:t>
            </w:r>
          </w:p>
        </w:tc>
      </w:tr>
      <w:tr w14:paraId="731F3E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8" w:hRule="atLeast"/>
        </w:trPr>
        <w:tc>
          <w:tcPr>
            <w:tcW w:w="10244" w:type="dxa"/>
            <w:gridSpan w:val="3"/>
            <w:vAlign w:val="center"/>
          </w:tcPr>
          <w:p w14:paraId="468810DB">
            <w:pPr>
              <w:adjustRightInd w:val="0"/>
              <w:snapToGrid w:val="0"/>
              <w:rPr>
                <w:rFonts w:ascii="宋体" w:hAnsi="宋体"/>
                <w:b/>
                <w:color w:val="auto"/>
                <w:szCs w:val="21"/>
                <w:highlight w:val="none"/>
              </w:rPr>
            </w:pPr>
            <w:r>
              <w:rPr>
                <w:rFonts w:hint="eastAsia" w:ascii="宋体" w:hAnsi="宋体"/>
                <w:b/>
                <w:color w:val="auto"/>
                <w:szCs w:val="21"/>
                <w:highlight w:val="none"/>
              </w:rPr>
              <w:t>二、磋商文件</w:t>
            </w:r>
          </w:p>
        </w:tc>
      </w:tr>
      <w:tr w14:paraId="1BDF62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36" w:hRule="atLeast"/>
        </w:trPr>
        <w:tc>
          <w:tcPr>
            <w:tcW w:w="1758" w:type="dxa"/>
            <w:vAlign w:val="center"/>
          </w:tcPr>
          <w:p w14:paraId="680C32F3">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第二章第10.2款</w:t>
            </w:r>
          </w:p>
        </w:tc>
        <w:tc>
          <w:tcPr>
            <w:tcW w:w="1950" w:type="dxa"/>
            <w:vAlign w:val="center"/>
          </w:tcPr>
          <w:p w14:paraId="55961DFC">
            <w:pPr>
              <w:adjustRightInd w:val="0"/>
              <w:snapToGrid w:val="0"/>
              <w:jc w:val="center"/>
              <w:rPr>
                <w:rFonts w:ascii="宋体" w:hAnsi="宋体"/>
                <w:color w:val="auto"/>
                <w:szCs w:val="21"/>
                <w:highlight w:val="none"/>
              </w:rPr>
            </w:pPr>
            <w:r>
              <w:rPr>
                <w:rFonts w:hint="eastAsia" w:ascii="宋体" w:hAnsi="宋体"/>
                <w:color w:val="auto"/>
                <w:szCs w:val="21"/>
                <w:highlight w:val="none"/>
              </w:rPr>
              <w:t>磋商文件的可能实质性变动内容</w:t>
            </w:r>
          </w:p>
        </w:tc>
        <w:tc>
          <w:tcPr>
            <w:tcW w:w="6536" w:type="dxa"/>
            <w:vAlign w:val="center"/>
          </w:tcPr>
          <w:p w14:paraId="052E2D27">
            <w:pPr>
              <w:adjustRightInd w:val="0"/>
              <w:snapToGrid w:val="0"/>
              <w:jc w:val="left"/>
              <w:rPr>
                <w:rFonts w:ascii="宋体" w:hAnsi="宋体"/>
                <w:color w:val="auto"/>
                <w:szCs w:val="21"/>
                <w:highlight w:val="none"/>
              </w:rPr>
            </w:pPr>
            <w:r>
              <w:rPr>
                <w:rFonts w:hint="eastAsia" w:ascii="宋体" w:hAnsi="宋体"/>
                <w:color w:val="auto"/>
                <w:szCs w:val="21"/>
                <w:highlight w:val="none"/>
              </w:rPr>
              <w:t>第三章合同条款、第四章采购需求</w:t>
            </w:r>
          </w:p>
        </w:tc>
      </w:tr>
      <w:tr w14:paraId="5D79E1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5" w:hRule="atLeast"/>
        </w:trPr>
        <w:tc>
          <w:tcPr>
            <w:tcW w:w="1758" w:type="dxa"/>
            <w:vAlign w:val="center"/>
          </w:tcPr>
          <w:p w14:paraId="5A284281">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第二章第11.1款</w:t>
            </w:r>
          </w:p>
        </w:tc>
        <w:tc>
          <w:tcPr>
            <w:tcW w:w="1950" w:type="dxa"/>
            <w:vAlign w:val="center"/>
          </w:tcPr>
          <w:p w14:paraId="6800D9BC">
            <w:pPr>
              <w:adjustRightInd w:val="0"/>
              <w:snapToGrid w:val="0"/>
              <w:jc w:val="center"/>
              <w:rPr>
                <w:rFonts w:ascii="宋体" w:hAnsi="宋体"/>
                <w:color w:val="auto"/>
                <w:szCs w:val="21"/>
                <w:highlight w:val="none"/>
              </w:rPr>
            </w:pPr>
            <w:r>
              <w:rPr>
                <w:rFonts w:hint="eastAsia" w:ascii="宋体" w:hAnsi="宋体"/>
                <w:color w:val="auto"/>
                <w:szCs w:val="21"/>
                <w:highlight w:val="none"/>
              </w:rPr>
              <w:t>提供磋商文件期限</w:t>
            </w:r>
          </w:p>
        </w:tc>
        <w:tc>
          <w:tcPr>
            <w:tcW w:w="6536" w:type="dxa"/>
            <w:vAlign w:val="center"/>
          </w:tcPr>
          <w:p w14:paraId="12BDB36C">
            <w:pPr>
              <w:adjustRightInd w:val="0"/>
              <w:snapToGrid w:val="0"/>
              <w:jc w:val="lef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2026年 7  月  14 日起至 2026年 7 月 23 日</w:t>
            </w:r>
            <w:r>
              <w:rPr>
                <w:rFonts w:hint="eastAsia" w:ascii="宋体" w:hAnsi="宋体"/>
                <w:color w:val="auto"/>
                <w:szCs w:val="21"/>
                <w:highlight w:val="none"/>
              </w:rPr>
              <w:t>（五个工作日）</w:t>
            </w:r>
          </w:p>
        </w:tc>
      </w:tr>
      <w:tr w14:paraId="2953B0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9" w:hRule="atLeast"/>
        </w:trPr>
        <w:tc>
          <w:tcPr>
            <w:tcW w:w="1758" w:type="dxa"/>
            <w:vAlign w:val="center"/>
          </w:tcPr>
          <w:p w14:paraId="205F4CA6">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第二章第11.2款</w:t>
            </w:r>
          </w:p>
        </w:tc>
        <w:tc>
          <w:tcPr>
            <w:tcW w:w="1950" w:type="dxa"/>
            <w:vAlign w:val="center"/>
          </w:tcPr>
          <w:p w14:paraId="3DCBB562">
            <w:pPr>
              <w:adjustRightInd w:val="0"/>
              <w:snapToGrid w:val="0"/>
              <w:jc w:val="left"/>
              <w:rPr>
                <w:rFonts w:ascii="宋体" w:hAnsi="宋体"/>
                <w:color w:val="auto"/>
                <w:szCs w:val="21"/>
                <w:highlight w:val="none"/>
              </w:rPr>
            </w:pPr>
            <w:r>
              <w:rPr>
                <w:rFonts w:hint="eastAsia" w:ascii="宋体" w:hAnsi="宋体"/>
                <w:color w:val="auto"/>
                <w:szCs w:val="21"/>
                <w:highlight w:val="none"/>
              </w:rPr>
              <w:t>领取或购买磋商文件时应提供的资料</w:t>
            </w:r>
          </w:p>
        </w:tc>
        <w:tc>
          <w:tcPr>
            <w:tcW w:w="6536" w:type="dxa"/>
            <w:vAlign w:val="center"/>
          </w:tcPr>
          <w:p w14:paraId="56F77830">
            <w:pPr>
              <w:adjustRightInd w:val="0"/>
              <w:snapToGrid w:val="0"/>
              <w:jc w:val="left"/>
              <w:rPr>
                <w:rFonts w:ascii="宋体" w:hAnsi="宋体"/>
                <w:color w:val="auto"/>
                <w:szCs w:val="21"/>
                <w:highlight w:val="none"/>
                <w:u w:val="single"/>
              </w:rPr>
            </w:pPr>
            <w:r>
              <w:rPr>
                <w:rFonts w:hint="eastAsia" w:ascii="宋体" w:hAnsi="宋体"/>
                <w:b/>
                <w:bCs/>
                <w:color w:val="auto"/>
                <w:szCs w:val="21"/>
                <w:highlight w:val="none"/>
              </w:rPr>
              <w:t>个人身份证、法定代表人身份证明(或者授权委托书并附法定代表人身份证明)、供应商营业执照副本复印件相应资料。</w:t>
            </w:r>
          </w:p>
        </w:tc>
      </w:tr>
      <w:tr w14:paraId="5AAB39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45" w:hRule="atLeast"/>
        </w:trPr>
        <w:tc>
          <w:tcPr>
            <w:tcW w:w="1758" w:type="dxa"/>
            <w:vAlign w:val="center"/>
          </w:tcPr>
          <w:p w14:paraId="568CAB1A">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第二章第12.1款</w:t>
            </w:r>
          </w:p>
        </w:tc>
        <w:tc>
          <w:tcPr>
            <w:tcW w:w="1950" w:type="dxa"/>
            <w:vAlign w:val="center"/>
          </w:tcPr>
          <w:p w14:paraId="265DFA78">
            <w:pPr>
              <w:adjustRightInd w:val="0"/>
              <w:snapToGrid w:val="0"/>
              <w:jc w:val="center"/>
              <w:rPr>
                <w:rFonts w:ascii="宋体" w:hAnsi="宋体"/>
                <w:color w:val="auto"/>
                <w:szCs w:val="21"/>
                <w:highlight w:val="none"/>
              </w:rPr>
            </w:pPr>
            <w:r>
              <w:rPr>
                <w:rFonts w:hint="eastAsia" w:ascii="宋体" w:hAnsi="宋体"/>
                <w:color w:val="auto"/>
                <w:szCs w:val="21"/>
                <w:highlight w:val="none"/>
              </w:rPr>
              <w:t>提交首次响应文件的截止时间</w:t>
            </w:r>
          </w:p>
        </w:tc>
        <w:tc>
          <w:tcPr>
            <w:tcW w:w="6536" w:type="dxa"/>
            <w:vAlign w:val="center"/>
          </w:tcPr>
          <w:p w14:paraId="7BB9CE8C">
            <w:pPr>
              <w:adjustRightInd w:val="0"/>
              <w:snapToGrid w:val="0"/>
              <w:jc w:val="left"/>
              <w:rPr>
                <w:rFonts w:ascii="宋体" w:hAnsi="宋体"/>
                <w:color w:val="auto"/>
                <w:szCs w:val="21"/>
                <w:highlight w:val="none"/>
              </w:rPr>
            </w:pPr>
            <w:r>
              <w:rPr>
                <w:rFonts w:hint="eastAsia" w:ascii="宋体" w:hAnsi="宋体"/>
                <w:color w:val="auto"/>
                <w:szCs w:val="21"/>
                <w:highlight w:val="none"/>
                <w:u w:val="single"/>
                <w:lang w:val="en-US" w:eastAsia="zh-CN"/>
              </w:rPr>
              <w:t>2026年  7 月  27 日   9   时 30  分</w:t>
            </w:r>
            <w:r>
              <w:rPr>
                <w:rFonts w:hint="eastAsia" w:ascii="宋体" w:hAnsi="宋体"/>
                <w:color w:val="auto"/>
                <w:szCs w:val="21"/>
                <w:highlight w:val="none"/>
              </w:rPr>
              <w:t>(北京时间)</w:t>
            </w:r>
          </w:p>
        </w:tc>
      </w:tr>
      <w:tr w14:paraId="413B92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7" w:hRule="atLeast"/>
        </w:trPr>
        <w:tc>
          <w:tcPr>
            <w:tcW w:w="10244" w:type="dxa"/>
            <w:gridSpan w:val="3"/>
            <w:vAlign w:val="center"/>
          </w:tcPr>
          <w:p w14:paraId="18B7B83A">
            <w:pPr>
              <w:adjustRightInd w:val="0"/>
              <w:snapToGrid w:val="0"/>
              <w:rPr>
                <w:rFonts w:ascii="宋体" w:hAnsi="宋体"/>
                <w:color w:val="auto"/>
                <w:szCs w:val="21"/>
                <w:highlight w:val="none"/>
              </w:rPr>
            </w:pPr>
            <w:r>
              <w:rPr>
                <w:rFonts w:hint="eastAsia" w:ascii="宋体" w:hAnsi="宋体"/>
                <w:b/>
                <w:color w:val="auto"/>
                <w:szCs w:val="21"/>
                <w:highlight w:val="none"/>
              </w:rPr>
              <w:t>三、响应文件的编写</w:t>
            </w:r>
          </w:p>
        </w:tc>
      </w:tr>
      <w:tr w14:paraId="031548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8" w:hRule="atLeast"/>
        </w:trPr>
        <w:tc>
          <w:tcPr>
            <w:tcW w:w="1758" w:type="dxa"/>
            <w:vAlign w:val="center"/>
          </w:tcPr>
          <w:p w14:paraId="3E361969">
            <w:pPr>
              <w:adjustRightInd w:val="0"/>
              <w:snapToGrid w:val="0"/>
              <w:rPr>
                <w:rFonts w:ascii="宋体" w:hAnsi="宋体"/>
                <w:color w:val="auto"/>
                <w:szCs w:val="21"/>
                <w:highlight w:val="none"/>
              </w:rPr>
            </w:pPr>
            <w:r>
              <w:rPr>
                <w:rFonts w:hint="eastAsia" w:ascii="宋体" w:hAnsi="宋体"/>
                <w:color w:val="auto"/>
                <w:szCs w:val="21"/>
                <w:highlight w:val="none"/>
              </w:rPr>
              <w:t>第二章第16.4款</w:t>
            </w:r>
          </w:p>
        </w:tc>
        <w:tc>
          <w:tcPr>
            <w:tcW w:w="1950" w:type="dxa"/>
            <w:vAlign w:val="center"/>
          </w:tcPr>
          <w:p w14:paraId="0097E296">
            <w:pPr>
              <w:adjustRightInd w:val="0"/>
              <w:snapToGrid w:val="0"/>
              <w:jc w:val="center"/>
              <w:rPr>
                <w:rFonts w:ascii="宋体" w:hAnsi="宋体"/>
                <w:color w:val="auto"/>
                <w:szCs w:val="21"/>
                <w:highlight w:val="none"/>
              </w:rPr>
            </w:pPr>
            <w:r>
              <w:rPr>
                <w:rFonts w:hint="eastAsia" w:ascii="宋体" w:hAnsi="宋体"/>
                <w:color w:val="auto"/>
                <w:szCs w:val="21"/>
                <w:highlight w:val="none"/>
              </w:rPr>
              <w:t>采购项目预算</w:t>
            </w:r>
          </w:p>
        </w:tc>
        <w:tc>
          <w:tcPr>
            <w:tcW w:w="6536" w:type="dxa"/>
            <w:vAlign w:val="center"/>
          </w:tcPr>
          <w:p w14:paraId="3ACE8DF7">
            <w:pPr>
              <w:adjustRightInd w:val="0"/>
              <w:snapToGrid w:val="0"/>
              <w:spacing w:line="360" w:lineRule="auto"/>
              <w:outlineLvl w:val="0"/>
              <w:rPr>
                <w:rFonts w:ascii="宋体" w:hAnsi="宋体"/>
                <w:color w:val="auto"/>
                <w:szCs w:val="21"/>
                <w:highlight w:val="none"/>
              </w:rPr>
            </w:pPr>
            <w:bookmarkStart w:id="20" w:name="_Toc1287345309"/>
            <w:r>
              <w:rPr>
                <w:rFonts w:hint="eastAsia" w:ascii="宋体" w:hAnsi="宋体" w:cs="Times New Roman"/>
                <w:color w:val="auto"/>
                <w:szCs w:val="21"/>
                <w:highlight w:val="none"/>
              </w:rPr>
              <w:t>采购项目预算：</w:t>
            </w:r>
            <w:r>
              <w:rPr>
                <w:rFonts w:hint="eastAsia" w:ascii="宋体" w:hAnsi="宋体" w:cs="Times New Roman"/>
                <w:color w:val="auto"/>
                <w:szCs w:val="21"/>
                <w:highlight w:val="none"/>
                <w:u w:val="single"/>
                <w:lang w:eastAsia="zh-CN"/>
              </w:rPr>
              <w:t>1796500.00元，包1预算484500.00元，包2预算481000.00元，包3预算481000.00元，包4预算350000.00元</w:t>
            </w:r>
            <w:bookmarkEnd w:id="20"/>
          </w:p>
        </w:tc>
      </w:tr>
      <w:tr w14:paraId="4A9074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67" w:hRule="atLeast"/>
        </w:trPr>
        <w:tc>
          <w:tcPr>
            <w:tcW w:w="1758" w:type="dxa"/>
            <w:vAlign w:val="center"/>
          </w:tcPr>
          <w:p w14:paraId="6D0B8F48">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第二章第17.3款</w:t>
            </w:r>
          </w:p>
        </w:tc>
        <w:tc>
          <w:tcPr>
            <w:tcW w:w="1950" w:type="dxa"/>
            <w:vAlign w:val="center"/>
          </w:tcPr>
          <w:p w14:paraId="6D7A55ED">
            <w:pPr>
              <w:adjustRightInd w:val="0"/>
              <w:snapToGrid w:val="0"/>
              <w:jc w:val="center"/>
              <w:rPr>
                <w:rFonts w:ascii="宋体" w:hAnsi="宋体"/>
                <w:color w:val="auto"/>
                <w:szCs w:val="21"/>
                <w:highlight w:val="none"/>
              </w:rPr>
            </w:pPr>
            <w:r>
              <w:rPr>
                <w:rFonts w:hint="eastAsia" w:ascii="宋体" w:hAnsi="宋体"/>
                <w:color w:val="auto"/>
                <w:highlight w:val="none"/>
              </w:rPr>
              <w:t>非制造商的证明文件</w:t>
            </w:r>
          </w:p>
        </w:tc>
        <w:tc>
          <w:tcPr>
            <w:tcW w:w="6536" w:type="dxa"/>
            <w:vAlign w:val="center"/>
          </w:tcPr>
          <w:p w14:paraId="310A2A46">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 不要求提供</w:t>
            </w:r>
          </w:p>
          <w:p w14:paraId="3A4CBAFE">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 要求提供：（证明文件复印件须加盖供应商单位公章，否则视为无效响应。）</w:t>
            </w:r>
          </w:p>
          <w:p w14:paraId="21922388">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经销、或代理响应货物、或为响应货物提供售后服务的证明文件。</w:t>
            </w:r>
          </w:p>
        </w:tc>
      </w:tr>
      <w:tr w14:paraId="482973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09" w:hRule="atLeast"/>
        </w:trPr>
        <w:tc>
          <w:tcPr>
            <w:tcW w:w="1758" w:type="dxa"/>
            <w:vAlign w:val="center"/>
          </w:tcPr>
          <w:p w14:paraId="2FEF6074">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第二章第18.1款</w:t>
            </w:r>
          </w:p>
        </w:tc>
        <w:tc>
          <w:tcPr>
            <w:tcW w:w="1950" w:type="dxa"/>
            <w:vAlign w:val="center"/>
          </w:tcPr>
          <w:p w14:paraId="6EB5650E">
            <w:pPr>
              <w:adjustRightInd w:val="0"/>
              <w:snapToGrid w:val="0"/>
              <w:jc w:val="center"/>
              <w:rPr>
                <w:rFonts w:ascii="宋体" w:hAnsi="宋体"/>
                <w:color w:val="auto"/>
                <w:highlight w:val="none"/>
              </w:rPr>
            </w:pPr>
            <w:r>
              <w:rPr>
                <w:rFonts w:hint="eastAsia" w:ascii="宋体" w:hAnsi="宋体"/>
                <w:color w:val="auto"/>
                <w:szCs w:val="21"/>
                <w:highlight w:val="none"/>
              </w:rPr>
              <w:t>样品提供及样品提交的时间、地点</w:t>
            </w:r>
          </w:p>
        </w:tc>
        <w:tc>
          <w:tcPr>
            <w:tcW w:w="6536" w:type="dxa"/>
            <w:vAlign w:val="center"/>
          </w:tcPr>
          <w:p w14:paraId="37756D24">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 不要求提供</w:t>
            </w:r>
          </w:p>
          <w:p w14:paraId="67B0F2F4">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 要求提供，提交的样品:</w:t>
            </w:r>
            <w:r>
              <w:rPr>
                <w:rFonts w:hint="eastAsia" w:ascii="宋体" w:hAnsi="宋体"/>
                <w:color w:val="auto"/>
                <w:szCs w:val="21"/>
                <w:highlight w:val="none"/>
                <w:u w:val="single"/>
              </w:rPr>
              <w:t xml:space="preserve">       </w:t>
            </w:r>
            <w:r>
              <w:rPr>
                <w:rFonts w:hint="eastAsia" w:ascii="宋体" w:hAnsi="宋体"/>
                <w:color w:val="auto"/>
                <w:szCs w:val="21"/>
                <w:highlight w:val="none"/>
              </w:rPr>
              <w:t>,提交的时间：</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、地点: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tc>
      </w:tr>
      <w:tr w14:paraId="0AC836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30" w:hRule="atLeast"/>
        </w:trPr>
        <w:tc>
          <w:tcPr>
            <w:tcW w:w="1758" w:type="dxa"/>
            <w:vAlign w:val="center"/>
          </w:tcPr>
          <w:p w14:paraId="609D9028">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第二章第19.1款</w:t>
            </w:r>
          </w:p>
        </w:tc>
        <w:tc>
          <w:tcPr>
            <w:tcW w:w="1950" w:type="dxa"/>
            <w:vAlign w:val="center"/>
          </w:tcPr>
          <w:p w14:paraId="6B854C86">
            <w:pPr>
              <w:adjustRightInd w:val="0"/>
              <w:snapToGrid w:val="0"/>
              <w:ind w:left="-533" w:leftChars="-254" w:firstLine="533" w:firstLineChars="254"/>
              <w:jc w:val="center"/>
              <w:rPr>
                <w:rFonts w:ascii="宋体" w:hAnsi="宋体"/>
                <w:color w:val="auto"/>
                <w:szCs w:val="21"/>
                <w:highlight w:val="none"/>
              </w:rPr>
            </w:pPr>
            <w:r>
              <w:rPr>
                <w:rFonts w:hint="eastAsia" w:ascii="宋体" w:hAnsi="宋体"/>
                <w:color w:val="auto"/>
                <w:szCs w:val="21"/>
                <w:highlight w:val="none"/>
              </w:rPr>
              <w:t>磋商保证金</w:t>
            </w:r>
          </w:p>
        </w:tc>
        <w:tc>
          <w:tcPr>
            <w:tcW w:w="6536" w:type="dxa"/>
            <w:vAlign w:val="center"/>
          </w:tcPr>
          <w:p w14:paraId="6B0E1F24">
            <w:pPr>
              <w:adjustRightInd w:val="0"/>
              <w:snapToGrid w:val="0"/>
              <w:spacing w:beforeLines="50"/>
              <w:rPr>
                <w:rFonts w:ascii="宋体" w:hAnsi="宋体"/>
                <w:color w:val="auto"/>
                <w:szCs w:val="21"/>
                <w:highlight w:val="none"/>
              </w:rPr>
            </w:pPr>
            <w:bookmarkStart w:id="21" w:name="EB7dc1f3c0109c494693274eaf49e1a27d"/>
            <w:r>
              <w:rPr>
                <w:rFonts w:ascii="宋体" w:hAnsi="宋体"/>
                <w:color w:val="auto"/>
                <w:szCs w:val="21"/>
                <w:highlight w:val="none"/>
              </w:rPr>
              <w:sym w:font="Wingdings 2" w:char="0052"/>
            </w:r>
            <w:r>
              <w:rPr>
                <w:rFonts w:hint="eastAsia" w:ascii="宋体" w:hAnsi="宋体"/>
                <w:color w:val="auto"/>
                <w:szCs w:val="21"/>
                <w:highlight w:val="none"/>
              </w:rPr>
              <w:t>不要求提供</w:t>
            </w:r>
          </w:p>
          <w:p w14:paraId="0CCA060B">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□要求提供</w:t>
            </w:r>
            <w:bookmarkEnd w:id="21"/>
            <w:bookmarkStart w:id="22" w:name="EB7d72e407b25c46a3a29b36780fc570c3"/>
            <w:r>
              <w:rPr>
                <w:rFonts w:hint="eastAsia" w:ascii="宋体" w:hAnsi="宋体"/>
                <w:color w:val="auto"/>
                <w:szCs w:val="21"/>
                <w:highlight w:val="none"/>
              </w:rPr>
              <w:t>/元（人民币）</w:t>
            </w:r>
            <w:bookmarkEnd w:id="22"/>
            <w:r>
              <w:rPr>
                <w:rFonts w:hint="eastAsia" w:ascii="宋体" w:hAnsi="宋体"/>
                <w:color w:val="auto"/>
                <w:szCs w:val="21"/>
                <w:highlight w:val="none"/>
              </w:rPr>
              <w:t>：0元</w:t>
            </w:r>
          </w:p>
          <w:p w14:paraId="6D5F69DB">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在202</w:t>
            </w:r>
            <w:r>
              <w:rPr>
                <w:rFonts w:hint="eastAsia" w:ascii="宋体" w:hAnsi="宋体"/>
                <w:color w:val="auto"/>
                <w:szCs w:val="21"/>
                <w:highlight w:val="none"/>
                <w:lang w:val="en-US" w:eastAsia="zh-CN"/>
              </w:rPr>
              <w:t>6</w:t>
            </w:r>
            <w:r>
              <w:rPr>
                <w:rFonts w:hint="eastAsia" w:ascii="宋体" w:hAnsi="宋体"/>
                <w:color w:val="auto"/>
                <w:szCs w:val="21"/>
                <w:highlight w:val="none"/>
              </w:rPr>
              <w:t>年 月    日17时00分前，以支票、汇票、本票等形式从基本账户缴入如下账户，查询已经到账，视为已缴纳，以银行回单上日期为准。</w:t>
            </w:r>
          </w:p>
          <w:p w14:paraId="0F31E72D">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账户名称：长沙工程建设项目管理有限责任公司</w:t>
            </w:r>
          </w:p>
          <w:p w14:paraId="1EE47A58">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账    号：7916  0180  8079  6666  8</w:t>
            </w:r>
          </w:p>
          <w:p w14:paraId="5575792E">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开户行  ：中国光大银行长沙北辰支行</w:t>
            </w:r>
          </w:p>
          <w:p w14:paraId="214FC516">
            <w:pPr>
              <w:adjustRightInd w:val="0"/>
              <w:snapToGrid w:val="0"/>
              <w:rPr>
                <w:rFonts w:hAnsi="宋体" w:cs="Courier New"/>
                <w:color w:val="auto"/>
                <w:highlight w:val="none"/>
                <w:u w:val="single"/>
              </w:rPr>
            </w:pPr>
          </w:p>
        </w:tc>
      </w:tr>
      <w:tr w14:paraId="3B0F6A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7" w:hRule="atLeast"/>
        </w:trPr>
        <w:tc>
          <w:tcPr>
            <w:tcW w:w="1758" w:type="dxa"/>
            <w:vAlign w:val="center"/>
          </w:tcPr>
          <w:p w14:paraId="573888A2">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第二章第20.1款</w:t>
            </w:r>
          </w:p>
        </w:tc>
        <w:tc>
          <w:tcPr>
            <w:tcW w:w="1950" w:type="dxa"/>
            <w:vAlign w:val="center"/>
          </w:tcPr>
          <w:p w14:paraId="2D8D6963">
            <w:pPr>
              <w:adjustRightInd w:val="0"/>
              <w:snapToGrid w:val="0"/>
              <w:jc w:val="center"/>
              <w:rPr>
                <w:rFonts w:ascii="宋体" w:hAnsi="宋体"/>
                <w:bCs/>
                <w:color w:val="auto"/>
                <w:szCs w:val="21"/>
                <w:highlight w:val="none"/>
              </w:rPr>
            </w:pPr>
            <w:r>
              <w:rPr>
                <w:rFonts w:hint="eastAsia" w:ascii="宋体" w:hAnsi="宋体"/>
                <w:bCs/>
                <w:color w:val="auto"/>
                <w:szCs w:val="21"/>
                <w:highlight w:val="none"/>
              </w:rPr>
              <w:t>响应文件有效期</w:t>
            </w:r>
          </w:p>
        </w:tc>
        <w:tc>
          <w:tcPr>
            <w:tcW w:w="6536" w:type="dxa"/>
            <w:vAlign w:val="center"/>
          </w:tcPr>
          <w:p w14:paraId="474ACA5F">
            <w:pPr>
              <w:adjustRightInd w:val="0"/>
              <w:snapToGrid w:val="0"/>
              <w:rPr>
                <w:rFonts w:hint="eastAsia" w:ascii="宋体" w:hAnsi="宋体" w:eastAsia="宋体"/>
                <w:bCs/>
                <w:color w:val="auto"/>
                <w:szCs w:val="21"/>
                <w:highlight w:val="none"/>
                <w:lang w:eastAsia="zh-CN"/>
              </w:rPr>
            </w:pPr>
            <w:r>
              <w:rPr>
                <w:rFonts w:hint="eastAsia" w:ascii="宋体" w:hAnsi="宋体"/>
                <w:color w:val="auto"/>
                <w:szCs w:val="21"/>
                <w:highlight w:val="none"/>
                <w:u w:val="single"/>
                <w:lang w:eastAsia="zh-CN"/>
              </w:rPr>
              <w:t>90 日（日历日）</w:t>
            </w:r>
          </w:p>
        </w:tc>
      </w:tr>
      <w:tr w14:paraId="0DE1FF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7" w:hRule="atLeast"/>
        </w:trPr>
        <w:tc>
          <w:tcPr>
            <w:tcW w:w="1758" w:type="dxa"/>
            <w:vAlign w:val="center"/>
          </w:tcPr>
          <w:p w14:paraId="370055B5">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第二章第21.1款</w:t>
            </w:r>
          </w:p>
        </w:tc>
        <w:tc>
          <w:tcPr>
            <w:tcW w:w="1950" w:type="dxa"/>
            <w:vAlign w:val="center"/>
          </w:tcPr>
          <w:p w14:paraId="69C11F6C">
            <w:pPr>
              <w:adjustRightInd w:val="0"/>
              <w:snapToGrid w:val="0"/>
              <w:jc w:val="center"/>
              <w:rPr>
                <w:rFonts w:ascii="宋体" w:hAnsi="宋体"/>
                <w:color w:val="auto"/>
                <w:szCs w:val="21"/>
                <w:highlight w:val="none"/>
              </w:rPr>
            </w:pPr>
            <w:r>
              <w:rPr>
                <w:rFonts w:hint="eastAsia" w:ascii="宋体" w:hAnsi="宋体"/>
                <w:bCs/>
                <w:color w:val="auto"/>
                <w:szCs w:val="21"/>
                <w:highlight w:val="none"/>
              </w:rPr>
              <w:t>响应</w:t>
            </w:r>
            <w:r>
              <w:rPr>
                <w:rFonts w:hint="eastAsia" w:ascii="宋体" w:hAnsi="宋体"/>
                <w:color w:val="auto"/>
                <w:szCs w:val="21"/>
                <w:highlight w:val="none"/>
              </w:rPr>
              <w:t>文件份数</w:t>
            </w:r>
          </w:p>
        </w:tc>
        <w:tc>
          <w:tcPr>
            <w:tcW w:w="6536" w:type="dxa"/>
            <w:vAlign w:val="center"/>
          </w:tcPr>
          <w:p w14:paraId="115FD4A4">
            <w:pPr>
              <w:adjustRightInd w:val="0"/>
              <w:snapToGrid w:val="0"/>
              <w:rPr>
                <w:rFonts w:ascii="宋体" w:hAnsi="宋体"/>
                <w:color w:val="auto"/>
                <w:szCs w:val="21"/>
                <w:highlight w:val="none"/>
                <w:u w:val="single"/>
              </w:rPr>
            </w:pPr>
            <w:r>
              <w:rPr>
                <w:rFonts w:hint="eastAsia" w:ascii="宋体" w:hAnsi="宋体"/>
                <w:color w:val="auto"/>
                <w:szCs w:val="21"/>
                <w:highlight w:val="none"/>
                <w:u w:val="single"/>
              </w:rPr>
              <w:t>3</w:t>
            </w:r>
            <w:r>
              <w:rPr>
                <w:rFonts w:hint="eastAsia" w:ascii="宋体" w:hAnsi="宋体"/>
                <w:color w:val="auto"/>
                <w:szCs w:val="21"/>
                <w:highlight w:val="none"/>
              </w:rPr>
              <w:t xml:space="preserve"> 份（正本一份，副本二份），电子</w:t>
            </w:r>
            <w:r>
              <w:rPr>
                <w:rFonts w:hint="default" w:ascii="宋体" w:hAnsi="宋体"/>
                <w:color w:val="auto"/>
                <w:szCs w:val="21"/>
                <w:highlight w:val="none"/>
                <w:lang w:val="en-US"/>
              </w:rPr>
              <w:t>U</w:t>
            </w:r>
            <w:r>
              <w:rPr>
                <w:rFonts w:hint="eastAsia" w:ascii="宋体" w:hAnsi="宋体"/>
                <w:color w:val="auto"/>
                <w:szCs w:val="21"/>
                <w:highlight w:val="none"/>
                <w:lang w:val="en-US" w:eastAsia="zh-CN"/>
              </w:rPr>
              <w:t>盘</w:t>
            </w:r>
            <w:r>
              <w:rPr>
                <w:rFonts w:hint="eastAsia" w:ascii="宋体" w:hAnsi="宋体"/>
                <w:color w:val="auto"/>
                <w:szCs w:val="21"/>
                <w:highlight w:val="none"/>
              </w:rPr>
              <w:t>一份（</w:t>
            </w:r>
            <w:r>
              <w:rPr>
                <w:rFonts w:hint="eastAsia" w:ascii="宋体" w:hAnsi="宋体"/>
                <w:b/>
                <w:bCs/>
                <w:color w:val="auto"/>
                <w:szCs w:val="21"/>
                <w:highlight w:val="none"/>
              </w:rPr>
              <w:t>正本盖章之后扫描件PDF版和可编辑word版</w:t>
            </w:r>
            <w:r>
              <w:rPr>
                <w:rFonts w:hint="eastAsia" w:ascii="宋体" w:hAnsi="宋体"/>
                <w:color w:val="auto"/>
                <w:szCs w:val="21"/>
                <w:highlight w:val="none"/>
              </w:rPr>
              <w:t>）</w:t>
            </w:r>
          </w:p>
        </w:tc>
      </w:tr>
      <w:tr w14:paraId="46BA93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trPr>
        <w:tc>
          <w:tcPr>
            <w:tcW w:w="10244" w:type="dxa"/>
            <w:gridSpan w:val="3"/>
            <w:vAlign w:val="center"/>
          </w:tcPr>
          <w:p w14:paraId="2DA86D22">
            <w:pPr>
              <w:adjustRightInd w:val="0"/>
              <w:snapToGrid w:val="0"/>
              <w:rPr>
                <w:rFonts w:ascii="宋体" w:hAnsi="宋体"/>
                <w:b/>
                <w:bCs/>
                <w:color w:val="auto"/>
                <w:szCs w:val="21"/>
                <w:highlight w:val="none"/>
              </w:rPr>
            </w:pPr>
            <w:r>
              <w:rPr>
                <w:rFonts w:hint="eastAsia" w:ascii="宋体" w:hAnsi="宋体"/>
                <w:b/>
                <w:color w:val="auto"/>
                <w:szCs w:val="21"/>
                <w:highlight w:val="none"/>
              </w:rPr>
              <w:t>四、响应文件的递交</w:t>
            </w:r>
          </w:p>
        </w:tc>
      </w:tr>
      <w:tr w14:paraId="1715B8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91" w:hRule="atLeast"/>
        </w:trPr>
        <w:tc>
          <w:tcPr>
            <w:tcW w:w="1758" w:type="dxa"/>
            <w:vAlign w:val="center"/>
          </w:tcPr>
          <w:p w14:paraId="2E9CD1CF">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第二章第22.2款</w:t>
            </w:r>
          </w:p>
        </w:tc>
        <w:tc>
          <w:tcPr>
            <w:tcW w:w="1950" w:type="dxa"/>
            <w:vAlign w:val="center"/>
          </w:tcPr>
          <w:p w14:paraId="1E45E593">
            <w:pPr>
              <w:adjustRightInd w:val="0"/>
              <w:snapToGrid w:val="0"/>
              <w:rPr>
                <w:rFonts w:ascii="宋体" w:hAnsi="宋体"/>
                <w:color w:val="auto"/>
                <w:szCs w:val="21"/>
                <w:highlight w:val="none"/>
              </w:rPr>
            </w:pPr>
            <w:r>
              <w:rPr>
                <w:rFonts w:hint="eastAsia" w:ascii="宋体" w:hAnsi="宋体"/>
                <w:color w:val="auto"/>
                <w:szCs w:val="21"/>
                <w:highlight w:val="none"/>
              </w:rPr>
              <w:t>封套上应载明的信息</w:t>
            </w:r>
          </w:p>
        </w:tc>
        <w:tc>
          <w:tcPr>
            <w:tcW w:w="6536" w:type="dxa"/>
            <w:vAlign w:val="center"/>
          </w:tcPr>
          <w:p w14:paraId="7F9295DC">
            <w:pPr>
              <w:adjustRightInd w:val="0"/>
              <w:snapToGrid w:val="0"/>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（项目名称）响应文件</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包号）</w:t>
            </w:r>
          </w:p>
          <w:p w14:paraId="787F7013">
            <w:pPr>
              <w:adjustRightInd w:val="0"/>
              <w:snapToGrid w:val="0"/>
              <w:rPr>
                <w:rFonts w:hint="eastAsia" w:ascii="宋体" w:hAnsi="宋体"/>
                <w:color w:val="auto"/>
                <w:szCs w:val="21"/>
                <w:highlight w:val="none"/>
                <w:u w:val="single"/>
              </w:rPr>
            </w:pPr>
            <w:r>
              <w:rPr>
                <w:rFonts w:hint="eastAsia" w:ascii="宋体" w:hAnsi="宋体"/>
                <w:color w:val="auto"/>
                <w:szCs w:val="21"/>
                <w:highlight w:val="none"/>
                <w:lang w:val="en-US" w:eastAsia="zh-CN"/>
              </w:rPr>
              <w:t>政府采购编号：</w:t>
            </w: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2A85DAD6">
            <w:pPr>
              <w:adjustRightInd w:val="0"/>
              <w:snapToGrid w:val="0"/>
              <w:rPr>
                <w:rFonts w:hint="eastAsia" w:ascii="宋体" w:hAnsi="宋体"/>
                <w:color w:val="auto"/>
                <w:szCs w:val="21"/>
                <w:highlight w:val="none"/>
                <w:u w:val="single"/>
              </w:rPr>
            </w:pPr>
            <w:r>
              <w:rPr>
                <w:rFonts w:hint="eastAsia" w:ascii="宋体" w:hAnsi="宋体"/>
                <w:color w:val="auto"/>
                <w:szCs w:val="21"/>
                <w:highlight w:val="none"/>
                <w:lang w:val="en-US" w:eastAsia="zh-CN"/>
              </w:rPr>
              <w:t>采购项目编号：</w:t>
            </w:r>
            <w:r>
              <w:rPr>
                <w:rFonts w:hint="eastAsia" w:ascii="宋体" w:hAnsi="宋体"/>
                <w:color w:val="auto"/>
                <w:szCs w:val="21"/>
                <w:highlight w:val="none"/>
                <w:u w:val="single"/>
              </w:rPr>
              <w:t xml:space="preserve">               </w:t>
            </w:r>
          </w:p>
          <w:p w14:paraId="174BDBD1">
            <w:pPr>
              <w:adjustRightInd w:val="0"/>
              <w:snapToGrid w:val="0"/>
              <w:rPr>
                <w:rFonts w:ascii="宋体" w:hAnsi="宋体"/>
                <w:color w:val="auto"/>
                <w:szCs w:val="21"/>
                <w:highlight w:val="none"/>
              </w:rPr>
            </w:pPr>
            <w:r>
              <w:rPr>
                <w:rFonts w:hint="eastAsia" w:ascii="宋体" w:hAnsi="宋体"/>
                <w:color w:val="auto"/>
                <w:szCs w:val="21"/>
                <w:highlight w:val="none"/>
              </w:rPr>
              <w:t>委托代理编号：</w:t>
            </w:r>
            <w:r>
              <w:rPr>
                <w:rFonts w:hint="eastAsia" w:ascii="宋体" w:hAnsi="宋体"/>
                <w:color w:val="auto"/>
                <w:szCs w:val="21"/>
                <w:highlight w:val="none"/>
                <w:u w:val="single"/>
              </w:rPr>
              <w:t xml:space="preserve">                </w:t>
            </w:r>
          </w:p>
          <w:p w14:paraId="0EDE2803">
            <w:pPr>
              <w:adjustRightInd w:val="0"/>
              <w:snapToGrid w:val="0"/>
              <w:rPr>
                <w:rFonts w:ascii="宋体" w:hAnsi="宋体"/>
                <w:color w:val="auto"/>
                <w:szCs w:val="21"/>
                <w:highlight w:val="none"/>
              </w:rPr>
            </w:pPr>
            <w:r>
              <w:rPr>
                <w:rFonts w:hint="eastAsia" w:ascii="宋体" w:hAnsi="宋体"/>
                <w:color w:val="auto"/>
                <w:szCs w:val="21"/>
                <w:highlight w:val="none"/>
              </w:rPr>
              <w:t>供应商名称：</w:t>
            </w:r>
            <w:r>
              <w:rPr>
                <w:rFonts w:hint="eastAsia" w:ascii="宋体" w:hAnsi="宋体"/>
                <w:color w:val="auto"/>
                <w:szCs w:val="21"/>
                <w:highlight w:val="none"/>
                <w:u w:val="single"/>
              </w:rPr>
              <w:t xml:space="preserve">                    </w:t>
            </w:r>
          </w:p>
          <w:p w14:paraId="78D830B8">
            <w:pPr>
              <w:adjustRightInd w:val="0"/>
              <w:snapToGrid w:val="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u w:val="single"/>
              </w:rPr>
              <w:t xml:space="preserve"> 202</w:t>
            </w:r>
            <w:r>
              <w:rPr>
                <w:rFonts w:hint="eastAsia" w:ascii="宋体" w:hAnsi="宋体"/>
                <w:color w:val="auto"/>
                <w:szCs w:val="21"/>
                <w:highlight w:val="none"/>
                <w:u w:val="single"/>
                <w:lang w:val="en-US" w:eastAsia="zh-CN"/>
              </w:rPr>
              <w:t>6</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日（星期</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分之前不得启封</w:t>
            </w:r>
          </w:p>
        </w:tc>
      </w:tr>
      <w:tr w14:paraId="1EE5BF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34" w:hRule="atLeast"/>
        </w:trPr>
        <w:tc>
          <w:tcPr>
            <w:tcW w:w="1758" w:type="dxa"/>
            <w:vAlign w:val="center"/>
          </w:tcPr>
          <w:p w14:paraId="2CDC7077">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第二章第24.1款</w:t>
            </w:r>
          </w:p>
        </w:tc>
        <w:tc>
          <w:tcPr>
            <w:tcW w:w="1950" w:type="dxa"/>
            <w:vAlign w:val="center"/>
          </w:tcPr>
          <w:p w14:paraId="7F02A03D">
            <w:pPr>
              <w:adjustRightInd w:val="0"/>
              <w:snapToGrid w:val="0"/>
              <w:jc w:val="center"/>
              <w:rPr>
                <w:rFonts w:ascii="宋体" w:hAnsi="宋体"/>
                <w:color w:val="auto"/>
                <w:szCs w:val="21"/>
                <w:highlight w:val="none"/>
              </w:rPr>
            </w:pPr>
            <w:r>
              <w:rPr>
                <w:rFonts w:hint="eastAsia" w:ascii="宋体" w:hAnsi="宋体"/>
                <w:color w:val="auto"/>
                <w:szCs w:val="21"/>
                <w:highlight w:val="none"/>
              </w:rPr>
              <w:t>响应文件的递交地点</w:t>
            </w:r>
          </w:p>
        </w:tc>
        <w:tc>
          <w:tcPr>
            <w:tcW w:w="6536" w:type="dxa"/>
            <w:vAlign w:val="center"/>
          </w:tcPr>
          <w:p w14:paraId="2B8B2CE0">
            <w:pPr>
              <w:adjustRightInd w:val="0"/>
              <w:snapToGrid w:val="0"/>
              <w:spacing w:line="360" w:lineRule="auto"/>
              <w:rPr>
                <w:rFonts w:ascii="宋体" w:hAnsi="宋体"/>
                <w:b/>
                <w:bCs/>
                <w:color w:val="auto"/>
                <w:szCs w:val="21"/>
                <w:highlight w:val="none"/>
              </w:rPr>
            </w:pPr>
            <w:r>
              <w:rPr>
                <w:rFonts w:hint="eastAsia" w:ascii="宋体" w:hAnsi="宋体"/>
                <w:color w:val="auto"/>
                <w:szCs w:val="21"/>
                <w:highlight w:val="none"/>
                <w:u w:val="single"/>
              </w:rPr>
              <w:t>长沙工程建设项目管理有限责任公司（长沙市芙蓉中路二段200号华侨国际1010房）</w:t>
            </w:r>
          </w:p>
        </w:tc>
      </w:tr>
      <w:tr w14:paraId="62F81E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10244" w:type="dxa"/>
            <w:gridSpan w:val="3"/>
            <w:vAlign w:val="center"/>
          </w:tcPr>
          <w:p w14:paraId="387AB05F">
            <w:pPr>
              <w:adjustRightInd w:val="0"/>
              <w:snapToGrid w:val="0"/>
              <w:rPr>
                <w:rFonts w:ascii="宋体" w:hAnsi="宋体"/>
                <w:b/>
                <w:bCs/>
                <w:color w:val="auto"/>
                <w:szCs w:val="21"/>
                <w:highlight w:val="none"/>
              </w:rPr>
            </w:pPr>
            <w:r>
              <w:rPr>
                <w:rFonts w:hint="eastAsia" w:ascii="宋体" w:hAnsi="宋体"/>
                <w:b/>
                <w:bCs/>
                <w:color w:val="auto"/>
                <w:szCs w:val="21"/>
                <w:highlight w:val="none"/>
              </w:rPr>
              <w:t>五、响应文件的磋商与评审</w:t>
            </w:r>
          </w:p>
        </w:tc>
      </w:tr>
      <w:tr w14:paraId="70C6A4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7" w:hRule="atLeast"/>
        </w:trPr>
        <w:tc>
          <w:tcPr>
            <w:tcW w:w="1758" w:type="dxa"/>
            <w:vAlign w:val="center"/>
          </w:tcPr>
          <w:p w14:paraId="43B1E525">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第二章第31.2款</w:t>
            </w:r>
          </w:p>
        </w:tc>
        <w:tc>
          <w:tcPr>
            <w:tcW w:w="1950" w:type="dxa"/>
            <w:vAlign w:val="center"/>
          </w:tcPr>
          <w:p w14:paraId="4CC1E524">
            <w:pPr>
              <w:adjustRightInd w:val="0"/>
              <w:snapToGrid w:val="0"/>
              <w:jc w:val="center"/>
              <w:rPr>
                <w:rFonts w:ascii="宋体" w:hAnsi="宋体"/>
                <w:color w:val="auto"/>
                <w:szCs w:val="21"/>
                <w:highlight w:val="none"/>
              </w:rPr>
            </w:pPr>
            <w:r>
              <w:rPr>
                <w:rFonts w:hint="eastAsia" w:ascii="宋体" w:hAnsi="宋体"/>
                <w:color w:val="auto"/>
                <w:szCs w:val="21"/>
                <w:highlight w:val="none"/>
              </w:rPr>
              <w:t>评审因素和标准</w:t>
            </w:r>
          </w:p>
        </w:tc>
        <w:tc>
          <w:tcPr>
            <w:tcW w:w="6536" w:type="dxa"/>
            <w:vAlign w:val="center"/>
          </w:tcPr>
          <w:p w14:paraId="606E662E">
            <w:pPr>
              <w:adjustRightInd w:val="0"/>
              <w:snapToGrid w:val="0"/>
              <w:rPr>
                <w:rFonts w:ascii="宋体" w:hAnsi="宋体"/>
                <w:bCs/>
                <w:color w:val="auto"/>
                <w:szCs w:val="21"/>
                <w:highlight w:val="none"/>
              </w:rPr>
            </w:pPr>
            <w:r>
              <w:rPr>
                <w:rFonts w:hint="eastAsia" w:ascii="宋体" w:hAnsi="宋体"/>
                <w:bCs/>
                <w:color w:val="auto"/>
                <w:szCs w:val="21"/>
                <w:highlight w:val="none"/>
              </w:rPr>
              <w:t>见附页4</w:t>
            </w:r>
          </w:p>
        </w:tc>
      </w:tr>
      <w:tr w14:paraId="2AE1E6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7" w:hRule="atLeast"/>
        </w:trPr>
        <w:tc>
          <w:tcPr>
            <w:tcW w:w="1758" w:type="dxa"/>
            <w:shd w:val="clear" w:color="auto" w:fill="auto"/>
            <w:vAlign w:val="center"/>
          </w:tcPr>
          <w:p w14:paraId="48BB724A">
            <w:pPr>
              <w:adjustRightInd w:val="0"/>
              <w:snapToGrid w:val="0"/>
              <w:spacing w:line="360" w:lineRule="auto"/>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第二章第31.3款</w:t>
            </w:r>
          </w:p>
        </w:tc>
        <w:tc>
          <w:tcPr>
            <w:tcW w:w="1950" w:type="dxa"/>
            <w:shd w:val="clear" w:color="auto" w:fill="auto"/>
            <w:vAlign w:val="center"/>
          </w:tcPr>
          <w:p w14:paraId="0EB0B38F">
            <w:pPr>
              <w:adjustRightInd w:val="0"/>
              <w:snapToGrid w:val="0"/>
              <w:spacing w:line="360" w:lineRule="auto"/>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s="宋体"/>
                <w:color w:val="auto"/>
                <w:kern w:val="0"/>
                <w:szCs w:val="21"/>
                <w:highlight w:val="none"/>
              </w:rPr>
              <w:t>最后报价</w:t>
            </w:r>
            <w:r>
              <w:rPr>
                <w:rFonts w:hint="eastAsia" w:ascii="宋体" w:hAnsi="宋体"/>
                <w:color w:val="auto"/>
                <w:szCs w:val="21"/>
                <w:highlight w:val="none"/>
              </w:rPr>
              <w:t>调整</w:t>
            </w:r>
          </w:p>
        </w:tc>
        <w:tc>
          <w:tcPr>
            <w:tcW w:w="6536" w:type="dxa"/>
            <w:shd w:val="clear" w:color="auto" w:fill="auto"/>
            <w:vAlign w:val="center"/>
          </w:tcPr>
          <w:p w14:paraId="38F36ACB">
            <w:pPr>
              <w:adjustRightInd w:val="0"/>
              <w:snapToGrid w:val="0"/>
              <w:spacing w:line="360" w:lineRule="auto"/>
              <w:rPr>
                <w:rFonts w:hint="eastAsia" w:ascii="宋体" w:hAnsi="宋体" w:cs="宋体"/>
                <w:bCs/>
                <w:color w:val="auto"/>
                <w:kern w:val="0"/>
                <w:szCs w:val="21"/>
                <w:shd w:val="clear" w:color="auto" w:fill="auto"/>
              </w:rPr>
            </w:pPr>
            <w:r>
              <w:rPr>
                <w:rFonts w:hint="eastAsia" w:ascii="宋体" w:hAnsi="宋体" w:cs="宋体"/>
                <w:color w:val="auto"/>
                <w:szCs w:val="21"/>
                <w:shd w:val="clear" w:color="auto" w:fill="auto"/>
              </w:rPr>
              <w:t xml:space="preserve">□ </w:t>
            </w:r>
            <w:r>
              <w:rPr>
                <w:rFonts w:hint="eastAsia" w:ascii="宋体" w:hAnsi="宋体" w:cs="宋体"/>
                <w:bCs/>
                <w:color w:val="auto"/>
                <w:kern w:val="0"/>
                <w:szCs w:val="21"/>
                <w:shd w:val="clear" w:color="auto" w:fill="auto"/>
              </w:rPr>
              <w:t>专门面向中小企业：不进行价格调整。</w:t>
            </w:r>
          </w:p>
          <w:p w14:paraId="786D7309">
            <w:pPr>
              <w:adjustRightInd w:val="0"/>
              <w:snapToGrid w:val="0"/>
              <w:spacing w:line="360" w:lineRule="auto"/>
              <w:rPr>
                <w:rFonts w:hint="eastAsia" w:ascii="宋体" w:hAnsi="宋体" w:eastAsia="宋体" w:cs="Times New Roman"/>
                <w:color w:val="auto"/>
                <w:kern w:val="2"/>
                <w:sz w:val="21"/>
                <w:szCs w:val="21"/>
                <w:highlight w:val="none"/>
                <w:lang w:val="en-US" w:eastAsia="zh-CN" w:bidi="ar-SA"/>
              </w:rPr>
            </w:pPr>
            <w:r>
              <w:rPr>
                <w:rFonts w:hint="eastAsia" w:hAnsi="宋体" w:cs="宋体"/>
                <w:color w:val="auto"/>
                <w:shd w:val="clear" w:color="auto" w:fill="auto"/>
              </w:rPr>
              <w:t>■</w:t>
            </w:r>
            <w:r>
              <w:rPr>
                <w:rFonts w:hint="eastAsia" w:ascii="宋体" w:hAnsi="宋体" w:cs="宋体"/>
                <w:color w:val="auto"/>
                <w:szCs w:val="21"/>
                <w:shd w:val="clear" w:color="auto" w:fill="auto"/>
              </w:rPr>
              <w:t xml:space="preserve"> </w:t>
            </w:r>
            <w:r>
              <w:rPr>
                <w:rFonts w:hint="eastAsia" w:ascii="宋体" w:hAnsi="宋体" w:cs="宋体"/>
                <w:bCs/>
                <w:color w:val="auto"/>
                <w:kern w:val="0"/>
                <w:szCs w:val="21"/>
                <w:shd w:val="clear" w:color="auto" w:fill="auto"/>
              </w:rPr>
              <w:t>非专门面向中小企业：</w:t>
            </w:r>
            <w:r>
              <w:rPr>
                <w:rFonts w:hint="eastAsia" w:ascii="宋体" w:hAnsi="宋体" w:cs="宋体"/>
                <w:bCs/>
                <w:color w:val="auto"/>
                <w:kern w:val="0"/>
                <w:szCs w:val="21"/>
              </w:rPr>
              <w:t>政府采购支持小微企业、福利和监狱企业发展</w:t>
            </w:r>
            <w:r>
              <w:rPr>
                <w:rFonts w:hint="eastAsia" w:ascii="宋体" w:hAnsi="宋体" w:cs="宋体"/>
                <w:color w:val="auto"/>
                <w:szCs w:val="21"/>
              </w:rPr>
              <w:t>（货物类供应商和产品制造商应同时满足小微企业、福利和监狱企业的条件）</w:t>
            </w:r>
            <w:r>
              <w:rPr>
                <w:rFonts w:hint="eastAsia" w:ascii="宋体" w:hAnsi="宋体" w:cs="宋体"/>
                <w:bCs/>
                <w:color w:val="auto"/>
                <w:kern w:val="0"/>
                <w:szCs w:val="21"/>
              </w:rPr>
              <w:t>：</w:t>
            </w:r>
            <w:r>
              <w:rPr>
                <w:rFonts w:hint="eastAsia" w:ascii="宋体" w:hAnsi="宋体" w:cs="宋体"/>
                <w:color w:val="auto"/>
                <w:szCs w:val="21"/>
              </w:rPr>
              <w:t>小型、微型企业、福利和监狱企业，</w:t>
            </w:r>
            <w:r>
              <w:rPr>
                <w:rFonts w:hint="eastAsia" w:ascii="宋体" w:hAnsi="宋体" w:cs="宋体"/>
                <w:color w:val="auto"/>
                <w:kern w:val="0"/>
                <w:szCs w:val="21"/>
              </w:rPr>
              <w:t>最后报价</w:t>
            </w:r>
            <w:r>
              <w:rPr>
                <w:rFonts w:hint="eastAsia" w:ascii="宋体" w:hAnsi="宋体" w:cs="宋体"/>
                <w:color w:val="auto"/>
                <w:szCs w:val="21"/>
              </w:rPr>
              <w:t xml:space="preserve">扣除比例为 </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10</w:t>
            </w:r>
            <w:r>
              <w:rPr>
                <w:rFonts w:hint="eastAsia" w:ascii="宋体" w:hAnsi="宋体" w:cs="宋体"/>
                <w:color w:val="auto"/>
                <w:szCs w:val="21"/>
                <w:u w:val="single"/>
              </w:rPr>
              <w:t xml:space="preserve"> </w:t>
            </w:r>
            <w:r>
              <w:rPr>
                <w:rFonts w:hint="eastAsia" w:ascii="宋体" w:hAnsi="宋体" w:cs="宋体"/>
                <w:color w:val="auto"/>
                <w:szCs w:val="21"/>
              </w:rPr>
              <w:t>％；联合体参与磋商的，最后报价扣除比例为</w:t>
            </w:r>
            <w:r>
              <w:rPr>
                <w:rFonts w:hint="eastAsia" w:ascii="宋体" w:hAnsi="宋体" w:cs="宋体"/>
                <w:color w:val="auto"/>
                <w:szCs w:val="21"/>
                <w:u w:val="single"/>
              </w:rPr>
              <w:t xml:space="preserve"> / </w:t>
            </w:r>
            <w:r>
              <w:rPr>
                <w:rFonts w:hint="eastAsia" w:ascii="宋体" w:hAnsi="宋体" w:cs="宋体"/>
                <w:color w:val="auto"/>
                <w:szCs w:val="21"/>
              </w:rPr>
              <w:t>%。评审时，用扣除后的最后报价计算价格分。</w:t>
            </w:r>
          </w:p>
        </w:tc>
      </w:tr>
      <w:tr w14:paraId="6F7DFA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7" w:hRule="atLeast"/>
        </w:trPr>
        <w:tc>
          <w:tcPr>
            <w:tcW w:w="10244" w:type="dxa"/>
            <w:gridSpan w:val="3"/>
            <w:vAlign w:val="center"/>
          </w:tcPr>
          <w:p w14:paraId="42AC2F40">
            <w:pPr>
              <w:adjustRightInd w:val="0"/>
              <w:snapToGrid w:val="0"/>
              <w:rPr>
                <w:rFonts w:ascii="宋体" w:hAnsi="宋体"/>
                <w:color w:val="auto"/>
                <w:szCs w:val="21"/>
                <w:highlight w:val="none"/>
              </w:rPr>
            </w:pPr>
            <w:r>
              <w:rPr>
                <w:rFonts w:hint="eastAsia" w:ascii="宋体" w:hAnsi="宋体"/>
                <w:b/>
                <w:color w:val="auto"/>
                <w:szCs w:val="21"/>
                <w:highlight w:val="none"/>
              </w:rPr>
              <w:t>六、成交结果信息公布与授予合同</w:t>
            </w:r>
          </w:p>
        </w:tc>
      </w:tr>
      <w:tr w14:paraId="11D422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9" w:hRule="atLeast"/>
        </w:trPr>
        <w:tc>
          <w:tcPr>
            <w:tcW w:w="1758" w:type="dxa"/>
            <w:vAlign w:val="center"/>
          </w:tcPr>
          <w:p w14:paraId="49A3D8C7">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第二章第37.1款</w:t>
            </w:r>
          </w:p>
        </w:tc>
        <w:tc>
          <w:tcPr>
            <w:tcW w:w="1950" w:type="dxa"/>
            <w:vAlign w:val="center"/>
          </w:tcPr>
          <w:p w14:paraId="084A544B">
            <w:pPr>
              <w:adjustRightInd w:val="0"/>
              <w:snapToGrid w:val="0"/>
              <w:jc w:val="center"/>
              <w:rPr>
                <w:rFonts w:ascii="宋体" w:hAnsi="宋体"/>
                <w:color w:val="auto"/>
                <w:szCs w:val="21"/>
                <w:highlight w:val="none"/>
              </w:rPr>
            </w:pPr>
            <w:r>
              <w:rPr>
                <w:rFonts w:hint="eastAsia" w:ascii="宋体" w:hAnsi="宋体"/>
                <w:color w:val="auto"/>
                <w:szCs w:val="21"/>
                <w:highlight w:val="none"/>
              </w:rPr>
              <w:t>媒体公告</w:t>
            </w:r>
          </w:p>
        </w:tc>
        <w:tc>
          <w:tcPr>
            <w:tcW w:w="6536" w:type="dxa"/>
            <w:vAlign w:val="center"/>
          </w:tcPr>
          <w:p w14:paraId="5615A6CC">
            <w:pPr>
              <w:adjustRightInd w:val="0"/>
              <w:snapToGrid w:val="0"/>
              <w:jc w:val="left"/>
              <w:rPr>
                <w:rFonts w:ascii="宋体" w:hAnsi="宋体"/>
                <w:color w:val="auto"/>
                <w:szCs w:val="21"/>
                <w:highlight w:val="none"/>
              </w:rPr>
            </w:pPr>
            <w:r>
              <w:rPr>
                <w:rFonts w:hint="eastAsia" w:ascii="宋体" w:hAnsi="宋体" w:cs="宋体"/>
                <w:color w:val="auto"/>
                <w:szCs w:val="21"/>
                <w:highlight w:val="none"/>
              </w:rPr>
              <w:t>中国湖南政府采购网(www.ccgp-hunan.gov.cn)</w:t>
            </w:r>
          </w:p>
        </w:tc>
      </w:tr>
      <w:tr w14:paraId="6224FB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7" w:hRule="atLeast"/>
        </w:trPr>
        <w:tc>
          <w:tcPr>
            <w:tcW w:w="1758" w:type="dxa"/>
            <w:vAlign w:val="center"/>
          </w:tcPr>
          <w:p w14:paraId="30236F7E">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第二章第39.3款</w:t>
            </w:r>
          </w:p>
        </w:tc>
        <w:tc>
          <w:tcPr>
            <w:tcW w:w="1950" w:type="dxa"/>
            <w:vAlign w:val="center"/>
          </w:tcPr>
          <w:p w14:paraId="2DB31C37">
            <w:pPr>
              <w:adjustRightInd w:val="0"/>
              <w:snapToGrid w:val="0"/>
              <w:jc w:val="center"/>
              <w:rPr>
                <w:rFonts w:ascii="宋体" w:hAnsi="宋体"/>
                <w:color w:val="auto"/>
                <w:szCs w:val="21"/>
                <w:highlight w:val="none"/>
              </w:rPr>
            </w:pPr>
            <w:r>
              <w:rPr>
                <w:rFonts w:hint="eastAsia" w:ascii="宋体" w:hAnsi="宋体"/>
                <w:color w:val="auto"/>
                <w:szCs w:val="21"/>
                <w:highlight w:val="none"/>
              </w:rPr>
              <w:t>履约担保</w:t>
            </w:r>
          </w:p>
        </w:tc>
        <w:tc>
          <w:tcPr>
            <w:tcW w:w="6536" w:type="dxa"/>
            <w:vAlign w:val="center"/>
          </w:tcPr>
          <w:p w14:paraId="3366C4FA">
            <w:pPr>
              <w:adjustRightInd w:val="0"/>
              <w:snapToGrid w:val="0"/>
              <w:rPr>
                <w:rFonts w:ascii="宋体" w:hAnsi="宋体"/>
                <w:color w:val="auto"/>
                <w:szCs w:val="21"/>
                <w:highlight w:val="none"/>
              </w:rPr>
            </w:pPr>
            <w:r>
              <w:rPr>
                <w:rFonts w:hint="eastAsia" w:ascii="宋体" w:hAnsi="宋体"/>
                <w:color w:val="auto"/>
                <w:szCs w:val="21"/>
                <w:highlight w:val="none"/>
              </w:rPr>
              <w:t>■ 不要求提供</w:t>
            </w:r>
          </w:p>
          <w:p w14:paraId="0F9E69D3">
            <w:pPr>
              <w:adjustRightInd w:val="0"/>
              <w:snapToGrid w:val="0"/>
              <w:rPr>
                <w:rFonts w:ascii="宋体" w:hAnsi="宋体"/>
                <w:color w:val="auto"/>
                <w:szCs w:val="21"/>
                <w:highlight w:val="none"/>
              </w:rPr>
            </w:pPr>
            <w:r>
              <w:rPr>
                <w:rFonts w:hint="eastAsia" w:ascii="宋体" w:hAnsi="宋体"/>
                <w:color w:val="auto"/>
                <w:szCs w:val="21"/>
                <w:highlight w:val="none"/>
              </w:rPr>
              <w:t>□ 要求提供，履约担保的金额为：</w:t>
            </w:r>
            <w:r>
              <w:rPr>
                <w:rFonts w:hint="eastAsia" w:ascii="宋体" w:hAnsi="宋体"/>
                <w:color w:val="auto"/>
                <w:szCs w:val="21"/>
                <w:highlight w:val="none"/>
                <w:u w:val="single"/>
              </w:rPr>
              <w:t xml:space="preserve">    </w:t>
            </w:r>
          </w:p>
        </w:tc>
      </w:tr>
      <w:tr w14:paraId="4AD780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2" w:hRule="atLeast"/>
        </w:trPr>
        <w:tc>
          <w:tcPr>
            <w:tcW w:w="10244" w:type="dxa"/>
            <w:gridSpan w:val="3"/>
            <w:vAlign w:val="center"/>
          </w:tcPr>
          <w:p w14:paraId="45DA6B49">
            <w:pPr>
              <w:adjustRightInd w:val="0"/>
              <w:snapToGrid w:val="0"/>
              <w:rPr>
                <w:rFonts w:ascii="宋体" w:hAnsi="宋体"/>
                <w:b/>
                <w:color w:val="auto"/>
                <w:szCs w:val="21"/>
                <w:highlight w:val="none"/>
              </w:rPr>
            </w:pPr>
            <w:r>
              <w:rPr>
                <w:rFonts w:hint="eastAsia" w:ascii="宋体" w:hAnsi="宋体"/>
                <w:b/>
                <w:color w:val="auto"/>
                <w:szCs w:val="21"/>
                <w:highlight w:val="none"/>
              </w:rPr>
              <w:t>七、其他规定</w:t>
            </w:r>
          </w:p>
        </w:tc>
      </w:tr>
      <w:tr w14:paraId="4DD8AD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758" w:type="dxa"/>
            <w:vAlign w:val="center"/>
          </w:tcPr>
          <w:p w14:paraId="63C3F55F">
            <w:pPr>
              <w:adjustRightInd w:val="0"/>
              <w:snapToGrid w:val="0"/>
              <w:jc w:val="center"/>
              <w:rPr>
                <w:rFonts w:ascii="宋体" w:hAnsi="宋体"/>
                <w:color w:val="auto"/>
                <w:szCs w:val="21"/>
                <w:highlight w:val="none"/>
              </w:rPr>
            </w:pPr>
            <w:r>
              <w:rPr>
                <w:rFonts w:hint="eastAsia" w:ascii="宋体" w:hAnsi="宋体"/>
                <w:color w:val="auto"/>
                <w:szCs w:val="21"/>
                <w:highlight w:val="none"/>
              </w:rPr>
              <w:t>第二章第41.1款</w:t>
            </w:r>
          </w:p>
        </w:tc>
        <w:tc>
          <w:tcPr>
            <w:tcW w:w="1950" w:type="dxa"/>
            <w:vAlign w:val="center"/>
          </w:tcPr>
          <w:p w14:paraId="0CE293A3">
            <w:pPr>
              <w:adjustRightInd w:val="0"/>
              <w:snapToGrid w:val="0"/>
              <w:jc w:val="center"/>
              <w:rPr>
                <w:rFonts w:ascii="宋体" w:hAnsi="宋体"/>
                <w:color w:val="auto"/>
                <w:szCs w:val="21"/>
                <w:highlight w:val="none"/>
              </w:rPr>
            </w:pPr>
            <w:r>
              <w:rPr>
                <w:rFonts w:hint="eastAsia" w:ascii="宋体" w:hAnsi="宋体"/>
                <w:color w:val="auto"/>
                <w:szCs w:val="21"/>
                <w:highlight w:val="none"/>
              </w:rPr>
              <w:t>采购代理服务费</w:t>
            </w:r>
          </w:p>
        </w:tc>
        <w:tc>
          <w:tcPr>
            <w:tcW w:w="6536" w:type="dxa"/>
            <w:vAlign w:val="center"/>
          </w:tcPr>
          <w:p w14:paraId="0E9AC4BD">
            <w:pPr>
              <w:adjustRightInd w:val="0"/>
              <w:snapToGrid w:val="0"/>
              <w:rPr>
                <w:rFonts w:ascii="宋体" w:hAnsi="宋体"/>
                <w:color w:val="auto"/>
                <w:szCs w:val="21"/>
                <w:highlight w:val="none"/>
                <w:u w:val="single"/>
              </w:rPr>
            </w:pPr>
            <w:r>
              <w:rPr>
                <w:rFonts w:hint="eastAsia" w:ascii="Times New Roman" w:hAnsi="Times New Roman" w:cs="Times New Roman"/>
                <w:color w:val="auto"/>
                <w:highlight w:val="none"/>
                <w:lang w:val="en-US" w:eastAsia="zh-CN"/>
              </w:rPr>
              <w:t>本项目</w:t>
            </w:r>
            <w:r>
              <w:rPr>
                <w:rFonts w:hint="eastAsia" w:cs="Times New Roman"/>
                <w:color w:val="auto"/>
                <w:highlight w:val="none"/>
                <w:lang w:val="en-US" w:eastAsia="zh-CN"/>
              </w:rPr>
              <w:t>采购</w:t>
            </w:r>
            <w:r>
              <w:rPr>
                <w:rFonts w:hint="eastAsia" w:ascii="Times New Roman" w:hAnsi="Times New Roman" w:cs="Times New Roman"/>
                <w:color w:val="auto"/>
                <w:highlight w:val="none"/>
                <w:lang w:val="en-US" w:eastAsia="zh-CN"/>
              </w:rPr>
              <w:t xml:space="preserve">代理服务费由采购人支付，具体以合同约定为准。 </w:t>
            </w:r>
          </w:p>
        </w:tc>
      </w:tr>
      <w:tr w14:paraId="373F97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758" w:type="dxa"/>
            <w:shd w:val="clear" w:color="auto" w:fill="auto"/>
            <w:vAlign w:val="center"/>
          </w:tcPr>
          <w:p w14:paraId="3CC5EC43">
            <w:pPr>
              <w:adjustRightInd w:val="0"/>
              <w:snapToGrid w:val="0"/>
              <w:spacing w:line="360" w:lineRule="auto"/>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第二章第42.1款</w:t>
            </w:r>
          </w:p>
        </w:tc>
        <w:tc>
          <w:tcPr>
            <w:tcW w:w="1950" w:type="dxa"/>
            <w:shd w:val="clear" w:color="auto" w:fill="auto"/>
            <w:vAlign w:val="center"/>
          </w:tcPr>
          <w:p w14:paraId="0F4BF525">
            <w:pPr>
              <w:adjustRightInd w:val="0"/>
              <w:snapToGrid w:val="0"/>
              <w:spacing w:line="360" w:lineRule="auto"/>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其他规定</w:t>
            </w:r>
          </w:p>
        </w:tc>
        <w:tc>
          <w:tcPr>
            <w:tcW w:w="6536" w:type="dxa"/>
            <w:shd w:val="clear" w:color="auto" w:fill="auto"/>
            <w:vAlign w:val="center"/>
          </w:tcPr>
          <w:p w14:paraId="5FFF2019">
            <w:pPr>
              <w:spacing w:line="360" w:lineRule="auto"/>
              <w:rPr>
                <w:rFonts w:hint="eastAsia"/>
                <w:color w:val="auto"/>
                <w:highlight w:val="none"/>
              </w:rPr>
            </w:pPr>
            <w:r>
              <w:rPr>
                <w:rFonts w:hint="eastAsia"/>
                <w:color w:val="auto"/>
                <w:highlight w:val="none"/>
              </w:rPr>
              <w:t>1</w:t>
            </w:r>
            <w:r>
              <w:rPr>
                <w:rFonts w:hint="eastAsia" w:ascii="Times New Roman" w:hAnsi="Times New Roman" w:cs="Times New Roman"/>
                <w:color w:val="auto"/>
                <w:highlight w:val="none"/>
              </w:rPr>
              <w:t>、本项目</w:t>
            </w:r>
            <w:r>
              <w:rPr>
                <w:rFonts w:hint="eastAsia" w:ascii="Times New Roman" w:hAnsi="Times New Roman" w:cs="Times New Roman"/>
                <w:color w:val="auto"/>
                <w:highlight w:val="none"/>
                <w:lang w:val="en-US" w:eastAsia="zh-CN"/>
              </w:rPr>
              <w:t>供应商</w:t>
            </w:r>
            <w:r>
              <w:rPr>
                <w:rFonts w:hint="eastAsia" w:ascii="Times New Roman" w:hAnsi="Times New Roman" w:cs="Times New Roman"/>
                <w:color w:val="auto"/>
                <w:highlight w:val="none"/>
              </w:rPr>
              <w:t>可以选择一个包</w:t>
            </w:r>
            <w:r>
              <w:rPr>
                <w:rFonts w:hint="eastAsia" w:ascii="Times New Roman" w:hAnsi="Times New Roman" w:cs="Times New Roman"/>
                <w:color w:val="auto"/>
                <w:highlight w:val="none"/>
                <w:lang w:eastAsia="zh-CN"/>
              </w:rPr>
              <w:t>响应</w:t>
            </w:r>
            <w:r>
              <w:rPr>
                <w:rFonts w:hint="eastAsia" w:ascii="Times New Roman" w:hAnsi="Times New Roman" w:cs="Times New Roman"/>
                <w:color w:val="auto"/>
                <w:highlight w:val="none"/>
              </w:rPr>
              <w:t>或多个包</w:t>
            </w:r>
            <w:r>
              <w:rPr>
                <w:rFonts w:hint="eastAsia" w:ascii="Times New Roman" w:hAnsi="Times New Roman" w:cs="Times New Roman"/>
                <w:color w:val="auto"/>
                <w:highlight w:val="none"/>
                <w:lang w:eastAsia="zh-CN"/>
              </w:rPr>
              <w:t>响应</w:t>
            </w:r>
            <w:r>
              <w:rPr>
                <w:rFonts w:hint="eastAsia" w:ascii="Times New Roman" w:hAnsi="Times New Roman" w:cs="Times New Roman"/>
                <w:color w:val="auto"/>
                <w:highlight w:val="none"/>
              </w:rPr>
              <w:t>，但只能</w:t>
            </w:r>
            <w:r>
              <w:rPr>
                <w:rFonts w:hint="eastAsia" w:ascii="Times New Roman" w:hAnsi="Times New Roman" w:cs="Times New Roman"/>
                <w:color w:val="auto"/>
                <w:highlight w:val="none"/>
                <w:lang w:val="en-US" w:eastAsia="zh-CN"/>
              </w:rPr>
              <w:t>成交</w:t>
            </w:r>
            <w:r>
              <w:rPr>
                <w:rFonts w:hint="eastAsia" w:ascii="Times New Roman" w:hAnsi="Times New Roman" w:cs="Times New Roman"/>
                <w:color w:val="auto"/>
                <w:highlight w:val="none"/>
              </w:rPr>
              <w:t>一个包</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供应商</w:t>
            </w:r>
            <w:r>
              <w:rPr>
                <w:rFonts w:hint="eastAsia" w:ascii="Times New Roman" w:hAnsi="Times New Roman" w:cs="Times New Roman"/>
                <w:color w:val="auto"/>
                <w:highlight w:val="none"/>
              </w:rPr>
              <w:t>需按所投包号分别编制</w:t>
            </w:r>
            <w:r>
              <w:rPr>
                <w:rFonts w:hint="eastAsia" w:cs="Times New Roman"/>
                <w:color w:val="auto"/>
                <w:highlight w:val="none"/>
                <w:lang w:val="en-US" w:eastAsia="zh-CN"/>
              </w:rPr>
              <w:t>响应</w:t>
            </w:r>
            <w:r>
              <w:rPr>
                <w:rFonts w:hint="eastAsia" w:ascii="Times New Roman" w:hAnsi="Times New Roman" w:cs="Times New Roman"/>
                <w:color w:val="auto"/>
                <w:highlight w:val="none"/>
              </w:rPr>
              <w:t xml:space="preserve">文件。 </w:t>
            </w:r>
            <w:r>
              <w:rPr>
                <w:rFonts w:hint="eastAsia"/>
                <w:color w:val="auto"/>
                <w:highlight w:val="none"/>
              </w:rPr>
              <w:t xml:space="preserve"> </w:t>
            </w:r>
          </w:p>
          <w:p w14:paraId="3D5F8D30">
            <w:pPr>
              <w:adjustRightInd w:val="0"/>
              <w:snapToGrid w:val="0"/>
              <w:spacing w:line="360" w:lineRule="auto"/>
              <w:rPr>
                <w:rFonts w:hint="eastAsia" w:ascii="宋体" w:hAnsi="宋体" w:cs="Times New Roman"/>
                <w:color w:val="0000FF"/>
                <w:kern w:val="2"/>
                <w:sz w:val="21"/>
                <w:szCs w:val="21"/>
                <w:highlight w:val="white"/>
                <w:lang w:val="en-US" w:eastAsia="zh-CN" w:bidi="ar-SA"/>
              </w:rPr>
            </w:pPr>
            <w:r>
              <w:rPr>
                <w:rFonts w:hint="eastAsia"/>
                <w:color w:val="auto"/>
                <w:highlight w:val="none"/>
              </w:rPr>
              <w:t>2、本项目按照分包定标的原则评审，评审后综合总得分由高到低顺序排列，得分相同的，按</w:t>
            </w:r>
            <w:r>
              <w:rPr>
                <w:rFonts w:hint="eastAsia"/>
                <w:color w:val="auto"/>
                <w:highlight w:val="none"/>
                <w:lang w:val="en-US" w:eastAsia="zh-CN"/>
              </w:rPr>
              <w:t>最后</w:t>
            </w:r>
            <w:r>
              <w:rPr>
                <w:rFonts w:hint="eastAsia"/>
                <w:color w:val="auto"/>
                <w:highlight w:val="none"/>
              </w:rPr>
              <w:t>报价由低到高顺序排列；得分且</w:t>
            </w:r>
            <w:r>
              <w:rPr>
                <w:rFonts w:hint="eastAsia"/>
                <w:color w:val="auto"/>
                <w:highlight w:val="none"/>
                <w:lang w:val="en-US" w:eastAsia="zh-CN"/>
              </w:rPr>
              <w:t>最后</w:t>
            </w:r>
            <w:r>
              <w:rPr>
                <w:rFonts w:hint="eastAsia"/>
                <w:color w:val="auto"/>
                <w:highlight w:val="none"/>
              </w:rPr>
              <w:t>报价相同的，按技术要求得分高低顺序排列，</w:t>
            </w:r>
            <w:r>
              <w:rPr>
                <w:rFonts w:hint="eastAsia" w:ascii="宋体" w:hAnsi="宋体" w:cs="Times New Roman"/>
                <w:color w:val="0000FF"/>
                <w:kern w:val="2"/>
                <w:sz w:val="21"/>
                <w:szCs w:val="21"/>
                <w:highlight w:val="white"/>
                <w:lang w:val="en-US" w:eastAsia="zh-CN" w:bidi="ar-SA"/>
              </w:rPr>
              <w:t>评审时按包1、包2、包3、包4、依次评审，若某供应商同时取得包1、包2、包3、包4评分排名第一，只允许选择包1中标，包2、包3、包4中标单位顺延至评分排名第二的单位。顺序递推。</w:t>
            </w:r>
          </w:p>
          <w:p w14:paraId="0357CCB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kern w:val="0"/>
                <w:sz w:val="21"/>
                <w:szCs w:val="21"/>
                <w:highlight w:val="none"/>
              </w:rPr>
              <w:t>磋商时，采购人及代理机构将对供应商信用记录进行甄别，对列入失信被执行人、重大税收违法案件当事人名单、政府采购严重违法失信行为记录名单及其他不符合《中华人民共和国政府采购法》第二十二条规定条件的供应商，将被拒绝其参与政府采购活动。信用信息查询的查询渠道为“信用中国”网站（www.creditchina.gov.cn）、中国政府采购网（www.ccgp.gov.cn）；信用信息查询的截止时点为至项目</w:t>
            </w:r>
            <w:r>
              <w:rPr>
                <w:rFonts w:hint="eastAsia" w:ascii="宋体" w:hAnsi="宋体" w:eastAsia="宋体" w:cs="宋体"/>
                <w:color w:val="auto"/>
                <w:sz w:val="21"/>
                <w:szCs w:val="21"/>
                <w:highlight w:val="none"/>
              </w:rPr>
              <w:t>提交首次响应文件的截止时间止</w:t>
            </w:r>
            <w:r>
              <w:rPr>
                <w:rFonts w:hint="eastAsia" w:ascii="宋体" w:hAnsi="宋体" w:eastAsia="宋体" w:cs="宋体"/>
                <w:color w:val="auto"/>
                <w:kern w:val="0"/>
                <w:sz w:val="21"/>
                <w:szCs w:val="21"/>
                <w:highlight w:val="none"/>
              </w:rPr>
              <w:t>；信用信息查询记录的具体方式为采购人及代理机构在规定的查询渠道进行查询；信用信息查询记录证据留存的具体方式为查询记录的网上打印件。</w:t>
            </w:r>
          </w:p>
        </w:tc>
      </w:tr>
    </w:tbl>
    <w:p w14:paraId="4BA7BE92">
      <w:pPr>
        <w:adjustRightInd w:val="0"/>
        <w:snapToGrid w:val="0"/>
        <w:spacing w:line="360" w:lineRule="auto"/>
        <w:rPr>
          <w:rFonts w:ascii="宋体" w:hAnsi="宋体"/>
          <w:b/>
          <w:bCs/>
          <w:color w:val="auto"/>
          <w:szCs w:val="21"/>
          <w:highlight w:val="none"/>
        </w:rPr>
      </w:pPr>
    </w:p>
    <w:p w14:paraId="506F713C">
      <w:pPr>
        <w:adjustRightInd w:val="0"/>
        <w:snapToGrid w:val="0"/>
        <w:spacing w:line="360" w:lineRule="auto"/>
        <w:rPr>
          <w:rFonts w:ascii="宋体" w:hAnsi="宋体" w:cs="宋体"/>
          <w:color w:val="auto"/>
          <w:kern w:val="0"/>
          <w:szCs w:val="21"/>
          <w:highlight w:val="none"/>
        </w:rPr>
        <w:sectPr>
          <w:headerReference r:id="rId3" w:type="default"/>
          <w:footerReference r:id="rId4" w:type="default"/>
          <w:pgSz w:w="11906" w:h="16838"/>
          <w:pgMar w:top="1440" w:right="1080" w:bottom="1440" w:left="1080" w:header="851" w:footer="992" w:gutter="0"/>
          <w:cols w:space="720" w:num="1"/>
          <w:docGrid w:type="linesAndChars" w:linePitch="312" w:charSpace="0"/>
        </w:sectPr>
      </w:pPr>
      <w:r>
        <w:rPr>
          <w:rFonts w:ascii="宋体" w:hAnsi="宋体"/>
          <w:b/>
          <w:bCs/>
          <w:color w:val="auto"/>
          <w:szCs w:val="21"/>
          <w:highlight w:val="none"/>
        </w:rPr>
        <w:br w:type="page"/>
      </w:r>
    </w:p>
    <w:p w14:paraId="214A5EB2">
      <w:pPr>
        <w:pStyle w:val="45"/>
        <w:rPr>
          <w:rFonts w:hint="eastAsia" w:ascii="宋体" w:hAnsi="宋体" w:cs="宋体"/>
          <w:color w:val="auto"/>
          <w:highlight w:val="none"/>
        </w:rPr>
      </w:pPr>
    </w:p>
    <w:p w14:paraId="61436082">
      <w:pPr>
        <w:rPr>
          <w:rFonts w:hint="eastAsia" w:ascii="宋体" w:hAnsi="宋体" w:cs="宋体"/>
          <w:b/>
          <w:bCs/>
          <w:color w:val="auto"/>
          <w:szCs w:val="21"/>
          <w:highlight w:val="none"/>
        </w:rPr>
      </w:pPr>
    </w:p>
    <w:p w14:paraId="04825369">
      <w:pPr>
        <w:rPr>
          <w:rFonts w:hint="eastAsia" w:ascii="宋体" w:hAnsi="宋体" w:cs="宋体"/>
          <w:b/>
          <w:bCs/>
          <w:color w:val="auto"/>
          <w:szCs w:val="21"/>
          <w:highlight w:val="none"/>
        </w:rPr>
      </w:pPr>
      <w:r>
        <w:rPr>
          <w:rFonts w:hint="eastAsia" w:ascii="宋体" w:hAnsi="宋体" w:cs="宋体"/>
          <w:b/>
          <w:bCs/>
          <w:color w:val="auto"/>
          <w:szCs w:val="21"/>
          <w:highlight w:val="none"/>
        </w:rPr>
        <w:t>附页1</w:t>
      </w:r>
    </w:p>
    <w:p w14:paraId="53C893EE">
      <w:pPr>
        <w:adjustRightInd w:val="0"/>
        <w:snapToGrid w:val="0"/>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rPr>
        <w:t>湖南省政府采购支持中小企业融资合作银行及联系人名单</w:t>
      </w:r>
    </w:p>
    <w:tbl>
      <w:tblPr>
        <w:tblStyle w:val="21"/>
        <w:tblW w:w="918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260"/>
        <w:gridCol w:w="3240"/>
        <w:gridCol w:w="1980"/>
      </w:tblGrid>
      <w:tr w14:paraId="02CACB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vAlign w:val="center"/>
          </w:tcPr>
          <w:p w14:paraId="2DADDCE8">
            <w:pPr>
              <w:adjustRightInd w:val="0"/>
              <w:snapToGrid w:val="0"/>
              <w:spacing w:before="156" w:beforeLines="50" w:line="360" w:lineRule="auto"/>
              <w:jc w:val="center"/>
              <w:rPr>
                <w:rFonts w:hint="eastAsia" w:ascii="宋体" w:hAnsi="宋体" w:cs="宋体"/>
                <w:color w:val="auto"/>
                <w:sz w:val="18"/>
                <w:szCs w:val="18"/>
                <w:highlight w:val="none"/>
              </w:rPr>
            </w:pPr>
            <w:r>
              <w:rPr>
                <w:rFonts w:hint="eastAsia" w:ascii="宋体" w:hAnsi="宋体" w:cs="宋体"/>
                <w:bCs/>
                <w:color w:val="auto"/>
                <w:kern w:val="0"/>
                <w:sz w:val="18"/>
                <w:szCs w:val="18"/>
                <w:highlight w:val="none"/>
              </w:rPr>
              <w:t>银行名称</w:t>
            </w:r>
          </w:p>
        </w:tc>
        <w:tc>
          <w:tcPr>
            <w:tcW w:w="1260" w:type="dxa"/>
            <w:vAlign w:val="center"/>
          </w:tcPr>
          <w:p w14:paraId="062F9DB9">
            <w:pPr>
              <w:adjustRightInd w:val="0"/>
              <w:snapToGrid w:val="0"/>
              <w:spacing w:before="156" w:beforeLines="50" w:line="360" w:lineRule="auto"/>
              <w:jc w:val="center"/>
              <w:rPr>
                <w:rFonts w:hint="eastAsia" w:ascii="宋体" w:hAnsi="宋体" w:cs="宋体"/>
                <w:color w:val="auto"/>
                <w:sz w:val="18"/>
                <w:szCs w:val="18"/>
                <w:highlight w:val="none"/>
              </w:rPr>
            </w:pPr>
            <w:r>
              <w:rPr>
                <w:rFonts w:hint="eastAsia" w:ascii="宋体" w:hAnsi="宋体" w:cs="宋体"/>
                <w:bCs/>
                <w:color w:val="auto"/>
                <w:kern w:val="0"/>
                <w:sz w:val="18"/>
                <w:szCs w:val="18"/>
                <w:highlight w:val="none"/>
              </w:rPr>
              <w:t>联系人</w:t>
            </w:r>
          </w:p>
        </w:tc>
        <w:tc>
          <w:tcPr>
            <w:tcW w:w="3240" w:type="dxa"/>
            <w:vAlign w:val="center"/>
          </w:tcPr>
          <w:p w14:paraId="5FDB1499">
            <w:pPr>
              <w:adjustRightInd w:val="0"/>
              <w:snapToGrid w:val="0"/>
              <w:spacing w:before="156" w:beforeLines="50" w:line="360" w:lineRule="auto"/>
              <w:jc w:val="center"/>
              <w:rPr>
                <w:rFonts w:hint="eastAsia" w:ascii="宋体" w:hAnsi="宋体" w:cs="宋体"/>
                <w:color w:val="auto"/>
                <w:sz w:val="18"/>
                <w:szCs w:val="18"/>
                <w:highlight w:val="none"/>
              </w:rPr>
            </w:pPr>
            <w:r>
              <w:rPr>
                <w:rFonts w:hint="eastAsia" w:ascii="宋体" w:hAnsi="宋体" w:cs="宋体"/>
                <w:bCs/>
                <w:color w:val="auto"/>
                <w:kern w:val="0"/>
                <w:sz w:val="18"/>
                <w:szCs w:val="18"/>
                <w:highlight w:val="none"/>
              </w:rPr>
              <w:t>职 务</w:t>
            </w:r>
          </w:p>
        </w:tc>
        <w:tc>
          <w:tcPr>
            <w:tcW w:w="1980" w:type="dxa"/>
            <w:vAlign w:val="center"/>
          </w:tcPr>
          <w:p w14:paraId="59F5195E">
            <w:pPr>
              <w:adjustRightInd w:val="0"/>
              <w:snapToGrid w:val="0"/>
              <w:spacing w:before="156" w:beforeLines="50" w:line="360" w:lineRule="auto"/>
              <w:jc w:val="center"/>
              <w:rPr>
                <w:rFonts w:hint="eastAsia" w:ascii="宋体" w:hAnsi="宋体" w:cs="宋体"/>
                <w:color w:val="auto"/>
                <w:sz w:val="18"/>
                <w:szCs w:val="18"/>
                <w:highlight w:val="none"/>
              </w:rPr>
            </w:pPr>
            <w:r>
              <w:rPr>
                <w:rFonts w:hint="eastAsia" w:ascii="宋体" w:hAnsi="宋体" w:cs="宋体"/>
                <w:bCs/>
                <w:color w:val="auto"/>
                <w:kern w:val="0"/>
                <w:sz w:val="18"/>
                <w:szCs w:val="18"/>
                <w:highlight w:val="none"/>
              </w:rPr>
              <w:t>联系电话</w:t>
            </w:r>
          </w:p>
        </w:tc>
      </w:tr>
      <w:tr w14:paraId="2CF60F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vAlign w:val="center"/>
          </w:tcPr>
          <w:p w14:paraId="0A23493C">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交通银行湖南省分行</w:t>
            </w:r>
          </w:p>
        </w:tc>
        <w:tc>
          <w:tcPr>
            <w:tcW w:w="1260" w:type="dxa"/>
            <w:vAlign w:val="center"/>
          </w:tcPr>
          <w:p w14:paraId="5AA630B5">
            <w:pPr>
              <w:adjustRightInd w:val="0"/>
              <w:snapToGrid w:val="0"/>
              <w:spacing w:before="156" w:beforeLines="50" w:line="360" w:lineRule="auto"/>
              <w:jc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rPr>
              <w:t>刘 波</w:t>
            </w:r>
          </w:p>
        </w:tc>
        <w:tc>
          <w:tcPr>
            <w:tcW w:w="3240" w:type="dxa"/>
            <w:vAlign w:val="center"/>
          </w:tcPr>
          <w:p w14:paraId="7873D1A8">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名城支行客户经理</w:t>
            </w:r>
          </w:p>
        </w:tc>
        <w:tc>
          <w:tcPr>
            <w:tcW w:w="1980" w:type="dxa"/>
            <w:vAlign w:val="center"/>
          </w:tcPr>
          <w:p w14:paraId="22A08E15">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13874998873</w:t>
            </w:r>
          </w:p>
        </w:tc>
      </w:tr>
      <w:tr w14:paraId="04711E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vAlign w:val="center"/>
          </w:tcPr>
          <w:p w14:paraId="5C0C96ED">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交通银行湖南省分行</w:t>
            </w:r>
          </w:p>
        </w:tc>
        <w:tc>
          <w:tcPr>
            <w:tcW w:w="1260" w:type="dxa"/>
            <w:vAlign w:val="center"/>
          </w:tcPr>
          <w:p w14:paraId="1A513247">
            <w:pPr>
              <w:adjustRightInd w:val="0"/>
              <w:snapToGrid w:val="0"/>
              <w:spacing w:before="156" w:beforeLines="50" w:line="360" w:lineRule="auto"/>
              <w:jc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rPr>
              <w:t>肖勇光</w:t>
            </w:r>
          </w:p>
        </w:tc>
        <w:tc>
          <w:tcPr>
            <w:tcW w:w="3240" w:type="dxa"/>
            <w:vAlign w:val="center"/>
          </w:tcPr>
          <w:p w14:paraId="6C6C1D37">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分行高级经理</w:t>
            </w:r>
          </w:p>
        </w:tc>
        <w:tc>
          <w:tcPr>
            <w:tcW w:w="1980" w:type="dxa"/>
            <w:vAlign w:val="center"/>
          </w:tcPr>
          <w:p w14:paraId="7AF3B1CC">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13755192647</w:t>
            </w:r>
          </w:p>
        </w:tc>
      </w:tr>
      <w:tr w14:paraId="1DDFE2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345EA09C">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中国民生银行长沙分行</w:t>
            </w:r>
          </w:p>
        </w:tc>
        <w:tc>
          <w:tcPr>
            <w:tcW w:w="1260" w:type="dxa"/>
            <w:vAlign w:val="center"/>
          </w:tcPr>
          <w:p w14:paraId="5CF0E9D0">
            <w:pPr>
              <w:adjustRightInd w:val="0"/>
              <w:snapToGrid w:val="0"/>
              <w:spacing w:before="156" w:beforeLines="50" w:line="360" w:lineRule="auto"/>
              <w:jc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rPr>
              <w:t>黄飞燕</w:t>
            </w:r>
          </w:p>
        </w:tc>
        <w:tc>
          <w:tcPr>
            <w:tcW w:w="3240" w:type="dxa"/>
            <w:vAlign w:val="center"/>
          </w:tcPr>
          <w:p w14:paraId="23BAFB11">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营业部总经理</w:t>
            </w:r>
          </w:p>
        </w:tc>
        <w:tc>
          <w:tcPr>
            <w:tcW w:w="1980" w:type="dxa"/>
            <w:vAlign w:val="center"/>
          </w:tcPr>
          <w:p w14:paraId="7FA8DBC7">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13308463468</w:t>
            </w:r>
          </w:p>
        </w:tc>
      </w:tr>
      <w:tr w14:paraId="706C46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007F463">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中国民生银行长沙分行</w:t>
            </w:r>
          </w:p>
        </w:tc>
        <w:tc>
          <w:tcPr>
            <w:tcW w:w="1260" w:type="dxa"/>
            <w:vAlign w:val="center"/>
          </w:tcPr>
          <w:p w14:paraId="2CE731A0">
            <w:pPr>
              <w:adjustRightInd w:val="0"/>
              <w:snapToGrid w:val="0"/>
              <w:spacing w:before="156" w:beforeLines="50" w:line="360" w:lineRule="auto"/>
              <w:jc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rPr>
              <w:t>蒋寒奇</w:t>
            </w:r>
          </w:p>
        </w:tc>
        <w:tc>
          <w:tcPr>
            <w:tcW w:w="3240" w:type="dxa"/>
            <w:vAlign w:val="center"/>
          </w:tcPr>
          <w:p w14:paraId="23A22D09">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营业部中小企业客户经理</w:t>
            </w:r>
          </w:p>
        </w:tc>
        <w:tc>
          <w:tcPr>
            <w:tcW w:w="1980" w:type="dxa"/>
            <w:vAlign w:val="center"/>
          </w:tcPr>
          <w:p w14:paraId="6341CBFB">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13548982975</w:t>
            </w:r>
          </w:p>
        </w:tc>
      </w:tr>
      <w:tr w14:paraId="6D9377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vAlign w:val="center"/>
          </w:tcPr>
          <w:p w14:paraId="756C8E5F">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兴业银行长沙分行</w:t>
            </w:r>
          </w:p>
        </w:tc>
        <w:tc>
          <w:tcPr>
            <w:tcW w:w="1260" w:type="dxa"/>
            <w:vAlign w:val="center"/>
          </w:tcPr>
          <w:p w14:paraId="22C6715B">
            <w:pPr>
              <w:adjustRightInd w:val="0"/>
              <w:snapToGrid w:val="0"/>
              <w:spacing w:before="156" w:beforeLines="50" w:line="360" w:lineRule="auto"/>
              <w:jc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rPr>
              <w:t>刘栅延</w:t>
            </w:r>
          </w:p>
        </w:tc>
        <w:tc>
          <w:tcPr>
            <w:tcW w:w="3240" w:type="dxa"/>
            <w:vAlign w:val="center"/>
          </w:tcPr>
          <w:p w14:paraId="2BC4F7D8">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支行行长</w:t>
            </w:r>
          </w:p>
        </w:tc>
        <w:tc>
          <w:tcPr>
            <w:tcW w:w="1980" w:type="dxa"/>
            <w:vAlign w:val="center"/>
          </w:tcPr>
          <w:p w14:paraId="6B1C7C06">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13337316405</w:t>
            </w:r>
          </w:p>
        </w:tc>
      </w:tr>
      <w:tr w14:paraId="5A3E2C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vAlign w:val="center"/>
          </w:tcPr>
          <w:p w14:paraId="7229DCCF">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兴业银行长沙分行</w:t>
            </w:r>
          </w:p>
        </w:tc>
        <w:tc>
          <w:tcPr>
            <w:tcW w:w="1260" w:type="dxa"/>
            <w:vAlign w:val="center"/>
          </w:tcPr>
          <w:p w14:paraId="5A1E379D">
            <w:pPr>
              <w:adjustRightInd w:val="0"/>
              <w:snapToGrid w:val="0"/>
              <w:spacing w:before="156" w:beforeLines="50" w:line="360" w:lineRule="auto"/>
              <w:jc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rPr>
              <w:t>蒋修远</w:t>
            </w:r>
          </w:p>
        </w:tc>
        <w:tc>
          <w:tcPr>
            <w:tcW w:w="3240" w:type="dxa"/>
            <w:vAlign w:val="center"/>
          </w:tcPr>
          <w:p w14:paraId="038E4610">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支行客户经理</w:t>
            </w:r>
          </w:p>
        </w:tc>
        <w:tc>
          <w:tcPr>
            <w:tcW w:w="1980" w:type="dxa"/>
            <w:vAlign w:val="center"/>
          </w:tcPr>
          <w:p w14:paraId="2E624F9C">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18607310422</w:t>
            </w:r>
          </w:p>
        </w:tc>
      </w:tr>
      <w:tr w14:paraId="25E2E9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vAlign w:val="center"/>
          </w:tcPr>
          <w:p w14:paraId="64565BBE">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中国光大银行长沙分行</w:t>
            </w:r>
          </w:p>
        </w:tc>
        <w:tc>
          <w:tcPr>
            <w:tcW w:w="1260" w:type="dxa"/>
            <w:vAlign w:val="center"/>
          </w:tcPr>
          <w:p w14:paraId="01815362">
            <w:pPr>
              <w:adjustRightInd w:val="0"/>
              <w:snapToGrid w:val="0"/>
              <w:spacing w:before="156" w:beforeLines="50" w:line="360" w:lineRule="auto"/>
              <w:jc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rPr>
              <w:t>邓永胜</w:t>
            </w:r>
          </w:p>
        </w:tc>
        <w:tc>
          <w:tcPr>
            <w:tcW w:w="3240" w:type="dxa"/>
            <w:vAlign w:val="center"/>
          </w:tcPr>
          <w:p w14:paraId="7DE15DE7">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岳麓支行副行长</w:t>
            </w:r>
          </w:p>
        </w:tc>
        <w:tc>
          <w:tcPr>
            <w:tcW w:w="1980" w:type="dxa"/>
            <w:vAlign w:val="center"/>
          </w:tcPr>
          <w:p w14:paraId="1AD2A9F7">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13617319650</w:t>
            </w:r>
          </w:p>
        </w:tc>
      </w:tr>
      <w:tr w14:paraId="534D9C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2700" w:type="dxa"/>
            <w:vAlign w:val="center"/>
          </w:tcPr>
          <w:p w14:paraId="7FDF3BF6">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中信银行长沙分行</w:t>
            </w:r>
          </w:p>
        </w:tc>
        <w:tc>
          <w:tcPr>
            <w:tcW w:w="1260" w:type="dxa"/>
            <w:vAlign w:val="center"/>
          </w:tcPr>
          <w:p w14:paraId="6CC990F1">
            <w:pPr>
              <w:adjustRightInd w:val="0"/>
              <w:snapToGrid w:val="0"/>
              <w:spacing w:before="156" w:beforeLines="50" w:line="360" w:lineRule="auto"/>
              <w:jc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rPr>
              <w:t>蔡学军</w:t>
            </w:r>
          </w:p>
        </w:tc>
        <w:tc>
          <w:tcPr>
            <w:tcW w:w="3240" w:type="dxa"/>
            <w:vAlign w:val="center"/>
          </w:tcPr>
          <w:p w14:paraId="779F119D">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公司银行部负责人</w:t>
            </w:r>
          </w:p>
        </w:tc>
        <w:tc>
          <w:tcPr>
            <w:tcW w:w="1980" w:type="dxa"/>
            <w:vAlign w:val="center"/>
          </w:tcPr>
          <w:p w14:paraId="1BE753CE">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13055167195</w:t>
            </w:r>
          </w:p>
        </w:tc>
      </w:tr>
      <w:tr w14:paraId="707085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3D558D3A">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中信银行长沙分行</w:t>
            </w:r>
          </w:p>
        </w:tc>
        <w:tc>
          <w:tcPr>
            <w:tcW w:w="1260" w:type="dxa"/>
            <w:vAlign w:val="center"/>
          </w:tcPr>
          <w:p w14:paraId="10B492B6">
            <w:pPr>
              <w:adjustRightInd w:val="0"/>
              <w:snapToGrid w:val="0"/>
              <w:spacing w:before="156" w:beforeLines="50" w:line="360" w:lineRule="auto"/>
              <w:jc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rPr>
              <w:t>宋学农</w:t>
            </w:r>
          </w:p>
        </w:tc>
        <w:tc>
          <w:tcPr>
            <w:tcW w:w="3240" w:type="dxa"/>
            <w:vAlign w:val="center"/>
          </w:tcPr>
          <w:p w14:paraId="2EF07DC3">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银行部综合管理部副总经理</w:t>
            </w:r>
          </w:p>
        </w:tc>
        <w:tc>
          <w:tcPr>
            <w:tcW w:w="1980" w:type="dxa"/>
            <w:vAlign w:val="center"/>
          </w:tcPr>
          <w:p w14:paraId="52549853">
            <w:pPr>
              <w:adjustRightInd w:val="0"/>
              <w:snapToGrid w:val="0"/>
              <w:spacing w:before="156" w:beforeLines="50" w:line="360" w:lineRule="auto"/>
              <w:rPr>
                <w:rFonts w:hint="eastAsia" w:ascii="宋体" w:hAnsi="宋体" w:cs="宋体"/>
                <w:color w:val="auto"/>
                <w:sz w:val="18"/>
                <w:szCs w:val="18"/>
                <w:highlight w:val="none"/>
              </w:rPr>
            </w:pPr>
            <w:r>
              <w:rPr>
                <w:rFonts w:hint="eastAsia" w:ascii="宋体" w:hAnsi="宋体" w:cs="宋体"/>
                <w:color w:val="auto"/>
                <w:kern w:val="0"/>
                <w:sz w:val="18"/>
                <w:szCs w:val="18"/>
                <w:highlight w:val="none"/>
              </w:rPr>
              <w:t>0731-845822141</w:t>
            </w:r>
          </w:p>
        </w:tc>
      </w:tr>
    </w:tbl>
    <w:p w14:paraId="20498CBA">
      <w:pPr>
        <w:adjustRightInd w:val="0"/>
        <w:snapToGrid w:val="0"/>
        <w:spacing w:line="360" w:lineRule="auto"/>
        <w:rPr>
          <w:rFonts w:hint="eastAsia" w:ascii="宋体" w:hAnsi="宋体" w:cs="宋体"/>
          <w:b/>
          <w:bCs/>
          <w:color w:val="auto"/>
          <w:szCs w:val="21"/>
          <w:highlight w:val="none"/>
        </w:rPr>
      </w:pPr>
    </w:p>
    <w:p w14:paraId="05345AB6">
      <w:pPr>
        <w:adjustRightInd w:val="0"/>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附页2</w:t>
      </w:r>
    </w:p>
    <w:p w14:paraId="3A015E4B">
      <w:pPr>
        <w:adjustRightInd w:val="0"/>
        <w:snapToGrid w:val="0"/>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rPr>
        <w:t>湖南省政府采购信用担保试点工作的</w:t>
      </w:r>
      <w:r>
        <w:rPr>
          <w:rFonts w:hint="eastAsia" w:ascii="宋体" w:hAnsi="宋体" w:cs="宋体"/>
          <w:b/>
          <w:color w:val="auto"/>
          <w:sz w:val="28"/>
          <w:szCs w:val="28"/>
          <w:highlight w:val="none"/>
        </w:rPr>
        <w:t>信用担保机构名单</w:t>
      </w:r>
    </w:p>
    <w:tbl>
      <w:tblPr>
        <w:tblStyle w:val="21"/>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0B4E7F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69B9DFEF">
            <w:pPr>
              <w:adjustRightInd w:val="0"/>
              <w:snapToGrid w:val="0"/>
              <w:spacing w:line="240" w:lineRule="exact"/>
              <w:jc w:val="center"/>
              <w:rPr>
                <w:rFonts w:hint="eastAsia" w:ascii="宋体" w:hAnsi="宋体" w:cs="宋体"/>
                <w:b/>
                <w:bCs/>
                <w:color w:val="auto"/>
                <w:kern w:val="0"/>
                <w:szCs w:val="21"/>
                <w:highlight w:val="none"/>
              </w:rPr>
            </w:pPr>
            <w:r>
              <w:rPr>
                <w:rFonts w:hint="eastAsia" w:ascii="宋体" w:hAnsi="宋体" w:cs="宋体"/>
                <w:b/>
                <w:color w:val="auto"/>
                <w:szCs w:val="21"/>
                <w:highlight w:val="none"/>
              </w:rPr>
              <w:t>信用担保机构</w:t>
            </w:r>
          </w:p>
        </w:tc>
        <w:tc>
          <w:tcPr>
            <w:tcW w:w="1080" w:type="dxa"/>
            <w:vAlign w:val="center"/>
          </w:tcPr>
          <w:p w14:paraId="68D196F5">
            <w:pPr>
              <w:adjustRightInd w:val="0"/>
              <w:snapToGrid w:val="0"/>
              <w:spacing w:line="240" w:lineRule="exact"/>
              <w:jc w:val="center"/>
              <w:rPr>
                <w:rFonts w:hint="eastAsia" w:ascii="宋体" w:hAnsi="宋体" w:cs="宋体"/>
                <w:b/>
                <w:bCs/>
                <w:color w:val="auto"/>
                <w:kern w:val="0"/>
                <w:szCs w:val="21"/>
                <w:highlight w:val="none"/>
              </w:rPr>
            </w:pPr>
            <w:r>
              <w:rPr>
                <w:rFonts w:hint="eastAsia" w:ascii="宋体" w:hAnsi="宋体" w:cs="宋体"/>
                <w:b/>
                <w:color w:val="auto"/>
                <w:szCs w:val="21"/>
                <w:highlight w:val="none"/>
              </w:rPr>
              <w:t>联系人</w:t>
            </w:r>
          </w:p>
        </w:tc>
        <w:tc>
          <w:tcPr>
            <w:tcW w:w="3780" w:type="dxa"/>
            <w:vAlign w:val="center"/>
          </w:tcPr>
          <w:p w14:paraId="4255410F">
            <w:pPr>
              <w:adjustRightInd w:val="0"/>
              <w:snapToGrid w:val="0"/>
              <w:spacing w:line="240" w:lineRule="exact"/>
              <w:jc w:val="center"/>
              <w:rPr>
                <w:rFonts w:hint="eastAsia" w:ascii="宋体" w:hAnsi="宋体" w:cs="宋体"/>
                <w:b/>
                <w:bCs/>
                <w:color w:val="auto"/>
                <w:kern w:val="0"/>
                <w:szCs w:val="21"/>
                <w:highlight w:val="none"/>
              </w:rPr>
            </w:pPr>
            <w:r>
              <w:rPr>
                <w:rFonts w:hint="eastAsia" w:ascii="宋体" w:hAnsi="宋体" w:cs="宋体"/>
                <w:b/>
                <w:color w:val="auto"/>
                <w:szCs w:val="21"/>
                <w:highlight w:val="none"/>
              </w:rPr>
              <w:t>联系电话</w:t>
            </w:r>
          </w:p>
        </w:tc>
      </w:tr>
      <w:tr w14:paraId="5B2062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550744DF">
            <w:pPr>
              <w:adjustRightInd w:val="0"/>
              <w:snapToGrid w:val="0"/>
              <w:spacing w:line="360" w:lineRule="auto"/>
              <w:jc w:val="left"/>
              <w:rPr>
                <w:rFonts w:hint="eastAsia" w:ascii="宋体" w:hAnsi="宋体" w:cs="宋体"/>
                <w:bCs/>
                <w:color w:val="auto"/>
                <w:kern w:val="0"/>
                <w:szCs w:val="21"/>
                <w:highlight w:val="none"/>
              </w:rPr>
            </w:pPr>
            <w:r>
              <w:rPr>
                <w:rFonts w:hint="eastAsia" w:ascii="宋体" w:hAnsi="宋体" w:cs="宋体"/>
                <w:color w:val="auto"/>
                <w:szCs w:val="21"/>
                <w:highlight w:val="none"/>
              </w:rPr>
              <w:t>中国投资担保公司</w:t>
            </w:r>
          </w:p>
        </w:tc>
        <w:tc>
          <w:tcPr>
            <w:tcW w:w="1080" w:type="dxa"/>
            <w:vAlign w:val="center"/>
          </w:tcPr>
          <w:p w14:paraId="6B65A204">
            <w:pPr>
              <w:adjustRightInd w:val="0"/>
              <w:snapToGrid w:val="0"/>
              <w:spacing w:line="360" w:lineRule="auto"/>
              <w:jc w:val="center"/>
              <w:rPr>
                <w:rFonts w:hint="eastAsia" w:ascii="宋体" w:hAnsi="宋体" w:cs="宋体"/>
                <w:bCs/>
                <w:color w:val="auto"/>
                <w:kern w:val="0"/>
                <w:szCs w:val="21"/>
                <w:highlight w:val="none"/>
              </w:rPr>
            </w:pPr>
            <w:r>
              <w:rPr>
                <w:rFonts w:hint="eastAsia" w:ascii="宋体" w:hAnsi="宋体" w:cs="宋体"/>
                <w:color w:val="auto"/>
                <w:szCs w:val="21"/>
                <w:highlight w:val="none"/>
              </w:rPr>
              <w:t>何  嘉</w:t>
            </w:r>
          </w:p>
        </w:tc>
        <w:tc>
          <w:tcPr>
            <w:tcW w:w="3780" w:type="dxa"/>
            <w:vAlign w:val="center"/>
          </w:tcPr>
          <w:p w14:paraId="3D42CD85">
            <w:pPr>
              <w:adjustRightInd w:val="0"/>
              <w:snapToGrid w:val="0"/>
              <w:spacing w:line="360" w:lineRule="auto"/>
              <w:jc w:val="left"/>
              <w:rPr>
                <w:rFonts w:hint="eastAsia" w:ascii="宋体" w:hAnsi="宋体" w:cs="宋体"/>
                <w:bCs/>
                <w:color w:val="auto"/>
                <w:kern w:val="0"/>
                <w:szCs w:val="21"/>
                <w:highlight w:val="none"/>
              </w:rPr>
            </w:pPr>
            <w:r>
              <w:rPr>
                <w:rFonts w:hint="eastAsia" w:ascii="宋体" w:hAnsi="宋体" w:cs="宋体"/>
                <w:color w:val="auto"/>
                <w:szCs w:val="21"/>
                <w:highlight w:val="none"/>
              </w:rPr>
              <w:t>010-88822659/13718642233</w:t>
            </w:r>
          </w:p>
        </w:tc>
      </w:tr>
      <w:tr w14:paraId="719D0A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7DDAAA1B">
            <w:pPr>
              <w:adjustRightInd w:val="0"/>
              <w:snapToGrid w:val="0"/>
              <w:spacing w:line="360" w:lineRule="auto"/>
              <w:jc w:val="left"/>
              <w:rPr>
                <w:rFonts w:hint="eastAsia" w:ascii="宋体" w:hAnsi="宋体" w:cs="宋体"/>
                <w:bCs/>
                <w:color w:val="auto"/>
                <w:kern w:val="0"/>
                <w:szCs w:val="21"/>
                <w:highlight w:val="none"/>
              </w:rPr>
            </w:pPr>
            <w:r>
              <w:rPr>
                <w:rFonts w:hint="eastAsia" w:ascii="宋体" w:hAnsi="宋体" w:cs="宋体"/>
                <w:color w:val="auto"/>
                <w:szCs w:val="21"/>
                <w:highlight w:val="none"/>
              </w:rPr>
              <w:t>湖南省中小企业信用担保有限责任公司</w:t>
            </w:r>
          </w:p>
        </w:tc>
        <w:tc>
          <w:tcPr>
            <w:tcW w:w="1080" w:type="dxa"/>
            <w:vAlign w:val="center"/>
          </w:tcPr>
          <w:p w14:paraId="505C4935">
            <w:pPr>
              <w:adjustRightInd w:val="0"/>
              <w:snapToGrid w:val="0"/>
              <w:spacing w:line="360" w:lineRule="auto"/>
              <w:jc w:val="center"/>
              <w:rPr>
                <w:rFonts w:hint="eastAsia" w:ascii="宋体" w:hAnsi="宋体" w:cs="宋体"/>
                <w:bCs/>
                <w:color w:val="auto"/>
                <w:kern w:val="0"/>
                <w:szCs w:val="21"/>
                <w:highlight w:val="none"/>
              </w:rPr>
            </w:pPr>
            <w:r>
              <w:rPr>
                <w:rFonts w:hint="eastAsia" w:ascii="宋体" w:hAnsi="宋体" w:cs="宋体"/>
                <w:color w:val="auto"/>
                <w:szCs w:val="21"/>
                <w:highlight w:val="none"/>
              </w:rPr>
              <w:t>蔡建雄</w:t>
            </w:r>
          </w:p>
        </w:tc>
        <w:tc>
          <w:tcPr>
            <w:tcW w:w="3780" w:type="dxa"/>
            <w:vAlign w:val="center"/>
          </w:tcPr>
          <w:p w14:paraId="22428978">
            <w:pPr>
              <w:adjustRightInd w:val="0"/>
              <w:snapToGrid w:val="0"/>
              <w:spacing w:line="360" w:lineRule="auto"/>
              <w:jc w:val="left"/>
              <w:rPr>
                <w:rFonts w:hint="eastAsia" w:ascii="宋体" w:hAnsi="宋体" w:cs="宋体"/>
                <w:bCs/>
                <w:color w:val="auto"/>
                <w:kern w:val="0"/>
                <w:szCs w:val="21"/>
                <w:highlight w:val="none"/>
              </w:rPr>
            </w:pPr>
            <w:r>
              <w:rPr>
                <w:rFonts w:hint="eastAsia" w:ascii="宋体" w:hAnsi="宋体" w:cs="宋体"/>
                <w:color w:val="auto"/>
                <w:szCs w:val="21"/>
                <w:highlight w:val="none"/>
              </w:rPr>
              <w:t>0731-84172390-201/15573193555</w:t>
            </w:r>
          </w:p>
        </w:tc>
      </w:tr>
      <w:tr w14:paraId="2C5A71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vAlign w:val="center"/>
          </w:tcPr>
          <w:p w14:paraId="4E1A26AC">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湖南农业信用担保有限公司</w:t>
            </w:r>
          </w:p>
        </w:tc>
        <w:tc>
          <w:tcPr>
            <w:tcW w:w="1080" w:type="dxa"/>
            <w:vAlign w:val="center"/>
          </w:tcPr>
          <w:p w14:paraId="3DEFA046">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彭  球</w:t>
            </w:r>
          </w:p>
          <w:p w14:paraId="167994DB">
            <w:pPr>
              <w:adjustRightInd w:val="0"/>
              <w:snapToGrid w:val="0"/>
              <w:spacing w:line="360" w:lineRule="auto"/>
              <w:jc w:val="center"/>
              <w:rPr>
                <w:rFonts w:hint="eastAsia" w:ascii="宋体" w:hAnsi="宋体" w:cs="宋体"/>
                <w:bCs/>
                <w:color w:val="auto"/>
                <w:kern w:val="0"/>
                <w:szCs w:val="21"/>
                <w:highlight w:val="none"/>
              </w:rPr>
            </w:pPr>
            <w:r>
              <w:rPr>
                <w:rFonts w:hint="eastAsia" w:ascii="宋体" w:hAnsi="宋体" w:cs="宋体"/>
                <w:color w:val="auto"/>
                <w:szCs w:val="21"/>
                <w:highlight w:val="none"/>
              </w:rPr>
              <w:t>邓霞英</w:t>
            </w:r>
          </w:p>
        </w:tc>
        <w:tc>
          <w:tcPr>
            <w:tcW w:w="3780" w:type="dxa"/>
            <w:vAlign w:val="center"/>
          </w:tcPr>
          <w:p w14:paraId="50D8DA34">
            <w:pPr>
              <w:adjustRightInd w:val="0"/>
              <w:snapToGrid w:val="0"/>
              <w:spacing w:line="360" w:lineRule="auto"/>
              <w:jc w:val="left"/>
              <w:rPr>
                <w:rFonts w:hint="eastAsia" w:ascii="宋体" w:hAnsi="宋体" w:cs="宋体"/>
                <w:bCs/>
                <w:color w:val="auto"/>
                <w:kern w:val="0"/>
                <w:szCs w:val="21"/>
                <w:highlight w:val="none"/>
              </w:rPr>
            </w:pPr>
            <w:r>
              <w:rPr>
                <w:rFonts w:hint="eastAsia" w:ascii="宋体" w:hAnsi="宋体" w:cs="宋体"/>
                <w:color w:val="auto"/>
                <w:szCs w:val="21"/>
                <w:highlight w:val="none"/>
              </w:rPr>
              <w:t>0731-89761702/13875980906 0731-89761706/13574125851</w:t>
            </w:r>
          </w:p>
        </w:tc>
      </w:tr>
    </w:tbl>
    <w:p w14:paraId="2530709D">
      <w:pPr>
        <w:adjustRightInd w:val="0"/>
        <w:snapToGrid w:val="0"/>
        <w:spacing w:line="360" w:lineRule="auto"/>
        <w:rPr>
          <w:rFonts w:hint="eastAsia" w:ascii="宋体" w:hAnsi="宋体" w:cs="宋体"/>
          <w:b/>
          <w:color w:val="auto"/>
          <w:szCs w:val="21"/>
          <w:highlight w:val="none"/>
        </w:rPr>
        <w:sectPr>
          <w:pgSz w:w="11906" w:h="16838"/>
          <w:pgMar w:top="1417" w:right="1417" w:bottom="1417" w:left="1417" w:header="851" w:footer="992" w:gutter="0"/>
          <w:cols w:space="0" w:num="1"/>
          <w:docGrid w:type="lines" w:linePitch="312" w:charSpace="0"/>
        </w:sectPr>
      </w:pPr>
    </w:p>
    <w:p w14:paraId="2EF84D67">
      <w:pPr>
        <w:adjustRightInd w:val="0"/>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附页3</w:t>
      </w:r>
    </w:p>
    <w:p w14:paraId="2E70AAFA">
      <w:pPr>
        <w:adjustRightInd w:val="0"/>
        <w:snapToGrid w:val="0"/>
        <w:spacing w:line="360" w:lineRule="exact"/>
        <w:jc w:val="center"/>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政府采购履约担保函</w:t>
      </w:r>
    </w:p>
    <w:p w14:paraId="5A48D98B">
      <w:pPr>
        <w:adjustRightInd w:val="0"/>
        <w:snapToGrid w:val="0"/>
        <w:spacing w:line="360" w:lineRule="exact"/>
        <w:ind w:firstLine="6510" w:firstLineChars="3100"/>
        <w:rPr>
          <w:rFonts w:hint="eastAsia" w:ascii="宋体" w:hAnsi="宋体" w:cs="宋体"/>
          <w:b/>
          <w:color w:val="auto"/>
          <w:kern w:val="0"/>
          <w:szCs w:val="21"/>
          <w:highlight w:val="none"/>
        </w:rPr>
      </w:pPr>
      <w:r>
        <w:rPr>
          <w:rFonts w:hint="eastAsia" w:ascii="宋体" w:hAnsi="宋体" w:cs="宋体"/>
          <w:color w:val="auto"/>
          <w:kern w:val="0"/>
          <w:szCs w:val="21"/>
          <w:highlight w:val="none"/>
        </w:rPr>
        <w:t>编号：</w:t>
      </w:r>
      <w:r>
        <w:rPr>
          <w:rFonts w:hint="eastAsia" w:ascii="宋体" w:hAnsi="宋体" w:cs="宋体"/>
          <w:color w:val="auto"/>
          <w:kern w:val="0"/>
          <w:szCs w:val="21"/>
          <w:highlight w:val="none"/>
          <w:u w:val="single"/>
        </w:rPr>
        <w:t xml:space="preserve">              </w:t>
      </w:r>
    </w:p>
    <w:p w14:paraId="2EC84A93">
      <w:pPr>
        <w:adjustRightInd w:val="0"/>
        <w:snapToGrid w:val="0"/>
        <w:spacing w:line="36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（采购人）： </w:t>
      </w:r>
    </w:p>
    <w:p w14:paraId="1AAE286D">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鉴于你方与</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（以下简称供应商）于</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日签定编号为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政府采购合同》（以下简称主合同），且依据该合同的约定，供应商应在</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日前向你方交纳履约保证金，且可以履约担保函的形式交纳履约保证金。应供应商的申请，我方以保证的方式向你方提供如下履约保证金担保：</w:t>
      </w:r>
    </w:p>
    <w:p w14:paraId="1F7B9D1E">
      <w:pPr>
        <w:adjustRightInd w:val="0"/>
        <w:snapToGrid w:val="0"/>
        <w:spacing w:line="36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一、保证责任的情形及保证金额</w:t>
      </w:r>
    </w:p>
    <w:p w14:paraId="279FE128">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（一）在供应商出现下列情形之一时，我方承担保证责任：</w:t>
      </w:r>
    </w:p>
    <w:p w14:paraId="47A2FE42">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1．未经采购人同意，将中标项目分包给他人的；</w:t>
      </w:r>
    </w:p>
    <w:p w14:paraId="22B95CA1">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2．主合同约定的应当缴纳履约保证金的情形: </w:t>
      </w:r>
    </w:p>
    <w:p w14:paraId="4CAB2E5D">
      <w:pPr>
        <w:adjustRightInd w:val="0"/>
        <w:snapToGrid w:val="0"/>
        <w:spacing w:line="360" w:lineRule="exact"/>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 xml:space="preserve">（1）未按主合同约定的质量、数量和期限供应货物/提供服务/完成工程的； </w:t>
      </w:r>
    </w:p>
    <w:p w14:paraId="44A02E30">
      <w:pPr>
        <w:adjustRightInd w:val="0"/>
        <w:snapToGrid w:val="0"/>
        <w:spacing w:line="360" w:lineRule="exact"/>
        <w:ind w:firstLine="420" w:firstLineChars="200"/>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28D34012">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（二）我方的保证范围是主合同约定的合同价款总额的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%数额为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元（大写</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），币种为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。（即主合同履约保证金金额）</w:t>
      </w:r>
    </w:p>
    <w:p w14:paraId="5EDE7DD9">
      <w:pPr>
        <w:adjustRightInd w:val="0"/>
        <w:snapToGrid w:val="0"/>
        <w:spacing w:line="36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 xml:space="preserve">二、保证的方式及保证期间 </w:t>
      </w:r>
    </w:p>
    <w:p w14:paraId="1D15133E">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我方保证的方式为：连带责任保证。 </w:t>
      </w:r>
    </w:p>
    <w:p w14:paraId="634F045D">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我方保证的期间为：自本合同生效之日起至供应商按照主合同约定的供货/完工期限届满后</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日内。</w:t>
      </w:r>
    </w:p>
    <w:p w14:paraId="51AEB114">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如果供应商未按主合同约定向贵方供应货物/提供服务/完成工程的，由我方在保证金额内向你方支付上述款项。 </w:t>
      </w:r>
    </w:p>
    <w:p w14:paraId="46013361">
      <w:pPr>
        <w:adjustRightInd w:val="0"/>
        <w:snapToGrid w:val="0"/>
        <w:spacing w:line="36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三、承担保证责任的程序</w:t>
      </w:r>
    </w:p>
    <w:p w14:paraId="094A9E55">
      <w:pPr>
        <w:adjustRightInd w:val="0"/>
        <w:snapToGrid w:val="0"/>
        <w:spacing w:line="360" w:lineRule="exact"/>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 xml:space="preserve">1．你方要求我方承担保证责任的，应在本保函保证期间内向我方发出书面索赔通知。索赔通知应写明要求索赔的金额，支付款项应到达的帐号。并附有证明供应商违约事实的证明材料。 </w:t>
      </w:r>
    </w:p>
    <w:p w14:paraId="79360EEA">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如果你方与供应商因货物质量问题产生争议，你方还需同时提供</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部门出具的质量检测报告，或经诉讼（仲裁）程序裁决后的裁决书、调解书，本保证人即按照检测结果或裁决书、调解书决定是否承担保证责任。</w:t>
      </w:r>
    </w:p>
    <w:p w14:paraId="7162A919">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2．我方收到你方的书面索赔通知及相应证明材料，在</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工作日内进行核定后按照本保函的承诺承担保证责任。</w:t>
      </w:r>
    </w:p>
    <w:p w14:paraId="374686AB">
      <w:pPr>
        <w:adjustRightInd w:val="0"/>
        <w:snapToGrid w:val="0"/>
        <w:spacing w:line="36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四、保证责任的终止</w:t>
      </w:r>
    </w:p>
    <w:p w14:paraId="756C8B20">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446D2A25">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2．我方按照本保函向你方履行了保证责任后，自我方向你方支付款项（支付款项从我方账户划出）之日起，保证责任即终止。</w:t>
      </w:r>
    </w:p>
    <w:p w14:paraId="44154F38">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3．按照法律法规的规定或出现应终止我方保证责任的其它情形的，我方在本保函项下的保证责任亦终止。</w:t>
      </w:r>
    </w:p>
    <w:p w14:paraId="4B88869F">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E4A3A84">
      <w:pPr>
        <w:adjustRightInd w:val="0"/>
        <w:snapToGrid w:val="0"/>
        <w:spacing w:line="36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五、免责条款</w:t>
      </w:r>
    </w:p>
    <w:p w14:paraId="2E79F716">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1．因你方违反主合同约定致使供应商不能履行义务的，我方不承担保证责任。</w:t>
      </w:r>
    </w:p>
    <w:p w14:paraId="094F3226">
      <w:pPr>
        <w:adjustRightInd w:val="0"/>
        <w:snapToGrid w:val="0"/>
        <w:spacing w:line="360" w:lineRule="exact"/>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2．依照法律法规的规定或你方与供应商的另行约定，全部或者部分免除供应商应缴纳的保证金义务的，我方亦免除相应的保证责任。</w:t>
      </w:r>
    </w:p>
    <w:p w14:paraId="524910A5">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3．因不可抗力造成供应商不能履行供货义务的，我方不承担保证责任。</w:t>
      </w:r>
    </w:p>
    <w:p w14:paraId="167CDDA9">
      <w:pPr>
        <w:adjustRightInd w:val="0"/>
        <w:snapToGrid w:val="0"/>
        <w:spacing w:line="36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六、争议的解决</w:t>
      </w:r>
    </w:p>
    <w:p w14:paraId="7339C83B">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因本保函发生的纠纷，由你我双方协商解决，协商不成的，通过诉讼程序解决，诉讼管辖地法院为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法院。</w:t>
      </w:r>
    </w:p>
    <w:p w14:paraId="0A27C63A">
      <w:pPr>
        <w:adjustRightInd w:val="0"/>
        <w:snapToGrid w:val="0"/>
        <w:spacing w:line="36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 xml:space="preserve">七、保函的生效 </w:t>
      </w:r>
    </w:p>
    <w:p w14:paraId="4CDAAE82">
      <w:pPr>
        <w:adjustRightInd w:val="0"/>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本保函自我方加盖公章之日起生效。 </w:t>
      </w:r>
    </w:p>
    <w:p w14:paraId="6D20433D">
      <w:pPr>
        <w:tabs>
          <w:tab w:val="left" w:pos="2850"/>
        </w:tabs>
        <w:adjustRightInd w:val="0"/>
        <w:snapToGrid w:val="0"/>
        <w:spacing w:line="36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rPr>
        <w:tab/>
      </w:r>
      <w:r>
        <w:rPr>
          <w:rFonts w:hint="eastAsia" w:ascii="宋体" w:hAnsi="宋体" w:cs="宋体"/>
          <w:color w:val="auto"/>
          <w:kern w:val="0"/>
          <w:szCs w:val="21"/>
          <w:highlight w:val="none"/>
        </w:rPr>
        <w:t xml:space="preserve">                                      保证人：（公章） </w:t>
      </w:r>
    </w:p>
    <w:p w14:paraId="002400CB">
      <w:pPr>
        <w:adjustRightInd w:val="0"/>
        <w:snapToGrid w:val="0"/>
        <w:spacing w:line="36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p>
    <w:p w14:paraId="70C8FDE4">
      <w:pPr>
        <w:adjustRightInd w:val="0"/>
        <w:snapToGrid w:val="0"/>
        <w:spacing w:line="360" w:lineRule="exact"/>
        <w:jc w:val="right"/>
        <w:rPr>
          <w:rFonts w:hint="eastAsia" w:ascii="宋体" w:hAnsi="宋体" w:cs="宋体"/>
          <w:color w:val="auto"/>
          <w:kern w:val="0"/>
          <w:szCs w:val="21"/>
          <w:highlight w:val="none"/>
        </w:rPr>
        <w:sectPr>
          <w:pgSz w:w="11906" w:h="16838"/>
          <w:pgMar w:top="1417" w:right="1417" w:bottom="1417" w:left="1417" w:header="851" w:footer="992" w:gutter="0"/>
          <w:cols w:space="0" w:num="1"/>
          <w:docGrid w:type="lines" w:linePitch="312" w:charSpace="0"/>
        </w:sect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日</w:t>
      </w:r>
    </w:p>
    <w:p w14:paraId="40148C1F">
      <w:pPr>
        <w:rPr>
          <w:rFonts w:ascii="宋体" w:hAnsi="宋体"/>
          <w:b/>
          <w:color w:val="auto"/>
          <w:szCs w:val="21"/>
          <w:highlight w:val="none"/>
        </w:rPr>
      </w:pPr>
      <w:r>
        <w:rPr>
          <w:rFonts w:hint="eastAsia" w:ascii="宋体" w:hAnsi="宋体"/>
          <w:b/>
          <w:bCs/>
          <w:color w:val="auto"/>
          <w:szCs w:val="21"/>
          <w:highlight w:val="none"/>
        </w:rPr>
        <w:t>附页4</w:t>
      </w:r>
    </w:p>
    <w:p w14:paraId="2CC7ABE4">
      <w:pPr>
        <w:jc w:val="center"/>
        <w:rPr>
          <w:rFonts w:hint="eastAsia" w:ascii="宋体" w:hAnsi="宋体"/>
          <w:b/>
          <w:color w:val="auto"/>
          <w:sz w:val="28"/>
          <w:szCs w:val="28"/>
          <w:highlight w:val="none"/>
          <w:lang w:val="en-US" w:eastAsia="zh-CN"/>
        </w:rPr>
      </w:pPr>
      <w:r>
        <w:rPr>
          <w:rFonts w:hint="eastAsia" w:ascii="宋体" w:hAnsi="宋体"/>
          <w:b/>
          <w:color w:val="auto"/>
          <w:sz w:val="28"/>
          <w:szCs w:val="28"/>
          <w:highlight w:val="none"/>
        </w:rPr>
        <w:t>评审因素和标准</w:t>
      </w:r>
    </w:p>
    <w:p w14:paraId="50CA0523">
      <w:pPr>
        <w:rPr>
          <w:highlight w:val="red"/>
        </w:rPr>
      </w:pP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
        <w:gridCol w:w="1010"/>
        <w:gridCol w:w="359"/>
        <w:gridCol w:w="6760"/>
      </w:tblGrid>
      <w:tr w14:paraId="06FB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91AA000">
            <w:pPr>
              <w:pStyle w:val="53"/>
              <w:jc w:val="center"/>
              <w:rPr>
                <w:rStyle w:val="23"/>
                <w:rFonts w:ascii="宋体" w:hAnsi="宋体" w:eastAsia="宋体" w:cs="宋体"/>
                <w:b w:val="0"/>
                <w:sz w:val="21"/>
                <w:szCs w:val="24"/>
              </w:rPr>
            </w:pPr>
            <w:r>
              <w:rPr>
                <w:rStyle w:val="23"/>
                <w:rFonts w:ascii="宋体" w:hAnsi="宋体" w:eastAsia="宋体" w:cs="宋体"/>
                <w:b w:val="0"/>
                <w:sz w:val="21"/>
                <w:szCs w:val="24"/>
              </w:rPr>
              <w:t>综合评分法</w:t>
            </w:r>
          </w:p>
        </w:tc>
      </w:tr>
      <w:tr w14:paraId="49FC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gridSpan w:val="3"/>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7EDBA37">
            <w:pPr>
              <w:pStyle w:val="53"/>
              <w:jc w:val="center"/>
              <w:rPr>
                <w:rStyle w:val="23"/>
                <w:rFonts w:ascii="宋体" w:hAnsi="宋体" w:eastAsia="宋体" w:cs="宋体"/>
                <w:b/>
                <w:sz w:val="21"/>
                <w:szCs w:val="24"/>
              </w:rPr>
            </w:pPr>
            <w:r>
              <w:rPr>
                <w:rStyle w:val="23"/>
                <w:rFonts w:ascii="宋体" w:hAnsi="宋体" w:eastAsia="宋体" w:cs="宋体"/>
                <w:b/>
                <w:sz w:val="21"/>
                <w:szCs w:val="24"/>
              </w:rPr>
              <w:t>适用范围</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8F2B215">
            <w:pPr>
              <w:pStyle w:val="53"/>
              <w:jc w:val="center"/>
              <w:rPr>
                <w:rStyle w:val="23"/>
                <w:rFonts w:hint="default" w:ascii="宋体" w:hAnsi="宋体" w:eastAsia="宋体" w:cs="宋体"/>
                <w:b w:val="0"/>
                <w:sz w:val="21"/>
                <w:szCs w:val="24"/>
                <w:lang w:val="en-US" w:eastAsia="zh-CN"/>
              </w:rPr>
            </w:pPr>
            <w:r>
              <w:rPr>
                <w:rStyle w:val="23"/>
                <w:rFonts w:hint="eastAsia" w:ascii="宋体" w:hAnsi="宋体" w:eastAsia="宋体" w:cs="宋体"/>
                <w:b w:val="0"/>
                <w:sz w:val="21"/>
                <w:szCs w:val="24"/>
                <w:lang w:val="en-US" w:eastAsia="zh-CN"/>
              </w:rPr>
              <w:t>包1</w:t>
            </w:r>
          </w:p>
        </w:tc>
      </w:tr>
      <w:tr w14:paraId="631F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9175D97">
            <w:pPr>
              <w:pStyle w:val="53"/>
              <w:jc w:val="center"/>
              <w:rPr>
                <w:rStyle w:val="23"/>
                <w:rFonts w:ascii="宋体" w:hAnsi="宋体" w:eastAsia="宋体" w:cs="宋体"/>
                <w:b w:val="0"/>
                <w:sz w:val="21"/>
                <w:szCs w:val="24"/>
              </w:rPr>
            </w:pPr>
            <w:r>
              <w:rPr>
                <w:rStyle w:val="23"/>
                <w:rFonts w:ascii="宋体" w:hAnsi="宋体" w:eastAsia="宋体" w:cs="宋体"/>
                <w:b w:val="0"/>
                <w:sz w:val="21"/>
                <w:szCs w:val="24"/>
              </w:rPr>
              <w:t>评审因素及权值</w:t>
            </w:r>
          </w:p>
        </w:tc>
      </w:tr>
      <w:tr w14:paraId="16A1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gridSpan w:val="3"/>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431639A">
            <w:pPr>
              <w:pStyle w:val="53"/>
              <w:jc w:val="center"/>
              <w:rPr>
                <w:rStyle w:val="23"/>
                <w:rFonts w:ascii="宋体" w:hAnsi="宋体" w:eastAsia="宋体" w:cs="宋体"/>
                <w:b/>
                <w:sz w:val="21"/>
                <w:szCs w:val="24"/>
              </w:rPr>
            </w:pPr>
            <w:r>
              <w:rPr>
                <w:rStyle w:val="23"/>
                <w:rFonts w:ascii="宋体" w:hAnsi="宋体" w:eastAsia="宋体" w:cs="宋体"/>
                <w:b/>
                <w:sz w:val="21"/>
                <w:szCs w:val="24"/>
              </w:rPr>
              <w:t>评审因素</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963B860">
            <w:pPr>
              <w:pStyle w:val="53"/>
              <w:jc w:val="center"/>
              <w:rPr>
                <w:rStyle w:val="23"/>
                <w:rFonts w:ascii="宋体" w:hAnsi="宋体" w:eastAsia="宋体" w:cs="宋体"/>
                <w:b/>
                <w:sz w:val="21"/>
                <w:szCs w:val="24"/>
              </w:rPr>
            </w:pPr>
            <w:r>
              <w:rPr>
                <w:rStyle w:val="23"/>
                <w:rFonts w:ascii="宋体" w:hAnsi="宋体" w:eastAsia="宋体" w:cs="宋体"/>
                <w:b/>
                <w:sz w:val="21"/>
                <w:szCs w:val="24"/>
              </w:rPr>
              <w:t>权值范围</w:t>
            </w:r>
          </w:p>
        </w:tc>
      </w:tr>
      <w:tr w14:paraId="4C06D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gridSpan w:val="3"/>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855AC39">
            <w:pPr>
              <w:pStyle w:val="53"/>
              <w:jc w:val="center"/>
              <w:rPr>
                <w:rStyle w:val="23"/>
                <w:rFonts w:ascii="宋体" w:hAnsi="宋体" w:eastAsia="宋体" w:cs="宋体"/>
                <w:b w:val="0"/>
                <w:sz w:val="21"/>
                <w:szCs w:val="24"/>
              </w:rPr>
            </w:pPr>
            <w:r>
              <w:rPr>
                <w:rStyle w:val="23"/>
                <w:rFonts w:ascii="宋体" w:hAnsi="宋体" w:eastAsia="宋体" w:cs="宋体"/>
                <w:b w:val="0"/>
                <w:sz w:val="21"/>
                <w:szCs w:val="24"/>
              </w:rPr>
              <w:t>技术部分</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DE188F1">
            <w:pPr>
              <w:pStyle w:val="53"/>
              <w:jc w:val="center"/>
              <w:rPr>
                <w:rStyle w:val="23"/>
                <w:rFonts w:ascii="宋体" w:hAnsi="宋体" w:eastAsia="宋体" w:cs="宋体"/>
                <w:b w:val="0"/>
                <w:sz w:val="21"/>
                <w:szCs w:val="24"/>
              </w:rPr>
            </w:pPr>
            <w:r>
              <w:rPr>
                <w:rStyle w:val="23"/>
                <w:rFonts w:ascii="宋体" w:hAnsi="宋体" w:eastAsia="宋体" w:cs="宋体"/>
                <w:b w:val="0"/>
                <w:sz w:val="21"/>
                <w:szCs w:val="24"/>
              </w:rPr>
              <w:t>0.3</w:t>
            </w:r>
          </w:p>
        </w:tc>
      </w:tr>
      <w:tr w14:paraId="2B1A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gridSpan w:val="3"/>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01E167C">
            <w:pPr>
              <w:pStyle w:val="53"/>
              <w:jc w:val="center"/>
              <w:rPr>
                <w:rStyle w:val="23"/>
                <w:rFonts w:ascii="宋体" w:hAnsi="宋体" w:eastAsia="宋体" w:cs="宋体"/>
                <w:b w:val="0"/>
                <w:sz w:val="21"/>
                <w:szCs w:val="24"/>
              </w:rPr>
            </w:pPr>
            <w:r>
              <w:rPr>
                <w:rStyle w:val="23"/>
                <w:rFonts w:ascii="宋体" w:hAnsi="宋体" w:eastAsia="宋体" w:cs="宋体"/>
                <w:b w:val="0"/>
                <w:sz w:val="21"/>
                <w:szCs w:val="24"/>
              </w:rPr>
              <w:t>商务部分</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6BB3092">
            <w:pPr>
              <w:pStyle w:val="53"/>
              <w:jc w:val="center"/>
              <w:rPr>
                <w:rStyle w:val="23"/>
                <w:rFonts w:ascii="宋体" w:hAnsi="宋体" w:eastAsia="宋体" w:cs="宋体"/>
                <w:b w:val="0"/>
                <w:sz w:val="21"/>
                <w:szCs w:val="24"/>
              </w:rPr>
            </w:pPr>
            <w:r>
              <w:rPr>
                <w:rStyle w:val="23"/>
                <w:rFonts w:ascii="宋体" w:hAnsi="宋体" w:eastAsia="宋体" w:cs="宋体"/>
                <w:b w:val="0"/>
                <w:sz w:val="21"/>
                <w:szCs w:val="24"/>
              </w:rPr>
              <w:t>0.6</w:t>
            </w:r>
          </w:p>
        </w:tc>
      </w:tr>
      <w:tr w14:paraId="18B3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gridSpan w:val="3"/>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4F5AA55">
            <w:pPr>
              <w:pStyle w:val="53"/>
              <w:jc w:val="center"/>
              <w:rPr>
                <w:rStyle w:val="23"/>
                <w:rFonts w:ascii="宋体" w:hAnsi="宋体" w:eastAsia="宋体" w:cs="宋体"/>
                <w:b w:val="0"/>
                <w:sz w:val="21"/>
                <w:szCs w:val="24"/>
              </w:rPr>
            </w:pPr>
            <w:r>
              <w:rPr>
                <w:rStyle w:val="23"/>
                <w:rFonts w:ascii="宋体" w:hAnsi="宋体" w:eastAsia="宋体" w:cs="宋体"/>
                <w:b w:val="0"/>
                <w:sz w:val="21"/>
                <w:szCs w:val="24"/>
              </w:rPr>
              <w:t>价格部分</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9372E4D">
            <w:pPr>
              <w:pStyle w:val="53"/>
              <w:jc w:val="center"/>
              <w:rPr>
                <w:rStyle w:val="23"/>
                <w:rFonts w:ascii="宋体" w:hAnsi="宋体" w:eastAsia="宋体" w:cs="宋体"/>
                <w:b w:val="0"/>
                <w:sz w:val="21"/>
                <w:szCs w:val="24"/>
              </w:rPr>
            </w:pPr>
            <w:r>
              <w:rPr>
                <w:rStyle w:val="23"/>
                <w:rFonts w:ascii="宋体" w:hAnsi="宋体" w:eastAsia="宋体" w:cs="宋体"/>
                <w:b w:val="0"/>
                <w:sz w:val="21"/>
                <w:szCs w:val="24"/>
              </w:rPr>
              <w:t>0.1</w:t>
            </w:r>
          </w:p>
        </w:tc>
      </w:tr>
      <w:tr w14:paraId="64AB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CF29CAC">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综合评分表</w:t>
            </w:r>
          </w:p>
        </w:tc>
      </w:tr>
      <w:tr w14:paraId="0B49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269E7A7">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评审因素</w:t>
            </w: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44C3456">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计分因素</w:t>
            </w:r>
          </w:p>
        </w:tc>
        <w:tc>
          <w:tcPr>
            <w:tcW w:w="359"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B25D6F4">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分值</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8114B93">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计分标准</w:t>
            </w:r>
          </w:p>
        </w:tc>
      </w:tr>
      <w:tr w14:paraId="6B11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restart"/>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1C90793">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技术部分</w:t>
            </w: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020B503">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整体服务方案</w:t>
            </w:r>
          </w:p>
        </w:tc>
        <w:tc>
          <w:tcPr>
            <w:tcW w:w="359"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C799766">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20</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73E601A">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提供整体服务方案，内容包括：①工作目标②主要任务分析③检测范围④组织实施计划。整体服务方案内容完整、目标和主要任务明确清晰、检测范围全面、组织措施合理的，计20分；有缺漏项的每项扣5分，每有一处内容存在错误或缺陷的，扣2.5分，扣完为止；未提供的不计分。</w:t>
            </w:r>
          </w:p>
          <w:p w14:paraId="520E419A">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4B0E5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4EAC08A">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9361B99">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项目的特点及关键性技术问题的对策措施</w:t>
            </w:r>
          </w:p>
        </w:tc>
        <w:tc>
          <w:tcPr>
            <w:tcW w:w="359"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77D566F">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15</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256554F">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提供项目特点及关键性技术问题对策措施，内容包括：①项目的特点分析②项目重点和难点分析③对策措施。项目特点分析全面深入，重点难点分析有针对性，能够提出合理有操作性对策措施的，计15分；有缺漏项的每项扣5分，每有一处内容存在错误或缺陷的，扣2.5分，扣完为止；未提供的不计分。</w:t>
            </w:r>
          </w:p>
          <w:p w14:paraId="2C81B05B">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0878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37BDA76">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FB4C823">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实施方案</w:t>
            </w:r>
          </w:p>
        </w:tc>
        <w:tc>
          <w:tcPr>
            <w:tcW w:w="359"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35852DD">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20</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7D6BB52">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特点及采购需求提供实施方案，内容包括：①工作方案及工作流程②数据管理措施③检测评价方法④实施过程把控（包含前期、中期、后期三个阶段）的管理。实施方案完整、全面且符合本项目实际的，计20分；有缺漏项的每项扣5分，每有一处内容存在错误或缺陷的，扣2.5分，扣完为止；未提供的不计分。</w:t>
            </w:r>
          </w:p>
          <w:p w14:paraId="27A1BAE7">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7119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1B4F9AC">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A0BFCAA">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工作进度计划</w:t>
            </w:r>
          </w:p>
        </w:tc>
        <w:tc>
          <w:tcPr>
            <w:tcW w:w="359"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9367A60">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20</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737E187">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特点及采购需求提供工作进度计划，内容包括①总体计划要求②时间安排③阶段任务④项目实施人员安排⑤进度保障措施。完全满足总体计划要求、制定具体合理的时间安排的、阶段任务清晰、人员分工明确、保障措施科学合理且可行性强的，计20分；有缺漏项的每项扣4分，每有一处内容存在错误或缺陷的，扣2分，扣完为止；未提供的不计分。</w:t>
            </w:r>
          </w:p>
          <w:p w14:paraId="26FB3A94">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2D24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5878C57">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A8C42E2">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服务质量保障计划及承诺</w:t>
            </w:r>
          </w:p>
        </w:tc>
        <w:tc>
          <w:tcPr>
            <w:tcW w:w="359"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5C5E6E4">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15</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31CDDC8">
            <w:pPr>
              <w:pStyle w:val="52"/>
              <w:jc w:val="both"/>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特点及需求提供服务质量保障计划及承诺，内容包括：①过程控制②服务成果的审核③内部管理④保障措施⑤服务质量承诺。质量保障计划完善、标准严格、程序规范、保障措施详尽有效、针对性强的，计15分；有缺漏项的每项扣3分；每有一处内容存在错误或缺陷的，扣1.5分，扣完为止；未提供的不计分。</w:t>
            </w:r>
          </w:p>
          <w:p w14:paraId="53C739A9">
            <w:pPr>
              <w:pStyle w:val="52"/>
              <w:jc w:val="both"/>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21295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11B6433">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D816264">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作业安全保障计划</w:t>
            </w:r>
          </w:p>
        </w:tc>
        <w:tc>
          <w:tcPr>
            <w:tcW w:w="359"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D76A122">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10</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317FC18">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特点及需求提供作业安全保障计划及承诺，内容包括：①保障目标②保障措施③现场交通维护措施④应急预案⑤作业安全承诺。作业安全保障计划内容全面、措施有效、针对性强的，计10分；有缺漏项的每项扣2分；每有一处内容存在错误或缺陷的，扣1分，扣完为止；未提供的不计分。</w:t>
            </w:r>
          </w:p>
          <w:p w14:paraId="52A5BACF">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0517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restart"/>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03CC733">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商务部分</w:t>
            </w:r>
          </w:p>
          <w:p w14:paraId="6E9B0809">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366954A">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检测工程师和检测员要求</w:t>
            </w:r>
          </w:p>
        </w:tc>
        <w:tc>
          <w:tcPr>
            <w:tcW w:w="359"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E127A81">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20</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B5AFAB8">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①检测工程师和检测员达到</w:t>
            </w:r>
            <w:r>
              <w:rPr>
                <w:rStyle w:val="23"/>
                <w:rFonts w:hint="eastAsia" w:ascii="宋体" w:hAnsi="宋体" w:eastAsia="宋体" w:cs="宋体"/>
                <w:b w:val="0"/>
                <w:sz w:val="21"/>
                <w:szCs w:val="24"/>
                <w:lang w:val="en-US" w:eastAsia="zh-CN"/>
              </w:rPr>
              <w:t>磋商文件第四章</w:t>
            </w:r>
            <w:r>
              <w:rPr>
                <w:rStyle w:val="23"/>
                <w:rFonts w:ascii="宋体" w:hAnsi="宋体" w:eastAsia="宋体" w:cs="宋体"/>
                <w:b w:val="0"/>
                <w:sz w:val="21"/>
                <w:szCs w:val="24"/>
              </w:rPr>
              <w:t>基本要求的，计8分；</w:t>
            </w:r>
          </w:p>
          <w:p w14:paraId="31530CD9">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②拟投入的检测工程师具有高级职称的，每人计2分，最多计8分；</w:t>
            </w:r>
          </w:p>
          <w:p w14:paraId="6172A07D">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③拟投入的检测员具有中级职称的，每人计1分，最多计4分；</w:t>
            </w:r>
          </w:p>
          <w:p w14:paraId="529AB212">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本项最多计20分。</w:t>
            </w:r>
          </w:p>
          <w:p w14:paraId="7A9EED9E">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w:t>
            </w:r>
            <w:r>
              <w:rPr>
                <w:rStyle w:val="23"/>
                <w:rFonts w:hint="eastAsia" w:ascii="宋体" w:hAnsi="宋体" w:eastAsia="宋体" w:cs="宋体"/>
                <w:b w:val="0"/>
                <w:sz w:val="21"/>
                <w:szCs w:val="24"/>
                <w:lang w:eastAsia="zh-CN"/>
              </w:rPr>
              <w:t>人员应登记注册在响应供应商单位</w:t>
            </w:r>
            <w:r>
              <w:rPr>
                <w:rStyle w:val="23"/>
                <w:rFonts w:ascii="宋体" w:hAnsi="宋体" w:eastAsia="宋体" w:cs="宋体"/>
                <w:b w:val="0"/>
                <w:sz w:val="21"/>
                <w:szCs w:val="24"/>
              </w:rPr>
              <w:t>，</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须提供公路水运工程试验检测管理信息系统查询网页截图，若未提供或提供不清晰导致无法辨认的截图，则不计分。同时，</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须提供人员职称证书及在本单位202</w:t>
            </w:r>
            <w:r>
              <w:rPr>
                <w:rStyle w:val="23"/>
                <w:rFonts w:hint="eastAsia" w:ascii="宋体" w:hAnsi="宋体" w:eastAsia="宋体" w:cs="宋体"/>
                <w:b w:val="0"/>
                <w:sz w:val="21"/>
                <w:szCs w:val="24"/>
                <w:lang w:val="en-US" w:eastAsia="zh-CN"/>
              </w:rPr>
              <w:t>6</w:t>
            </w:r>
            <w:r>
              <w:rPr>
                <w:rStyle w:val="23"/>
                <w:rFonts w:ascii="宋体" w:hAnsi="宋体" w:eastAsia="宋体" w:cs="宋体"/>
                <w:b w:val="0"/>
                <w:sz w:val="21"/>
                <w:szCs w:val="24"/>
              </w:rPr>
              <w:t>年</w:t>
            </w:r>
            <w:r>
              <w:rPr>
                <w:rStyle w:val="23"/>
                <w:rFonts w:hint="eastAsia" w:ascii="宋体" w:hAnsi="宋体" w:eastAsia="宋体" w:cs="宋体"/>
                <w:b w:val="0"/>
                <w:sz w:val="21"/>
                <w:szCs w:val="24"/>
                <w:lang w:val="en-US" w:eastAsia="zh-CN"/>
              </w:rPr>
              <w:t>4</w:t>
            </w:r>
            <w:r>
              <w:rPr>
                <w:rStyle w:val="23"/>
                <w:rFonts w:ascii="宋体" w:hAnsi="宋体" w:eastAsia="宋体" w:cs="宋体"/>
                <w:b w:val="0"/>
                <w:sz w:val="21"/>
                <w:szCs w:val="24"/>
              </w:rPr>
              <w:t>月至202</w:t>
            </w:r>
            <w:r>
              <w:rPr>
                <w:rStyle w:val="23"/>
                <w:rFonts w:hint="eastAsia" w:ascii="宋体" w:hAnsi="宋体" w:eastAsia="宋体" w:cs="宋体"/>
                <w:b w:val="0"/>
                <w:sz w:val="21"/>
                <w:szCs w:val="24"/>
                <w:lang w:val="en-US" w:eastAsia="zh-CN"/>
              </w:rPr>
              <w:t>6</w:t>
            </w:r>
            <w:r>
              <w:rPr>
                <w:rStyle w:val="23"/>
                <w:rFonts w:ascii="宋体" w:hAnsi="宋体" w:eastAsia="宋体" w:cs="宋体"/>
                <w:b w:val="0"/>
                <w:sz w:val="21"/>
                <w:szCs w:val="24"/>
              </w:rPr>
              <w:t>年</w:t>
            </w:r>
            <w:r>
              <w:rPr>
                <w:rStyle w:val="23"/>
                <w:rFonts w:hint="eastAsia" w:ascii="宋体" w:hAnsi="宋体" w:eastAsia="宋体" w:cs="宋体"/>
                <w:b w:val="0"/>
                <w:sz w:val="21"/>
                <w:szCs w:val="24"/>
                <w:lang w:val="en-US" w:eastAsia="zh-CN"/>
              </w:rPr>
              <w:t>6</w:t>
            </w:r>
            <w:r>
              <w:rPr>
                <w:rStyle w:val="23"/>
                <w:rFonts w:ascii="宋体" w:hAnsi="宋体" w:eastAsia="宋体" w:cs="宋体"/>
                <w:b w:val="0"/>
                <w:sz w:val="21"/>
                <w:szCs w:val="24"/>
              </w:rPr>
              <w:t>月</w:t>
            </w:r>
            <w:r>
              <w:rPr>
                <w:rStyle w:val="23"/>
                <w:rFonts w:hint="eastAsia" w:ascii="宋体" w:hAnsi="宋体" w:eastAsia="宋体" w:cs="宋体"/>
                <w:b w:val="0"/>
                <w:sz w:val="21"/>
                <w:szCs w:val="24"/>
                <w:lang w:val="en-US" w:eastAsia="zh-CN"/>
              </w:rPr>
              <w:t>内任意一个月</w:t>
            </w:r>
            <w:r>
              <w:rPr>
                <w:rStyle w:val="23"/>
                <w:rFonts w:ascii="宋体" w:hAnsi="宋体" w:eastAsia="宋体" w:cs="宋体"/>
                <w:b w:val="0"/>
                <w:sz w:val="21"/>
                <w:szCs w:val="24"/>
              </w:rPr>
              <w:t>的社保证明扫描件。</w:t>
            </w:r>
          </w:p>
        </w:tc>
      </w:tr>
      <w:tr w14:paraId="4B7A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73C7256">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0189492">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项目负责人要求</w:t>
            </w:r>
          </w:p>
        </w:tc>
        <w:tc>
          <w:tcPr>
            <w:tcW w:w="359"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1E31799">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10</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6883E46">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①项目负责人达到</w:t>
            </w:r>
            <w:r>
              <w:rPr>
                <w:rStyle w:val="23"/>
                <w:rFonts w:hint="eastAsia" w:ascii="宋体" w:hAnsi="宋体" w:eastAsia="宋体" w:cs="宋体"/>
                <w:b w:val="0"/>
                <w:sz w:val="21"/>
                <w:szCs w:val="24"/>
              </w:rPr>
              <w:t>磋商文件第四章</w:t>
            </w:r>
            <w:r>
              <w:rPr>
                <w:rStyle w:val="23"/>
                <w:rFonts w:ascii="宋体" w:hAnsi="宋体" w:eastAsia="宋体" w:cs="宋体"/>
                <w:b w:val="0"/>
                <w:sz w:val="21"/>
                <w:szCs w:val="24"/>
              </w:rPr>
              <w:t>基本要求的，计4分；</w:t>
            </w:r>
          </w:p>
          <w:p w14:paraId="4C6BC038">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②最近5年，每参加1座大桥或特大桥特殊检查的，计0.5分，最多计2分；桥梁分类依据《公路工程技术标准》；</w:t>
            </w:r>
          </w:p>
          <w:p w14:paraId="4088AA35">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③最近5年，参加部级、省级国省干线</w:t>
            </w:r>
            <w:r>
              <w:rPr>
                <w:rStyle w:val="23"/>
                <w:rFonts w:hint="eastAsia" w:ascii="宋体" w:hAnsi="宋体" w:eastAsia="宋体" w:cs="宋体"/>
                <w:b w:val="0"/>
                <w:sz w:val="21"/>
                <w:szCs w:val="24"/>
                <w:lang w:eastAsia="zh-CN"/>
              </w:rPr>
              <w:t>桥梁</w:t>
            </w:r>
            <w:r>
              <w:rPr>
                <w:rStyle w:val="23"/>
                <w:rFonts w:ascii="宋体" w:hAnsi="宋体" w:eastAsia="宋体" w:cs="宋体"/>
                <w:b w:val="0"/>
                <w:sz w:val="21"/>
                <w:szCs w:val="24"/>
              </w:rPr>
              <w:t>检测（监测）技术服务项目的，每个业绩计1分，最多计4分；</w:t>
            </w:r>
          </w:p>
          <w:p w14:paraId="40A0BDD2">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本项最多计10分。</w:t>
            </w:r>
          </w:p>
          <w:p w14:paraId="20C8D7FB">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注：最近5年，</w:t>
            </w:r>
            <w:r>
              <w:rPr>
                <w:rStyle w:val="23"/>
                <w:rFonts w:hint="eastAsia" w:ascii="宋体" w:hAnsi="宋体" w:eastAsia="宋体" w:cs="宋体"/>
                <w:b w:val="0"/>
                <w:sz w:val="21"/>
                <w:szCs w:val="24"/>
                <w:lang w:eastAsia="zh-CN"/>
              </w:rPr>
              <w:t>指递交响应文件截止之日前一日回溯5年</w:t>
            </w:r>
            <w:r>
              <w:rPr>
                <w:rStyle w:val="23"/>
                <w:rFonts w:ascii="宋体" w:hAnsi="宋体" w:eastAsia="宋体" w:cs="宋体"/>
                <w:b w:val="0"/>
                <w:sz w:val="21"/>
                <w:szCs w:val="24"/>
              </w:rPr>
              <w:t>，以合同签订时间为准。</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须提供人员职称证书及在本单位202</w:t>
            </w:r>
            <w:r>
              <w:rPr>
                <w:rStyle w:val="23"/>
                <w:rFonts w:hint="eastAsia" w:ascii="宋体" w:hAnsi="宋体" w:eastAsia="宋体" w:cs="宋体"/>
                <w:b w:val="0"/>
                <w:sz w:val="21"/>
                <w:szCs w:val="24"/>
                <w:lang w:val="en-US" w:eastAsia="zh-CN"/>
              </w:rPr>
              <w:t>6</w:t>
            </w:r>
            <w:r>
              <w:rPr>
                <w:rStyle w:val="23"/>
                <w:rFonts w:ascii="宋体" w:hAnsi="宋体" w:eastAsia="宋体" w:cs="宋体"/>
                <w:b w:val="0"/>
                <w:sz w:val="21"/>
                <w:szCs w:val="24"/>
              </w:rPr>
              <w:t>年</w:t>
            </w:r>
            <w:r>
              <w:rPr>
                <w:rStyle w:val="23"/>
                <w:rFonts w:hint="eastAsia" w:ascii="宋体" w:hAnsi="宋体" w:eastAsia="宋体" w:cs="宋体"/>
                <w:b w:val="0"/>
                <w:sz w:val="21"/>
                <w:szCs w:val="24"/>
                <w:lang w:val="en-US" w:eastAsia="zh-CN"/>
              </w:rPr>
              <w:t>4</w:t>
            </w:r>
            <w:r>
              <w:rPr>
                <w:rStyle w:val="23"/>
                <w:rFonts w:ascii="宋体" w:hAnsi="宋体" w:eastAsia="宋体" w:cs="宋体"/>
                <w:b w:val="0"/>
                <w:sz w:val="21"/>
                <w:szCs w:val="24"/>
              </w:rPr>
              <w:t>月至202</w:t>
            </w:r>
            <w:r>
              <w:rPr>
                <w:rStyle w:val="23"/>
                <w:rFonts w:hint="eastAsia" w:ascii="宋体" w:hAnsi="宋体" w:eastAsia="宋体" w:cs="宋体"/>
                <w:b w:val="0"/>
                <w:sz w:val="21"/>
                <w:szCs w:val="24"/>
                <w:lang w:val="en-US" w:eastAsia="zh-CN"/>
              </w:rPr>
              <w:t>6</w:t>
            </w:r>
            <w:r>
              <w:rPr>
                <w:rStyle w:val="23"/>
                <w:rFonts w:ascii="宋体" w:hAnsi="宋体" w:eastAsia="宋体" w:cs="宋体"/>
                <w:b w:val="0"/>
                <w:sz w:val="21"/>
                <w:szCs w:val="24"/>
              </w:rPr>
              <w:t>年</w:t>
            </w:r>
            <w:r>
              <w:rPr>
                <w:rStyle w:val="23"/>
                <w:rFonts w:hint="eastAsia" w:ascii="宋体" w:hAnsi="宋体" w:eastAsia="宋体" w:cs="宋体"/>
                <w:b w:val="0"/>
                <w:sz w:val="21"/>
                <w:szCs w:val="24"/>
                <w:lang w:val="en-US" w:eastAsia="zh-CN"/>
              </w:rPr>
              <w:t>6</w:t>
            </w:r>
            <w:r>
              <w:rPr>
                <w:rStyle w:val="23"/>
                <w:rFonts w:ascii="宋体" w:hAnsi="宋体" w:eastAsia="宋体" w:cs="宋体"/>
                <w:b w:val="0"/>
                <w:sz w:val="21"/>
                <w:szCs w:val="24"/>
              </w:rPr>
              <w:t>月</w:t>
            </w:r>
            <w:r>
              <w:rPr>
                <w:rStyle w:val="23"/>
                <w:rFonts w:hint="eastAsia" w:ascii="宋体" w:hAnsi="宋体" w:eastAsia="宋体" w:cs="宋体"/>
                <w:b w:val="0"/>
                <w:sz w:val="21"/>
                <w:szCs w:val="24"/>
                <w:lang w:val="en-US" w:eastAsia="zh-CN"/>
              </w:rPr>
              <w:t>内任意一个月</w:t>
            </w:r>
            <w:r>
              <w:rPr>
                <w:rStyle w:val="23"/>
                <w:rFonts w:ascii="宋体" w:hAnsi="宋体" w:eastAsia="宋体" w:cs="宋体"/>
                <w:b w:val="0"/>
                <w:sz w:val="21"/>
                <w:szCs w:val="24"/>
              </w:rPr>
              <w:t>的社保证明扫描件，项目合同扫描件和完工证明材料或验收文件，同时所有业绩提供甲方项目联系人名字和联系电话，如项目合同扫描件未明确桥梁检测数量、类型和人员，还须另外提供加盖甲方公章的证明材料扫描件来补充说明，否则不计分。</w:t>
            </w:r>
          </w:p>
          <w:p w14:paraId="3E0D95CA">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不得提供虚假业绩，否则取消中标资格并列入不良行为记录。在发布中标结果时，将对中标单位提供所有业绩进行公示，并按规定对存疑业绩进行函询核实。</w:t>
            </w:r>
          </w:p>
        </w:tc>
      </w:tr>
      <w:tr w14:paraId="1065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DBDAB2F">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4FCC7CE">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技术负责人要求</w:t>
            </w:r>
          </w:p>
        </w:tc>
        <w:tc>
          <w:tcPr>
            <w:tcW w:w="359"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E984F3C">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10</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05C1D32">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①技术负责人达到</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第五章基本要求计2分；</w:t>
            </w:r>
          </w:p>
          <w:p w14:paraId="026968C7">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②具有道路与桥梁工程相关专业正高级工程师职称的，计2分；</w:t>
            </w:r>
          </w:p>
          <w:p w14:paraId="4877C1A4">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③最近5年，每参加1座大桥或特大桥特殊检查的，计0.5分，最多计2分；桥梁分类依据《公路工程技术标准》；</w:t>
            </w:r>
          </w:p>
          <w:p w14:paraId="56EF0A29">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④最近5年，参加部级、省级国省干线</w:t>
            </w:r>
            <w:r>
              <w:rPr>
                <w:rStyle w:val="23"/>
                <w:rFonts w:hint="eastAsia" w:ascii="宋体" w:hAnsi="宋体" w:eastAsia="宋体" w:cs="宋体"/>
                <w:b w:val="0"/>
                <w:sz w:val="21"/>
                <w:szCs w:val="24"/>
                <w:lang w:eastAsia="zh-CN"/>
              </w:rPr>
              <w:t>桥梁</w:t>
            </w:r>
            <w:r>
              <w:rPr>
                <w:rStyle w:val="23"/>
                <w:rFonts w:ascii="宋体" w:hAnsi="宋体" w:eastAsia="宋体" w:cs="宋体"/>
                <w:b w:val="0"/>
                <w:sz w:val="21"/>
                <w:szCs w:val="24"/>
              </w:rPr>
              <w:t>检测（监测）技术服务项目的，每个业绩计1分，最多计4分；</w:t>
            </w:r>
          </w:p>
          <w:p w14:paraId="2D4D7282">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本项最多计10分。</w:t>
            </w:r>
          </w:p>
          <w:p w14:paraId="1DB090D0">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注：最近5年，</w:t>
            </w:r>
            <w:r>
              <w:rPr>
                <w:rStyle w:val="23"/>
                <w:rFonts w:hint="eastAsia" w:ascii="宋体" w:hAnsi="宋体" w:eastAsia="宋体" w:cs="宋体"/>
                <w:b w:val="0"/>
                <w:sz w:val="21"/>
                <w:szCs w:val="24"/>
                <w:lang w:eastAsia="zh-CN"/>
              </w:rPr>
              <w:t>指递交响应文件截止之日前一日回溯5年</w:t>
            </w:r>
            <w:r>
              <w:rPr>
                <w:rStyle w:val="23"/>
                <w:rFonts w:ascii="宋体" w:hAnsi="宋体" w:eastAsia="宋体" w:cs="宋体"/>
                <w:b w:val="0"/>
                <w:sz w:val="21"/>
                <w:szCs w:val="24"/>
              </w:rPr>
              <w:t>，以合同签订时间为准。</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须提供人员职称证书及在本单位</w:t>
            </w:r>
            <w:r>
              <w:rPr>
                <w:rStyle w:val="23"/>
                <w:rFonts w:hint="eastAsia" w:ascii="宋体" w:hAnsi="宋体" w:eastAsia="宋体" w:cs="宋体"/>
                <w:b w:val="0"/>
                <w:sz w:val="21"/>
                <w:szCs w:val="24"/>
                <w:lang w:eastAsia="zh-CN"/>
              </w:rPr>
              <w:t>2026年4月至2026年6月内任意一个月</w:t>
            </w:r>
            <w:r>
              <w:rPr>
                <w:rStyle w:val="23"/>
                <w:rFonts w:ascii="宋体" w:hAnsi="宋体" w:eastAsia="宋体" w:cs="宋体"/>
                <w:b w:val="0"/>
                <w:sz w:val="21"/>
                <w:szCs w:val="24"/>
              </w:rPr>
              <w:t>的社保证明扫描件，项目合同扫描件和完工证明材料或验收文件，同时所有业绩提供甲方项目联系人名字和联系电话。如项目合同扫描件未明确桥梁检测数量、类型和人员，还须另外提供加盖甲方公章的证明材料扫描件来补充说明，否则不计分。</w:t>
            </w:r>
          </w:p>
          <w:p w14:paraId="5A68DDA7">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不得提供虚假业绩，否则取消中标资格并列入不良行为记录。在发布中标结果时，将对中标单位提供所有业绩进行公示，并按规定对存疑业绩进行函询核实。</w:t>
            </w:r>
          </w:p>
        </w:tc>
      </w:tr>
      <w:tr w14:paraId="6043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D74D158">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84023F8">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检查设备</w:t>
            </w:r>
          </w:p>
        </w:tc>
        <w:tc>
          <w:tcPr>
            <w:tcW w:w="359"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73B89AD">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10</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8A3A61A">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①检查设备达到</w:t>
            </w:r>
            <w:r>
              <w:rPr>
                <w:rStyle w:val="23"/>
                <w:rFonts w:hint="eastAsia" w:ascii="宋体" w:hAnsi="宋体" w:eastAsia="宋体" w:cs="宋体"/>
                <w:b w:val="0"/>
                <w:sz w:val="21"/>
                <w:szCs w:val="24"/>
              </w:rPr>
              <w:t>磋商文件第四章</w:t>
            </w:r>
            <w:r>
              <w:rPr>
                <w:rStyle w:val="23"/>
                <w:rFonts w:ascii="宋体" w:hAnsi="宋体" w:eastAsia="宋体" w:cs="宋体"/>
                <w:b w:val="0"/>
                <w:sz w:val="21"/>
                <w:szCs w:val="24"/>
              </w:rPr>
              <w:t>基本要求的，计6分；</w:t>
            </w:r>
          </w:p>
          <w:p w14:paraId="49AADAF7">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②对</w:t>
            </w:r>
            <w:r>
              <w:rPr>
                <w:rStyle w:val="23"/>
                <w:rFonts w:hint="eastAsia" w:ascii="宋体" w:hAnsi="宋体" w:eastAsia="宋体" w:cs="宋体"/>
                <w:b w:val="0"/>
                <w:sz w:val="21"/>
                <w:szCs w:val="24"/>
              </w:rPr>
              <w:t>磋商文件第四章</w:t>
            </w:r>
            <w:r>
              <w:rPr>
                <w:rStyle w:val="23"/>
                <w:rFonts w:ascii="宋体" w:hAnsi="宋体" w:eastAsia="宋体" w:cs="宋体"/>
                <w:b w:val="0"/>
                <w:sz w:val="21"/>
                <w:szCs w:val="24"/>
              </w:rPr>
              <w:t>设备基本要求中备注为“自有或租赁”的设备，每一种设备为自有的，计2分，最多计4分；</w:t>
            </w:r>
          </w:p>
          <w:p w14:paraId="3B1BC2E6">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本项最多计10分。</w:t>
            </w:r>
          </w:p>
          <w:p w14:paraId="2100317E">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注：自有仪器或设备须提供购置合同、购置发票、有效期内的检定证书或标定证书扫描件，桥梁检测车还需提供车辆行驶证扫描件。</w:t>
            </w:r>
          </w:p>
        </w:tc>
      </w:tr>
      <w:tr w14:paraId="013E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F1EA544">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82E184E">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业绩要求</w:t>
            </w:r>
          </w:p>
        </w:tc>
        <w:tc>
          <w:tcPr>
            <w:tcW w:w="359"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E98AB1A">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25</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A24A9C0">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最近5年：</w:t>
            </w:r>
          </w:p>
          <w:p w14:paraId="0FB0CC70">
            <w:pPr>
              <w:pStyle w:val="52"/>
              <w:jc w:val="left"/>
              <w:rPr>
                <w:rStyle w:val="23"/>
                <w:rFonts w:ascii="宋体" w:hAnsi="宋体" w:eastAsia="宋体" w:cs="宋体"/>
                <w:b w:val="0"/>
                <w:sz w:val="21"/>
                <w:szCs w:val="24"/>
                <w:highlight w:val="none"/>
              </w:rPr>
            </w:pPr>
            <w:r>
              <w:rPr>
                <w:rStyle w:val="23"/>
                <w:rFonts w:ascii="宋体" w:hAnsi="宋体" w:eastAsia="宋体" w:cs="宋体"/>
                <w:b w:val="0"/>
                <w:sz w:val="21"/>
                <w:szCs w:val="24"/>
                <w:highlight w:val="none"/>
              </w:rPr>
              <w:t>①完成1座大桥或特大桥特殊检查业绩的，计1分，每增加1座的加1分，最多加</w:t>
            </w:r>
            <w:r>
              <w:rPr>
                <w:rStyle w:val="23"/>
                <w:rFonts w:hint="eastAsia" w:ascii="宋体" w:hAnsi="宋体" w:eastAsia="宋体" w:cs="宋体"/>
                <w:b w:val="0"/>
                <w:sz w:val="21"/>
                <w:szCs w:val="24"/>
                <w:highlight w:val="none"/>
                <w:lang w:val="en-US" w:eastAsia="zh-CN"/>
              </w:rPr>
              <w:t>10</w:t>
            </w:r>
            <w:r>
              <w:rPr>
                <w:rStyle w:val="23"/>
                <w:rFonts w:ascii="宋体" w:hAnsi="宋体" w:eastAsia="宋体" w:cs="宋体"/>
                <w:b w:val="0"/>
                <w:sz w:val="21"/>
                <w:szCs w:val="24"/>
                <w:highlight w:val="none"/>
              </w:rPr>
              <w:t>分；本项最多计</w:t>
            </w:r>
            <w:r>
              <w:rPr>
                <w:rStyle w:val="23"/>
                <w:rFonts w:hint="eastAsia" w:ascii="宋体" w:hAnsi="宋体" w:eastAsia="宋体" w:cs="宋体"/>
                <w:b w:val="0"/>
                <w:sz w:val="21"/>
                <w:szCs w:val="24"/>
                <w:highlight w:val="none"/>
                <w:lang w:val="en-US" w:eastAsia="zh-CN"/>
              </w:rPr>
              <w:t>11</w:t>
            </w:r>
            <w:r>
              <w:rPr>
                <w:rStyle w:val="23"/>
                <w:rFonts w:ascii="宋体" w:hAnsi="宋体" w:eastAsia="宋体" w:cs="宋体"/>
                <w:b w:val="0"/>
                <w:sz w:val="21"/>
                <w:szCs w:val="24"/>
                <w:highlight w:val="none"/>
              </w:rPr>
              <w:t>分；桥梁分类依据《公路工程技术标准》；</w:t>
            </w:r>
          </w:p>
          <w:p w14:paraId="4D0E9440">
            <w:pPr>
              <w:pStyle w:val="52"/>
              <w:jc w:val="left"/>
              <w:rPr>
                <w:rStyle w:val="23"/>
                <w:rFonts w:ascii="宋体" w:hAnsi="宋体" w:eastAsia="宋体" w:cs="宋体"/>
                <w:b w:val="0"/>
                <w:sz w:val="21"/>
                <w:szCs w:val="24"/>
                <w:highlight w:val="none"/>
              </w:rPr>
            </w:pPr>
            <w:r>
              <w:rPr>
                <w:rStyle w:val="23"/>
                <w:rFonts w:ascii="宋体" w:hAnsi="宋体" w:eastAsia="宋体" w:cs="宋体"/>
                <w:b w:val="0"/>
                <w:sz w:val="21"/>
                <w:szCs w:val="24"/>
                <w:highlight w:val="none"/>
              </w:rPr>
              <w:t>②完成1个部级、省级国省干线桥</w:t>
            </w:r>
            <w:r>
              <w:rPr>
                <w:rStyle w:val="23"/>
                <w:rFonts w:hint="eastAsia" w:ascii="宋体" w:hAnsi="宋体" w:eastAsia="宋体" w:cs="宋体"/>
                <w:b w:val="0"/>
                <w:sz w:val="21"/>
                <w:szCs w:val="24"/>
                <w:highlight w:val="none"/>
                <w:lang w:eastAsia="zh-CN"/>
              </w:rPr>
              <w:t>梁</w:t>
            </w:r>
            <w:r>
              <w:rPr>
                <w:rStyle w:val="23"/>
                <w:rFonts w:ascii="宋体" w:hAnsi="宋体" w:eastAsia="宋体" w:cs="宋体"/>
                <w:b w:val="0"/>
                <w:sz w:val="21"/>
                <w:szCs w:val="24"/>
                <w:highlight w:val="none"/>
              </w:rPr>
              <w:t>检测（监测）技术服务项目的，计</w:t>
            </w:r>
            <w:r>
              <w:rPr>
                <w:rStyle w:val="23"/>
                <w:rFonts w:hint="eastAsia" w:ascii="宋体" w:hAnsi="宋体" w:eastAsia="宋体" w:cs="宋体"/>
                <w:b w:val="0"/>
                <w:sz w:val="21"/>
                <w:szCs w:val="24"/>
                <w:highlight w:val="none"/>
                <w:lang w:val="en-US" w:eastAsia="zh-CN"/>
              </w:rPr>
              <w:t>4</w:t>
            </w:r>
            <w:r>
              <w:rPr>
                <w:rStyle w:val="23"/>
                <w:rFonts w:ascii="宋体" w:hAnsi="宋体" w:eastAsia="宋体" w:cs="宋体"/>
                <w:b w:val="0"/>
                <w:sz w:val="21"/>
                <w:szCs w:val="24"/>
                <w:highlight w:val="none"/>
              </w:rPr>
              <w:t>分；每增加一个加</w:t>
            </w:r>
            <w:r>
              <w:rPr>
                <w:rStyle w:val="23"/>
                <w:rFonts w:hint="eastAsia" w:ascii="宋体" w:hAnsi="宋体" w:eastAsia="宋体" w:cs="宋体"/>
                <w:b w:val="0"/>
                <w:sz w:val="21"/>
                <w:szCs w:val="24"/>
                <w:highlight w:val="none"/>
                <w:lang w:val="en-US" w:eastAsia="zh-CN"/>
              </w:rPr>
              <w:t>2</w:t>
            </w:r>
            <w:r>
              <w:rPr>
                <w:rStyle w:val="23"/>
                <w:rFonts w:ascii="宋体" w:hAnsi="宋体" w:eastAsia="宋体" w:cs="宋体"/>
                <w:b w:val="0"/>
                <w:sz w:val="21"/>
                <w:szCs w:val="24"/>
                <w:highlight w:val="none"/>
              </w:rPr>
              <w:t>分，最多加</w:t>
            </w:r>
            <w:r>
              <w:rPr>
                <w:rStyle w:val="23"/>
                <w:rFonts w:hint="eastAsia" w:ascii="宋体" w:hAnsi="宋体" w:eastAsia="宋体" w:cs="宋体"/>
                <w:b w:val="0"/>
                <w:sz w:val="21"/>
                <w:szCs w:val="24"/>
                <w:highlight w:val="none"/>
                <w:lang w:val="en-US" w:eastAsia="zh-CN"/>
              </w:rPr>
              <w:t>6</w:t>
            </w:r>
            <w:r>
              <w:rPr>
                <w:rStyle w:val="23"/>
                <w:rFonts w:ascii="宋体" w:hAnsi="宋体" w:eastAsia="宋体" w:cs="宋体"/>
                <w:b w:val="0"/>
                <w:sz w:val="21"/>
                <w:szCs w:val="24"/>
                <w:highlight w:val="none"/>
              </w:rPr>
              <w:t>分。本项最多计</w:t>
            </w:r>
            <w:r>
              <w:rPr>
                <w:rStyle w:val="23"/>
                <w:rFonts w:hint="eastAsia" w:ascii="宋体" w:hAnsi="宋体" w:eastAsia="宋体" w:cs="宋体"/>
                <w:b w:val="0"/>
                <w:sz w:val="21"/>
                <w:szCs w:val="24"/>
                <w:highlight w:val="none"/>
                <w:lang w:val="en-US" w:eastAsia="zh-CN"/>
              </w:rPr>
              <w:t>10</w:t>
            </w:r>
            <w:r>
              <w:rPr>
                <w:rStyle w:val="23"/>
                <w:rFonts w:ascii="宋体" w:hAnsi="宋体" w:eastAsia="宋体" w:cs="宋体"/>
                <w:b w:val="0"/>
                <w:sz w:val="21"/>
                <w:szCs w:val="24"/>
                <w:highlight w:val="none"/>
              </w:rPr>
              <w:t>分；</w:t>
            </w:r>
          </w:p>
          <w:p w14:paraId="027CD0FC">
            <w:pPr>
              <w:pStyle w:val="52"/>
              <w:jc w:val="left"/>
              <w:rPr>
                <w:rStyle w:val="23"/>
                <w:rFonts w:ascii="宋体" w:hAnsi="宋体" w:eastAsia="宋体" w:cs="宋体"/>
                <w:b w:val="0"/>
                <w:sz w:val="21"/>
                <w:szCs w:val="24"/>
                <w:highlight w:val="yellow"/>
              </w:rPr>
            </w:pPr>
            <w:r>
              <w:rPr>
                <w:rStyle w:val="23"/>
                <w:rFonts w:ascii="宋体" w:hAnsi="宋体" w:eastAsia="宋体" w:cs="宋体"/>
                <w:b w:val="0"/>
                <w:sz w:val="21"/>
                <w:szCs w:val="24"/>
                <w:highlight w:val="none"/>
              </w:rPr>
              <w:t>③完成1个</w:t>
            </w:r>
            <w:r>
              <w:rPr>
                <w:rStyle w:val="23"/>
                <w:rFonts w:hint="eastAsia" w:ascii="宋体" w:hAnsi="宋体" w:eastAsia="宋体" w:cs="宋体"/>
                <w:b w:val="0"/>
                <w:sz w:val="21"/>
                <w:szCs w:val="24"/>
                <w:highlight w:val="none"/>
                <w:lang w:val="en-US" w:eastAsia="zh-CN"/>
              </w:rPr>
              <w:t>公路长大桥梁结构监测</w:t>
            </w:r>
            <w:r>
              <w:rPr>
                <w:rStyle w:val="23"/>
                <w:rFonts w:ascii="宋体" w:hAnsi="宋体" w:eastAsia="宋体" w:cs="宋体"/>
                <w:b w:val="0"/>
                <w:sz w:val="21"/>
                <w:szCs w:val="24"/>
                <w:highlight w:val="none"/>
              </w:rPr>
              <w:t>项目的，计</w:t>
            </w:r>
            <w:r>
              <w:rPr>
                <w:rStyle w:val="23"/>
                <w:rFonts w:hint="eastAsia" w:ascii="宋体" w:hAnsi="宋体" w:eastAsia="宋体" w:cs="宋体"/>
                <w:b w:val="0"/>
                <w:sz w:val="21"/>
                <w:szCs w:val="24"/>
                <w:highlight w:val="none"/>
                <w:lang w:val="en-US" w:eastAsia="zh-CN"/>
              </w:rPr>
              <w:t>2</w:t>
            </w:r>
            <w:r>
              <w:rPr>
                <w:rStyle w:val="23"/>
                <w:rFonts w:ascii="宋体" w:hAnsi="宋体" w:eastAsia="宋体" w:cs="宋体"/>
                <w:b w:val="0"/>
                <w:sz w:val="21"/>
                <w:szCs w:val="24"/>
                <w:highlight w:val="none"/>
              </w:rPr>
              <w:t>分；每增加一个计</w:t>
            </w:r>
            <w:r>
              <w:rPr>
                <w:rStyle w:val="23"/>
                <w:rFonts w:hint="eastAsia" w:ascii="宋体" w:hAnsi="宋体" w:eastAsia="宋体" w:cs="宋体"/>
                <w:b w:val="0"/>
                <w:sz w:val="21"/>
                <w:szCs w:val="24"/>
                <w:highlight w:val="none"/>
                <w:lang w:val="en-US" w:eastAsia="zh-CN"/>
              </w:rPr>
              <w:t>2</w:t>
            </w:r>
            <w:r>
              <w:rPr>
                <w:rStyle w:val="23"/>
                <w:rFonts w:ascii="宋体" w:hAnsi="宋体" w:eastAsia="宋体" w:cs="宋体"/>
                <w:b w:val="0"/>
                <w:sz w:val="21"/>
                <w:szCs w:val="24"/>
                <w:highlight w:val="none"/>
              </w:rPr>
              <w:t>分，最多加</w:t>
            </w:r>
            <w:r>
              <w:rPr>
                <w:rStyle w:val="23"/>
                <w:rFonts w:hint="eastAsia" w:ascii="宋体" w:hAnsi="宋体" w:eastAsia="宋体" w:cs="宋体"/>
                <w:b w:val="0"/>
                <w:sz w:val="21"/>
                <w:szCs w:val="24"/>
                <w:highlight w:val="none"/>
                <w:lang w:val="en-US" w:eastAsia="zh-CN"/>
              </w:rPr>
              <w:t>2</w:t>
            </w:r>
            <w:r>
              <w:rPr>
                <w:rStyle w:val="23"/>
                <w:rFonts w:ascii="宋体" w:hAnsi="宋体" w:eastAsia="宋体" w:cs="宋体"/>
                <w:b w:val="0"/>
                <w:sz w:val="21"/>
                <w:szCs w:val="24"/>
                <w:highlight w:val="none"/>
              </w:rPr>
              <w:t>分。本项最多计</w:t>
            </w:r>
            <w:r>
              <w:rPr>
                <w:rStyle w:val="23"/>
                <w:rFonts w:hint="eastAsia" w:ascii="宋体" w:hAnsi="宋体" w:eastAsia="宋体" w:cs="宋体"/>
                <w:b w:val="0"/>
                <w:sz w:val="21"/>
                <w:szCs w:val="24"/>
                <w:highlight w:val="none"/>
                <w:lang w:val="en-US" w:eastAsia="zh-CN"/>
              </w:rPr>
              <w:t>4</w:t>
            </w:r>
            <w:r>
              <w:rPr>
                <w:rStyle w:val="23"/>
                <w:rFonts w:ascii="宋体" w:hAnsi="宋体" w:eastAsia="宋体" w:cs="宋体"/>
                <w:b w:val="0"/>
                <w:sz w:val="21"/>
                <w:szCs w:val="24"/>
                <w:highlight w:val="none"/>
              </w:rPr>
              <w:t>分；</w:t>
            </w:r>
          </w:p>
          <w:p w14:paraId="7B0A6F58">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注：最近5年，</w:t>
            </w:r>
            <w:r>
              <w:rPr>
                <w:rStyle w:val="23"/>
                <w:rFonts w:hint="eastAsia" w:ascii="宋体" w:hAnsi="宋体" w:eastAsia="宋体" w:cs="宋体"/>
                <w:b w:val="0"/>
                <w:sz w:val="21"/>
                <w:szCs w:val="24"/>
                <w:lang w:eastAsia="zh-CN"/>
              </w:rPr>
              <w:t>指递交响应文件截止之日前一日回溯5年</w:t>
            </w:r>
            <w:r>
              <w:rPr>
                <w:rStyle w:val="23"/>
                <w:rFonts w:ascii="宋体" w:hAnsi="宋体" w:eastAsia="宋体" w:cs="宋体"/>
                <w:b w:val="0"/>
                <w:sz w:val="21"/>
                <w:szCs w:val="24"/>
              </w:rPr>
              <w:t>，以合同签订时间为准。</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须提供加盖</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单位公章的合同扫描件和完工证明材料或验收文件，同时所有业绩提供甲方项目联系人名字和联系电话，如合同扫描件未明确桥梁检测数量、类型的，还须另外提供加盖甲方公章的证明材料扫描件来补充说明，否则不计分。</w:t>
            </w:r>
          </w:p>
          <w:p w14:paraId="3E200215">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不得提供虚假业绩，否则取消中标资格并列入不良行为记录。在发布中标结果时，将对中标单位提供所有业绩进行公示，并按规定对存疑业绩进行函询核实。</w:t>
            </w:r>
          </w:p>
        </w:tc>
      </w:tr>
      <w:tr w14:paraId="7657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A0F6C21">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B4807F2">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综合实力</w:t>
            </w:r>
          </w:p>
        </w:tc>
        <w:tc>
          <w:tcPr>
            <w:tcW w:w="359"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15DA49E">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10</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990B3D4">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①</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具有有效的质量管理体系认证证书、职业健康安全管理体系认证证书、环境管理体系认证证书，每提供一个计</w:t>
            </w:r>
            <w:r>
              <w:rPr>
                <w:rStyle w:val="23"/>
                <w:rFonts w:hint="eastAsia" w:ascii="宋体" w:hAnsi="宋体" w:eastAsia="宋体" w:cs="宋体"/>
                <w:b w:val="0"/>
                <w:sz w:val="21"/>
                <w:szCs w:val="24"/>
                <w:lang w:val="en-US" w:eastAsia="zh-CN"/>
              </w:rPr>
              <w:t>2</w:t>
            </w:r>
            <w:r>
              <w:rPr>
                <w:rStyle w:val="23"/>
                <w:rFonts w:ascii="宋体" w:hAnsi="宋体" w:eastAsia="宋体" w:cs="宋体"/>
                <w:b w:val="0"/>
                <w:sz w:val="21"/>
                <w:szCs w:val="24"/>
              </w:rPr>
              <w:t>分，本项最多计</w:t>
            </w:r>
            <w:r>
              <w:rPr>
                <w:rStyle w:val="23"/>
                <w:rFonts w:hint="eastAsia" w:ascii="宋体" w:hAnsi="宋体" w:eastAsia="宋体" w:cs="宋体"/>
                <w:b w:val="0"/>
                <w:sz w:val="21"/>
                <w:szCs w:val="24"/>
                <w:lang w:val="en-US" w:eastAsia="zh-CN"/>
              </w:rPr>
              <w:t>6</w:t>
            </w:r>
            <w:r>
              <w:rPr>
                <w:rStyle w:val="23"/>
                <w:rFonts w:ascii="宋体" w:hAnsi="宋体" w:eastAsia="宋体" w:cs="宋体"/>
                <w:b w:val="0"/>
                <w:sz w:val="21"/>
                <w:szCs w:val="24"/>
              </w:rPr>
              <w:t>分；（须提供相应证书扫描件以及该证书在全国认证认可信息公共服务平台http://cx.cnca.cn上的查询结果且证书状态为“有效”的网页截图，否则不计分。）</w:t>
            </w:r>
          </w:p>
          <w:p w14:paraId="54EBAD0B">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②最近5年，</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参与编制部省级桥梁相关规范、标准或技术指南的（以正式发布、出版为准），每项计2分，最多计4分；（须提供相关证明材料并加盖</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公章，否则不计分。）</w:t>
            </w:r>
          </w:p>
          <w:p w14:paraId="6A6F122D">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注：最近5年，</w:t>
            </w:r>
            <w:r>
              <w:rPr>
                <w:rStyle w:val="23"/>
                <w:rFonts w:hint="eastAsia" w:ascii="宋体" w:hAnsi="宋体" w:eastAsia="宋体" w:cs="宋体"/>
                <w:b w:val="0"/>
                <w:sz w:val="21"/>
                <w:szCs w:val="24"/>
                <w:lang w:eastAsia="zh-CN"/>
              </w:rPr>
              <w:t>指递交响应文件截止之日前一日回溯5年</w:t>
            </w:r>
            <w:r>
              <w:rPr>
                <w:rStyle w:val="23"/>
                <w:rFonts w:ascii="宋体" w:hAnsi="宋体" w:eastAsia="宋体" w:cs="宋体"/>
                <w:b w:val="0"/>
                <w:sz w:val="21"/>
                <w:szCs w:val="24"/>
              </w:rPr>
              <w:t>。</w:t>
            </w:r>
          </w:p>
          <w:p w14:paraId="5C69982C">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不得提供虚假证明材料，否则取消中标资格并列入不良行为记录。在发布中标结果时，将对中标单位提供的以上资料进行公示，并按规定对存疑内容进行函询核实。</w:t>
            </w:r>
          </w:p>
        </w:tc>
      </w:tr>
      <w:tr w14:paraId="44FC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2DDD5D8">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D741FA5">
            <w:pPr>
              <w:pStyle w:val="52"/>
              <w:jc w:val="center"/>
              <w:rPr>
                <w:rStyle w:val="23"/>
                <w:rFonts w:hint="eastAsia" w:ascii="宋体" w:hAnsi="宋体" w:eastAsia="宋体" w:cs="宋体"/>
                <w:b w:val="0"/>
                <w:sz w:val="21"/>
                <w:szCs w:val="24"/>
                <w:lang w:eastAsia="zh-CN"/>
              </w:rPr>
            </w:pPr>
            <w:r>
              <w:rPr>
                <w:rStyle w:val="23"/>
                <w:rFonts w:ascii="宋体" w:hAnsi="宋体" w:eastAsia="宋体" w:cs="宋体"/>
                <w:b w:val="0"/>
                <w:sz w:val="21"/>
                <w:szCs w:val="24"/>
                <w:highlight w:val="none"/>
              </w:rPr>
              <w:t>信用评价</w:t>
            </w:r>
          </w:p>
        </w:tc>
        <w:tc>
          <w:tcPr>
            <w:tcW w:w="359"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790CED4">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15</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ED175A6">
            <w:pPr>
              <w:pStyle w:val="52"/>
              <w:jc w:val="left"/>
              <w:rPr>
                <w:rStyle w:val="23"/>
                <w:rFonts w:ascii="宋体" w:hAnsi="宋体" w:eastAsia="宋体" w:cs="宋体"/>
                <w:b w:val="0"/>
                <w:color w:val="auto"/>
                <w:sz w:val="21"/>
                <w:szCs w:val="24"/>
              </w:rPr>
            </w:pPr>
            <w:r>
              <w:rPr>
                <w:rStyle w:val="23"/>
                <w:rFonts w:ascii="宋体" w:hAnsi="宋体" w:eastAsia="宋体" w:cs="宋体"/>
                <w:b w:val="0"/>
                <w:color w:val="auto"/>
                <w:sz w:val="21"/>
                <w:szCs w:val="24"/>
              </w:rPr>
              <w:t>根据最近3年信用等级计算得分：</w:t>
            </w:r>
          </w:p>
          <w:p w14:paraId="707642A3">
            <w:pPr>
              <w:pStyle w:val="52"/>
              <w:jc w:val="left"/>
              <w:rPr>
                <w:rStyle w:val="23"/>
                <w:rFonts w:ascii="宋体" w:hAnsi="宋体" w:eastAsia="宋体" w:cs="宋体"/>
                <w:b w:val="0"/>
                <w:color w:val="auto"/>
                <w:sz w:val="21"/>
                <w:szCs w:val="24"/>
              </w:rPr>
            </w:pPr>
            <w:r>
              <w:rPr>
                <w:rStyle w:val="23"/>
                <w:rFonts w:ascii="宋体" w:hAnsi="宋体" w:eastAsia="宋体" w:cs="宋体"/>
                <w:b w:val="0"/>
                <w:color w:val="auto"/>
                <w:sz w:val="21"/>
                <w:szCs w:val="24"/>
              </w:rPr>
              <w:t>1、最近第1年：AA级的计7分，A级计4.5分，B级计2.5分，C、D级不计分；</w:t>
            </w:r>
          </w:p>
          <w:p w14:paraId="2960D602">
            <w:pPr>
              <w:pStyle w:val="52"/>
              <w:jc w:val="left"/>
              <w:rPr>
                <w:rStyle w:val="23"/>
                <w:rFonts w:ascii="宋体" w:hAnsi="宋体" w:eastAsia="宋体" w:cs="宋体"/>
                <w:b w:val="0"/>
                <w:color w:val="auto"/>
                <w:sz w:val="21"/>
                <w:szCs w:val="24"/>
              </w:rPr>
            </w:pPr>
            <w:r>
              <w:rPr>
                <w:rStyle w:val="23"/>
                <w:rFonts w:ascii="宋体" w:hAnsi="宋体" w:eastAsia="宋体" w:cs="宋体"/>
                <w:b w:val="0"/>
                <w:color w:val="auto"/>
                <w:sz w:val="21"/>
                <w:szCs w:val="24"/>
              </w:rPr>
              <w:t>2、最近第2年：AA级的计5分，A级计3.5分，B级计1.5分，C、D级不计分；</w:t>
            </w:r>
          </w:p>
          <w:p w14:paraId="68443892">
            <w:pPr>
              <w:pStyle w:val="52"/>
              <w:jc w:val="left"/>
              <w:rPr>
                <w:rStyle w:val="23"/>
                <w:rFonts w:ascii="宋体" w:hAnsi="宋体" w:eastAsia="宋体" w:cs="宋体"/>
                <w:b w:val="0"/>
                <w:color w:val="auto"/>
                <w:sz w:val="21"/>
                <w:szCs w:val="24"/>
              </w:rPr>
            </w:pPr>
            <w:r>
              <w:rPr>
                <w:rStyle w:val="23"/>
                <w:rFonts w:ascii="宋体" w:hAnsi="宋体" w:eastAsia="宋体" w:cs="宋体"/>
                <w:b w:val="0"/>
                <w:color w:val="auto"/>
                <w:sz w:val="21"/>
                <w:szCs w:val="24"/>
              </w:rPr>
              <w:t>3、最近第3年：AA级的计3分，A级计2分，B级计1分，C、D级不计分；</w:t>
            </w:r>
          </w:p>
          <w:p w14:paraId="17475C91">
            <w:pPr>
              <w:pStyle w:val="52"/>
              <w:jc w:val="left"/>
              <w:rPr>
                <w:rStyle w:val="23"/>
                <w:rFonts w:ascii="宋体" w:hAnsi="宋体" w:eastAsia="宋体" w:cs="宋体"/>
                <w:b w:val="0"/>
                <w:color w:val="auto"/>
                <w:sz w:val="21"/>
                <w:szCs w:val="24"/>
              </w:rPr>
            </w:pPr>
            <w:r>
              <w:rPr>
                <w:rStyle w:val="23"/>
                <w:rFonts w:ascii="宋体" w:hAnsi="宋体" w:eastAsia="宋体" w:cs="宋体"/>
                <w:b w:val="0"/>
                <w:color w:val="auto"/>
                <w:sz w:val="21"/>
                <w:szCs w:val="24"/>
              </w:rPr>
              <w:t>以上三项相加最多计15分。</w:t>
            </w:r>
          </w:p>
          <w:p w14:paraId="6BE4A5C1">
            <w:pPr>
              <w:pStyle w:val="52"/>
              <w:jc w:val="left"/>
              <w:rPr>
                <w:rStyle w:val="23"/>
                <w:rFonts w:ascii="宋体" w:hAnsi="宋体" w:eastAsia="宋体" w:cs="宋体"/>
                <w:b w:val="0"/>
                <w:color w:val="auto"/>
                <w:sz w:val="21"/>
                <w:szCs w:val="24"/>
              </w:rPr>
            </w:pPr>
            <w:r>
              <w:rPr>
                <w:rStyle w:val="23"/>
                <w:rFonts w:ascii="宋体" w:hAnsi="宋体" w:eastAsia="宋体" w:cs="宋体"/>
                <w:b w:val="0"/>
                <w:color w:val="auto"/>
                <w:sz w:val="21"/>
                <w:szCs w:val="24"/>
              </w:rPr>
              <w:t>注：（1）信用等级以省级交通运输主管部门发布的公路养护从业单位信用评价结果为准，企业信用加分分值按近3年发布的省级公路养护从业单位信用评价结果进行权值分配，按照全国统一大市场部署要求，当年我省本行业有信用评价结果的，以湖南省交通运输厅发布的养护信用评价结果为准，如当年在湖南省本行业没有信用评价结果的，省级及以上的养护信用评价结果(包括国家和外省)实行全国互认，若省外发布的信用评价结果中也无信用评价等级的，其当年的信用评价得分按0分计。</w:t>
            </w:r>
          </w:p>
          <w:p w14:paraId="3919E76A">
            <w:pPr>
              <w:pStyle w:val="52"/>
              <w:jc w:val="left"/>
              <w:rPr>
                <w:rStyle w:val="23"/>
                <w:rFonts w:ascii="宋体" w:hAnsi="宋体" w:eastAsia="宋体" w:cs="宋体"/>
                <w:b w:val="0"/>
                <w:color w:val="auto"/>
                <w:sz w:val="21"/>
                <w:szCs w:val="24"/>
              </w:rPr>
            </w:pPr>
            <w:r>
              <w:rPr>
                <w:rStyle w:val="23"/>
                <w:rFonts w:ascii="宋体" w:hAnsi="宋体" w:eastAsia="宋体" w:cs="宋体"/>
                <w:b w:val="0"/>
                <w:color w:val="auto"/>
                <w:sz w:val="21"/>
                <w:szCs w:val="24"/>
              </w:rPr>
              <w:t>（2）最近第一年(若202</w:t>
            </w:r>
            <w:r>
              <w:rPr>
                <w:rStyle w:val="23"/>
                <w:rFonts w:hint="eastAsia" w:ascii="宋体" w:hAnsi="宋体" w:eastAsia="宋体" w:cs="宋体"/>
                <w:b w:val="0"/>
                <w:color w:val="auto"/>
                <w:sz w:val="21"/>
                <w:szCs w:val="24"/>
                <w:lang w:val="en-US" w:eastAsia="zh-CN"/>
              </w:rPr>
              <w:t>5</w:t>
            </w:r>
            <w:r>
              <w:rPr>
                <w:rStyle w:val="23"/>
                <w:rFonts w:ascii="宋体" w:hAnsi="宋体" w:eastAsia="宋体" w:cs="宋体"/>
                <w:b w:val="0"/>
                <w:color w:val="auto"/>
                <w:sz w:val="21"/>
                <w:szCs w:val="24"/>
              </w:rPr>
              <w:t>年省级养护信用评价结果尚未发布的，可采用202</w:t>
            </w:r>
            <w:r>
              <w:rPr>
                <w:rStyle w:val="23"/>
                <w:rFonts w:hint="eastAsia" w:ascii="宋体" w:hAnsi="宋体" w:eastAsia="宋体" w:cs="宋体"/>
                <w:b w:val="0"/>
                <w:color w:val="auto"/>
                <w:sz w:val="21"/>
                <w:szCs w:val="24"/>
                <w:lang w:val="en-US" w:eastAsia="zh-CN"/>
              </w:rPr>
              <w:t>2</w:t>
            </w:r>
            <w:r>
              <w:rPr>
                <w:rStyle w:val="23"/>
                <w:rFonts w:ascii="宋体" w:hAnsi="宋体" w:eastAsia="宋体" w:cs="宋体"/>
                <w:b w:val="0"/>
                <w:color w:val="auto"/>
                <w:sz w:val="21"/>
                <w:szCs w:val="24"/>
              </w:rPr>
              <w:t>-202</w:t>
            </w:r>
            <w:r>
              <w:rPr>
                <w:rStyle w:val="23"/>
                <w:rFonts w:hint="eastAsia" w:ascii="宋体" w:hAnsi="宋体" w:eastAsia="宋体" w:cs="宋体"/>
                <w:b w:val="0"/>
                <w:color w:val="auto"/>
                <w:sz w:val="21"/>
                <w:szCs w:val="24"/>
                <w:lang w:val="en-US" w:eastAsia="zh-CN"/>
              </w:rPr>
              <w:t>4</w:t>
            </w:r>
            <w:r>
              <w:rPr>
                <w:rStyle w:val="23"/>
                <w:rFonts w:ascii="宋体" w:hAnsi="宋体" w:eastAsia="宋体" w:cs="宋体"/>
                <w:b w:val="0"/>
                <w:color w:val="auto"/>
                <w:sz w:val="21"/>
                <w:szCs w:val="24"/>
              </w:rPr>
              <w:t>年信用评价结果）的信用等级评价结果以</w:t>
            </w:r>
            <w:r>
              <w:rPr>
                <w:rStyle w:val="23"/>
                <w:rFonts w:hint="eastAsia" w:ascii="宋体" w:hAnsi="宋体" w:eastAsia="宋体" w:cs="宋体"/>
                <w:b w:val="0"/>
                <w:color w:val="auto"/>
                <w:sz w:val="21"/>
                <w:szCs w:val="24"/>
                <w:lang w:val="en-US" w:eastAsia="zh-CN"/>
              </w:rPr>
              <w:t>响应</w:t>
            </w:r>
            <w:r>
              <w:rPr>
                <w:rStyle w:val="23"/>
                <w:rFonts w:ascii="宋体" w:hAnsi="宋体" w:eastAsia="宋体" w:cs="宋体"/>
                <w:b w:val="0"/>
                <w:color w:val="auto"/>
                <w:sz w:val="21"/>
                <w:szCs w:val="24"/>
              </w:rPr>
              <w:t>文件递交截止之日前最新发布的文件结果为准；</w:t>
            </w:r>
            <w:r>
              <w:rPr>
                <w:rStyle w:val="23"/>
                <w:rFonts w:hint="eastAsia" w:ascii="宋体" w:hAnsi="宋体" w:eastAsia="宋体" w:cs="宋体"/>
                <w:b w:val="0"/>
                <w:color w:val="auto"/>
                <w:sz w:val="21"/>
                <w:szCs w:val="24"/>
              </w:rPr>
              <w:t>若发布的最近第一年的信用等级和</w:t>
            </w:r>
            <w:r>
              <w:rPr>
                <w:rStyle w:val="23"/>
                <w:rFonts w:hint="eastAsia" w:ascii="宋体" w:hAnsi="宋体" w:eastAsia="宋体" w:cs="宋体"/>
                <w:b w:val="0"/>
                <w:color w:val="auto"/>
                <w:sz w:val="21"/>
                <w:szCs w:val="24"/>
                <w:lang w:eastAsia="zh-CN"/>
              </w:rPr>
              <w:t>供应商</w:t>
            </w:r>
            <w:r>
              <w:rPr>
                <w:rStyle w:val="23"/>
                <w:rFonts w:hint="eastAsia" w:ascii="宋体" w:hAnsi="宋体" w:eastAsia="宋体" w:cs="宋体"/>
                <w:b w:val="0"/>
                <w:color w:val="auto"/>
                <w:sz w:val="21"/>
                <w:szCs w:val="24"/>
              </w:rPr>
              <w:t>填报的最近第一年的信用等级不一致时，以最新发布的信用评价文件为准。</w:t>
            </w:r>
          </w:p>
          <w:p w14:paraId="003EEFCA">
            <w:pPr>
              <w:pStyle w:val="52"/>
              <w:jc w:val="left"/>
              <w:rPr>
                <w:rStyle w:val="23"/>
                <w:rFonts w:ascii="宋体" w:hAnsi="宋体" w:eastAsia="宋体" w:cs="宋体"/>
                <w:b w:val="0"/>
                <w:sz w:val="21"/>
                <w:szCs w:val="24"/>
              </w:rPr>
            </w:pPr>
            <w:r>
              <w:rPr>
                <w:rStyle w:val="23"/>
                <w:rFonts w:ascii="宋体" w:hAnsi="宋体" w:eastAsia="宋体" w:cs="宋体"/>
                <w:b w:val="0"/>
                <w:color w:val="auto"/>
                <w:sz w:val="21"/>
                <w:szCs w:val="24"/>
              </w:rPr>
              <w:t>(3)</w:t>
            </w:r>
            <w:r>
              <w:rPr>
                <w:rStyle w:val="23"/>
                <w:rFonts w:hint="eastAsia" w:ascii="宋体" w:hAnsi="宋体" w:eastAsia="宋体" w:cs="宋体"/>
                <w:b w:val="0"/>
                <w:color w:val="auto"/>
                <w:sz w:val="21"/>
                <w:szCs w:val="24"/>
                <w:lang w:eastAsia="zh-CN"/>
              </w:rPr>
              <w:t>供应商</w:t>
            </w:r>
            <w:r>
              <w:rPr>
                <w:rStyle w:val="23"/>
                <w:rFonts w:ascii="宋体" w:hAnsi="宋体" w:eastAsia="宋体" w:cs="宋体"/>
                <w:b w:val="0"/>
                <w:color w:val="auto"/>
                <w:sz w:val="21"/>
                <w:szCs w:val="24"/>
              </w:rPr>
              <w:t>须提供清晰的系统查询结果全屏截图，截图内容须完整体现查询内容、查询日期和查询网址；若未提供或提供不清晰导致无法辨认的截图，则不计分；隐瞒信用等级及信用等级造假的，经核实后视为无效</w:t>
            </w:r>
            <w:r>
              <w:rPr>
                <w:rStyle w:val="23"/>
                <w:rFonts w:hint="eastAsia" w:ascii="宋体" w:hAnsi="宋体" w:eastAsia="宋体" w:cs="宋体"/>
                <w:b w:val="0"/>
                <w:color w:val="auto"/>
                <w:sz w:val="21"/>
                <w:szCs w:val="24"/>
                <w:lang w:eastAsia="zh-CN"/>
              </w:rPr>
              <w:t>响应</w:t>
            </w:r>
            <w:r>
              <w:rPr>
                <w:rStyle w:val="23"/>
                <w:rFonts w:ascii="宋体" w:hAnsi="宋体" w:eastAsia="宋体" w:cs="宋体"/>
                <w:b w:val="0"/>
                <w:color w:val="auto"/>
                <w:sz w:val="21"/>
                <w:szCs w:val="24"/>
              </w:rPr>
              <w:t>。</w:t>
            </w:r>
          </w:p>
        </w:tc>
      </w:tr>
      <w:tr w14:paraId="5873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065E042">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价格部分</w:t>
            </w:r>
          </w:p>
          <w:p w14:paraId="25A82FF6">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(F3)</w:t>
            </w: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E3DE899">
            <w:pPr>
              <w:pStyle w:val="52"/>
              <w:jc w:val="center"/>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响应</w:t>
            </w:r>
            <w:r>
              <w:rPr>
                <w:rStyle w:val="23"/>
                <w:rFonts w:ascii="宋体" w:hAnsi="宋体" w:eastAsia="宋体" w:cs="宋体"/>
                <w:b w:val="0"/>
                <w:sz w:val="21"/>
                <w:szCs w:val="24"/>
              </w:rPr>
              <w:t>报价</w:t>
            </w:r>
          </w:p>
        </w:tc>
        <w:tc>
          <w:tcPr>
            <w:tcW w:w="359"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085F3FC">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100</w:t>
            </w:r>
          </w:p>
        </w:tc>
        <w:tc>
          <w:tcPr>
            <w:tcW w:w="676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808EF71">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1、</w:t>
            </w:r>
            <w:r>
              <w:rPr>
                <w:rStyle w:val="23"/>
                <w:rFonts w:hint="eastAsia" w:ascii="宋体" w:hAnsi="宋体" w:eastAsia="宋体" w:cs="宋体"/>
                <w:b w:val="0"/>
                <w:sz w:val="21"/>
                <w:szCs w:val="24"/>
                <w:lang w:eastAsia="zh-CN"/>
              </w:rPr>
              <w:t>响应</w:t>
            </w:r>
            <w:r>
              <w:rPr>
                <w:rStyle w:val="23"/>
                <w:rFonts w:ascii="宋体" w:hAnsi="宋体" w:eastAsia="宋体" w:cs="宋体"/>
                <w:b w:val="0"/>
                <w:sz w:val="21"/>
                <w:szCs w:val="24"/>
              </w:rPr>
              <w:t>报价调整（扶持中小企业发展优惠政策、监狱企业、残疾人福利性单位优惠政策）。本项目的具体扣除比例详见第四章。</w:t>
            </w:r>
          </w:p>
          <w:p w14:paraId="23F36778">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2、满足</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要求且</w:t>
            </w:r>
            <w:r>
              <w:rPr>
                <w:rStyle w:val="23"/>
                <w:rFonts w:hint="eastAsia" w:ascii="宋体" w:hAnsi="宋体" w:eastAsia="宋体" w:cs="宋体"/>
                <w:b w:val="0"/>
                <w:sz w:val="21"/>
                <w:szCs w:val="24"/>
                <w:lang w:eastAsia="zh-CN"/>
              </w:rPr>
              <w:t>响应</w:t>
            </w:r>
            <w:r>
              <w:rPr>
                <w:rStyle w:val="23"/>
                <w:rFonts w:ascii="宋体" w:hAnsi="宋体" w:eastAsia="宋体" w:cs="宋体"/>
                <w:b w:val="0"/>
                <w:sz w:val="21"/>
                <w:szCs w:val="24"/>
              </w:rPr>
              <w:t>报价中最低的</w:t>
            </w:r>
            <w:r>
              <w:rPr>
                <w:rStyle w:val="23"/>
                <w:rFonts w:hint="eastAsia" w:ascii="宋体" w:hAnsi="宋体" w:eastAsia="宋体" w:cs="宋体"/>
                <w:b w:val="0"/>
                <w:sz w:val="21"/>
                <w:szCs w:val="24"/>
                <w:lang w:eastAsia="zh-CN"/>
              </w:rPr>
              <w:t>响应</w:t>
            </w:r>
            <w:r>
              <w:rPr>
                <w:rStyle w:val="23"/>
                <w:rFonts w:ascii="宋体" w:hAnsi="宋体" w:eastAsia="宋体" w:cs="宋体"/>
                <w:b w:val="0"/>
                <w:sz w:val="21"/>
                <w:szCs w:val="24"/>
              </w:rPr>
              <w:t>报价为评标基准价其价格分为满分；其他</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的价格分统一按照以下公式计算：</w:t>
            </w:r>
          </w:p>
          <w:p w14:paraId="11A82852">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响应</w:t>
            </w:r>
            <w:r>
              <w:rPr>
                <w:rStyle w:val="23"/>
                <w:rFonts w:ascii="宋体" w:hAnsi="宋体" w:eastAsia="宋体" w:cs="宋体"/>
                <w:b w:val="0"/>
                <w:sz w:val="21"/>
                <w:szCs w:val="24"/>
              </w:rPr>
              <w:t>报价得分=（评标基准价/</w:t>
            </w:r>
            <w:r>
              <w:rPr>
                <w:rStyle w:val="23"/>
                <w:rFonts w:hint="eastAsia" w:ascii="宋体" w:hAnsi="宋体" w:eastAsia="宋体" w:cs="宋体"/>
                <w:b w:val="0"/>
                <w:sz w:val="21"/>
                <w:szCs w:val="24"/>
                <w:lang w:eastAsia="zh-CN"/>
              </w:rPr>
              <w:t>响应</w:t>
            </w:r>
            <w:r>
              <w:rPr>
                <w:rStyle w:val="23"/>
                <w:rFonts w:ascii="宋体" w:hAnsi="宋体" w:eastAsia="宋体" w:cs="宋体"/>
                <w:b w:val="0"/>
                <w:sz w:val="21"/>
                <w:szCs w:val="24"/>
              </w:rPr>
              <w:t>报价）×价格权值×100</w:t>
            </w:r>
          </w:p>
          <w:p w14:paraId="5008A534">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3、根据财政部第87号令第六十条规定，评标委员会认为</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的报价明显低于其他通过符合性审查</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的报价（“明显低于”可参照项目</w:t>
            </w:r>
            <w:r>
              <w:rPr>
                <w:rStyle w:val="23"/>
                <w:rFonts w:ascii="宋体" w:hAnsi="宋体" w:eastAsia="宋体" w:cs="宋体"/>
                <w:b w:val="0"/>
                <w:sz w:val="21"/>
                <w:szCs w:val="24"/>
                <w:shd w:val="clear" w:color="auto" w:fill="auto"/>
              </w:rPr>
              <w:t>采购预算的90%）</w:t>
            </w:r>
            <w:r>
              <w:rPr>
                <w:rStyle w:val="23"/>
                <w:rFonts w:ascii="宋体" w:hAnsi="宋体" w:eastAsia="宋体" w:cs="宋体"/>
                <w:b w:val="0"/>
                <w:sz w:val="21"/>
                <w:szCs w:val="24"/>
              </w:rPr>
              <w:t>，有可能影响产品质量或者不能诚信履约的，应当要求</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在评标现场合理时间内提供成本测算表；</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在规定的时间内不能出具详细的成本测算表或不能证明其报价合理性的，作为无效</w:t>
            </w:r>
            <w:r>
              <w:rPr>
                <w:rStyle w:val="23"/>
                <w:rFonts w:hint="eastAsia" w:ascii="宋体" w:hAnsi="宋体" w:eastAsia="宋体" w:cs="宋体"/>
                <w:b w:val="0"/>
                <w:sz w:val="21"/>
                <w:szCs w:val="24"/>
                <w:lang w:eastAsia="zh-CN"/>
              </w:rPr>
              <w:t>响应</w:t>
            </w:r>
            <w:r>
              <w:rPr>
                <w:rStyle w:val="23"/>
                <w:rFonts w:ascii="宋体" w:hAnsi="宋体" w:eastAsia="宋体" w:cs="宋体"/>
                <w:b w:val="0"/>
                <w:sz w:val="21"/>
                <w:szCs w:val="24"/>
              </w:rPr>
              <w:t>处理。</w:t>
            </w:r>
          </w:p>
        </w:tc>
      </w:tr>
    </w:tbl>
    <w:p w14:paraId="3C6C5755">
      <w:pPr>
        <w:jc w:val="center"/>
        <w:rPr>
          <w:rFonts w:hint="default" w:ascii="宋体" w:hAnsi="宋体"/>
          <w:b/>
          <w:color w:val="auto"/>
          <w:sz w:val="28"/>
          <w:szCs w:val="28"/>
          <w:highlight w:val="none"/>
          <w:lang w:val="en-US" w:eastAsia="zh-CN"/>
        </w:rPr>
      </w:pP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
        <w:gridCol w:w="1010"/>
        <w:gridCol w:w="402"/>
        <w:gridCol w:w="6717"/>
      </w:tblGrid>
      <w:tr w14:paraId="292E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4687421">
            <w:pPr>
              <w:pStyle w:val="53"/>
              <w:jc w:val="center"/>
              <w:rPr>
                <w:rStyle w:val="23"/>
                <w:rFonts w:ascii="宋体" w:hAnsi="宋体" w:eastAsia="宋体" w:cs="宋体"/>
                <w:b w:val="0"/>
                <w:sz w:val="21"/>
                <w:szCs w:val="24"/>
              </w:rPr>
            </w:pPr>
            <w:r>
              <w:rPr>
                <w:rStyle w:val="23"/>
                <w:rFonts w:ascii="宋体" w:hAnsi="宋体" w:eastAsia="宋体" w:cs="宋体"/>
                <w:b w:val="0"/>
                <w:sz w:val="21"/>
                <w:szCs w:val="24"/>
              </w:rPr>
              <w:t>综合评分法</w:t>
            </w:r>
          </w:p>
        </w:tc>
      </w:tr>
      <w:tr w14:paraId="18A7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gridSpan w:val="3"/>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1E098BE">
            <w:pPr>
              <w:pStyle w:val="53"/>
              <w:jc w:val="center"/>
              <w:rPr>
                <w:rStyle w:val="23"/>
                <w:rFonts w:ascii="宋体" w:hAnsi="宋体" w:eastAsia="宋体" w:cs="宋体"/>
                <w:b/>
                <w:sz w:val="21"/>
                <w:szCs w:val="24"/>
              </w:rPr>
            </w:pPr>
            <w:r>
              <w:rPr>
                <w:rStyle w:val="23"/>
                <w:rFonts w:ascii="宋体" w:hAnsi="宋体" w:eastAsia="宋体" w:cs="宋体"/>
                <w:b/>
                <w:sz w:val="21"/>
                <w:szCs w:val="24"/>
              </w:rPr>
              <w:t>适用范围</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DE4821E">
            <w:pPr>
              <w:pStyle w:val="53"/>
              <w:jc w:val="center"/>
              <w:rPr>
                <w:rStyle w:val="23"/>
                <w:rFonts w:hint="default" w:ascii="宋体" w:hAnsi="宋体" w:eastAsia="宋体" w:cs="宋体"/>
                <w:b w:val="0"/>
                <w:sz w:val="21"/>
                <w:szCs w:val="24"/>
                <w:lang w:val="en-US" w:eastAsia="zh-CN"/>
              </w:rPr>
            </w:pPr>
            <w:r>
              <w:rPr>
                <w:rStyle w:val="23"/>
                <w:rFonts w:hint="eastAsia" w:ascii="宋体" w:hAnsi="宋体" w:eastAsia="宋体" w:cs="宋体"/>
                <w:b w:val="0"/>
                <w:sz w:val="21"/>
                <w:szCs w:val="24"/>
                <w:lang w:val="en-US" w:eastAsia="zh-CN"/>
              </w:rPr>
              <w:t>包2、包3</w:t>
            </w:r>
          </w:p>
        </w:tc>
      </w:tr>
      <w:tr w14:paraId="4E5C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7E213F5">
            <w:pPr>
              <w:pStyle w:val="53"/>
              <w:jc w:val="center"/>
              <w:rPr>
                <w:rStyle w:val="23"/>
                <w:rFonts w:ascii="宋体" w:hAnsi="宋体" w:eastAsia="宋体" w:cs="宋体"/>
                <w:b w:val="0"/>
                <w:sz w:val="21"/>
                <w:szCs w:val="24"/>
              </w:rPr>
            </w:pPr>
            <w:r>
              <w:rPr>
                <w:rStyle w:val="23"/>
                <w:rFonts w:ascii="宋体" w:hAnsi="宋体" w:eastAsia="宋体" w:cs="宋体"/>
                <w:b w:val="0"/>
                <w:sz w:val="21"/>
                <w:szCs w:val="24"/>
              </w:rPr>
              <w:t>评审因素及权值</w:t>
            </w:r>
          </w:p>
        </w:tc>
      </w:tr>
      <w:tr w14:paraId="7A67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gridSpan w:val="3"/>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86A88ED">
            <w:pPr>
              <w:pStyle w:val="53"/>
              <w:jc w:val="center"/>
              <w:rPr>
                <w:rStyle w:val="23"/>
                <w:rFonts w:ascii="宋体" w:hAnsi="宋体" w:eastAsia="宋体" w:cs="宋体"/>
                <w:b/>
                <w:sz w:val="21"/>
                <w:szCs w:val="24"/>
              </w:rPr>
            </w:pPr>
            <w:r>
              <w:rPr>
                <w:rStyle w:val="23"/>
                <w:rFonts w:ascii="宋体" w:hAnsi="宋体" w:eastAsia="宋体" w:cs="宋体"/>
                <w:b/>
                <w:sz w:val="21"/>
                <w:szCs w:val="24"/>
              </w:rPr>
              <w:t>评审因素</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1310727">
            <w:pPr>
              <w:pStyle w:val="53"/>
              <w:jc w:val="center"/>
              <w:rPr>
                <w:rStyle w:val="23"/>
                <w:rFonts w:ascii="宋体" w:hAnsi="宋体" w:eastAsia="宋体" w:cs="宋体"/>
                <w:b/>
                <w:sz w:val="21"/>
                <w:szCs w:val="24"/>
              </w:rPr>
            </w:pPr>
            <w:r>
              <w:rPr>
                <w:rStyle w:val="23"/>
                <w:rFonts w:ascii="宋体" w:hAnsi="宋体" w:eastAsia="宋体" w:cs="宋体"/>
                <w:b/>
                <w:sz w:val="21"/>
                <w:szCs w:val="24"/>
              </w:rPr>
              <w:t>权值范围</w:t>
            </w:r>
          </w:p>
        </w:tc>
      </w:tr>
      <w:tr w14:paraId="7417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gridSpan w:val="3"/>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35ECF81">
            <w:pPr>
              <w:pStyle w:val="53"/>
              <w:jc w:val="center"/>
              <w:rPr>
                <w:rStyle w:val="23"/>
                <w:rFonts w:ascii="宋体" w:hAnsi="宋体" w:eastAsia="宋体" w:cs="宋体"/>
                <w:b w:val="0"/>
                <w:sz w:val="21"/>
                <w:szCs w:val="24"/>
              </w:rPr>
            </w:pPr>
            <w:r>
              <w:rPr>
                <w:rStyle w:val="23"/>
                <w:rFonts w:ascii="宋体" w:hAnsi="宋体" w:eastAsia="宋体" w:cs="宋体"/>
                <w:b w:val="0"/>
                <w:sz w:val="21"/>
                <w:szCs w:val="24"/>
              </w:rPr>
              <w:t>技术部分</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7343204">
            <w:pPr>
              <w:pStyle w:val="53"/>
              <w:jc w:val="center"/>
              <w:rPr>
                <w:rStyle w:val="23"/>
                <w:rFonts w:ascii="宋体" w:hAnsi="宋体" w:eastAsia="宋体" w:cs="宋体"/>
                <w:b w:val="0"/>
                <w:sz w:val="21"/>
                <w:szCs w:val="24"/>
              </w:rPr>
            </w:pPr>
            <w:r>
              <w:rPr>
                <w:rStyle w:val="23"/>
                <w:rFonts w:ascii="宋体" w:hAnsi="宋体" w:eastAsia="宋体" w:cs="宋体"/>
                <w:b w:val="0"/>
                <w:sz w:val="21"/>
                <w:szCs w:val="24"/>
              </w:rPr>
              <w:t>0.3</w:t>
            </w:r>
          </w:p>
        </w:tc>
      </w:tr>
      <w:tr w14:paraId="4E43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gridSpan w:val="3"/>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24DA9D3">
            <w:pPr>
              <w:pStyle w:val="53"/>
              <w:jc w:val="center"/>
              <w:rPr>
                <w:rStyle w:val="23"/>
                <w:rFonts w:ascii="宋体" w:hAnsi="宋体" w:eastAsia="宋体" w:cs="宋体"/>
                <w:b w:val="0"/>
                <w:sz w:val="21"/>
                <w:szCs w:val="24"/>
              </w:rPr>
            </w:pPr>
            <w:r>
              <w:rPr>
                <w:rStyle w:val="23"/>
                <w:rFonts w:ascii="宋体" w:hAnsi="宋体" w:eastAsia="宋体" w:cs="宋体"/>
                <w:b w:val="0"/>
                <w:sz w:val="21"/>
                <w:szCs w:val="24"/>
              </w:rPr>
              <w:t>商务部分</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FBBB934">
            <w:pPr>
              <w:pStyle w:val="53"/>
              <w:jc w:val="center"/>
              <w:rPr>
                <w:rStyle w:val="23"/>
                <w:rFonts w:ascii="宋体" w:hAnsi="宋体" w:eastAsia="宋体" w:cs="宋体"/>
                <w:b w:val="0"/>
                <w:sz w:val="21"/>
                <w:szCs w:val="24"/>
              </w:rPr>
            </w:pPr>
            <w:r>
              <w:rPr>
                <w:rStyle w:val="23"/>
                <w:rFonts w:ascii="宋体" w:hAnsi="宋体" w:eastAsia="宋体" w:cs="宋体"/>
                <w:b w:val="0"/>
                <w:sz w:val="21"/>
                <w:szCs w:val="24"/>
              </w:rPr>
              <w:t>0.6</w:t>
            </w:r>
          </w:p>
        </w:tc>
      </w:tr>
      <w:tr w14:paraId="16E6D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gridSpan w:val="3"/>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913D1F5">
            <w:pPr>
              <w:pStyle w:val="53"/>
              <w:jc w:val="center"/>
              <w:rPr>
                <w:rStyle w:val="23"/>
                <w:rFonts w:ascii="宋体" w:hAnsi="宋体" w:eastAsia="宋体" w:cs="宋体"/>
                <w:b w:val="0"/>
                <w:sz w:val="21"/>
                <w:szCs w:val="24"/>
              </w:rPr>
            </w:pPr>
            <w:r>
              <w:rPr>
                <w:rStyle w:val="23"/>
                <w:rFonts w:ascii="宋体" w:hAnsi="宋体" w:eastAsia="宋体" w:cs="宋体"/>
                <w:b w:val="0"/>
                <w:sz w:val="21"/>
                <w:szCs w:val="24"/>
              </w:rPr>
              <w:t>价格部分</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D7697DE">
            <w:pPr>
              <w:pStyle w:val="53"/>
              <w:jc w:val="center"/>
              <w:rPr>
                <w:rStyle w:val="23"/>
                <w:rFonts w:ascii="宋体" w:hAnsi="宋体" w:eastAsia="宋体" w:cs="宋体"/>
                <w:b w:val="0"/>
                <w:sz w:val="21"/>
                <w:szCs w:val="24"/>
              </w:rPr>
            </w:pPr>
            <w:r>
              <w:rPr>
                <w:rStyle w:val="23"/>
                <w:rFonts w:ascii="宋体" w:hAnsi="宋体" w:eastAsia="宋体" w:cs="宋体"/>
                <w:b w:val="0"/>
                <w:sz w:val="21"/>
                <w:szCs w:val="24"/>
              </w:rPr>
              <w:t>0.1</w:t>
            </w:r>
          </w:p>
        </w:tc>
      </w:tr>
      <w:tr w14:paraId="4DA6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1D60352">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综合评分表</w:t>
            </w:r>
          </w:p>
        </w:tc>
      </w:tr>
      <w:tr w14:paraId="42235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F06CF2A">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评审因素</w:t>
            </w: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3625061">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计分因素</w:t>
            </w:r>
          </w:p>
        </w:tc>
        <w:tc>
          <w:tcPr>
            <w:tcW w:w="40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1B05B66">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分值</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D9E7767">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计分标准</w:t>
            </w:r>
          </w:p>
        </w:tc>
      </w:tr>
      <w:tr w14:paraId="071E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restart"/>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CFB1694">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技术部分</w:t>
            </w: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DA7F01F">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整体服务方案</w:t>
            </w:r>
          </w:p>
        </w:tc>
        <w:tc>
          <w:tcPr>
            <w:tcW w:w="40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6484072">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20</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84ECB5F">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提供整体服务方案，内容包括：①工作目标②主要任务分析③检测范围④组织实施计划。整体服务方案内容完整、目标和主要任务明确清晰、检测范围全面、组织措施合理的，计20分；有缺漏项的每项扣5分，每有一处内容存在错误或缺陷的，扣2.5分，扣完为止；未提供的不计分。</w:t>
            </w:r>
          </w:p>
          <w:p w14:paraId="7AC8E89D">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152D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743A827">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9C5838A">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项目的特点及关键性技术问题的对策措施</w:t>
            </w:r>
          </w:p>
        </w:tc>
        <w:tc>
          <w:tcPr>
            <w:tcW w:w="40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07C48CA">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15</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AC88A76">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提供项目特点及关键性技术问题对策措施，内容包括：①项目的特点分析②项目重点和难点分析③对策措施。项目特点分析全面深入，重点难点分析有针对性，能够提出合理有操作性对策措施的，计15分；有缺漏项的每项扣5分，每有一处内容存在错误或缺陷的，扣2.5分，扣完为止；未提供的不计分。</w:t>
            </w:r>
          </w:p>
          <w:p w14:paraId="6293899B">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5A86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ABE41DB">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CFF9C7B">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实施方案</w:t>
            </w:r>
          </w:p>
        </w:tc>
        <w:tc>
          <w:tcPr>
            <w:tcW w:w="40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89F057E">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20</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C37EEA3">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特点及采购需求提供实施方案，内容包括：①工作方案及工作流程②数据管理措施③检测评价方法④实施过程把控（包含前期、中期、后期三个阶段）的管理。实施方案完整、全面且符合本项目实际的，计20分；有缺漏项的每项扣5分，每有一处内容存在错误或缺陷的，扣2.5分，扣完为止；未提供的不计分。</w:t>
            </w:r>
          </w:p>
          <w:p w14:paraId="611FEFAD">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4371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6A69502">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8697EB5">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工作进度计划</w:t>
            </w:r>
          </w:p>
        </w:tc>
        <w:tc>
          <w:tcPr>
            <w:tcW w:w="40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4768594">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20</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9D62675">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特点及采购需求提供工作进度计划，内容包括①总体计划要求②时间安排③阶段任务④项目实施人员安排⑤进度保障措施。完全满足总体计划要求、制定具体合理的时间安排的、阶段任务清晰、人员分工明确、保障措施科学合理且可行性强的，计20分；有缺漏项的每项扣4分，每有一处内容存在错误或缺陷的，扣2分，扣完为止；未提供的不计分。</w:t>
            </w:r>
          </w:p>
          <w:p w14:paraId="1C8341EA">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60D35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7315ED1">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4510898">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服务质量保障计划及承诺</w:t>
            </w:r>
          </w:p>
        </w:tc>
        <w:tc>
          <w:tcPr>
            <w:tcW w:w="40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B383414">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15</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96935C0">
            <w:pPr>
              <w:pStyle w:val="52"/>
              <w:jc w:val="both"/>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特点及需求提供服务质量保障计划及承诺，内容包括：①过程控制②服务成果的审核③内部管理④保障措施⑤服务质量承诺。质量保障计划完善、标准严格、程序规范、保障措施详尽有效、针对性强的，计15分；有缺漏项的每项扣3分；每有一处内容存在错误或缺陷的，扣1.5分，扣完为止；未提供的不计分。</w:t>
            </w:r>
          </w:p>
          <w:p w14:paraId="22C512EA">
            <w:pPr>
              <w:pStyle w:val="52"/>
              <w:jc w:val="both"/>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791E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7B05EF8">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C892BFF">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作业安全保障计划</w:t>
            </w:r>
          </w:p>
        </w:tc>
        <w:tc>
          <w:tcPr>
            <w:tcW w:w="40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6262E54">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10</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7902C6E">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特点及需求提供作业安全保障计划及承诺，内容包括：①保障目标②保障措施③现场交通维护措施④应急预案⑤作业安全承诺。作业安全保障计划内容全面、措施有效、针对性强的，计10分；有缺漏项的每项扣2分；每有一处内容存在错误或缺陷的，扣1分，扣完为止；未提供的不计分。</w:t>
            </w:r>
          </w:p>
          <w:p w14:paraId="74B57035">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50525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restart"/>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3AF7A7A">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商务部分</w:t>
            </w:r>
          </w:p>
          <w:p w14:paraId="1C94EF67">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85214F0">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检测工程师和检测员要求</w:t>
            </w:r>
          </w:p>
        </w:tc>
        <w:tc>
          <w:tcPr>
            <w:tcW w:w="40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58FF69B">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20</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FB69EF6">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①检测工程师和检测员达到</w:t>
            </w:r>
            <w:r>
              <w:rPr>
                <w:rStyle w:val="23"/>
                <w:rFonts w:hint="eastAsia" w:ascii="宋体" w:hAnsi="宋体" w:eastAsia="宋体" w:cs="宋体"/>
                <w:b w:val="0"/>
                <w:sz w:val="21"/>
                <w:szCs w:val="24"/>
                <w:lang w:val="en-US" w:eastAsia="zh-CN"/>
              </w:rPr>
              <w:t>磋商文件第四章</w:t>
            </w:r>
            <w:r>
              <w:rPr>
                <w:rStyle w:val="23"/>
                <w:rFonts w:ascii="宋体" w:hAnsi="宋体" w:eastAsia="宋体" w:cs="宋体"/>
                <w:b w:val="0"/>
                <w:sz w:val="21"/>
                <w:szCs w:val="24"/>
              </w:rPr>
              <w:t>基本要求的，计8分；</w:t>
            </w:r>
          </w:p>
          <w:p w14:paraId="4B77EC93">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②拟投入的检测工程师具有高级职称的，每人计2分，最多计8分；</w:t>
            </w:r>
          </w:p>
          <w:p w14:paraId="3E9C97E3">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③拟投入的检测员具有中级职称的，每人计1分，最多计4分；</w:t>
            </w:r>
          </w:p>
          <w:p w14:paraId="4C0C1EFC">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本项最多计20分。</w:t>
            </w:r>
          </w:p>
          <w:p w14:paraId="7DE07748">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w:t>
            </w:r>
            <w:r>
              <w:rPr>
                <w:rStyle w:val="23"/>
                <w:rFonts w:hint="eastAsia" w:ascii="宋体" w:hAnsi="宋体" w:eastAsia="宋体" w:cs="宋体"/>
                <w:b w:val="0"/>
                <w:sz w:val="21"/>
                <w:szCs w:val="24"/>
                <w:lang w:eastAsia="zh-CN"/>
              </w:rPr>
              <w:t>人员应登记注册在响应供应商单位</w:t>
            </w:r>
            <w:r>
              <w:rPr>
                <w:rStyle w:val="23"/>
                <w:rFonts w:ascii="宋体" w:hAnsi="宋体" w:eastAsia="宋体" w:cs="宋体"/>
                <w:b w:val="0"/>
                <w:sz w:val="21"/>
                <w:szCs w:val="24"/>
              </w:rPr>
              <w:t>，</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须提供公路水运工程试验检测管理信息系统查询网页截图，若未提供或提供不清晰导致无法辨认的截图，则不计分。同时，</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须提供人员职称证书及在本单位202</w:t>
            </w:r>
            <w:r>
              <w:rPr>
                <w:rStyle w:val="23"/>
                <w:rFonts w:hint="eastAsia" w:ascii="宋体" w:hAnsi="宋体" w:eastAsia="宋体" w:cs="宋体"/>
                <w:b w:val="0"/>
                <w:sz w:val="21"/>
                <w:szCs w:val="24"/>
                <w:lang w:val="en-US" w:eastAsia="zh-CN"/>
              </w:rPr>
              <w:t>6</w:t>
            </w:r>
            <w:r>
              <w:rPr>
                <w:rStyle w:val="23"/>
                <w:rFonts w:ascii="宋体" w:hAnsi="宋体" w:eastAsia="宋体" w:cs="宋体"/>
                <w:b w:val="0"/>
                <w:sz w:val="21"/>
                <w:szCs w:val="24"/>
              </w:rPr>
              <w:t>年</w:t>
            </w:r>
            <w:r>
              <w:rPr>
                <w:rStyle w:val="23"/>
                <w:rFonts w:hint="eastAsia" w:ascii="宋体" w:hAnsi="宋体" w:eastAsia="宋体" w:cs="宋体"/>
                <w:b w:val="0"/>
                <w:sz w:val="21"/>
                <w:szCs w:val="24"/>
                <w:lang w:val="en-US" w:eastAsia="zh-CN"/>
              </w:rPr>
              <w:t>4</w:t>
            </w:r>
            <w:r>
              <w:rPr>
                <w:rStyle w:val="23"/>
                <w:rFonts w:ascii="宋体" w:hAnsi="宋体" w:eastAsia="宋体" w:cs="宋体"/>
                <w:b w:val="0"/>
                <w:sz w:val="21"/>
                <w:szCs w:val="24"/>
              </w:rPr>
              <w:t>月至202</w:t>
            </w:r>
            <w:r>
              <w:rPr>
                <w:rStyle w:val="23"/>
                <w:rFonts w:hint="eastAsia" w:ascii="宋体" w:hAnsi="宋体" w:eastAsia="宋体" w:cs="宋体"/>
                <w:b w:val="0"/>
                <w:sz w:val="21"/>
                <w:szCs w:val="24"/>
                <w:lang w:val="en-US" w:eastAsia="zh-CN"/>
              </w:rPr>
              <w:t>6</w:t>
            </w:r>
            <w:r>
              <w:rPr>
                <w:rStyle w:val="23"/>
                <w:rFonts w:ascii="宋体" w:hAnsi="宋体" w:eastAsia="宋体" w:cs="宋体"/>
                <w:b w:val="0"/>
                <w:sz w:val="21"/>
                <w:szCs w:val="24"/>
              </w:rPr>
              <w:t>年</w:t>
            </w:r>
            <w:r>
              <w:rPr>
                <w:rStyle w:val="23"/>
                <w:rFonts w:hint="eastAsia" w:ascii="宋体" w:hAnsi="宋体" w:eastAsia="宋体" w:cs="宋体"/>
                <w:b w:val="0"/>
                <w:sz w:val="21"/>
                <w:szCs w:val="24"/>
                <w:lang w:val="en-US" w:eastAsia="zh-CN"/>
              </w:rPr>
              <w:t>6</w:t>
            </w:r>
            <w:r>
              <w:rPr>
                <w:rStyle w:val="23"/>
                <w:rFonts w:ascii="宋体" w:hAnsi="宋体" w:eastAsia="宋体" w:cs="宋体"/>
                <w:b w:val="0"/>
                <w:sz w:val="21"/>
                <w:szCs w:val="24"/>
              </w:rPr>
              <w:t>月</w:t>
            </w:r>
            <w:r>
              <w:rPr>
                <w:rStyle w:val="23"/>
                <w:rFonts w:hint="eastAsia" w:ascii="宋体" w:hAnsi="宋体" w:eastAsia="宋体" w:cs="宋体"/>
                <w:b w:val="0"/>
                <w:sz w:val="21"/>
                <w:szCs w:val="24"/>
                <w:lang w:val="en-US" w:eastAsia="zh-CN"/>
              </w:rPr>
              <w:t>内任意一个月</w:t>
            </w:r>
            <w:r>
              <w:rPr>
                <w:rStyle w:val="23"/>
                <w:rFonts w:ascii="宋体" w:hAnsi="宋体" w:eastAsia="宋体" w:cs="宋体"/>
                <w:b w:val="0"/>
                <w:sz w:val="21"/>
                <w:szCs w:val="24"/>
              </w:rPr>
              <w:t>的社保证明扫描件。</w:t>
            </w:r>
          </w:p>
        </w:tc>
      </w:tr>
      <w:tr w14:paraId="0528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24B7151">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D1089C0">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项目负责人要求</w:t>
            </w:r>
          </w:p>
        </w:tc>
        <w:tc>
          <w:tcPr>
            <w:tcW w:w="40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7061F88">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10</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9C6C777">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①项目负责人达到</w:t>
            </w:r>
            <w:r>
              <w:rPr>
                <w:rStyle w:val="23"/>
                <w:rFonts w:hint="eastAsia" w:ascii="宋体" w:hAnsi="宋体" w:eastAsia="宋体" w:cs="宋体"/>
                <w:b w:val="0"/>
                <w:sz w:val="21"/>
                <w:szCs w:val="24"/>
              </w:rPr>
              <w:t>磋商文件第四章</w:t>
            </w:r>
            <w:r>
              <w:rPr>
                <w:rStyle w:val="23"/>
                <w:rFonts w:ascii="宋体" w:hAnsi="宋体" w:eastAsia="宋体" w:cs="宋体"/>
                <w:b w:val="0"/>
                <w:sz w:val="21"/>
                <w:szCs w:val="24"/>
              </w:rPr>
              <w:t>基本要求的，计4分；</w:t>
            </w:r>
          </w:p>
          <w:p w14:paraId="2642DDE1">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②最近5年，每参加1座大桥或特大桥特殊检查的，计0.5分，最多计2分；桥梁分类依据《公路工程技术标准》；</w:t>
            </w:r>
          </w:p>
          <w:p w14:paraId="6C5B934A">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③最近5年，参加部级、省级国省干线桥隧检测（监测）技术服务项目的，每个业绩计1分，最多计4分；</w:t>
            </w:r>
          </w:p>
          <w:p w14:paraId="7D3ACC01">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本项最多计10分。</w:t>
            </w:r>
          </w:p>
          <w:p w14:paraId="0D0F9F5D">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注：最近5年，</w:t>
            </w:r>
            <w:r>
              <w:rPr>
                <w:rStyle w:val="23"/>
                <w:rFonts w:hint="eastAsia" w:ascii="宋体" w:hAnsi="宋体" w:eastAsia="宋体" w:cs="宋体"/>
                <w:b w:val="0"/>
                <w:sz w:val="21"/>
                <w:szCs w:val="24"/>
                <w:lang w:eastAsia="zh-CN"/>
              </w:rPr>
              <w:t>指递交响应文件截止之日前一日回溯5年</w:t>
            </w:r>
            <w:r>
              <w:rPr>
                <w:rStyle w:val="23"/>
                <w:rFonts w:ascii="宋体" w:hAnsi="宋体" w:eastAsia="宋体" w:cs="宋体"/>
                <w:b w:val="0"/>
                <w:sz w:val="21"/>
                <w:szCs w:val="24"/>
              </w:rPr>
              <w:t>，以合同签订时间为准。</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须提供人员职称证书及在本单位202</w:t>
            </w:r>
            <w:r>
              <w:rPr>
                <w:rStyle w:val="23"/>
                <w:rFonts w:hint="eastAsia" w:ascii="宋体" w:hAnsi="宋体" w:eastAsia="宋体" w:cs="宋体"/>
                <w:b w:val="0"/>
                <w:sz w:val="21"/>
                <w:szCs w:val="24"/>
                <w:lang w:val="en-US" w:eastAsia="zh-CN"/>
              </w:rPr>
              <w:t>6</w:t>
            </w:r>
            <w:r>
              <w:rPr>
                <w:rStyle w:val="23"/>
                <w:rFonts w:ascii="宋体" w:hAnsi="宋体" w:eastAsia="宋体" w:cs="宋体"/>
                <w:b w:val="0"/>
                <w:sz w:val="21"/>
                <w:szCs w:val="24"/>
              </w:rPr>
              <w:t>年</w:t>
            </w:r>
            <w:r>
              <w:rPr>
                <w:rStyle w:val="23"/>
                <w:rFonts w:hint="eastAsia" w:ascii="宋体" w:hAnsi="宋体" w:eastAsia="宋体" w:cs="宋体"/>
                <w:b w:val="0"/>
                <w:sz w:val="21"/>
                <w:szCs w:val="24"/>
                <w:lang w:val="en-US" w:eastAsia="zh-CN"/>
              </w:rPr>
              <w:t>4</w:t>
            </w:r>
            <w:r>
              <w:rPr>
                <w:rStyle w:val="23"/>
                <w:rFonts w:ascii="宋体" w:hAnsi="宋体" w:eastAsia="宋体" w:cs="宋体"/>
                <w:b w:val="0"/>
                <w:sz w:val="21"/>
                <w:szCs w:val="24"/>
              </w:rPr>
              <w:t>月至202</w:t>
            </w:r>
            <w:r>
              <w:rPr>
                <w:rStyle w:val="23"/>
                <w:rFonts w:hint="eastAsia" w:ascii="宋体" w:hAnsi="宋体" w:eastAsia="宋体" w:cs="宋体"/>
                <w:b w:val="0"/>
                <w:sz w:val="21"/>
                <w:szCs w:val="24"/>
                <w:lang w:val="en-US" w:eastAsia="zh-CN"/>
              </w:rPr>
              <w:t>6</w:t>
            </w:r>
            <w:r>
              <w:rPr>
                <w:rStyle w:val="23"/>
                <w:rFonts w:ascii="宋体" w:hAnsi="宋体" w:eastAsia="宋体" w:cs="宋体"/>
                <w:b w:val="0"/>
                <w:sz w:val="21"/>
                <w:szCs w:val="24"/>
              </w:rPr>
              <w:t>年</w:t>
            </w:r>
            <w:r>
              <w:rPr>
                <w:rStyle w:val="23"/>
                <w:rFonts w:hint="eastAsia" w:ascii="宋体" w:hAnsi="宋体" w:eastAsia="宋体" w:cs="宋体"/>
                <w:b w:val="0"/>
                <w:sz w:val="21"/>
                <w:szCs w:val="24"/>
                <w:lang w:val="en-US" w:eastAsia="zh-CN"/>
              </w:rPr>
              <w:t>6</w:t>
            </w:r>
            <w:r>
              <w:rPr>
                <w:rStyle w:val="23"/>
                <w:rFonts w:ascii="宋体" w:hAnsi="宋体" w:eastAsia="宋体" w:cs="宋体"/>
                <w:b w:val="0"/>
                <w:sz w:val="21"/>
                <w:szCs w:val="24"/>
              </w:rPr>
              <w:t>月</w:t>
            </w:r>
            <w:r>
              <w:rPr>
                <w:rStyle w:val="23"/>
                <w:rFonts w:hint="eastAsia" w:ascii="宋体" w:hAnsi="宋体" w:eastAsia="宋体" w:cs="宋体"/>
                <w:b w:val="0"/>
                <w:sz w:val="21"/>
                <w:szCs w:val="24"/>
                <w:lang w:val="en-US" w:eastAsia="zh-CN"/>
              </w:rPr>
              <w:t>内任意一个月</w:t>
            </w:r>
            <w:r>
              <w:rPr>
                <w:rStyle w:val="23"/>
                <w:rFonts w:ascii="宋体" w:hAnsi="宋体" w:eastAsia="宋体" w:cs="宋体"/>
                <w:b w:val="0"/>
                <w:sz w:val="21"/>
                <w:szCs w:val="24"/>
              </w:rPr>
              <w:t>的社保证明扫描件，项目合同扫描件和完工证明材料或验收文件，同时所有业绩提供甲方项目联系人名字和联系电话，如项目合同扫描件未明确桥梁检测数量、类型和人员，还须另外提供加盖甲方公章的证明材料扫描件来补充说明，否则不计分。</w:t>
            </w:r>
          </w:p>
          <w:p w14:paraId="77EC990B">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不得提供虚假业绩，否则取消中标资格并列入不良行为记录。在发布中标结果时，将对中标单位提供所有业绩进行公示，并按规定对存疑业绩进行函询核实。</w:t>
            </w:r>
          </w:p>
        </w:tc>
      </w:tr>
      <w:tr w14:paraId="7F9D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D1EE7F7">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475ED3F">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技术负责人要求</w:t>
            </w:r>
          </w:p>
        </w:tc>
        <w:tc>
          <w:tcPr>
            <w:tcW w:w="40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2A72D2B">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10</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E715583">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①技术负责人达到</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第五章基本要求计2分；</w:t>
            </w:r>
          </w:p>
          <w:p w14:paraId="7D34430B">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②具有道路与桥梁工程相关专业正高级工程师职称的，计2分；</w:t>
            </w:r>
          </w:p>
          <w:p w14:paraId="48D1FB29">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③最近5年，每参加1座大桥或特大桥特殊检查的，计0.5分，最多计2分；桥梁分类依据《公路工程技术标准》；</w:t>
            </w:r>
          </w:p>
          <w:p w14:paraId="1A0655E9">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④最近5年，参加部级、省级国省干线桥隧检测（监测）技术服务项目的，每个业绩计1分，最多计4分；</w:t>
            </w:r>
          </w:p>
          <w:p w14:paraId="76810803">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本项最多计10分。</w:t>
            </w:r>
          </w:p>
          <w:p w14:paraId="45623912">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注：最近5年，</w:t>
            </w:r>
            <w:r>
              <w:rPr>
                <w:rStyle w:val="23"/>
                <w:rFonts w:hint="eastAsia" w:ascii="宋体" w:hAnsi="宋体" w:eastAsia="宋体" w:cs="宋体"/>
                <w:b w:val="0"/>
                <w:sz w:val="21"/>
                <w:szCs w:val="24"/>
                <w:lang w:eastAsia="zh-CN"/>
              </w:rPr>
              <w:t>指递交响应文件截止之日前一日回溯5年</w:t>
            </w:r>
            <w:r>
              <w:rPr>
                <w:rStyle w:val="23"/>
                <w:rFonts w:ascii="宋体" w:hAnsi="宋体" w:eastAsia="宋体" w:cs="宋体"/>
                <w:b w:val="0"/>
                <w:sz w:val="21"/>
                <w:szCs w:val="24"/>
              </w:rPr>
              <w:t>，以合同签订时间为准。</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须提供人员职称证书及在本单位</w:t>
            </w:r>
            <w:r>
              <w:rPr>
                <w:rStyle w:val="23"/>
                <w:rFonts w:hint="eastAsia" w:ascii="宋体" w:hAnsi="宋体" w:eastAsia="宋体" w:cs="宋体"/>
                <w:b w:val="0"/>
                <w:sz w:val="21"/>
                <w:szCs w:val="24"/>
                <w:lang w:eastAsia="zh-CN"/>
              </w:rPr>
              <w:t>2026年4月至2026年6月内任意一个月</w:t>
            </w:r>
            <w:r>
              <w:rPr>
                <w:rStyle w:val="23"/>
                <w:rFonts w:ascii="宋体" w:hAnsi="宋体" w:eastAsia="宋体" w:cs="宋体"/>
                <w:b w:val="0"/>
                <w:sz w:val="21"/>
                <w:szCs w:val="24"/>
              </w:rPr>
              <w:t>的社保证明扫描件，项目合同扫描件和完工证明材料或验收文件，同时所有业绩提供甲方项目联系人名字和联系电话。如项目合同扫描件未明确桥梁检测数量、类型和人员，还须另外提供加盖甲方公章的证明材料扫描件来补充说明，否则不计分。</w:t>
            </w:r>
          </w:p>
          <w:p w14:paraId="0EDA28C2">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不得提供虚假业绩，否则取消中标资格并列入不良行为记录。在发布中标结果时，将对中标单位提供所有业绩进行公示，并按规定对存疑业绩进行函询核实。</w:t>
            </w:r>
          </w:p>
        </w:tc>
      </w:tr>
      <w:tr w14:paraId="3634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D05F5DA">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7474E90">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检查设备</w:t>
            </w:r>
          </w:p>
        </w:tc>
        <w:tc>
          <w:tcPr>
            <w:tcW w:w="40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47A4CEC">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10</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516CE69">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①检查设备达到</w:t>
            </w:r>
            <w:r>
              <w:rPr>
                <w:rStyle w:val="23"/>
                <w:rFonts w:hint="eastAsia" w:ascii="宋体" w:hAnsi="宋体" w:eastAsia="宋体" w:cs="宋体"/>
                <w:b w:val="0"/>
                <w:sz w:val="21"/>
                <w:szCs w:val="24"/>
              </w:rPr>
              <w:t>磋商文件第四章</w:t>
            </w:r>
            <w:r>
              <w:rPr>
                <w:rStyle w:val="23"/>
                <w:rFonts w:ascii="宋体" w:hAnsi="宋体" w:eastAsia="宋体" w:cs="宋体"/>
                <w:b w:val="0"/>
                <w:sz w:val="21"/>
                <w:szCs w:val="24"/>
              </w:rPr>
              <w:t>基本要求的，计6分；</w:t>
            </w:r>
          </w:p>
          <w:p w14:paraId="51E3CF1F">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②对</w:t>
            </w:r>
            <w:r>
              <w:rPr>
                <w:rStyle w:val="23"/>
                <w:rFonts w:hint="eastAsia" w:ascii="宋体" w:hAnsi="宋体" w:eastAsia="宋体" w:cs="宋体"/>
                <w:b w:val="0"/>
                <w:sz w:val="21"/>
                <w:szCs w:val="24"/>
              </w:rPr>
              <w:t>磋商文件第四章</w:t>
            </w:r>
            <w:r>
              <w:rPr>
                <w:rStyle w:val="23"/>
                <w:rFonts w:ascii="宋体" w:hAnsi="宋体" w:eastAsia="宋体" w:cs="宋体"/>
                <w:b w:val="0"/>
                <w:sz w:val="21"/>
                <w:szCs w:val="24"/>
              </w:rPr>
              <w:t>设备基本要求中备注为“自有或租赁”的设备，每一种设备为自有的，计2分，最多计4分；</w:t>
            </w:r>
          </w:p>
          <w:p w14:paraId="68BBEEDA">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本项最多计10分。</w:t>
            </w:r>
          </w:p>
          <w:p w14:paraId="7C0728AB">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注：自有仪器或设备须提供购置合同、购置发票、有效期内的检定证书或标定证书扫描件，桥梁检测车还需提供车辆行驶证扫描件。</w:t>
            </w:r>
          </w:p>
        </w:tc>
      </w:tr>
      <w:tr w14:paraId="1155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8B343B6">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A6BF07E">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业绩要求</w:t>
            </w:r>
          </w:p>
        </w:tc>
        <w:tc>
          <w:tcPr>
            <w:tcW w:w="40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4A9900F">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25</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39F984C">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最近5年：</w:t>
            </w:r>
          </w:p>
          <w:p w14:paraId="5479033A">
            <w:pPr>
              <w:pStyle w:val="52"/>
              <w:jc w:val="left"/>
              <w:rPr>
                <w:rStyle w:val="23"/>
                <w:rFonts w:ascii="宋体" w:hAnsi="宋体" w:eastAsia="宋体" w:cs="宋体"/>
                <w:b w:val="0"/>
                <w:sz w:val="21"/>
                <w:szCs w:val="24"/>
                <w:highlight w:val="none"/>
              </w:rPr>
            </w:pPr>
            <w:r>
              <w:rPr>
                <w:rStyle w:val="23"/>
                <w:rFonts w:ascii="宋体" w:hAnsi="宋体" w:eastAsia="宋体" w:cs="宋体"/>
                <w:b w:val="0"/>
                <w:sz w:val="21"/>
                <w:szCs w:val="24"/>
                <w:highlight w:val="none"/>
              </w:rPr>
              <w:t>①完成1座大桥或特大桥特殊检查业绩的，计1分，每增加1座的加1分，最多加</w:t>
            </w:r>
            <w:r>
              <w:rPr>
                <w:rStyle w:val="23"/>
                <w:rFonts w:hint="eastAsia" w:ascii="宋体" w:hAnsi="宋体" w:eastAsia="宋体" w:cs="宋体"/>
                <w:b w:val="0"/>
                <w:sz w:val="21"/>
                <w:szCs w:val="24"/>
                <w:highlight w:val="none"/>
                <w:lang w:val="en-US" w:eastAsia="zh-CN"/>
              </w:rPr>
              <w:t>9</w:t>
            </w:r>
            <w:r>
              <w:rPr>
                <w:rStyle w:val="23"/>
                <w:rFonts w:ascii="宋体" w:hAnsi="宋体" w:eastAsia="宋体" w:cs="宋体"/>
                <w:b w:val="0"/>
                <w:sz w:val="21"/>
                <w:szCs w:val="24"/>
                <w:highlight w:val="none"/>
              </w:rPr>
              <w:t>分；本项最多计</w:t>
            </w:r>
            <w:r>
              <w:rPr>
                <w:rStyle w:val="23"/>
                <w:rFonts w:hint="eastAsia" w:ascii="宋体" w:hAnsi="宋体" w:eastAsia="宋体" w:cs="宋体"/>
                <w:b w:val="0"/>
                <w:sz w:val="21"/>
                <w:szCs w:val="24"/>
                <w:highlight w:val="none"/>
                <w:lang w:val="en-US" w:eastAsia="zh-CN"/>
              </w:rPr>
              <w:t>10</w:t>
            </w:r>
            <w:r>
              <w:rPr>
                <w:rStyle w:val="23"/>
                <w:rFonts w:ascii="宋体" w:hAnsi="宋体" w:eastAsia="宋体" w:cs="宋体"/>
                <w:b w:val="0"/>
                <w:sz w:val="21"/>
                <w:szCs w:val="24"/>
                <w:highlight w:val="none"/>
              </w:rPr>
              <w:t>分；桥梁分类依据《公路工程技术标准》；</w:t>
            </w:r>
          </w:p>
          <w:p w14:paraId="239EE7F8">
            <w:pPr>
              <w:pStyle w:val="52"/>
              <w:jc w:val="left"/>
              <w:rPr>
                <w:rStyle w:val="23"/>
                <w:rFonts w:ascii="宋体" w:hAnsi="宋体" w:eastAsia="宋体" w:cs="宋体"/>
                <w:b w:val="0"/>
                <w:sz w:val="21"/>
                <w:szCs w:val="24"/>
                <w:highlight w:val="none"/>
              </w:rPr>
            </w:pPr>
            <w:r>
              <w:rPr>
                <w:rStyle w:val="23"/>
                <w:rFonts w:ascii="宋体" w:hAnsi="宋体" w:eastAsia="宋体" w:cs="宋体"/>
                <w:b w:val="0"/>
                <w:sz w:val="21"/>
                <w:szCs w:val="24"/>
                <w:highlight w:val="none"/>
              </w:rPr>
              <w:t>②完成1个部级、省级国省干线</w:t>
            </w:r>
            <w:r>
              <w:rPr>
                <w:rStyle w:val="23"/>
                <w:rFonts w:hint="eastAsia" w:ascii="宋体" w:hAnsi="宋体" w:eastAsia="宋体" w:cs="宋体"/>
                <w:b w:val="0"/>
                <w:sz w:val="21"/>
                <w:szCs w:val="24"/>
                <w:highlight w:val="none"/>
                <w:lang w:eastAsia="zh-CN"/>
              </w:rPr>
              <w:t>桥梁</w:t>
            </w:r>
            <w:r>
              <w:rPr>
                <w:rStyle w:val="23"/>
                <w:rFonts w:ascii="宋体" w:hAnsi="宋体" w:eastAsia="宋体" w:cs="宋体"/>
                <w:b w:val="0"/>
                <w:sz w:val="21"/>
                <w:szCs w:val="24"/>
                <w:highlight w:val="none"/>
              </w:rPr>
              <w:t>检测（监测）技术服务项目的，计</w:t>
            </w:r>
            <w:r>
              <w:rPr>
                <w:rStyle w:val="23"/>
                <w:rFonts w:hint="eastAsia" w:ascii="宋体" w:hAnsi="宋体" w:eastAsia="宋体" w:cs="宋体"/>
                <w:b w:val="0"/>
                <w:sz w:val="21"/>
                <w:szCs w:val="24"/>
                <w:highlight w:val="none"/>
                <w:lang w:val="en-US" w:eastAsia="zh-CN"/>
              </w:rPr>
              <w:t>6</w:t>
            </w:r>
            <w:r>
              <w:rPr>
                <w:rStyle w:val="23"/>
                <w:rFonts w:ascii="宋体" w:hAnsi="宋体" w:eastAsia="宋体" w:cs="宋体"/>
                <w:b w:val="0"/>
                <w:sz w:val="21"/>
                <w:szCs w:val="24"/>
                <w:highlight w:val="none"/>
              </w:rPr>
              <w:t>分；每增加一个加</w:t>
            </w:r>
            <w:r>
              <w:rPr>
                <w:rStyle w:val="23"/>
                <w:rFonts w:hint="eastAsia" w:ascii="宋体" w:hAnsi="宋体" w:eastAsia="宋体" w:cs="宋体"/>
                <w:b w:val="0"/>
                <w:sz w:val="21"/>
                <w:szCs w:val="24"/>
                <w:highlight w:val="none"/>
                <w:lang w:val="en-US" w:eastAsia="zh-CN"/>
              </w:rPr>
              <w:t>3</w:t>
            </w:r>
            <w:r>
              <w:rPr>
                <w:rStyle w:val="23"/>
                <w:rFonts w:ascii="宋体" w:hAnsi="宋体" w:eastAsia="宋体" w:cs="宋体"/>
                <w:b w:val="0"/>
                <w:sz w:val="21"/>
                <w:szCs w:val="24"/>
                <w:highlight w:val="none"/>
              </w:rPr>
              <w:t>分，最多加</w:t>
            </w:r>
            <w:r>
              <w:rPr>
                <w:rStyle w:val="23"/>
                <w:rFonts w:hint="eastAsia" w:ascii="宋体" w:hAnsi="宋体" w:eastAsia="宋体" w:cs="宋体"/>
                <w:b w:val="0"/>
                <w:sz w:val="21"/>
                <w:szCs w:val="24"/>
                <w:highlight w:val="none"/>
                <w:lang w:val="en-US" w:eastAsia="zh-CN"/>
              </w:rPr>
              <w:t>9</w:t>
            </w:r>
            <w:r>
              <w:rPr>
                <w:rStyle w:val="23"/>
                <w:rFonts w:ascii="宋体" w:hAnsi="宋体" w:eastAsia="宋体" w:cs="宋体"/>
                <w:b w:val="0"/>
                <w:sz w:val="21"/>
                <w:szCs w:val="24"/>
                <w:highlight w:val="none"/>
              </w:rPr>
              <w:t>分。本项最多计</w:t>
            </w:r>
            <w:r>
              <w:rPr>
                <w:rStyle w:val="23"/>
                <w:rFonts w:hint="eastAsia" w:ascii="宋体" w:hAnsi="宋体" w:eastAsia="宋体" w:cs="宋体"/>
                <w:b w:val="0"/>
                <w:sz w:val="21"/>
                <w:szCs w:val="24"/>
                <w:highlight w:val="none"/>
                <w:lang w:val="en-US" w:eastAsia="zh-CN"/>
              </w:rPr>
              <w:t>15</w:t>
            </w:r>
            <w:r>
              <w:rPr>
                <w:rStyle w:val="23"/>
                <w:rFonts w:ascii="宋体" w:hAnsi="宋体" w:eastAsia="宋体" w:cs="宋体"/>
                <w:b w:val="0"/>
                <w:sz w:val="21"/>
                <w:szCs w:val="24"/>
                <w:highlight w:val="none"/>
              </w:rPr>
              <w:t>分；</w:t>
            </w:r>
          </w:p>
          <w:p w14:paraId="00C305BE">
            <w:pPr>
              <w:pStyle w:val="52"/>
              <w:jc w:val="left"/>
              <w:rPr>
                <w:rStyle w:val="23"/>
                <w:rFonts w:ascii="宋体" w:hAnsi="宋体" w:eastAsia="宋体" w:cs="宋体"/>
                <w:b w:val="0"/>
                <w:sz w:val="21"/>
                <w:szCs w:val="24"/>
                <w:highlight w:val="none"/>
              </w:rPr>
            </w:pPr>
            <w:r>
              <w:rPr>
                <w:rStyle w:val="23"/>
                <w:rFonts w:ascii="宋体" w:hAnsi="宋体" w:eastAsia="宋体" w:cs="宋体"/>
                <w:b w:val="0"/>
                <w:sz w:val="21"/>
                <w:szCs w:val="24"/>
                <w:highlight w:val="none"/>
              </w:rPr>
              <w:t>本项最多计25分。</w:t>
            </w:r>
          </w:p>
          <w:p w14:paraId="1D5ABDEB">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注：最近5年，</w:t>
            </w:r>
            <w:r>
              <w:rPr>
                <w:rStyle w:val="23"/>
                <w:rFonts w:hint="eastAsia" w:ascii="宋体" w:hAnsi="宋体" w:eastAsia="宋体" w:cs="宋体"/>
                <w:b w:val="0"/>
                <w:sz w:val="21"/>
                <w:szCs w:val="24"/>
                <w:lang w:eastAsia="zh-CN"/>
              </w:rPr>
              <w:t>指递交响应文件截止之日前一日回溯5年</w:t>
            </w:r>
            <w:r>
              <w:rPr>
                <w:rStyle w:val="23"/>
                <w:rFonts w:ascii="宋体" w:hAnsi="宋体" w:eastAsia="宋体" w:cs="宋体"/>
                <w:b w:val="0"/>
                <w:sz w:val="21"/>
                <w:szCs w:val="24"/>
              </w:rPr>
              <w:t>，以合同签订时间为准。</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须提供加盖</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单位公章的合同扫描件和完工证明材料或验收文件，同时所有业绩提供甲方项目联系人名字和联系电话，如合同扫描件未明确桥梁检测数量、类型的，还须另外提供加盖甲方公章的证明材料扫描件来补充说明，否则不计分。</w:t>
            </w:r>
          </w:p>
          <w:p w14:paraId="08F25145">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不得提供虚假业绩，否则取消中标资格并列入不良行为记录。在发布中标结果时，将对中标单位提供所有业绩进行公示，并按规定对存疑业绩进行函询核实。</w:t>
            </w:r>
          </w:p>
        </w:tc>
      </w:tr>
      <w:tr w14:paraId="6642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6C95F9A">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59DEA5F">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综合实力</w:t>
            </w:r>
          </w:p>
        </w:tc>
        <w:tc>
          <w:tcPr>
            <w:tcW w:w="40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A3A8926">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10</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223BF3F">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①</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具有有效的质量管理体系认证证书、职业健康安全管理体系认证证书、环境管理体系认证证书，每提供一个计</w:t>
            </w:r>
            <w:r>
              <w:rPr>
                <w:rStyle w:val="23"/>
                <w:rFonts w:hint="eastAsia" w:ascii="宋体" w:hAnsi="宋体" w:eastAsia="宋体" w:cs="宋体"/>
                <w:b w:val="0"/>
                <w:sz w:val="21"/>
                <w:szCs w:val="24"/>
                <w:lang w:val="en-US" w:eastAsia="zh-CN"/>
              </w:rPr>
              <w:t>2</w:t>
            </w:r>
            <w:r>
              <w:rPr>
                <w:rStyle w:val="23"/>
                <w:rFonts w:ascii="宋体" w:hAnsi="宋体" w:eastAsia="宋体" w:cs="宋体"/>
                <w:b w:val="0"/>
                <w:sz w:val="21"/>
                <w:szCs w:val="24"/>
              </w:rPr>
              <w:t>分，本项最多计</w:t>
            </w:r>
            <w:r>
              <w:rPr>
                <w:rStyle w:val="23"/>
                <w:rFonts w:hint="eastAsia" w:ascii="宋体" w:hAnsi="宋体" w:eastAsia="宋体" w:cs="宋体"/>
                <w:b w:val="0"/>
                <w:sz w:val="21"/>
                <w:szCs w:val="24"/>
                <w:lang w:val="en-US" w:eastAsia="zh-CN"/>
              </w:rPr>
              <w:t>6</w:t>
            </w:r>
            <w:r>
              <w:rPr>
                <w:rStyle w:val="23"/>
                <w:rFonts w:ascii="宋体" w:hAnsi="宋体" w:eastAsia="宋体" w:cs="宋体"/>
                <w:b w:val="0"/>
                <w:sz w:val="21"/>
                <w:szCs w:val="24"/>
              </w:rPr>
              <w:t>分；（须提供相应证书扫描件以及该证书在全国认证认可信息公共服务平台http://cx.cnca.cn上的查询结果且证书状态为“有效”的网页截图，否则不计分。）</w:t>
            </w:r>
          </w:p>
          <w:p w14:paraId="0E30B3CE">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②最近5年，</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参与编制部省级桥梁相关规范、标准或技术指南的（以正式发布、出版为准）每项计2分，最多计4分；（须提供相关证明材料并加盖</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公章，否则不计分。）</w:t>
            </w:r>
          </w:p>
          <w:p w14:paraId="2D1D0D1F">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注：最近5年，</w:t>
            </w:r>
            <w:r>
              <w:rPr>
                <w:rStyle w:val="23"/>
                <w:rFonts w:hint="eastAsia" w:ascii="宋体" w:hAnsi="宋体" w:eastAsia="宋体" w:cs="宋体"/>
                <w:b w:val="0"/>
                <w:sz w:val="21"/>
                <w:szCs w:val="24"/>
                <w:lang w:eastAsia="zh-CN"/>
              </w:rPr>
              <w:t>指递交响应文件截止之日前一日回溯5年</w:t>
            </w:r>
            <w:r>
              <w:rPr>
                <w:rStyle w:val="23"/>
                <w:rFonts w:ascii="宋体" w:hAnsi="宋体" w:eastAsia="宋体" w:cs="宋体"/>
                <w:b w:val="0"/>
                <w:sz w:val="21"/>
                <w:szCs w:val="24"/>
              </w:rPr>
              <w:t>。</w:t>
            </w:r>
          </w:p>
          <w:p w14:paraId="7DFB67B5">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不得提供虚假证明材料，否则取消中标资格并列入不良行为记录。在发布中标结果时，将对中标单位提供的以上资料进行公示，并按规定对存疑内容进行函询核实。</w:t>
            </w:r>
          </w:p>
        </w:tc>
      </w:tr>
      <w:tr w14:paraId="0CC7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0F7BD96">
            <w:pPr>
              <w:pStyle w:val="52"/>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B329F90">
            <w:pPr>
              <w:pStyle w:val="52"/>
              <w:jc w:val="center"/>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信用评价</w:t>
            </w:r>
          </w:p>
        </w:tc>
        <w:tc>
          <w:tcPr>
            <w:tcW w:w="40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06CA01F">
            <w:pPr>
              <w:pStyle w:val="52"/>
              <w:jc w:val="center"/>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15</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449064C">
            <w:pPr>
              <w:pStyle w:val="52"/>
              <w:jc w:val="left"/>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根据最近3年信用等级计算得分：</w:t>
            </w:r>
          </w:p>
          <w:p w14:paraId="5DF75E1E">
            <w:pPr>
              <w:pStyle w:val="52"/>
              <w:jc w:val="left"/>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1、最近第1年：AA级的计7分，A级计4.5分，B级计2.5分，C、D级不计分；</w:t>
            </w:r>
          </w:p>
          <w:p w14:paraId="28966ACF">
            <w:pPr>
              <w:pStyle w:val="52"/>
              <w:jc w:val="left"/>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2、最近第2年：AA级的计5分，A级计3.5分，B级计1.5分，C、D级不计分；</w:t>
            </w:r>
          </w:p>
          <w:p w14:paraId="2464477B">
            <w:pPr>
              <w:pStyle w:val="52"/>
              <w:jc w:val="left"/>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3、最近第3年：AA级的计3分，A级计2分，B级计1分，C、D级不计分；</w:t>
            </w:r>
          </w:p>
          <w:p w14:paraId="35C4F560">
            <w:pPr>
              <w:pStyle w:val="52"/>
              <w:jc w:val="left"/>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以上三项相加最多计15分。</w:t>
            </w:r>
          </w:p>
          <w:p w14:paraId="6C49E007">
            <w:pPr>
              <w:pStyle w:val="52"/>
              <w:jc w:val="left"/>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注：（1）信用等级以省级交通运输主管部门发布的公路养护从业单位信用评价结果为准，企业信用加分分值按近3年发布的省级公路养护从业单位信用评价结果进行权值分配，按照全国统一大市场部署要求，当年我省本行业有信用评价结果的，以湖南省交通运输厅发布的养护信用评价结果为准，如当年在湖南省本行业没有信用评价结果的，省级及以上的养护信用评价结果(包括国家和外省)实行全国互认，若省外发布的信用评价结果中也无信用评价等级的，其当年的信用评价得分按0分计。</w:t>
            </w:r>
          </w:p>
          <w:p w14:paraId="4B5878E9">
            <w:pPr>
              <w:pStyle w:val="52"/>
              <w:jc w:val="left"/>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（2）最近第一年(若202</w:t>
            </w:r>
            <w:r>
              <w:rPr>
                <w:rStyle w:val="23"/>
                <w:rFonts w:hint="eastAsia" w:ascii="宋体" w:hAnsi="宋体" w:eastAsia="宋体" w:cs="宋体"/>
                <w:b w:val="0"/>
                <w:color w:val="auto"/>
                <w:sz w:val="21"/>
                <w:szCs w:val="24"/>
                <w:highlight w:val="none"/>
                <w:lang w:val="en-US" w:eastAsia="zh-CN"/>
              </w:rPr>
              <w:t>5</w:t>
            </w:r>
            <w:r>
              <w:rPr>
                <w:rStyle w:val="23"/>
                <w:rFonts w:ascii="宋体" w:hAnsi="宋体" w:eastAsia="宋体" w:cs="宋体"/>
                <w:b w:val="0"/>
                <w:color w:val="auto"/>
                <w:sz w:val="21"/>
                <w:szCs w:val="24"/>
                <w:highlight w:val="none"/>
              </w:rPr>
              <w:t>年省级养护信用评价结果尚未发布的，可采用202</w:t>
            </w:r>
            <w:r>
              <w:rPr>
                <w:rStyle w:val="23"/>
                <w:rFonts w:hint="eastAsia" w:ascii="宋体" w:hAnsi="宋体" w:eastAsia="宋体" w:cs="宋体"/>
                <w:b w:val="0"/>
                <w:color w:val="auto"/>
                <w:sz w:val="21"/>
                <w:szCs w:val="24"/>
                <w:highlight w:val="none"/>
                <w:lang w:val="en-US" w:eastAsia="zh-CN"/>
              </w:rPr>
              <w:t>2</w:t>
            </w:r>
            <w:r>
              <w:rPr>
                <w:rStyle w:val="23"/>
                <w:rFonts w:ascii="宋体" w:hAnsi="宋体" w:eastAsia="宋体" w:cs="宋体"/>
                <w:b w:val="0"/>
                <w:color w:val="auto"/>
                <w:sz w:val="21"/>
                <w:szCs w:val="24"/>
                <w:highlight w:val="none"/>
              </w:rPr>
              <w:t>-202</w:t>
            </w:r>
            <w:r>
              <w:rPr>
                <w:rStyle w:val="23"/>
                <w:rFonts w:hint="eastAsia" w:ascii="宋体" w:hAnsi="宋体" w:eastAsia="宋体" w:cs="宋体"/>
                <w:b w:val="0"/>
                <w:color w:val="auto"/>
                <w:sz w:val="21"/>
                <w:szCs w:val="24"/>
                <w:highlight w:val="none"/>
                <w:lang w:val="en-US" w:eastAsia="zh-CN"/>
              </w:rPr>
              <w:t>4</w:t>
            </w:r>
            <w:r>
              <w:rPr>
                <w:rStyle w:val="23"/>
                <w:rFonts w:ascii="宋体" w:hAnsi="宋体" w:eastAsia="宋体" w:cs="宋体"/>
                <w:b w:val="0"/>
                <w:color w:val="auto"/>
                <w:sz w:val="21"/>
                <w:szCs w:val="24"/>
                <w:highlight w:val="none"/>
              </w:rPr>
              <w:t>年信用评价结果）的信用等级评价结果以</w:t>
            </w:r>
            <w:r>
              <w:rPr>
                <w:rStyle w:val="23"/>
                <w:rFonts w:hint="eastAsia" w:ascii="宋体" w:hAnsi="宋体" w:eastAsia="宋体" w:cs="宋体"/>
                <w:b w:val="0"/>
                <w:color w:val="auto"/>
                <w:sz w:val="21"/>
                <w:szCs w:val="24"/>
                <w:highlight w:val="none"/>
                <w:lang w:eastAsia="zh-CN"/>
              </w:rPr>
              <w:t>响应文件</w:t>
            </w:r>
            <w:r>
              <w:rPr>
                <w:rStyle w:val="23"/>
                <w:rFonts w:ascii="宋体" w:hAnsi="宋体" w:eastAsia="宋体" w:cs="宋体"/>
                <w:b w:val="0"/>
                <w:color w:val="auto"/>
                <w:sz w:val="21"/>
                <w:szCs w:val="24"/>
                <w:highlight w:val="none"/>
              </w:rPr>
              <w:t>递交截止之日前最新发布的文件结果为准；</w:t>
            </w:r>
            <w:r>
              <w:rPr>
                <w:rStyle w:val="23"/>
                <w:rFonts w:hint="eastAsia" w:ascii="宋体" w:hAnsi="宋体" w:eastAsia="宋体" w:cs="宋体"/>
                <w:b w:val="0"/>
                <w:color w:val="auto"/>
                <w:sz w:val="21"/>
                <w:szCs w:val="24"/>
                <w:highlight w:val="none"/>
              </w:rPr>
              <w:t>若发布的最近第一年的信用等级和</w:t>
            </w:r>
            <w:r>
              <w:rPr>
                <w:rStyle w:val="23"/>
                <w:rFonts w:hint="eastAsia" w:ascii="宋体" w:hAnsi="宋体" w:eastAsia="宋体" w:cs="宋体"/>
                <w:b w:val="0"/>
                <w:color w:val="auto"/>
                <w:sz w:val="21"/>
                <w:szCs w:val="24"/>
                <w:highlight w:val="none"/>
                <w:lang w:eastAsia="zh-CN"/>
              </w:rPr>
              <w:t>供应商</w:t>
            </w:r>
            <w:r>
              <w:rPr>
                <w:rStyle w:val="23"/>
                <w:rFonts w:hint="eastAsia" w:ascii="宋体" w:hAnsi="宋体" w:eastAsia="宋体" w:cs="宋体"/>
                <w:b w:val="0"/>
                <w:color w:val="auto"/>
                <w:sz w:val="21"/>
                <w:szCs w:val="24"/>
                <w:highlight w:val="none"/>
              </w:rPr>
              <w:t>填报的最近第一年的信用等级不一致时，以最新发布的信用评价文件为准。</w:t>
            </w:r>
          </w:p>
          <w:p w14:paraId="52A94761">
            <w:pPr>
              <w:pStyle w:val="52"/>
              <w:jc w:val="left"/>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(3)</w:t>
            </w:r>
            <w:r>
              <w:rPr>
                <w:rStyle w:val="23"/>
                <w:rFonts w:hint="eastAsia" w:ascii="宋体" w:hAnsi="宋体" w:eastAsia="宋体" w:cs="宋体"/>
                <w:b w:val="0"/>
                <w:color w:val="auto"/>
                <w:sz w:val="21"/>
                <w:szCs w:val="24"/>
                <w:highlight w:val="none"/>
                <w:lang w:eastAsia="zh-CN"/>
              </w:rPr>
              <w:t>供应商</w:t>
            </w:r>
            <w:r>
              <w:rPr>
                <w:rStyle w:val="23"/>
                <w:rFonts w:ascii="宋体" w:hAnsi="宋体" w:eastAsia="宋体" w:cs="宋体"/>
                <w:b w:val="0"/>
                <w:color w:val="auto"/>
                <w:sz w:val="21"/>
                <w:szCs w:val="24"/>
                <w:highlight w:val="none"/>
              </w:rPr>
              <w:t>须提供清晰的系统查询结果全屏截图，截图内容须完整体现查询内容、查询日期和查询网址；若未提供或提供不清晰导致无法辨认的截图，则不计分；隐瞒信用等级及信用等级造假的，经核实后视为无效</w:t>
            </w:r>
            <w:r>
              <w:rPr>
                <w:rStyle w:val="23"/>
                <w:rFonts w:hint="eastAsia" w:ascii="宋体" w:hAnsi="宋体" w:eastAsia="宋体" w:cs="宋体"/>
                <w:b w:val="0"/>
                <w:color w:val="auto"/>
                <w:sz w:val="21"/>
                <w:szCs w:val="24"/>
                <w:highlight w:val="none"/>
                <w:lang w:eastAsia="zh-CN"/>
              </w:rPr>
              <w:t>响应</w:t>
            </w:r>
            <w:r>
              <w:rPr>
                <w:rStyle w:val="23"/>
                <w:rFonts w:ascii="宋体" w:hAnsi="宋体" w:eastAsia="宋体" w:cs="宋体"/>
                <w:b w:val="0"/>
                <w:color w:val="auto"/>
                <w:sz w:val="21"/>
                <w:szCs w:val="24"/>
                <w:highlight w:val="none"/>
              </w:rPr>
              <w:t>。</w:t>
            </w:r>
          </w:p>
        </w:tc>
      </w:tr>
      <w:tr w14:paraId="5375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9B7A8B3">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价格部分</w:t>
            </w:r>
          </w:p>
          <w:p w14:paraId="7CC6473B">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(F3)</w:t>
            </w: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76BB5F8">
            <w:pPr>
              <w:pStyle w:val="52"/>
              <w:jc w:val="center"/>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响应</w:t>
            </w:r>
            <w:r>
              <w:rPr>
                <w:rStyle w:val="23"/>
                <w:rFonts w:ascii="宋体" w:hAnsi="宋体" w:eastAsia="宋体" w:cs="宋体"/>
                <w:b w:val="0"/>
                <w:sz w:val="21"/>
                <w:szCs w:val="24"/>
              </w:rPr>
              <w:t>报价</w:t>
            </w:r>
          </w:p>
        </w:tc>
        <w:tc>
          <w:tcPr>
            <w:tcW w:w="40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95EA4E2">
            <w:pPr>
              <w:pStyle w:val="52"/>
              <w:jc w:val="center"/>
              <w:rPr>
                <w:rStyle w:val="23"/>
                <w:rFonts w:ascii="宋体" w:hAnsi="宋体" w:eastAsia="宋体" w:cs="宋体"/>
                <w:b w:val="0"/>
                <w:sz w:val="21"/>
                <w:szCs w:val="24"/>
              </w:rPr>
            </w:pPr>
            <w:r>
              <w:rPr>
                <w:rStyle w:val="23"/>
                <w:rFonts w:ascii="宋体" w:hAnsi="宋体" w:eastAsia="宋体" w:cs="宋体"/>
                <w:b w:val="0"/>
                <w:sz w:val="21"/>
                <w:szCs w:val="24"/>
              </w:rPr>
              <w:t>100</w:t>
            </w:r>
          </w:p>
        </w:tc>
        <w:tc>
          <w:tcPr>
            <w:tcW w:w="671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F8713BE">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1、</w:t>
            </w:r>
            <w:r>
              <w:rPr>
                <w:rStyle w:val="23"/>
                <w:rFonts w:hint="eastAsia" w:ascii="宋体" w:hAnsi="宋体" w:eastAsia="宋体" w:cs="宋体"/>
                <w:b w:val="0"/>
                <w:sz w:val="21"/>
                <w:szCs w:val="24"/>
                <w:lang w:eastAsia="zh-CN"/>
              </w:rPr>
              <w:t>响应</w:t>
            </w:r>
            <w:r>
              <w:rPr>
                <w:rStyle w:val="23"/>
                <w:rFonts w:ascii="宋体" w:hAnsi="宋体" w:eastAsia="宋体" w:cs="宋体"/>
                <w:b w:val="0"/>
                <w:sz w:val="21"/>
                <w:szCs w:val="24"/>
              </w:rPr>
              <w:t>报价调整（扶持中小企业发展优惠政策、监狱企业、残疾人福利性单位优惠政策）。本项目的具体扣除比例详见第四章。</w:t>
            </w:r>
          </w:p>
          <w:p w14:paraId="0D9229E6">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2、满足</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要求且</w:t>
            </w:r>
            <w:r>
              <w:rPr>
                <w:rStyle w:val="23"/>
                <w:rFonts w:hint="eastAsia" w:ascii="宋体" w:hAnsi="宋体" w:eastAsia="宋体" w:cs="宋体"/>
                <w:b w:val="0"/>
                <w:sz w:val="21"/>
                <w:szCs w:val="24"/>
                <w:lang w:eastAsia="zh-CN"/>
              </w:rPr>
              <w:t>响应</w:t>
            </w:r>
            <w:r>
              <w:rPr>
                <w:rStyle w:val="23"/>
                <w:rFonts w:ascii="宋体" w:hAnsi="宋体" w:eastAsia="宋体" w:cs="宋体"/>
                <w:b w:val="0"/>
                <w:sz w:val="21"/>
                <w:szCs w:val="24"/>
              </w:rPr>
              <w:t>报价中最低的</w:t>
            </w:r>
            <w:r>
              <w:rPr>
                <w:rStyle w:val="23"/>
                <w:rFonts w:hint="eastAsia" w:ascii="宋体" w:hAnsi="宋体" w:eastAsia="宋体" w:cs="宋体"/>
                <w:b w:val="0"/>
                <w:sz w:val="21"/>
                <w:szCs w:val="24"/>
                <w:lang w:eastAsia="zh-CN"/>
              </w:rPr>
              <w:t>响应</w:t>
            </w:r>
            <w:r>
              <w:rPr>
                <w:rStyle w:val="23"/>
                <w:rFonts w:ascii="宋体" w:hAnsi="宋体" w:eastAsia="宋体" w:cs="宋体"/>
                <w:b w:val="0"/>
                <w:sz w:val="21"/>
                <w:szCs w:val="24"/>
              </w:rPr>
              <w:t>报价为评标基准价其价格分为满分；其他</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的价格分统一按照以下公式计算：</w:t>
            </w:r>
          </w:p>
          <w:p w14:paraId="76E97A02">
            <w:pPr>
              <w:pStyle w:val="52"/>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响应</w:t>
            </w:r>
            <w:r>
              <w:rPr>
                <w:rStyle w:val="23"/>
                <w:rFonts w:ascii="宋体" w:hAnsi="宋体" w:eastAsia="宋体" w:cs="宋体"/>
                <w:b w:val="0"/>
                <w:sz w:val="21"/>
                <w:szCs w:val="24"/>
              </w:rPr>
              <w:t>报价得分=（评标基准价/</w:t>
            </w:r>
            <w:r>
              <w:rPr>
                <w:rStyle w:val="23"/>
                <w:rFonts w:hint="eastAsia" w:ascii="宋体" w:hAnsi="宋体" w:eastAsia="宋体" w:cs="宋体"/>
                <w:b w:val="0"/>
                <w:sz w:val="21"/>
                <w:szCs w:val="24"/>
                <w:lang w:eastAsia="zh-CN"/>
              </w:rPr>
              <w:t>响应</w:t>
            </w:r>
            <w:r>
              <w:rPr>
                <w:rStyle w:val="23"/>
                <w:rFonts w:ascii="宋体" w:hAnsi="宋体" w:eastAsia="宋体" w:cs="宋体"/>
                <w:b w:val="0"/>
                <w:sz w:val="21"/>
                <w:szCs w:val="24"/>
              </w:rPr>
              <w:t>报价）×价格权值×100</w:t>
            </w:r>
          </w:p>
          <w:p w14:paraId="04D102F9">
            <w:pPr>
              <w:pStyle w:val="52"/>
              <w:jc w:val="left"/>
              <w:rPr>
                <w:rStyle w:val="23"/>
                <w:rFonts w:ascii="宋体" w:hAnsi="宋体" w:eastAsia="宋体" w:cs="宋体"/>
                <w:b w:val="0"/>
                <w:sz w:val="21"/>
                <w:szCs w:val="24"/>
              </w:rPr>
            </w:pPr>
            <w:r>
              <w:rPr>
                <w:rStyle w:val="23"/>
                <w:rFonts w:ascii="宋体" w:hAnsi="宋体" w:eastAsia="宋体" w:cs="宋体"/>
                <w:b w:val="0"/>
                <w:sz w:val="21"/>
                <w:szCs w:val="24"/>
              </w:rPr>
              <w:t>3、根据财政部第87号令第六十条规定，评标委员会认为</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的报价明显低于其他通过符合性审查</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的报价（“明显低于”可参照项目采购预算的90%），有可能影响产品质量或者不能诚信履约的，应当要求</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在评标现场合理时间内提供成本测算表；</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在规定的时间内不能出具详细的成本测算表或不能证明其报价合理性的，作为无效</w:t>
            </w:r>
            <w:r>
              <w:rPr>
                <w:rStyle w:val="23"/>
                <w:rFonts w:hint="eastAsia" w:ascii="宋体" w:hAnsi="宋体" w:eastAsia="宋体" w:cs="宋体"/>
                <w:b w:val="0"/>
                <w:sz w:val="21"/>
                <w:szCs w:val="24"/>
                <w:lang w:eastAsia="zh-CN"/>
              </w:rPr>
              <w:t>响应</w:t>
            </w:r>
            <w:r>
              <w:rPr>
                <w:rStyle w:val="23"/>
                <w:rFonts w:ascii="宋体" w:hAnsi="宋体" w:eastAsia="宋体" w:cs="宋体"/>
                <w:b w:val="0"/>
                <w:sz w:val="21"/>
                <w:szCs w:val="24"/>
              </w:rPr>
              <w:t>处理。</w:t>
            </w:r>
          </w:p>
        </w:tc>
      </w:tr>
    </w:tbl>
    <w:p w14:paraId="149AE659">
      <w:pPr>
        <w:jc w:val="center"/>
        <w:rPr>
          <w:rFonts w:hint="default" w:ascii="宋体" w:hAnsi="宋体"/>
          <w:b/>
          <w:color w:val="auto"/>
          <w:sz w:val="28"/>
          <w:szCs w:val="28"/>
          <w:highlight w:val="none"/>
          <w:lang w:val="en-US" w:eastAsia="zh-CN"/>
        </w:rPr>
      </w:pP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
        <w:gridCol w:w="1010"/>
        <w:gridCol w:w="466"/>
        <w:gridCol w:w="6653"/>
      </w:tblGrid>
      <w:tr w14:paraId="370F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F266E3B">
            <w:pPr>
              <w:pStyle w:val="32"/>
              <w:jc w:val="center"/>
              <w:rPr>
                <w:rStyle w:val="23"/>
                <w:rFonts w:ascii="宋体" w:hAnsi="宋体" w:eastAsia="宋体" w:cs="宋体"/>
                <w:b w:val="0"/>
                <w:sz w:val="21"/>
                <w:szCs w:val="24"/>
              </w:rPr>
            </w:pPr>
            <w:r>
              <w:rPr>
                <w:rStyle w:val="23"/>
                <w:rFonts w:ascii="宋体" w:hAnsi="宋体" w:eastAsia="宋体" w:cs="宋体"/>
                <w:b w:val="0"/>
                <w:sz w:val="21"/>
                <w:szCs w:val="24"/>
              </w:rPr>
              <w:t>综合评分法</w:t>
            </w:r>
          </w:p>
        </w:tc>
      </w:tr>
      <w:tr w14:paraId="2C5E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gridSpan w:val="3"/>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61B8E5D">
            <w:pPr>
              <w:pStyle w:val="32"/>
              <w:jc w:val="center"/>
              <w:rPr>
                <w:rStyle w:val="23"/>
                <w:rFonts w:ascii="宋体" w:hAnsi="宋体" w:eastAsia="宋体" w:cs="宋体"/>
                <w:b/>
                <w:sz w:val="21"/>
                <w:szCs w:val="24"/>
              </w:rPr>
            </w:pPr>
            <w:r>
              <w:rPr>
                <w:rStyle w:val="23"/>
                <w:rFonts w:ascii="宋体" w:hAnsi="宋体" w:eastAsia="宋体" w:cs="宋体"/>
                <w:b/>
                <w:sz w:val="21"/>
                <w:szCs w:val="24"/>
              </w:rPr>
              <w:t>适用范围</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F7250A7">
            <w:pPr>
              <w:pStyle w:val="32"/>
              <w:jc w:val="center"/>
              <w:rPr>
                <w:rStyle w:val="23"/>
                <w:rFonts w:hint="default" w:ascii="宋体" w:hAnsi="宋体" w:eastAsia="宋体" w:cs="宋体"/>
                <w:b w:val="0"/>
                <w:sz w:val="21"/>
                <w:szCs w:val="24"/>
                <w:lang w:val="en-US" w:eastAsia="zh-CN"/>
              </w:rPr>
            </w:pPr>
            <w:r>
              <w:rPr>
                <w:rStyle w:val="23"/>
                <w:rFonts w:hint="eastAsia" w:ascii="宋体" w:hAnsi="宋体" w:eastAsia="宋体" w:cs="宋体"/>
                <w:b w:val="0"/>
                <w:sz w:val="21"/>
                <w:szCs w:val="24"/>
                <w:lang w:val="en-US" w:eastAsia="zh-CN"/>
              </w:rPr>
              <w:t>包4</w:t>
            </w:r>
          </w:p>
        </w:tc>
      </w:tr>
      <w:tr w14:paraId="782C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6B7946E">
            <w:pPr>
              <w:pStyle w:val="32"/>
              <w:jc w:val="center"/>
              <w:rPr>
                <w:rStyle w:val="23"/>
                <w:rFonts w:ascii="宋体" w:hAnsi="宋体" w:eastAsia="宋体" w:cs="宋体"/>
                <w:b w:val="0"/>
                <w:sz w:val="21"/>
                <w:szCs w:val="24"/>
              </w:rPr>
            </w:pPr>
            <w:r>
              <w:rPr>
                <w:rStyle w:val="23"/>
                <w:rFonts w:ascii="宋体" w:hAnsi="宋体" w:eastAsia="宋体" w:cs="宋体"/>
                <w:b w:val="0"/>
                <w:sz w:val="21"/>
                <w:szCs w:val="24"/>
              </w:rPr>
              <w:t>评审因素及权值</w:t>
            </w:r>
          </w:p>
        </w:tc>
      </w:tr>
      <w:tr w14:paraId="5F84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gridSpan w:val="3"/>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3626C8E">
            <w:pPr>
              <w:pStyle w:val="32"/>
              <w:jc w:val="center"/>
              <w:rPr>
                <w:rStyle w:val="23"/>
                <w:rFonts w:ascii="宋体" w:hAnsi="宋体" w:eastAsia="宋体" w:cs="宋体"/>
                <w:b/>
                <w:sz w:val="21"/>
                <w:szCs w:val="24"/>
              </w:rPr>
            </w:pPr>
            <w:r>
              <w:rPr>
                <w:rStyle w:val="23"/>
                <w:rFonts w:ascii="宋体" w:hAnsi="宋体" w:eastAsia="宋体" w:cs="宋体"/>
                <w:b/>
                <w:sz w:val="21"/>
                <w:szCs w:val="24"/>
              </w:rPr>
              <w:t>评审因素</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DB3334E">
            <w:pPr>
              <w:pStyle w:val="32"/>
              <w:jc w:val="center"/>
              <w:rPr>
                <w:rStyle w:val="23"/>
                <w:rFonts w:ascii="宋体" w:hAnsi="宋体" w:eastAsia="宋体" w:cs="宋体"/>
                <w:b/>
                <w:sz w:val="21"/>
                <w:szCs w:val="24"/>
              </w:rPr>
            </w:pPr>
            <w:r>
              <w:rPr>
                <w:rStyle w:val="23"/>
                <w:rFonts w:ascii="宋体" w:hAnsi="宋体" w:eastAsia="宋体" w:cs="宋体"/>
                <w:b/>
                <w:sz w:val="21"/>
                <w:szCs w:val="24"/>
              </w:rPr>
              <w:t>权值范围</w:t>
            </w:r>
          </w:p>
        </w:tc>
      </w:tr>
      <w:tr w14:paraId="1DDB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gridSpan w:val="3"/>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8D67175">
            <w:pPr>
              <w:pStyle w:val="32"/>
              <w:jc w:val="center"/>
              <w:rPr>
                <w:rStyle w:val="23"/>
                <w:rFonts w:ascii="宋体" w:hAnsi="宋体" w:eastAsia="宋体" w:cs="宋体"/>
                <w:b w:val="0"/>
                <w:sz w:val="21"/>
                <w:szCs w:val="24"/>
              </w:rPr>
            </w:pPr>
            <w:r>
              <w:rPr>
                <w:rStyle w:val="23"/>
                <w:rFonts w:ascii="宋体" w:hAnsi="宋体" w:eastAsia="宋体" w:cs="宋体"/>
                <w:b w:val="0"/>
                <w:sz w:val="21"/>
                <w:szCs w:val="24"/>
              </w:rPr>
              <w:t>技术部分</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F22C944">
            <w:pPr>
              <w:pStyle w:val="32"/>
              <w:jc w:val="center"/>
              <w:rPr>
                <w:rStyle w:val="23"/>
                <w:rFonts w:ascii="宋体" w:hAnsi="宋体" w:eastAsia="宋体" w:cs="宋体"/>
                <w:b w:val="0"/>
                <w:sz w:val="21"/>
                <w:szCs w:val="24"/>
              </w:rPr>
            </w:pPr>
            <w:r>
              <w:rPr>
                <w:rStyle w:val="23"/>
                <w:rFonts w:ascii="宋体" w:hAnsi="宋体" w:eastAsia="宋体" w:cs="宋体"/>
                <w:b w:val="0"/>
                <w:sz w:val="21"/>
                <w:szCs w:val="24"/>
              </w:rPr>
              <w:t>0.3</w:t>
            </w:r>
          </w:p>
        </w:tc>
      </w:tr>
      <w:tr w14:paraId="185F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gridSpan w:val="3"/>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08FB79C">
            <w:pPr>
              <w:pStyle w:val="32"/>
              <w:jc w:val="center"/>
              <w:rPr>
                <w:rStyle w:val="23"/>
                <w:rFonts w:ascii="宋体" w:hAnsi="宋体" w:eastAsia="宋体" w:cs="宋体"/>
                <w:b w:val="0"/>
                <w:sz w:val="21"/>
                <w:szCs w:val="24"/>
              </w:rPr>
            </w:pPr>
            <w:r>
              <w:rPr>
                <w:rStyle w:val="23"/>
                <w:rFonts w:ascii="宋体" w:hAnsi="宋体" w:eastAsia="宋体" w:cs="宋体"/>
                <w:b w:val="0"/>
                <w:sz w:val="21"/>
                <w:szCs w:val="24"/>
              </w:rPr>
              <w:t>商务部分</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34902BD">
            <w:pPr>
              <w:pStyle w:val="32"/>
              <w:jc w:val="center"/>
              <w:rPr>
                <w:rStyle w:val="23"/>
                <w:rFonts w:ascii="宋体" w:hAnsi="宋体" w:eastAsia="宋体" w:cs="宋体"/>
                <w:b w:val="0"/>
                <w:sz w:val="21"/>
                <w:szCs w:val="24"/>
              </w:rPr>
            </w:pPr>
            <w:r>
              <w:rPr>
                <w:rStyle w:val="23"/>
                <w:rFonts w:ascii="宋体" w:hAnsi="宋体" w:eastAsia="宋体" w:cs="宋体"/>
                <w:b w:val="0"/>
                <w:sz w:val="21"/>
                <w:szCs w:val="24"/>
              </w:rPr>
              <w:t>0.6</w:t>
            </w:r>
          </w:p>
        </w:tc>
      </w:tr>
      <w:tr w14:paraId="2ED9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gridSpan w:val="3"/>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5F80A47">
            <w:pPr>
              <w:pStyle w:val="32"/>
              <w:jc w:val="center"/>
              <w:rPr>
                <w:rStyle w:val="23"/>
                <w:rFonts w:ascii="宋体" w:hAnsi="宋体" w:eastAsia="宋体" w:cs="宋体"/>
                <w:b w:val="0"/>
                <w:sz w:val="21"/>
                <w:szCs w:val="24"/>
              </w:rPr>
            </w:pPr>
            <w:r>
              <w:rPr>
                <w:rStyle w:val="23"/>
                <w:rFonts w:ascii="宋体" w:hAnsi="宋体" w:eastAsia="宋体" w:cs="宋体"/>
                <w:b w:val="0"/>
                <w:sz w:val="21"/>
                <w:szCs w:val="24"/>
              </w:rPr>
              <w:t>价格部分</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5EF8A2C">
            <w:pPr>
              <w:pStyle w:val="32"/>
              <w:jc w:val="center"/>
              <w:rPr>
                <w:rStyle w:val="23"/>
                <w:rFonts w:ascii="宋体" w:hAnsi="宋体" w:eastAsia="宋体" w:cs="宋体"/>
                <w:b w:val="0"/>
                <w:sz w:val="21"/>
                <w:szCs w:val="24"/>
              </w:rPr>
            </w:pPr>
            <w:r>
              <w:rPr>
                <w:rStyle w:val="23"/>
                <w:rFonts w:ascii="宋体" w:hAnsi="宋体" w:eastAsia="宋体" w:cs="宋体"/>
                <w:b w:val="0"/>
                <w:sz w:val="21"/>
                <w:szCs w:val="24"/>
              </w:rPr>
              <w:t>0.1</w:t>
            </w:r>
          </w:p>
        </w:tc>
      </w:tr>
      <w:tr w14:paraId="61947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BADDC86">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综合评分表</w:t>
            </w:r>
          </w:p>
        </w:tc>
      </w:tr>
      <w:tr w14:paraId="464A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1CF9614">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评审因素</w:t>
            </w: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BC49F60">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计分因素</w:t>
            </w:r>
          </w:p>
        </w:tc>
        <w:tc>
          <w:tcPr>
            <w:tcW w:w="466"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88E39D1">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分值</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123F068">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计分标准</w:t>
            </w:r>
          </w:p>
        </w:tc>
      </w:tr>
      <w:tr w14:paraId="621C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restart"/>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FFF2E15">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技术部分</w:t>
            </w:r>
          </w:p>
          <w:p w14:paraId="62472158">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(F1)</w:t>
            </w: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2EC84FE">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整体服务方案</w:t>
            </w:r>
          </w:p>
        </w:tc>
        <w:tc>
          <w:tcPr>
            <w:tcW w:w="466"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A987E88">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20</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28F94AD">
            <w:pPr>
              <w:pStyle w:val="28"/>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提供整体服务方案，内容包括：①工作目标②主要任务分析③检测范围④组织实施计划。整体服务方案内容完整、目标和主要任务明确清晰、检测范围全面、组织措施合理的，计20分；有缺漏项的每项扣5分，每有一处内容存在错误或缺陷的，扣2.5分，扣完为止；未提供的不计分。</w:t>
            </w:r>
          </w:p>
          <w:p w14:paraId="305F1D2A">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7772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8D83AAD">
            <w:pPr>
              <w:pStyle w:val="28"/>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F86E33A">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项目的特点及关键性技术问题的对策措施</w:t>
            </w:r>
          </w:p>
        </w:tc>
        <w:tc>
          <w:tcPr>
            <w:tcW w:w="466"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61B9EE7">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15</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2345D0A">
            <w:pPr>
              <w:pStyle w:val="28"/>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提供项目特点及关键性技术问题对策措施，内容包括：①项目的特点分析②项目重点和难点分析③对策措施。项目特点分析全面深入，重点难点分析有针对性，能够提出合理有操作性对策措施的，计15分；有缺漏项的每项扣5分，每有一处内容存在错误或缺陷的，扣2.5分，扣完为止；未提供的不计分。</w:t>
            </w:r>
          </w:p>
          <w:p w14:paraId="3C3BFD0B">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1E63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E3F1158">
            <w:pPr>
              <w:pStyle w:val="28"/>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EC24C57">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实施方案</w:t>
            </w:r>
          </w:p>
        </w:tc>
        <w:tc>
          <w:tcPr>
            <w:tcW w:w="466"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7003424">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20</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442E3FB">
            <w:pPr>
              <w:pStyle w:val="28"/>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特点及采购需求提供实施方案，内容包括：①工作方案及工作流程②数据管理措施③检测评价方法④实施过程把控（包含前期、中期、后期三个阶段）的管理。实施方案完整、全面且符合本项目实际的，计20分；有缺漏项的每项扣5分，每有一处内容存在错误或缺陷的，扣2.5分，扣完为止；未提供的不计分。</w:t>
            </w:r>
          </w:p>
          <w:p w14:paraId="6B0E84C1">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37A39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C262465">
            <w:pPr>
              <w:pStyle w:val="28"/>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6BBD896">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工作进度计划</w:t>
            </w:r>
          </w:p>
        </w:tc>
        <w:tc>
          <w:tcPr>
            <w:tcW w:w="466"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490F056">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20</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F2762D7">
            <w:pPr>
              <w:pStyle w:val="28"/>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特点及采购需求提供工作进度计划，内容包括①总体计划要求②时间安排③阶段任务④项目实施人员安排⑤进度保障措施。完全满足总体计划要求、制定具体合理的时间安排的、阶段任务清晰、人员分工明确、保障措施科学合理且可行性强的，计20分；有缺漏项的每项扣4分，每有一处内容存在错误或缺陷的，扣2分，扣完为止；未提供的不计分。</w:t>
            </w:r>
          </w:p>
          <w:p w14:paraId="38929255">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5697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B795896">
            <w:pPr>
              <w:pStyle w:val="28"/>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C3A7299">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服务质量保障计划及承诺</w:t>
            </w:r>
          </w:p>
        </w:tc>
        <w:tc>
          <w:tcPr>
            <w:tcW w:w="466"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D24DE8C">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15</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2B90AD3">
            <w:pPr>
              <w:pStyle w:val="28"/>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特点及需求提供服务质量保障计划及承诺，内容包括：①过程控制②服务成果的审核③内部管理④保障措施⑤服务质量承诺。质量保障计划完善、标准严格、程序规范、保障措施详尽有效、针对性强的，计15分；有缺漏项的每项扣3分；每有一处内容存在错误或缺陷的，扣1.5分，扣完为止；未提供的不计分。</w:t>
            </w:r>
          </w:p>
          <w:p w14:paraId="05C3F62F">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4FDB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E5D27E4">
            <w:pPr>
              <w:pStyle w:val="28"/>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BE0A44E">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作业安全保障计划</w:t>
            </w:r>
          </w:p>
        </w:tc>
        <w:tc>
          <w:tcPr>
            <w:tcW w:w="466"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D27B2D7">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10</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0782CCC">
            <w:pPr>
              <w:pStyle w:val="28"/>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针对本项目特点及需求提供作业安全保障计划及承诺，内容包括：①保障目标②保障措施③现场交通维护措施④应急预案⑤作业安全承诺。作业安全保障计划内容全面、措施有效、针对性强的，计10分；有缺漏项的每项扣2分；每有一处内容存在错误或缺陷的，扣1分，扣完为止；未提供的不计分。</w:t>
            </w:r>
          </w:p>
          <w:p w14:paraId="3B6EF543">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注：内容存在错误或缺陷是指项目名称不符、内容与项目需求不一致、涉及的技术规范标准等与国家或行业或</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要求不一致、内容与实际实施存在差异性、计划安排条理性不佳、内容空洞、语义表述不清、前后矛盾、存在歧义、混乱、内容不充实、不完善等任意一种情形。</w:t>
            </w:r>
          </w:p>
        </w:tc>
      </w:tr>
      <w:tr w14:paraId="181E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restart"/>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FF4586F">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商务部分</w:t>
            </w:r>
          </w:p>
          <w:p w14:paraId="766CA097">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(F2)</w:t>
            </w: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21FAC22">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检测工程师和检测员要求</w:t>
            </w:r>
          </w:p>
        </w:tc>
        <w:tc>
          <w:tcPr>
            <w:tcW w:w="466"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4A10263">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20</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F0BD4EE">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①检测工程师和检测员达到</w:t>
            </w:r>
            <w:r>
              <w:rPr>
                <w:rStyle w:val="23"/>
                <w:rFonts w:hint="eastAsia" w:ascii="宋体" w:hAnsi="宋体" w:eastAsia="宋体" w:cs="宋体"/>
                <w:b w:val="0"/>
                <w:sz w:val="21"/>
                <w:szCs w:val="24"/>
                <w:lang w:eastAsia="zh-CN"/>
              </w:rPr>
              <w:t>磋商文件</w:t>
            </w:r>
            <w:r>
              <w:rPr>
                <w:rStyle w:val="23"/>
                <w:rFonts w:hint="eastAsia" w:ascii="宋体" w:hAnsi="宋体" w:eastAsia="宋体" w:cs="宋体"/>
                <w:b w:val="0"/>
                <w:sz w:val="21"/>
                <w:szCs w:val="24"/>
                <w:lang w:val="en-US" w:eastAsia="zh-CN"/>
              </w:rPr>
              <w:t>第四章</w:t>
            </w:r>
            <w:r>
              <w:rPr>
                <w:rStyle w:val="23"/>
                <w:rFonts w:ascii="宋体" w:hAnsi="宋体" w:eastAsia="宋体" w:cs="宋体"/>
                <w:b w:val="0"/>
                <w:sz w:val="21"/>
                <w:szCs w:val="24"/>
              </w:rPr>
              <w:t>基本要求的，计8分；</w:t>
            </w:r>
          </w:p>
          <w:p w14:paraId="215D2A38">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②拟投入的检测工程师具有高级职称的，每人计2分，最多计8分；</w:t>
            </w:r>
          </w:p>
          <w:p w14:paraId="70256875">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③拟投入的检测员具有中级职称的，每人计1分，最多计4分；</w:t>
            </w:r>
          </w:p>
          <w:p w14:paraId="4BD68F22">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本项最多计20分。</w:t>
            </w:r>
          </w:p>
          <w:p w14:paraId="3DDBBA42">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注：</w:t>
            </w:r>
            <w:r>
              <w:rPr>
                <w:rStyle w:val="23"/>
                <w:rFonts w:hint="eastAsia" w:ascii="宋体" w:hAnsi="宋体" w:cs="宋体"/>
                <w:b w:val="0"/>
                <w:sz w:val="21"/>
                <w:szCs w:val="24"/>
                <w:lang w:eastAsia="zh-CN"/>
              </w:rPr>
              <w:t>人员应登记注册在响应供应商单位</w:t>
            </w:r>
            <w:r>
              <w:rPr>
                <w:rStyle w:val="23"/>
                <w:rFonts w:ascii="宋体" w:hAnsi="宋体" w:eastAsia="宋体" w:cs="宋体"/>
                <w:b w:val="0"/>
                <w:sz w:val="21"/>
                <w:szCs w:val="24"/>
              </w:rPr>
              <w:t>，</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须提供公路水运工程试验检测管理信息系统查询网页截图，若未提供或提供不清晰导致无法辨认的截图，则不计分。同时，</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须提供人员职称证书及在本单位</w:t>
            </w:r>
            <w:r>
              <w:rPr>
                <w:rStyle w:val="23"/>
                <w:rFonts w:hint="eastAsia" w:ascii="宋体" w:hAnsi="宋体" w:eastAsia="宋体" w:cs="宋体"/>
                <w:b w:val="0"/>
                <w:sz w:val="21"/>
                <w:szCs w:val="24"/>
                <w:lang w:eastAsia="zh-CN"/>
              </w:rPr>
              <w:t>2026年4月至2026年6月内任意一个月</w:t>
            </w:r>
            <w:r>
              <w:rPr>
                <w:rStyle w:val="23"/>
                <w:rFonts w:ascii="宋体" w:hAnsi="宋体" w:eastAsia="宋体" w:cs="宋体"/>
                <w:b w:val="0"/>
                <w:sz w:val="21"/>
                <w:szCs w:val="24"/>
              </w:rPr>
              <w:t>的社保证明扫描件。</w:t>
            </w:r>
          </w:p>
        </w:tc>
      </w:tr>
      <w:tr w14:paraId="3436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0470122">
            <w:pPr>
              <w:pStyle w:val="28"/>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694B975">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项目负责人要求</w:t>
            </w:r>
          </w:p>
        </w:tc>
        <w:tc>
          <w:tcPr>
            <w:tcW w:w="466"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99A5A34">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10</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BD812F1">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①项目负责人达到</w:t>
            </w:r>
            <w:r>
              <w:rPr>
                <w:rStyle w:val="23"/>
                <w:rFonts w:hint="eastAsia" w:ascii="宋体" w:hAnsi="宋体" w:eastAsia="宋体" w:cs="宋体"/>
                <w:b w:val="0"/>
                <w:sz w:val="21"/>
                <w:szCs w:val="24"/>
                <w:lang w:eastAsia="zh-CN"/>
              </w:rPr>
              <w:t>磋商文件</w:t>
            </w:r>
            <w:r>
              <w:rPr>
                <w:rStyle w:val="23"/>
                <w:rFonts w:hint="eastAsia" w:ascii="宋体" w:hAnsi="宋体" w:eastAsia="宋体" w:cs="宋体"/>
                <w:b w:val="0"/>
                <w:sz w:val="21"/>
                <w:szCs w:val="24"/>
                <w:lang w:val="en-US" w:eastAsia="zh-CN"/>
              </w:rPr>
              <w:t>第四章</w:t>
            </w:r>
            <w:r>
              <w:rPr>
                <w:rStyle w:val="23"/>
                <w:rFonts w:ascii="宋体" w:hAnsi="宋体" w:eastAsia="宋体" w:cs="宋体"/>
                <w:b w:val="0"/>
                <w:sz w:val="21"/>
                <w:szCs w:val="24"/>
              </w:rPr>
              <w:t>基本要求的，计4分；</w:t>
            </w:r>
          </w:p>
          <w:p w14:paraId="5F272790">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②最近5年，每参加1座长或特长隧道土建结构专项检查的，计</w:t>
            </w:r>
            <w:r>
              <w:rPr>
                <w:rStyle w:val="23"/>
                <w:rFonts w:hint="eastAsia" w:ascii="宋体" w:hAnsi="宋体" w:cs="宋体"/>
                <w:b w:val="0"/>
                <w:sz w:val="21"/>
                <w:szCs w:val="24"/>
                <w:lang w:val="en-US" w:eastAsia="zh-CN"/>
              </w:rPr>
              <w:t>1</w:t>
            </w:r>
            <w:r>
              <w:rPr>
                <w:rStyle w:val="23"/>
                <w:rFonts w:ascii="宋体" w:hAnsi="宋体" w:eastAsia="宋体" w:cs="宋体"/>
                <w:b w:val="0"/>
                <w:sz w:val="21"/>
                <w:szCs w:val="24"/>
              </w:rPr>
              <w:t>分，最多计</w:t>
            </w:r>
            <w:r>
              <w:rPr>
                <w:rStyle w:val="23"/>
                <w:rFonts w:hint="eastAsia" w:ascii="宋体" w:hAnsi="宋体" w:cs="宋体"/>
                <w:b w:val="0"/>
                <w:sz w:val="21"/>
                <w:szCs w:val="24"/>
                <w:lang w:val="en-US" w:eastAsia="zh-CN"/>
              </w:rPr>
              <w:t>1</w:t>
            </w:r>
            <w:r>
              <w:rPr>
                <w:rStyle w:val="23"/>
                <w:rFonts w:ascii="宋体" w:hAnsi="宋体" w:eastAsia="宋体" w:cs="宋体"/>
                <w:b w:val="0"/>
                <w:sz w:val="21"/>
                <w:szCs w:val="24"/>
              </w:rPr>
              <w:t>分；隧道分类依据《公路工程技术标准》；</w:t>
            </w:r>
          </w:p>
          <w:p w14:paraId="4FDD6744">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③最近5年，每参加1座长或特长隧道机电设施定期检查的，计</w:t>
            </w:r>
            <w:r>
              <w:rPr>
                <w:rStyle w:val="23"/>
                <w:rFonts w:hint="eastAsia" w:ascii="宋体" w:hAnsi="宋体" w:cs="宋体"/>
                <w:b w:val="0"/>
                <w:sz w:val="21"/>
                <w:szCs w:val="24"/>
                <w:lang w:val="en-US" w:eastAsia="zh-CN"/>
              </w:rPr>
              <w:t>1</w:t>
            </w:r>
            <w:r>
              <w:rPr>
                <w:rStyle w:val="23"/>
                <w:rFonts w:ascii="宋体" w:hAnsi="宋体" w:eastAsia="宋体" w:cs="宋体"/>
                <w:b w:val="0"/>
                <w:sz w:val="21"/>
                <w:szCs w:val="24"/>
              </w:rPr>
              <w:t>分，最多计</w:t>
            </w:r>
            <w:r>
              <w:rPr>
                <w:rStyle w:val="23"/>
                <w:rFonts w:hint="eastAsia" w:ascii="宋体" w:hAnsi="宋体" w:cs="宋体"/>
                <w:b w:val="0"/>
                <w:sz w:val="21"/>
                <w:szCs w:val="24"/>
                <w:lang w:val="en-US" w:eastAsia="zh-CN"/>
              </w:rPr>
              <w:t>1</w:t>
            </w:r>
            <w:r>
              <w:rPr>
                <w:rStyle w:val="23"/>
                <w:rFonts w:ascii="宋体" w:hAnsi="宋体" w:eastAsia="宋体" w:cs="宋体"/>
                <w:b w:val="0"/>
                <w:sz w:val="21"/>
                <w:szCs w:val="24"/>
              </w:rPr>
              <w:t>分；隧道分类依据《公路工程技术标准》；</w:t>
            </w:r>
          </w:p>
          <w:p w14:paraId="1CFDCA68">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④最近5年，</w:t>
            </w:r>
            <w:r>
              <w:rPr>
                <w:rStyle w:val="23"/>
                <w:rFonts w:ascii="宋体" w:hAnsi="宋体" w:eastAsia="宋体" w:cs="宋体"/>
                <w:b w:val="0"/>
                <w:sz w:val="21"/>
                <w:szCs w:val="24"/>
                <w:shd w:val="clear" w:color="auto" w:fill="auto"/>
              </w:rPr>
              <w:t>参加部级、省级国省干线</w:t>
            </w:r>
            <w:r>
              <w:rPr>
                <w:rStyle w:val="23"/>
                <w:rFonts w:hint="eastAsia" w:ascii="宋体" w:hAnsi="宋体" w:cs="宋体"/>
                <w:b w:val="0"/>
                <w:sz w:val="21"/>
                <w:szCs w:val="24"/>
                <w:shd w:val="clear" w:color="auto" w:fill="auto"/>
                <w:lang w:val="en-US" w:eastAsia="zh-CN"/>
              </w:rPr>
              <w:t>隧道</w:t>
            </w:r>
            <w:r>
              <w:rPr>
                <w:rStyle w:val="23"/>
                <w:rFonts w:ascii="宋体" w:hAnsi="宋体" w:eastAsia="宋体" w:cs="宋体"/>
                <w:b w:val="0"/>
                <w:sz w:val="21"/>
                <w:szCs w:val="24"/>
                <w:shd w:val="clear" w:color="auto" w:fill="auto"/>
              </w:rPr>
              <w:t>检测（监测）技术服务项</w:t>
            </w:r>
            <w:r>
              <w:rPr>
                <w:rStyle w:val="23"/>
                <w:rFonts w:ascii="宋体" w:hAnsi="宋体" w:eastAsia="宋体" w:cs="宋体"/>
                <w:b w:val="0"/>
                <w:sz w:val="21"/>
                <w:szCs w:val="24"/>
              </w:rPr>
              <w:t>目的，每个业绩计1分，最多计4分；</w:t>
            </w:r>
          </w:p>
          <w:p w14:paraId="74A2EAB1">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本项最多计10分。</w:t>
            </w:r>
          </w:p>
          <w:p w14:paraId="6600D3DC">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注：最近5年，</w:t>
            </w:r>
            <w:r>
              <w:rPr>
                <w:rStyle w:val="23"/>
                <w:rFonts w:hint="eastAsia" w:ascii="宋体" w:hAnsi="宋体" w:cs="宋体"/>
                <w:b w:val="0"/>
                <w:sz w:val="21"/>
                <w:szCs w:val="24"/>
                <w:lang w:eastAsia="zh-CN"/>
              </w:rPr>
              <w:t>指递交响应文件截止之日前一日回溯5年</w:t>
            </w:r>
            <w:r>
              <w:rPr>
                <w:rStyle w:val="23"/>
                <w:rFonts w:ascii="宋体" w:hAnsi="宋体" w:eastAsia="宋体" w:cs="宋体"/>
                <w:b w:val="0"/>
                <w:sz w:val="21"/>
                <w:szCs w:val="24"/>
              </w:rPr>
              <w:t>，以合同签订时间为准。</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须提供人员职称证书及在本单位</w:t>
            </w:r>
            <w:r>
              <w:rPr>
                <w:rStyle w:val="23"/>
                <w:rFonts w:hint="eastAsia" w:ascii="宋体" w:hAnsi="宋体" w:eastAsia="宋体" w:cs="宋体"/>
                <w:b w:val="0"/>
                <w:sz w:val="21"/>
                <w:szCs w:val="24"/>
                <w:lang w:eastAsia="zh-CN"/>
              </w:rPr>
              <w:t>2026年4月至2026年6月内任意一个月</w:t>
            </w:r>
            <w:r>
              <w:rPr>
                <w:rStyle w:val="23"/>
                <w:rFonts w:ascii="宋体" w:hAnsi="宋体" w:eastAsia="宋体" w:cs="宋体"/>
                <w:b w:val="0"/>
                <w:sz w:val="21"/>
                <w:szCs w:val="24"/>
              </w:rPr>
              <w:t>的社保证明扫描件，项目合同扫描件和完工证明材料或验收文件，同时所有业绩提供甲方项目联系人名字和联系电话，如项目合同扫描件未明确隧道检测数量、类型和人员，还须另外提供加盖甲方公章的证明材料扫描件来补充说明，否则不计分。</w:t>
            </w:r>
          </w:p>
          <w:p w14:paraId="052F07D1">
            <w:pPr>
              <w:pStyle w:val="28"/>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不得提供虚假业绩，否则取消中标资格并列入不良行为记录。在发布中标结果时，将对中标单位提供所有业绩进行公示，并按规定对存疑业绩进行函询核实。</w:t>
            </w:r>
          </w:p>
        </w:tc>
      </w:tr>
      <w:tr w14:paraId="00EC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36A5260">
            <w:pPr>
              <w:pStyle w:val="28"/>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E22B3B2">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技术负责人</w:t>
            </w:r>
          </w:p>
        </w:tc>
        <w:tc>
          <w:tcPr>
            <w:tcW w:w="466"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B89F0EF">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10</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D2F5CA0">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①技术负责人达到</w:t>
            </w:r>
            <w:r>
              <w:rPr>
                <w:rStyle w:val="23"/>
                <w:rFonts w:hint="eastAsia" w:ascii="宋体" w:hAnsi="宋体" w:eastAsia="宋体" w:cs="宋体"/>
                <w:b w:val="0"/>
                <w:sz w:val="21"/>
                <w:szCs w:val="24"/>
                <w:lang w:eastAsia="zh-CN"/>
              </w:rPr>
              <w:t>磋商文件</w:t>
            </w:r>
            <w:r>
              <w:rPr>
                <w:rStyle w:val="23"/>
                <w:rFonts w:hint="eastAsia" w:ascii="宋体" w:hAnsi="宋体" w:eastAsia="宋体" w:cs="宋体"/>
                <w:b w:val="0"/>
                <w:sz w:val="21"/>
                <w:szCs w:val="24"/>
                <w:lang w:val="en-US" w:eastAsia="zh-CN"/>
              </w:rPr>
              <w:t>第四章</w:t>
            </w:r>
            <w:r>
              <w:rPr>
                <w:rStyle w:val="23"/>
                <w:rFonts w:ascii="宋体" w:hAnsi="宋体" w:eastAsia="宋体" w:cs="宋体"/>
                <w:b w:val="0"/>
                <w:sz w:val="21"/>
                <w:szCs w:val="24"/>
              </w:rPr>
              <w:t>基本要求计2分；</w:t>
            </w:r>
          </w:p>
          <w:p w14:paraId="174E6D11">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②具有道路与隧道工程相关专业正高级工程师职称的，计2分；</w:t>
            </w:r>
          </w:p>
          <w:p w14:paraId="53CDBE4F">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③最近5年，每参加1座长或特长隧道土建结构专项检查的，计</w:t>
            </w:r>
            <w:r>
              <w:rPr>
                <w:rStyle w:val="23"/>
                <w:rFonts w:hint="eastAsia" w:ascii="宋体" w:hAnsi="宋体" w:eastAsia="宋体" w:cs="宋体"/>
                <w:b w:val="0"/>
                <w:sz w:val="21"/>
                <w:szCs w:val="24"/>
                <w:lang w:val="en-US" w:eastAsia="zh-CN"/>
              </w:rPr>
              <w:t>1</w:t>
            </w:r>
            <w:r>
              <w:rPr>
                <w:rStyle w:val="23"/>
                <w:rFonts w:ascii="宋体" w:hAnsi="宋体" w:eastAsia="宋体" w:cs="宋体"/>
                <w:b w:val="0"/>
                <w:sz w:val="21"/>
                <w:szCs w:val="24"/>
              </w:rPr>
              <w:t>分，最多计</w:t>
            </w:r>
            <w:r>
              <w:rPr>
                <w:rStyle w:val="23"/>
                <w:rFonts w:hint="eastAsia" w:ascii="宋体" w:hAnsi="宋体" w:eastAsia="宋体" w:cs="宋体"/>
                <w:b w:val="0"/>
                <w:sz w:val="21"/>
                <w:szCs w:val="24"/>
                <w:lang w:val="en-US" w:eastAsia="zh-CN"/>
              </w:rPr>
              <w:t>1</w:t>
            </w:r>
            <w:r>
              <w:rPr>
                <w:rStyle w:val="23"/>
                <w:rFonts w:ascii="宋体" w:hAnsi="宋体" w:eastAsia="宋体" w:cs="宋体"/>
                <w:b w:val="0"/>
                <w:sz w:val="21"/>
                <w:szCs w:val="24"/>
              </w:rPr>
              <w:t>分；隧道分类依据《公路工程技术标准》；</w:t>
            </w:r>
          </w:p>
          <w:p w14:paraId="0BDCAE46">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④最近5年，每参加1座长或特长隧道机电设施定期检查的，计</w:t>
            </w:r>
            <w:r>
              <w:rPr>
                <w:rStyle w:val="23"/>
                <w:rFonts w:hint="eastAsia" w:ascii="宋体" w:hAnsi="宋体" w:eastAsia="宋体" w:cs="宋体"/>
                <w:b w:val="0"/>
                <w:sz w:val="21"/>
                <w:szCs w:val="24"/>
                <w:lang w:val="en-US" w:eastAsia="zh-CN"/>
              </w:rPr>
              <w:t>1</w:t>
            </w:r>
            <w:r>
              <w:rPr>
                <w:rStyle w:val="23"/>
                <w:rFonts w:ascii="宋体" w:hAnsi="宋体" w:eastAsia="宋体" w:cs="宋体"/>
                <w:b w:val="0"/>
                <w:sz w:val="21"/>
                <w:szCs w:val="24"/>
              </w:rPr>
              <w:t>分，最多计</w:t>
            </w:r>
            <w:r>
              <w:rPr>
                <w:rStyle w:val="23"/>
                <w:rFonts w:hint="eastAsia" w:ascii="宋体" w:hAnsi="宋体" w:eastAsia="宋体" w:cs="宋体"/>
                <w:b w:val="0"/>
                <w:sz w:val="21"/>
                <w:szCs w:val="24"/>
                <w:lang w:val="en-US" w:eastAsia="zh-CN"/>
              </w:rPr>
              <w:t>1</w:t>
            </w:r>
            <w:r>
              <w:rPr>
                <w:rStyle w:val="23"/>
                <w:rFonts w:ascii="宋体" w:hAnsi="宋体" w:eastAsia="宋体" w:cs="宋体"/>
                <w:b w:val="0"/>
                <w:sz w:val="21"/>
                <w:szCs w:val="24"/>
              </w:rPr>
              <w:t>分；隧道分类依据《公路工程技术标准》；</w:t>
            </w:r>
          </w:p>
          <w:p w14:paraId="09C7464E">
            <w:pPr>
              <w:pStyle w:val="28"/>
              <w:jc w:val="left"/>
              <w:rPr>
                <w:rStyle w:val="23"/>
                <w:rFonts w:ascii="宋体" w:hAnsi="宋体" w:eastAsia="宋体" w:cs="宋体"/>
                <w:b w:val="0"/>
                <w:sz w:val="21"/>
                <w:szCs w:val="24"/>
              </w:rPr>
            </w:pPr>
            <w:r>
              <w:rPr>
                <w:rStyle w:val="23"/>
                <w:rFonts w:ascii="宋体" w:hAnsi="宋体" w:eastAsia="宋体" w:cs="宋体"/>
                <w:b w:val="0"/>
                <w:sz w:val="21"/>
                <w:szCs w:val="24"/>
                <w:shd w:val="clear" w:color="auto" w:fill="auto"/>
              </w:rPr>
              <w:t>⑤最近5年，参加部级、省级国省干线</w:t>
            </w:r>
            <w:r>
              <w:rPr>
                <w:rStyle w:val="23"/>
                <w:rFonts w:hint="eastAsia" w:ascii="宋体" w:hAnsi="宋体" w:cs="宋体"/>
                <w:b w:val="0"/>
                <w:sz w:val="21"/>
                <w:szCs w:val="24"/>
                <w:shd w:val="clear" w:color="auto" w:fill="auto"/>
                <w:lang w:val="en-US" w:eastAsia="zh-CN"/>
              </w:rPr>
              <w:t>隧道</w:t>
            </w:r>
            <w:r>
              <w:rPr>
                <w:rStyle w:val="23"/>
                <w:rFonts w:ascii="宋体" w:hAnsi="宋体" w:eastAsia="宋体" w:cs="宋体"/>
                <w:b w:val="0"/>
                <w:sz w:val="21"/>
                <w:szCs w:val="24"/>
                <w:shd w:val="clear" w:color="auto" w:fill="auto"/>
              </w:rPr>
              <w:t>检测（监测）技术服务项目的，每个业绩计1分，最多计4分；</w:t>
            </w:r>
          </w:p>
          <w:p w14:paraId="500074FF">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本项最多计10分。</w:t>
            </w:r>
          </w:p>
          <w:p w14:paraId="553AFA4F">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注：最近5年，</w:t>
            </w:r>
            <w:r>
              <w:rPr>
                <w:rStyle w:val="23"/>
                <w:rFonts w:hint="eastAsia" w:ascii="宋体" w:hAnsi="宋体" w:cs="宋体"/>
                <w:b w:val="0"/>
                <w:sz w:val="21"/>
                <w:szCs w:val="24"/>
                <w:lang w:eastAsia="zh-CN"/>
              </w:rPr>
              <w:t>指递交响应文件截止之日前一日回溯5年</w:t>
            </w:r>
            <w:r>
              <w:rPr>
                <w:rStyle w:val="23"/>
                <w:rFonts w:ascii="宋体" w:hAnsi="宋体" w:eastAsia="宋体" w:cs="宋体"/>
                <w:b w:val="0"/>
                <w:sz w:val="21"/>
                <w:szCs w:val="24"/>
              </w:rPr>
              <w:t>，以合同签订时间为准。</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须提供人员职称证书及在本单位</w:t>
            </w:r>
            <w:r>
              <w:rPr>
                <w:rStyle w:val="23"/>
                <w:rFonts w:hint="eastAsia" w:ascii="宋体" w:hAnsi="宋体" w:eastAsia="宋体" w:cs="宋体"/>
                <w:b w:val="0"/>
                <w:sz w:val="21"/>
                <w:szCs w:val="24"/>
                <w:lang w:eastAsia="zh-CN"/>
              </w:rPr>
              <w:t>2026年4月至2026年6月内任意一个月</w:t>
            </w:r>
            <w:r>
              <w:rPr>
                <w:rStyle w:val="23"/>
                <w:rFonts w:ascii="宋体" w:hAnsi="宋体" w:eastAsia="宋体" w:cs="宋体"/>
                <w:b w:val="0"/>
                <w:sz w:val="21"/>
                <w:szCs w:val="24"/>
              </w:rPr>
              <w:t>的社保证明扫描件，项目合同扫描件和完工证明材料或验收文件，同时所有业绩提供甲方项目联系人名字和联系电话。如项目合同扫描件未明确隧道检测数量、类型和人员，还须另外提供加盖甲方公章的证明材料扫描件来补充说明，否则不计分。</w:t>
            </w:r>
          </w:p>
          <w:p w14:paraId="555404C3">
            <w:pPr>
              <w:pStyle w:val="28"/>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不得提供虚假业绩，否则取消中标资格并列入不良行为记录。在发布中标结果时，将对中标单位提供所有业绩进行公示，并按规定对存疑业绩进行函询核实。</w:t>
            </w:r>
          </w:p>
        </w:tc>
      </w:tr>
      <w:tr w14:paraId="4029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843B23E">
            <w:pPr>
              <w:pStyle w:val="28"/>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F5981F4">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检查设备</w:t>
            </w:r>
          </w:p>
        </w:tc>
        <w:tc>
          <w:tcPr>
            <w:tcW w:w="466"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29E42D3">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10</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98F1604">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①检查设备达到</w:t>
            </w:r>
            <w:r>
              <w:rPr>
                <w:rStyle w:val="23"/>
                <w:rFonts w:hint="eastAsia" w:ascii="宋体" w:hAnsi="宋体" w:eastAsia="宋体" w:cs="宋体"/>
                <w:b w:val="0"/>
                <w:sz w:val="21"/>
                <w:szCs w:val="24"/>
                <w:lang w:eastAsia="zh-CN"/>
              </w:rPr>
              <w:t>磋商文件</w:t>
            </w:r>
            <w:r>
              <w:rPr>
                <w:rStyle w:val="23"/>
                <w:rFonts w:hint="eastAsia" w:ascii="宋体" w:hAnsi="宋体" w:eastAsia="宋体" w:cs="宋体"/>
                <w:b w:val="0"/>
                <w:sz w:val="21"/>
                <w:szCs w:val="24"/>
                <w:lang w:val="en-US" w:eastAsia="zh-CN"/>
              </w:rPr>
              <w:t>第四章</w:t>
            </w:r>
            <w:r>
              <w:rPr>
                <w:rStyle w:val="23"/>
                <w:rFonts w:ascii="宋体" w:hAnsi="宋体" w:eastAsia="宋体" w:cs="宋体"/>
                <w:b w:val="0"/>
                <w:sz w:val="21"/>
                <w:szCs w:val="24"/>
              </w:rPr>
              <w:t>基本要求的，计6分；</w:t>
            </w:r>
          </w:p>
          <w:p w14:paraId="661AA5B0">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②对</w:t>
            </w:r>
            <w:r>
              <w:rPr>
                <w:rStyle w:val="23"/>
                <w:rFonts w:hint="eastAsia" w:ascii="宋体" w:hAnsi="宋体" w:eastAsia="宋体" w:cs="宋体"/>
                <w:b w:val="0"/>
                <w:sz w:val="21"/>
                <w:szCs w:val="24"/>
                <w:lang w:val="en-US" w:eastAsia="zh-CN"/>
              </w:rPr>
              <w:t>第四章</w:t>
            </w:r>
            <w:r>
              <w:rPr>
                <w:rStyle w:val="23"/>
                <w:rFonts w:ascii="宋体" w:hAnsi="宋体" w:eastAsia="宋体" w:cs="宋体"/>
                <w:b w:val="0"/>
                <w:sz w:val="21"/>
                <w:szCs w:val="24"/>
              </w:rPr>
              <w:t>设备基本要求中备注为“自有或租赁”的设备，每一种设备为自有的，计0.5分，最多计4分；</w:t>
            </w:r>
          </w:p>
          <w:p w14:paraId="208DCBB1">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本项最多计10分。</w:t>
            </w:r>
          </w:p>
          <w:p w14:paraId="60D7AC35">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注：自有仪器或设备须提供购置合同、购置发票、有效期内的检定证书或标定证书扫描件，桥梁检测车还需提供车辆行驶证扫描件。</w:t>
            </w:r>
          </w:p>
        </w:tc>
      </w:tr>
      <w:tr w14:paraId="2A0D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8ED0FC2">
            <w:pPr>
              <w:pStyle w:val="28"/>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E61B0C1">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业绩要求</w:t>
            </w:r>
          </w:p>
        </w:tc>
        <w:tc>
          <w:tcPr>
            <w:tcW w:w="466"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311443A">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25</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230747D">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最近5年：</w:t>
            </w:r>
          </w:p>
          <w:p w14:paraId="4CEA40BC">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①完成1座长或特长隧道土建结构专项检查业绩的，计</w:t>
            </w:r>
            <w:r>
              <w:rPr>
                <w:rStyle w:val="23"/>
                <w:rFonts w:hint="eastAsia" w:ascii="宋体" w:hAnsi="宋体" w:eastAsia="宋体" w:cs="宋体"/>
                <w:b w:val="0"/>
                <w:sz w:val="21"/>
                <w:szCs w:val="24"/>
                <w:lang w:val="en-US" w:eastAsia="zh-CN"/>
              </w:rPr>
              <w:t>2</w:t>
            </w:r>
            <w:r>
              <w:rPr>
                <w:rStyle w:val="23"/>
                <w:rFonts w:ascii="宋体" w:hAnsi="宋体" w:eastAsia="宋体" w:cs="宋体"/>
                <w:b w:val="0"/>
                <w:sz w:val="21"/>
                <w:szCs w:val="24"/>
              </w:rPr>
              <w:t>分；每增加1座的加</w:t>
            </w:r>
            <w:r>
              <w:rPr>
                <w:rStyle w:val="23"/>
                <w:rFonts w:hint="eastAsia" w:ascii="宋体" w:hAnsi="宋体" w:eastAsia="宋体" w:cs="宋体"/>
                <w:b w:val="0"/>
                <w:sz w:val="21"/>
                <w:szCs w:val="24"/>
                <w:lang w:val="en-US" w:eastAsia="zh-CN"/>
              </w:rPr>
              <w:t>2</w:t>
            </w:r>
            <w:r>
              <w:rPr>
                <w:rStyle w:val="23"/>
                <w:rFonts w:ascii="宋体" w:hAnsi="宋体" w:eastAsia="宋体" w:cs="宋体"/>
                <w:b w:val="0"/>
                <w:sz w:val="21"/>
                <w:szCs w:val="24"/>
              </w:rPr>
              <w:t>分，最多加</w:t>
            </w:r>
            <w:r>
              <w:rPr>
                <w:rStyle w:val="23"/>
                <w:rFonts w:hint="eastAsia" w:ascii="宋体" w:hAnsi="宋体" w:eastAsia="宋体" w:cs="宋体"/>
                <w:b w:val="0"/>
                <w:sz w:val="21"/>
                <w:szCs w:val="24"/>
                <w:lang w:val="en-US" w:eastAsia="zh-CN"/>
              </w:rPr>
              <w:t>4</w:t>
            </w:r>
            <w:r>
              <w:rPr>
                <w:rStyle w:val="23"/>
                <w:rFonts w:ascii="宋体" w:hAnsi="宋体" w:eastAsia="宋体" w:cs="宋体"/>
                <w:b w:val="0"/>
                <w:sz w:val="21"/>
                <w:szCs w:val="24"/>
              </w:rPr>
              <w:t>分。本项最多计</w:t>
            </w:r>
            <w:r>
              <w:rPr>
                <w:rStyle w:val="23"/>
                <w:rFonts w:hint="eastAsia" w:ascii="宋体" w:hAnsi="宋体" w:eastAsia="宋体" w:cs="宋体"/>
                <w:b w:val="0"/>
                <w:sz w:val="21"/>
                <w:szCs w:val="24"/>
                <w:lang w:val="en-US" w:eastAsia="zh-CN"/>
              </w:rPr>
              <w:t>6</w:t>
            </w:r>
            <w:r>
              <w:rPr>
                <w:rStyle w:val="23"/>
                <w:rFonts w:ascii="宋体" w:hAnsi="宋体" w:eastAsia="宋体" w:cs="宋体"/>
                <w:b w:val="0"/>
                <w:sz w:val="21"/>
                <w:szCs w:val="24"/>
              </w:rPr>
              <w:t>分；隧道分类依据《公路工程技术标准》；</w:t>
            </w:r>
          </w:p>
          <w:p w14:paraId="37A5B766">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②完成1座长或特长隧道机电设施定期检查业绩的，计</w:t>
            </w:r>
            <w:r>
              <w:rPr>
                <w:rStyle w:val="23"/>
                <w:rFonts w:hint="eastAsia" w:ascii="宋体" w:hAnsi="宋体" w:eastAsia="宋体" w:cs="宋体"/>
                <w:b w:val="0"/>
                <w:sz w:val="21"/>
                <w:szCs w:val="24"/>
                <w:lang w:val="en-US" w:eastAsia="zh-CN"/>
              </w:rPr>
              <w:t>2</w:t>
            </w:r>
            <w:r>
              <w:rPr>
                <w:rStyle w:val="23"/>
                <w:rFonts w:ascii="宋体" w:hAnsi="宋体" w:eastAsia="宋体" w:cs="宋体"/>
                <w:b w:val="0"/>
                <w:sz w:val="21"/>
                <w:szCs w:val="24"/>
              </w:rPr>
              <w:t>分；每增加1座的加</w:t>
            </w:r>
            <w:r>
              <w:rPr>
                <w:rStyle w:val="23"/>
                <w:rFonts w:hint="eastAsia" w:ascii="宋体" w:hAnsi="宋体" w:eastAsia="宋体" w:cs="宋体"/>
                <w:b w:val="0"/>
                <w:sz w:val="21"/>
                <w:szCs w:val="24"/>
                <w:lang w:val="en-US" w:eastAsia="zh-CN"/>
              </w:rPr>
              <w:t>2</w:t>
            </w:r>
            <w:r>
              <w:rPr>
                <w:rStyle w:val="23"/>
                <w:rFonts w:ascii="宋体" w:hAnsi="宋体" w:eastAsia="宋体" w:cs="宋体"/>
                <w:b w:val="0"/>
                <w:sz w:val="21"/>
                <w:szCs w:val="24"/>
              </w:rPr>
              <w:t>分，最多加</w:t>
            </w:r>
            <w:r>
              <w:rPr>
                <w:rStyle w:val="23"/>
                <w:rFonts w:hint="eastAsia" w:ascii="宋体" w:hAnsi="宋体" w:eastAsia="宋体" w:cs="宋体"/>
                <w:b w:val="0"/>
                <w:sz w:val="21"/>
                <w:szCs w:val="24"/>
                <w:lang w:val="en-US" w:eastAsia="zh-CN"/>
              </w:rPr>
              <w:t>4</w:t>
            </w:r>
            <w:r>
              <w:rPr>
                <w:rStyle w:val="23"/>
                <w:rFonts w:ascii="宋体" w:hAnsi="宋体" w:eastAsia="宋体" w:cs="宋体"/>
                <w:b w:val="0"/>
                <w:sz w:val="21"/>
                <w:szCs w:val="24"/>
              </w:rPr>
              <w:t>分。本项最多计</w:t>
            </w:r>
            <w:r>
              <w:rPr>
                <w:rStyle w:val="23"/>
                <w:rFonts w:hint="eastAsia" w:ascii="宋体" w:hAnsi="宋体" w:eastAsia="宋体" w:cs="宋体"/>
                <w:b w:val="0"/>
                <w:sz w:val="21"/>
                <w:szCs w:val="24"/>
                <w:lang w:val="en-US" w:eastAsia="zh-CN"/>
              </w:rPr>
              <w:t>6</w:t>
            </w:r>
            <w:r>
              <w:rPr>
                <w:rStyle w:val="23"/>
                <w:rFonts w:ascii="宋体" w:hAnsi="宋体" w:eastAsia="宋体" w:cs="宋体"/>
                <w:b w:val="0"/>
                <w:sz w:val="21"/>
                <w:szCs w:val="24"/>
              </w:rPr>
              <w:t>分；隧道分类依据《公路工程技术标准》；</w:t>
            </w:r>
          </w:p>
          <w:p w14:paraId="42C43D38">
            <w:pPr>
              <w:pStyle w:val="28"/>
              <w:jc w:val="left"/>
              <w:rPr>
                <w:rStyle w:val="23"/>
                <w:rFonts w:ascii="宋体" w:hAnsi="宋体" w:eastAsia="宋体" w:cs="宋体"/>
                <w:b w:val="0"/>
                <w:sz w:val="21"/>
                <w:szCs w:val="24"/>
                <w:shd w:val="clear" w:color="auto" w:fill="auto"/>
              </w:rPr>
            </w:pPr>
            <w:r>
              <w:rPr>
                <w:rStyle w:val="23"/>
                <w:rFonts w:ascii="宋体" w:hAnsi="宋体" w:eastAsia="宋体" w:cs="宋体"/>
                <w:b w:val="0"/>
                <w:sz w:val="21"/>
                <w:szCs w:val="24"/>
              </w:rPr>
              <w:t>③</w:t>
            </w:r>
            <w:r>
              <w:rPr>
                <w:rStyle w:val="23"/>
                <w:rFonts w:ascii="宋体" w:hAnsi="宋体" w:eastAsia="宋体" w:cs="宋体"/>
                <w:b w:val="0"/>
                <w:sz w:val="21"/>
                <w:szCs w:val="24"/>
                <w:shd w:val="clear" w:color="auto" w:fill="auto"/>
              </w:rPr>
              <w:t>完成1个部级、省级国省干线</w:t>
            </w:r>
            <w:r>
              <w:rPr>
                <w:rStyle w:val="23"/>
                <w:rFonts w:hint="eastAsia" w:ascii="宋体" w:hAnsi="宋体" w:eastAsia="宋体" w:cs="宋体"/>
                <w:b w:val="0"/>
                <w:sz w:val="21"/>
                <w:szCs w:val="24"/>
                <w:shd w:val="clear" w:color="auto" w:fill="auto"/>
                <w:lang w:val="en-US" w:eastAsia="zh-CN"/>
              </w:rPr>
              <w:t>隧道</w:t>
            </w:r>
            <w:r>
              <w:rPr>
                <w:rStyle w:val="23"/>
                <w:rFonts w:ascii="宋体" w:hAnsi="宋体" w:eastAsia="宋体" w:cs="宋体"/>
                <w:b w:val="0"/>
                <w:sz w:val="21"/>
                <w:szCs w:val="24"/>
                <w:shd w:val="clear" w:color="auto" w:fill="auto"/>
              </w:rPr>
              <w:t>检测（监测）技术服务项目的，计</w:t>
            </w:r>
            <w:r>
              <w:rPr>
                <w:rStyle w:val="23"/>
                <w:rFonts w:hint="eastAsia" w:ascii="宋体" w:hAnsi="宋体" w:cs="宋体"/>
                <w:b w:val="0"/>
                <w:sz w:val="21"/>
                <w:szCs w:val="24"/>
                <w:shd w:val="clear" w:color="auto" w:fill="auto"/>
                <w:lang w:val="en-US" w:eastAsia="zh-CN"/>
              </w:rPr>
              <w:t>4</w:t>
            </w:r>
            <w:r>
              <w:rPr>
                <w:rStyle w:val="23"/>
                <w:rFonts w:ascii="宋体" w:hAnsi="宋体" w:eastAsia="宋体" w:cs="宋体"/>
                <w:b w:val="0"/>
                <w:sz w:val="21"/>
                <w:szCs w:val="24"/>
                <w:shd w:val="clear" w:color="auto" w:fill="auto"/>
              </w:rPr>
              <w:t>分；每增加一个的加</w:t>
            </w:r>
            <w:r>
              <w:rPr>
                <w:rStyle w:val="23"/>
                <w:rFonts w:hint="eastAsia" w:ascii="宋体" w:hAnsi="宋体" w:cs="宋体"/>
                <w:b w:val="0"/>
                <w:sz w:val="21"/>
                <w:szCs w:val="24"/>
                <w:shd w:val="clear" w:color="auto" w:fill="auto"/>
                <w:lang w:val="en-US" w:eastAsia="zh-CN"/>
              </w:rPr>
              <w:t>3</w:t>
            </w:r>
            <w:r>
              <w:rPr>
                <w:rStyle w:val="23"/>
                <w:rFonts w:ascii="宋体" w:hAnsi="宋体" w:eastAsia="宋体" w:cs="宋体"/>
                <w:b w:val="0"/>
                <w:sz w:val="21"/>
                <w:szCs w:val="24"/>
                <w:shd w:val="clear" w:color="auto" w:fill="auto"/>
              </w:rPr>
              <w:t>分，最多加</w:t>
            </w:r>
            <w:r>
              <w:rPr>
                <w:rStyle w:val="23"/>
                <w:rFonts w:hint="eastAsia" w:ascii="宋体" w:hAnsi="宋体" w:cs="宋体"/>
                <w:b w:val="0"/>
                <w:sz w:val="21"/>
                <w:szCs w:val="24"/>
                <w:shd w:val="clear" w:color="auto" w:fill="auto"/>
                <w:lang w:val="en-US" w:eastAsia="zh-CN"/>
              </w:rPr>
              <w:t>9</w:t>
            </w:r>
            <w:r>
              <w:rPr>
                <w:rStyle w:val="23"/>
                <w:rFonts w:ascii="宋体" w:hAnsi="宋体" w:eastAsia="宋体" w:cs="宋体"/>
                <w:b w:val="0"/>
                <w:sz w:val="21"/>
                <w:szCs w:val="24"/>
                <w:shd w:val="clear" w:color="auto" w:fill="auto"/>
              </w:rPr>
              <w:t>分。本项最多计</w:t>
            </w:r>
            <w:r>
              <w:rPr>
                <w:rStyle w:val="23"/>
                <w:rFonts w:hint="eastAsia" w:ascii="宋体" w:hAnsi="宋体" w:cs="宋体"/>
                <w:b w:val="0"/>
                <w:sz w:val="21"/>
                <w:szCs w:val="24"/>
                <w:shd w:val="clear" w:color="auto" w:fill="auto"/>
                <w:lang w:val="en-US" w:eastAsia="zh-CN"/>
              </w:rPr>
              <w:t>13</w:t>
            </w:r>
            <w:r>
              <w:rPr>
                <w:rStyle w:val="23"/>
                <w:rFonts w:ascii="宋体" w:hAnsi="宋体" w:eastAsia="宋体" w:cs="宋体"/>
                <w:b w:val="0"/>
                <w:sz w:val="21"/>
                <w:szCs w:val="24"/>
                <w:shd w:val="clear" w:color="auto" w:fill="auto"/>
              </w:rPr>
              <w:t>分；</w:t>
            </w:r>
          </w:p>
          <w:p w14:paraId="074DA27E">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本项最多计25分。</w:t>
            </w:r>
          </w:p>
          <w:p w14:paraId="0147C1DC">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注：最近5年，</w:t>
            </w:r>
            <w:r>
              <w:rPr>
                <w:rStyle w:val="23"/>
                <w:rFonts w:hint="eastAsia" w:ascii="宋体" w:hAnsi="宋体" w:cs="宋体"/>
                <w:b w:val="0"/>
                <w:sz w:val="21"/>
                <w:szCs w:val="24"/>
                <w:lang w:eastAsia="zh-CN"/>
              </w:rPr>
              <w:t>指递交响应文件截止之日前一日回溯5年</w:t>
            </w:r>
            <w:r>
              <w:rPr>
                <w:rStyle w:val="23"/>
                <w:rFonts w:ascii="宋体" w:hAnsi="宋体" w:eastAsia="宋体" w:cs="宋体"/>
                <w:b w:val="0"/>
                <w:sz w:val="21"/>
                <w:szCs w:val="24"/>
              </w:rPr>
              <w:t>，以合同签订时间为准。</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须提供加盖</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单位公章的合同扫描件和完工证明材料或验收文件，同时所有业绩提供甲方项目联系人名字和联系电话，如合同扫描件未明确隧道检测数量、类型的，还须另外提供加盖甲方公章的证明材料扫描件来补充说明，否则不计分。</w:t>
            </w:r>
          </w:p>
          <w:p w14:paraId="304F18B8">
            <w:pPr>
              <w:pStyle w:val="28"/>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不得提供虚假业绩，否则取消中标资格并列入不良行为记录。在发布中标结果时，将对中标单位提供所有业绩进行公示，并按规定对存疑业绩进行函询核实。</w:t>
            </w:r>
          </w:p>
        </w:tc>
      </w:tr>
      <w:tr w14:paraId="18D2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DA20091">
            <w:pPr>
              <w:pStyle w:val="28"/>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86F8FFF">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综合实力</w:t>
            </w:r>
          </w:p>
        </w:tc>
        <w:tc>
          <w:tcPr>
            <w:tcW w:w="466"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3DE78B8">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10</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D032B5A">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①</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具有有效的质量管理体系认证证书、职业健康安全管理体系认证证书、环境管理体系认证证书，每提供一个计</w:t>
            </w:r>
            <w:r>
              <w:rPr>
                <w:rStyle w:val="23"/>
                <w:rFonts w:hint="eastAsia" w:ascii="宋体" w:hAnsi="宋体" w:cs="宋体"/>
                <w:b w:val="0"/>
                <w:sz w:val="21"/>
                <w:szCs w:val="24"/>
                <w:lang w:val="en-US" w:eastAsia="zh-CN"/>
              </w:rPr>
              <w:t>2</w:t>
            </w:r>
            <w:r>
              <w:rPr>
                <w:rStyle w:val="23"/>
                <w:rFonts w:ascii="宋体" w:hAnsi="宋体" w:eastAsia="宋体" w:cs="宋体"/>
                <w:b w:val="0"/>
                <w:sz w:val="21"/>
                <w:szCs w:val="24"/>
              </w:rPr>
              <w:t>分，本项最多计</w:t>
            </w:r>
            <w:r>
              <w:rPr>
                <w:rStyle w:val="23"/>
                <w:rFonts w:hint="eastAsia" w:ascii="宋体" w:hAnsi="宋体" w:cs="宋体"/>
                <w:b w:val="0"/>
                <w:sz w:val="21"/>
                <w:szCs w:val="24"/>
                <w:lang w:val="en-US" w:eastAsia="zh-CN"/>
              </w:rPr>
              <w:t>6</w:t>
            </w:r>
            <w:r>
              <w:rPr>
                <w:rStyle w:val="23"/>
                <w:rFonts w:ascii="宋体" w:hAnsi="宋体" w:eastAsia="宋体" w:cs="宋体"/>
                <w:b w:val="0"/>
                <w:sz w:val="21"/>
                <w:szCs w:val="24"/>
              </w:rPr>
              <w:t>分；（须提供相应证书扫描件以及该证书在全国认证认可信息公共服务平台http://cx.cnca.cn上的查询结果且证书状态为“有效”的网页截图，否则不计分。）</w:t>
            </w:r>
          </w:p>
          <w:p w14:paraId="14EFF9D8">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②最近5年，</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参与编制部省级桥梁、隧道相关规范、标准或技术指南的（以正式发布、出版为准）每项计2分，最多计4分；（须提供相关证明材料并加盖</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公章，否则不计分。）</w:t>
            </w:r>
          </w:p>
          <w:p w14:paraId="51B9EE6B">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注：最近5年，</w:t>
            </w:r>
            <w:r>
              <w:rPr>
                <w:rStyle w:val="23"/>
                <w:rFonts w:hint="eastAsia" w:ascii="宋体" w:hAnsi="宋体" w:cs="宋体"/>
                <w:b w:val="0"/>
                <w:sz w:val="21"/>
                <w:szCs w:val="24"/>
                <w:lang w:eastAsia="zh-CN"/>
              </w:rPr>
              <w:t>指递交响应文件截止之日前一日回溯5年</w:t>
            </w:r>
            <w:r>
              <w:rPr>
                <w:rStyle w:val="23"/>
                <w:rFonts w:ascii="宋体" w:hAnsi="宋体" w:eastAsia="宋体" w:cs="宋体"/>
                <w:b w:val="0"/>
                <w:sz w:val="21"/>
                <w:szCs w:val="24"/>
              </w:rPr>
              <w:t>。</w:t>
            </w:r>
          </w:p>
          <w:p w14:paraId="13126052">
            <w:pPr>
              <w:pStyle w:val="28"/>
              <w:jc w:val="left"/>
              <w:rPr>
                <w:rStyle w:val="23"/>
                <w:rFonts w:ascii="宋体" w:hAnsi="宋体" w:eastAsia="宋体" w:cs="宋体"/>
                <w:b w:val="0"/>
                <w:sz w:val="21"/>
                <w:szCs w:val="24"/>
              </w:rPr>
            </w:pP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不得提供虚假证明材料，否则取消中标资格并列入不良行为记录。在发布中标结果时，将对中标单位提供的以上资料进行公示，并按规定对存疑内容进行函询核实。</w:t>
            </w:r>
          </w:p>
        </w:tc>
      </w:tr>
      <w:tr w14:paraId="7CE8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322C7F1">
            <w:pPr>
              <w:pStyle w:val="28"/>
              <w:jc w:val="center"/>
              <w:rPr>
                <w:rStyle w:val="23"/>
                <w:rFonts w:ascii="宋体" w:hAnsi="宋体" w:eastAsia="宋体" w:cs="宋体"/>
                <w:b w:val="0"/>
                <w:sz w:val="21"/>
                <w:szCs w:val="24"/>
              </w:rPr>
            </w:pP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09E04BE">
            <w:pPr>
              <w:pStyle w:val="28"/>
              <w:jc w:val="center"/>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信用评价</w:t>
            </w:r>
          </w:p>
        </w:tc>
        <w:tc>
          <w:tcPr>
            <w:tcW w:w="466"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BC17175">
            <w:pPr>
              <w:pStyle w:val="28"/>
              <w:jc w:val="center"/>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15</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1DD37FC">
            <w:pPr>
              <w:pStyle w:val="28"/>
              <w:jc w:val="left"/>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根据最近3年信用等级计算得分：</w:t>
            </w:r>
          </w:p>
          <w:p w14:paraId="576A6856">
            <w:pPr>
              <w:pStyle w:val="28"/>
              <w:jc w:val="left"/>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1、最近第1年：AA级的计7分，A级计4.5分，B级计2.5分，C、D级不计分；</w:t>
            </w:r>
          </w:p>
          <w:p w14:paraId="3739BE7D">
            <w:pPr>
              <w:pStyle w:val="28"/>
              <w:jc w:val="left"/>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2、最近第2年：AA级的计5分，A级计3.5分，B级计1.5分，C、D级不计分；</w:t>
            </w:r>
          </w:p>
          <w:p w14:paraId="514A57D6">
            <w:pPr>
              <w:pStyle w:val="28"/>
              <w:jc w:val="left"/>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3、最近第3年：AA级的计3分，A级计2分，B级计1分，C、D级不计分；</w:t>
            </w:r>
          </w:p>
          <w:p w14:paraId="5A8A8E82">
            <w:pPr>
              <w:pStyle w:val="28"/>
              <w:jc w:val="left"/>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以上三项相加最多计15分。</w:t>
            </w:r>
          </w:p>
          <w:p w14:paraId="161B05C0">
            <w:pPr>
              <w:pStyle w:val="28"/>
              <w:jc w:val="left"/>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注：（1）信用等级以省级交通运输主管部门发布的公路养护从业单位信用评价结果为准，企业信用加分分值按近3年发布的省级公路养护从业单位信用评价结果进行权值分配，按照全国统一大市场部署要求，当年我省本行业有信用评价结果的，以湖南省交通运输厅发布的养护信用评价结果为准，如当年在湖南省本行业没有信用评价结果的，省级及以上的养护信用评价结果(包括国家和外省)实行全国互认，若省外发布的信用评价结果中也无信用评价等级的，其当年的信用评价得分按0分计。</w:t>
            </w:r>
          </w:p>
          <w:p w14:paraId="3198E336">
            <w:pPr>
              <w:pStyle w:val="28"/>
              <w:jc w:val="left"/>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（2）最近第一年(若202</w:t>
            </w:r>
            <w:r>
              <w:rPr>
                <w:rStyle w:val="23"/>
                <w:rFonts w:hint="eastAsia" w:ascii="宋体" w:hAnsi="宋体" w:eastAsia="宋体" w:cs="宋体"/>
                <w:b w:val="0"/>
                <w:color w:val="auto"/>
                <w:sz w:val="21"/>
                <w:szCs w:val="24"/>
                <w:highlight w:val="none"/>
                <w:lang w:val="en-US" w:eastAsia="zh-CN"/>
              </w:rPr>
              <w:t>5</w:t>
            </w:r>
            <w:r>
              <w:rPr>
                <w:rStyle w:val="23"/>
                <w:rFonts w:ascii="宋体" w:hAnsi="宋体" w:eastAsia="宋体" w:cs="宋体"/>
                <w:b w:val="0"/>
                <w:color w:val="auto"/>
                <w:sz w:val="21"/>
                <w:szCs w:val="24"/>
                <w:highlight w:val="none"/>
              </w:rPr>
              <w:t>年省级养护信用评价结果尚未发布的，可采用202</w:t>
            </w:r>
            <w:r>
              <w:rPr>
                <w:rStyle w:val="23"/>
                <w:rFonts w:hint="eastAsia" w:ascii="宋体" w:hAnsi="宋体" w:eastAsia="宋体" w:cs="宋体"/>
                <w:b w:val="0"/>
                <w:color w:val="auto"/>
                <w:sz w:val="21"/>
                <w:szCs w:val="24"/>
                <w:highlight w:val="none"/>
                <w:lang w:val="en-US" w:eastAsia="zh-CN"/>
              </w:rPr>
              <w:t>2</w:t>
            </w:r>
            <w:r>
              <w:rPr>
                <w:rStyle w:val="23"/>
                <w:rFonts w:ascii="宋体" w:hAnsi="宋体" w:eastAsia="宋体" w:cs="宋体"/>
                <w:b w:val="0"/>
                <w:color w:val="auto"/>
                <w:sz w:val="21"/>
                <w:szCs w:val="24"/>
                <w:highlight w:val="none"/>
              </w:rPr>
              <w:t>-202</w:t>
            </w:r>
            <w:r>
              <w:rPr>
                <w:rStyle w:val="23"/>
                <w:rFonts w:hint="eastAsia" w:ascii="宋体" w:hAnsi="宋体" w:eastAsia="宋体" w:cs="宋体"/>
                <w:b w:val="0"/>
                <w:color w:val="auto"/>
                <w:sz w:val="21"/>
                <w:szCs w:val="24"/>
                <w:highlight w:val="none"/>
                <w:lang w:val="en-US" w:eastAsia="zh-CN"/>
              </w:rPr>
              <w:t>4</w:t>
            </w:r>
            <w:r>
              <w:rPr>
                <w:rStyle w:val="23"/>
                <w:rFonts w:ascii="宋体" w:hAnsi="宋体" w:eastAsia="宋体" w:cs="宋体"/>
                <w:b w:val="0"/>
                <w:color w:val="auto"/>
                <w:sz w:val="21"/>
                <w:szCs w:val="24"/>
                <w:highlight w:val="none"/>
              </w:rPr>
              <w:t>年信用评价结果）的信用等级评价结果以</w:t>
            </w:r>
            <w:r>
              <w:rPr>
                <w:rStyle w:val="23"/>
                <w:rFonts w:hint="eastAsia" w:ascii="宋体" w:hAnsi="宋体" w:cs="宋体"/>
                <w:b w:val="0"/>
                <w:color w:val="auto"/>
                <w:sz w:val="21"/>
                <w:szCs w:val="24"/>
                <w:highlight w:val="none"/>
                <w:lang w:eastAsia="zh-CN"/>
              </w:rPr>
              <w:t>响应文件</w:t>
            </w:r>
            <w:r>
              <w:rPr>
                <w:rStyle w:val="23"/>
                <w:rFonts w:ascii="宋体" w:hAnsi="宋体" w:eastAsia="宋体" w:cs="宋体"/>
                <w:b w:val="0"/>
                <w:color w:val="auto"/>
                <w:sz w:val="21"/>
                <w:szCs w:val="24"/>
                <w:highlight w:val="none"/>
              </w:rPr>
              <w:t>递交截止之日前最新发布的文件结果为准；</w:t>
            </w:r>
            <w:r>
              <w:rPr>
                <w:rStyle w:val="23"/>
                <w:rFonts w:hint="eastAsia" w:ascii="宋体" w:hAnsi="宋体" w:eastAsia="宋体" w:cs="宋体"/>
                <w:b w:val="0"/>
                <w:color w:val="auto"/>
                <w:sz w:val="21"/>
                <w:szCs w:val="24"/>
                <w:highlight w:val="none"/>
              </w:rPr>
              <w:t>若发布的最近第一年的信用等级和</w:t>
            </w:r>
            <w:r>
              <w:rPr>
                <w:rStyle w:val="23"/>
                <w:rFonts w:hint="eastAsia" w:ascii="宋体" w:hAnsi="宋体" w:cs="宋体"/>
                <w:b w:val="0"/>
                <w:color w:val="auto"/>
                <w:sz w:val="21"/>
                <w:szCs w:val="24"/>
                <w:highlight w:val="none"/>
                <w:lang w:eastAsia="zh-CN"/>
              </w:rPr>
              <w:t>供应商</w:t>
            </w:r>
            <w:r>
              <w:rPr>
                <w:rStyle w:val="23"/>
                <w:rFonts w:hint="eastAsia" w:ascii="宋体" w:hAnsi="宋体" w:eastAsia="宋体" w:cs="宋体"/>
                <w:b w:val="0"/>
                <w:color w:val="auto"/>
                <w:sz w:val="21"/>
                <w:szCs w:val="24"/>
                <w:highlight w:val="none"/>
              </w:rPr>
              <w:t>填报的最近第一年的信用等级不一致时，以最新发布的信用评价文件为准。</w:t>
            </w:r>
          </w:p>
          <w:p w14:paraId="0BC5306B">
            <w:pPr>
              <w:pStyle w:val="28"/>
              <w:jc w:val="left"/>
              <w:rPr>
                <w:rStyle w:val="23"/>
                <w:rFonts w:ascii="宋体" w:hAnsi="宋体" w:eastAsia="宋体" w:cs="宋体"/>
                <w:b w:val="0"/>
                <w:color w:val="auto"/>
                <w:sz w:val="21"/>
                <w:szCs w:val="24"/>
                <w:highlight w:val="none"/>
              </w:rPr>
            </w:pPr>
            <w:r>
              <w:rPr>
                <w:rStyle w:val="23"/>
                <w:rFonts w:ascii="宋体" w:hAnsi="宋体" w:eastAsia="宋体" w:cs="宋体"/>
                <w:b w:val="0"/>
                <w:color w:val="auto"/>
                <w:sz w:val="21"/>
                <w:szCs w:val="24"/>
                <w:highlight w:val="none"/>
              </w:rPr>
              <w:t>(3)</w:t>
            </w:r>
            <w:r>
              <w:rPr>
                <w:rStyle w:val="23"/>
                <w:rFonts w:hint="eastAsia" w:ascii="宋体" w:hAnsi="宋体" w:eastAsia="宋体" w:cs="宋体"/>
                <w:b w:val="0"/>
                <w:color w:val="auto"/>
                <w:sz w:val="21"/>
                <w:szCs w:val="24"/>
                <w:highlight w:val="none"/>
                <w:lang w:eastAsia="zh-CN"/>
              </w:rPr>
              <w:t>供应商</w:t>
            </w:r>
            <w:r>
              <w:rPr>
                <w:rStyle w:val="23"/>
                <w:rFonts w:ascii="宋体" w:hAnsi="宋体" w:eastAsia="宋体" w:cs="宋体"/>
                <w:b w:val="0"/>
                <w:color w:val="auto"/>
                <w:sz w:val="21"/>
                <w:szCs w:val="24"/>
                <w:highlight w:val="none"/>
              </w:rPr>
              <w:t>须提供清晰的系统查询结果全屏截图，截图内容须完整体现查询内容、查询日期和查询网址；若未提供或提供不清晰导致无法辨认的截图，则不计分；隐瞒信用等级及信用等级造假的，经核实后视为无效</w:t>
            </w:r>
            <w:r>
              <w:rPr>
                <w:rStyle w:val="23"/>
                <w:rFonts w:hint="eastAsia" w:ascii="宋体" w:hAnsi="宋体" w:cs="宋体"/>
                <w:b w:val="0"/>
                <w:color w:val="auto"/>
                <w:sz w:val="21"/>
                <w:szCs w:val="24"/>
                <w:highlight w:val="none"/>
                <w:lang w:eastAsia="zh-CN"/>
              </w:rPr>
              <w:t>响应</w:t>
            </w:r>
            <w:r>
              <w:rPr>
                <w:rStyle w:val="23"/>
                <w:rFonts w:ascii="宋体" w:hAnsi="宋体" w:eastAsia="宋体" w:cs="宋体"/>
                <w:b w:val="0"/>
                <w:color w:val="auto"/>
                <w:sz w:val="21"/>
                <w:szCs w:val="24"/>
                <w:highlight w:val="none"/>
              </w:rPr>
              <w:t>。</w:t>
            </w:r>
          </w:p>
        </w:tc>
      </w:tr>
      <w:tr w14:paraId="674A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8286174">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价格部分</w:t>
            </w:r>
          </w:p>
          <w:p w14:paraId="1AD9D2BE">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(F3)</w:t>
            </w:r>
          </w:p>
        </w:tc>
        <w:tc>
          <w:tcPr>
            <w:tcW w:w="1010"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32B034D">
            <w:pPr>
              <w:pStyle w:val="28"/>
              <w:jc w:val="center"/>
              <w:rPr>
                <w:rStyle w:val="23"/>
                <w:rFonts w:ascii="宋体" w:hAnsi="宋体" w:eastAsia="宋体" w:cs="宋体"/>
                <w:b w:val="0"/>
                <w:sz w:val="21"/>
                <w:szCs w:val="24"/>
              </w:rPr>
            </w:pPr>
            <w:r>
              <w:rPr>
                <w:rStyle w:val="23"/>
                <w:rFonts w:hint="eastAsia" w:ascii="宋体" w:hAnsi="宋体" w:cs="宋体"/>
                <w:b w:val="0"/>
                <w:sz w:val="21"/>
                <w:szCs w:val="24"/>
                <w:lang w:eastAsia="zh-CN"/>
              </w:rPr>
              <w:t>响应</w:t>
            </w:r>
            <w:r>
              <w:rPr>
                <w:rStyle w:val="23"/>
                <w:rFonts w:ascii="宋体" w:hAnsi="宋体" w:eastAsia="宋体" w:cs="宋体"/>
                <w:b w:val="0"/>
                <w:sz w:val="21"/>
                <w:szCs w:val="24"/>
              </w:rPr>
              <w:t>报价</w:t>
            </w:r>
          </w:p>
        </w:tc>
        <w:tc>
          <w:tcPr>
            <w:tcW w:w="466"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72AE260">
            <w:pPr>
              <w:pStyle w:val="28"/>
              <w:jc w:val="center"/>
              <w:rPr>
                <w:rStyle w:val="23"/>
                <w:rFonts w:ascii="宋体" w:hAnsi="宋体" w:eastAsia="宋体" w:cs="宋体"/>
                <w:b w:val="0"/>
                <w:sz w:val="21"/>
                <w:szCs w:val="24"/>
              </w:rPr>
            </w:pPr>
            <w:r>
              <w:rPr>
                <w:rStyle w:val="23"/>
                <w:rFonts w:ascii="宋体" w:hAnsi="宋体" w:eastAsia="宋体" w:cs="宋体"/>
                <w:b w:val="0"/>
                <w:sz w:val="21"/>
                <w:szCs w:val="24"/>
              </w:rPr>
              <w:t>100</w:t>
            </w:r>
          </w:p>
        </w:tc>
        <w:tc>
          <w:tcPr>
            <w:tcW w:w="6653"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C7C4C2A">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1、</w:t>
            </w:r>
            <w:r>
              <w:rPr>
                <w:rStyle w:val="23"/>
                <w:rFonts w:hint="eastAsia" w:ascii="宋体" w:hAnsi="宋体" w:cs="宋体"/>
                <w:b w:val="0"/>
                <w:sz w:val="21"/>
                <w:szCs w:val="24"/>
                <w:lang w:eastAsia="zh-CN"/>
              </w:rPr>
              <w:t>响应</w:t>
            </w:r>
            <w:r>
              <w:rPr>
                <w:rStyle w:val="23"/>
                <w:rFonts w:ascii="宋体" w:hAnsi="宋体" w:eastAsia="宋体" w:cs="宋体"/>
                <w:b w:val="0"/>
                <w:sz w:val="21"/>
                <w:szCs w:val="24"/>
              </w:rPr>
              <w:t>报价调整（扶持中小企业发展优惠政策、监狱企业、残疾人福利性单位优惠政策）。本项目的具体扣除比例详见第四章。</w:t>
            </w:r>
          </w:p>
          <w:p w14:paraId="4B375430">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2、满足</w:t>
            </w:r>
            <w:r>
              <w:rPr>
                <w:rStyle w:val="23"/>
                <w:rFonts w:hint="eastAsia" w:ascii="宋体" w:hAnsi="宋体" w:eastAsia="宋体" w:cs="宋体"/>
                <w:b w:val="0"/>
                <w:sz w:val="21"/>
                <w:szCs w:val="24"/>
                <w:lang w:eastAsia="zh-CN"/>
              </w:rPr>
              <w:t>磋商文件</w:t>
            </w:r>
            <w:r>
              <w:rPr>
                <w:rStyle w:val="23"/>
                <w:rFonts w:ascii="宋体" w:hAnsi="宋体" w:eastAsia="宋体" w:cs="宋体"/>
                <w:b w:val="0"/>
                <w:sz w:val="21"/>
                <w:szCs w:val="24"/>
              </w:rPr>
              <w:t>要求且</w:t>
            </w:r>
            <w:r>
              <w:rPr>
                <w:rStyle w:val="23"/>
                <w:rFonts w:hint="eastAsia" w:ascii="宋体" w:hAnsi="宋体" w:cs="宋体"/>
                <w:b w:val="0"/>
                <w:sz w:val="21"/>
                <w:szCs w:val="24"/>
                <w:lang w:eastAsia="zh-CN"/>
              </w:rPr>
              <w:t>响应</w:t>
            </w:r>
            <w:r>
              <w:rPr>
                <w:rStyle w:val="23"/>
                <w:rFonts w:ascii="宋体" w:hAnsi="宋体" w:eastAsia="宋体" w:cs="宋体"/>
                <w:b w:val="0"/>
                <w:sz w:val="21"/>
                <w:szCs w:val="24"/>
              </w:rPr>
              <w:t>报价中最低的</w:t>
            </w:r>
            <w:r>
              <w:rPr>
                <w:rStyle w:val="23"/>
                <w:rFonts w:hint="eastAsia" w:ascii="宋体" w:hAnsi="宋体" w:cs="宋体"/>
                <w:b w:val="0"/>
                <w:sz w:val="21"/>
                <w:szCs w:val="24"/>
                <w:lang w:eastAsia="zh-CN"/>
              </w:rPr>
              <w:t>响应</w:t>
            </w:r>
            <w:r>
              <w:rPr>
                <w:rStyle w:val="23"/>
                <w:rFonts w:ascii="宋体" w:hAnsi="宋体" w:eastAsia="宋体" w:cs="宋体"/>
                <w:b w:val="0"/>
                <w:sz w:val="21"/>
                <w:szCs w:val="24"/>
              </w:rPr>
              <w:t>报价为评标基准价其价格分为满分；其他</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的价格分统一按照以下公式计算：</w:t>
            </w:r>
          </w:p>
          <w:p w14:paraId="732BA124">
            <w:pPr>
              <w:pStyle w:val="28"/>
              <w:jc w:val="left"/>
              <w:rPr>
                <w:rStyle w:val="23"/>
                <w:rFonts w:ascii="宋体" w:hAnsi="宋体" w:eastAsia="宋体" w:cs="宋体"/>
                <w:b w:val="0"/>
                <w:sz w:val="21"/>
                <w:szCs w:val="24"/>
              </w:rPr>
            </w:pPr>
            <w:r>
              <w:rPr>
                <w:rStyle w:val="23"/>
                <w:rFonts w:hint="eastAsia" w:ascii="宋体" w:hAnsi="宋体" w:cs="宋体"/>
                <w:b w:val="0"/>
                <w:sz w:val="21"/>
                <w:szCs w:val="24"/>
                <w:lang w:eastAsia="zh-CN"/>
              </w:rPr>
              <w:t>响应</w:t>
            </w:r>
            <w:r>
              <w:rPr>
                <w:rStyle w:val="23"/>
                <w:rFonts w:ascii="宋体" w:hAnsi="宋体" w:eastAsia="宋体" w:cs="宋体"/>
                <w:b w:val="0"/>
                <w:sz w:val="21"/>
                <w:szCs w:val="24"/>
              </w:rPr>
              <w:t>报价得分=（评标基准价/</w:t>
            </w:r>
            <w:r>
              <w:rPr>
                <w:rStyle w:val="23"/>
                <w:rFonts w:hint="eastAsia" w:ascii="宋体" w:hAnsi="宋体" w:cs="宋体"/>
                <w:b w:val="0"/>
                <w:sz w:val="21"/>
                <w:szCs w:val="24"/>
                <w:lang w:eastAsia="zh-CN"/>
              </w:rPr>
              <w:t>响应</w:t>
            </w:r>
            <w:r>
              <w:rPr>
                <w:rStyle w:val="23"/>
                <w:rFonts w:ascii="宋体" w:hAnsi="宋体" w:eastAsia="宋体" w:cs="宋体"/>
                <w:b w:val="0"/>
                <w:sz w:val="21"/>
                <w:szCs w:val="24"/>
              </w:rPr>
              <w:t>报价）×价格权值×100</w:t>
            </w:r>
          </w:p>
          <w:p w14:paraId="32498817">
            <w:pPr>
              <w:pStyle w:val="28"/>
              <w:jc w:val="left"/>
              <w:rPr>
                <w:rStyle w:val="23"/>
                <w:rFonts w:ascii="宋体" w:hAnsi="宋体" w:eastAsia="宋体" w:cs="宋体"/>
                <w:b w:val="0"/>
                <w:sz w:val="21"/>
                <w:szCs w:val="24"/>
              </w:rPr>
            </w:pPr>
            <w:r>
              <w:rPr>
                <w:rStyle w:val="23"/>
                <w:rFonts w:ascii="宋体" w:hAnsi="宋体" w:eastAsia="宋体" w:cs="宋体"/>
                <w:b w:val="0"/>
                <w:sz w:val="21"/>
                <w:szCs w:val="24"/>
              </w:rPr>
              <w:t>3、根据财政部第87号令第六十条规定，评标委员会认为</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的报价明显低于其他通过符合性审查</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的报价（“明显低于”可参照项目采购预算的90%），有可能影响产品质量或者不能诚信履约的，应当要求</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在评标现场合理时间内提供成本测算表；</w:t>
            </w:r>
            <w:r>
              <w:rPr>
                <w:rStyle w:val="23"/>
                <w:rFonts w:hint="eastAsia" w:ascii="宋体" w:hAnsi="宋体" w:eastAsia="宋体" w:cs="宋体"/>
                <w:b w:val="0"/>
                <w:sz w:val="21"/>
                <w:szCs w:val="24"/>
                <w:lang w:eastAsia="zh-CN"/>
              </w:rPr>
              <w:t>供应商</w:t>
            </w:r>
            <w:r>
              <w:rPr>
                <w:rStyle w:val="23"/>
                <w:rFonts w:ascii="宋体" w:hAnsi="宋体" w:eastAsia="宋体" w:cs="宋体"/>
                <w:b w:val="0"/>
                <w:sz w:val="21"/>
                <w:szCs w:val="24"/>
              </w:rPr>
              <w:t>在规定的时间内不能出具详细的成本测算表或不能证明其报价合理性的，作为无效</w:t>
            </w:r>
            <w:r>
              <w:rPr>
                <w:rStyle w:val="23"/>
                <w:rFonts w:hint="eastAsia" w:ascii="宋体" w:hAnsi="宋体" w:cs="宋体"/>
                <w:b w:val="0"/>
                <w:sz w:val="21"/>
                <w:szCs w:val="24"/>
                <w:lang w:eastAsia="zh-CN"/>
              </w:rPr>
              <w:t>响应</w:t>
            </w:r>
            <w:r>
              <w:rPr>
                <w:rStyle w:val="23"/>
                <w:rFonts w:ascii="宋体" w:hAnsi="宋体" w:eastAsia="宋体" w:cs="宋体"/>
                <w:b w:val="0"/>
                <w:sz w:val="21"/>
                <w:szCs w:val="24"/>
              </w:rPr>
              <w:t>处理。</w:t>
            </w:r>
          </w:p>
        </w:tc>
      </w:tr>
    </w:tbl>
    <w:p w14:paraId="0FF440E7">
      <w:pPr>
        <w:jc w:val="center"/>
        <w:rPr>
          <w:rFonts w:hint="default" w:ascii="宋体" w:hAnsi="宋体"/>
          <w:b/>
          <w:color w:val="auto"/>
          <w:sz w:val="28"/>
          <w:szCs w:val="28"/>
          <w:highlight w:val="none"/>
          <w:lang w:val="en-US" w:eastAsia="zh-CN"/>
        </w:rPr>
      </w:pPr>
    </w:p>
    <w:p w14:paraId="305EAE60">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
          <w:color w:val="auto"/>
          <w:szCs w:val="21"/>
          <w:highlight w:val="none"/>
        </w:rPr>
      </w:pPr>
      <w:r>
        <w:rPr>
          <w:rFonts w:ascii="Times New Roman" w:hAnsi="宋体" w:eastAsia="宋体" w:cs="Times New Roman"/>
          <w:b/>
          <w:color w:val="auto"/>
          <w:szCs w:val="21"/>
          <w:highlight w:val="none"/>
        </w:rPr>
        <w:t>推荐</w:t>
      </w:r>
      <w:r>
        <w:rPr>
          <w:rFonts w:hint="eastAsia" w:ascii="Times New Roman" w:hAnsi="宋体" w:eastAsia="宋体" w:cs="Times New Roman"/>
          <w:b/>
          <w:color w:val="auto"/>
          <w:szCs w:val="21"/>
          <w:highlight w:val="none"/>
        </w:rPr>
        <w:t>成交</w:t>
      </w:r>
      <w:r>
        <w:rPr>
          <w:rFonts w:ascii="Times New Roman" w:hAnsi="宋体" w:eastAsia="宋体" w:cs="Times New Roman"/>
          <w:b/>
          <w:color w:val="auto"/>
          <w:szCs w:val="21"/>
          <w:highlight w:val="none"/>
        </w:rPr>
        <w:t>候选人计算方法：</w:t>
      </w:r>
    </w:p>
    <w:p w14:paraId="10050896">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r>
        <w:rPr>
          <w:rFonts w:ascii="Times New Roman" w:hAnsi="宋体" w:eastAsia="宋体" w:cs="Times New Roman"/>
          <w:color w:val="auto"/>
          <w:szCs w:val="21"/>
          <w:highlight w:val="none"/>
        </w:rPr>
        <w:t>）、</w:t>
      </w:r>
      <w:r>
        <w:rPr>
          <w:rFonts w:hint="eastAsia" w:ascii="宋体" w:hAnsi="宋体" w:eastAsia="宋体" w:cs="宋体"/>
          <w:color w:val="auto"/>
          <w:szCs w:val="21"/>
          <w:highlight w:val="none"/>
        </w:rPr>
        <w:t>磋商响应人</w:t>
      </w:r>
      <w:r>
        <w:rPr>
          <w:rFonts w:ascii="Times New Roman" w:hAnsi="宋体" w:eastAsia="宋体" w:cs="Times New Roman"/>
          <w:color w:val="auto"/>
          <w:szCs w:val="21"/>
          <w:highlight w:val="none"/>
        </w:rPr>
        <w:t>的综合得分为：所有评标委员会成员对其评标的综合得分；</w:t>
      </w:r>
    </w:p>
    <w:p w14:paraId="51623A67">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w:t>
      </w:r>
      <w:r>
        <w:rPr>
          <w:rFonts w:ascii="Times New Roman" w:hAnsi="宋体" w:eastAsia="宋体" w:cs="Times New Roman"/>
          <w:color w:val="auto"/>
          <w:szCs w:val="21"/>
          <w:highlight w:val="none"/>
        </w:rPr>
        <w:t>）、计算过程中，算术平均值保留</w:t>
      </w:r>
      <w:r>
        <w:rPr>
          <w:rFonts w:ascii="Times New Roman" w:hAnsi="Times New Roman" w:eastAsia="宋体" w:cs="Times New Roman"/>
          <w:color w:val="auto"/>
          <w:szCs w:val="21"/>
          <w:highlight w:val="none"/>
        </w:rPr>
        <w:t>2</w:t>
      </w:r>
      <w:r>
        <w:rPr>
          <w:rFonts w:ascii="Times New Roman" w:hAnsi="宋体" w:eastAsia="宋体" w:cs="Times New Roman"/>
          <w:color w:val="auto"/>
          <w:szCs w:val="21"/>
          <w:highlight w:val="none"/>
        </w:rPr>
        <w:t>位小数（百分比亦取</w:t>
      </w:r>
      <w:r>
        <w:rPr>
          <w:rFonts w:ascii="Times New Roman" w:hAnsi="Times New Roman" w:eastAsia="宋体" w:cs="Times New Roman"/>
          <w:color w:val="auto"/>
          <w:szCs w:val="21"/>
          <w:highlight w:val="none"/>
        </w:rPr>
        <w:t>2</w:t>
      </w:r>
      <w:r>
        <w:rPr>
          <w:rFonts w:ascii="Times New Roman" w:hAnsi="宋体" w:eastAsia="宋体" w:cs="Times New Roman"/>
          <w:color w:val="auto"/>
          <w:szCs w:val="21"/>
          <w:highlight w:val="none"/>
        </w:rPr>
        <w:t>位小数），第三位小数四舍五入。</w:t>
      </w:r>
    </w:p>
    <w:p w14:paraId="2389EC73">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w:t>
      </w:r>
      <w:r>
        <w:rPr>
          <w:rFonts w:ascii="Times New Roman" w:hAnsi="宋体" w:eastAsia="宋体" w:cs="Times New Roman"/>
          <w:color w:val="auto"/>
          <w:szCs w:val="21"/>
          <w:highlight w:val="none"/>
        </w:rPr>
        <w:t>）、按评审后得分由高到低顺序排列。得分相同的，按</w:t>
      </w:r>
      <w:r>
        <w:rPr>
          <w:rFonts w:hint="eastAsia" w:hAnsi="宋体" w:cs="Times New Roman"/>
          <w:color w:val="auto"/>
          <w:szCs w:val="21"/>
          <w:highlight w:val="none"/>
          <w:lang w:eastAsia="zh-CN"/>
        </w:rPr>
        <w:t>响应</w:t>
      </w:r>
      <w:r>
        <w:rPr>
          <w:rFonts w:ascii="Times New Roman" w:hAnsi="宋体" w:eastAsia="宋体" w:cs="Times New Roman"/>
          <w:color w:val="auto"/>
          <w:szCs w:val="21"/>
          <w:highlight w:val="none"/>
        </w:rPr>
        <w:t>报价由低到高顺序排列。得分且</w:t>
      </w:r>
      <w:r>
        <w:rPr>
          <w:rFonts w:hint="eastAsia" w:hAnsi="宋体" w:cs="Times New Roman"/>
          <w:color w:val="auto"/>
          <w:szCs w:val="21"/>
          <w:highlight w:val="none"/>
          <w:lang w:eastAsia="zh-CN"/>
        </w:rPr>
        <w:t>响应</w:t>
      </w:r>
      <w:r>
        <w:rPr>
          <w:rFonts w:ascii="Times New Roman" w:hAnsi="宋体" w:eastAsia="宋体" w:cs="Times New Roman"/>
          <w:color w:val="auto"/>
          <w:szCs w:val="21"/>
          <w:highlight w:val="none"/>
        </w:rPr>
        <w:t>报价相同的，按技术指标优劣顺序排列。</w:t>
      </w:r>
    </w:p>
    <w:p w14:paraId="1215206A">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color w:val="auto"/>
          <w:kern w:val="0"/>
          <w:szCs w:val="21"/>
          <w:highlight w:val="none"/>
        </w:rPr>
      </w:pPr>
      <w:r>
        <w:rPr>
          <w:rFonts w:hint="eastAsia" w:ascii="宋体" w:hAnsi="宋体" w:eastAsia="宋体" w:cs="Courier New"/>
          <w:color w:val="auto"/>
          <w:szCs w:val="21"/>
          <w:highlight w:val="none"/>
        </w:rPr>
        <w:t>4）、</w:t>
      </w:r>
      <w:r>
        <w:rPr>
          <w:rFonts w:hint="eastAsia" w:ascii="宋体" w:hAnsi="宋体" w:eastAsia="宋体" w:cs="宋体"/>
          <w:color w:val="auto"/>
          <w:szCs w:val="21"/>
          <w:highlight w:val="none"/>
        </w:rPr>
        <w:t>磋商响应人</w:t>
      </w:r>
      <w:r>
        <w:rPr>
          <w:rFonts w:hint="eastAsia" w:ascii="宋体" w:hAnsi="宋体" w:eastAsia="宋体" w:cs="宋体"/>
          <w:color w:val="auto"/>
          <w:kern w:val="0"/>
          <w:szCs w:val="21"/>
          <w:highlight w:val="none"/>
        </w:rPr>
        <w:t>以虚假资料意图牟取中标的，一经查实，</w:t>
      </w:r>
      <w:r>
        <w:rPr>
          <w:rFonts w:hint="eastAsia" w:ascii="宋体" w:hAnsi="宋体" w:cs="宋体"/>
          <w:color w:val="auto"/>
          <w:kern w:val="0"/>
          <w:szCs w:val="21"/>
          <w:highlight w:val="none"/>
          <w:lang w:eastAsia="zh-CN"/>
        </w:rPr>
        <w:t>响应</w:t>
      </w:r>
      <w:r>
        <w:rPr>
          <w:rFonts w:hint="eastAsia" w:ascii="宋体" w:hAnsi="宋体" w:eastAsia="宋体" w:cs="宋体"/>
          <w:color w:val="auto"/>
          <w:kern w:val="0"/>
          <w:szCs w:val="21"/>
          <w:highlight w:val="none"/>
        </w:rPr>
        <w:t>无效且按磋商文件及《政府采购法》有关规定处理。</w:t>
      </w:r>
    </w:p>
    <w:p w14:paraId="23C622E6">
      <w:pPr>
        <w:rPr>
          <w:rFonts w:ascii="黑体" w:hAnsi="宋体" w:eastAsia="黑体"/>
          <w:color w:val="auto"/>
          <w:sz w:val="24"/>
          <w:highlight w:val="none"/>
        </w:rPr>
      </w:pPr>
      <w:r>
        <w:rPr>
          <w:rFonts w:hint="eastAsia" w:ascii="黑体" w:eastAsia="黑体"/>
          <w:color w:val="auto"/>
          <w:sz w:val="24"/>
          <w:highlight w:val="none"/>
        </w:rPr>
        <w:br w:type="page"/>
      </w:r>
      <w:r>
        <w:rPr>
          <w:rFonts w:hint="eastAsia" w:ascii="黑体" w:eastAsia="黑体"/>
          <w:color w:val="auto"/>
          <w:sz w:val="24"/>
          <w:highlight w:val="none"/>
        </w:rPr>
        <w:t>磋商须知</w:t>
      </w:r>
      <w:r>
        <w:rPr>
          <w:rFonts w:hint="eastAsia" w:ascii="黑体" w:hAnsi="宋体" w:eastAsia="黑体"/>
          <w:color w:val="auto"/>
          <w:sz w:val="24"/>
          <w:highlight w:val="none"/>
        </w:rPr>
        <w:t>正文</w:t>
      </w:r>
    </w:p>
    <w:p w14:paraId="417DF287">
      <w:pPr>
        <w:adjustRightInd w:val="0"/>
        <w:snapToGrid w:val="0"/>
        <w:spacing w:line="360" w:lineRule="auto"/>
        <w:outlineLvl w:val="1"/>
        <w:rPr>
          <w:rFonts w:ascii="黑体" w:hAnsi="宋体" w:eastAsia="黑体"/>
          <w:color w:val="auto"/>
          <w:sz w:val="24"/>
          <w:highlight w:val="none"/>
        </w:rPr>
      </w:pPr>
      <w:bookmarkStart w:id="23" w:name="_Toc514864838"/>
      <w:r>
        <w:rPr>
          <w:rFonts w:hint="eastAsia" w:ascii="黑体" w:hAnsi="宋体" w:eastAsia="黑体"/>
          <w:color w:val="auto"/>
          <w:sz w:val="24"/>
          <w:highlight w:val="none"/>
        </w:rPr>
        <w:t>一、说明</w:t>
      </w:r>
      <w:bookmarkEnd w:id="23"/>
    </w:p>
    <w:p w14:paraId="14E4F542">
      <w:pPr>
        <w:adjustRightInd w:val="0"/>
        <w:snapToGrid w:val="0"/>
        <w:spacing w:line="360" w:lineRule="auto"/>
        <w:outlineLvl w:val="2"/>
        <w:rPr>
          <w:rFonts w:ascii="宋体" w:hAnsi="宋体"/>
          <w:b/>
          <w:bCs/>
          <w:color w:val="auto"/>
          <w:szCs w:val="21"/>
          <w:highlight w:val="none"/>
        </w:rPr>
      </w:pPr>
      <w:bookmarkStart w:id="24" w:name="_Toc1121718503"/>
      <w:r>
        <w:rPr>
          <w:rFonts w:hint="eastAsia" w:ascii="宋体" w:hAnsi="宋体"/>
          <w:b/>
          <w:bCs/>
          <w:color w:val="auto"/>
          <w:szCs w:val="21"/>
          <w:highlight w:val="none"/>
        </w:rPr>
        <w:t>1.适用范围</w:t>
      </w:r>
      <w:bookmarkEnd w:id="24"/>
    </w:p>
    <w:p w14:paraId="38FA1211">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1.1 本磋商文件仅适用于磋商须知前附表(以下简称</w:t>
      </w:r>
      <w:r>
        <w:rPr>
          <w:rFonts w:hint="eastAsia" w:ascii="宋体" w:hAnsi="宋体"/>
          <w:b/>
          <w:color w:val="auto"/>
          <w:szCs w:val="21"/>
          <w:highlight w:val="none"/>
        </w:rPr>
        <w:t>磋商须知前附表)</w:t>
      </w:r>
      <w:r>
        <w:rPr>
          <w:rFonts w:hint="eastAsia" w:ascii="宋体" w:hAnsi="宋体"/>
          <w:color w:val="auto"/>
          <w:szCs w:val="21"/>
          <w:highlight w:val="none"/>
        </w:rPr>
        <w:t>中所叙述的采购项目。</w:t>
      </w:r>
    </w:p>
    <w:p w14:paraId="558FBBBF">
      <w:pPr>
        <w:pStyle w:val="45"/>
        <w:rPr>
          <w:rFonts w:hint="eastAsia" w:ascii="宋体" w:hAnsi="宋体"/>
          <w:color w:val="auto"/>
          <w:szCs w:val="21"/>
          <w:highlight w:val="none"/>
        </w:rPr>
      </w:pPr>
      <w:r>
        <w:rPr>
          <w:rFonts w:hint="eastAsia" w:ascii="宋体" w:hAnsi="宋体" w:eastAsia="宋体" w:cs="Times New Roman"/>
          <w:b/>
          <w:bCs/>
          <w:color w:val="auto"/>
          <w:kern w:val="2"/>
          <w:sz w:val="21"/>
          <w:szCs w:val="21"/>
          <w:highlight w:val="none"/>
          <w:lang w:val="en-US" w:eastAsia="zh-CN" w:bidi="ar-SA"/>
        </w:rPr>
        <w:t>1.2【磋商须知前附表】规定采购项目专门面向中小企业采购的，如</w:t>
      </w:r>
      <w:r>
        <w:rPr>
          <w:rFonts w:hint="eastAsia" w:ascii="宋体" w:hAnsi="宋体" w:cs="Times New Roman"/>
          <w:b/>
          <w:bCs/>
          <w:color w:val="auto"/>
          <w:kern w:val="2"/>
          <w:sz w:val="21"/>
          <w:szCs w:val="21"/>
          <w:highlight w:val="none"/>
          <w:lang w:val="en-US" w:eastAsia="zh-CN" w:bidi="ar-SA"/>
        </w:rPr>
        <w:t>供应商</w:t>
      </w:r>
      <w:r>
        <w:rPr>
          <w:rFonts w:hint="eastAsia" w:ascii="宋体" w:hAnsi="宋体" w:eastAsia="宋体" w:cs="Times New Roman"/>
          <w:b/>
          <w:bCs/>
          <w:color w:val="auto"/>
          <w:kern w:val="2"/>
          <w:sz w:val="21"/>
          <w:szCs w:val="21"/>
          <w:highlight w:val="none"/>
          <w:lang w:val="en-US" w:eastAsia="zh-CN" w:bidi="ar-SA"/>
        </w:rPr>
        <w:t>为非中小企业，其</w:t>
      </w:r>
      <w:r>
        <w:rPr>
          <w:rFonts w:hint="eastAsia" w:ascii="宋体" w:hAnsi="宋体" w:cs="Times New Roman"/>
          <w:b/>
          <w:bCs/>
          <w:color w:val="auto"/>
          <w:kern w:val="2"/>
          <w:sz w:val="21"/>
          <w:szCs w:val="21"/>
          <w:highlight w:val="none"/>
          <w:lang w:val="en-US" w:eastAsia="zh-CN" w:bidi="ar-SA"/>
        </w:rPr>
        <w:t>响应</w:t>
      </w:r>
      <w:r>
        <w:rPr>
          <w:rFonts w:hint="eastAsia" w:ascii="宋体" w:hAnsi="宋体" w:eastAsia="宋体" w:cs="Times New Roman"/>
          <w:b/>
          <w:bCs/>
          <w:color w:val="auto"/>
          <w:kern w:val="2"/>
          <w:sz w:val="21"/>
          <w:szCs w:val="21"/>
          <w:highlight w:val="none"/>
          <w:lang w:val="en-US" w:eastAsia="zh-CN" w:bidi="ar-SA"/>
        </w:rPr>
        <w:t>无效。</w:t>
      </w:r>
    </w:p>
    <w:p w14:paraId="1AAF9023">
      <w:pPr>
        <w:adjustRightInd w:val="0"/>
        <w:snapToGrid w:val="0"/>
        <w:spacing w:line="360" w:lineRule="auto"/>
        <w:outlineLvl w:val="2"/>
        <w:rPr>
          <w:rFonts w:ascii="宋体" w:hAnsi="宋体"/>
          <w:b/>
          <w:bCs/>
          <w:color w:val="auto"/>
          <w:szCs w:val="21"/>
          <w:highlight w:val="none"/>
        </w:rPr>
      </w:pPr>
      <w:bookmarkStart w:id="25" w:name="_Toc2111426555"/>
      <w:r>
        <w:rPr>
          <w:rFonts w:hint="eastAsia" w:ascii="宋体" w:hAnsi="宋体"/>
          <w:b/>
          <w:bCs/>
          <w:color w:val="auto"/>
          <w:szCs w:val="21"/>
          <w:highlight w:val="none"/>
        </w:rPr>
        <w:t>2.定义</w:t>
      </w:r>
      <w:bookmarkEnd w:id="25"/>
    </w:p>
    <w:p w14:paraId="5D34D744">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2.1 “采购人”是指依法进行政府采购的国家机关、事业单位、团体组织。本次政府采购的采购人名称、地址、电话、联系人见</w:t>
      </w:r>
      <w:r>
        <w:rPr>
          <w:rFonts w:hint="eastAsia" w:ascii="宋体" w:hAnsi="宋体"/>
          <w:b/>
          <w:color w:val="auto"/>
          <w:szCs w:val="21"/>
          <w:highlight w:val="none"/>
        </w:rPr>
        <w:t>磋商须知前附表</w:t>
      </w:r>
      <w:r>
        <w:rPr>
          <w:rFonts w:hint="eastAsia" w:ascii="宋体" w:hAnsi="宋体"/>
          <w:color w:val="auto"/>
          <w:szCs w:val="21"/>
          <w:highlight w:val="none"/>
        </w:rPr>
        <w:t>。</w:t>
      </w:r>
    </w:p>
    <w:p w14:paraId="4A0086E2">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2.2 “采购代理机构”是指接受采购人委托，代理采购项目的集中采购机构和其他采购代理机构。本次政府采购的采购代理机构名称、地址、电话、联系人见</w:t>
      </w:r>
      <w:r>
        <w:rPr>
          <w:rFonts w:hint="eastAsia" w:ascii="宋体" w:hAnsi="宋体"/>
          <w:b/>
          <w:color w:val="auto"/>
          <w:szCs w:val="21"/>
          <w:highlight w:val="none"/>
        </w:rPr>
        <w:t>磋商须知前附表。</w:t>
      </w:r>
    </w:p>
    <w:p w14:paraId="75B1DB4A">
      <w:pPr>
        <w:adjustRightInd w:val="0"/>
        <w:snapToGrid w:val="0"/>
        <w:spacing w:line="360" w:lineRule="auto"/>
        <w:ind w:firstLine="420" w:firstLineChars="200"/>
        <w:rPr>
          <w:rFonts w:ascii="宋体" w:hAnsi="宋体" w:cs="宋体"/>
          <w:bCs/>
          <w:color w:val="auto"/>
          <w:kern w:val="36"/>
          <w:szCs w:val="21"/>
          <w:highlight w:val="none"/>
        </w:rPr>
      </w:pPr>
      <w:r>
        <w:rPr>
          <w:rFonts w:hint="eastAsia" w:ascii="宋体" w:hAnsi="宋体"/>
          <w:color w:val="auto"/>
          <w:szCs w:val="21"/>
          <w:highlight w:val="none"/>
        </w:rPr>
        <w:t>2.3 “供应商”是指响应磋商文件要求、参加竞争性磋商采购的法人、其他组织或者自然人。本次政府采购项目</w:t>
      </w:r>
      <w:r>
        <w:rPr>
          <w:rFonts w:hint="eastAsia" w:ascii="宋体" w:hAnsi="宋体" w:cs="宋体"/>
          <w:color w:val="auto"/>
          <w:kern w:val="0"/>
          <w:szCs w:val="21"/>
          <w:highlight w:val="none"/>
        </w:rPr>
        <w:t>邀请</w:t>
      </w:r>
      <w:r>
        <w:rPr>
          <w:rFonts w:hint="eastAsia" w:ascii="宋体" w:hAnsi="宋体"/>
          <w:color w:val="auto"/>
          <w:szCs w:val="21"/>
          <w:highlight w:val="none"/>
        </w:rPr>
        <w:t>的</w:t>
      </w:r>
      <w:r>
        <w:rPr>
          <w:rFonts w:hint="eastAsia" w:ascii="宋体" w:hAnsi="宋体" w:cs="宋体"/>
          <w:color w:val="auto"/>
          <w:kern w:val="0"/>
          <w:szCs w:val="21"/>
          <w:highlight w:val="none"/>
        </w:rPr>
        <w:t>供应商通过</w:t>
      </w:r>
      <w:r>
        <w:rPr>
          <w:rFonts w:hint="eastAsia" w:ascii="宋体" w:hAnsi="宋体"/>
          <w:b/>
          <w:color w:val="auto"/>
          <w:szCs w:val="21"/>
          <w:highlight w:val="none"/>
        </w:rPr>
        <w:t>磋商须知前附表</w:t>
      </w:r>
      <w:r>
        <w:rPr>
          <w:rFonts w:hint="eastAsia" w:ascii="宋体" w:hAnsi="宋体"/>
          <w:color w:val="auto"/>
          <w:szCs w:val="21"/>
          <w:highlight w:val="none"/>
        </w:rPr>
        <w:t>所述方式</w:t>
      </w:r>
      <w:r>
        <w:rPr>
          <w:rFonts w:hint="eastAsia" w:ascii="宋体" w:hAnsi="宋体" w:cs="宋体"/>
          <w:color w:val="auto"/>
          <w:kern w:val="0"/>
          <w:szCs w:val="21"/>
          <w:highlight w:val="none"/>
        </w:rPr>
        <w:t>，邀请符合资格条件的供应商提交响应文件（含资格证明资料），参与竞争性磋商采购活动。</w:t>
      </w:r>
    </w:p>
    <w:p w14:paraId="2F81A3BB">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olor w:val="auto"/>
          <w:szCs w:val="21"/>
          <w:highlight w:val="none"/>
        </w:rPr>
        <w:t>2.4 “磋商小组”是指</w:t>
      </w:r>
      <w:r>
        <w:rPr>
          <w:rFonts w:hint="eastAsia" w:ascii="宋体" w:hAnsi="宋体" w:cs="宋体"/>
          <w:color w:val="auto"/>
          <w:kern w:val="0"/>
          <w:szCs w:val="21"/>
          <w:highlight w:val="none"/>
        </w:rPr>
        <w:t>依据财政部</w:t>
      </w:r>
      <w:r>
        <w:rPr>
          <w:rFonts w:ascii="宋体" w:hAnsi="宋体" w:cs="宋体"/>
          <w:bCs/>
          <w:color w:val="auto"/>
          <w:kern w:val="36"/>
          <w:szCs w:val="21"/>
          <w:highlight w:val="none"/>
        </w:rPr>
        <w:t>《</w:t>
      </w:r>
      <w:r>
        <w:rPr>
          <w:rFonts w:hint="eastAsia" w:ascii="宋体" w:hAnsi="宋体" w:cs="宋体"/>
          <w:bCs/>
          <w:color w:val="auto"/>
          <w:kern w:val="36"/>
          <w:szCs w:val="21"/>
          <w:highlight w:val="none"/>
        </w:rPr>
        <w:t>政府采购竞争性磋商采购方式管理暂行办法</w:t>
      </w:r>
      <w:r>
        <w:rPr>
          <w:rFonts w:ascii="宋体" w:hAnsi="宋体" w:cs="宋体"/>
          <w:bCs/>
          <w:color w:val="auto"/>
          <w:kern w:val="36"/>
          <w:szCs w:val="21"/>
          <w:highlight w:val="none"/>
        </w:rPr>
        <w:t>》</w:t>
      </w:r>
      <w:r>
        <w:rPr>
          <w:rFonts w:hint="eastAsia" w:ascii="宋体" w:hAnsi="宋体" w:cs="宋体"/>
          <w:bCs/>
          <w:color w:val="auto"/>
          <w:kern w:val="36"/>
          <w:szCs w:val="21"/>
          <w:highlight w:val="none"/>
        </w:rPr>
        <w:t>有关规定组建，依法依规</w:t>
      </w:r>
      <w:r>
        <w:rPr>
          <w:rFonts w:hint="eastAsia" w:ascii="宋体" w:hAnsi="宋体" w:cs="宋体"/>
          <w:color w:val="auto"/>
          <w:kern w:val="0"/>
          <w:szCs w:val="21"/>
          <w:highlight w:val="none"/>
        </w:rPr>
        <w:t>履行其职责和义务的机构。</w:t>
      </w:r>
    </w:p>
    <w:p w14:paraId="35094DD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2.5 “货物”是指各种形态和种类的物品，包括原资料、燃料、设备、产品等，详见《政府采购品目分类目录》财库[2022]31号)。</w:t>
      </w:r>
    </w:p>
    <w:p w14:paraId="5F4AD94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 “工程”是指建设工程，包括建筑物和构筑物的新建、改建、扩建、装修、拆除、修缮等，详见</w:t>
      </w:r>
      <w:r>
        <w:rPr>
          <w:rFonts w:hint="eastAsia" w:ascii="宋体" w:hAnsi="宋体"/>
          <w:color w:val="auto"/>
          <w:szCs w:val="21"/>
          <w:highlight w:val="none"/>
          <w:lang w:eastAsia="zh-CN"/>
        </w:rPr>
        <w:t>《政府采购品目分类目录》财库[2022]31号)</w:t>
      </w:r>
      <w:r>
        <w:rPr>
          <w:rFonts w:hint="eastAsia" w:ascii="宋体" w:hAnsi="宋体"/>
          <w:color w:val="auto"/>
          <w:szCs w:val="21"/>
          <w:highlight w:val="none"/>
        </w:rPr>
        <w:t>。</w:t>
      </w:r>
    </w:p>
    <w:p w14:paraId="41BD2DF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2.7 “服务”是指除货物和工程以外的其他政府采购对象，详见</w:t>
      </w:r>
      <w:r>
        <w:rPr>
          <w:rFonts w:hint="eastAsia" w:ascii="宋体" w:hAnsi="宋体"/>
          <w:color w:val="auto"/>
          <w:szCs w:val="21"/>
          <w:highlight w:val="none"/>
          <w:lang w:eastAsia="zh-CN"/>
        </w:rPr>
        <w:t>《政府采购品目分类目录》财库[2022]31号)</w:t>
      </w:r>
      <w:r>
        <w:rPr>
          <w:rFonts w:hint="eastAsia" w:ascii="宋体" w:hAnsi="宋体"/>
          <w:color w:val="auto"/>
          <w:szCs w:val="21"/>
          <w:highlight w:val="none"/>
        </w:rPr>
        <w:t>。</w:t>
      </w:r>
    </w:p>
    <w:p w14:paraId="6BC05C61">
      <w:pPr>
        <w:adjustRightInd w:val="0"/>
        <w:snapToGrid w:val="0"/>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2.8</w:t>
      </w:r>
      <w:r>
        <w:rPr>
          <w:rFonts w:hint="eastAsia" w:ascii="宋体" w:hAnsi="宋体"/>
          <w:color w:val="auto"/>
          <w:szCs w:val="21"/>
          <w:highlight w:val="none"/>
        </w:rPr>
        <w:t xml:space="preserve"> “节能产品”或者“环保产品”是指财政部发布的《节能产品政府采购清单》或者《环境标志产品政府采购清单》的产品。</w:t>
      </w:r>
    </w:p>
    <w:p w14:paraId="27DD992A">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olor w:val="auto"/>
          <w:szCs w:val="21"/>
          <w:highlight w:val="none"/>
        </w:rPr>
        <w:t>2.9</w:t>
      </w:r>
      <w:r>
        <w:rPr>
          <w:rFonts w:hint="eastAsia" w:ascii="宋体" w:hAnsi="宋体" w:cs="宋体"/>
          <w:color w:val="auto"/>
          <w:kern w:val="0"/>
          <w:szCs w:val="21"/>
          <w:highlight w:val="none"/>
        </w:rPr>
        <w:t xml:space="preserve"> “进口产品”是指通过中国海关报关验放进入中国境内且产自关境外的产品，详见《政府采购进口产品管理办法》（财库[2007]119号）及《财政部办公厅关于政府采购进口产品管理有关问题的通知》（财办库[2008]248号）。</w:t>
      </w:r>
    </w:p>
    <w:p w14:paraId="1B66E2E4">
      <w:pPr>
        <w:adjustRightInd w:val="0"/>
        <w:snapToGrid w:val="0"/>
        <w:spacing w:line="360" w:lineRule="auto"/>
        <w:outlineLvl w:val="2"/>
        <w:rPr>
          <w:rFonts w:ascii="宋体" w:hAnsi="宋体"/>
          <w:b/>
          <w:bCs/>
          <w:color w:val="auto"/>
          <w:szCs w:val="21"/>
          <w:highlight w:val="none"/>
        </w:rPr>
      </w:pPr>
      <w:bookmarkStart w:id="26" w:name="_Toc1726326857"/>
      <w:r>
        <w:rPr>
          <w:rFonts w:hint="eastAsia" w:ascii="宋体" w:hAnsi="宋体"/>
          <w:b/>
          <w:bCs/>
          <w:color w:val="auto"/>
          <w:szCs w:val="21"/>
          <w:highlight w:val="none"/>
        </w:rPr>
        <w:t>3.供应商的资格要求</w:t>
      </w:r>
      <w:bookmarkEnd w:id="26"/>
    </w:p>
    <w:p w14:paraId="41013704">
      <w:pPr>
        <w:adjustRightInd w:val="0"/>
        <w:snapToGrid w:val="0"/>
        <w:spacing w:line="360" w:lineRule="auto"/>
        <w:ind w:firstLine="420" w:firstLineChars="200"/>
        <w:outlineLvl w:val="3"/>
        <w:rPr>
          <w:rFonts w:ascii="宋体" w:hAnsi="宋体"/>
          <w:color w:val="auto"/>
          <w:szCs w:val="21"/>
          <w:highlight w:val="none"/>
        </w:rPr>
      </w:pPr>
      <w:r>
        <w:rPr>
          <w:rFonts w:hint="eastAsia" w:ascii="宋体" w:hAnsi="宋体"/>
          <w:color w:val="auto"/>
          <w:szCs w:val="21"/>
          <w:highlight w:val="none"/>
        </w:rPr>
        <w:t>3.1 供应商应当符合</w:t>
      </w:r>
      <w:r>
        <w:rPr>
          <w:rFonts w:hint="eastAsia" w:ascii="宋体" w:hAnsi="宋体"/>
          <w:b/>
          <w:color w:val="auto"/>
          <w:szCs w:val="21"/>
          <w:highlight w:val="none"/>
        </w:rPr>
        <w:t>磋商须知前附表</w:t>
      </w:r>
      <w:r>
        <w:rPr>
          <w:rFonts w:hint="eastAsia" w:ascii="宋体" w:hAnsi="宋体"/>
          <w:color w:val="auto"/>
          <w:szCs w:val="21"/>
          <w:highlight w:val="none"/>
        </w:rPr>
        <w:t>中规定的资格条件要求。</w:t>
      </w:r>
    </w:p>
    <w:p w14:paraId="2FF1540D">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3.2供应商</w:t>
      </w:r>
      <w:r>
        <w:rPr>
          <w:rFonts w:hint="eastAsia" w:hAnsi="宋体"/>
          <w:color w:val="auto"/>
          <w:highlight w:val="none"/>
        </w:rPr>
        <w:t>为联合体形式的</w:t>
      </w:r>
      <w:r>
        <w:rPr>
          <w:rFonts w:hint="eastAsia" w:ascii="宋体" w:hAnsi="宋体"/>
          <w:color w:val="auto"/>
          <w:szCs w:val="21"/>
          <w:highlight w:val="none"/>
        </w:rPr>
        <w:t xml:space="preserve">，除应满足本章第3.1款资格条件要求及第3.3款规定外，还应遵守以下规定： </w:t>
      </w:r>
    </w:p>
    <w:p w14:paraId="7ACD310F">
      <w:pPr>
        <w:adjustRightInd w:val="0"/>
        <w:snapToGrid w:val="0"/>
        <w:spacing w:line="360" w:lineRule="auto"/>
        <w:ind w:firstLine="420" w:firstLineChars="20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（1）联合体各方应按磋商文件提供的格式签订联合体协议书，明确联合体牵头人和各方权利义务(含承担工作及工作量比例)；</w:t>
      </w:r>
    </w:p>
    <w:p w14:paraId="67044BC0">
      <w:pPr>
        <w:adjustRightInd w:val="0"/>
        <w:snapToGrid w:val="0"/>
        <w:spacing w:line="360" w:lineRule="auto"/>
        <w:ind w:firstLine="420" w:firstLineChars="20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（2）联合体中有同类资质的供应商按照联合体分工承担相同工作的，应当按照资质等级较低的供应商确定资质等级；</w:t>
      </w:r>
    </w:p>
    <w:p w14:paraId="08FD32DD">
      <w:pPr>
        <w:adjustRightInd w:val="0"/>
        <w:snapToGrid w:val="0"/>
        <w:spacing w:line="360" w:lineRule="auto"/>
        <w:ind w:firstLine="420" w:firstLineChars="20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（3）以联合体形式参加政府采购活动的，联合体各方不得再单独参加或者与其他供应商另外组成联合体参加同一合同项下的政府采购活动。</w:t>
      </w:r>
    </w:p>
    <w:p w14:paraId="61794D21">
      <w:pPr>
        <w:adjustRightInd w:val="0"/>
        <w:snapToGrid w:val="0"/>
        <w:spacing w:line="360" w:lineRule="auto"/>
        <w:ind w:firstLine="420" w:firstLineChars="200"/>
        <w:outlineLvl w:val="3"/>
        <w:rPr>
          <w:rFonts w:ascii="宋体" w:hAnsi="宋体"/>
          <w:color w:val="auto"/>
          <w:szCs w:val="21"/>
          <w:highlight w:val="none"/>
        </w:rPr>
      </w:pPr>
      <w:r>
        <w:rPr>
          <w:rFonts w:hint="eastAsia" w:ascii="宋体" w:hAnsi="宋体"/>
          <w:color w:val="auto"/>
          <w:szCs w:val="21"/>
          <w:highlight w:val="none"/>
        </w:rPr>
        <w:t>3.3 供应商不得存在下列情形之一：</w:t>
      </w:r>
    </w:p>
    <w:p w14:paraId="093BEEC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（l）与采购人、采购代理机构存在</w:t>
      </w:r>
      <w:r>
        <w:rPr>
          <w:rFonts w:hint="eastAsia" w:ascii="宋体" w:hAnsi="宋体"/>
          <w:bCs/>
          <w:color w:val="auto"/>
          <w:szCs w:val="21"/>
          <w:highlight w:val="none"/>
        </w:rPr>
        <w:t>隶属关系或者其他利害关系</w:t>
      </w:r>
      <w:r>
        <w:rPr>
          <w:rFonts w:hint="eastAsia" w:ascii="宋体" w:hAnsi="宋体"/>
          <w:color w:val="auto"/>
          <w:szCs w:val="21"/>
          <w:highlight w:val="none"/>
        </w:rPr>
        <w:t>。</w:t>
      </w:r>
    </w:p>
    <w:p w14:paraId="0AFDD52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（2）与其他供应商的法定代表人（或者负责人）为同一人，或者与其他供应商存在直接控股、管理关系。</w:t>
      </w:r>
    </w:p>
    <w:p w14:paraId="19EDA3B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w:t>
      </w:r>
      <w:r>
        <w:rPr>
          <w:rFonts w:hint="eastAsia" w:ascii="宋体" w:hAnsi="宋体"/>
          <w:bCs/>
          <w:color w:val="auto"/>
          <w:szCs w:val="21"/>
          <w:highlight w:val="none"/>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olor w:val="auto"/>
          <w:szCs w:val="21"/>
          <w:highlight w:val="none"/>
        </w:rPr>
        <w:t>财政部门认定的其他重大违法记录。</w:t>
      </w:r>
    </w:p>
    <w:p w14:paraId="22C5C63C">
      <w:pPr>
        <w:adjustRightInd w:val="0"/>
        <w:snapToGrid w:val="0"/>
        <w:spacing w:line="360" w:lineRule="auto"/>
        <w:outlineLvl w:val="2"/>
        <w:rPr>
          <w:rFonts w:ascii="宋体" w:hAnsi="宋体"/>
          <w:b/>
          <w:bCs/>
          <w:color w:val="auto"/>
          <w:szCs w:val="21"/>
          <w:highlight w:val="none"/>
        </w:rPr>
      </w:pPr>
      <w:bookmarkStart w:id="27" w:name="_Toc1871414629"/>
      <w:r>
        <w:rPr>
          <w:rFonts w:hint="eastAsia" w:ascii="宋体" w:hAnsi="宋体"/>
          <w:b/>
          <w:bCs/>
          <w:color w:val="auto"/>
          <w:szCs w:val="21"/>
          <w:highlight w:val="none"/>
        </w:rPr>
        <w:t>4.参与磋商的费用</w:t>
      </w:r>
      <w:bookmarkEnd w:id="27"/>
      <w:r>
        <w:rPr>
          <w:rFonts w:hint="eastAsia" w:ascii="宋体" w:hAnsi="宋体"/>
          <w:b/>
          <w:bCs/>
          <w:color w:val="auto"/>
          <w:szCs w:val="21"/>
          <w:highlight w:val="none"/>
        </w:rPr>
        <w:t xml:space="preserve"> </w:t>
      </w:r>
    </w:p>
    <w:p w14:paraId="5D8E446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 无论磋商的结果如何，供应商应自行承担所有与竞争性磋商采购活动有关的全部费用。</w:t>
      </w:r>
    </w:p>
    <w:p w14:paraId="436ABEFB">
      <w:pPr>
        <w:pStyle w:val="12"/>
        <w:adjustRightInd w:val="0"/>
        <w:snapToGrid w:val="0"/>
        <w:spacing w:line="360" w:lineRule="auto"/>
        <w:outlineLvl w:val="2"/>
        <w:rPr>
          <w:rFonts w:hAnsi="宋体"/>
          <w:b/>
          <w:bCs/>
          <w:color w:val="auto"/>
          <w:highlight w:val="none"/>
        </w:rPr>
      </w:pPr>
      <w:bookmarkStart w:id="28" w:name="_Toc820175641"/>
      <w:r>
        <w:rPr>
          <w:rFonts w:hint="eastAsia" w:hAnsi="宋体"/>
          <w:b/>
          <w:color w:val="auto"/>
          <w:highlight w:val="none"/>
        </w:rPr>
        <w:t>5．</w:t>
      </w:r>
      <w:r>
        <w:rPr>
          <w:rFonts w:hint="eastAsia" w:hAnsi="宋体"/>
          <w:b/>
          <w:bCs/>
          <w:color w:val="auto"/>
          <w:highlight w:val="none"/>
        </w:rPr>
        <w:t>授权委托</w:t>
      </w:r>
      <w:bookmarkEnd w:id="28"/>
    </w:p>
    <w:p w14:paraId="2FCE8A33">
      <w:pPr>
        <w:pStyle w:val="12"/>
        <w:adjustRightInd w:val="0"/>
        <w:snapToGrid w:val="0"/>
        <w:spacing w:line="360" w:lineRule="auto"/>
        <w:ind w:firstLine="420" w:firstLineChars="200"/>
        <w:rPr>
          <w:rFonts w:hAnsi="宋体"/>
          <w:color w:val="auto"/>
          <w:highlight w:val="none"/>
        </w:rPr>
      </w:pPr>
      <w:r>
        <w:rPr>
          <w:rFonts w:hint="eastAsia" w:hAnsi="宋体"/>
          <w:color w:val="auto"/>
          <w:kern w:val="2"/>
          <w:sz w:val="21"/>
          <w:highlight w:val="none"/>
        </w:rPr>
        <w:t>5.1供应商代表为供应商法定代表人的，应持有法定代表人身份证明。供应商代表不是供应商法定代表人的，应持有法定代表人授权书，并附法定代表人身份证明。</w:t>
      </w:r>
    </w:p>
    <w:p w14:paraId="539FE7DC">
      <w:pPr>
        <w:pStyle w:val="12"/>
        <w:adjustRightInd w:val="0"/>
        <w:snapToGrid w:val="0"/>
        <w:spacing w:line="360" w:lineRule="auto"/>
        <w:outlineLvl w:val="2"/>
        <w:rPr>
          <w:rFonts w:hAnsi="宋体"/>
          <w:b/>
          <w:color w:val="auto"/>
          <w:highlight w:val="none"/>
        </w:rPr>
      </w:pPr>
      <w:bookmarkStart w:id="29" w:name="_Toc2141951841"/>
      <w:r>
        <w:rPr>
          <w:rFonts w:hint="eastAsia" w:hAnsi="宋体"/>
          <w:b/>
          <w:color w:val="auto"/>
          <w:highlight w:val="none"/>
        </w:rPr>
        <w:t>6．联合体形式</w:t>
      </w:r>
      <w:bookmarkEnd w:id="29"/>
    </w:p>
    <w:p w14:paraId="114D731B">
      <w:pPr>
        <w:pStyle w:val="12"/>
        <w:adjustRightInd w:val="0"/>
        <w:snapToGrid w:val="0"/>
        <w:spacing w:line="360" w:lineRule="auto"/>
        <w:ind w:firstLine="400" w:firstLineChars="200"/>
        <w:rPr>
          <w:rFonts w:hAnsi="宋体"/>
          <w:color w:val="auto"/>
          <w:highlight w:val="none"/>
        </w:rPr>
      </w:pPr>
      <w:r>
        <w:rPr>
          <w:rFonts w:hint="eastAsia" w:hAnsi="宋体"/>
          <w:color w:val="auto"/>
          <w:highlight w:val="none"/>
        </w:rPr>
        <w:t>6.1</w:t>
      </w:r>
      <w:r>
        <w:rPr>
          <w:rFonts w:hint="eastAsia" w:hAnsi="宋体"/>
          <w:color w:val="auto"/>
          <w:kern w:val="2"/>
          <w:sz w:val="21"/>
          <w:highlight w:val="none"/>
        </w:rPr>
        <w:t>除</w:t>
      </w:r>
      <w:r>
        <w:rPr>
          <w:rFonts w:hint="eastAsia" w:hAnsi="宋体"/>
          <w:b/>
          <w:color w:val="auto"/>
          <w:kern w:val="2"/>
          <w:sz w:val="21"/>
          <w:szCs w:val="24"/>
          <w:highlight w:val="none"/>
        </w:rPr>
        <w:t>磋商须知前附表</w:t>
      </w:r>
      <w:r>
        <w:rPr>
          <w:rFonts w:hint="eastAsia" w:hAnsi="宋体"/>
          <w:color w:val="auto"/>
          <w:kern w:val="2"/>
          <w:sz w:val="21"/>
          <w:highlight w:val="none"/>
        </w:rPr>
        <w:t>中另有规定，本次谈判采购不接受为联合体形式的供应商。</w:t>
      </w:r>
    </w:p>
    <w:p w14:paraId="015DAD27">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6.2供应商</w:t>
      </w:r>
      <w:r>
        <w:rPr>
          <w:rFonts w:hint="eastAsia" w:hAnsi="宋体"/>
          <w:color w:val="auto"/>
          <w:highlight w:val="none"/>
        </w:rPr>
        <w:t>为联合体形式的</w:t>
      </w:r>
      <w:r>
        <w:rPr>
          <w:rFonts w:hint="eastAsia" w:ascii="宋体" w:hAnsi="宋体"/>
          <w:color w:val="auto"/>
          <w:szCs w:val="21"/>
          <w:highlight w:val="none"/>
        </w:rPr>
        <w:t>，除应符合本章第3条规定外，还应遵守以下规定：</w:t>
      </w:r>
    </w:p>
    <w:p w14:paraId="1C45428E">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（l）联合体各方必须签订联合体协议书，明确联合体牵头人和各方的义务、工作、合同工作量比例；</w:t>
      </w:r>
    </w:p>
    <w:p w14:paraId="36A03E7F">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（2）联合体各方均应当符合本章第3.1</w:t>
      </w:r>
      <w:r>
        <w:rPr>
          <w:rFonts w:hint="eastAsia" w:ascii="宋体" w:hAnsi="宋体"/>
          <w:color w:val="auto"/>
          <w:szCs w:val="21"/>
          <w:highlight w:val="none"/>
          <w:lang w:val="zh-CN"/>
        </w:rPr>
        <w:t>款</w:t>
      </w:r>
      <w:r>
        <w:rPr>
          <w:rFonts w:hint="eastAsia" w:ascii="宋体" w:hAnsi="宋体"/>
          <w:color w:val="auto"/>
          <w:szCs w:val="21"/>
          <w:highlight w:val="none"/>
        </w:rPr>
        <w:t>规定的供应商基本资格条件；</w:t>
      </w:r>
    </w:p>
    <w:p w14:paraId="26C2553E">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w:t>
      </w:r>
      <w:r>
        <w:rPr>
          <w:rFonts w:hint="eastAsia" w:ascii="宋体" w:hAnsi="宋体"/>
          <w:color w:val="auto"/>
          <w:highlight w:val="none"/>
        </w:rPr>
        <w:t>除</w:t>
      </w:r>
      <w:r>
        <w:rPr>
          <w:rFonts w:hint="eastAsia" w:ascii="宋体" w:hAnsi="宋体"/>
          <w:b/>
          <w:color w:val="auto"/>
          <w:highlight w:val="none"/>
        </w:rPr>
        <w:t>磋商须知前附表</w:t>
      </w:r>
      <w:r>
        <w:rPr>
          <w:rFonts w:hint="eastAsia" w:ascii="宋体" w:hAnsi="宋体"/>
          <w:color w:val="auto"/>
          <w:highlight w:val="none"/>
        </w:rPr>
        <w:t>中另有规定，</w:t>
      </w:r>
      <w:r>
        <w:rPr>
          <w:rFonts w:hint="eastAsia" w:ascii="宋体" w:hAnsi="宋体"/>
          <w:color w:val="auto"/>
          <w:szCs w:val="21"/>
          <w:highlight w:val="none"/>
        </w:rPr>
        <w:t>联合体各方中至少有一方应当符合本章第3.1</w:t>
      </w:r>
      <w:r>
        <w:rPr>
          <w:rFonts w:hint="eastAsia" w:ascii="宋体" w:hAnsi="宋体" w:cs="宋体"/>
          <w:color w:val="auto"/>
          <w:kern w:val="0"/>
          <w:szCs w:val="21"/>
          <w:highlight w:val="none"/>
          <w:lang w:val="zh-CN"/>
        </w:rPr>
        <w:t>款</w:t>
      </w:r>
      <w:r>
        <w:rPr>
          <w:rFonts w:hint="eastAsia" w:ascii="宋体" w:hAnsi="宋体"/>
          <w:color w:val="auto"/>
          <w:szCs w:val="21"/>
          <w:highlight w:val="none"/>
        </w:rPr>
        <w:t>规定的供应商特定资格条件；</w:t>
      </w:r>
    </w:p>
    <w:p w14:paraId="50A20A90">
      <w:pPr>
        <w:adjustRightInd w:val="0"/>
        <w:snapToGrid w:val="0"/>
        <w:spacing w:line="360" w:lineRule="auto"/>
        <w:ind w:firstLine="420" w:firstLineChars="200"/>
        <w:jc w:val="left"/>
        <w:rPr>
          <w:rFonts w:ascii="宋体" w:hAnsi="宋体" w:cs="宋体"/>
          <w:color w:val="auto"/>
          <w:kern w:val="0"/>
          <w:szCs w:val="21"/>
          <w:highlight w:val="none"/>
          <w:lang w:val="zh-CN"/>
        </w:rPr>
      </w:pPr>
      <w:r>
        <w:rPr>
          <w:rFonts w:hint="eastAsia" w:ascii="宋体" w:hAnsi="宋体"/>
          <w:color w:val="auto"/>
          <w:szCs w:val="21"/>
          <w:highlight w:val="none"/>
        </w:rPr>
        <w:t>（4）</w:t>
      </w:r>
      <w:r>
        <w:rPr>
          <w:rFonts w:hint="eastAsia" w:ascii="宋体" w:hAnsi="宋体" w:cs="宋体"/>
          <w:color w:val="auto"/>
          <w:kern w:val="0"/>
          <w:szCs w:val="21"/>
          <w:highlight w:val="none"/>
          <w:lang w:val="zh-CN"/>
        </w:rPr>
        <w:t>联合体各方不得再单独或与其他供应商组成新的联合体参加同一项目的采购活动。</w:t>
      </w:r>
    </w:p>
    <w:p w14:paraId="07BBC0DD">
      <w:pPr>
        <w:adjustRightInd w:val="0"/>
        <w:snapToGrid w:val="0"/>
        <w:spacing w:line="360" w:lineRule="auto"/>
        <w:outlineLvl w:val="2"/>
        <w:rPr>
          <w:rFonts w:ascii="宋体" w:hAnsi="宋体"/>
          <w:b/>
          <w:color w:val="auto"/>
          <w:szCs w:val="21"/>
          <w:highlight w:val="none"/>
        </w:rPr>
      </w:pPr>
      <w:bookmarkStart w:id="30" w:name="_Toc1516217026"/>
      <w:r>
        <w:rPr>
          <w:rFonts w:hint="eastAsia" w:ascii="宋体" w:hAnsi="宋体"/>
          <w:b/>
          <w:color w:val="auto"/>
          <w:szCs w:val="21"/>
          <w:highlight w:val="none"/>
        </w:rPr>
        <w:t>7.现场勘察</w:t>
      </w:r>
      <w:bookmarkEnd w:id="30"/>
    </w:p>
    <w:p w14:paraId="7B38448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7.1供应商应按</w:t>
      </w:r>
      <w:r>
        <w:rPr>
          <w:rFonts w:hint="eastAsia" w:hAnsi="宋体"/>
          <w:b/>
          <w:color w:val="auto"/>
          <w:highlight w:val="none"/>
        </w:rPr>
        <w:t>磋商须知前附表</w:t>
      </w:r>
      <w:r>
        <w:rPr>
          <w:rFonts w:hint="eastAsia" w:ascii="宋体" w:hAnsi="宋体"/>
          <w:color w:val="auto"/>
          <w:szCs w:val="21"/>
          <w:highlight w:val="none"/>
        </w:rPr>
        <w:t>中规定对采购项目现场和周围环境的现场考察。</w:t>
      </w:r>
    </w:p>
    <w:p w14:paraId="1038725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7.2勘察现场的费用由供应商自己承担，勘察期间所发生的人身伤害及财产损失由供应商自己负责。</w:t>
      </w:r>
    </w:p>
    <w:p w14:paraId="3251D0CE">
      <w:pPr>
        <w:adjustRightInd w:val="0"/>
        <w:snapToGrid w:val="0"/>
        <w:spacing w:line="360" w:lineRule="auto"/>
        <w:ind w:firstLine="420" w:firstLineChars="200"/>
        <w:jc w:val="left"/>
        <w:rPr>
          <w:rFonts w:ascii="宋体" w:hAnsi="宋体" w:cs="宋体"/>
          <w:color w:val="auto"/>
          <w:kern w:val="0"/>
          <w:szCs w:val="21"/>
          <w:highlight w:val="none"/>
          <w:lang w:val="zh-CN"/>
        </w:rPr>
      </w:pPr>
      <w:r>
        <w:rPr>
          <w:rFonts w:hint="eastAsia" w:ascii="宋体" w:hAnsi="宋体"/>
          <w:color w:val="auto"/>
          <w:szCs w:val="21"/>
          <w:highlight w:val="none"/>
        </w:rPr>
        <w:t>7.3</w:t>
      </w:r>
      <w:r>
        <w:rPr>
          <w:rFonts w:hint="eastAsia" w:ascii="宋体" w:hAnsi="宋体" w:cs="宋体"/>
          <w:color w:val="auto"/>
          <w:kern w:val="0"/>
          <w:szCs w:val="21"/>
          <w:highlight w:val="none"/>
          <w:lang w:val="zh-CN"/>
        </w:rPr>
        <w:t>采购人不对供应商据此而做出的推论、理解和结论负责。一旦成交，供应商不得以任何借口，提出额外补偿，或延长合同期限的要求。</w:t>
      </w:r>
    </w:p>
    <w:p w14:paraId="0581638E">
      <w:pPr>
        <w:adjustRightInd w:val="0"/>
        <w:snapToGrid w:val="0"/>
        <w:spacing w:line="360" w:lineRule="auto"/>
        <w:jc w:val="left"/>
        <w:outlineLvl w:val="2"/>
        <w:rPr>
          <w:rFonts w:ascii="宋体" w:hAnsi="宋体"/>
          <w:b/>
          <w:color w:val="auto"/>
          <w:szCs w:val="21"/>
          <w:highlight w:val="none"/>
        </w:rPr>
      </w:pPr>
      <w:bookmarkStart w:id="31" w:name="_Toc1018600680"/>
      <w:r>
        <w:rPr>
          <w:rFonts w:hint="eastAsia" w:ascii="宋体" w:hAnsi="宋体"/>
          <w:b/>
          <w:color w:val="auto"/>
          <w:szCs w:val="21"/>
          <w:highlight w:val="none"/>
        </w:rPr>
        <w:t>8.采购进口产品</w:t>
      </w:r>
      <w:bookmarkEnd w:id="31"/>
    </w:p>
    <w:p w14:paraId="0EFCBEB8">
      <w:pPr>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olor w:val="auto"/>
          <w:szCs w:val="21"/>
          <w:highlight w:val="none"/>
        </w:rPr>
        <w:t>8.1除</w:t>
      </w:r>
      <w:r>
        <w:rPr>
          <w:rFonts w:hint="eastAsia" w:ascii="宋体" w:hAnsi="宋体"/>
          <w:b/>
          <w:color w:val="auto"/>
          <w:szCs w:val="21"/>
          <w:highlight w:val="none"/>
        </w:rPr>
        <w:t>磋商文件前附表</w:t>
      </w:r>
      <w:r>
        <w:rPr>
          <w:rFonts w:hint="eastAsia" w:ascii="宋体" w:hAnsi="宋体"/>
          <w:color w:val="auto"/>
          <w:szCs w:val="21"/>
          <w:highlight w:val="none"/>
        </w:rPr>
        <w:t>另有规定外，本项目</w:t>
      </w:r>
      <w:r>
        <w:rPr>
          <w:rFonts w:hint="eastAsia" w:ascii="宋体" w:hAnsi="宋体" w:cs="宋体"/>
          <w:color w:val="auto"/>
          <w:kern w:val="0"/>
          <w:szCs w:val="21"/>
          <w:highlight w:val="none"/>
        </w:rPr>
        <w:t>拒绝进口产品参加</w:t>
      </w:r>
      <w:r>
        <w:rPr>
          <w:rFonts w:hint="eastAsia" w:ascii="宋体" w:hAnsi="宋体"/>
          <w:color w:val="auto"/>
          <w:szCs w:val="21"/>
          <w:highlight w:val="none"/>
        </w:rPr>
        <w:t>竞争性磋商采购活动</w:t>
      </w:r>
      <w:r>
        <w:rPr>
          <w:rFonts w:hint="eastAsia" w:ascii="宋体" w:hAnsi="宋体" w:cs="宋体"/>
          <w:color w:val="auto"/>
          <w:kern w:val="0"/>
          <w:szCs w:val="21"/>
          <w:highlight w:val="none"/>
        </w:rPr>
        <w:t>。</w:t>
      </w:r>
    </w:p>
    <w:p w14:paraId="69D9DC7C">
      <w:pPr>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8.2</w:t>
      </w:r>
      <w:r>
        <w:rPr>
          <w:rFonts w:hint="eastAsia" w:ascii="宋体" w:hAnsi="宋体"/>
          <w:color w:val="auto"/>
          <w:szCs w:val="21"/>
          <w:highlight w:val="none"/>
        </w:rPr>
        <w:t>本章第7.1</w:t>
      </w:r>
      <w:r>
        <w:rPr>
          <w:rFonts w:hint="eastAsia" w:ascii="宋体" w:hAnsi="宋体" w:cs="宋体"/>
          <w:color w:val="auto"/>
          <w:kern w:val="0"/>
          <w:szCs w:val="21"/>
          <w:highlight w:val="none"/>
          <w:lang w:val="zh-CN"/>
        </w:rPr>
        <w:t>款</w:t>
      </w:r>
      <w:r>
        <w:rPr>
          <w:rFonts w:hint="eastAsia" w:ascii="宋体" w:hAnsi="宋体"/>
          <w:color w:val="auto"/>
          <w:szCs w:val="21"/>
          <w:highlight w:val="none"/>
        </w:rPr>
        <w:t>规定</w:t>
      </w:r>
      <w:r>
        <w:rPr>
          <w:rFonts w:ascii="宋体" w:hAnsi="宋体" w:cs="宋体"/>
          <w:color w:val="auto"/>
          <w:kern w:val="0"/>
          <w:szCs w:val="21"/>
          <w:highlight w:val="none"/>
        </w:rPr>
        <w:t>同意购买进口产品的</w:t>
      </w:r>
      <w:r>
        <w:rPr>
          <w:rFonts w:hint="eastAsia" w:ascii="宋体" w:hAnsi="宋体" w:cs="宋体"/>
          <w:color w:val="auto"/>
          <w:kern w:val="0"/>
          <w:szCs w:val="21"/>
          <w:highlight w:val="none"/>
        </w:rPr>
        <w:t>，</w:t>
      </w:r>
      <w:r>
        <w:rPr>
          <w:rFonts w:hint="eastAsia" w:ascii="宋体" w:hAnsi="宋体"/>
          <w:color w:val="auto"/>
          <w:szCs w:val="21"/>
          <w:highlight w:val="none"/>
        </w:rPr>
        <w:t>本项目</w:t>
      </w:r>
      <w:r>
        <w:rPr>
          <w:rFonts w:hint="eastAsia" w:ascii="宋体" w:hAnsi="宋体" w:cs="宋体"/>
          <w:color w:val="auto"/>
          <w:kern w:val="0"/>
          <w:szCs w:val="21"/>
          <w:highlight w:val="none"/>
          <w:lang w:val="zh-CN"/>
        </w:rPr>
        <w:t>采购活动</w:t>
      </w:r>
      <w:r>
        <w:rPr>
          <w:rFonts w:hint="eastAsia" w:ascii="宋体" w:hAnsi="宋体" w:cs="宋体"/>
          <w:color w:val="auto"/>
          <w:kern w:val="0"/>
          <w:szCs w:val="21"/>
          <w:highlight w:val="none"/>
        </w:rPr>
        <w:t>不</w:t>
      </w:r>
      <w:r>
        <w:rPr>
          <w:rFonts w:ascii="宋体" w:hAnsi="宋体" w:cs="宋体"/>
          <w:color w:val="auto"/>
          <w:kern w:val="0"/>
          <w:szCs w:val="21"/>
          <w:highlight w:val="none"/>
        </w:rPr>
        <w:t>限制满足</w:t>
      </w:r>
      <w:r>
        <w:rPr>
          <w:rFonts w:hint="eastAsia" w:ascii="宋体" w:hAnsi="宋体"/>
          <w:color w:val="auto"/>
          <w:szCs w:val="21"/>
          <w:highlight w:val="none"/>
        </w:rPr>
        <w:t>磋商文件要求</w:t>
      </w:r>
      <w:r>
        <w:rPr>
          <w:rFonts w:ascii="宋体" w:hAnsi="宋体" w:cs="宋体"/>
          <w:color w:val="auto"/>
          <w:kern w:val="0"/>
          <w:szCs w:val="21"/>
          <w:highlight w:val="none"/>
        </w:rPr>
        <w:t>的国内产品参与</w:t>
      </w:r>
      <w:r>
        <w:rPr>
          <w:rFonts w:hint="eastAsia" w:ascii="宋体" w:hAnsi="宋体"/>
          <w:color w:val="auto"/>
          <w:szCs w:val="21"/>
          <w:highlight w:val="none"/>
        </w:rPr>
        <w:t>竞争性磋商</w:t>
      </w:r>
      <w:r>
        <w:rPr>
          <w:rFonts w:ascii="宋体" w:hAnsi="宋体" w:cs="宋体"/>
          <w:color w:val="auto"/>
          <w:kern w:val="0"/>
          <w:szCs w:val="21"/>
          <w:highlight w:val="none"/>
        </w:rPr>
        <w:t>。</w:t>
      </w:r>
    </w:p>
    <w:p w14:paraId="209601B5">
      <w:pPr>
        <w:adjustRightInd w:val="0"/>
        <w:snapToGrid w:val="0"/>
        <w:spacing w:line="360" w:lineRule="auto"/>
        <w:jc w:val="left"/>
        <w:outlineLvl w:val="2"/>
        <w:rPr>
          <w:rFonts w:ascii="宋体" w:hAnsi="宋体"/>
          <w:b/>
          <w:color w:val="auto"/>
          <w:szCs w:val="21"/>
          <w:highlight w:val="none"/>
        </w:rPr>
      </w:pPr>
      <w:bookmarkStart w:id="32" w:name="_Toc2029478523"/>
      <w:r>
        <w:rPr>
          <w:rFonts w:hint="eastAsia" w:ascii="宋体" w:hAnsi="宋体"/>
          <w:b/>
          <w:bCs/>
          <w:color w:val="auto"/>
          <w:szCs w:val="21"/>
          <w:highlight w:val="none"/>
        </w:rPr>
        <w:t>9.</w:t>
      </w:r>
      <w:r>
        <w:rPr>
          <w:rFonts w:hint="eastAsia" w:ascii="宋体" w:hAnsi="宋体"/>
          <w:b/>
          <w:color w:val="auto"/>
          <w:szCs w:val="21"/>
          <w:highlight w:val="none"/>
        </w:rPr>
        <w:t xml:space="preserve"> 政府采购政策支持</w:t>
      </w:r>
      <w:bookmarkEnd w:id="32"/>
    </w:p>
    <w:p w14:paraId="1B179659">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color w:val="auto"/>
          <w:kern w:val="0"/>
          <w:szCs w:val="21"/>
          <w:highlight w:val="none"/>
        </w:rPr>
        <w:t>磋商文件前附表。</w:t>
      </w:r>
    </w:p>
    <w:p w14:paraId="48162AC0">
      <w:pPr>
        <w:pStyle w:val="12"/>
        <w:adjustRightInd w:val="0"/>
        <w:snapToGrid w:val="0"/>
        <w:spacing w:line="360" w:lineRule="auto"/>
        <w:ind w:firstLine="420" w:firstLineChars="200"/>
        <w:rPr>
          <w:color w:val="auto"/>
          <w:highlight w:val="none"/>
        </w:rPr>
      </w:pPr>
      <w:r>
        <w:rPr>
          <w:rFonts w:hint="eastAsia" w:hAnsi="宋体" w:cs="宋体"/>
          <w:color w:val="auto"/>
          <w:sz w:val="21"/>
          <w:highlight w:val="none"/>
        </w:rPr>
        <w:t>9.2对列入财政部、国家发展改革委发布的《节能产品政府采购品目清单》的“非强制采购节能产品”，财政部、环境保护部发布的《环境标志产品政府采购品目清单》的“环境标志产品”以及中小企业，实行优先采购，按照省级以上财政部门有关政策规定，评审时进行价格扣除或加分。实行政府采购优先采购的优惠率见磋商文件前附表。</w:t>
      </w:r>
    </w:p>
    <w:p w14:paraId="7FD26270">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447C079B">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9.4同一项目中部分产品属于优先采购政策的，评审时只对该部分产品的报价实行价格扣除及加分。</w:t>
      </w:r>
    </w:p>
    <w:p w14:paraId="17D780DC">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9.5符合本章第9.1</w:t>
      </w:r>
      <w:r>
        <w:rPr>
          <w:rFonts w:hint="eastAsia" w:ascii="宋体" w:hAnsi="宋体" w:cs="宋体"/>
          <w:color w:val="auto"/>
          <w:kern w:val="0"/>
          <w:szCs w:val="21"/>
          <w:highlight w:val="none"/>
          <w:lang w:val="zh-CN"/>
        </w:rPr>
        <w:t>款、</w:t>
      </w:r>
      <w:r>
        <w:rPr>
          <w:rFonts w:hint="eastAsia" w:ascii="宋体" w:hAnsi="宋体" w:cs="宋体"/>
          <w:color w:val="auto"/>
          <w:kern w:val="0"/>
          <w:szCs w:val="21"/>
          <w:highlight w:val="none"/>
        </w:rPr>
        <w:t>第9.2</w:t>
      </w:r>
      <w:r>
        <w:rPr>
          <w:rFonts w:hint="eastAsia" w:ascii="宋体" w:hAnsi="宋体" w:cs="宋体"/>
          <w:color w:val="auto"/>
          <w:kern w:val="0"/>
          <w:szCs w:val="21"/>
          <w:highlight w:val="none"/>
          <w:lang w:val="zh-CN"/>
        </w:rPr>
        <w:t>款</w:t>
      </w:r>
      <w:r>
        <w:rPr>
          <w:rFonts w:hint="eastAsia" w:ascii="宋体" w:hAnsi="宋体" w:cs="宋体"/>
          <w:color w:val="auto"/>
          <w:kern w:val="0"/>
          <w:szCs w:val="21"/>
          <w:highlight w:val="none"/>
        </w:rPr>
        <w:t>规定的，应提供相关证明资料。</w:t>
      </w:r>
    </w:p>
    <w:p w14:paraId="4AA129C1">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9.6供应商有融资、担保需求的，具体办理流程可向</w:t>
      </w:r>
      <w:r>
        <w:rPr>
          <w:rFonts w:hint="eastAsia" w:ascii="宋体" w:hAnsi="宋体"/>
          <w:b/>
          <w:color w:val="auto"/>
          <w:szCs w:val="21"/>
          <w:highlight w:val="none"/>
        </w:rPr>
        <w:t>磋商须知前附表</w:t>
      </w:r>
      <w:r>
        <w:rPr>
          <w:rFonts w:hint="eastAsia" w:ascii="宋体" w:hAnsi="宋体"/>
          <w:color w:val="auto"/>
          <w:szCs w:val="21"/>
          <w:highlight w:val="none"/>
        </w:rPr>
        <w:t>所列金融机构和担保机构询问。</w:t>
      </w:r>
    </w:p>
    <w:p w14:paraId="1B268F76">
      <w:pPr>
        <w:adjustRightInd w:val="0"/>
        <w:snapToGrid w:val="0"/>
        <w:spacing w:line="360" w:lineRule="auto"/>
        <w:ind w:left="902" w:hanging="902" w:hangingChars="376"/>
        <w:outlineLvl w:val="1"/>
        <w:rPr>
          <w:rFonts w:ascii="黑体" w:hAnsi="宋体" w:eastAsia="黑体"/>
          <w:color w:val="auto"/>
          <w:sz w:val="24"/>
          <w:highlight w:val="none"/>
        </w:rPr>
      </w:pPr>
      <w:bookmarkStart w:id="33" w:name="_Toc962770760"/>
      <w:r>
        <w:rPr>
          <w:rFonts w:hint="eastAsia" w:ascii="黑体" w:hAnsi="宋体" w:eastAsia="黑体"/>
          <w:color w:val="auto"/>
          <w:sz w:val="24"/>
          <w:highlight w:val="none"/>
        </w:rPr>
        <w:t>二、磋商文件</w:t>
      </w:r>
      <w:bookmarkEnd w:id="33"/>
    </w:p>
    <w:p w14:paraId="48D8F14D">
      <w:pPr>
        <w:adjustRightInd w:val="0"/>
        <w:snapToGrid w:val="0"/>
        <w:spacing w:line="360" w:lineRule="auto"/>
        <w:outlineLvl w:val="2"/>
        <w:rPr>
          <w:rFonts w:ascii="宋体" w:hAnsi="宋体"/>
          <w:b/>
          <w:bCs/>
          <w:color w:val="auto"/>
          <w:szCs w:val="21"/>
          <w:highlight w:val="none"/>
        </w:rPr>
      </w:pPr>
      <w:bookmarkStart w:id="34" w:name="_Toc2146366822"/>
      <w:r>
        <w:rPr>
          <w:rFonts w:hint="eastAsia" w:ascii="宋体" w:hAnsi="宋体"/>
          <w:b/>
          <w:bCs/>
          <w:color w:val="auto"/>
          <w:szCs w:val="21"/>
          <w:highlight w:val="none"/>
        </w:rPr>
        <w:t>10．磋商文件的组成</w:t>
      </w:r>
      <w:bookmarkEnd w:id="34"/>
    </w:p>
    <w:p w14:paraId="2CC15CA8">
      <w:pPr>
        <w:pStyle w:val="12"/>
        <w:adjustRightInd w:val="0"/>
        <w:snapToGrid w:val="0"/>
        <w:spacing w:line="360" w:lineRule="auto"/>
        <w:ind w:firstLine="420" w:firstLineChars="200"/>
        <w:outlineLvl w:val="3"/>
        <w:rPr>
          <w:rFonts w:hAnsi="宋体" w:cs="宋体"/>
          <w:color w:val="auto"/>
          <w:sz w:val="21"/>
          <w:highlight w:val="none"/>
          <w:lang w:val="zh-CN"/>
        </w:rPr>
      </w:pPr>
      <w:r>
        <w:rPr>
          <w:rFonts w:hint="eastAsia" w:hAnsi="宋体" w:cs="宋体"/>
          <w:color w:val="auto"/>
          <w:sz w:val="21"/>
          <w:highlight w:val="none"/>
          <w:lang w:val="zh-CN"/>
        </w:rPr>
        <w:t>10.1 磋商文件由下列文件组成：</w:t>
      </w:r>
    </w:p>
    <w:p w14:paraId="3965322D">
      <w:pPr>
        <w:pStyle w:val="12"/>
        <w:adjustRightInd w:val="0"/>
        <w:snapToGrid w:val="0"/>
        <w:spacing w:line="360" w:lineRule="auto"/>
        <w:ind w:firstLine="420" w:firstLineChars="200"/>
        <w:rPr>
          <w:rFonts w:hAnsi="宋体" w:cs="宋体"/>
          <w:color w:val="auto"/>
          <w:sz w:val="21"/>
          <w:highlight w:val="none"/>
          <w:lang w:val="zh-CN"/>
        </w:rPr>
      </w:pPr>
      <w:r>
        <w:rPr>
          <w:rFonts w:hint="eastAsia" w:hAnsi="宋体" w:cs="宋体"/>
          <w:color w:val="auto"/>
          <w:sz w:val="21"/>
          <w:highlight w:val="none"/>
          <w:lang w:val="zh-CN"/>
        </w:rPr>
        <w:t>第一章 磋商邀请</w:t>
      </w:r>
    </w:p>
    <w:p w14:paraId="7D7BB534">
      <w:pPr>
        <w:pStyle w:val="12"/>
        <w:adjustRightInd w:val="0"/>
        <w:snapToGrid w:val="0"/>
        <w:spacing w:line="360" w:lineRule="auto"/>
        <w:ind w:firstLine="420" w:firstLineChars="200"/>
        <w:rPr>
          <w:rFonts w:hAnsi="宋体" w:cs="宋体"/>
          <w:color w:val="auto"/>
          <w:sz w:val="21"/>
          <w:highlight w:val="none"/>
          <w:lang w:val="zh-CN"/>
        </w:rPr>
      </w:pPr>
      <w:r>
        <w:rPr>
          <w:rFonts w:hint="eastAsia" w:hAnsi="宋体" w:cs="宋体"/>
          <w:color w:val="auto"/>
          <w:sz w:val="21"/>
          <w:highlight w:val="none"/>
          <w:lang w:val="zh-CN"/>
        </w:rPr>
        <w:t>第二章 磋商须知</w:t>
      </w:r>
    </w:p>
    <w:p w14:paraId="4912F4CE">
      <w:pPr>
        <w:pStyle w:val="12"/>
        <w:adjustRightInd w:val="0"/>
        <w:snapToGrid w:val="0"/>
        <w:spacing w:line="360" w:lineRule="auto"/>
        <w:ind w:firstLine="420" w:firstLineChars="200"/>
        <w:rPr>
          <w:rFonts w:hAnsi="宋体" w:cs="宋体"/>
          <w:color w:val="auto"/>
          <w:sz w:val="21"/>
          <w:highlight w:val="none"/>
          <w:lang w:val="zh-CN"/>
        </w:rPr>
      </w:pPr>
      <w:r>
        <w:rPr>
          <w:rFonts w:hint="eastAsia" w:hAnsi="宋体" w:cs="宋体"/>
          <w:color w:val="auto"/>
          <w:sz w:val="21"/>
          <w:highlight w:val="none"/>
          <w:lang w:val="zh-CN"/>
        </w:rPr>
        <w:t>第三章 政府采购合同格式条款</w:t>
      </w:r>
    </w:p>
    <w:p w14:paraId="57872502">
      <w:pPr>
        <w:pStyle w:val="12"/>
        <w:adjustRightInd w:val="0"/>
        <w:snapToGrid w:val="0"/>
        <w:spacing w:line="360" w:lineRule="auto"/>
        <w:ind w:firstLine="420" w:firstLineChars="200"/>
        <w:rPr>
          <w:rFonts w:hAnsi="宋体" w:cs="宋体"/>
          <w:color w:val="auto"/>
          <w:sz w:val="21"/>
          <w:highlight w:val="none"/>
          <w:lang w:val="zh-CN"/>
        </w:rPr>
      </w:pPr>
      <w:r>
        <w:rPr>
          <w:rFonts w:hint="eastAsia" w:hAnsi="宋体" w:cs="宋体"/>
          <w:color w:val="auto"/>
          <w:sz w:val="21"/>
          <w:highlight w:val="none"/>
          <w:lang w:val="zh-CN"/>
        </w:rPr>
        <w:t>第四章 采购需求</w:t>
      </w:r>
    </w:p>
    <w:p w14:paraId="64ED00C9">
      <w:pPr>
        <w:pStyle w:val="12"/>
        <w:adjustRightInd w:val="0"/>
        <w:snapToGrid w:val="0"/>
        <w:spacing w:line="360" w:lineRule="auto"/>
        <w:ind w:firstLine="420" w:firstLineChars="200"/>
        <w:rPr>
          <w:rFonts w:hAnsi="宋体" w:cs="宋体"/>
          <w:color w:val="auto"/>
          <w:sz w:val="21"/>
          <w:highlight w:val="none"/>
          <w:lang w:val="zh-CN"/>
        </w:rPr>
      </w:pPr>
      <w:r>
        <w:rPr>
          <w:rFonts w:hint="eastAsia" w:hAnsi="宋体" w:cs="宋体"/>
          <w:color w:val="auto"/>
          <w:sz w:val="21"/>
          <w:highlight w:val="none"/>
          <w:lang w:val="zh-CN"/>
        </w:rPr>
        <w:t>第五章 响应文件组成</w:t>
      </w:r>
    </w:p>
    <w:p w14:paraId="787706AC">
      <w:pPr>
        <w:pStyle w:val="12"/>
        <w:adjustRightInd w:val="0"/>
        <w:snapToGrid w:val="0"/>
        <w:spacing w:line="360" w:lineRule="auto"/>
        <w:ind w:firstLine="420" w:firstLineChars="200"/>
        <w:rPr>
          <w:rFonts w:hAnsi="宋体" w:cs="宋体"/>
          <w:color w:val="auto"/>
          <w:sz w:val="21"/>
          <w:highlight w:val="none"/>
          <w:lang w:val="zh-CN"/>
        </w:rPr>
      </w:pPr>
      <w:r>
        <w:rPr>
          <w:rFonts w:hint="eastAsia" w:hAnsi="宋体" w:cs="宋体"/>
          <w:color w:val="auto"/>
          <w:sz w:val="21"/>
          <w:highlight w:val="none"/>
          <w:lang w:val="zh-CN"/>
        </w:rPr>
        <w:t>10.2磋商小组根据与供应商磋商情况可能实质性变动的内容，包括采购需求中的技术、服务要求以及合同条款，在</w:t>
      </w:r>
      <w:r>
        <w:rPr>
          <w:rFonts w:hint="eastAsia" w:hAnsi="宋体" w:cs="宋体"/>
          <w:b/>
          <w:bCs/>
          <w:color w:val="auto"/>
          <w:sz w:val="21"/>
          <w:highlight w:val="none"/>
          <w:lang w:val="zh-CN"/>
        </w:rPr>
        <w:t>磋商须知前附表</w:t>
      </w:r>
      <w:r>
        <w:rPr>
          <w:rFonts w:hint="eastAsia" w:hAnsi="宋体" w:cs="宋体"/>
          <w:color w:val="auto"/>
          <w:sz w:val="21"/>
          <w:highlight w:val="none"/>
          <w:lang w:val="zh-CN"/>
        </w:rPr>
        <w:t>中明确。</w:t>
      </w:r>
    </w:p>
    <w:p w14:paraId="77949B0A">
      <w:pPr>
        <w:pStyle w:val="12"/>
        <w:adjustRightInd w:val="0"/>
        <w:snapToGrid w:val="0"/>
        <w:spacing w:line="360" w:lineRule="auto"/>
        <w:ind w:firstLine="420" w:firstLineChars="200"/>
        <w:rPr>
          <w:rFonts w:hAnsi="宋体" w:cs="宋体"/>
          <w:color w:val="auto"/>
          <w:sz w:val="21"/>
          <w:highlight w:val="none"/>
          <w:lang w:val="zh-CN"/>
        </w:rPr>
      </w:pPr>
      <w:r>
        <w:rPr>
          <w:rFonts w:hint="eastAsia" w:hAnsi="宋体" w:cs="宋体"/>
          <w:color w:val="auto"/>
          <w:sz w:val="21"/>
          <w:highlight w:val="none"/>
          <w:lang w:val="zh-CN"/>
        </w:rPr>
        <w:t>10.3供应商应仔细阅读磋商文件的全部内容，按照磋商文件要求编制响应文件。任何对磋商文件的忽略或误解不能作为响应文件存在缺陷或瑕疵的理由，其风险由供应商承担。</w:t>
      </w:r>
    </w:p>
    <w:p w14:paraId="5C84C1BC">
      <w:pPr>
        <w:adjustRightInd w:val="0"/>
        <w:snapToGrid w:val="0"/>
        <w:spacing w:line="360" w:lineRule="auto"/>
        <w:outlineLvl w:val="2"/>
        <w:rPr>
          <w:rFonts w:ascii="宋体" w:hAnsi="宋体"/>
          <w:b/>
          <w:color w:val="auto"/>
          <w:szCs w:val="21"/>
          <w:highlight w:val="none"/>
        </w:rPr>
      </w:pPr>
      <w:bookmarkStart w:id="35" w:name="_Toc556875048"/>
      <w:r>
        <w:rPr>
          <w:rFonts w:hint="eastAsia" w:ascii="宋体" w:hAnsi="宋体"/>
          <w:b/>
          <w:color w:val="auto"/>
          <w:szCs w:val="21"/>
          <w:highlight w:val="none"/>
        </w:rPr>
        <w:t>11.</w:t>
      </w:r>
      <w:r>
        <w:rPr>
          <w:rFonts w:hint="eastAsia"/>
          <w:b/>
          <w:color w:val="auto"/>
          <w:highlight w:val="none"/>
        </w:rPr>
        <w:t xml:space="preserve"> </w:t>
      </w:r>
      <w:r>
        <w:rPr>
          <w:rFonts w:hint="eastAsia" w:ascii="宋体" w:hAnsi="宋体"/>
          <w:b/>
          <w:color w:val="auto"/>
          <w:szCs w:val="21"/>
          <w:highlight w:val="none"/>
        </w:rPr>
        <w:t>磋商文件的提供期限</w:t>
      </w:r>
      <w:bookmarkEnd w:id="35"/>
    </w:p>
    <w:p w14:paraId="5960E0C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11.1磋商文件的提供期限自开始发出之日起不得少于五个工作日。具体提供期限见</w:t>
      </w:r>
      <w:r>
        <w:rPr>
          <w:rFonts w:hint="eastAsia" w:ascii="宋体" w:hAnsi="宋体"/>
          <w:b/>
          <w:color w:val="auto"/>
          <w:szCs w:val="21"/>
          <w:highlight w:val="none"/>
        </w:rPr>
        <w:t>磋商文件前附表</w:t>
      </w:r>
      <w:r>
        <w:rPr>
          <w:rFonts w:hint="eastAsia" w:ascii="宋体" w:hAnsi="宋体"/>
          <w:color w:val="auto"/>
          <w:szCs w:val="21"/>
          <w:highlight w:val="none"/>
        </w:rPr>
        <w:t>。</w:t>
      </w:r>
    </w:p>
    <w:p w14:paraId="6668EC3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11.2供应商应持</w:t>
      </w:r>
      <w:r>
        <w:rPr>
          <w:rFonts w:hint="eastAsia" w:ascii="宋体" w:hAnsi="宋体"/>
          <w:b/>
          <w:color w:val="auto"/>
          <w:szCs w:val="21"/>
          <w:highlight w:val="none"/>
        </w:rPr>
        <w:t>磋商文件前附表</w:t>
      </w:r>
      <w:r>
        <w:rPr>
          <w:rFonts w:hint="eastAsia" w:ascii="宋体" w:hAnsi="宋体"/>
          <w:color w:val="auto"/>
          <w:szCs w:val="21"/>
          <w:highlight w:val="none"/>
        </w:rPr>
        <w:t>规定的资料领取或购买磋商文件。</w:t>
      </w:r>
    </w:p>
    <w:p w14:paraId="4CF7F6F7">
      <w:pPr>
        <w:pStyle w:val="12"/>
        <w:adjustRightInd w:val="0"/>
        <w:snapToGrid w:val="0"/>
        <w:spacing w:line="360" w:lineRule="auto"/>
        <w:outlineLvl w:val="2"/>
        <w:rPr>
          <w:rFonts w:hAnsi="宋体"/>
          <w:color w:val="auto"/>
          <w:highlight w:val="none"/>
        </w:rPr>
      </w:pPr>
      <w:bookmarkStart w:id="36" w:name="_Toc665198110"/>
      <w:r>
        <w:rPr>
          <w:rFonts w:hint="eastAsia" w:hAnsi="宋体"/>
          <w:b/>
          <w:color w:val="auto"/>
          <w:highlight w:val="none"/>
        </w:rPr>
        <w:t>12.</w:t>
      </w:r>
      <w:r>
        <w:rPr>
          <w:rFonts w:hint="eastAsia" w:hAnsi="宋体" w:cs="宋体"/>
          <w:b/>
          <w:color w:val="auto"/>
          <w:highlight w:val="none"/>
        </w:rPr>
        <w:t>提交首次响应文件</w:t>
      </w:r>
      <w:r>
        <w:rPr>
          <w:rFonts w:hint="eastAsia" w:hAnsi="宋体"/>
          <w:b/>
          <w:color w:val="auto"/>
          <w:highlight w:val="none"/>
        </w:rPr>
        <w:t>的</w:t>
      </w:r>
      <w:r>
        <w:rPr>
          <w:rFonts w:hint="eastAsia" w:hAnsi="宋体" w:cs="宋体"/>
          <w:b/>
          <w:color w:val="auto"/>
          <w:highlight w:val="none"/>
        </w:rPr>
        <w:t>截止</w:t>
      </w:r>
      <w:r>
        <w:rPr>
          <w:rFonts w:hint="eastAsia" w:hAnsi="宋体"/>
          <w:b/>
          <w:color w:val="auto"/>
          <w:highlight w:val="none"/>
        </w:rPr>
        <w:t>时间</w:t>
      </w:r>
      <w:bookmarkEnd w:id="36"/>
    </w:p>
    <w:p w14:paraId="3F584DC0">
      <w:pPr>
        <w:pStyle w:val="12"/>
        <w:adjustRightInd w:val="0"/>
        <w:snapToGrid w:val="0"/>
        <w:spacing w:line="360" w:lineRule="auto"/>
        <w:ind w:firstLine="400" w:firstLineChars="200"/>
        <w:outlineLvl w:val="3"/>
        <w:rPr>
          <w:rFonts w:hAnsi="宋体"/>
          <w:color w:val="auto"/>
          <w:highlight w:val="none"/>
        </w:rPr>
      </w:pPr>
      <w:r>
        <w:rPr>
          <w:rFonts w:hint="eastAsia" w:hAnsi="宋体"/>
          <w:color w:val="auto"/>
          <w:highlight w:val="none"/>
        </w:rPr>
        <w:t>12</w:t>
      </w:r>
      <w:r>
        <w:rPr>
          <w:rFonts w:hint="eastAsia" w:hAnsi="宋体"/>
          <w:color w:val="auto"/>
          <w:kern w:val="2"/>
          <w:sz w:val="21"/>
          <w:highlight w:val="none"/>
        </w:rPr>
        <w:t>.1供应商提交首次响应文件截止时间见</w:t>
      </w:r>
      <w:r>
        <w:rPr>
          <w:rFonts w:hint="eastAsia" w:hAnsi="宋体"/>
          <w:b/>
          <w:color w:val="auto"/>
          <w:highlight w:val="none"/>
        </w:rPr>
        <w:t>磋商须知前附表</w:t>
      </w:r>
      <w:r>
        <w:rPr>
          <w:rFonts w:hint="eastAsia" w:hAnsi="宋体"/>
          <w:color w:val="auto"/>
          <w:highlight w:val="none"/>
        </w:rPr>
        <w:t>。</w:t>
      </w:r>
    </w:p>
    <w:p w14:paraId="658D1ADF">
      <w:pPr>
        <w:adjustRightInd w:val="0"/>
        <w:snapToGrid w:val="0"/>
        <w:spacing w:line="360" w:lineRule="auto"/>
        <w:outlineLvl w:val="2"/>
        <w:rPr>
          <w:rFonts w:ascii="宋体" w:hAnsi="宋体"/>
          <w:b/>
          <w:bCs/>
          <w:color w:val="auto"/>
          <w:szCs w:val="21"/>
          <w:highlight w:val="none"/>
        </w:rPr>
      </w:pPr>
      <w:bookmarkStart w:id="37" w:name="_Toc184768488"/>
      <w:r>
        <w:rPr>
          <w:rFonts w:hint="eastAsia" w:ascii="宋体" w:hAnsi="宋体"/>
          <w:b/>
          <w:bCs/>
          <w:color w:val="auto"/>
          <w:szCs w:val="21"/>
          <w:highlight w:val="none"/>
        </w:rPr>
        <w:t>13.磋商文件的澄清</w:t>
      </w:r>
      <w:r>
        <w:rPr>
          <w:rFonts w:hint="eastAsia" w:ascii="宋体" w:hAnsi="宋体"/>
          <w:b/>
          <w:color w:val="auto"/>
          <w:kern w:val="0"/>
          <w:szCs w:val="21"/>
          <w:highlight w:val="none"/>
          <w:lang w:val="zh-CN"/>
        </w:rPr>
        <w:t>或者</w:t>
      </w:r>
      <w:r>
        <w:rPr>
          <w:rFonts w:hint="eastAsia" w:ascii="宋体" w:hAnsi="宋体"/>
          <w:b/>
          <w:bCs/>
          <w:color w:val="auto"/>
          <w:szCs w:val="21"/>
          <w:highlight w:val="none"/>
        </w:rPr>
        <w:t>修改</w:t>
      </w:r>
      <w:bookmarkEnd w:id="37"/>
    </w:p>
    <w:p w14:paraId="4EA7FF50">
      <w:pPr>
        <w:adjustRightInd w:val="0"/>
        <w:snapToGrid w:val="0"/>
        <w:spacing w:line="360" w:lineRule="auto"/>
        <w:ind w:right="-105" w:rightChars="-50" w:firstLine="420" w:firstLineChars="200"/>
        <w:rPr>
          <w:rFonts w:ascii="宋体" w:hAnsi="宋体" w:cs="宋体"/>
          <w:color w:val="auto"/>
          <w:kern w:val="0"/>
          <w:szCs w:val="21"/>
          <w:highlight w:val="none"/>
        </w:rPr>
      </w:pPr>
      <w:r>
        <w:rPr>
          <w:rFonts w:hint="eastAsia" w:ascii="宋体" w:hAnsi="宋体"/>
          <w:color w:val="auto"/>
          <w:szCs w:val="21"/>
          <w:highlight w:val="none"/>
        </w:rPr>
        <w:t>13.1在</w:t>
      </w:r>
      <w:r>
        <w:rPr>
          <w:rFonts w:hint="eastAsia" w:ascii="宋体" w:hAnsi="宋体" w:cs="宋体"/>
          <w:color w:val="auto"/>
          <w:kern w:val="0"/>
          <w:szCs w:val="21"/>
          <w:highlight w:val="none"/>
        </w:rPr>
        <w:t xml:space="preserve">提交首次响应文件截止之日前，采购人、采购代理机构可以对已发出的磋商文件进行必要的澄清或者修改。 </w:t>
      </w:r>
    </w:p>
    <w:p w14:paraId="67695E1A">
      <w:pPr>
        <w:adjustRightInd w:val="0"/>
        <w:snapToGrid w:val="0"/>
        <w:spacing w:line="360" w:lineRule="auto"/>
        <w:ind w:right="-105" w:rightChars="-50" w:firstLine="420" w:firstLineChars="200"/>
        <w:rPr>
          <w:rFonts w:ascii="宋体" w:hAnsi="宋体" w:cs="宋体"/>
          <w:color w:val="auto"/>
          <w:kern w:val="0"/>
          <w:szCs w:val="21"/>
          <w:highlight w:val="none"/>
        </w:rPr>
      </w:pPr>
      <w:r>
        <w:rPr>
          <w:rFonts w:hint="eastAsia" w:ascii="宋体" w:hAnsi="宋体"/>
          <w:color w:val="auto"/>
          <w:szCs w:val="21"/>
          <w:highlight w:val="none"/>
        </w:rPr>
        <w:t>13.2</w:t>
      </w:r>
      <w:r>
        <w:rPr>
          <w:rFonts w:hint="eastAsia" w:ascii="宋体" w:hAnsi="宋体" w:cs="宋体"/>
          <w:color w:val="auto"/>
          <w:kern w:val="0"/>
          <w:szCs w:val="21"/>
          <w:highlight w:val="none"/>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42DCDD1E">
      <w:pPr>
        <w:adjustRightInd w:val="0"/>
        <w:snapToGrid w:val="0"/>
        <w:spacing w:line="360" w:lineRule="auto"/>
        <w:ind w:right="-105" w:rightChars="-50"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13.2提交首次响应文件截止时间前对磋商文件澄清或者修改内容，为磋商文件的组成部分。</w:t>
      </w:r>
    </w:p>
    <w:p w14:paraId="5476AF06">
      <w:pPr>
        <w:adjustRightInd w:val="0"/>
        <w:snapToGrid w:val="0"/>
        <w:spacing w:line="360" w:lineRule="auto"/>
        <w:ind w:left="902" w:hanging="902" w:hangingChars="376"/>
        <w:outlineLvl w:val="1"/>
        <w:rPr>
          <w:rFonts w:ascii="黑体" w:hAnsi="宋体" w:eastAsia="黑体"/>
          <w:color w:val="auto"/>
          <w:sz w:val="24"/>
          <w:highlight w:val="none"/>
        </w:rPr>
      </w:pPr>
      <w:bookmarkStart w:id="38" w:name="_Toc142624254"/>
      <w:r>
        <w:rPr>
          <w:rFonts w:hint="eastAsia" w:ascii="黑体" w:hAnsi="宋体" w:eastAsia="黑体"/>
          <w:color w:val="auto"/>
          <w:sz w:val="24"/>
          <w:highlight w:val="none"/>
        </w:rPr>
        <w:t>三、响应文件</w:t>
      </w:r>
      <w:bookmarkEnd w:id="38"/>
    </w:p>
    <w:p w14:paraId="6A533A83">
      <w:pPr>
        <w:adjustRightInd w:val="0"/>
        <w:snapToGrid w:val="0"/>
        <w:spacing w:line="360" w:lineRule="auto"/>
        <w:outlineLvl w:val="2"/>
        <w:rPr>
          <w:rFonts w:ascii="宋体" w:hAnsi="宋体"/>
          <w:b/>
          <w:bCs/>
          <w:color w:val="auto"/>
          <w:szCs w:val="21"/>
          <w:highlight w:val="none"/>
        </w:rPr>
      </w:pPr>
      <w:bookmarkStart w:id="39" w:name="_Toc494086926"/>
      <w:r>
        <w:rPr>
          <w:rFonts w:hint="eastAsia" w:ascii="宋体" w:hAnsi="宋体"/>
          <w:b/>
          <w:bCs/>
          <w:color w:val="auto"/>
          <w:szCs w:val="21"/>
          <w:highlight w:val="none"/>
        </w:rPr>
        <w:t>14.一般要求</w:t>
      </w:r>
      <w:bookmarkEnd w:id="39"/>
    </w:p>
    <w:p w14:paraId="6876B211">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14.1 供应商应仔细阅读磋商文件的所有内容，按磋商文件的要求编制响应文件，并保证所提供的全部资料的真实性，以使其响应文件对磋商文件做出实质性的响应。</w:t>
      </w:r>
    </w:p>
    <w:p w14:paraId="1672685F">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 xml:space="preserve">14.2 </w:t>
      </w:r>
      <w:r>
        <w:rPr>
          <w:rFonts w:hint="eastAsia" w:ascii="宋体" w:hAnsi="宋体"/>
          <w:color w:val="auto"/>
          <w:szCs w:val="21"/>
          <w:highlight w:val="none"/>
        </w:rPr>
        <w:t>供应商提交的响应文件及供应商与采购人或采购代理机构、磋商小组就有关磋商的所有来往函电均使用中文。供应商可以提交其它语言的资料，但应附中文注释，在有差异时以中文为准。</w:t>
      </w:r>
    </w:p>
    <w:p w14:paraId="4E858E12">
      <w:pPr>
        <w:pStyle w:val="12"/>
        <w:adjustRightInd w:val="0"/>
        <w:snapToGrid w:val="0"/>
        <w:spacing w:line="360" w:lineRule="auto"/>
        <w:ind w:firstLine="420" w:firstLineChars="200"/>
        <w:rPr>
          <w:rFonts w:hAnsi="宋体"/>
          <w:bCs/>
          <w:color w:val="auto"/>
          <w:kern w:val="2"/>
          <w:sz w:val="21"/>
          <w:highlight w:val="none"/>
        </w:rPr>
      </w:pPr>
      <w:r>
        <w:rPr>
          <w:rFonts w:hint="eastAsia" w:hAnsi="宋体"/>
          <w:bCs/>
          <w:color w:val="auto"/>
          <w:kern w:val="2"/>
          <w:sz w:val="21"/>
          <w:highlight w:val="none"/>
        </w:rPr>
        <w:t>14.3 计量单位应使用我国法定计量单位，未列明时应默认为我国法定计量单位。</w:t>
      </w:r>
    </w:p>
    <w:p w14:paraId="77BB90D3">
      <w:pPr>
        <w:pStyle w:val="12"/>
        <w:adjustRightInd w:val="0"/>
        <w:snapToGrid w:val="0"/>
        <w:spacing w:line="360" w:lineRule="auto"/>
        <w:ind w:firstLine="420" w:firstLineChars="200"/>
        <w:rPr>
          <w:rFonts w:hAnsi="宋体"/>
          <w:bCs/>
          <w:color w:val="auto"/>
          <w:kern w:val="2"/>
          <w:sz w:val="21"/>
          <w:highlight w:val="none"/>
        </w:rPr>
      </w:pPr>
      <w:r>
        <w:rPr>
          <w:rFonts w:hint="eastAsia" w:hAnsi="宋体"/>
          <w:bCs/>
          <w:color w:val="auto"/>
          <w:kern w:val="2"/>
          <w:sz w:val="21"/>
          <w:highlight w:val="none"/>
        </w:rPr>
        <w:t>14.4 响应文件应采用书面形式，电报、传真、电子邮件形式的响应文件概不接受。</w:t>
      </w:r>
    </w:p>
    <w:p w14:paraId="3AB9E90B">
      <w:pPr>
        <w:adjustRightInd w:val="0"/>
        <w:snapToGrid w:val="0"/>
        <w:spacing w:line="360" w:lineRule="auto"/>
        <w:ind w:firstLine="420" w:firstLineChars="200"/>
        <w:outlineLvl w:val="3"/>
        <w:rPr>
          <w:rFonts w:ascii="宋体" w:hAnsi="宋体"/>
          <w:bCs/>
          <w:color w:val="auto"/>
          <w:szCs w:val="21"/>
          <w:highlight w:val="none"/>
        </w:rPr>
      </w:pPr>
      <w:r>
        <w:rPr>
          <w:rFonts w:hint="eastAsia" w:ascii="宋体" w:hAnsi="宋体"/>
          <w:bCs/>
          <w:color w:val="auto"/>
          <w:szCs w:val="21"/>
          <w:highlight w:val="none"/>
        </w:rPr>
        <w:t>14.5 供应商应按磋商文件中提供的响应文件格式填写。</w:t>
      </w:r>
    </w:p>
    <w:p w14:paraId="5570D42C">
      <w:pPr>
        <w:adjustRightInd w:val="0"/>
        <w:snapToGrid w:val="0"/>
        <w:spacing w:line="360" w:lineRule="auto"/>
        <w:outlineLvl w:val="2"/>
        <w:rPr>
          <w:rFonts w:ascii="宋体" w:hAnsi="宋体"/>
          <w:b/>
          <w:bCs/>
          <w:color w:val="auto"/>
          <w:szCs w:val="21"/>
          <w:highlight w:val="none"/>
        </w:rPr>
      </w:pPr>
      <w:bookmarkStart w:id="40" w:name="_Toc1947185980"/>
      <w:r>
        <w:rPr>
          <w:rFonts w:hint="eastAsia" w:ascii="宋体" w:hAnsi="宋体"/>
          <w:b/>
          <w:bCs/>
          <w:color w:val="auto"/>
          <w:szCs w:val="21"/>
          <w:highlight w:val="none"/>
        </w:rPr>
        <w:t>15.</w:t>
      </w:r>
      <w:r>
        <w:rPr>
          <w:rFonts w:hint="eastAsia" w:ascii="宋体" w:hAnsi="宋体"/>
          <w:b/>
          <w:color w:val="auto"/>
          <w:szCs w:val="21"/>
          <w:highlight w:val="none"/>
        </w:rPr>
        <w:t>响应文件</w:t>
      </w:r>
      <w:r>
        <w:rPr>
          <w:rFonts w:hint="eastAsia" w:ascii="宋体" w:hAnsi="宋体"/>
          <w:b/>
          <w:bCs/>
          <w:color w:val="auto"/>
          <w:szCs w:val="21"/>
          <w:highlight w:val="none"/>
        </w:rPr>
        <w:t>的组成</w:t>
      </w:r>
      <w:bookmarkEnd w:id="40"/>
    </w:p>
    <w:p w14:paraId="1071C130">
      <w:pPr>
        <w:adjustRightInd w:val="0"/>
        <w:snapToGrid w:val="0"/>
        <w:spacing w:line="360" w:lineRule="auto"/>
        <w:ind w:firstLine="420" w:firstLineChars="200"/>
        <w:jc w:val="left"/>
        <w:outlineLvl w:val="3"/>
        <w:rPr>
          <w:rFonts w:ascii="宋体" w:hAnsi="宋体"/>
          <w:color w:val="auto"/>
          <w:szCs w:val="21"/>
          <w:highlight w:val="none"/>
        </w:rPr>
      </w:pPr>
      <w:r>
        <w:rPr>
          <w:rFonts w:hint="eastAsia" w:ascii="宋体" w:hAnsi="宋体"/>
          <w:color w:val="auto"/>
          <w:highlight w:val="none"/>
        </w:rPr>
        <w:t>15.1</w:t>
      </w:r>
      <w:r>
        <w:rPr>
          <w:rFonts w:hint="eastAsia" w:hAnsi="宋体"/>
          <w:color w:val="auto"/>
          <w:highlight w:val="none"/>
        </w:rPr>
        <w:t xml:space="preserve"> 响应文件包括下列内容：</w:t>
      </w:r>
      <w:r>
        <w:rPr>
          <w:rFonts w:hint="eastAsia" w:ascii="宋体" w:hAnsi="宋体"/>
          <w:color w:val="auto"/>
          <w:szCs w:val="21"/>
          <w:highlight w:val="none"/>
        </w:rPr>
        <w:t xml:space="preserve"> </w:t>
      </w:r>
    </w:p>
    <w:p w14:paraId="6834A9EA">
      <w:pPr>
        <w:adjustRightInd w:val="0"/>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（1）磋商响应声明</w:t>
      </w:r>
    </w:p>
    <w:p w14:paraId="08CB85CF">
      <w:pPr>
        <w:adjustRightInd w:val="0"/>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（2）保证金</w:t>
      </w:r>
    </w:p>
    <w:p w14:paraId="5180B06A">
      <w:pPr>
        <w:adjustRightInd w:val="0"/>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（3）联合体协议</w:t>
      </w:r>
    </w:p>
    <w:p w14:paraId="49E20EEE">
      <w:pPr>
        <w:adjustRightInd w:val="0"/>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（4）供应商的资格证明文件</w:t>
      </w:r>
    </w:p>
    <w:p w14:paraId="3617D637">
      <w:pPr>
        <w:adjustRightInd w:val="0"/>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（5）货物或服务方案说明</w:t>
      </w:r>
    </w:p>
    <w:p w14:paraId="6FE2DF81">
      <w:pPr>
        <w:adjustRightInd w:val="0"/>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（6）技术/商务响应与偏离表</w:t>
      </w:r>
    </w:p>
    <w:p w14:paraId="0DF32D6D">
      <w:pPr>
        <w:adjustRightInd w:val="0"/>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（7）提供享受政府采购政策的证明材料和清单表</w:t>
      </w:r>
    </w:p>
    <w:p w14:paraId="7B20E216">
      <w:pPr>
        <w:adjustRightInd w:val="0"/>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（8）经销或代理或为货物提供售后服务的证明材料</w:t>
      </w:r>
    </w:p>
    <w:p w14:paraId="0DE3FBCC">
      <w:pPr>
        <w:adjustRightInd w:val="0"/>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（9）报价一览表及报价文件</w:t>
      </w:r>
    </w:p>
    <w:p w14:paraId="6521A778">
      <w:pPr>
        <w:adjustRightInd w:val="0"/>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（10）供应商认为需提供的其他资料</w:t>
      </w:r>
    </w:p>
    <w:p w14:paraId="1FCD5706">
      <w:pPr>
        <w:adjustRightInd w:val="0"/>
        <w:snapToGrid w:val="0"/>
        <w:spacing w:line="360" w:lineRule="auto"/>
        <w:ind w:firstLine="420" w:firstLineChars="200"/>
        <w:rPr>
          <w:rFonts w:hAnsi="宋体"/>
          <w:color w:val="auto"/>
          <w:highlight w:val="none"/>
        </w:rPr>
      </w:pPr>
      <w:r>
        <w:rPr>
          <w:rFonts w:hint="eastAsia" w:ascii="宋体" w:hAnsi="宋体"/>
          <w:color w:val="auto"/>
          <w:highlight w:val="none"/>
        </w:rPr>
        <w:t>15.2在磋商过程中，</w:t>
      </w:r>
      <w:r>
        <w:rPr>
          <w:rFonts w:hint="eastAsia" w:ascii="宋体" w:hAnsi="宋体"/>
          <w:color w:val="auto"/>
          <w:szCs w:val="21"/>
          <w:highlight w:val="none"/>
        </w:rPr>
        <w:t>供应商</w:t>
      </w:r>
      <w:r>
        <w:rPr>
          <w:rFonts w:hint="eastAsia" w:ascii="宋体" w:hAnsi="宋体"/>
          <w:color w:val="auto"/>
          <w:highlight w:val="none"/>
        </w:rPr>
        <w:t>根据</w:t>
      </w:r>
      <w:r>
        <w:rPr>
          <w:rFonts w:hint="eastAsia" w:ascii="宋体" w:hAnsi="宋体" w:cs="宋体"/>
          <w:color w:val="auto"/>
          <w:kern w:val="0"/>
          <w:szCs w:val="21"/>
          <w:highlight w:val="none"/>
        </w:rPr>
        <w:t>磋商小组</w:t>
      </w:r>
      <w:r>
        <w:rPr>
          <w:rFonts w:hint="eastAsia" w:ascii="宋体" w:hAnsi="宋体"/>
          <w:bCs/>
          <w:color w:val="auto"/>
          <w:szCs w:val="21"/>
          <w:highlight w:val="none"/>
        </w:rPr>
        <w:t>书面形式要求</w:t>
      </w:r>
      <w:r>
        <w:rPr>
          <w:rFonts w:hint="eastAsia" w:ascii="宋体" w:hAnsi="宋体" w:cs="宋体"/>
          <w:color w:val="auto"/>
          <w:kern w:val="0"/>
          <w:szCs w:val="21"/>
          <w:highlight w:val="none"/>
        </w:rPr>
        <w:t>提交的</w:t>
      </w:r>
      <w:r>
        <w:rPr>
          <w:rFonts w:hint="eastAsia" w:hAnsi="宋体"/>
          <w:color w:val="auto"/>
          <w:highlight w:val="none"/>
        </w:rPr>
        <w:t>最后报价(或者</w:t>
      </w:r>
      <w:r>
        <w:rPr>
          <w:rFonts w:hint="eastAsia" w:ascii="宋体" w:hAnsi="宋体"/>
          <w:bCs/>
          <w:color w:val="auto"/>
          <w:szCs w:val="21"/>
          <w:highlight w:val="none"/>
        </w:rPr>
        <w:t>重</w:t>
      </w:r>
      <w:r>
        <w:rPr>
          <w:rFonts w:hint="eastAsia" w:ascii="宋体" w:hAnsi="宋体" w:cs="宋体"/>
          <w:color w:val="auto"/>
          <w:kern w:val="0"/>
          <w:szCs w:val="21"/>
          <w:highlight w:val="none"/>
        </w:rPr>
        <w:t>新提交的响应文件和</w:t>
      </w:r>
      <w:r>
        <w:rPr>
          <w:rFonts w:hint="eastAsia" w:hAnsi="宋体"/>
          <w:color w:val="auto"/>
          <w:highlight w:val="none"/>
        </w:rPr>
        <w:t>最后报价)是</w:t>
      </w:r>
      <w:r>
        <w:rPr>
          <w:rFonts w:hint="eastAsia" w:ascii="宋体" w:hAnsi="宋体"/>
          <w:color w:val="auto"/>
          <w:szCs w:val="21"/>
          <w:highlight w:val="none"/>
        </w:rPr>
        <w:t>响应文件</w:t>
      </w:r>
      <w:r>
        <w:rPr>
          <w:rFonts w:hint="eastAsia" w:hAnsi="宋体"/>
          <w:color w:val="auto"/>
          <w:highlight w:val="none"/>
        </w:rPr>
        <w:t>的有效组成部分。</w:t>
      </w:r>
    </w:p>
    <w:p w14:paraId="75C3317E">
      <w:pPr>
        <w:adjustRightInd w:val="0"/>
        <w:snapToGrid w:val="0"/>
        <w:spacing w:line="360" w:lineRule="auto"/>
        <w:ind w:firstLine="420" w:firstLineChars="200"/>
        <w:rPr>
          <w:rFonts w:hAnsi="宋体"/>
          <w:b/>
          <w:color w:val="auto"/>
          <w:highlight w:val="none"/>
        </w:rPr>
      </w:pPr>
      <w:r>
        <w:rPr>
          <w:rFonts w:hint="eastAsia" w:ascii="宋体" w:hAnsi="宋体"/>
          <w:color w:val="auto"/>
          <w:highlight w:val="none"/>
        </w:rPr>
        <w:t>15.3</w:t>
      </w:r>
      <w:r>
        <w:rPr>
          <w:rFonts w:hint="eastAsia" w:ascii="宋体" w:hAnsi="宋体" w:cs="宋体"/>
          <w:color w:val="auto"/>
          <w:kern w:val="0"/>
          <w:szCs w:val="21"/>
          <w:highlight w:val="none"/>
        </w:rPr>
        <w:t>磋商文件规定可能发生实质性变动的，供应商应当在</w:t>
      </w:r>
      <w:r>
        <w:rPr>
          <w:rFonts w:hint="eastAsia" w:hAnsi="宋体"/>
          <w:color w:val="auto"/>
          <w:highlight w:val="none"/>
        </w:rPr>
        <w:t>《技术/商务响应与偏离表》中对应内容注明。</w:t>
      </w:r>
    </w:p>
    <w:p w14:paraId="1AB867E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15.4</w:t>
      </w:r>
      <w:r>
        <w:rPr>
          <w:rFonts w:hint="eastAsia" w:ascii="宋体" w:hAnsi="宋体"/>
          <w:color w:val="auto"/>
          <w:szCs w:val="21"/>
          <w:highlight w:val="none"/>
        </w:rPr>
        <w:t>根据《政府采购法》第四十二条的规定，供应商无论成交与否，其响应文件不予退还。</w:t>
      </w:r>
    </w:p>
    <w:p w14:paraId="523EFCF5">
      <w:pPr>
        <w:adjustRightInd w:val="0"/>
        <w:snapToGrid w:val="0"/>
        <w:spacing w:line="360" w:lineRule="auto"/>
        <w:outlineLvl w:val="2"/>
        <w:rPr>
          <w:rFonts w:ascii="宋体" w:hAnsi="宋体"/>
          <w:b/>
          <w:bCs/>
          <w:color w:val="auto"/>
          <w:szCs w:val="21"/>
          <w:highlight w:val="none"/>
        </w:rPr>
      </w:pPr>
      <w:bookmarkStart w:id="41" w:name="_Toc851469227"/>
      <w:r>
        <w:rPr>
          <w:rFonts w:hint="eastAsia" w:ascii="宋体" w:hAnsi="宋体"/>
          <w:b/>
          <w:bCs/>
          <w:color w:val="auto"/>
          <w:szCs w:val="21"/>
          <w:highlight w:val="none"/>
        </w:rPr>
        <w:t>16.报价</w:t>
      </w:r>
      <w:bookmarkEnd w:id="41"/>
    </w:p>
    <w:p w14:paraId="7E24C35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16.1供应商应当根据磋商文件要求和范围，以</w:t>
      </w:r>
      <w:r>
        <w:rPr>
          <w:rFonts w:hint="eastAsia" w:ascii="宋体" w:hAnsi="宋体"/>
          <w:bCs/>
          <w:color w:val="auto"/>
          <w:szCs w:val="21"/>
          <w:highlight w:val="none"/>
        </w:rPr>
        <w:t>人民币</w:t>
      </w:r>
      <w:r>
        <w:rPr>
          <w:rFonts w:hint="eastAsia" w:ascii="宋体" w:hAnsi="宋体"/>
          <w:color w:val="auto"/>
          <w:szCs w:val="21"/>
          <w:highlight w:val="none"/>
        </w:rPr>
        <w:t>报价，以元为单位，保留小数点后两位。</w:t>
      </w:r>
    </w:p>
    <w:p w14:paraId="28E48D81">
      <w:pPr>
        <w:pStyle w:val="29"/>
        <w:adjustRightInd w:val="0"/>
        <w:snapToGrid w:val="0"/>
        <w:spacing w:line="360" w:lineRule="auto"/>
        <w:ind w:firstLine="400" w:firstLineChars="200"/>
        <w:outlineLvl w:val="3"/>
        <w:rPr>
          <w:rFonts w:ascii="宋体" w:hAnsi="宋体"/>
          <w:color w:val="auto"/>
          <w:kern w:val="2"/>
          <w:sz w:val="21"/>
          <w:highlight w:val="none"/>
        </w:rPr>
      </w:pPr>
      <w:r>
        <w:rPr>
          <w:rFonts w:hint="eastAsia" w:ascii="宋体" w:hAnsi="宋体"/>
          <w:color w:val="auto"/>
          <w:highlight w:val="none"/>
        </w:rPr>
        <w:t>1</w:t>
      </w:r>
      <w:r>
        <w:rPr>
          <w:rFonts w:hint="eastAsia" w:ascii="宋体" w:hAnsi="宋体"/>
          <w:color w:val="auto"/>
          <w:kern w:val="2"/>
          <w:sz w:val="21"/>
          <w:highlight w:val="none"/>
        </w:rPr>
        <w:t>6.2供应商应按第五章 响应文件组成格式填写。</w:t>
      </w:r>
    </w:p>
    <w:p w14:paraId="5F3846D9">
      <w:pPr>
        <w:pStyle w:val="12"/>
        <w:adjustRightInd w:val="0"/>
        <w:snapToGrid w:val="0"/>
        <w:spacing w:line="360" w:lineRule="auto"/>
        <w:ind w:firstLine="420" w:firstLineChars="200"/>
        <w:rPr>
          <w:rFonts w:hAnsi="宋体"/>
          <w:color w:val="auto"/>
          <w:kern w:val="2"/>
          <w:sz w:val="21"/>
          <w:highlight w:val="none"/>
        </w:rPr>
      </w:pPr>
      <w:r>
        <w:rPr>
          <w:rFonts w:hint="eastAsia" w:hAnsi="宋体"/>
          <w:color w:val="auto"/>
          <w:kern w:val="2"/>
          <w:sz w:val="21"/>
          <w:highlight w:val="none"/>
        </w:rPr>
        <w:t>16.3响应文件中标明的价格在合同执行过程中是固定不变的，不得以任何理由予以变更。以可变动价格提交的报价将被认为是非实质响应而被拒绝。</w:t>
      </w:r>
    </w:p>
    <w:p w14:paraId="5DEE9523">
      <w:pPr>
        <w:pStyle w:val="12"/>
        <w:adjustRightInd w:val="0"/>
        <w:snapToGrid w:val="0"/>
        <w:spacing w:line="360" w:lineRule="auto"/>
        <w:ind w:firstLine="420" w:firstLineChars="200"/>
        <w:rPr>
          <w:rFonts w:hAnsi="宋体"/>
          <w:color w:val="auto"/>
          <w:highlight w:val="none"/>
        </w:rPr>
      </w:pPr>
      <w:r>
        <w:rPr>
          <w:rFonts w:hint="eastAsia" w:hAnsi="宋体"/>
          <w:color w:val="auto"/>
          <w:kern w:val="2"/>
          <w:sz w:val="21"/>
          <w:highlight w:val="none"/>
        </w:rPr>
        <w:t>16.4</w:t>
      </w:r>
      <w:r>
        <w:rPr>
          <w:rFonts w:hint="eastAsia" w:hAnsi="宋体"/>
          <w:color w:val="auto"/>
          <w:kern w:val="2"/>
          <w:sz w:val="21"/>
          <w:highlight w:val="none"/>
          <w:lang w:val="zh-CN"/>
        </w:rPr>
        <w:t>供应商</w:t>
      </w:r>
      <w:r>
        <w:rPr>
          <w:rFonts w:hint="eastAsia" w:hAnsi="宋体"/>
          <w:color w:val="auto"/>
          <w:kern w:val="2"/>
          <w:sz w:val="21"/>
          <w:highlight w:val="none"/>
        </w:rPr>
        <w:t>的报价不得超过采购项目预算，采购项目预算或其计算方法见</w:t>
      </w:r>
      <w:r>
        <w:rPr>
          <w:rFonts w:hint="eastAsia" w:hAnsi="宋体"/>
          <w:b/>
          <w:bCs/>
          <w:color w:val="auto"/>
          <w:kern w:val="2"/>
          <w:sz w:val="21"/>
          <w:highlight w:val="none"/>
        </w:rPr>
        <w:t>磋商须知前附表</w:t>
      </w:r>
      <w:r>
        <w:rPr>
          <w:rFonts w:hint="eastAsia" w:hAnsi="宋体"/>
          <w:color w:val="auto"/>
          <w:highlight w:val="none"/>
        </w:rPr>
        <w:t>。</w:t>
      </w:r>
    </w:p>
    <w:p w14:paraId="60704A41">
      <w:pPr>
        <w:pStyle w:val="12"/>
        <w:adjustRightInd w:val="0"/>
        <w:snapToGrid w:val="0"/>
        <w:spacing w:line="360" w:lineRule="auto"/>
        <w:outlineLvl w:val="2"/>
        <w:rPr>
          <w:b/>
          <w:color w:val="auto"/>
          <w:sz w:val="21"/>
          <w:highlight w:val="none"/>
        </w:rPr>
      </w:pPr>
      <w:bookmarkStart w:id="42" w:name="_Toc1959758228"/>
      <w:r>
        <w:rPr>
          <w:rFonts w:hint="eastAsia"/>
          <w:b/>
          <w:color w:val="auto"/>
          <w:sz w:val="21"/>
          <w:highlight w:val="none"/>
        </w:rPr>
        <w:t>17.供应商符合磋商文件规定的证明文件</w:t>
      </w:r>
      <w:bookmarkEnd w:id="42"/>
    </w:p>
    <w:p w14:paraId="08AE8075">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17.1供应商应提交满足本章第3.1款规定的资格条件要求的证明文件,该证明文件作为响应文件的一部分。</w:t>
      </w:r>
    </w:p>
    <w:p w14:paraId="75B236BA">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17.2如果供应商为联合体，则应提交联合体各方资格证明文件、联合体协议。否则，在评审时将其视为无效响应。</w:t>
      </w:r>
    </w:p>
    <w:p w14:paraId="2E5E5EC8">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17.3 除</w:t>
      </w:r>
      <w:r>
        <w:rPr>
          <w:rFonts w:hint="eastAsia" w:ascii="宋体" w:hAnsi="宋体"/>
          <w:b/>
          <w:color w:val="auto"/>
          <w:szCs w:val="21"/>
          <w:highlight w:val="none"/>
        </w:rPr>
        <w:t>磋商须知前附表</w:t>
      </w:r>
      <w:r>
        <w:rPr>
          <w:rFonts w:hint="eastAsia" w:ascii="宋体" w:hAnsi="宋体"/>
          <w:color w:val="auto"/>
          <w:szCs w:val="21"/>
          <w:highlight w:val="none"/>
        </w:rPr>
        <w:t>另有规定外，供应商提供的货物及服务不是供应商制造或拥有的，则必须提供经销、或代理采购货物、或采购货物提供售后服务的证明文件。</w:t>
      </w:r>
    </w:p>
    <w:p w14:paraId="2072F861">
      <w:pPr>
        <w:adjustRightInd w:val="0"/>
        <w:snapToGrid w:val="0"/>
        <w:spacing w:beforeLines="50" w:line="360" w:lineRule="auto"/>
        <w:jc w:val="left"/>
        <w:outlineLvl w:val="2"/>
        <w:rPr>
          <w:rFonts w:ascii="宋体" w:hAnsi="宋体"/>
          <w:b/>
          <w:color w:val="auto"/>
          <w:szCs w:val="21"/>
          <w:highlight w:val="none"/>
        </w:rPr>
      </w:pPr>
      <w:bookmarkStart w:id="43" w:name="_Toc1699843957"/>
      <w:r>
        <w:rPr>
          <w:rFonts w:hint="eastAsia" w:ascii="宋体" w:hAnsi="宋体"/>
          <w:b/>
          <w:color w:val="auto"/>
          <w:szCs w:val="21"/>
          <w:highlight w:val="none"/>
        </w:rPr>
        <w:t>18．样品提供</w:t>
      </w:r>
      <w:bookmarkEnd w:id="43"/>
    </w:p>
    <w:p w14:paraId="45C0146F">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18.1 </w:t>
      </w:r>
      <w:r>
        <w:rPr>
          <w:rFonts w:hint="eastAsia" w:ascii="宋体" w:hAnsi="宋体"/>
          <w:b/>
          <w:bCs/>
          <w:color w:val="auto"/>
          <w:szCs w:val="21"/>
          <w:highlight w:val="none"/>
        </w:rPr>
        <w:t>磋商须知前附表</w:t>
      </w:r>
      <w:r>
        <w:rPr>
          <w:rFonts w:hint="eastAsia" w:ascii="宋体" w:hAnsi="宋体"/>
          <w:color w:val="auto"/>
          <w:szCs w:val="21"/>
          <w:highlight w:val="none"/>
        </w:rPr>
        <w:t>规定供应商在磋商时提供样品的，供应商有以下情形之一的，在评审时将其视为无效响应。</w:t>
      </w:r>
    </w:p>
    <w:p w14:paraId="1442F618">
      <w:pPr>
        <w:adjustRightInd w:val="0"/>
        <w:snapToGrid w:val="0"/>
        <w:spacing w:beforeLines="50" w:line="360" w:lineRule="auto"/>
        <w:ind w:firstLine="420" w:firstLineChars="200"/>
        <w:jc w:val="left"/>
        <w:outlineLvl w:val="3"/>
        <w:rPr>
          <w:rFonts w:ascii="宋体" w:hAnsi="宋体"/>
          <w:color w:val="auto"/>
          <w:szCs w:val="21"/>
          <w:highlight w:val="none"/>
        </w:rPr>
      </w:pPr>
      <w:r>
        <w:rPr>
          <w:rFonts w:hint="eastAsia" w:ascii="宋体" w:hAnsi="宋体"/>
          <w:color w:val="auto"/>
          <w:szCs w:val="21"/>
          <w:highlight w:val="none"/>
        </w:rPr>
        <w:t>（1）未在</w:t>
      </w:r>
      <w:r>
        <w:rPr>
          <w:rFonts w:hint="eastAsia" w:ascii="宋体" w:hAnsi="宋体"/>
          <w:b/>
          <w:color w:val="auto"/>
          <w:highlight w:val="none"/>
        </w:rPr>
        <w:t>磋商须知前附表</w:t>
      </w:r>
      <w:r>
        <w:rPr>
          <w:rFonts w:hint="eastAsia" w:ascii="宋体" w:hAnsi="宋体"/>
          <w:color w:val="auto"/>
          <w:szCs w:val="21"/>
          <w:highlight w:val="none"/>
        </w:rPr>
        <w:t>规定的提交时间、地点提交</w:t>
      </w:r>
      <w:r>
        <w:rPr>
          <w:rFonts w:ascii="宋体" w:hAnsi="宋体"/>
          <w:color w:val="auto"/>
          <w:szCs w:val="21"/>
          <w:highlight w:val="none"/>
        </w:rPr>
        <w:t>的</w:t>
      </w:r>
      <w:r>
        <w:rPr>
          <w:rFonts w:hint="eastAsia" w:ascii="宋体" w:hAnsi="宋体"/>
          <w:color w:val="auto"/>
          <w:szCs w:val="21"/>
          <w:highlight w:val="none"/>
        </w:rPr>
        <w:t>；</w:t>
      </w:r>
    </w:p>
    <w:p w14:paraId="43B49240">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bCs/>
          <w:color w:val="auto"/>
          <w:highlight w:val="none"/>
        </w:rPr>
        <w:t>供应商</w:t>
      </w:r>
      <w:r>
        <w:rPr>
          <w:rFonts w:hint="eastAsia" w:ascii="宋体" w:hAnsi="宋体"/>
          <w:color w:val="auto"/>
          <w:szCs w:val="21"/>
          <w:highlight w:val="none"/>
        </w:rPr>
        <w:t>提供的样品与磋商文件中要求提供样品的型号、规格不一致</w:t>
      </w:r>
      <w:r>
        <w:rPr>
          <w:rFonts w:ascii="宋体" w:hAnsi="宋体"/>
          <w:color w:val="auto"/>
          <w:szCs w:val="21"/>
          <w:highlight w:val="none"/>
        </w:rPr>
        <w:t>的</w:t>
      </w:r>
      <w:r>
        <w:rPr>
          <w:rFonts w:hint="eastAsia" w:ascii="宋体" w:hAnsi="宋体"/>
          <w:color w:val="auto"/>
          <w:szCs w:val="21"/>
          <w:highlight w:val="none"/>
        </w:rPr>
        <w:t>。</w:t>
      </w:r>
    </w:p>
    <w:p w14:paraId="5C1E6CC9">
      <w:pPr>
        <w:adjustRightInd w:val="0"/>
        <w:snapToGrid w:val="0"/>
        <w:spacing w:line="360" w:lineRule="auto"/>
        <w:outlineLvl w:val="2"/>
        <w:rPr>
          <w:rFonts w:ascii="宋体" w:hAnsi="宋体"/>
          <w:b/>
          <w:bCs/>
          <w:color w:val="auto"/>
          <w:szCs w:val="21"/>
          <w:highlight w:val="none"/>
        </w:rPr>
      </w:pPr>
      <w:bookmarkStart w:id="44" w:name="_Toc1302429258"/>
      <w:r>
        <w:rPr>
          <w:rFonts w:hint="eastAsia" w:ascii="宋体" w:hAnsi="宋体"/>
          <w:b/>
          <w:bCs/>
          <w:color w:val="auto"/>
          <w:szCs w:val="21"/>
          <w:highlight w:val="none"/>
        </w:rPr>
        <w:t>19.</w:t>
      </w:r>
      <w:r>
        <w:rPr>
          <w:rFonts w:hint="eastAsia"/>
          <w:color w:val="auto"/>
          <w:highlight w:val="none"/>
        </w:rPr>
        <w:t xml:space="preserve"> </w:t>
      </w:r>
      <w:r>
        <w:rPr>
          <w:rFonts w:hint="eastAsia" w:ascii="宋体" w:hAnsi="宋体"/>
          <w:b/>
          <w:bCs/>
          <w:color w:val="auto"/>
          <w:szCs w:val="21"/>
          <w:highlight w:val="none"/>
        </w:rPr>
        <w:t>磋商保证金</w:t>
      </w:r>
      <w:bookmarkEnd w:id="44"/>
    </w:p>
    <w:p w14:paraId="47DF7964">
      <w:pPr>
        <w:pStyle w:val="12"/>
        <w:adjustRightInd w:val="0"/>
        <w:snapToGrid w:val="0"/>
        <w:spacing w:line="360" w:lineRule="auto"/>
        <w:ind w:firstLine="400" w:firstLineChars="200"/>
        <w:rPr>
          <w:rFonts w:hAnsi="宋体"/>
          <w:color w:val="auto"/>
          <w:kern w:val="2"/>
          <w:sz w:val="21"/>
          <w:highlight w:val="none"/>
        </w:rPr>
      </w:pPr>
      <w:r>
        <w:rPr>
          <w:rFonts w:hint="eastAsia" w:hAnsi="宋体"/>
          <w:color w:val="auto"/>
          <w:highlight w:val="none"/>
        </w:rPr>
        <w:t>1</w:t>
      </w:r>
      <w:r>
        <w:rPr>
          <w:rFonts w:hint="eastAsia" w:hAnsi="宋体"/>
          <w:color w:val="auto"/>
          <w:kern w:val="2"/>
          <w:sz w:val="21"/>
          <w:highlight w:val="none"/>
        </w:rPr>
        <w:t>9.1</w:t>
      </w:r>
      <w:r>
        <w:rPr>
          <w:rFonts w:hint="eastAsia" w:hAnsi="宋体"/>
          <w:b/>
          <w:bCs/>
          <w:color w:val="auto"/>
          <w:kern w:val="2"/>
          <w:sz w:val="21"/>
          <w:highlight w:val="none"/>
        </w:rPr>
        <w:t>磋商须知前附表</w:t>
      </w:r>
      <w:r>
        <w:rPr>
          <w:rFonts w:hint="eastAsia" w:hAnsi="宋体"/>
          <w:color w:val="auto"/>
          <w:kern w:val="2"/>
          <w:sz w:val="21"/>
          <w:highlight w:val="none"/>
        </w:rPr>
        <w:t>规定交纳磋商保证金的，应按</w:t>
      </w:r>
      <w:r>
        <w:rPr>
          <w:rFonts w:hint="eastAsia" w:hAnsi="宋体"/>
          <w:b/>
          <w:bCs/>
          <w:color w:val="auto"/>
          <w:kern w:val="2"/>
          <w:sz w:val="21"/>
          <w:highlight w:val="none"/>
        </w:rPr>
        <w:t>磋商须知前附表</w:t>
      </w:r>
      <w:r>
        <w:rPr>
          <w:rFonts w:hint="eastAsia" w:hAnsi="宋体"/>
          <w:color w:val="auto"/>
          <w:kern w:val="2"/>
          <w:sz w:val="21"/>
          <w:highlight w:val="none"/>
        </w:rPr>
        <w:t>规定的磋商保证金形式交纳，不得以现金方式交纳，在提交首次响应文件截止时间前，向采购代理机构交纳不超过</w:t>
      </w:r>
      <w:r>
        <w:rPr>
          <w:rFonts w:hint="eastAsia" w:hAnsi="宋体"/>
          <w:color w:val="auto"/>
          <w:kern w:val="2"/>
          <w:sz w:val="21"/>
          <w:highlight w:val="none"/>
          <w:lang w:val="zh-CN"/>
        </w:rPr>
        <w:t>采购项目预算2﹪</w:t>
      </w:r>
      <w:r>
        <w:rPr>
          <w:rFonts w:hint="eastAsia" w:hAnsi="宋体"/>
          <w:color w:val="auto"/>
          <w:kern w:val="2"/>
          <w:sz w:val="21"/>
          <w:highlight w:val="none"/>
        </w:rPr>
        <w:t>的磋商保证金(数额采用四舍五入，计算至元)。磋商保证金有效期应当与本章第20.1</w:t>
      </w:r>
      <w:r>
        <w:rPr>
          <w:rFonts w:hint="eastAsia" w:hAnsi="宋体"/>
          <w:color w:val="auto"/>
          <w:kern w:val="2"/>
          <w:sz w:val="21"/>
          <w:highlight w:val="none"/>
          <w:lang w:val="zh-CN"/>
        </w:rPr>
        <w:t>款</w:t>
      </w:r>
      <w:r>
        <w:rPr>
          <w:rFonts w:hint="eastAsia" w:hAnsi="宋体"/>
          <w:color w:val="auto"/>
          <w:kern w:val="2"/>
          <w:sz w:val="21"/>
          <w:highlight w:val="none"/>
        </w:rPr>
        <w:t>规定的响应文件有效期一致。</w:t>
      </w:r>
    </w:p>
    <w:p w14:paraId="395DFC4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19.2</w:t>
      </w:r>
      <w:r>
        <w:rPr>
          <w:rFonts w:hint="eastAsia" w:ascii="宋体" w:hAnsi="宋体"/>
          <w:color w:val="auto"/>
          <w:szCs w:val="21"/>
          <w:highlight w:val="none"/>
          <w:lang w:val="zh-CN"/>
        </w:rPr>
        <w:t>供应商为联合体的，可以由联合体中的一方或者共同交纳磋商保证金，其交纳的磋商保证金，对联合体各方均具有约束力。</w:t>
      </w:r>
    </w:p>
    <w:p w14:paraId="09CFA1ED">
      <w:pPr>
        <w:pStyle w:val="12"/>
        <w:adjustRightInd w:val="0"/>
        <w:snapToGrid w:val="0"/>
        <w:spacing w:line="360" w:lineRule="auto"/>
        <w:ind w:firstLine="420" w:firstLineChars="200"/>
        <w:outlineLvl w:val="3"/>
        <w:rPr>
          <w:rFonts w:hAnsi="宋体"/>
          <w:color w:val="auto"/>
          <w:kern w:val="2"/>
          <w:sz w:val="21"/>
          <w:highlight w:val="none"/>
        </w:rPr>
      </w:pPr>
      <w:r>
        <w:rPr>
          <w:rFonts w:hint="eastAsia" w:hAnsi="宋体"/>
          <w:color w:val="auto"/>
          <w:kern w:val="2"/>
          <w:sz w:val="21"/>
          <w:highlight w:val="none"/>
        </w:rPr>
        <w:t>19.3供应商未按照磋商文件要求提交磋商保证金的，响应无效。</w:t>
      </w:r>
    </w:p>
    <w:p w14:paraId="2B07DC13">
      <w:pPr>
        <w:pStyle w:val="12"/>
        <w:tabs>
          <w:tab w:val="left" w:pos="6300"/>
        </w:tabs>
        <w:adjustRightInd w:val="0"/>
        <w:snapToGrid w:val="0"/>
        <w:spacing w:line="360" w:lineRule="auto"/>
        <w:ind w:firstLine="420" w:firstLineChars="200"/>
        <w:rPr>
          <w:rFonts w:hAnsi="宋体"/>
          <w:color w:val="auto"/>
          <w:kern w:val="2"/>
          <w:sz w:val="21"/>
          <w:highlight w:val="none"/>
        </w:rPr>
      </w:pPr>
      <w:r>
        <w:rPr>
          <w:rFonts w:hint="eastAsia" w:hAnsi="宋体"/>
          <w:color w:val="auto"/>
          <w:kern w:val="2"/>
          <w:sz w:val="21"/>
          <w:highlight w:val="none"/>
        </w:rPr>
        <w:t>19.4采购代理机构在成交通知书发出后5个工作日内退还未成交供应商的磋商保证金；在采购合同签定后5个工作日内退还成交供应商的磋商保证金，但因供应商自身原因导致无法及时退还的除外。</w:t>
      </w:r>
    </w:p>
    <w:p w14:paraId="686C0227">
      <w:pPr>
        <w:pStyle w:val="12"/>
        <w:tabs>
          <w:tab w:val="left" w:pos="6300"/>
        </w:tabs>
        <w:adjustRightInd w:val="0"/>
        <w:snapToGrid w:val="0"/>
        <w:spacing w:line="360" w:lineRule="auto"/>
        <w:ind w:firstLine="420" w:firstLineChars="200"/>
        <w:rPr>
          <w:rFonts w:hAnsi="宋体"/>
          <w:color w:val="auto"/>
          <w:kern w:val="2"/>
          <w:sz w:val="21"/>
          <w:highlight w:val="none"/>
        </w:rPr>
      </w:pPr>
      <w:r>
        <w:rPr>
          <w:rFonts w:hint="eastAsia" w:hAnsi="宋体"/>
          <w:color w:val="auto"/>
          <w:kern w:val="2"/>
          <w:sz w:val="21"/>
          <w:highlight w:val="none"/>
        </w:rPr>
        <w:t>19.5 有下列情形之一的，磋商保证金不予退还，并上缴本级财政国库：</w:t>
      </w:r>
    </w:p>
    <w:p w14:paraId="6497DA81">
      <w:pPr>
        <w:pStyle w:val="12"/>
        <w:tabs>
          <w:tab w:val="left" w:pos="6300"/>
        </w:tabs>
        <w:adjustRightInd w:val="0"/>
        <w:snapToGrid w:val="0"/>
        <w:spacing w:line="360" w:lineRule="auto"/>
        <w:ind w:firstLine="420" w:firstLineChars="200"/>
        <w:rPr>
          <w:rFonts w:hAnsi="宋体"/>
          <w:color w:val="auto"/>
          <w:kern w:val="2"/>
          <w:sz w:val="21"/>
          <w:highlight w:val="none"/>
        </w:rPr>
      </w:pPr>
      <w:r>
        <w:rPr>
          <w:rFonts w:hint="eastAsia" w:hAnsi="宋体"/>
          <w:color w:val="auto"/>
          <w:kern w:val="2"/>
          <w:sz w:val="21"/>
          <w:highlight w:val="none"/>
        </w:rPr>
        <w:t>（1）供应商在提交首次响应文件截止时间后撤回响应文件的；</w:t>
      </w:r>
    </w:p>
    <w:p w14:paraId="74A55A54">
      <w:pPr>
        <w:pStyle w:val="12"/>
        <w:tabs>
          <w:tab w:val="left" w:pos="6300"/>
        </w:tabs>
        <w:adjustRightInd w:val="0"/>
        <w:snapToGrid w:val="0"/>
        <w:spacing w:line="360" w:lineRule="auto"/>
        <w:ind w:firstLine="420" w:firstLineChars="200"/>
        <w:rPr>
          <w:rFonts w:hAnsi="宋体"/>
          <w:color w:val="auto"/>
          <w:kern w:val="2"/>
          <w:sz w:val="21"/>
          <w:highlight w:val="none"/>
        </w:rPr>
      </w:pPr>
      <w:r>
        <w:rPr>
          <w:rFonts w:hint="eastAsia" w:hAnsi="宋体"/>
          <w:color w:val="auto"/>
          <w:kern w:val="2"/>
          <w:sz w:val="21"/>
          <w:highlight w:val="none"/>
        </w:rPr>
        <w:t>（2）供应商在响应文件中提供虚假资料的；</w:t>
      </w:r>
    </w:p>
    <w:p w14:paraId="72357B69">
      <w:pPr>
        <w:pStyle w:val="12"/>
        <w:tabs>
          <w:tab w:val="left" w:pos="6300"/>
        </w:tabs>
        <w:adjustRightInd w:val="0"/>
        <w:snapToGrid w:val="0"/>
        <w:spacing w:line="360" w:lineRule="auto"/>
        <w:ind w:firstLine="420" w:firstLineChars="200"/>
        <w:rPr>
          <w:rFonts w:hAnsi="宋体"/>
          <w:color w:val="auto"/>
          <w:kern w:val="2"/>
          <w:sz w:val="21"/>
          <w:highlight w:val="none"/>
        </w:rPr>
      </w:pPr>
      <w:r>
        <w:rPr>
          <w:rFonts w:hint="eastAsia" w:hAnsi="宋体"/>
          <w:color w:val="auto"/>
          <w:kern w:val="2"/>
          <w:sz w:val="21"/>
          <w:highlight w:val="none"/>
        </w:rPr>
        <w:t>（3）确定成交结果后，无正当理由放弃成交资格的；</w:t>
      </w:r>
    </w:p>
    <w:p w14:paraId="32B773C9">
      <w:pPr>
        <w:pStyle w:val="12"/>
        <w:tabs>
          <w:tab w:val="left" w:pos="6300"/>
        </w:tabs>
        <w:adjustRightInd w:val="0"/>
        <w:snapToGrid w:val="0"/>
        <w:spacing w:line="360" w:lineRule="auto"/>
        <w:ind w:firstLine="420" w:firstLineChars="200"/>
        <w:rPr>
          <w:rFonts w:hAnsi="宋体"/>
          <w:color w:val="auto"/>
          <w:kern w:val="2"/>
          <w:sz w:val="21"/>
          <w:highlight w:val="none"/>
        </w:rPr>
      </w:pPr>
      <w:r>
        <w:rPr>
          <w:rFonts w:hint="eastAsia" w:hAnsi="宋体"/>
          <w:color w:val="auto"/>
          <w:kern w:val="2"/>
          <w:sz w:val="21"/>
          <w:highlight w:val="none"/>
        </w:rPr>
        <w:t xml:space="preserve"> (4) 除因不可抗力或磋商文件认可的情形以外，成交供应商不与采购人签订合同的；</w:t>
      </w:r>
    </w:p>
    <w:p w14:paraId="456E01ED">
      <w:pPr>
        <w:pStyle w:val="12"/>
        <w:tabs>
          <w:tab w:val="left" w:pos="6300"/>
        </w:tabs>
        <w:adjustRightInd w:val="0"/>
        <w:snapToGrid w:val="0"/>
        <w:spacing w:line="360" w:lineRule="auto"/>
        <w:ind w:firstLine="420" w:firstLineChars="200"/>
        <w:rPr>
          <w:rFonts w:hAnsi="宋体"/>
          <w:color w:val="auto"/>
          <w:kern w:val="2"/>
          <w:sz w:val="21"/>
          <w:highlight w:val="none"/>
        </w:rPr>
      </w:pPr>
      <w:r>
        <w:rPr>
          <w:rFonts w:hint="eastAsia" w:hAnsi="宋体"/>
          <w:color w:val="auto"/>
          <w:kern w:val="2"/>
          <w:sz w:val="21"/>
          <w:highlight w:val="none"/>
        </w:rPr>
        <w:t>（5）供应商与采购人、其他供应商或者采购代理机构恶意串通的；</w:t>
      </w:r>
    </w:p>
    <w:p w14:paraId="61531777">
      <w:pPr>
        <w:pStyle w:val="12"/>
        <w:tabs>
          <w:tab w:val="left" w:pos="6300"/>
        </w:tabs>
        <w:adjustRightInd w:val="0"/>
        <w:snapToGrid w:val="0"/>
        <w:spacing w:line="360" w:lineRule="auto"/>
        <w:ind w:firstLine="420" w:firstLineChars="200"/>
        <w:rPr>
          <w:rFonts w:hAnsi="宋体"/>
          <w:color w:val="auto"/>
          <w:kern w:val="2"/>
          <w:sz w:val="21"/>
          <w:highlight w:val="none"/>
        </w:rPr>
      </w:pPr>
      <w:r>
        <w:rPr>
          <w:rFonts w:hint="eastAsia" w:hAnsi="宋体"/>
          <w:color w:val="auto"/>
          <w:kern w:val="2"/>
          <w:sz w:val="21"/>
          <w:highlight w:val="none"/>
        </w:rPr>
        <w:t>（6）磋商文件规定的其他情形。</w:t>
      </w:r>
    </w:p>
    <w:p w14:paraId="68A9170B">
      <w:pPr>
        <w:adjustRightInd w:val="0"/>
        <w:snapToGrid w:val="0"/>
        <w:spacing w:line="360" w:lineRule="auto"/>
        <w:outlineLvl w:val="2"/>
        <w:rPr>
          <w:rFonts w:ascii="宋体" w:hAnsi="宋体"/>
          <w:b/>
          <w:bCs/>
          <w:color w:val="auto"/>
          <w:szCs w:val="21"/>
          <w:highlight w:val="none"/>
        </w:rPr>
      </w:pPr>
      <w:bookmarkStart w:id="45" w:name="_Toc627725335"/>
      <w:r>
        <w:rPr>
          <w:rFonts w:hint="eastAsia" w:ascii="宋体" w:hAnsi="宋体"/>
          <w:b/>
          <w:bCs/>
          <w:color w:val="auto"/>
          <w:szCs w:val="21"/>
          <w:highlight w:val="none"/>
        </w:rPr>
        <w:t>20.</w:t>
      </w:r>
      <w:r>
        <w:rPr>
          <w:rFonts w:hint="eastAsia" w:ascii="宋体" w:hAnsi="宋体"/>
          <w:color w:val="auto"/>
          <w:szCs w:val="21"/>
          <w:highlight w:val="none"/>
        </w:rPr>
        <w:t xml:space="preserve"> </w:t>
      </w:r>
      <w:r>
        <w:rPr>
          <w:rFonts w:hint="eastAsia" w:hAnsi="宋体"/>
          <w:b/>
          <w:color w:val="auto"/>
          <w:highlight w:val="none"/>
        </w:rPr>
        <w:t>响应文件</w:t>
      </w:r>
      <w:r>
        <w:rPr>
          <w:rFonts w:hint="eastAsia" w:ascii="宋体" w:hAnsi="宋体"/>
          <w:b/>
          <w:color w:val="auto"/>
          <w:szCs w:val="21"/>
          <w:highlight w:val="none"/>
        </w:rPr>
        <w:t>有效期</w:t>
      </w:r>
      <w:bookmarkEnd w:id="45"/>
    </w:p>
    <w:p w14:paraId="4FED3A8B">
      <w:pPr>
        <w:adjustRightInd w:val="0"/>
        <w:snapToGrid w:val="0"/>
        <w:spacing w:line="360" w:lineRule="auto"/>
        <w:ind w:firstLine="420" w:firstLineChars="200"/>
        <w:jc w:val="left"/>
        <w:rPr>
          <w:rFonts w:hAnsi="宋体"/>
          <w:color w:val="auto"/>
          <w:highlight w:val="none"/>
        </w:rPr>
      </w:pPr>
      <w:r>
        <w:rPr>
          <w:rFonts w:hint="eastAsia" w:ascii="宋体" w:hAnsi="宋体"/>
          <w:color w:val="auto"/>
          <w:highlight w:val="none"/>
        </w:rPr>
        <w:t>20.1响应文件</w:t>
      </w:r>
      <w:r>
        <w:rPr>
          <w:rFonts w:hint="eastAsia" w:ascii="宋体" w:hAnsi="宋体"/>
          <w:color w:val="auto"/>
          <w:szCs w:val="21"/>
          <w:highlight w:val="none"/>
        </w:rPr>
        <w:t>有效期见</w:t>
      </w:r>
      <w:r>
        <w:rPr>
          <w:rFonts w:hint="eastAsia" w:ascii="宋体" w:hAnsi="宋体"/>
          <w:b/>
          <w:color w:val="auto"/>
          <w:highlight w:val="none"/>
        </w:rPr>
        <w:t>磋商须知前附表</w:t>
      </w:r>
      <w:r>
        <w:rPr>
          <w:rFonts w:hint="eastAsia" w:ascii="宋体" w:hAnsi="宋体"/>
          <w:color w:val="auto"/>
          <w:szCs w:val="21"/>
          <w:highlight w:val="none"/>
        </w:rPr>
        <w:t>，在此期间</w:t>
      </w:r>
      <w:r>
        <w:rPr>
          <w:rFonts w:hint="eastAsia" w:ascii="宋体" w:hAnsi="宋体"/>
          <w:color w:val="auto"/>
          <w:highlight w:val="none"/>
        </w:rPr>
        <w:t>响应</w:t>
      </w:r>
      <w:r>
        <w:rPr>
          <w:rFonts w:hint="eastAsia" w:ascii="宋体" w:hAnsi="宋体"/>
          <w:color w:val="auto"/>
          <w:szCs w:val="21"/>
          <w:highlight w:val="none"/>
        </w:rPr>
        <w:t>文件对供应商具有法律约束力，</w:t>
      </w:r>
      <w:r>
        <w:rPr>
          <w:rFonts w:hint="eastAsia" w:ascii="宋体" w:hAnsi="宋体" w:cs="Arial"/>
          <w:color w:val="auto"/>
          <w:highlight w:val="none"/>
        </w:rPr>
        <w:t>从</w:t>
      </w:r>
      <w:r>
        <w:rPr>
          <w:rFonts w:hint="eastAsia" w:ascii="宋体" w:hAnsi="宋体" w:cs="宋体"/>
          <w:color w:val="auto"/>
          <w:kern w:val="0"/>
          <w:szCs w:val="21"/>
          <w:highlight w:val="none"/>
        </w:rPr>
        <w:t>提交首次响应文件截止时间</w:t>
      </w:r>
      <w:r>
        <w:rPr>
          <w:rFonts w:hint="eastAsia" w:hAnsi="宋体"/>
          <w:color w:val="auto"/>
          <w:highlight w:val="none"/>
        </w:rPr>
        <w:t>之日</w:t>
      </w:r>
      <w:r>
        <w:rPr>
          <w:rFonts w:hint="eastAsia" w:hAnsi="宋体" w:cs="Arial"/>
          <w:color w:val="auto"/>
          <w:highlight w:val="none"/>
        </w:rPr>
        <w:t>起计算。</w:t>
      </w:r>
      <w:r>
        <w:rPr>
          <w:rFonts w:hint="eastAsia" w:hAnsi="宋体"/>
          <w:color w:val="auto"/>
          <w:highlight w:val="none"/>
        </w:rPr>
        <w:t>响应文件有效期不足的将被视为无效响应。</w:t>
      </w:r>
    </w:p>
    <w:p w14:paraId="09E65F90">
      <w:pPr>
        <w:adjustRightInd w:val="0"/>
        <w:snapToGrid w:val="0"/>
        <w:spacing w:line="360" w:lineRule="auto"/>
        <w:outlineLvl w:val="2"/>
        <w:rPr>
          <w:rFonts w:ascii="宋体" w:hAnsi="宋体"/>
          <w:b/>
          <w:bCs/>
          <w:color w:val="auto"/>
          <w:szCs w:val="21"/>
          <w:highlight w:val="none"/>
        </w:rPr>
      </w:pPr>
      <w:bookmarkStart w:id="46" w:name="_Toc1740031281"/>
      <w:r>
        <w:rPr>
          <w:rFonts w:hint="eastAsia" w:ascii="宋体" w:hAnsi="宋体"/>
          <w:b/>
          <w:bCs/>
          <w:color w:val="auto"/>
          <w:szCs w:val="21"/>
          <w:highlight w:val="none"/>
        </w:rPr>
        <w:t>21.响应文件的签署及规定</w:t>
      </w:r>
      <w:bookmarkEnd w:id="46"/>
    </w:p>
    <w:p w14:paraId="70214655">
      <w:pPr>
        <w:pStyle w:val="12"/>
        <w:adjustRightInd w:val="0"/>
        <w:snapToGrid w:val="0"/>
        <w:spacing w:line="360" w:lineRule="auto"/>
        <w:ind w:firstLine="420" w:firstLineChars="200"/>
        <w:rPr>
          <w:rFonts w:hAnsi="宋体"/>
          <w:color w:val="auto"/>
          <w:kern w:val="2"/>
          <w:sz w:val="21"/>
          <w:highlight w:val="none"/>
        </w:rPr>
      </w:pPr>
      <w:r>
        <w:rPr>
          <w:rFonts w:hint="eastAsia" w:hAnsi="宋体"/>
          <w:color w:val="auto"/>
          <w:kern w:val="2"/>
          <w:sz w:val="21"/>
          <w:highlight w:val="none"/>
        </w:rPr>
        <w:t>21.1响应文件的正本和副本应装订成册，正本一份，副本、电子文件份数见</w:t>
      </w:r>
      <w:r>
        <w:rPr>
          <w:rFonts w:hint="eastAsia" w:hAnsi="宋体"/>
          <w:b/>
          <w:bCs/>
          <w:color w:val="auto"/>
          <w:kern w:val="2"/>
          <w:sz w:val="21"/>
          <w:highlight w:val="none"/>
        </w:rPr>
        <w:t>磋商须知前附表</w:t>
      </w:r>
      <w:r>
        <w:rPr>
          <w:rFonts w:hint="eastAsia" w:hAnsi="宋体"/>
          <w:color w:val="auto"/>
          <w:kern w:val="2"/>
          <w:sz w:val="21"/>
          <w:highlight w:val="none"/>
        </w:rPr>
        <w:t>。正本和副本的封面上应标记“正本”或“副本”的字样，当正本和副本有差异时，以正本为准。</w:t>
      </w:r>
    </w:p>
    <w:p w14:paraId="2D318659">
      <w:pPr>
        <w:pStyle w:val="12"/>
        <w:adjustRightInd w:val="0"/>
        <w:snapToGrid w:val="0"/>
        <w:spacing w:line="360" w:lineRule="auto"/>
        <w:ind w:firstLine="420" w:firstLineChars="200"/>
        <w:rPr>
          <w:rFonts w:hAnsi="宋体"/>
          <w:color w:val="auto"/>
          <w:kern w:val="2"/>
          <w:sz w:val="21"/>
          <w:highlight w:val="none"/>
        </w:rPr>
      </w:pPr>
      <w:r>
        <w:rPr>
          <w:rFonts w:hint="eastAsia" w:hAnsi="宋体"/>
          <w:color w:val="auto"/>
          <w:kern w:val="2"/>
          <w:sz w:val="21"/>
          <w:highlight w:val="none"/>
        </w:rPr>
        <w:t>21.2 响应文件正本和副本应按磋商文件要求签章处盖单位章和由法定代表人或其委托代理人签字；任何加行、涂改、增删，应有法定代表人或其委托代理人在旁边签字。否则，将导致响应文件无效。</w:t>
      </w:r>
    </w:p>
    <w:p w14:paraId="43FD7863">
      <w:pPr>
        <w:pStyle w:val="12"/>
        <w:adjustRightInd w:val="0"/>
        <w:snapToGrid w:val="0"/>
        <w:spacing w:line="360" w:lineRule="auto"/>
        <w:ind w:firstLine="420" w:firstLineChars="200"/>
        <w:rPr>
          <w:rFonts w:hAnsi="宋体"/>
          <w:color w:val="auto"/>
          <w:kern w:val="2"/>
          <w:sz w:val="21"/>
          <w:highlight w:val="none"/>
        </w:rPr>
      </w:pPr>
      <w:r>
        <w:rPr>
          <w:rFonts w:hint="eastAsia" w:hAnsi="宋体"/>
          <w:color w:val="auto"/>
          <w:kern w:val="2"/>
          <w:sz w:val="21"/>
          <w:highlight w:val="none"/>
        </w:rPr>
        <w:t>21.3 在磋商过程中，供应商按磋商文件规定和磋商小组要求提交的最后报价(或者重新提交的响应文件和最后报价)，可打印或用不退色墨水书写，但需经法定代表人或其委托代理人签字，或者加盖供应商单位章。否则，将导致响应文件无效。</w:t>
      </w:r>
    </w:p>
    <w:p w14:paraId="536AF86D">
      <w:pPr>
        <w:adjustRightInd w:val="0"/>
        <w:snapToGrid w:val="0"/>
        <w:spacing w:line="360" w:lineRule="auto"/>
        <w:ind w:left="902" w:hanging="902" w:hangingChars="376"/>
        <w:outlineLvl w:val="1"/>
        <w:rPr>
          <w:rFonts w:ascii="黑体" w:hAnsi="宋体" w:eastAsia="黑体"/>
          <w:color w:val="auto"/>
          <w:sz w:val="24"/>
          <w:highlight w:val="none"/>
        </w:rPr>
      </w:pPr>
      <w:bookmarkStart w:id="47" w:name="_Toc273434921"/>
      <w:r>
        <w:rPr>
          <w:rFonts w:hint="eastAsia" w:ascii="黑体" w:hAnsi="宋体" w:eastAsia="黑体"/>
          <w:color w:val="auto"/>
          <w:sz w:val="24"/>
          <w:highlight w:val="none"/>
        </w:rPr>
        <w:t>四、响应文件的递交</w:t>
      </w:r>
      <w:bookmarkEnd w:id="47"/>
    </w:p>
    <w:p w14:paraId="17C42B89">
      <w:pPr>
        <w:adjustRightInd w:val="0"/>
        <w:snapToGrid w:val="0"/>
        <w:spacing w:line="360" w:lineRule="auto"/>
        <w:outlineLvl w:val="2"/>
        <w:rPr>
          <w:rFonts w:ascii="宋体" w:hAnsi="宋体"/>
          <w:b/>
          <w:bCs/>
          <w:color w:val="auto"/>
          <w:szCs w:val="21"/>
          <w:highlight w:val="none"/>
        </w:rPr>
      </w:pPr>
      <w:bookmarkStart w:id="48" w:name="_Toc5712667"/>
      <w:r>
        <w:rPr>
          <w:rFonts w:hint="eastAsia" w:ascii="宋体" w:hAnsi="宋体"/>
          <w:b/>
          <w:bCs/>
          <w:color w:val="auto"/>
          <w:szCs w:val="21"/>
          <w:highlight w:val="none"/>
        </w:rPr>
        <w:t>22.</w:t>
      </w:r>
      <w:r>
        <w:rPr>
          <w:rFonts w:hint="eastAsia" w:ascii="宋体" w:hAnsi="宋体"/>
          <w:b/>
          <w:color w:val="auto"/>
          <w:szCs w:val="21"/>
          <w:highlight w:val="none"/>
        </w:rPr>
        <w:t>响应文件</w:t>
      </w:r>
      <w:r>
        <w:rPr>
          <w:rFonts w:hint="eastAsia" w:ascii="宋体" w:hAnsi="宋体"/>
          <w:b/>
          <w:bCs/>
          <w:color w:val="auto"/>
          <w:szCs w:val="21"/>
          <w:highlight w:val="none"/>
        </w:rPr>
        <w:t>的密封和标记</w:t>
      </w:r>
      <w:bookmarkEnd w:id="48"/>
    </w:p>
    <w:p w14:paraId="456DB9EC">
      <w:pPr>
        <w:pStyle w:val="12"/>
        <w:adjustRightInd w:val="0"/>
        <w:snapToGrid w:val="0"/>
        <w:spacing w:line="360" w:lineRule="auto"/>
        <w:ind w:firstLine="420" w:firstLineChars="200"/>
        <w:rPr>
          <w:rFonts w:hAnsi="宋体"/>
          <w:color w:val="auto"/>
          <w:kern w:val="2"/>
          <w:sz w:val="21"/>
          <w:highlight w:val="none"/>
        </w:rPr>
      </w:pPr>
      <w:r>
        <w:rPr>
          <w:rFonts w:hint="eastAsia" w:hAnsi="宋体"/>
          <w:color w:val="auto"/>
          <w:kern w:val="2"/>
          <w:sz w:val="21"/>
          <w:highlight w:val="none"/>
        </w:rPr>
        <w:t>22.1响应文件正、副本应一起密封包装，加贴封条，并在封套的封口处盖供应商单位章或者由法定代表人或其委托代理人签字。</w:t>
      </w:r>
    </w:p>
    <w:p w14:paraId="0F663E44">
      <w:pPr>
        <w:pStyle w:val="12"/>
        <w:adjustRightInd w:val="0"/>
        <w:snapToGrid w:val="0"/>
        <w:spacing w:line="360" w:lineRule="auto"/>
        <w:ind w:firstLine="420" w:firstLineChars="200"/>
        <w:outlineLvl w:val="3"/>
        <w:rPr>
          <w:rFonts w:hAnsi="宋体"/>
          <w:color w:val="auto"/>
          <w:highlight w:val="none"/>
        </w:rPr>
      </w:pPr>
      <w:r>
        <w:rPr>
          <w:rFonts w:hint="eastAsia" w:hAnsi="宋体"/>
          <w:color w:val="auto"/>
          <w:kern w:val="2"/>
          <w:sz w:val="21"/>
          <w:highlight w:val="none"/>
        </w:rPr>
        <w:t>22.2响应文件封套上应写明的内容见</w:t>
      </w:r>
      <w:r>
        <w:rPr>
          <w:rFonts w:hint="eastAsia" w:hAnsi="宋体"/>
          <w:b/>
          <w:color w:val="auto"/>
          <w:sz w:val="21"/>
          <w:highlight w:val="none"/>
        </w:rPr>
        <w:t>磋商须知前附表</w:t>
      </w:r>
      <w:r>
        <w:rPr>
          <w:rFonts w:hint="eastAsia" w:hAnsi="宋体"/>
          <w:b/>
          <w:color w:val="auto"/>
          <w:highlight w:val="none"/>
        </w:rPr>
        <w:t>。</w:t>
      </w:r>
    </w:p>
    <w:p w14:paraId="7F6BD3C9">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22.3响应文件如果未按上述规定密封和加写标记，采购人或采购代理机构将拒绝接收。</w:t>
      </w:r>
    </w:p>
    <w:p w14:paraId="55EE6A65">
      <w:pPr>
        <w:adjustRightInd w:val="0"/>
        <w:snapToGrid w:val="0"/>
        <w:spacing w:line="360" w:lineRule="auto"/>
        <w:outlineLvl w:val="2"/>
        <w:rPr>
          <w:rFonts w:ascii="宋体" w:hAnsi="宋体"/>
          <w:b/>
          <w:bCs/>
          <w:color w:val="auto"/>
          <w:szCs w:val="21"/>
          <w:highlight w:val="none"/>
        </w:rPr>
      </w:pPr>
      <w:bookmarkStart w:id="49" w:name="_Toc1523513801"/>
      <w:r>
        <w:rPr>
          <w:rFonts w:hint="eastAsia" w:ascii="宋体" w:hAnsi="宋体"/>
          <w:b/>
          <w:bCs/>
          <w:color w:val="auto"/>
          <w:szCs w:val="21"/>
          <w:highlight w:val="none"/>
        </w:rPr>
        <w:t>23.响应文件的</w:t>
      </w:r>
      <w:r>
        <w:rPr>
          <w:rFonts w:hint="eastAsia" w:ascii="宋体" w:hAnsi="宋体" w:cs="宋体"/>
          <w:b/>
          <w:color w:val="auto"/>
          <w:kern w:val="0"/>
          <w:szCs w:val="21"/>
          <w:highlight w:val="none"/>
          <w:lang w:val="zh-CN"/>
        </w:rPr>
        <w:t>补充、修改或者撤回</w:t>
      </w:r>
      <w:bookmarkEnd w:id="49"/>
    </w:p>
    <w:p w14:paraId="63B2EEF5">
      <w:pPr>
        <w:pStyle w:val="12"/>
        <w:adjustRightInd w:val="0"/>
        <w:snapToGrid w:val="0"/>
        <w:spacing w:line="360" w:lineRule="auto"/>
        <w:ind w:firstLine="420" w:firstLineChars="200"/>
        <w:rPr>
          <w:rFonts w:hAnsi="宋体"/>
          <w:color w:val="auto"/>
          <w:kern w:val="2"/>
          <w:sz w:val="21"/>
          <w:highlight w:val="none"/>
        </w:rPr>
      </w:pPr>
      <w:r>
        <w:rPr>
          <w:rFonts w:hint="eastAsia" w:hAnsi="宋体"/>
          <w:color w:val="auto"/>
          <w:kern w:val="2"/>
          <w:sz w:val="21"/>
          <w:highlight w:val="none"/>
        </w:rPr>
        <w:t>23.1供应商在提交首次响应文件截止时间前，可以对所提交的首次响应文件进行补充、修改或者撤回，并书面通知采购人、采购代理机构。该通知应有供应商法定代表人或其委托代理人签字。</w:t>
      </w:r>
    </w:p>
    <w:p w14:paraId="4C55F06B">
      <w:pPr>
        <w:pStyle w:val="12"/>
        <w:adjustRightInd w:val="0"/>
        <w:snapToGrid w:val="0"/>
        <w:spacing w:line="360" w:lineRule="auto"/>
        <w:ind w:firstLine="420" w:firstLineChars="200"/>
        <w:rPr>
          <w:rFonts w:hAnsi="宋体"/>
          <w:color w:val="auto"/>
          <w:highlight w:val="none"/>
        </w:rPr>
      </w:pPr>
      <w:r>
        <w:rPr>
          <w:rFonts w:hint="eastAsia" w:hAnsi="宋体"/>
          <w:color w:val="auto"/>
          <w:kern w:val="2"/>
          <w:sz w:val="21"/>
          <w:highlight w:val="none"/>
        </w:rPr>
        <w:t>23.2</w:t>
      </w:r>
      <w:r>
        <w:rPr>
          <w:rFonts w:hint="eastAsia" w:hAnsi="宋体"/>
          <w:color w:val="auto"/>
          <w:kern w:val="2"/>
          <w:sz w:val="21"/>
          <w:highlight w:val="none"/>
          <w:lang w:val="zh-CN"/>
        </w:rPr>
        <w:t>补充、修改的内容与响应文件不一致时，以补充、修改的内容为准。</w:t>
      </w:r>
    </w:p>
    <w:p w14:paraId="1AE8C815">
      <w:pPr>
        <w:adjustRightInd w:val="0"/>
        <w:snapToGrid w:val="0"/>
        <w:spacing w:line="360" w:lineRule="auto"/>
        <w:outlineLvl w:val="2"/>
        <w:rPr>
          <w:rFonts w:ascii="宋体" w:hAnsi="宋体"/>
          <w:b/>
          <w:bCs/>
          <w:color w:val="auto"/>
          <w:szCs w:val="21"/>
          <w:highlight w:val="none"/>
        </w:rPr>
      </w:pPr>
      <w:bookmarkStart w:id="50" w:name="_Toc1248930226"/>
      <w:r>
        <w:rPr>
          <w:rFonts w:hint="eastAsia" w:ascii="宋体" w:hAnsi="宋体"/>
          <w:b/>
          <w:bCs/>
          <w:color w:val="auto"/>
          <w:szCs w:val="21"/>
          <w:highlight w:val="none"/>
        </w:rPr>
        <w:t>24.响应文件的递交与接收</w:t>
      </w:r>
      <w:bookmarkEnd w:id="50"/>
    </w:p>
    <w:p w14:paraId="56FC0A4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24.1 供应商应在</w:t>
      </w:r>
      <w:r>
        <w:rPr>
          <w:rFonts w:hint="eastAsia" w:ascii="宋体" w:hAnsi="宋体" w:cs="宋体"/>
          <w:color w:val="auto"/>
          <w:kern w:val="0"/>
          <w:szCs w:val="21"/>
          <w:highlight w:val="none"/>
        </w:rPr>
        <w:t>提交首次响应文件截止时间</w:t>
      </w:r>
      <w:r>
        <w:rPr>
          <w:rFonts w:hint="eastAsia" w:ascii="宋体" w:hAnsi="宋体"/>
          <w:color w:val="auto"/>
          <w:szCs w:val="21"/>
          <w:highlight w:val="none"/>
        </w:rPr>
        <w:t>前，将响应文件送</w:t>
      </w:r>
      <w:r>
        <w:rPr>
          <w:rFonts w:hint="eastAsia" w:ascii="宋体" w:hAnsi="宋体" w:cs="Arial"/>
          <w:color w:val="auto"/>
          <w:szCs w:val="21"/>
          <w:highlight w:val="none"/>
        </w:rPr>
        <w:t>达</w:t>
      </w:r>
      <w:r>
        <w:rPr>
          <w:rFonts w:hint="eastAsia" w:ascii="宋体" w:hAnsi="宋体"/>
          <w:b/>
          <w:color w:val="auto"/>
          <w:szCs w:val="21"/>
          <w:highlight w:val="none"/>
        </w:rPr>
        <w:t>磋商须知前附表</w:t>
      </w:r>
      <w:r>
        <w:rPr>
          <w:rFonts w:hint="eastAsia" w:ascii="宋体" w:hAnsi="宋体"/>
          <w:color w:val="auto"/>
          <w:szCs w:val="21"/>
          <w:highlight w:val="none"/>
        </w:rPr>
        <w:t>中指定的地点。</w:t>
      </w:r>
      <w:r>
        <w:rPr>
          <w:rFonts w:hint="eastAsia" w:hAnsi="宋体" w:cs="宋体"/>
          <w:color w:val="auto"/>
          <w:kern w:val="0"/>
          <w:highlight w:val="none"/>
        </w:rPr>
        <w:t>在截止时间后送达的响应文件，采购人、采购代理机构或者磋商小组应当拒收。</w:t>
      </w:r>
    </w:p>
    <w:p w14:paraId="28F785A5">
      <w:pPr>
        <w:pStyle w:val="12"/>
        <w:adjustRightInd w:val="0"/>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24.2在提交首次响应文件截止时间后，由供应商代表当场查验响应文件的密封状况，采购人或采购代理机构不当场拆封响应文件。</w:t>
      </w:r>
    </w:p>
    <w:p w14:paraId="654C418F">
      <w:pPr>
        <w:adjustRightInd w:val="0"/>
        <w:snapToGrid w:val="0"/>
        <w:spacing w:line="360" w:lineRule="auto"/>
        <w:outlineLvl w:val="1"/>
        <w:rPr>
          <w:rFonts w:ascii="黑体" w:hAnsi="宋体" w:eastAsia="黑体"/>
          <w:color w:val="auto"/>
          <w:sz w:val="24"/>
          <w:highlight w:val="none"/>
        </w:rPr>
      </w:pPr>
      <w:bookmarkStart w:id="51" w:name="_Toc1265142604"/>
      <w:r>
        <w:rPr>
          <w:rFonts w:hint="eastAsia" w:ascii="黑体" w:hAnsi="宋体" w:eastAsia="黑体"/>
          <w:color w:val="auto"/>
          <w:sz w:val="24"/>
          <w:highlight w:val="none"/>
        </w:rPr>
        <w:t>五、响应文件的磋商与评审</w:t>
      </w:r>
      <w:bookmarkEnd w:id="51"/>
    </w:p>
    <w:p w14:paraId="57126D94">
      <w:pPr>
        <w:tabs>
          <w:tab w:val="left" w:pos="0"/>
        </w:tabs>
        <w:adjustRightInd w:val="0"/>
        <w:snapToGrid w:val="0"/>
        <w:spacing w:line="360" w:lineRule="auto"/>
        <w:outlineLvl w:val="2"/>
        <w:rPr>
          <w:rFonts w:ascii="宋体" w:hAnsi="宋体"/>
          <w:b/>
          <w:bCs/>
          <w:color w:val="auto"/>
          <w:szCs w:val="21"/>
          <w:highlight w:val="none"/>
        </w:rPr>
      </w:pPr>
      <w:bookmarkStart w:id="52" w:name="_Toc1016156481"/>
      <w:r>
        <w:rPr>
          <w:rFonts w:hint="eastAsia" w:ascii="宋体" w:hAnsi="宋体"/>
          <w:b/>
          <w:bCs/>
          <w:color w:val="auto"/>
          <w:szCs w:val="21"/>
          <w:highlight w:val="none"/>
        </w:rPr>
        <w:t>25.磋商程序</w:t>
      </w:r>
      <w:bookmarkEnd w:id="52"/>
    </w:p>
    <w:p w14:paraId="24E31B1F">
      <w:pPr>
        <w:widowControl/>
        <w:adjustRightInd w:val="0"/>
        <w:snapToGrid w:val="0"/>
        <w:spacing w:line="360" w:lineRule="auto"/>
        <w:ind w:firstLine="420"/>
        <w:jc w:val="left"/>
        <w:rPr>
          <w:rFonts w:ascii="宋体" w:hAnsi="宋体"/>
          <w:bCs/>
          <w:color w:val="auto"/>
          <w:szCs w:val="21"/>
          <w:highlight w:val="none"/>
        </w:rPr>
      </w:pPr>
      <w:r>
        <w:rPr>
          <w:rFonts w:hint="eastAsia" w:ascii="宋体" w:hAnsi="宋体" w:cs="宋体"/>
          <w:color w:val="auto"/>
          <w:kern w:val="0"/>
          <w:szCs w:val="21"/>
          <w:highlight w:val="none"/>
        </w:rPr>
        <w:t>25.1磋商程序：响应文件审查、磋商（包括澄清）、响应文件评审、</w:t>
      </w:r>
      <w:r>
        <w:rPr>
          <w:rFonts w:hint="eastAsia" w:ascii="宋体" w:hAnsi="宋体"/>
          <w:bCs/>
          <w:color w:val="auto"/>
          <w:szCs w:val="21"/>
          <w:highlight w:val="none"/>
        </w:rPr>
        <w:t>提出成交供应商。其中，</w:t>
      </w:r>
      <w:r>
        <w:rPr>
          <w:rFonts w:hint="eastAsia" w:ascii="宋体" w:hAnsi="宋体" w:cs="宋体"/>
          <w:color w:val="auto"/>
          <w:kern w:val="0"/>
          <w:szCs w:val="21"/>
          <w:highlight w:val="none"/>
        </w:rPr>
        <w:t>磋商按</w:t>
      </w:r>
      <w:r>
        <w:rPr>
          <w:rFonts w:hint="eastAsia" w:ascii="宋体" w:hAnsi="宋体"/>
          <w:color w:val="auto"/>
          <w:szCs w:val="21"/>
          <w:highlight w:val="none"/>
        </w:rPr>
        <w:t>本章</w:t>
      </w:r>
      <w:r>
        <w:rPr>
          <w:rFonts w:hint="eastAsia" w:hAnsi="宋体"/>
          <w:color w:val="auto"/>
          <w:highlight w:val="none"/>
        </w:rPr>
        <w:t>第</w:t>
      </w:r>
      <w:r>
        <w:rPr>
          <w:rFonts w:hint="eastAsia" w:ascii="宋体" w:hAnsi="宋体"/>
          <w:color w:val="auto"/>
          <w:highlight w:val="none"/>
        </w:rPr>
        <w:t>30.1</w:t>
      </w:r>
      <w:r>
        <w:rPr>
          <w:rFonts w:hint="eastAsia" w:ascii="宋体" w:hAnsi="宋体" w:cs="宋体"/>
          <w:color w:val="auto"/>
          <w:kern w:val="0"/>
          <w:szCs w:val="21"/>
          <w:highlight w:val="none"/>
          <w:lang w:val="zh-CN"/>
        </w:rPr>
        <w:t>款或者</w:t>
      </w:r>
      <w:r>
        <w:rPr>
          <w:rFonts w:hint="eastAsia" w:ascii="宋体" w:hAnsi="宋体"/>
          <w:color w:val="auto"/>
          <w:highlight w:val="none"/>
        </w:rPr>
        <w:t>第30.2</w:t>
      </w:r>
      <w:r>
        <w:rPr>
          <w:rFonts w:hint="eastAsia" w:ascii="宋体" w:hAnsi="宋体" w:cs="宋体"/>
          <w:color w:val="auto"/>
          <w:kern w:val="0"/>
          <w:szCs w:val="21"/>
          <w:highlight w:val="none"/>
          <w:lang w:val="zh-CN"/>
        </w:rPr>
        <w:t>款</w:t>
      </w:r>
      <w:r>
        <w:rPr>
          <w:rFonts w:hint="eastAsia" w:hAnsi="宋体"/>
          <w:color w:val="auto"/>
          <w:highlight w:val="none"/>
        </w:rPr>
        <w:t>情形</w:t>
      </w:r>
      <w:r>
        <w:rPr>
          <w:rFonts w:hint="eastAsia" w:ascii="宋体" w:hAnsi="宋体"/>
          <w:bCs/>
          <w:color w:val="auto"/>
          <w:szCs w:val="21"/>
          <w:highlight w:val="none"/>
        </w:rPr>
        <w:t>进行。</w:t>
      </w:r>
    </w:p>
    <w:p w14:paraId="27FA5922">
      <w:pPr>
        <w:widowControl/>
        <w:adjustRightInd w:val="0"/>
        <w:snapToGrid w:val="0"/>
        <w:spacing w:line="360" w:lineRule="auto"/>
        <w:outlineLvl w:val="2"/>
        <w:rPr>
          <w:rFonts w:ascii="宋体" w:hAnsi="宋体"/>
          <w:b/>
          <w:color w:val="auto"/>
          <w:szCs w:val="21"/>
          <w:highlight w:val="none"/>
        </w:rPr>
      </w:pPr>
      <w:bookmarkStart w:id="53" w:name="_Toc1752015223"/>
      <w:r>
        <w:rPr>
          <w:rFonts w:hint="eastAsia" w:ascii="宋体" w:hAnsi="宋体" w:cs="宋体"/>
          <w:b/>
          <w:color w:val="auto"/>
          <w:kern w:val="0"/>
          <w:szCs w:val="21"/>
          <w:highlight w:val="none"/>
        </w:rPr>
        <w:t>26.</w:t>
      </w:r>
      <w:r>
        <w:rPr>
          <w:rFonts w:hint="eastAsia"/>
          <w:color w:val="auto"/>
          <w:highlight w:val="none"/>
        </w:rPr>
        <w:t xml:space="preserve"> </w:t>
      </w:r>
      <w:r>
        <w:rPr>
          <w:rFonts w:hint="eastAsia" w:ascii="宋体" w:hAnsi="宋体" w:cs="宋体"/>
          <w:b/>
          <w:color w:val="auto"/>
          <w:kern w:val="0"/>
          <w:szCs w:val="21"/>
          <w:highlight w:val="none"/>
        </w:rPr>
        <w:t>响应文件审查</w:t>
      </w:r>
      <w:bookmarkEnd w:id="53"/>
      <w:r>
        <w:rPr>
          <w:rFonts w:hint="eastAsia" w:ascii="宋体" w:hAnsi="宋体"/>
          <w:b/>
          <w:color w:val="auto"/>
          <w:szCs w:val="21"/>
          <w:highlight w:val="none"/>
        </w:rPr>
        <w:t xml:space="preserve"> </w:t>
      </w:r>
    </w:p>
    <w:p w14:paraId="64702B8C">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26.1 资格性审查：根据本章第3.1项规定的供应商资格条件要求，对</w:t>
      </w:r>
      <w:r>
        <w:rPr>
          <w:rFonts w:hint="eastAsia" w:ascii="宋体" w:hAnsi="宋体"/>
          <w:color w:val="auto"/>
          <w:highlight w:val="none"/>
        </w:rPr>
        <w:t>响应</w:t>
      </w:r>
      <w:r>
        <w:rPr>
          <w:rFonts w:hint="eastAsia" w:ascii="宋体" w:hAnsi="宋体"/>
          <w:color w:val="auto"/>
          <w:szCs w:val="21"/>
          <w:highlight w:val="none"/>
        </w:rPr>
        <w:t>文件的资格证明等进行审查，以确定供应商是否具备磋商资格条件。</w:t>
      </w:r>
    </w:p>
    <w:p w14:paraId="3289A96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26.2符合性审查: 对响应文件(包括首次提交的响应文件、重新提交的响应文件)的有效性、完整性和响应程度进行审查，以确定是否对磋商文件的实质性要求作出响应。</w:t>
      </w:r>
    </w:p>
    <w:p w14:paraId="5E772C5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26.3响应文件审查结束后，磋商小组所有成员集中与单一供应商分别进行磋商，并给予所有参加磋商的供应商平等的磋商机会。供应商应派其法定代表人或委托代理人参加磋商。</w:t>
      </w:r>
    </w:p>
    <w:p w14:paraId="1DE6031C">
      <w:pPr>
        <w:pStyle w:val="12"/>
        <w:adjustRightInd w:val="0"/>
        <w:snapToGrid w:val="0"/>
        <w:spacing w:line="360" w:lineRule="auto"/>
        <w:outlineLvl w:val="2"/>
        <w:rPr>
          <w:rFonts w:hAnsi="宋体" w:cs="宋体"/>
          <w:b/>
          <w:color w:val="auto"/>
          <w:sz w:val="21"/>
          <w:highlight w:val="none"/>
        </w:rPr>
      </w:pPr>
      <w:bookmarkStart w:id="54" w:name="_Toc1971568944"/>
      <w:r>
        <w:rPr>
          <w:rFonts w:hint="eastAsia" w:hAnsi="宋体" w:cs="宋体"/>
          <w:b/>
          <w:color w:val="auto"/>
          <w:sz w:val="21"/>
          <w:highlight w:val="none"/>
        </w:rPr>
        <w:t>27.实质性响应</w:t>
      </w:r>
      <w:bookmarkEnd w:id="54"/>
    </w:p>
    <w:p w14:paraId="1253FD5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27.1实质性响应是指响应文件(包括首次响应文件、重新提交的响应文件)与磋商文件要求的所有条款、条件和规格相符，没有偏离。偏离指不满足、或不响应磋商文件的要求。</w:t>
      </w:r>
    </w:p>
    <w:p w14:paraId="656C05E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27.2响应文件是否实质性响应磋商文件要求由磋商小组依据磋商文件规定认定。磋商小组决定响应文件的响应性只根据响应文件本身的真实无误的内容，而不依据外部的证据。</w:t>
      </w:r>
    </w:p>
    <w:p w14:paraId="74C33CE8">
      <w:pPr>
        <w:pStyle w:val="12"/>
        <w:adjustRightInd w:val="0"/>
        <w:snapToGrid w:val="0"/>
        <w:spacing w:line="360" w:lineRule="auto"/>
        <w:outlineLvl w:val="2"/>
        <w:rPr>
          <w:rFonts w:cs="宋体"/>
          <w:b/>
          <w:color w:val="auto"/>
          <w:highlight w:val="none"/>
        </w:rPr>
      </w:pPr>
      <w:bookmarkStart w:id="55" w:name="_Toc486568598"/>
      <w:r>
        <w:rPr>
          <w:rFonts w:hint="eastAsia" w:cs="宋体"/>
          <w:b/>
          <w:color w:val="auto"/>
          <w:sz w:val="21"/>
          <w:highlight w:val="none"/>
        </w:rPr>
        <w:t>28.无效响应</w:t>
      </w:r>
      <w:bookmarkEnd w:id="55"/>
      <w:r>
        <w:rPr>
          <w:rFonts w:hint="eastAsia" w:cs="宋体"/>
          <w:b/>
          <w:color w:val="auto"/>
          <w:highlight w:val="none"/>
        </w:rPr>
        <w:t xml:space="preserve"> </w:t>
      </w:r>
    </w:p>
    <w:p w14:paraId="1F1AA94A">
      <w:pPr>
        <w:pStyle w:val="12"/>
        <w:adjustRightInd w:val="0"/>
        <w:snapToGrid w:val="0"/>
        <w:spacing w:line="360" w:lineRule="auto"/>
        <w:ind w:firstLine="411" w:firstLineChars="196"/>
        <w:rPr>
          <w:rFonts w:hAnsi="宋体" w:cs="宋体"/>
          <w:b/>
          <w:color w:val="auto"/>
          <w:sz w:val="21"/>
          <w:highlight w:val="none"/>
        </w:rPr>
      </w:pPr>
      <w:r>
        <w:rPr>
          <w:rFonts w:hint="eastAsia" w:cs="宋体"/>
          <w:color w:val="auto"/>
          <w:sz w:val="21"/>
          <w:highlight w:val="none"/>
        </w:rPr>
        <w:t>28.1</w:t>
      </w:r>
      <w:r>
        <w:rPr>
          <w:rFonts w:hint="eastAsia"/>
          <w:color w:val="auto"/>
          <w:sz w:val="21"/>
          <w:highlight w:val="none"/>
        </w:rPr>
        <w:t>磋商小组在对资格性和符合性进行审查时，有下列情况之一的，属无效响应，</w:t>
      </w:r>
      <w:r>
        <w:rPr>
          <w:rFonts w:hint="eastAsia" w:cs="宋体"/>
          <w:color w:val="auto"/>
          <w:sz w:val="21"/>
          <w:highlight w:val="none"/>
        </w:rPr>
        <w:t>磋商小组应当告知有关供应商</w:t>
      </w:r>
      <w:r>
        <w:rPr>
          <w:rFonts w:hint="eastAsia"/>
          <w:color w:val="auto"/>
          <w:sz w:val="21"/>
          <w:highlight w:val="none"/>
        </w:rPr>
        <w:t>：</w:t>
      </w:r>
    </w:p>
    <w:p w14:paraId="0C2D2E1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（1）供应商不具备本章第3.1款规定的供应商资格条件要求，或存在本章第3.3款情形的；</w:t>
      </w:r>
    </w:p>
    <w:p w14:paraId="7057BFD9">
      <w:pPr>
        <w:adjustRightInd w:val="0"/>
        <w:snapToGrid w:val="0"/>
        <w:spacing w:line="360" w:lineRule="auto"/>
        <w:ind w:firstLine="420" w:firstLineChars="200"/>
        <w:outlineLvl w:val="3"/>
        <w:rPr>
          <w:rFonts w:ascii="宋体" w:hAnsi="宋体"/>
          <w:color w:val="auto"/>
          <w:szCs w:val="21"/>
          <w:highlight w:val="none"/>
        </w:rPr>
      </w:pPr>
      <w:r>
        <w:rPr>
          <w:rFonts w:hint="eastAsia" w:ascii="宋体" w:hAnsi="宋体"/>
          <w:color w:val="auto"/>
          <w:szCs w:val="21"/>
          <w:highlight w:val="none"/>
        </w:rPr>
        <w:t>（2）联合体不符合本章第3.2款规定的；</w:t>
      </w:r>
    </w:p>
    <w:p w14:paraId="62E3C95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（3）应交未交磋商保证金或金额不足、磋商保证金缴纳形式不符合磋商文件要求的；</w:t>
      </w:r>
    </w:p>
    <w:p w14:paraId="399BDDB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（4）响应文件未按照磋商文件要求签署、盖章的；</w:t>
      </w:r>
    </w:p>
    <w:p w14:paraId="1C6A99D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（4）响应文件不满足本章第27.1款规定的实质性要求的；</w:t>
      </w:r>
    </w:p>
    <w:p w14:paraId="1F2C448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（5）报价超过采购项目预算的；</w:t>
      </w:r>
    </w:p>
    <w:p w14:paraId="544FF50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（6）响应文件有效期不足的；</w:t>
      </w:r>
    </w:p>
    <w:p w14:paraId="460B5C1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（7）响应文件不符合法律、规章、规范性文件和磋商文件规定及要求的。</w:t>
      </w:r>
    </w:p>
    <w:p w14:paraId="1D20B21E">
      <w:pPr>
        <w:widowControl/>
        <w:adjustRightInd w:val="0"/>
        <w:snapToGrid w:val="0"/>
        <w:spacing w:line="360" w:lineRule="auto"/>
        <w:jc w:val="left"/>
        <w:outlineLvl w:val="2"/>
        <w:rPr>
          <w:rFonts w:ascii="宋体" w:hAnsi="宋体" w:cs="宋体"/>
          <w:b/>
          <w:color w:val="auto"/>
          <w:kern w:val="0"/>
          <w:szCs w:val="21"/>
          <w:highlight w:val="none"/>
        </w:rPr>
      </w:pPr>
      <w:bookmarkStart w:id="56" w:name="_Toc140698810"/>
      <w:r>
        <w:rPr>
          <w:rFonts w:hint="eastAsia" w:ascii="宋体" w:hAnsi="宋体" w:cs="宋体"/>
          <w:b/>
          <w:color w:val="auto"/>
          <w:kern w:val="0"/>
          <w:szCs w:val="21"/>
          <w:highlight w:val="none"/>
        </w:rPr>
        <w:t>29.澄清</w:t>
      </w:r>
      <w:bookmarkEnd w:id="56"/>
    </w:p>
    <w:p w14:paraId="14C85D61">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03CF3F08">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29.2 最后报价计算错误修正的原则：最后报价</w:t>
      </w:r>
      <w:r>
        <w:rPr>
          <w:rFonts w:hint="eastAsia" w:ascii="宋体" w:hAnsi="宋体" w:cs="Arial"/>
          <w:color w:val="auto"/>
          <w:kern w:val="0"/>
          <w:szCs w:val="21"/>
          <w:highlight w:val="none"/>
        </w:rPr>
        <w:t>的大写金额和小写金额不一致的，以大写金额为准；总价金额与按分项报价汇总金额不一致的，以分项报价金额计算结果为准；分项报价金额小数点有明显错位的，应以总价为准，并修改分项报价。</w:t>
      </w:r>
    </w:p>
    <w:p w14:paraId="2DBA41A4">
      <w:pPr>
        <w:widowControl/>
        <w:adjustRightInd w:val="0"/>
        <w:snapToGrid w:val="0"/>
        <w:spacing w:line="360" w:lineRule="auto"/>
        <w:jc w:val="left"/>
        <w:outlineLvl w:val="2"/>
        <w:rPr>
          <w:rFonts w:ascii="宋体" w:hAnsi="宋体" w:cs="宋体"/>
          <w:b/>
          <w:color w:val="auto"/>
          <w:kern w:val="0"/>
          <w:szCs w:val="21"/>
          <w:highlight w:val="none"/>
        </w:rPr>
      </w:pPr>
      <w:bookmarkStart w:id="57" w:name="_Toc345404323"/>
      <w:r>
        <w:rPr>
          <w:rFonts w:hint="eastAsia" w:ascii="宋体" w:hAnsi="宋体" w:cs="宋体"/>
          <w:b/>
          <w:color w:val="auto"/>
          <w:kern w:val="0"/>
          <w:szCs w:val="21"/>
          <w:highlight w:val="none"/>
        </w:rPr>
        <w:t>30.磋商</w:t>
      </w:r>
      <w:bookmarkEnd w:id="57"/>
    </w:p>
    <w:p w14:paraId="35EFD1DC">
      <w:pPr>
        <w:widowControl/>
        <w:adjustRightInd w:val="0"/>
        <w:snapToGrid w:val="0"/>
        <w:spacing w:line="360" w:lineRule="auto"/>
        <w:ind w:firstLine="420"/>
        <w:jc w:val="left"/>
        <w:rPr>
          <w:rFonts w:ascii="宋体" w:hAnsi="宋体" w:cs="宋体"/>
          <w:color w:val="auto"/>
          <w:kern w:val="0"/>
          <w:szCs w:val="21"/>
          <w:highlight w:val="none"/>
          <w:lang w:val="zh-CN"/>
        </w:rPr>
      </w:pPr>
      <w:r>
        <w:rPr>
          <w:rFonts w:hint="eastAsia" w:ascii="宋体" w:hAnsi="宋体" w:cs="宋体"/>
          <w:color w:val="auto"/>
          <w:kern w:val="0"/>
          <w:szCs w:val="21"/>
          <w:highlight w:val="none"/>
        </w:rPr>
        <w:t>30.1</w:t>
      </w:r>
      <w:r>
        <w:rPr>
          <w:rFonts w:hint="eastAsia" w:ascii="宋体" w:hAnsi="宋体"/>
          <w:color w:val="auto"/>
          <w:highlight w:val="none"/>
        </w:rPr>
        <w:t>本章第10.2项</w:t>
      </w:r>
      <w:r>
        <w:rPr>
          <w:rFonts w:hint="eastAsia" w:ascii="宋体" w:hAnsi="宋体" w:cs="宋体"/>
          <w:color w:val="auto"/>
          <w:kern w:val="0"/>
          <w:szCs w:val="21"/>
          <w:highlight w:val="none"/>
        </w:rPr>
        <w:t>未明确磋商文件实质性变动内容的，或者磋商文件明确了可能发生实质性变动内容，但在磋商过程中，</w:t>
      </w:r>
      <w:r>
        <w:rPr>
          <w:rFonts w:hint="eastAsia" w:ascii="宋体" w:hAnsi="宋体"/>
          <w:bCs/>
          <w:color w:val="auto"/>
          <w:szCs w:val="21"/>
          <w:highlight w:val="none"/>
        </w:rPr>
        <w:t>磋商小组</w:t>
      </w:r>
      <w:r>
        <w:rPr>
          <w:rFonts w:hint="eastAsia" w:ascii="宋体" w:hAnsi="宋体" w:cs="Arial"/>
          <w:color w:val="auto"/>
          <w:kern w:val="0"/>
          <w:szCs w:val="21"/>
          <w:highlight w:val="none"/>
        </w:rPr>
        <w:t>根据</w:t>
      </w:r>
      <w:r>
        <w:rPr>
          <w:rFonts w:hint="eastAsia" w:ascii="宋体" w:hAnsi="宋体" w:cs="宋体"/>
          <w:color w:val="auto"/>
          <w:kern w:val="0"/>
          <w:szCs w:val="21"/>
          <w:highlight w:val="none"/>
        </w:rPr>
        <w:t>磋商情况</w:t>
      </w:r>
      <w:r>
        <w:rPr>
          <w:rFonts w:hint="eastAsia" w:ascii="宋体" w:hAnsi="宋体"/>
          <w:bCs/>
          <w:color w:val="auto"/>
          <w:szCs w:val="21"/>
          <w:highlight w:val="none"/>
        </w:rPr>
        <w:t>认为</w:t>
      </w:r>
      <w:r>
        <w:rPr>
          <w:rFonts w:hint="eastAsia" w:ascii="宋体" w:hAnsi="宋体" w:cs="宋体"/>
          <w:color w:val="auto"/>
          <w:kern w:val="0"/>
          <w:szCs w:val="21"/>
          <w:highlight w:val="none"/>
        </w:rPr>
        <w:t>磋商文件无需发生实质性变动的，磋商小组应当直接与响应文件审查合格的供应商就价格组织多轮磋商。</w:t>
      </w:r>
    </w:p>
    <w:p w14:paraId="3BC112D6">
      <w:pPr>
        <w:widowControl/>
        <w:tabs>
          <w:tab w:val="left" w:pos="1080"/>
          <w:tab w:val="left" w:pos="1260"/>
        </w:tabs>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（1）磋商结束后，磋商小组应当要求所有继续参加磋商的供应商在磋商小组规定时间内提交最后报价。</w:t>
      </w:r>
    </w:p>
    <w:p w14:paraId="7046EF33">
      <w:pPr>
        <w:widowControl/>
        <w:tabs>
          <w:tab w:val="left" w:pos="1080"/>
          <w:tab w:val="left" w:pos="1260"/>
        </w:tabs>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（2）磋商文件明确可能发生实质性变动，但在磋商过程中</w:t>
      </w:r>
      <w:r>
        <w:rPr>
          <w:rFonts w:hint="eastAsia" w:ascii="宋体" w:hAnsi="宋体"/>
          <w:bCs/>
          <w:color w:val="auto"/>
          <w:szCs w:val="21"/>
          <w:highlight w:val="none"/>
        </w:rPr>
        <w:t>磋商小组</w:t>
      </w:r>
      <w:r>
        <w:rPr>
          <w:rFonts w:hint="eastAsia" w:ascii="宋体" w:hAnsi="宋体" w:cs="Arial"/>
          <w:color w:val="auto"/>
          <w:kern w:val="0"/>
          <w:szCs w:val="21"/>
          <w:highlight w:val="none"/>
        </w:rPr>
        <w:t>根据</w:t>
      </w:r>
      <w:r>
        <w:rPr>
          <w:rFonts w:hint="eastAsia" w:ascii="宋体" w:hAnsi="宋体" w:cs="宋体"/>
          <w:color w:val="auto"/>
          <w:kern w:val="0"/>
          <w:szCs w:val="21"/>
          <w:highlight w:val="none"/>
        </w:rPr>
        <w:t>磋商情况</w:t>
      </w:r>
      <w:r>
        <w:rPr>
          <w:rFonts w:hint="eastAsia" w:ascii="宋体" w:hAnsi="宋体"/>
          <w:bCs/>
          <w:color w:val="auto"/>
          <w:szCs w:val="21"/>
          <w:highlight w:val="none"/>
        </w:rPr>
        <w:t>认为</w:t>
      </w:r>
      <w:r>
        <w:rPr>
          <w:rFonts w:hint="eastAsia" w:ascii="宋体" w:hAnsi="宋体" w:cs="宋体"/>
          <w:color w:val="auto"/>
          <w:kern w:val="0"/>
          <w:szCs w:val="21"/>
          <w:highlight w:val="none"/>
        </w:rPr>
        <w:t>磋商文件无需发生实质性变动的，磋商小组不另行通知。</w:t>
      </w:r>
    </w:p>
    <w:p w14:paraId="67EAC08A">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30.2</w:t>
      </w:r>
      <w:r>
        <w:rPr>
          <w:rFonts w:hint="eastAsia" w:ascii="宋体" w:hAnsi="宋体"/>
          <w:color w:val="auto"/>
          <w:highlight w:val="none"/>
        </w:rPr>
        <w:t>本章第10.2</w:t>
      </w:r>
      <w:r>
        <w:rPr>
          <w:rFonts w:hint="eastAsia" w:ascii="宋体" w:hAnsi="宋体" w:cs="宋体"/>
          <w:color w:val="auto"/>
          <w:kern w:val="0"/>
          <w:szCs w:val="21"/>
          <w:highlight w:val="none"/>
          <w:lang w:val="zh-CN"/>
        </w:rPr>
        <w:t>款</w:t>
      </w:r>
      <w:r>
        <w:rPr>
          <w:rFonts w:hint="eastAsia" w:ascii="宋体" w:hAnsi="宋体" w:cs="宋体"/>
          <w:color w:val="auto"/>
          <w:kern w:val="0"/>
          <w:szCs w:val="21"/>
          <w:highlight w:val="none"/>
        </w:rPr>
        <w:t>明确磋商文件实质性变动内容的，</w:t>
      </w:r>
      <w:r>
        <w:rPr>
          <w:rFonts w:hint="eastAsia" w:ascii="宋体" w:hAnsi="宋体"/>
          <w:bCs/>
          <w:color w:val="auto"/>
          <w:szCs w:val="21"/>
          <w:highlight w:val="none"/>
        </w:rPr>
        <w:t>磋商小组</w:t>
      </w:r>
      <w:r>
        <w:rPr>
          <w:rFonts w:hint="eastAsia" w:ascii="宋体" w:hAnsi="宋体" w:cs="宋体"/>
          <w:color w:val="auto"/>
          <w:kern w:val="0"/>
          <w:szCs w:val="21"/>
          <w:highlight w:val="none"/>
        </w:rPr>
        <w:t>可以组织多轮磋商。</w:t>
      </w:r>
      <w:r>
        <w:rPr>
          <w:rFonts w:hint="eastAsia" w:ascii="宋体" w:hAnsi="宋体"/>
          <w:bCs/>
          <w:color w:val="auto"/>
          <w:szCs w:val="21"/>
          <w:highlight w:val="none"/>
        </w:rPr>
        <w:t>在每一轮磋商中，磋商小组</w:t>
      </w:r>
      <w:r>
        <w:rPr>
          <w:rFonts w:hint="eastAsia" w:ascii="宋体" w:hAnsi="宋体" w:cs="宋体"/>
          <w:color w:val="auto"/>
          <w:kern w:val="0"/>
          <w:szCs w:val="21"/>
          <w:highlight w:val="none"/>
        </w:rPr>
        <w:t>可以</w:t>
      </w:r>
      <w:r>
        <w:rPr>
          <w:rFonts w:hint="eastAsia" w:ascii="宋体" w:hAnsi="宋体" w:cs="Arial"/>
          <w:color w:val="auto"/>
          <w:kern w:val="0"/>
          <w:szCs w:val="21"/>
          <w:highlight w:val="none"/>
        </w:rPr>
        <w:t>根据</w:t>
      </w:r>
      <w:r>
        <w:rPr>
          <w:rFonts w:hint="eastAsia" w:ascii="宋体" w:hAnsi="宋体" w:cs="宋体"/>
          <w:color w:val="auto"/>
          <w:kern w:val="0"/>
          <w:szCs w:val="21"/>
          <w:highlight w:val="none"/>
        </w:rPr>
        <w:t>磋商文件规定和磋商情况，</w:t>
      </w:r>
      <w:r>
        <w:rPr>
          <w:rFonts w:hint="eastAsia" w:ascii="宋体" w:hAnsi="宋体"/>
          <w:bCs/>
          <w:color w:val="auto"/>
          <w:szCs w:val="21"/>
          <w:highlight w:val="none"/>
        </w:rPr>
        <w:t>对磋商文件的</w:t>
      </w:r>
      <w:r>
        <w:rPr>
          <w:rFonts w:hint="eastAsia" w:ascii="宋体" w:hAnsi="宋体" w:cs="宋体"/>
          <w:color w:val="auto"/>
          <w:kern w:val="0"/>
          <w:szCs w:val="21"/>
          <w:highlight w:val="none"/>
        </w:rPr>
        <w:t>采购需求中的技术、服务要求以及合同草案条款</w:t>
      </w:r>
      <w:r>
        <w:rPr>
          <w:rFonts w:hint="eastAsia" w:ascii="宋体" w:hAnsi="宋体"/>
          <w:bCs/>
          <w:color w:val="auto"/>
          <w:szCs w:val="21"/>
          <w:highlight w:val="none"/>
        </w:rPr>
        <w:t>作实质性变动(磋商文件的实质性变动内容为磋商文件的组成部分)，并以书面形式要求</w:t>
      </w:r>
      <w:r>
        <w:rPr>
          <w:rFonts w:hint="eastAsia" w:ascii="宋体" w:hAnsi="宋体" w:cs="宋体"/>
          <w:color w:val="auto"/>
          <w:kern w:val="0"/>
          <w:szCs w:val="21"/>
          <w:highlight w:val="none"/>
        </w:rPr>
        <w:t>响应文件审查合格</w:t>
      </w:r>
      <w:r>
        <w:rPr>
          <w:rFonts w:hint="eastAsia" w:ascii="宋体" w:hAnsi="宋体"/>
          <w:bCs/>
          <w:color w:val="auto"/>
          <w:szCs w:val="21"/>
          <w:highlight w:val="none"/>
        </w:rPr>
        <w:t>的供应商，在规定的</w:t>
      </w:r>
      <w:r>
        <w:rPr>
          <w:rFonts w:hint="eastAsia" w:ascii="宋体" w:hAnsi="宋体" w:cs="宋体"/>
          <w:color w:val="auto"/>
          <w:kern w:val="0"/>
          <w:szCs w:val="21"/>
          <w:highlight w:val="none"/>
        </w:rPr>
        <w:t>截止时间前</w:t>
      </w:r>
      <w:r>
        <w:rPr>
          <w:rFonts w:hint="eastAsia" w:ascii="宋体" w:hAnsi="宋体"/>
          <w:bCs/>
          <w:color w:val="auto"/>
          <w:szCs w:val="21"/>
          <w:highlight w:val="none"/>
        </w:rPr>
        <w:t>重</w:t>
      </w:r>
      <w:r>
        <w:rPr>
          <w:rFonts w:hint="eastAsia" w:ascii="宋体" w:hAnsi="宋体" w:cs="宋体"/>
          <w:color w:val="auto"/>
          <w:kern w:val="0"/>
          <w:szCs w:val="21"/>
          <w:highlight w:val="none"/>
        </w:rPr>
        <w:t>新提交响应文件</w:t>
      </w:r>
      <w:r>
        <w:rPr>
          <w:rFonts w:hint="eastAsia" w:ascii="宋体" w:hAnsi="宋体"/>
          <w:bCs/>
          <w:color w:val="auto"/>
          <w:szCs w:val="21"/>
          <w:highlight w:val="none"/>
        </w:rPr>
        <w:t>。</w:t>
      </w:r>
      <w:r>
        <w:rPr>
          <w:rFonts w:hint="eastAsia" w:ascii="宋体" w:hAnsi="宋体" w:cs="宋体"/>
          <w:color w:val="auto"/>
          <w:kern w:val="0"/>
          <w:szCs w:val="21"/>
          <w:highlight w:val="none"/>
        </w:rPr>
        <w:t>磋商小组应当</w:t>
      </w:r>
      <w:r>
        <w:rPr>
          <w:rFonts w:hint="eastAsia" w:ascii="宋体" w:hAnsi="宋体"/>
          <w:color w:val="auto"/>
          <w:szCs w:val="21"/>
          <w:highlight w:val="none"/>
        </w:rPr>
        <w:t>根据本章第26.2</w:t>
      </w:r>
      <w:r>
        <w:rPr>
          <w:rFonts w:hint="eastAsia" w:ascii="宋体" w:hAnsi="宋体" w:cs="宋体"/>
          <w:color w:val="auto"/>
          <w:kern w:val="0"/>
          <w:szCs w:val="21"/>
          <w:highlight w:val="none"/>
          <w:lang w:val="zh-CN"/>
        </w:rPr>
        <w:t>款</w:t>
      </w:r>
      <w:r>
        <w:rPr>
          <w:rFonts w:hint="eastAsia" w:ascii="宋体" w:hAnsi="宋体"/>
          <w:color w:val="auto"/>
          <w:szCs w:val="21"/>
          <w:highlight w:val="none"/>
        </w:rPr>
        <w:t>规定</w:t>
      </w:r>
      <w:r>
        <w:rPr>
          <w:rFonts w:hint="eastAsia" w:ascii="宋体" w:hAnsi="宋体" w:cs="宋体"/>
          <w:color w:val="auto"/>
          <w:kern w:val="0"/>
          <w:szCs w:val="21"/>
          <w:highlight w:val="none"/>
        </w:rPr>
        <w:t>对供应商重新提交的响应文件进行审查。供应商重新提交的响应文件审查不合格的，不得进入下一轮磋商，也不得要求提交最后报价。</w:t>
      </w:r>
    </w:p>
    <w:p w14:paraId="4BF2DE61">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（1）磋商文件能够详细列明采购需求的技术、服务要求的，磋商结束后，磋商小组应当要求所有继续参加磋商的供应商在规定时间内提交最后报价。</w:t>
      </w:r>
    </w:p>
    <w:p w14:paraId="5A672AC1">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3C6B7FD7">
      <w:pPr>
        <w:widowControl/>
        <w:adjustRightInd w:val="0"/>
        <w:snapToGrid w:val="0"/>
        <w:spacing w:line="360" w:lineRule="auto"/>
        <w:ind w:firstLine="420"/>
        <w:jc w:val="left"/>
        <w:rPr>
          <w:rFonts w:ascii="宋体" w:hAnsi="宋体"/>
          <w:bCs/>
          <w:color w:val="auto"/>
          <w:szCs w:val="21"/>
          <w:highlight w:val="none"/>
        </w:rPr>
      </w:pPr>
      <w:r>
        <w:rPr>
          <w:rFonts w:hint="eastAsia" w:ascii="宋体" w:hAnsi="宋体"/>
          <w:bCs/>
          <w:color w:val="auto"/>
          <w:szCs w:val="21"/>
          <w:highlight w:val="none"/>
        </w:rPr>
        <w:t>30.3</w:t>
      </w:r>
      <w:r>
        <w:rPr>
          <w:rFonts w:hint="eastAsia" w:ascii="宋体" w:hAnsi="宋体"/>
          <w:color w:val="auto"/>
          <w:highlight w:val="none"/>
        </w:rPr>
        <w:t xml:space="preserve"> </w:t>
      </w:r>
      <w:r>
        <w:rPr>
          <w:rFonts w:hint="eastAsia" w:ascii="宋体" w:hAnsi="宋体"/>
          <w:bCs/>
          <w:color w:val="auto"/>
          <w:highlight w:val="none"/>
        </w:rPr>
        <w:t>重</w:t>
      </w:r>
      <w:r>
        <w:rPr>
          <w:rFonts w:hint="eastAsia" w:ascii="宋体" w:hAnsi="宋体" w:cs="宋体"/>
          <w:color w:val="auto"/>
          <w:kern w:val="0"/>
          <w:highlight w:val="none"/>
        </w:rPr>
        <w:t>新提交的响应文件</w:t>
      </w:r>
      <w:r>
        <w:rPr>
          <w:rFonts w:hint="eastAsia" w:ascii="宋体" w:hAnsi="宋体"/>
          <w:color w:val="auto"/>
          <w:highlight w:val="none"/>
        </w:rPr>
        <w:t>或者最后报价应按</w:t>
      </w:r>
      <w:r>
        <w:rPr>
          <w:rFonts w:hint="eastAsia" w:ascii="宋体" w:hAnsi="宋体" w:cs="宋体"/>
          <w:color w:val="auto"/>
          <w:kern w:val="0"/>
          <w:szCs w:val="21"/>
          <w:highlight w:val="none"/>
        </w:rPr>
        <w:t>本章第</w:t>
      </w:r>
      <w:r>
        <w:rPr>
          <w:rFonts w:hint="eastAsia" w:ascii="宋体" w:hAnsi="宋体"/>
          <w:color w:val="auto"/>
          <w:highlight w:val="none"/>
        </w:rPr>
        <w:t>21.3</w:t>
      </w:r>
      <w:r>
        <w:rPr>
          <w:rFonts w:hint="eastAsia" w:ascii="宋体" w:hAnsi="宋体" w:cs="宋体"/>
          <w:color w:val="auto"/>
          <w:kern w:val="0"/>
          <w:szCs w:val="21"/>
          <w:highlight w:val="none"/>
          <w:lang w:val="zh-CN"/>
        </w:rPr>
        <w:t>款</w:t>
      </w:r>
      <w:r>
        <w:rPr>
          <w:rFonts w:hint="eastAsia" w:ascii="宋体" w:hAnsi="宋体"/>
          <w:color w:val="auto"/>
          <w:highlight w:val="none"/>
        </w:rPr>
        <w:t>规定，</w:t>
      </w:r>
      <w:r>
        <w:rPr>
          <w:rFonts w:hint="eastAsia" w:ascii="宋体" w:hAnsi="宋体" w:cs="宋体"/>
          <w:color w:val="auto"/>
          <w:kern w:val="0"/>
          <w:szCs w:val="21"/>
          <w:highlight w:val="none"/>
        </w:rPr>
        <w:t>由其法定代表人或其委托代理人签字或者加盖</w:t>
      </w:r>
      <w:r>
        <w:rPr>
          <w:rFonts w:hint="eastAsia" w:ascii="宋体" w:hAnsi="宋体" w:cs="宋体"/>
          <w:color w:val="auto"/>
          <w:kern w:val="0"/>
          <w:highlight w:val="none"/>
        </w:rPr>
        <w:t>供应商单位</w:t>
      </w:r>
      <w:r>
        <w:rPr>
          <w:rFonts w:hint="eastAsia" w:ascii="宋体" w:hAnsi="宋体" w:cs="宋体"/>
          <w:color w:val="auto"/>
          <w:kern w:val="0"/>
          <w:szCs w:val="21"/>
          <w:highlight w:val="none"/>
        </w:rPr>
        <w:t>章，在规定时间内密封递交给磋商小组</w:t>
      </w:r>
      <w:r>
        <w:rPr>
          <w:rFonts w:hint="eastAsia" w:ascii="宋体" w:hAnsi="宋体"/>
          <w:bCs/>
          <w:color w:val="auto"/>
          <w:szCs w:val="21"/>
          <w:highlight w:val="none"/>
        </w:rPr>
        <w:t>。</w:t>
      </w:r>
    </w:p>
    <w:p w14:paraId="1E09B903">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30.4</w:t>
      </w:r>
      <w:r>
        <w:rPr>
          <w:rFonts w:hint="eastAsia" w:ascii="宋体" w:hAnsi="宋体" w:cs="宋体"/>
          <w:color w:val="auto"/>
          <w:kern w:val="0"/>
          <w:szCs w:val="21"/>
          <w:highlight w:val="none"/>
          <w:lang w:val="zh-CN"/>
        </w:rPr>
        <w:t>供应商的</w:t>
      </w:r>
      <w:r>
        <w:rPr>
          <w:rFonts w:hint="eastAsia" w:ascii="宋体" w:hAnsi="宋体"/>
          <w:bCs/>
          <w:color w:val="auto"/>
          <w:szCs w:val="21"/>
          <w:highlight w:val="none"/>
        </w:rPr>
        <w:t>最</w:t>
      </w:r>
      <w:r>
        <w:rPr>
          <w:rFonts w:hint="eastAsia" w:ascii="宋体" w:hAnsi="宋体" w:cs="宋体"/>
          <w:color w:val="auto"/>
          <w:kern w:val="0"/>
          <w:szCs w:val="21"/>
          <w:highlight w:val="none"/>
          <w:lang w:val="zh-CN"/>
        </w:rPr>
        <w:t>后</w:t>
      </w:r>
      <w:r>
        <w:rPr>
          <w:rFonts w:hint="eastAsia" w:ascii="宋体" w:hAnsi="宋体"/>
          <w:bCs/>
          <w:color w:val="auto"/>
          <w:szCs w:val="21"/>
          <w:highlight w:val="none"/>
        </w:rPr>
        <w:t>报价及</w:t>
      </w:r>
      <w:r>
        <w:rPr>
          <w:rFonts w:hint="eastAsia" w:ascii="宋体" w:hAnsi="宋体" w:cs="宋体"/>
          <w:color w:val="auto"/>
          <w:kern w:val="0"/>
          <w:szCs w:val="21"/>
          <w:highlight w:val="none"/>
        </w:rPr>
        <w:t>政府采购政策规定的价格扣除情况，磋商小组应召集所有参加最后报价的供应商当场开封</w:t>
      </w:r>
      <w:r>
        <w:rPr>
          <w:rFonts w:hint="eastAsia" w:ascii="宋体" w:hAnsi="宋体"/>
          <w:bCs/>
          <w:color w:val="auto"/>
          <w:szCs w:val="21"/>
          <w:highlight w:val="none"/>
        </w:rPr>
        <w:t>公布，并由供应商代表签字确认。</w:t>
      </w:r>
    </w:p>
    <w:p w14:paraId="34446E10">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30.5提交首次响应文件的供应商，在提交最后报价之前，可以根据磋商情况退出磋商，</w:t>
      </w:r>
      <w:r>
        <w:rPr>
          <w:rFonts w:hint="eastAsia" w:ascii="宋体" w:hAnsi="宋体" w:cs="宋体"/>
          <w:color w:val="auto"/>
          <w:kern w:val="0"/>
          <w:highlight w:val="none"/>
        </w:rPr>
        <w:t>并书面通知采购代理机构或者磋商小组。</w:t>
      </w:r>
      <w:r>
        <w:rPr>
          <w:rFonts w:hint="eastAsia" w:ascii="宋体" w:hAnsi="宋体"/>
          <w:color w:val="auto"/>
          <w:highlight w:val="none"/>
        </w:rPr>
        <w:t>该通知由供应商法定代表人或其委托代理人签字。</w:t>
      </w:r>
      <w:r>
        <w:rPr>
          <w:rFonts w:hint="eastAsia" w:ascii="宋体" w:hAnsi="宋体" w:cs="宋体"/>
          <w:color w:val="auto"/>
          <w:kern w:val="0"/>
          <w:szCs w:val="21"/>
          <w:highlight w:val="none"/>
        </w:rPr>
        <w:t>采购代理机构</w:t>
      </w:r>
      <w:r>
        <w:rPr>
          <w:rFonts w:hint="eastAsia" w:ascii="宋体" w:hAnsi="宋体" w:cs="宋体"/>
          <w:color w:val="auto"/>
          <w:kern w:val="0"/>
          <w:highlight w:val="none"/>
        </w:rPr>
        <w:t>按</w:t>
      </w:r>
      <w:r>
        <w:rPr>
          <w:rFonts w:hint="eastAsia" w:ascii="宋体" w:hAnsi="宋体" w:cs="宋体"/>
          <w:color w:val="auto"/>
          <w:kern w:val="0"/>
          <w:szCs w:val="21"/>
          <w:highlight w:val="none"/>
        </w:rPr>
        <w:t>本章第</w:t>
      </w:r>
      <w:r>
        <w:rPr>
          <w:rFonts w:hint="eastAsia" w:ascii="宋体" w:hAnsi="宋体"/>
          <w:color w:val="auto"/>
          <w:highlight w:val="none"/>
        </w:rPr>
        <w:t>19.4</w:t>
      </w:r>
      <w:r>
        <w:rPr>
          <w:rFonts w:hint="eastAsia" w:ascii="宋体" w:hAnsi="宋体" w:cs="宋体"/>
          <w:color w:val="auto"/>
          <w:kern w:val="0"/>
          <w:szCs w:val="21"/>
          <w:highlight w:val="none"/>
          <w:lang w:val="zh-CN"/>
        </w:rPr>
        <w:t>款</w:t>
      </w:r>
      <w:r>
        <w:rPr>
          <w:rFonts w:hint="eastAsia" w:ascii="宋体" w:hAnsi="宋体"/>
          <w:color w:val="auto"/>
          <w:highlight w:val="none"/>
        </w:rPr>
        <w:t>规定</w:t>
      </w:r>
      <w:r>
        <w:rPr>
          <w:rFonts w:hint="eastAsia" w:ascii="宋体" w:hAnsi="宋体" w:cs="宋体"/>
          <w:color w:val="auto"/>
          <w:kern w:val="0"/>
          <w:szCs w:val="21"/>
          <w:highlight w:val="none"/>
        </w:rPr>
        <w:t>退还退出磋商的供应商的磋商保证金。</w:t>
      </w:r>
    </w:p>
    <w:p w14:paraId="6E553997">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bCs/>
          <w:color w:val="auto"/>
          <w:szCs w:val="21"/>
          <w:highlight w:val="none"/>
        </w:rPr>
        <w:t>30.6</w:t>
      </w:r>
      <w:r>
        <w:rPr>
          <w:rFonts w:hint="eastAsia" w:ascii="宋体" w:hAnsi="宋体" w:cs="宋体"/>
          <w:color w:val="auto"/>
          <w:kern w:val="0"/>
          <w:szCs w:val="21"/>
          <w:highlight w:val="none"/>
        </w:rPr>
        <w:t>提交首次响应文件的供应商，未按磋商文件规定及磋商小组要求提交最后报价(或者</w:t>
      </w:r>
      <w:r>
        <w:rPr>
          <w:rFonts w:hint="eastAsia" w:ascii="宋体" w:hAnsi="宋体"/>
          <w:bCs/>
          <w:color w:val="auto"/>
          <w:szCs w:val="21"/>
          <w:highlight w:val="none"/>
        </w:rPr>
        <w:t>重</w:t>
      </w:r>
      <w:r>
        <w:rPr>
          <w:rFonts w:hint="eastAsia" w:ascii="宋体" w:hAnsi="宋体" w:cs="宋体"/>
          <w:color w:val="auto"/>
          <w:kern w:val="0"/>
          <w:szCs w:val="21"/>
          <w:highlight w:val="none"/>
        </w:rPr>
        <w:t>新提交的响应文件和最后报价)，且又</w:t>
      </w:r>
      <w:r>
        <w:rPr>
          <w:rFonts w:hint="eastAsia" w:ascii="宋体" w:hAnsi="宋体" w:cs="宋体"/>
          <w:color w:val="auto"/>
          <w:kern w:val="0"/>
          <w:highlight w:val="none"/>
        </w:rPr>
        <w:t>未按</w:t>
      </w:r>
      <w:r>
        <w:rPr>
          <w:rFonts w:hint="eastAsia" w:ascii="宋体" w:hAnsi="宋体" w:cs="宋体"/>
          <w:color w:val="auto"/>
          <w:kern w:val="0"/>
          <w:szCs w:val="21"/>
          <w:highlight w:val="none"/>
        </w:rPr>
        <w:t>本章第</w:t>
      </w:r>
      <w:r>
        <w:rPr>
          <w:rFonts w:hint="eastAsia" w:ascii="宋体" w:hAnsi="宋体"/>
          <w:color w:val="auto"/>
          <w:highlight w:val="none"/>
        </w:rPr>
        <w:t>30.5</w:t>
      </w:r>
      <w:r>
        <w:rPr>
          <w:rFonts w:hint="eastAsia" w:ascii="宋体" w:hAnsi="宋体" w:cs="宋体"/>
          <w:color w:val="auto"/>
          <w:kern w:val="0"/>
          <w:szCs w:val="21"/>
          <w:highlight w:val="none"/>
          <w:lang w:val="zh-CN"/>
        </w:rPr>
        <w:t>款</w:t>
      </w:r>
      <w:r>
        <w:rPr>
          <w:rFonts w:hint="eastAsia" w:ascii="宋体" w:hAnsi="宋体"/>
          <w:color w:val="auto"/>
          <w:highlight w:val="none"/>
        </w:rPr>
        <w:t>规定</w:t>
      </w:r>
      <w:r>
        <w:rPr>
          <w:rFonts w:hint="eastAsia" w:ascii="宋体" w:hAnsi="宋体" w:cs="宋体"/>
          <w:color w:val="auto"/>
          <w:kern w:val="0"/>
          <w:szCs w:val="21"/>
          <w:highlight w:val="none"/>
        </w:rPr>
        <w:t>退出磋商的，供应商的磋商保证金不予退还。</w:t>
      </w:r>
    </w:p>
    <w:p w14:paraId="67B12D45">
      <w:pPr>
        <w:widowControl/>
        <w:adjustRightInd w:val="0"/>
        <w:snapToGrid w:val="0"/>
        <w:spacing w:line="360" w:lineRule="auto"/>
        <w:jc w:val="left"/>
        <w:outlineLvl w:val="2"/>
        <w:rPr>
          <w:rFonts w:ascii="宋体" w:hAnsi="宋体"/>
          <w:b/>
          <w:bCs/>
          <w:color w:val="auto"/>
          <w:szCs w:val="21"/>
          <w:highlight w:val="none"/>
        </w:rPr>
      </w:pPr>
      <w:bookmarkStart w:id="58" w:name="_Toc562158820"/>
      <w:r>
        <w:rPr>
          <w:rFonts w:hint="eastAsia" w:ascii="宋体" w:hAnsi="宋体" w:cs="宋体"/>
          <w:b/>
          <w:color w:val="auto"/>
          <w:kern w:val="0"/>
          <w:szCs w:val="21"/>
          <w:highlight w:val="none"/>
        </w:rPr>
        <w:t>31.响应文件评审</w:t>
      </w:r>
      <w:bookmarkEnd w:id="58"/>
    </w:p>
    <w:p w14:paraId="419292E0">
      <w:pPr>
        <w:widowControl/>
        <w:adjustRightInd w:val="0"/>
        <w:snapToGrid w:val="0"/>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31.1经磋商确定最终采购需求和提交最后报价的供应商后，由磋商小组采用综合评分法对提交最后报价的供应商的响应文件和最后报价进行综合评价。</w:t>
      </w:r>
    </w:p>
    <w:p w14:paraId="1FA689B4">
      <w:pPr>
        <w:widowControl/>
        <w:adjustRightInd w:val="0"/>
        <w:snapToGrid w:val="0"/>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color w:val="auto"/>
          <w:szCs w:val="21"/>
          <w:highlight w:val="none"/>
        </w:rPr>
        <w:t>磋商须知前附表。</w:t>
      </w:r>
    </w:p>
    <w:p w14:paraId="0FB03926">
      <w:pPr>
        <w:widowControl/>
        <w:adjustRightInd w:val="0"/>
        <w:snapToGrid w:val="0"/>
        <w:spacing w:beforeLines="50" w:line="360" w:lineRule="auto"/>
        <w:ind w:firstLine="420" w:firstLineChars="200"/>
        <w:jc w:val="left"/>
        <w:rPr>
          <w:rFonts w:ascii="宋体" w:hAnsi="宋体"/>
          <w:bCs/>
          <w:color w:val="auto"/>
          <w:szCs w:val="21"/>
          <w:highlight w:val="none"/>
        </w:rPr>
      </w:pPr>
      <w:r>
        <w:rPr>
          <w:rFonts w:hint="eastAsia" w:ascii="宋体" w:hAnsi="宋体" w:cs="宋体"/>
          <w:color w:val="auto"/>
          <w:kern w:val="0"/>
          <w:szCs w:val="21"/>
          <w:highlight w:val="none"/>
        </w:rPr>
        <w:t>31.3</w:t>
      </w:r>
      <w:r>
        <w:rPr>
          <w:rFonts w:hint="eastAsia" w:ascii="宋体" w:hAnsi="宋体"/>
          <w:color w:val="auto"/>
          <w:szCs w:val="21"/>
          <w:highlight w:val="none"/>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color w:val="auto"/>
          <w:szCs w:val="21"/>
          <w:highlight w:val="none"/>
        </w:rPr>
        <w:t>磋商须知前附表</w:t>
      </w:r>
      <w:r>
        <w:rPr>
          <w:rFonts w:hint="eastAsia" w:ascii="宋体" w:hAnsi="宋体"/>
          <w:color w:val="auto"/>
          <w:szCs w:val="21"/>
          <w:highlight w:val="none"/>
        </w:rPr>
        <w:t>。</w:t>
      </w:r>
    </w:p>
    <w:p w14:paraId="57BD8502">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31.4综合评分法中的价格分采用低价优先法计算，即满足磋商文件要求且经调整后的最后报价最低的供应商的价格为磋商基准价，其价格分为满分。其他供应商的价格分按照下列公式计算：</w:t>
      </w:r>
    </w:p>
    <w:p w14:paraId="15BD95E1">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磋商报价得分=（磋商基准价/最后磋商报价）×价格权值×100</w:t>
      </w:r>
    </w:p>
    <w:p w14:paraId="5470DAD4">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项目评审过程中，不得去掉最后报价中的最高报价和最低报价。</w:t>
      </w:r>
    </w:p>
    <w:p w14:paraId="78CC4625">
      <w:pPr>
        <w:widowControl/>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bCs/>
          <w:color w:val="auto"/>
          <w:szCs w:val="21"/>
          <w:highlight w:val="none"/>
        </w:rPr>
        <w:t>31.5</w:t>
      </w:r>
      <w:r>
        <w:rPr>
          <w:rFonts w:hint="eastAsia" w:ascii="宋体" w:hAnsi="宋体"/>
          <w:color w:val="auto"/>
          <w:szCs w:val="21"/>
          <w:highlight w:val="none"/>
        </w:rPr>
        <w:t>涉及政府采购政策优惠对供应商分值进行调整的，</w:t>
      </w:r>
      <w:r>
        <w:rPr>
          <w:rFonts w:hint="eastAsia" w:ascii="宋体" w:hAnsi="宋体"/>
          <w:bCs/>
          <w:color w:val="auto"/>
          <w:szCs w:val="21"/>
          <w:highlight w:val="none"/>
        </w:rPr>
        <w:t>按</w:t>
      </w:r>
      <w:r>
        <w:rPr>
          <w:rFonts w:hint="eastAsia" w:ascii="宋体" w:hAnsi="宋体"/>
          <w:b/>
          <w:color w:val="auto"/>
          <w:szCs w:val="21"/>
          <w:highlight w:val="none"/>
        </w:rPr>
        <w:t>磋商须知前附表</w:t>
      </w:r>
      <w:r>
        <w:rPr>
          <w:rFonts w:hint="eastAsia" w:ascii="宋体" w:hAnsi="宋体"/>
          <w:bCs/>
          <w:color w:val="auto"/>
          <w:szCs w:val="21"/>
          <w:highlight w:val="none"/>
        </w:rPr>
        <w:t>规定</w:t>
      </w:r>
      <w:r>
        <w:rPr>
          <w:rFonts w:hint="eastAsia" w:ascii="宋体" w:hAnsi="宋体"/>
          <w:color w:val="auto"/>
          <w:szCs w:val="21"/>
          <w:highlight w:val="none"/>
        </w:rPr>
        <w:t>调整供应商的技术、商务、价格</w:t>
      </w:r>
      <w:r>
        <w:rPr>
          <w:rFonts w:hint="eastAsia" w:ascii="宋体" w:hAnsi="宋体" w:cs="宋体"/>
          <w:color w:val="auto"/>
          <w:kern w:val="0"/>
          <w:szCs w:val="21"/>
          <w:highlight w:val="none"/>
        </w:rPr>
        <w:t>得分或总得分</w:t>
      </w:r>
      <w:r>
        <w:rPr>
          <w:rFonts w:hint="eastAsia" w:ascii="宋体" w:hAnsi="宋体"/>
          <w:color w:val="auto"/>
          <w:szCs w:val="21"/>
          <w:highlight w:val="none"/>
        </w:rPr>
        <w:t>。</w:t>
      </w:r>
    </w:p>
    <w:p w14:paraId="3BD8A038">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31.6涉及多处或部分获得政府采购政策优惠的，其多处或部分享受政府采购优惠政策的计算方法见</w:t>
      </w:r>
      <w:r>
        <w:rPr>
          <w:rFonts w:hint="eastAsia" w:ascii="宋体" w:hAnsi="宋体"/>
          <w:b/>
          <w:color w:val="auto"/>
          <w:szCs w:val="21"/>
          <w:highlight w:val="none"/>
        </w:rPr>
        <w:t>磋商须知前附表</w:t>
      </w:r>
      <w:r>
        <w:rPr>
          <w:rFonts w:hint="eastAsia" w:ascii="宋体" w:hAnsi="宋体"/>
          <w:color w:val="auto"/>
          <w:szCs w:val="21"/>
          <w:highlight w:val="none"/>
        </w:rPr>
        <w:t>相关规定。</w:t>
      </w:r>
    </w:p>
    <w:p w14:paraId="662AC4A2">
      <w:pPr>
        <w:widowControl/>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s="宋体"/>
          <w:color w:val="auto"/>
          <w:kern w:val="0"/>
          <w:szCs w:val="21"/>
          <w:highlight w:val="none"/>
        </w:rPr>
        <w:t>31.7</w:t>
      </w:r>
      <w:r>
        <w:rPr>
          <w:rFonts w:hint="eastAsia" w:ascii="宋体" w:hAnsi="宋体"/>
          <w:color w:val="auto"/>
          <w:szCs w:val="21"/>
          <w:highlight w:val="none"/>
        </w:rPr>
        <w:t>评审时，磋商小组各成员应当独立对每个供应商的</w:t>
      </w:r>
      <w:r>
        <w:rPr>
          <w:rFonts w:hint="eastAsia" w:ascii="宋体" w:hAnsi="宋体"/>
          <w:bCs/>
          <w:color w:val="auto"/>
          <w:szCs w:val="21"/>
          <w:highlight w:val="none"/>
        </w:rPr>
        <w:t>响应文件</w:t>
      </w:r>
      <w:r>
        <w:rPr>
          <w:rFonts w:hint="eastAsia" w:ascii="宋体" w:hAnsi="宋体"/>
          <w:color w:val="auto"/>
          <w:szCs w:val="21"/>
          <w:highlight w:val="none"/>
        </w:rPr>
        <w:t>进行评价、评分，并按照政府采购优惠政策对最后报价进行价格扣除和技术、商务、价格加分后，汇总各供应商的总得分。</w:t>
      </w:r>
    </w:p>
    <w:p w14:paraId="5DFAAD31">
      <w:pPr>
        <w:widowControl/>
        <w:adjustRightInd w:val="0"/>
        <w:snapToGrid w:val="0"/>
        <w:spacing w:line="360" w:lineRule="auto"/>
        <w:jc w:val="left"/>
        <w:outlineLvl w:val="2"/>
        <w:rPr>
          <w:rFonts w:ascii="宋体" w:hAnsi="宋体"/>
          <w:b/>
          <w:bCs/>
          <w:color w:val="auto"/>
          <w:szCs w:val="21"/>
          <w:highlight w:val="none"/>
        </w:rPr>
      </w:pPr>
      <w:bookmarkStart w:id="59" w:name="_Toc1422724587"/>
      <w:r>
        <w:rPr>
          <w:rFonts w:hint="eastAsia" w:ascii="宋体" w:hAnsi="宋体"/>
          <w:b/>
          <w:bCs/>
          <w:color w:val="auto"/>
          <w:szCs w:val="21"/>
          <w:highlight w:val="none"/>
        </w:rPr>
        <w:t>32</w:t>
      </w:r>
      <w:r>
        <w:rPr>
          <w:rFonts w:hint="eastAsia" w:ascii="宋体" w:hAnsi="宋体" w:cs="宋体"/>
          <w:b/>
          <w:color w:val="auto"/>
          <w:kern w:val="0"/>
          <w:szCs w:val="21"/>
          <w:highlight w:val="none"/>
        </w:rPr>
        <w:t>.</w:t>
      </w:r>
      <w:r>
        <w:rPr>
          <w:rFonts w:hint="eastAsia" w:ascii="宋体" w:hAnsi="宋体"/>
          <w:b/>
          <w:bCs/>
          <w:color w:val="auto"/>
          <w:szCs w:val="21"/>
          <w:highlight w:val="none"/>
        </w:rPr>
        <w:t>提出成交供应商</w:t>
      </w:r>
      <w:bookmarkEnd w:id="59"/>
    </w:p>
    <w:p w14:paraId="7C1E6D74">
      <w:pPr>
        <w:widowControl/>
        <w:spacing w:line="420" w:lineRule="atLeast"/>
        <w:jc w:val="left"/>
        <w:rPr>
          <w:rFonts w:ascii="宋体" w:hAnsi="宋体"/>
          <w:bCs/>
          <w:color w:val="auto"/>
          <w:szCs w:val="21"/>
          <w:highlight w:val="none"/>
        </w:rPr>
      </w:pPr>
      <w:r>
        <w:rPr>
          <w:rFonts w:hint="eastAsia" w:ascii="宋体" w:hAnsi="宋体" w:cs="宋体"/>
          <w:color w:val="auto"/>
          <w:kern w:val="0"/>
          <w:szCs w:val="21"/>
          <w:highlight w:val="none"/>
        </w:rPr>
        <w:t xml:space="preserve">    32.1</w:t>
      </w:r>
      <w:r>
        <w:rPr>
          <w:rFonts w:hint="eastAsia" w:ascii="宋体" w:hAnsi="宋体"/>
          <w:bCs/>
          <w:color w:val="auto"/>
          <w:szCs w:val="21"/>
          <w:highlight w:val="none"/>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cs="宋体"/>
          <w:color w:val="auto"/>
          <w:kern w:val="0"/>
          <w:szCs w:val="21"/>
          <w:highlight w:val="none"/>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bCs/>
          <w:color w:val="auto"/>
          <w:szCs w:val="21"/>
          <w:highlight w:val="none"/>
        </w:rPr>
        <w:t>可以推荐2家成交候选供应商。</w:t>
      </w:r>
    </w:p>
    <w:p w14:paraId="37525242">
      <w:pPr>
        <w:widowControl/>
        <w:spacing w:line="420" w:lineRule="atLeast"/>
        <w:rPr>
          <w:rFonts w:ascii="宋体" w:hAnsi="宋体" w:cs="宋体"/>
          <w:color w:val="auto"/>
          <w:kern w:val="0"/>
          <w:szCs w:val="21"/>
          <w:highlight w:val="none"/>
        </w:rPr>
      </w:pPr>
    </w:p>
    <w:p w14:paraId="001DFF7B">
      <w:pPr>
        <w:tabs>
          <w:tab w:val="left" w:pos="0"/>
        </w:tabs>
        <w:adjustRightInd w:val="0"/>
        <w:snapToGrid w:val="0"/>
        <w:spacing w:line="360" w:lineRule="auto"/>
        <w:outlineLvl w:val="2"/>
        <w:rPr>
          <w:rFonts w:ascii="宋体" w:hAnsi="宋体"/>
          <w:b/>
          <w:bCs/>
          <w:color w:val="auto"/>
          <w:szCs w:val="21"/>
          <w:highlight w:val="none"/>
        </w:rPr>
      </w:pPr>
      <w:bookmarkStart w:id="60" w:name="_Toc1649208011"/>
      <w:r>
        <w:rPr>
          <w:rFonts w:hint="eastAsia" w:ascii="宋体" w:hAnsi="宋体"/>
          <w:b/>
          <w:bCs/>
          <w:color w:val="auto"/>
          <w:szCs w:val="21"/>
          <w:highlight w:val="none"/>
        </w:rPr>
        <w:t>33.确定成交供应商</w:t>
      </w:r>
      <w:bookmarkEnd w:id="60"/>
    </w:p>
    <w:p w14:paraId="2A3E8F4F">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33.1采购代理机构应当在评审结束后2个工作日内将评审报告送采购人确认。</w:t>
      </w:r>
    </w:p>
    <w:p w14:paraId="696E5ABE">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33.2采购人应当在收到评审报告后5个工作日内，从评审报告提出的成交候选供应商中，按照排序由高到低的原则确定成交供应商，也可以书面授权磋商小组直接确定成交供应商。</w:t>
      </w:r>
    </w:p>
    <w:p w14:paraId="46DBF813">
      <w:pPr>
        <w:pStyle w:val="12"/>
        <w:adjustRightInd w:val="0"/>
        <w:snapToGrid w:val="0"/>
        <w:spacing w:line="360" w:lineRule="auto"/>
        <w:ind w:left="632" w:hanging="632" w:hangingChars="300"/>
        <w:outlineLvl w:val="2"/>
        <w:rPr>
          <w:rFonts w:hAnsi="宋体"/>
          <w:b/>
          <w:color w:val="auto"/>
          <w:sz w:val="21"/>
          <w:highlight w:val="none"/>
        </w:rPr>
      </w:pPr>
      <w:bookmarkStart w:id="61" w:name="_Toc667609048"/>
      <w:r>
        <w:rPr>
          <w:rFonts w:hint="eastAsia" w:hAnsi="宋体"/>
          <w:b/>
          <w:color w:val="auto"/>
          <w:sz w:val="21"/>
          <w:highlight w:val="none"/>
        </w:rPr>
        <w:t>34.磋商终止</w:t>
      </w:r>
      <w:bookmarkEnd w:id="61"/>
    </w:p>
    <w:p w14:paraId="79228525">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bCs/>
          <w:color w:val="auto"/>
          <w:szCs w:val="21"/>
          <w:highlight w:val="none"/>
        </w:rPr>
        <w:t>34.1</w:t>
      </w:r>
      <w:r>
        <w:rPr>
          <w:rFonts w:hint="eastAsia" w:ascii="宋体" w:hAnsi="宋体" w:cs="宋体"/>
          <w:color w:val="auto"/>
          <w:kern w:val="0"/>
          <w:szCs w:val="21"/>
          <w:highlight w:val="none"/>
        </w:rPr>
        <w:t>出现下列情形之一的，采购人或者采购代理机构应当终止竞争性磋商采购活动，</w:t>
      </w:r>
      <w:r>
        <w:rPr>
          <w:rFonts w:hint="eastAsia" w:ascii="宋体" w:hAnsi="宋体"/>
          <w:color w:val="auto"/>
          <w:highlight w:val="none"/>
        </w:rPr>
        <w:t>在本章第37.1款指定的媒体上</w:t>
      </w:r>
      <w:r>
        <w:rPr>
          <w:rFonts w:hint="eastAsia" w:ascii="宋体" w:hAnsi="宋体" w:cs="宋体"/>
          <w:color w:val="auto"/>
          <w:kern w:val="0"/>
          <w:szCs w:val="21"/>
          <w:highlight w:val="none"/>
        </w:rPr>
        <w:t xml:space="preserve">发布项目终止公告并说明原因，重新开展采购活动： </w:t>
      </w:r>
    </w:p>
    <w:p w14:paraId="3D189E5C">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（1）因情况变化，不再符合规定的竞争性磋商采购方式适用情形的；</w:t>
      </w:r>
    </w:p>
    <w:p w14:paraId="5919C904">
      <w:pPr>
        <w:widowControl/>
        <w:adjustRightInd w:val="0"/>
        <w:snapToGrid w:val="0"/>
        <w:spacing w:line="360" w:lineRule="auto"/>
        <w:ind w:firstLine="420"/>
        <w:jc w:val="left"/>
        <w:outlineLvl w:val="3"/>
        <w:rPr>
          <w:rFonts w:ascii="宋体" w:hAnsi="宋体" w:cs="宋体"/>
          <w:color w:val="auto"/>
          <w:kern w:val="0"/>
          <w:szCs w:val="21"/>
          <w:highlight w:val="none"/>
        </w:rPr>
      </w:pPr>
      <w:r>
        <w:rPr>
          <w:rFonts w:hint="eastAsia" w:ascii="宋体" w:hAnsi="宋体" w:cs="宋体"/>
          <w:color w:val="auto"/>
          <w:kern w:val="0"/>
          <w:szCs w:val="21"/>
          <w:highlight w:val="none"/>
        </w:rPr>
        <w:t>（2）出现影响采购公正的违法、违规行为的；</w:t>
      </w:r>
    </w:p>
    <w:p w14:paraId="14309D39">
      <w:pPr>
        <w:widowControl/>
        <w:adjustRightInd w:val="0"/>
        <w:snapToGrid w:val="0"/>
        <w:spacing w:line="360" w:lineRule="auto"/>
        <w:ind w:firstLine="420"/>
        <w:jc w:val="left"/>
        <w:rPr>
          <w:rFonts w:ascii="宋体" w:hAnsi="宋体"/>
          <w:bCs/>
          <w:color w:val="auto"/>
          <w:szCs w:val="21"/>
          <w:highlight w:val="none"/>
        </w:rPr>
      </w:pPr>
      <w:r>
        <w:rPr>
          <w:rFonts w:hint="eastAsia" w:ascii="宋体" w:hAnsi="宋体" w:cs="宋体"/>
          <w:color w:val="auto"/>
          <w:kern w:val="0"/>
          <w:szCs w:val="21"/>
          <w:highlight w:val="none"/>
        </w:rPr>
        <w:t>（3）</w:t>
      </w:r>
      <w:r>
        <w:rPr>
          <w:rFonts w:hint="eastAsia" w:ascii="宋体" w:hAnsi="宋体"/>
          <w:bCs/>
          <w:color w:val="auto"/>
          <w:szCs w:val="21"/>
          <w:highlight w:val="none"/>
        </w:rPr>
        <w:t>除《政府采购竞争性磋商采购方式管理暂行办法》(财库〔2014〕214号)</w:t>
      </w:r>
      <w:r>
        <w:rPr>
          <w:rFonts w:hint="eastAsia" w:ascii="宋体" w:hAnsi="宋体" w:cs="宋体"/>
          <w:color w:val="auto"/>
          <w:kern w:val="0"/>
          <w:szCs w:val="21"/>
          <w:highlight w:val="none"/>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color w:val="auto"/>
          <w:szCs w:val="21"/>
          <w:highlight w:val="none"/>
        </w:rPr>
        <w:t>情形外，在采购过程中符合要求的供应商或者报价未超过采购预算的供应商不足3家的；</w:t>
      </w:r>
    </w:p>
    <w:p w14:paraId="39AEE867">
      <w:pPr>
        <w:widowControl/>
        <w:adjustRightInd w:val="0"/>
        <w:snapToGrid w:val="0"/>
        <w:spacing w:line="360" w:lineRule="auto"/>
        <w:ind w:firstLine="420"/>
        <w:jc w:val="left"/>
        <w:outlineLvl w:val="3"/>
        <w:rPr>
          <w:rFonts w:ascii="宋体" w:hAnsi="宋体"/>
          <w:bCs/>
          <w:color w:val="auto"/>
          <w:szCs w:val="21"/>
          <w:highlight w:val="none"/>
        </w:rPr>
      </w:pPr>
      <w:r>
        <w:rPr>
          <w:rFonts w:hint="eastAsia" w:ascii="宋体" w:hAnsi="宋体" w:cs="宋体"/>
          <w:color w:val="auto"/>
          <w:kern w:val="0"/>
          <w:szCs w:val="21"/>
          <w:highlight w:val="none"/>
        </w:rPr>
        <w:t>（4）因重大变故，采购任务取消的。</w:t>
      </w:r>
    </w:p>
    <w:p w14:paraId="5804E7D7">
      <w:pPr>
        <w:widowControl/>
        <w:adjustRightInd w:val="0"/>
        <w:snapToGrid w:val="0"/>
        <w:spacing w:line="360" w:lineRule="auto"/>
        <w:jc w:val="left"/>
        <w:outlineLvl w:val="2"/>
        <w:rPr>
          <w:rFonts w:ascii="宋体" w:hAnsi="宋体" w:cs="宋体"/>
          <w:b/>
          <w:color w:val="auto"/>
          <w:kern w:val="0"/>
          <w:szCs w:val="21"/>
          <w:highlight w:val="none"/>
        </w:rPr>
      </w:pPr>
      <w:bookmarkStart w:id="62" w:name="_Toc2050697808"/>
      <w:r>
        <w:rPr>
          <w:rFonts w:hint="eastAsia" w:ascii="宋体" w:hAnsi="宋体" w:cs="宋体"/>
          <w:b/>
          <w:color w:val="auto"/>
          <w:kern w:val="0"/>
          <w:szCs w:val="21"/>
          <w:highlight w:val="none"/>
        </w:rPr>
        <w:t>35．重新评审</w:t>
      </w:r>
      <w:bookmarkEnd w:id="62"/>
    </w:p>
    <w:p w14:paraId="28E36EBB">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117D0761">
      <w:pPr>
        <w:adjustRightInd w:val="0"/>
        <w:snapToGrid w:val="0"/>
        <w:spacing w:line="360" w:lineRule="auto"/>
        <w:outlineLvl w:val="2"/>
        <w:rPr>
          <w:rFonts w:ascii="宋体" w:hAnsi="宋体"/>
          <w:b/>
          <w:bCs/>
          <w:color w:val="auto"/>
          <w:szCs w:val="21"/>
          <w:highlight w:val="none"/>
        </w:rPr>
      </w:pPr>
      <w:bookmarkStart w:id="63" w:name="_Toc1113008353"/>
      <w:r>
        <w:rPr>
          <w:rFonts w:hint="eastAsia" w:ascii="宋体" w:hAnsi="宋体"/>
          <w:b/>
          <w:bCs/>
          <w:color w:val="auto"/>
          <w:szCs w:val="21"/>
          <w:highlight w:val="none"/>
        </w:rPr>
        <w:t>36.保密及串通行为</w:t>
      </w:r>
      <w:bookmarkEnd w:id="63"/>
    </w:p>
    <w:p w14:paraId="3598A140">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36.1磋商小组成员以及与评审工作有关的人员不得泄露评审情况以及评审过程中获悉的国家秘密、商业秘密。</w:t>
      </w:r>
    </w:p>
    <w:p w14:paraId="1012346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36.2</w:t>
      </w:r>
      <w:r>
        <w:rPr>
          <w:rFonts w:hint="eastAsia" w:ascii="宋体" w:hAnsi="宋体" w:cs="宋体"/>
          <w:color w:val="auto"/>
          <w:kern w:val="0"/>
          <w:szCs w:val="21"/>
          <w:highlight w:val="none"/>
        </w:rPr>
        <w:t>供应商</w:t>
      </w:r>
      <w:r>
        <w:rPr>
          <w:rFonts w:hint="eastAsia" w:ascii="宋体" w:hAnsi="宋体"/>
          <w:color w:val="auto"/>
          <w:szCs w:val="21"/>
          <w:highlight w:val="none"/>
        </w:rPr>
        <w:t>不得与</w:t>
      </w:r>
      <w:r>
        <w:rPr>
          <w:rFonts w:hint="eastAsia" w:ascii="宋体" w:hAnsi="宋体" w:cs="宋体"/>
          <w:color w:val="auto"/>
          <w:kern w:val="0"/>
          <w:szCs w:val="21"/>
          <w:highlight w:val="none"/>
        </w:rPr>
        <w:t>采购人、采购代理机构、其他供应商恶意</w:t>
      </w:r>
      <w:r>
        <w:rPr>
          <w:rFonts w:hint="eastAsia" w:ascii="宋体" w:hAnsi="宋体"/>
          <w:color w:val="auto"/>
          <w:szCs w:val="21"/>
          <w:highlight w:val="none"/>
        </w:rPr>
        <w:t>串通；不得向</w:t>
      </w:r>
      <w:r>
        <w:rPr>
          <w:rFonts w:hint="eastAsia" w:ascii="宋体" w:hAnsi="宋体" w:cs="宋体"/>
          <w:color w:val="auto"/>
          <w:kern w:val="0"/>
          <w:szCs w:val="21"/>
          <w:highlight w:val="none"/>
        </w:rPr>
        <w:t>采购人、采购代理机构</w:t>
      </w:r>
      <w:r>
        <w:rPr>
          <w:rFonts w:hint="eastAsia" w:ascii="宋体" w:hAnsi="宋体"/>
          <w:color w:val="auto"/>
          <w:szCs w:val="21"/>
          <w:highlight w:val="none"/>
        </w:rPr>
        <w:t>或者磋商小组成员行贿或者提供其他不正当利益；不得提供虚假资料谋取成交；不得以任何方式干扰、影响采购工作。</w:t>
      </w:r>
    </w:p>
    <w:p w14:paraId="4663186F">
      <w:pPr>
        <w:pStyle w:val="19"/>
        <w:adjustRightInd w:val="0"/>
        <w:snapToGrid w:val="0"/>
        <w:spacing w:before="0" w:beforeAutospacing="0" w:after="0" w:afterAutospacing="0" w:line="360" w:lineRule="auto"/>
        <w:ind w:firstLine="420" w:firstLineChars="200"/>
        <w:rPr>
          <w:color w:val="auto"/>
          <w:sz w:val="21"/>
          <w:szCs w:val="21"/>
          <w:highlight w:val="none"/>
          <w:lang w:val="zh-CN"/>
        </w:rPr>
      </w:pPr>
      <w:r>
        <w:rPr>
          <w:rFonts w:hint="eastAsia" w:cs="Arial"/>
          <w:color w:val="auto"/>
          <w:sz w:val="21"/>
          <w:szCs w:val="21"/>
          <w:highlight w:val="none"/>
        </w:rPr>
        <w:t>36.3</w:t>
      </w:r>
      <w:r>
        <w:rPr>
          <w:rFonts w:hint="eastAsia"/>
          <w:color w:val="auto"/>
          <w:sz w:val="21"/>
          <w:szCs w:val="21"/>
          <w:highlight w:val="none"/>
          <w:lang w:val="zh-CN"/>
        </w:rPr>
        <w:t>有下列情形之一的，属于恶意串通，对供应商依照政府采购法第七十七条第一款的规定追究法律责任：</w:t>
      </w:r>
    </w:p>
    <w:p w14:paraId="43ABCBCF">
      <w:pPr>
        <w:pStyle w:val="19"/>
        <w:adjustRightInd w:val="0"/>
        <w:snapToGrid w:val="0"/>
        <w:spacing w:before="0" w:beforeAutospacing="0" w:after="0" w:afterAutospacing="0" w:line="360" w:lineRule="auto"/>
        <w:ind w:firstLine="420" w:firstLineChars="200"/>
        <w:rPr>
          <w:color w:val="auto"/>
          <w:sz w:val="21"/>
          <w:szCs w:val="21"/>
          <w:highlight w:val="none"/>
          <w:lang w:val="zh-CN"/>
        </w:rPr>
      </w:pPr>
      <w:r>
        <w:rPr>
          <w:rFonts w:hint="eastAsia"/>
          <w:color w:val="auto"/>
          <w:sz w:val="21"/>
          <w:szCs w:val="21"/>
          <w:highlight w:val="none"/>
          <w:lang w:val="zh-CN"/>
        </w:rPr>
        <w:t>（一）供应商直接或者间接从采购人或者采购代理机构处获得其他供应商的相关情况并修改其响应文件；</w:t>
      </w:r>
    </w:p>
    <w:p w14:paraId="6EFE1B44">
      <w:pPr>
        <w:pStyle w:val="19"/>
        <w:adjustRightInd w:val="0"/>
        <w:snapToGrid w:val="0"/>
        <w:spacing w:before="0" w:beforeAutospacing="0" w:after="0" w:afterAutospacing="0" w:line="360" w:lineRule="auto"/>
        <w:ind w:firstLine="420" w:firstLineChars="200"/>
        <w:rPr>
          <w:color w:val="auto"/>
          <w:sz w:val="21"/>
          <w:szCs w:val="21"/>
          <w:highlight w:val="none"/>
          <w:lang w:val="zh-CN"/>
        </w:rPr>
      </w:pPr>
      <w:r>
        <w:rPr>
          <w:rFonts w:hint="eastAsia"/>
          <w:color w:val="auto"/>
          <w:sz w:val="21"/>
          <w:szCs w:val="21"/>
          <w:highlight w:val="none"/>
          <w:lang w:val="zh-CN"/>
        </w:rPr>
        <w:t>（二）供应商按照采购人或者采购代理机构的授意撤换、修改响应文件；</w:t>
      </w:r>
    </w:p>
    <w:p w14:paraId="159F4FF7">
      <w:pPr>
        <w:pStyle w:val="19"/>
        <w:adjustRightInd w:val="0"/>
        <w:snapToGrid w:val="0"/>
        <w:spacing w:before="0" w:beforeAutospacing="0" w:after="0" w:afterAutospacing="0" w:line="360" w:lineRule="auto"/>
        <w:ind w:firstLine="420" w:firstLineChars="200"/>
        <w:rPr>
          <w:color w:val="auto"/>
          <w:sz w:val="21"/>
          <w:szCs w:val="21"/>
          <w:highlight w:val="none"/>
          <w:lang w:val="zh-CN"/>
        </w:rPr>
      </w:pPr>
      <w:r>
        <w:rPr>
          <w:rFonts w:hint="eastAsia"/>
          <w:color w:val="auto"/>
          <w:sz w:val="21"/>
          <w:szCs w:val="21"/>
          <w:highlight w:val="none"/>
          <w:lang w:val="zh-CN"/>
        </w:rPr>
        <w:t>（三）供应商之间协商报价、技术方案等响应文件的实质性内容；</w:t>
      </w:r>
    </w:p>
    <w:p w14:paraId="631D5899">
      <w:pPr>
        <w:pStyle w:val="19"/>
        <w:adjustRightInd w:val="0"/>
        <w:snapToGrid w:val="0"/>
        <w:spacing w:before="0" w:beforeAutospacing="0" w:after="0" w:afterAutospacing="0" w:line="360" w:lineRule="auto"/>
        <w:ind w:firstLine="420" w:firstLineChars="200"/>
        <w:rPr>
          <w:color w:val="auto"/>
          <w:sz w:val="21"/>
          <w:szCs w:val="21"/>
          <w:highlight w:val="none"/>
          <w:lang w:val="zh-CN"/>
        </w:rPr>
      </w:pPr>
      <w:r>
        <w:rPr>
          <w:rFonts w:hint="eastAsia"/>
          <w:color w:val="auto"/>
          <w:sz w:val="21"/>
          <w:szCs w:val="21"/>
          <w:highlight w:val="none"/>
          <w:lang w:val="zh-CN"/>
        </w:rPr>
        <w:t>（四）属于同一集团、协会、商会等组织成员的供应商按照该组织要求协同参加政府采购活动；</w:t>
      </w:r>
    </w:p>
    <w:p w14:paraId="13ACC3D8">
      <w:pPr>
        <w:pStyle w:val="19"/>
        <w:adjustRightInd w:val="0"/>
        <w:snapToGrid w:val="0"/>
        <w:spacing w:before="0" w:beforeAutospacing="0" w:after="0" w:afterAutospacing="0" w:line="360" w:lineRule="auto"/>
        <w:ind w:firstLine="420" w:firstLineChars="200"/>
        <w:outlineLvl w:val="3"/>
        <w:rPr>
          <w:color w:val="auto"/>
          <w:sz w:val="21"/>
          <w:szCs w:val="21"/>
          <w:highlight w:val="none"/>
          <w:lang w:val="zh-CN"/>
        </w:rPr>
      </w:pPr>
      <w:r>
        <w:rPr>
          <w:rFonts w:hint="eastAsia"/>
          <w:color w:val="auto"/>
          <w:sz w:val="21"/>
          <w:szCs w:val="21"/>
          <w:highlight w:val="none"/>
          <w:lang w:val="zh-CN"/>
        </w:rPr>
        <w:t>（五）供应商之间事先约定由某一特定供应商成交；</w:t>
      </w:r>
    </w:p>
    <w:p w14:paraId="36D9C67C">
      <w:pPr>
        <w:pStyle w:val="19"/>
        <w:adjustRightInd w:val="0"/>
        <w:snapToGrid w:val="0"/>
        <w:spacing w:before="0" w:beforeAutospacing="0" w:after="0" w:afterAutospacing="0" w:line="360" w:lineRule="auto"/>
        <w:ind w:firstLine="420" w:firstLineChars="200"/>
        <w:rPr>
          <w:color w:val="auto"/>
          <w:sz w:val="21"/>
          <w:szCs w:val="21"/>
          <w:highlight w:val="none"/>
          <w:lang w:val="zh-CN"/>
        </w:rPr>
      </w:pPr>
      <w:r>
        <w:rPr>
          <w:rFonts w:hint="eastAsia"/>
          <w:color w:val="auto"/>
          <w:sz w:val="21"/>
          <w:szCs w:val="21"/>
          <w:highlight w:val="none"/>
          <w:lang w:val="zh-CN"/>
        </w:rPr>
        <w:t>（六）供应商之间商定部分供应商放弃参加政府采购活动或者放弃成交；</w:t>
      </w:r>
    </w:p>
    <w:p w14:paraId="3E5F7014">
      <w:pPr>
        <w:pStyle w:val="19"/>
        <w:adjustRightInd w:val="0"/>
        <w:snapToGrid w:val="0"/>
        <w:spacing w:before="0" w:beforeAutospacing="0" w:after="0" w:afterAutospacing="0" w:line="360" w:lineRule="auto"/>
        <w:ind w:firstLine="420" w:firstLineChars="200"/>
        <w:rPr>
          <w:color w:val="auto"/>
          <w:sz w:val="21"/>
          <w:szCs w:val="21"/>
          <w:highlight w:val="none"/>
          <w:lang w:val="zh-CN"/>
        </w:rPr>
      </w:pPr>
      <w:r>
        <w:rPr>
          <w:rFonts w:hint="eastAsia"/>
          <w:color w:val="auto"/>
          <w:sz w:val="21"/>
          <w:szCs w:val="21"/>
          <w:highlight w:val="none"/>
          <w:lang w:val="zh-CN"/>
        </w:rPr>
        <w:t>（七）供应商与采购人或者采购代理机构之间、供应商相互之间，为谋求特定供应商成交或者排斥其他供应商的其他串通行为。</w:t>
      </w:r>
    </w:p>
    <w:p w14:paraId="2BE7E38B">
      <w:pPr>
        <w:adjustRightInd w:val="0"/>
        <w:snapToGrid w:val="0"/>
        <w:spacing w:line="360" w:lineRule="auto"/>
        <w:outlineLvl w:val="1"/>
        <w:rPr>
          <w:rFonts w:ascii="黑体" w:hAnsi="宋体" w:eastAsia="黑体"/>
          <w:color w:val="auto"/>
          <w:sz w:val="24"/>
          <w:highlight w:val="none"/>
        </w:rPr>
      </w:pPr>
      <w:bookmarkStart w:id="64" w:name="_Toc1748823501"/>
      <w:r>
        <w:rPr>
          <w:rFonts w:hint="eastAsia" w:ascii="黑体" w:hAnsi="宋体" w:eastAsia="黑体"/>
          <w:color w:val="auto"/>
          <w:sz w:val="24"/>
          <w:highlight w:val="none"/>
        </w:rPr>
        <w:t>六、成交结果信息公布与授予合同</w:t>
      </w:r>
      <w:bookmarkEnd w:id="64"/>
    </w:p>
    <w:p w14:paraId="3A3F6F44">
      <w:pPr>
        <w:adjustRightInd w:val="0"/>
        <w:snapToGrid w:val="0"/>
        <w:spacing w:line="360" w:lineRule="auto"/>
        <w:outlineLvl w:val="2"/>
        <w:rPr>
          <w:rFonts w:ascii="宋体" w:hAnsi="宋体"/>
          <w:b/>
          <w:bCs/>
          <w:color w:val="auto"/>
          <w:szCs w:val="21"/>
          <w:highlight w:val="none"/>
        </w:rPr>
      </w:pPr>
      <w:bookmarkStart w:id="65" w:name="_Toc2015388465"/>
      <w:r>
        <w:rPr>
          <w:rFonts w:hint="eastAsia" w:ascii="宋体" w:hAnsi="宋体"/>
          <w:b/>
          <w:bCs/>
          <w:color w:val="auto"/>
          <w:szCs w:val="21"/>
          <w:highlight w:val="none"/>
        </w:rPr>
        <w:t>37.成交信息的公布</w:t>
      </w:r>
      <w:bookmarkEnd w:id="65"/>
    </w:p>
    <w:p w14:paraId="1077063C">
      <w:pPr>
        <w:pStyle w:val="19"/>
        <w:adjustRightInd w:val="0"/>
        <w:snapToGrid w:val="0"/>
        <w:spacing w:before="0" w:beforeAutospacing="0" w:after="0" w:afterAutospacing="0" w:line="360" w:lineRule="auto"/>
        <w:ind w:firstLine="420" w:firstLineChars="200"/>
        <w:rPr>
          <w:color w:val="auto"/>
          <w:sz w:val="21"/>
          <w:szCs w:val="21"/>
          <w:highlight w:val="none"/>
          <w:lang w:val="zh-CN"/>
        </w:rPr>
      </w:pPr>
      <w:r>
        <w:rPr>
          <w:rFonts w:hint="eastAsia"/>
          <w:color w:val="auto"/>
          <w:sz w:val="21"/>
          <w:szCs w:val="21"/>
          <w:highlight w:val="none"/>
          <w:lang w:val="zh-CN"/>
        </w:rPr>
        <w:t>37.1成交供应商确定后2个工作日内，成交结果信息将在</w:t>
      </w:r>
      <w:r>
        <w:rPr>
          <w:rFonts w:hint="eastAsia"/>
          <w:b/>
          <w:bCs/>
          <w:color w:val="auto"/>
          <w:sz w:val="21"/>
          <w:szCs w:val="21"/>
          <w:highlight w:val="none"/>
          <w:lang w:val="zh-CN"/>
        </w:rPr>
        <w:t>磋商须知前附表</w:t>
      </w:r>
      <w:r>
        <w:rPr>
          <w:rFonts w:hint="eastAsia"/>
          <w:color w:val="auto"/>
          <w:sz w:val="21"/>
          <w:szCs w:val="21"/>
          <w:highlight w:val="none"/>
          <w:lang w:val="zh-CN"/>
        </w:rPr>
        <w:t>指定的媒体上公布。</w:t>
      </w:r>
    </w:p>
    <w:p w14:paraId="42475864">
      <w:pPr>
        <w:adjustRightInd w:val="0"/>
        <w:snapToGrid w:val="0"/>
        <w:spacing w:line="360" w:lineRule="auto"/>
        <w:outlineLvl w:val="2"/>
        <w:rPr>
          <w:rFonts w:ascii="宋体" w:hAnsi="宋体"/>
          <w:b/>
          <w:bCs/>
          <w:color w:val="auto"/>
          <w:szCs w:val="21"/>
          <w:highlight w:val="none"/>
        </w:rPr>
      </w:pPr>
      <w:bookmarkStart w:id="66" w:name="_Toc374367124"/>
      <w:r>
        <w:rPr>
          <w:rFonts w:hint="eastAsia" w:ascii="宋体" w:hAnsi="宋体"/>
          <w:b/>
          <w:bCs/>
          <w:color w:val="auto"/>
          <w:szCs w:val="21"/>
          <w:highlight w:val="none"/>
        </w:rPr>
        <w:t>38.询问及质疑</w:t>
      </w:r>
      <w:bookmarkEnd w:id="66"/>
    </w:p>
    <w:p w14:paraId="39C5B78D">
      <w:pPr>
        <w:adjustRightInd w:val="0"/>
        <w:snapToGrid w:val="0"/>
        <w:spacing w:line="360" w:lineRule="auto"/>
        <w:ind w:firstLine="420" w:firstLineChars="200"/>
        <w:jc w:val="left"/>
        <w:rPr>
          <w:rFonts w:hAnsi="宋体"/>
          <w:color w:val="auto"/>
          <w:highlight w:val="none"/>
        </w:rPr>
      </w:pPr>
      <w:r>
        <w:rPr>
          <w:rFonts w:hint="eastAsia" w:ascii="宋体" w:hAnsi="宋体"/>
          <w:color w:val="auto"/>
          <w:szCs w:val="21"/>
          <w:highlight w:val="none"/>
        </w:rPr>
        <w:t>38.1供应商对政府采购活动事项有疑问的，可以向采购人或采购代理机构提出询问。</w:t>
      </w:r>
    </w:p>
    <w:p w14:paraId="208DDE5E">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38.2供应商若认为磋商文件、采购过程和成交结果使自己的权益受到损害，可以按法律、行政法规及湖南省财政厅规范性文件规定向采购人或采购代理机构提出质疑。</w:t>
      </w:r>
    </w:p>
    <w:p w14:paraId="7518981E">
      <w:pPr>
        <w:adjustRightInd w:val="0"/>
        <w:snapToGrid w:val="0"/>
        <w:spacing w:line="360" w:lineRule="auto"/>
        <w:outlineLvl w:val="2"/>
        <w:rPr>
          <w:rFonts w:ascii="宋体" w:hAnsi="宋体"/>
          <w:b/>
          <w:bCs/>
          <w:color w:val="auto"/>
          <w:szCs w:val="21"/>
          <w:highlight w:val="none"/>
        </w:rPr>
      </w:pPr>
      <w:bookmarkStart w:id="67" w:name="_Toc2008651005"/>
      <w:r>
        <w:rPr>
          <w:rFonts w:hint="eastAsia" w:ascii="宋体" w:hAnsi="宋体"/>
          <w:b/>
          <w:bCs/>
          <w:color w:val="auto"/>
          <w:szCs w:val="21"/>
          <w:highlight w:val="none"/>
        </w:rPr>
        <w:t>39.成交通知</w:t>
      </w:r>
      <w:bookmarkEnd w:id="67"/>
    </w:p>
    <w:p w14:paraId="43D952BE">
      <w:pPr>
        <w:pStyle w:val="12"/>
        <w:adjustRightInd w:val="0"/>
        <w:snapToGrid w:val="0"/>
        <w:spacing w:line="360" w:lineRule="auto"/>
        <w:ind w:firstLine="400" w:firstLineChars="200"/>
        <w:rPr>
          <w:rFonts w:hAnsi="宋体"/>
          <w:color w:val="auto"/>
          <w:kern w:val="2"/>
          <w:sz w:val="21"/>
          <w:highlight w:val="none"/>
        </w:rPr>
      </w:pPr>
      <w:r>
        <w:rPr>
          <w:rFonts w:hint="eastAsia" w:hAnsi="宋体"/>
          <w:color w:val="auto"/>
          <w:highlight w:val="none"/>
        </w:rPr>
        <w:t>3</w:t>
      </w:r>
      <w:r>
        <w:rPr>
          <w:rFonts w:hint="eastAsia" w:hAnsi="宋体"/>
          <w:color w:val="auto"/>
          <w:kern w:val="2"/>
          <w:sz w:val="21"/>
          <w:highlight w:val="none"/>
        </w:rPr>
        <w:t>9.1成交供应商确定后，采购人或采购代理机构将以书面形式向成交供应商发出成交通知书。成交通知书对采购人和成交供应商具有同等法律效力。</w:t>
      </w:r>
    </w:p>
    <w:p w14:paraId="093CB4B5">
      <w:pPr>
        <w:pStyle w:val="12"/>
        <w:adjustRightInd w:val="0"/>
        <w:snapToGrid w:val="0"/>
        <w:spacing w:line="360" w:lineRule="auto"/>
        <w:ind w:firstLine="420" w:firstLineChars="200"/>
        <w:outlineLvl w:val="3"/>
        <w:rPr>
          <w:rFonts w:hAnsi="宋体"/>
          <w:color w:val="auto"/>
          <w:kern w:val="2"/>
          <w:sz w:val="21"/>
          <w:highlight w:val="none"/>
        </w:rPr>
      </w:pPr>
      <w:r>
        <w:rPr>
          <w:rFonts w:hint="eastAsia" w:hAnsi="宋体"/>
          <w:color w:val="auto"/>
          <w:kern w:val="2"/>
          <w:sz w:val="21"/>
          <w:highlight w:val="none"/>
        </w:rPr>
        <w:t>39.2 成交通知书是合同文件的组成部分。</w:t>
      </w:r>
    </w:p>
    <w:p w14:paraId="2EB47375">
      <w:pPr>
        <w:tabs>
          <w:tab w:val="left" w:pos="7560"/>
          <w:tab w:val="left" w:pos="7740"/>
          <w:tab w:val="left" w:pos="7920"/>
        </w:tabs>
        <w:autoSpaceDN w:val="0"/>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39.3 成交供应商在收到采购代理机构的成交通知书后10日内，应按照</w:t>
      </w:r>
      <w:r>
        <w:rPr>
          <w:rFonts w:hint="eastAsia" w:ascii="宋体" w:hAnsi="宋体"/>
          <w:b/>
          <w:color w:val="auto"/>
          <w:szCs w:val="21"/>
          <w:highlight w:val="none"/>
        </w:rPr>
        <w:t>磋商须知前附表</w:t>
      </w:r>
      <w:r>
        <w:rPr>
          <w:rFonts w:hint="eastAsia" w:ascii="宋体" w:hAnsi="宋体"/>
          <w:color w:val="auto"/>
          <w:szCs w:val="21"/>
          <w:highlight w:val="none"/>
        </w:rPr>
        <w:t>的规定，向采购人提交履约担保。联合体成交的，履约担保由联合体各方或联合体中牵头人的名义提交。</w:t>
      </w:r>
    </w:p>
    <w:p w14:paraId="78FAD285">
      <w:pPr>
        <w:pStyle w:val="12"/>
        <w:adjustRightInd w:val="0"/>
        <w:snapToGrid w:val="0"/>
        <w:spacing w:line="360" w:lineRule="auto"/>
        <w:ind w:firstLine="420" w:firstLineChars="200"/>
        <w:rPr>
          <w:rFonts w:hAnsi="宋体"/>
          <w:color w:val="auto"/>
          <w:sz w:val="21"/>
          <w:highlight w:val="none"/>
        </w:rPr>
      </w:pPr>
      <w:r>
        <w:rPr>
          <w:rFonts w:hint="eastAsia" w:hAnsi="宋体"/>
          <w:color w:val="auto"/>
          <w:sz w:val="21"/>
          <w:highlight w:val="none"/>
        </w:rPr>
        <w:t>39.4 成交供应商</w:t>
      </w:r>
      <w:r>
        <w:rPr>
          <w:rFonts w:hint="eastAsia" w:hAnsi="宋体"/>
          <w:color w:val="auto"/>
          <w:spacing w:val="4"/>
          <w:sz w:val="21"/>
          <w:highlight w:val="none"/>
        </w:rPr>
        <w:t>没有按照本章第39.3</w:t>
      </w:r>
      <w:r>
        <w:rPr>
          <w:rFonts w:hint="eastAsia" w:hAnsi="宋体" w:cs="宋体"/>
          <w:color w:val="auto"/>
          <w:sz w:val="21"/>
          <w:highlight w:val="none"/>
          <w:lang w:val="zh-CN"/>
        </w:rPr>
        <w:t>款</w:t>
      </w:r>
      <w:r>
        <w:rPr>
          <w:rFonts w:hint="eastAsia" w:hAnsi="宋体"/>
          <w:color w:val="auto"/>
          <w:spacing w:val="4"/>
          <w:sz w:val="21"/>
          <w:highlight w:val="none"/>
        </w:rPr>
        <w:t>规定</w:t>
      </w:r>
      <w:r>
        <w:rPr>
          <w:rFonts w:hint="eastAsia" w:hAnsi="宋体"/>
          <w:color w:val="auto"/>
          <w:sz w:val="21"/>
          <w:highlight w:val="none"/>
        </w:rPr>
        <w:t>提交履约担保的</w:t>
      </w:r>
      <w:r>
        <w:rPr>
          <w:rFonts w:hint="eastAsia" w:hAnsi="宋体"/>
          <w:color w:val="auto"/>
          <w:spacing w:val="4"/>
          <w:sz w:val="21"/>
          <w:highlight w:val="none"/>
        </w:rPr>
        <w:t>，视为放弃</w:t>
      </w:r>
      <w:r>
        <w:rPr>
          <w:rFonts w:hint="eastAsia" w:hAnsi="宋体"/>
          <w:color w:val="auto"/>
          <w:sz w:val="21"/>
          <w:highlight w:val="none"/>
        </w:rPr>
        <w:t>成交资格</w:t>
      </w:r>
      <w:r>
        <w:rPr>
          <w:rFonts w:hint="eastAsia" w:hAnsi="宋体"/>
          <w:color w:val="auto"/>
          <w:spacing w:val="4"/>
          <w:sz w:val="21"/>
          <w:highlight w:val="none"/>
        </w:rPr>
        <w:t>，</w:t>
      </w:r>
      <w:r>
        <w:rPr>
          <w:rFonts w:hint="eastAsia" w:hAnsi="宋体"/>
          <w:color w:val="auto"/>
          <w:spacing w:val="2"/>
          <w:sz w:val="21"/>
          <w:highlight w:val="none"/>
        </w:rPr>
        <w:t>其保证金不予退还。</w:t>
      </w:r>
    </w:p>
    <w:p w14:paraId="143B1A77">
      <w:pPr>
        <w:adjustRightInd w:val="0"/>
        <w:snapToGrid w:val="0"/>
        <w:spacing w:line="360" w:lineRule="auto"/>
        <w:outlineLvl w:val="2"/>
        <w:rPr>
          <w:rFonts w:ascii="宋体" w:hAnsi="宋体"/>
          <w:b/>
          <w:bCs/>
          <w:color w:val="auto"/>
          <w:szCs w:val="21"/>
          <w:highlight w:val="none"/>
        </w:rPr>
      </w:pPr>
      <w:bookmarkStart w:id="68" w:name="_Toc954510195"/>
      <w:r>
        <w:rPr>
          <w:rFonts w:hint="eastAsia" w:ascii="宋体" w:hAnsi="宋体"/>
          <w:b/>
          <w:bCs/>
          <w:color w:val="auto"/>
          <w:szCs w:val="21"/>
          <w:highlight w:val="none"/>
        </w:rPr>
        <w:t>40.签订合同</w:t>
      </w:r>
      <w:bookmarkEnd w:id="68"/>
    </w:p>
    <w:p w14:paraId="3E695D9A">
      <w:pPr>
        <w:pStyle w:val="12"/>
        <w:adjustRightInd w:val="0"/>
        <w:snapToGrid w:val="0"/>
        <w:spacing w:line="360" w:lineRule="auto"/>
        <w:ind w:firstLine="420" w:firstLineChars="200"/>
        <w:rPr>
          <w:rFonts w:hAnsi="宋体"/>
          <w:color w:val="auto"/>
          <w:sz w:val="21"/>
          <w:highlight w:val="none"/>
        </w:rPr>
      </w:pPr>
      <w:r>
        <w:rPr>
          <w:rFonts w:hint="eastAsia" w:hAnsi="宋体"/>
          <w:color w:val="auto"/>
          <w:sz w:val="21"/>
          <w:highlight w:val="none"/>
        </w:rPr>
        <w:t>40.1成交供应商应当在成交通知书发出之日起30日内与采购人签订政府采购合同。</w:t>
      </w:r>
    </w:p>
    <w:p w14:paraId="41B37FD1">
      <w:pPr>
        <w:pStyle w:val="12"/>
        <w:adjustRightInd w:val="0"/>
        <w:snapToGrid w:val="0"/>
        <w:spacing w:line="360" w:lineRule="auto"/>
        <w:ind w:firstLine="420" w:firstLineChars="200"/>
        <w:rPr>
          <w:rFonts w:hAnsi="宋体"/>
          <w:color w:val="auto"/>
          <w:sz w:val="21"/>
          <w:highlight w:val="none"/>
        </w:rPr>
      </w:pPr>
      <w:r>
        <w:rPr>
          <w:rFonts w:hint="eastAsia" w:hAnsi="宋体"/>
          <w:color w:val="auto"/>
          <w:sz w:val="21"/>
          <w:highlight w:val="none"/>
        </w:rPr>
        <w:t>40.2磋商文件、成交供应商的响应文件等均为签订政府采购合同的依据。</w:t>
      </w:r>
    </w:p>
    <w:p w14:paraId="28E15A46">
      <w:pPr>
        <w:pStyle w:val="12"/>
        <w:adjustRightInd w:val="0"/>
        <w:snapToGrid w:val="0"/>
        <w:spacing w:line="360" w:lineRule="auto"/>
        <w:ind w:firstLine="420" w:firstLineChars="200"/>
        <w:rPr>
          <w:rFonts w:hAnsi="宋体"/>
          <w:color w:val="auto"/>
          <w:sz w:val="21"/>
          <w:highlight w:val="none"/>
        </w:rPr>
      </w:pPr>
      <w:r>
        <w:rPr>
          <w:rFonts w:hint="eastAsia" w:hAnsi="宋体"/>
          <w:color w:val="auto"/>
          <w:sz w:val="21"/>
          <w:highlight w:val="none"/>
        </w:rPr>
        <w:t>40.3 成交供应商应当按照合同约定履行义务。成交供应商不得向他人转让成交项目，也不得将成交项目分包后分别向他人转让。</w:t>
      </w:r>
    </w:p>
    <w:p w14:paraId="2616B117">
      <w:pPr>
        <w:pStyle w:val="12"/>
        <w:adjustRightInd w:val="0"/>
        <w:snapToGrid w:val="0"/>
        <w:spacing w:line="360" w:lineRule="auto"/>
        <w:ind w:firstLine="420" w:firstLineChars="200"/>
        <w:rPr>
          <w:rFonts w:hAnsi="宋体"/>
          <w:color w:val="auto"/>
          <w:sz w:val="21"/>
          <w:highlight w:val="none"/>
        </w:rPr>
      </w:pPr>
      <w:r>
        <w:rPr>
          <w:rFonts w:hint="eastAsia" w:hAnsi="宋体"/>
          <w:color w:val="auto"/>
          <w:sz w:val="21"/>
          <w:highlight w:val="none"/>
        </w:rPr>
        <w:t>40.4 成交供应商有下列情形之一的，责令限期改正，情节严重的，列入不良行为记录名单，在1至3年内禁止参加政府采购活动，并予以通报：</w:t>
      </w:r>
    </w:p>
    <w:p w14:paraId="119162D0">
      <w:pPr>
        <w:pStyle w:val="12"/>
        <w:adjustRightInd w:val="0"/>
        <w:snapToGrid w:val="0"/>
        <w:spacing w:line="360" w:lineRule="auto"/>
        <w:ind w:firstLine="420" w:firstLineChars="200"/>
        <w:outlineLvl w:val="3"/>
        <w:rPr>
          <w:rFonts w:hAnsi="宋体"/>
          <w:color w:val="auto"/>
          <w:sz w:val="21"/>
          <w:highlight w:val="none"/>
        </w:rPr>
      </w:pPr>
      <w:r>
        <w:rPr>
          <w:rFonts w:hint="eastAsia" w:hAnsi="宋体"/>
          <w:color w:val="auto"/>
          <w:sz w:val="21"/>
          <w:highlight w:val="none"/>
        </w:rPr>
        <w:t>（一）成交后无正当理由不与采购人签订合同的；</w:t>
      </w:r>
    </w:p>
    <w:p w14:paraId="4AC92868">
      <w:pPr>
        <w:pStyle w:val="12"/>
        <w:adjustRightInd w:val="0"/>
        <w:snapToGrid w:val="0"/>
        <w:spacing w:line="360" w:lineRule="auto"/>
        <w:ind w:firstLine="420" w:firstLineChars="200"/>
        <w:rPr>
          <w:rFonts w:hAnsi="宋体"/>
          <w:color w:val="auto"/>
          <w:sz w:val="21"/>
          <w:highlight w:val="none"/>
        </w:rPr>
      </w:pPr>
      <w:r>
        <w:rPr>
          <w:rFonts w:hint="eastAsia" w:hAnsi="宋体"/>
          <w:color w:val="auto"/>
          <w:sz w:val="21"/>
          <w:highlight w:val="none"/>
        </w:rPr>
        <w:t>（二）未按照采购文件确定的事项签订政府采购合同，或者与采购人另行订立背离合同实质性内容的协议的；</w:t>
      </w:r>
    </w:p>
    <w:p w14:paraId="57DAB1A7">
      <w:pPr>
        <w:pStyle w:val="12"/>
        <w:adjustRightInd w:val="0"/>
        <w:snapToGrid w:val="0"/>
        <w:spacing w:line="360" w:lineRule="auto"/>
        <w:ind w:firstLine="420" w:firstLineChars="200"/>
        <w:rPr>
          <w:rFonts w:hAnsi="宋体"/>
          <w:color w:val="auto"/>
          <w:sz w:val="21"/>
          <w:highlight w:val="none"/>
        </w:rPr>
      </w:pPr>
      <w:r>
        <w:rPr>
          <w:rFonts w:hint="eastAsia" w:hAnsi="宋体"/>
          <w:color w:val="auto"/>
          <w:sz w:val="21"/>
          <w:highlight w:val="none"/>
        </w:rPr>
        <w:t>（三）拒绝履行合同义务的；</w:t>
      </w:r>
    </w:p>
    <w:p w14:paraId="538F0FA2">
      <w:pPr>
        <w:pStyle w:val="12"/>
        <w:adjustRightInd w:val="0"/>
        <w:snapToGrid w:val="0"/>
        <w:spacing w:line="360" w:lineRule="auto"/>
        <w:ind w:firstLine="420" w:firstLineChars="200"/>
        <w:rPr>
          <w:rFonts w:hAnsi="宋体" w:cs="宋体"/>
          <w:color w:val="auto"/>
          <w:highlight w:val="none"/>
        </w:rPr>
      </w:pPr>
      <w:r>
        <w:rPr>
          <w:rFonts w:hint="eastAsia" w:hAnsi="宋体"/>
          <w:color w:val="auto"/>
          <w:sz w:val="21"/>
          <w:highlight w:val="none"/>
        </w:rPr>
        <w:t>（四）</w:t>
      </w:r>
      <w:r>
        <w:rPr>
          <w:rFonts w:hint="eastAsia" w:hAnsi="宋体" w:cs="宋体"/>
          <w:color w:val="auto"/>
          <w:sz w:val="21"/>
          <w:highlight w:val="none"/>
        </w:rPr>
        <w:t>违反法律、规章、规范性文件规定的</w:t>
      </w:r>
      <w:r>
        <w:rPr>
          <w:rFonts w:hint="eastAsia" w:hAnsi="宋体" w:cs="宋体"/>
          <w:color w:val="auto"/>
          <w:highlight w:val="none"/>
        </w:rPr>
        <w:t>。</w:t>
      </w:r>
    </w:p>
    <w:p w14:paraId="57C62A33">
      <w:pPr>
        <w:adjustRightInd w:val="0"/>
        <w:snapToGrid w:val="0"/>
        <w:spacing w:line="360" w:lineRule="auto"/>
        <w:outlineLvl w:val="1"/>
        <w:rPr>
          <w:rFonts w:ascii="黑体" w:hAnsi="宋体" w:eastAsia="黑体"/>
          <w:color w:val="auto"/>
          <w:sz w:val="24"/>
          <w:highlight w:val="none"/>
        </w:rPr>
      </w:pPr>
      <w:bookmarkStart w:id="69" w:name="_Toc750004275"/>
      <w:r>
        <w:rPr>
          <w:rFonts w:hint="eastAsia" w:ascii="黑体" w:hAnsi="宋体" w:eastAsia="黑体"/>
          <w:color w:val="auto"/>
          <w:sz w:val="24"/>
          <w:highlight w:val="none"/>
        </w:rPr>
        <w:t>七、其他规定</w:t>
      </w:r>
      <w:bookmarkEnd w:id="69"/>
    </w:p>
    <w:p w14:paraId="668FB3AE">
      <w:pPr>
        <w:adjustRightInd w:val="0"/>
        <w:snapToGrid w:val="0"/>
        <w:spacing w:line="360" w:lineRule="auto"/>
        <w:jc w:val="left"/>
        <w:outlineLvl w:val="2"/>
        <w:rPr>
          <w:rFonts w:ascii="宋体" w:hAnsi="宋体"/>
          <w:b/>
          <w:color w:val="auto"/>
          <w:szCs w:val="21"/>
          <w:highlight w:val="none"/>
        </w:rPr>
      </w:pPr>
      <w:bookmarkStart w:id="70" w:name="_Toc1740325682"/>
      <w:r>
        <w:rPr>
          <w:rFonts w:hint="eastAsia" w:ascii="宋体" w:hAnsi="宋体"/>
          <w:b/>
          <w:color w:val="auto"/>
          <w:szCs w:val="21"/>
          <w:highlight w:val="none"/>
        </w:rPr>
        <w:t>41.1采购代理服务费</w:t>
      </w:r>
      <w:bookmarkEnd w:id="70"/>
    </w:p>
    <w:p w14:paraId="70668D3D">
      <w:pPr>
        <w:tabs>
          <w:tab w:val="left" w:pos="420"/>
          <w:tab w:val="left" w:pos="7560"/>
          <w:tab w:val="left" w:pos="7740"/>
          <w:tab w:val="left" w:pos="7920"/>
        </w:tabs>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41.1采购代理机构应按</w:t>
      </w:r>
      <w:r>
        <w:rPr>
          <w:rFonts w:hint="eastAsia" w:ascii="宋体" w:hAnsi="宋体"/>
          <w:b/>
          <w:color w:val="auto"/>
          <w:szCs w:val="21"/>
          <w:highlight w:val="none"/>
        </w:rPr>
        <w:t>磋商须知前附表</w:t>
      </w:r>
      <w:r>
        <w:rPr>
          <w:rFonts w:hint="eastAsia" w:ascii="宋体" w:hAnsi="宋体"/>
          <w:color w:val="auto"/>
          <w:szCs w:val="21"/>
          <w:highlight w:val="none"/>
        </w:rPr>
        <w:t>规定收取采购代理服务费。</w:t>
      </w:r>
    </w:p>
    <w:p w14:paraId="2BBD8221">
      <w:pPr>
        <w:tabs>
          <w:tab w:val="left" w:pos="420"/>
          <w:tab w:val="left" w:pos="7560"/>
          <w:tab w:val="left" w:pos="7740"/>
          <w:tab w:val="left" w:pos="7920"/>
        </w:tabs>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41.2集中采购机构不得收取采购代理服务费。</w:t>
      </w:r>
    </w:p>
    <w:p w14:paraId="746D3147">
      <w:pPr>
        <w:tabs>
          <w:tab w:val="left" w:pos="420"/>
          <w:tab w:val="left" w:pos="7560"/>
          <w:tab w:val="left" w:pos="7740"/>
          <w:tab w:val="left" w:pos="7920"/>
        </w:tabs>
        <w:adjustRightInd w:val="0"/>
        <w:snapToGrid w:val="0"/>
        <w:spacing w:line="360" w:lineRule="auto"/>
        <w:outlineLvl w:val="2"/>
        <w:rPr>
          <w:rFonts w:hAnsi="宋体"/>
          <w:b/>
          <w:color w:val="auto"/>
          <w:szCs w:val="21"/>
          <w:highlight w:val="none"/>
        </w:rPr>
      </w:pPr>
      <w:bookmarkStart w:id="71" w:name="_Toc926465234"/>
      <w:r>
        <w:rPr>
          <w:rFonts w:hint="eastAsia" w:ascii="宋体" w:hAnsi="宋体"/>
          <w:b/>
          <w:color w:val="auto"/>
          <w:szCs w:val="21"/>
          <w:highlight w:val="none"/>
        </w:rPr>
        <w:t>42.</w:t>
      </w:r>
      <w:r>
        <w:rPr>
          <w:rFonts w:hint="eastAsia" w:hAnsi="宋体"/>
          <w:b/>
          <w:color w:val="auto"/>
          <w:szCs w:val="21"/>
          <w:highlight w:val="none"/>
        </w:rPr>
        <w:t xml:space="preserve"> 其他规定</w:t>
      </w:r>
      <w:bookmarkEnd w:id="71"/>
    </w:p>
    <w:p w14:paraId="06CA4A83">
      <w:pPr>
        <w:tabs>
          <w:tab w:val="left" w:pos="420"/>
          <w:tab w:val="left" w:pos="7560"/>
          <w:tab w:val="left" w:pos="7740"/>
          <w:tab w:val="left" w:pos="7920"/>
        </w:tabs>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42.1磋商文件</w:t>
      </w:r>
      <w:r>
        <w:rPr>
          <w:rFonts w:hint="eastAsia" w:hAnsi="宋体"/>
          <w:color w:val="auto"/>
          <w:szCs w:val="21"/>
          <w:highlight w:val="none"/>
        </w:rPr>
        <w:t>的其他规定</w:t>
      </w:r>
      <w:r>
        <w:rPr>
          <w:rFonts w:hint="eastAsia" w:ascii="宋体" w:hAnsi="宋体"/>
          <w:color w:val="auto"/>
          <w:szCs w:val="21"/>
          <w:highlight w:val="none"/>
        </w:rPr>
        <w:t>见</w:t>
      </w:r>
      <w:r>
        <w:rPr>
          <w:rFonts w:hint="eastAsia" w:ascii="宋体" w:hAnsi="宋体"/>
          <w:b/>
          <w:color w:val="auto"/>
          <w:szCs w:val="21"/>
          <w:highlight w:val="none"/>
        </w:rPr>
        <w:t>磋商须知前附表</w:t>
      </w:r>
      <w:r>
        <w:rPr>
          <w:rFonts w:hint="eastAsia" w:ascii="宋体" w:hAnsi="宋体"/>
          <w:color w:val="auto"/>
          <w:szCs w:val="21"/>
          <w:highlight w:val="none"/>
        </w:rPr>
        <w:t>。</w:t>
      </w:r>
    </w:p>
    <w:p w14:paraId="13B192ED">
      <w:pPr>
        <w:rPr>
          <w:rFonts w:ascii="宋体" w:hAnsi="宋体"/>
          <w:color w:val="auto"/>
          <w:szCs w:val="21"/>
          <w:highlight w:val="none"/>
        </w:rPr>
      </w:pPr>
      <w:r>
        <w:rPr>
          <w:rFonts w:hint="eastAsia" w:ascii="宋体" w:hAnsi="宋体"/>
          <w:color w:val="auto"/>
          <w:szCs w:val="21"/>
          <w:highlight w:val="none"/>
        </w:rPr>
        <w:br w:type="page"/>
      </w:r>
    </w:p>
    <w:p w14:paraId="4479D599">
      <w:pPr>
        <w:adjustRightInd w:val="0"/>
        <w:snapToGrid w:val="0"/>
        <w:spacing w:beforeLines="50" w:line="360" w:lineRule="auto"/>
        <w:ind w:left="420" w:leftChars="200"/>
        <w:jc w:val="center"/>
        <w:outlineLvl w:val="0"/>
        <w:rPr>
          <w:rFonts w:ascii="黑体" w:hAnsi="华文中宋" w:eastAsia="黑体"/>
          <w:b/>
          <w:bCs/>
          <w:color w:val="auto"/>
          <w:sz w:val="32"/>
          <w:szCs w:val="32"/>
          <w:highlight w:val="none"/>
        </w:rPr>
      </w:pPr>
      <w:bookmarkStart w:id="72" w:name="_Toc1844747088"/>
      <w:r>
        <w:rPr>
          <w:rFonts w:hint="eastAsia" w:ascii="黑体" w:eastAsia="黑体"/>
          <w:b/>
          <w:color w:val="auto"/>
          <w:sz w:val="32"/>
          <w:szCs w:val="32"/>
          <w:highlight w:val="none"/>
        </w:rPr>
        <w:t xml:space="preserve">第三章  </w:t>
      </w:r>
      <w:r>
        <w:rPr>
          <w:rFonts w:hint="eastAsia" w:ascii="黑体" w:hAnsi="华文中宋" w:eastAsia="黑体"/>
          <w:b/>
          <w:bCs/>
          <w:color w:val="auto"/>
          <w:sz w:val="32"/>
          <w:szCs w:val="32"/>
          <w:highlight w:val="none"/>
        </w:rPr>
        <w:t>政府采购合同格式</w:t>
      </w:r>
      <w:bookmarkEnd w:id="72"/>
    </w:p>
    <w:p w14:paraId="08E5D31F">
      <w:pPr>
        <w:adjustRightInd w:val="0"/>
        <w:snapToGrid w:val="0"/>
        <w:spacing w:line="360" w:lineRule="auto"/>
        <w:outlineLvl w:val="1"/>
        <w:rPr>
          <w:rFonts w:ascii="宋体" w:hAnsi="宋体"/>
          <w:color w:val="auto"/>
          <w:szCs w:val="21"/>
          <w:highlight w:val="none"/>
        </w:rPr>
      </w:pPr>
      <w:bookmarkStart w:id="73" w:name="_Toc1442896277"/>
      <w:r>
        <w:rPr>
          <w:rFonts w:hint="eastAsia" w:ascii="黑体" w:hAnsi="宋体" w:eastAsia="黑体"/>
          <w:b/>
          <w:bCs/>
          <w:color w:val="auto"/>
          <w:sz w:val="24"/>
          <w:highlight w:val="none"/>
        </w:rPr>
        <w:t>一、政府采购合同协议书</w:t>
      </w:r>
      <w:bookmarkEnd w:id="73"/>
    </w:p>
    <w:p w14:paraId="514129AE">
      <w:pPr>
        <w:pStyle w:val="28"/>
        <w:adjustRightInd w:val="0"/>
        <w:snapToGrid w:val="0"/>
        <w:spacing w:beforeLines="50" w:line="360" w:lineRule="auto"/>
        <w:ind w:firstLine="5460" w:firstLineChars="2600"/>
        <w:rPr>
          <w:rFonts w:ascii="宋体" w:hAnsi="宋体"/>
          <w:b/>
          <w:color w:val="auto"/>
          <w:szCs w:val="21"/>
          <w:highlight w:val="none"/>
        </w:rPr>
      </w:pPr>
      <w:r>
        <w:rPr>
          <w:rFonts w:hint="eastAsia" w:ascii="宋体" w:hAnsi="宋体"/>
          <w:color w:val="auto"/>
          <w:szCs w:val="21"/>
          <w:highlight w:val="none"/>
        </w:rPr>
        <w:t>采购合同编号：</w:t>
      </w:r>
    </w:p>
    <w:p w14:paraId="673194D8">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lang w:val="en-US" w:eastAsia="zh-CN"/>
        </w:rPr>
        <w:t>甲方</w:t>
      </w:r>
      <w:r>
        <w:rPr>
          <w:rFonts w:hint="eastAsia" w:ascii="宋体" w:hAnsi="宋体"/>
          <w:color w:val="auto"/>
          <w:szCs w:val="21"/>
          <w:highlight w:val="none"/>
        </w:rPr>
        <w:t>（全称）：</w:t>
      </w:r>
      <w:r>
        <w:rPr>
          <w:rFonts w:hint="eastAsia" w:ascii="宋体" w:hAnsi="宋体"/>
          <w:color w:val="auto"/>
          <w:szCs w:val="21"/>
          <w:highlight w:val="none"/>
          <w:u w:val="single"/>
        </w:rPr>
        <w:t xml:space="preserve">                             </w:t>
      </w:r>
      <w:r>
        <w:rPr>
          <w:rFonts w:hint="eastAsia" w:ascii="宋体" w:hAnsi="宋体"/>
          <w:color w:val="auto"/>
          <w:szCs w:val="21"/>
          <w:highlight w:val="none"/>
        </w:rPr>
        <w:t>（甲方）</w:t>
      </w:r>
    </w:p>
    <w:p w14:paraId="0E5F1BB7">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lang w:val="en-US" w:eastAsia="zh-CN"/>
        </w:rPr>
        <w:t>乙方</w:t>
      </w:r>
      <w:r>
        <w:rPr>
          <w:rFonts w:hint="eastAsia" w:ascii="宋体" w:hAnsi="宋体"/>
          <w:color w:val="auto"/>
          <w:szCs w:val="21"/>
          <w:highlight w:val="none"/>
        </w:rPr>
        <w:t>（全称）：</w:t>
      </w:r>
      <w:r>
        <w:rPr>
          <w:rFonts w:hint="eastAsia" w:ascii="宋体" w:hAnsi="宋体"/>
          <w:color w:val="auto"/>
          <w:szCs w:val="21"/>
          <w:highlight w:val="none"/>
          <w:u w:val="single"/>
        </w:rPr>
        <w:t xml:space="preserve">                             </w:t>
      </w:r>
      <w:r>
        <w:rPr>
          <w:rFonts w:hint="eastAsia" w:ascii="宋体" w:hAnsi="宋体"/>
          <w:color w:val="auto"/>
          <w:szCs w:val="21"/>
          <w:highlight w:val="none"/>
        </w:rPr>
        <w:t>（乙方）</w:t>
      </w:r>
    </w:p>
    <w:p w14:paraId="440B8382">
      <w:pPr>
        <w:pStyle w:val="8"/>
        <w:adjustRightInd w:val="0"/>
        <w:snapToGrid w:val="0"/>
        <w:spacing w:after="0" w:line="360" w:lineRule="auto"/>
        <w:rPr>
          <w:rFonts w:hint="eastAsia" w:ascii="宋体" w:hAnsi="宋体"/>
          <w:color w:val="auto"/>
          <w:szCs w:val="21"/>
          <w:highlight w:val="none"/>
        </w:rPr>
      </w:pPr>
    </w:p>
    <w:p w14:paraId="03F64D90">
      <w:pPr>
        <w:pStyle w:val="8"/>
        <w:adjustRightInd w:val="0"/>
        <w:snapToGrid w:val="0"/>
        <w:spacing w:after="0" w:line="360" w:lineRule="auto"/>
        <w:ind w:left="0" w:leftChars="0" w:firstLine="420" w:firstLineChars="200"/>
        <w:rPr>
          <w:rFonts w:hint="eastAsia" w:ascii="宋体" w:hAnsi="宋体"/>
          <w:color w:val="auto"/>
          <w:szCs w:val="21"/>
          <w:highlight w:val="none"/>
        </w:rPr>
      </w:pPr>
      <w:r>
        <w:rPr>
          <w:rFonts w:hint="eastAsia" w:ascii="宋体" w:hAnsi="宋体"/>
          <w:color w:val="auto"/>
          <w:szCs w:val="21"/>
          <w:highlight w:val="none"/>
        </w:rPr>
        <w:t>为了保护甲、乙双方合法权益，根据《中华人民共和国</w:t>
      </w:r>
      <w:r>
        <w:rPr>
          <w:rFonts w:hint="eastAsia" w:ascii="宋体" w:hAnsi="宋体"/>
          <w:color w:val="auto"/>
          <w:szCs w:val="21"/>
          <w:highlight w:val="none"/>
          <w:lang w:val="en-US" w:eastAsia="zh-CN"/>
        </w:rPr>
        <w:t>民法典</w:t>
      </w:r>
      <w:r>
        <w:rPr>
          <w:rFonts w:hint="eastAsia" w:ascii="宋体" w:hAnsi="宋体"/>
          <w:color w:val="auto"/>
          <w:szCs w:val="21"/>
          <w:highlight w:val="none"/>
        </w:rPr>
        <w:t>》、《中华人民共和国政府采购法》及其他有关法律、法规、规章，双方签订本合同协议书。</w:t>
      </w:r>
    </w:p>
    <w:p w14:paraId="3ED691D4">
      <w:pPr>
        <w:adjustRightInd w:val="0"/>
        <w:snapToGrid w:val="0"/>
        <w:spacing w:line="360" w:lineRule="auto"/>
        <w:ind w:firstLine="422" w:firstLineChars="200"/>
        <w:outlineLvl w:val="1"/>
        <w:rPr>
          <w:rFonts w:hint="eastAsia" w:ascii="宋体" w:hAnsi="宋体"/>
          <w:b/>
          <w:color w:val="auto"/>
          <w:szCs w:val="21"/>
          <w:highlight w:val="none"/>
        </w:rPr>
      </w:pPr>
      <w:bookmarkStart w:id="74" w:name="_Toc1372385615"/>
      <w:r>
        <w:rPr>
          <w:rFonts w:hint="eastAsia" w:ascii="宋体" w:hAnsi="宋体"/>
          <w:b/>
          <w:color w:val="auto"/>
          <w:szCs w:val="21"/>
          <w:highlight w:val="none"/>
        </w:rPr>
        <w:t>1.项目信息</w:t>
      </w:r>
      <w:bookmarkEnd w:id="74"/>
    </w:p>
    <w:p w14:paraId="38FE3929">
      <w:pPr>
        <w:pStyle w:val="8"/>
        <w:adjustRightInd w:val="0"/>
        <w:snapToGrid w:val="0"/>
        <w:spacing w:after="0" w:line="360" w:lineRule="auto"/>
        <w:rPr>
          <w:rFonts w:hint="eastAsia" w:ascii="宋体" w:hAnsi="宋体"/>
          <w:color w:val="auto"/>
          <w:szCs w:val="21"/>
          <w:highlight w:val="none"/>
        </w:rPr>
      </w:pPr>
      <w:r>
        <w:rPr>
          <w:rFonts w:hint="eastAsia" w:ascii="宋体" w:hAnsi="宋体"/>
          <w:color w:val="auto"/>
          <w:szCs w:val="21"/>
          <w:highlight w:val="none"/>
        </w:rPr>
        <w:t>（1）采购项目名称：</w:t>
      </w:r>
      <w:r>
        <w:rPr>
          <w:rFonts w:ascii="宋体" w:hAnsi="宋体"/>
          <w:color w:val="auto"/>
          <w:szCs w:val="21"/>
          <w:highlight w:val="none"/>
          <w:u w:val="single"/>
        </w:rPr>
        <w:t xml:space="preserve">                          </w:t>
      </w:r>
    </w:p>
    <w:p w14:paraId="4E405741">
      <w:pPr>
        <w:pStyle w:val="8"/>
        <w:adjustRightInd w:val="0"/>
        <w:snapToGrid w:val="0"/>
        <w:spacing w:after="0" w:line="360" w:lineRule="auto"/>
        <w:rPr>
          <w:rFonts w:hint="eastAsia" w:ascii="宋体" w:hAnsi="宋体"/>
          <w:color w:val="auto"/>
          <w:szCs w:val="21"/>
          <w:highlight w:val="none"/>
        </w:rPr>
      </w:pPr>
      <w:r>
        <w:rPr>
          <w:rFonts w:hint="eastAsia" w:ascii="宋体" w:hAnsi="宋体"/>
          <w:color w:val="auto"/>
          <w:szCs w:val="21"/>
          <w:highlight w:val="none"/>
        </w:rPr>
        <w:t>（2）采购计划编号：</w:t>
      </w:r>
      <w:r>
        <w:rPr>
          <w:rFonts w:ascii="宋体" w:hAnsi="宋体"/>
          <w:color w:val="auto"/>
          <w:szCs w:val="21"/>
          <w:highlight w:val="none"/>
          <w:u w:val="single"/>
        </w:rPr>
        <w:t xml:space="preserve">                          </w:t>
      </w:r>
      <w:r>
        <w:rPr>
          <w:rFonts w:ascii="宋体" w:hAnsi="宋体"/>
          <w:color w:val="auto"/>
          <w:szCs w:val="21"/>
          <w:highlight w:val="none"/>
        </w:rPr>
        <w:t xml:space="preserve"> </w:t>
      </w:r>
    </w:p>
    <w:p w14:paraId="15098ADE">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（3）项目内容：</w:t>
      </w:r>
      <w:r>
        <w:rPr>
          <w:rFonts w:hint="eastAsia" w:ascii="宋体" w:hAnsi="宋体"/>
          <w:color w:val="auto"/>
          <w:szCs w:val="21"/>
          <w:highlight w:val="none"/>
          <w:u w:val="single"/>
        </w:rPr>
        <w:t xml:space="preserve">                             </w:t>
      </w:r>
    </w:p>
    <w:p w14:paraId="078FC97A">
      <w:pPr>
        <w:adjustRightInd w:val="0"/>
        <w:snapToGrid w:val="0"/>
        <w:spacing w:line="360" w:lineRule="auto"/>
        <w:ind w:firstLine="413" w:firstLineChars="196"/>
        <w:outlineLvl w:val="1"/>
        <w:rPr>
          <w:rFonts w:hint="eastAsia" w:ascii="宋体" w:hAnsi="宋体"/>
          <w:b/>
          <w:color w:val="auto"/>
          <w:szCs w:val="21"/>
          <w:highlight w:val="none"/>
        </w:rPr>
      </w:pPr>
      <w:bookmarkStart w:id="75" w:name="_Toc1710662525"/>
      <w:r>
        <w:rPr>
          <w:rFonts w:hint="eastAsia" w:ascii="宋体" w:hAnsi="宋体"/>
          <w:b/>
          <w:color w:val="auto"/>
          <w:szCs w:val="21"/>
          <w:highlight w:val="none"/>
        </w:rPr>
        <w:t>2.合同金额</w:t>
      </w:r>
      <w:bookmarkEnd w:id="75"/>
    </w:p>
    <w:p w14:paraId="044A45C8">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（1）合同金额小写：</w:t>
      </w:r>
      <w:r>
        <w:rPr>
          <w:rFonts w:hint="eastAsia" w:ascii="宋体" w:hAnsi="宋体"/>
          <w:color w:val="auto"/>
          <w:szCs w:val="21"/>
          <w:highlight w:val="none"/>
          <w:u w:val="single"/>
        </w:rPr>
        <w:t xml:space="preserve">                      </w:t>
      </w:r>
    </w:p>
    <w:p w14:paraId="2FB70B65">
      <w:pPr>
        <w:adjustRightInd w:val="0"/>
        <w:snapToGrid w:val="0"/>
        <w:spacing w:line="360" w:lineRule="auto"/>
        <w:ind w:firstLine="1260" w:firstLineChars="600"/>
        <w:rPr>
          <w:rFonts w:hint="eastAsia" w:ascii="宋体" w:hAnsi="宋体"/>
          <w:b/>
          <w:color w:val="auto"/>
          <w:szCs w:val="21"/>
          <w:highlight w:val="none"/>
        </w:rPr>
      </w:pPr>
      <w:r>
        <w:rPr>
          <w:rFonts w:hint="eastAsia" w:ascii="宋体" w:hAnsi="宋体"/>
          <w:color w:val="auto"/>
          <w:szCs w:val="21"/>
          <w:highlight w:val="none"/>
        </w:rPr>
        <w:t>大写：</w:t>
      </w:r>
      <w:r>
        <w:rPr>
          <w:rFonts w:hint="eastAsia" w:ascii="宋体" w:hAnsi="宋体"/>
          <w:color w:val="auto"/>
          <w:szCs w:val="21"/>
          <w:highlight w:val="none"/>
          <w:u w:val="single"/>
        </w:rPr>
        <w:t xml:space="preserve">                      </w:t>
      </w:r>
    </w:p>
    <w:p w14:paraId="3F1670D3">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（2）具体标的见附件。</w:t>
      </w:r>
    </w:p>
    <w:p w14:paraId="2C3C87E6">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（3）合同价格形式：</w:t>
      </w:r>
      <w:r>
        <w:rPr>
          <w:rFonts w:hint="eastAsia" w:ascii="宋体" w:hAnsi="宋体"/>
          <w:color w:val="auto"/>
          <w:szCs w:val="21"/>
          <w:highlight w:val="none"/>
          <w:u w:val="single"/>
          <w:lang w:val="en-US" w:eastAsia="zh-CN"/>
        </w:rPr>
        <w:t xml:space="preserve"> </w:t>
      </w:r>
      <w:r>
        <w:rPr>
          <w:rStyle w:val="23"/>
          <w:rFonts w:hint="eastAsia" w:ascii="宋体" w:hAnsi="宋体" w:eastAsia="宋体" w:cs="Times New Roman"/>
          <w:kern w:val="2"/>
          <w:sz w:val="21"/>
          <w:szCs w:val="21"/>
          <w:u w:val="single"/>
          <w:lang w:val="en-US" w:eastAsia="zh-CN" w:bidi="ar-SA"/>
        </w:rPr>
        <w:t>固定总价合同（含税）</w:t>
      </w:r>
      <w:r>
        <w:rPr>
          <w:rFonts w:hint="eastAsia" w:ascii="宋体" w:hAnsi="宋体"/>
          <w:color w:val="auto"/>
          <w:szCs w:val="21"/>
          <w:highlight w:val="none"/>
        </w:rPr>
        <w:t>。</w:t>
      </w:r>
    </w:p>
    <w:p w14:paraId="2EE7F7D5">
      <w:pPr>
        <w:adjustRightInd w:val="0"/>
        <w:snapToGrid w:val="0"/>
        <w:spacing w:line="360" w:lineRule="auto"/>
        <w:ind w:firstLine="422" w:firstLineChars="200"/>
        <w:outlineLvl w:val="1"/>
        <w:rPr>
          <w:rFonts w:hint="eastAsia" w:ascii="宋体" w:hAnsi="宋体"/>
          <w:color w:val="auto"/>
          <w:szCs w:val="21"/>
          <w:highlight w:val="none"/>
          <w:u w:val="single"/>
        </w:rPr>
      </w:pPr>
      <w:bookmarkStart w:id="76" w:name="_Toc593991639"/>
      <w:r>
        <w:rPr>
          <w:rFonts w:hint="eastAsia" w:ascii="宋体" w:hAnsi="宋体"/>
          <w:b/>
          <w:color w:val="auto"/>
          <w:szCs w:val="21"/>
          <w:highlight w:val="none"/>
        </w:rPr>
        <w:t>3.履行合同的时间、地点及方式</w:t>
      </w:r>
      <w:bookmarkEnd w:id="76"/>
      <w:r>
        <w:rPr>
          <w:rFonts w:hint="eastAsia" w:ascii="宋体" w:hAnsi="宋体"/>
          <w:color w:val="auto"/>
          <w:szCs w:val="21"/>
          <w:highlight w:val="none"/>
          <w:u w:val="single"/>
        </w:rPr>
        <w:t xml:space="preserve"> </w:t>
      </w:r>
    </w:p>
    <w:p w14:paraId="174FFC97">
      <w:pPr>
        <w:adjustRightInd w:val="0"/>
        <w:snapToGrid w:val="0"/>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起始日期：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日，完成日期：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日。总日历天数：</w:t>
      </w:r>
      <w:r>
        <w:rPr>
          <w:rFonts w:hint="eastAsia" w:ascii="宋体" w:hAnsi="宋体"/>
          <w:color w:val="auto"/>
          <w:szCs w:val="21"/>
          <w:highlight w:val="none"/>
          <w:u w:val="single"/>
        </w:rPr>
        <w:t xml:space="preserve">     </w:t>
      </w:r>
      <w:r>
        <w:rPr>
          <w:rFonts w:hint="eastAsia" w:ascii="宋体" w:hAnsi="宋体"/>
          <w:color w:val="auto"/>
          <w:szCs w:val="21"/>
          <w:highlight w:val="none"/>
        </w:rPr>
        <w:t>天。</w:t>
      </w:r>
    </w:p>
    <w:p w14:paraId="45A2D152">
      <w:pPr>
        <w:adjustRightInd w:val="0"/>
        <w:snapToGrid w:val="0"/>
        <w:spacing w:line="360" w:lineRule="auto"/>
        <w:ind w:firstLine="630" w:firstLineChars="300"/>
        <w:rPr>
          <w:rFonts w:hint="eastAsia" w:ascii="宋体" w:hAnsi="宋体"/>
          <w:color w:val="auto"/>
          <w:szCs w:val="21"/>
          <w:highlight w:val="none"/>
          <w:u w:val="single"/>
        </w:rPr>
      </w:pPr>
      <w:r>
        <w:rPr>
          <w:rFonts w:hint="eastAsia" w:ascii="宋体" w:hAnsi="宋体"/>
          <w:color w:val="auto"/>
          <w:szCs w:val="21"/>
          <w:highlight w:val="none"/>
        </w:rPr>
        <w:t>地点</w:t>
      </w:r>
      <w:r>
        <w:rPr>
          <w:rFonts w:hint="eastAsia" w:ascii="宋体" w:hAnsi="宋体"/>
          <w:b/>
          <w:color w:val="auto"/>
          <w:szCs w:val="21"/>
          <w:highlight w:val="none"/>
        </w:rPr>
        <w:t>：</w:t>
      </w:r>
      <w:r>
        <w:rPr>
          <w:rFonts w:hint="eastAsia" w:ascii="宋体" w:hAnsi="宋体"/>
          <w:color w:val="auto"/>
          <w:szCs w:val="21"/>
          <w:highlight w:val="none"/>
          <w:u w:val="single"/>
        </w:rPr>
        <w:t xml:space="preserve">                             </w:t>
      </w:r>
    </w:p>
    <w:p w14:paraId="2B995F23">
      <w:pPr>
        <w:adjustRightInd w:val="0"/>
        <w:snapToGrid w:val="0"/>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方式：</w:t>
      </w:r>
      <w:r>
        <w:rPr>
          <w:rFonts w:hint="eastAsia" w:ascii="宋体" w:hAnsi="宋体"/>
          <w:color w:val="auto"/>
          <w:szCs w:val="21"/>
          <w:highlight w:val="none"/>
          <w:u w:val="single"/>
        </w:rPr>
        <w:t xml:space="preserve">                             </w:t>
      </w:r>
    </w:p>
    <w:p w14:paraId="3AC64EC6">
      <w:pPr>
        <w:adjustRightInd w:val="0"/>
        <w:snapToGrid w:val="0"/>
        <w:spacing w:line="360" w:lineRule="auto"/>
        <w:ind w:firstLine="420" w:firstLineChars="0"/>
        <w:rPr>
          <w:rFonts w:hint="default" w:ascii="宋体" w:hAnsi="宋体" w:eastAsia="宋体"/>
          <w:color w:val="auto"/>
          <w:szCs w:val="21"/>
          <w:highlight w:val="none"/>
          <w:u w:val="single"/>
          <w:lang w:val="en-US" w:eastAsia="zh-CN"/>
        </w:rPr>
      </w:pPr>
      <w:r>
        <w:rPr>
          <w:rFonts w:hint="eastAsia" w:ascii="宋体" w:hAnsi="宋体"/>
          <w:b/>
          <w:color w:val="auto"/>
          <w:szCs w:val="21"/>
          <w:highlight w:val="none"/>
        </w:rPr>
        <w:t>4.付款：</w:t>
      </w:r>
      <w:r>
        <w:rPr>
          <w:rFonts w:hint="eastAsia" w:ascii="宋体" w:hAnsi="宋体"/>
          <w:color w:val="auto"/>
          <w:szCs w:val="21"/>
          <w:highlight w:val="none"/>
          <w:u w:val="single"/>
        </w:rPr>
        <w:t xml:space="preserve">                             </w:t>
      </w:r>
    </w:p>
    <w:p w14:paraId="04A24C6E">
      <w:pPr>
        <w:adjustRightInd w:val="0"/>
        <w:snapToGrid w:val="0"/>
        <w:spacing w:line="360" w:lineRule="auto"/>
        <w:ind w:firstLine="422" w:firstLineChars="200"/>
        <w:outlineLvl w:val="1"/>
        <w:rPr>
          <w:rFonts w:hint="eastAsia" w:ascii="宋体" w:hAnsi="宋体"/>
          <w:b/>
          <w:color w:val="auto"/>
          <w:szCs w:val="21"/>
          <w:highlight w:val="none"/>
        </w:rPr>
      </w:pPr>
      <w:bookmarkStart w:id="77" w:name="_Toc1713485417"/>
      <w:r>
        <w:rPr>
          <w:rFonts w:hint="eastAsia" w:ascii="宋体" w:hAnsi="宋体"/>
          <w:b/>
          <w:color w:val="auto"/>
          <w:szCs w:val="21"/>
          <w:highlight w:val="none"/>
        </w:rPr>
        <w:t>5.解决合同纠纷方式</w:t>
      </w:r>
      <w:bookmarkEnd w:id="77"/>
    </w:p>
    <w:p w14:paraId="39C8E1A4">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首先通过双方协商解决，协商解决不成，则通过以下途径之一解决纠纷：</w:t>
      </w:r>
    </w:p>
    <w:p w14:paraId="37D9DDCF">
      <w:pPr>
        <w:adjustRightInd w:val="0"/>
        <w:snapToGrid w:val="0"/>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 xml:space="preserve">□ 提请仲裁       </w:t>
      </w:r>
      <w:r>
        <w:rPr>
          <w:rFonts w:hint="eastAsia" w:ascii="宋体" w:hAnsi="宋体"/>
          <w:color w:val="auto"/>
          <w:szCs w:val="21"/>
          <w:highlight w:val="none"/>
          <w:lang w:eastAsia="zh-CN"/>
        </w:rPr>
        <w:t>☑</w:t>
      </w:r>
      <w:r>
        <w:rPr>
          <w:rFonts w:hint="eastAsia" w:ascii="宋体" w:hAnsi="宋体"/>
          <w:color w:val="auto"/>
          <w:szCs w:val="21"/>
          <w:highlight w:val="none"/>
        </w:rPr>
        <w:t xml:space="preserve"> 向</w:t>
      </w:r>
      <w:r>
        <w:rPr>
          <w:rFonts w:hint="eastAsia" w:ascii="宋体" w:hAnsi="宋体"/>
          <w:color w:val="auto"/>
          <w:szCs w:val="21"/>
          <w:highlight w:val="none"/>
          <w:lang w:eastAsia="zh-CN"/>
        </w:rPr>
        <w:t>甲方所在地</w:t>
      </w:r>
      <w:r>
        <w:rPr>
          <w:rFonts w:hint="eastAsia" w:ascii="宋体" w:hAnsi="宋体"/>
          <w:color w:val="auto"/>
          <w:szCs w:val="21"/>
          <w:highlight w:val="none"/>
          <w:lang w:val="en-US" w:eastAsia="zh-CN"/>
        </w:rPr>
        <w:t>有管辖权的</w:t>
      </w:r>
      <w:r>
        <w:rPr>
          <w:rFonts w:hint="eastAsia" w:ascii="宋体" w:hAnsi="宋体"/>
          <w:color w:val="auto"/>
          <w:szCs w:val="21"/>
          <w:highlight w:val="none"/>
        </w:rPr>
        <w:t>人民法院提起诉讼</w:t>
      </w:r>
    </w:p>
    <w:p w14:paraId="673863FA">
      <w:pPr>
        <w:adjustRightInd w:val="0"/>
        <w:snapToGrid w:val="0"/>
        <w:spacing w:line="360" w:lineRule="auto"/>
        <w:ind w:firstLine="422" w:firstLineChars="200"/>
        <w:outlineLvl w:val="1"/>
        <w:rPr>
          <w:rFonts w:hint="eastAsia" w:ascii="宋体" w:hAnsi="宋体"/>
          <w:b/>
          <w:color w:val="auto"/>
          <w:szCs w:val="21"/>
          <w:highlight w:val="none"/>
        </w:rPr>
      </w:pPr>
      <w:bookmarkStart w:id="78" w:name="_Toc793697249"/>
      <w:r>
        <w:rPr>
          <w:rFonts w:hint="eastAsia" w:ascii="宋体" w:hAnsi="宋体"/>
          <w:b/>
          <w:color w:val="auto"/>
          <w:szCs w:val="21"/>
          <w:highlight w:val="none"/>
        </w:rPr>
        <w:t>6.组成合同的文件</w:t>
      </w:r>
      <w:bookmarkEnd w:id="78"/>
    </w:p>
    <w:p w14:paraId="1E10A841">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14:paraId="0238912B">
      <w:pPr>
        <w:adjustRightInd w:val="0"/>
        <w:snapToGrid w:val="0"/>
        <w:spacing w:line="360" w:lineRule="auto"/>
        <w:ind w:firstLine="308" w:firstLineChars="147"/>
        <w:outlineLvl w:val="1"/>
        <w:rPr>
          <w:rFonts w:hint="eastAsia" w:ascii="宋体" w:hAnsi="宋体"/>
          <w:color w:val="auto"/>
          <w:szCs w:val="21"/>
          <w:highlight w:val="none"/>
        </w:rPr>
      </w:pPr>
      <w:bookmarkStart w:id="79" w:name="_Toc1648732426"/>
      <w:r>
        <w:rPr>
          <w:rFonts w:hint="eastAsia" w:ascii="宋体" w:hAnsi="宋体"/>
          <w:color w:val="auto"/>
          <w:szCs w:val="21"/>
          <w:highlight w:val="none"/>
        </w:rPr>
        <w:t>（1）在采购或合同履行过程中乙方作出的承诺以及双方协议达成的变更或补充协议</w:t>
      </w:r>
      <w:bookmarkEnd w:id="79"/>
      <w:r>
        <w:rPr>
          <w:rFonts w:hint="eastAsia" w:ascii="宋体" w:hAnsi="宋体"/>
          <w:color w:val="auto"/>
          <w:szCs w:val="21"/>
          <w:highlight w:val="none"/>
        </w:rPr>
        <w:t xml:space="preserve"> </w:t>
      </w:r>
    </w:p>
    <w:p w14:paraId="6B2E22FB">
      <w:pPr>
        <w:adjustRightInd w:val="0"/>
        <w:snapToGrid w:val="0"/>
        <w:spacing w:line="360" w:lineRule="auto"/>
        <w:ind w:firstLine="308" w:firstLineChars="147"/>
        <w:outlineLvl w:val="1"/>
        <w:rPr>
          <w:rFonts w:hint="eastAsia" w:ascii="宋体" w:hAnsi="宋体"/>
          <w:color w:val="auto"/>
          <w:szCs w:val="21"/>
          <w:highlight w:val="none"/>
        </w:rPr>
      </w:pPr>
      <w:bookmarkStart w:id="80" w:name="_Toc1264386541"/>
      <w:r>
        <w:rPr>
          <w:rFonts w:hint="eastAsia" w:ascii="宋体" w:hAnsi="宋体"/>
          <w:color w:val="auto"/>
          <w:szCs w:val="21"/>
          <w:highlight w:val="none"/>
        </w:rPr>
        <w:t>（2）本合同协议书</w:t>
      </w:r>
      <w:bookmarkEnd w:id="80"/>
      <w:r>
        <w:rPr>
          <w:rFonts w:hint="eastAsia" w:ascii="宋体" w:hAnsi="宋体"/>
          <w:color w:val="auto"/>
          <w:szCs w:val="21"/>
          <w:highlight w:val="none"/>
        </w:rPr>
        <w:t xml:space="preserve"> </w:t>
      </w:r>
    </w:p>
    <w:p w14:paraId="746426E1">
      <w:pPr>
        <w:adjustRightInd w:val="0"/>
        <w:snapToGrid w:val="0"/>
        <w:spacing w:line="360" w:lineRule="auto"/>
        <w:ind w:firstLine="308" w:firstLineChars="147"/>
        <w:outlineLvl w:val="1"/>
        <w:rPr>
          <w:rFonts w:hint="eastAsia" w:ascii="宋体" w:hAnsi="宋体"/>
          <w:color w:val="auto"/>
          <w:szCs w:val="21"/>
          <w:highlight w:val="none"/>
        </w:rPr>
      </w:pPr>
      <w:bookmarkStart w:id="81" w:name="_Toc1193907522"/>
      <w:r>
        <w:rPr>
          <w:rFonts w:hint="eastAsia" w:ascii="宋体" w:hAnsi="宋体"/>
          <w:color w:val="auto"/>
          <w:szCs w:val="21"/>
          <w:highlight w:val="none"/>
        </w:rPr>
        <w:t>（3）</w:t>
      </w:r>
      <w:r>
        <w:rPr>
          <w:rFonts w:hint="eastAsia" w:ascii="宋体" w:hAnsi="宋体"/>
          <w:color w:val="auto"/>
          <w:szCs w:val="21"/>
          <w:highlight w:val="none"/>
          <w:lang w:val="en-US" w:eastAsia="zh-CN"/>
        </w:rPr>
        <w:t>成交</w:t>
      </w:r>
      <w:r>
        <w:rPr>
          <w:rFonts w:hint="eastAsia" w:ascii="宋体" w:hAnsi="宋体"/>
          <w:color w:val="auto"/>
          <w:szCs w:val="21"/>
          <w:highlight w:val="none"/>
        </w:rPr>
        <w:t>通知书</w:t>
      </w:r>
      <w:bookmarkEnd w:id="81"/>
      <w:r>
        <w:rPr>
          <w:rFonts w:hint="eastAsia" w:ascii="宋体" w:hAnsi="宋体"/>
          <w:color w:val="auto"/>
          <w:szCs w:val="21"/>
          <w:highlight w:val="none"/>
        </w:rPr>
        <w:t xml:space="preserve"> </w:t>
      </w:r>
    </w:p>
    <w:p w14:paraId="70161F3E">
      <w:pPr>
        <w:adjustRightInd w:val="0"/>
        <w:snapToGrid w:val="0"/>
        <w:spacing w:line="360" w:lineRule="auto"/>
        <w:ind w:firstLine="308" w:firstLineChars="147"/>
        <w:outlineLvl w:val="1"/>
        <w:rPr>
          <w:rFonts w:hint="eastAsia" w:ascii="宋体" w:hAnsi="宋体"/>
          <w:color w:val="auto"/>
          <w:szCs w:val="21"/>
          <w:highlight w:val="none"/>
        </w:rPr>
      </w:pPr>
      <w:bookmarkStart w:id="82" w:name="_Toc2064008333"/>
      <w:r>
        <w:rPr>
          <w:rFonts w:hint="eastAsia" w:ascii="宋体" w:hAnsi="宋体"/>
          <w:color w:val="auto"/>
          <w:szCs w:val="21"/>
          <w:highlight w:val="none"/>
        </w:rPr>
        <w:t>（4）</w:t>
      </w:r>
      <w:bookmarkEnd w:id="82"/>
      <w:r>
        <w:rPr>
          <w:rFonts w:hint="eastAsia" w:ascii="宋体" w:hAnsi="宋体"/>
          <w:color w:val="auto"/>
          <w:szCs w:val="21"/>
          <w:highlight w:val="none"/>
          <w:lang w:eastAsia="zh-CN"/>
        </w:rPr>
        <w:t>响应文件</w:t>
      </w:r>
      <w:r>
        <w:rPr>
          <w:rFonts w:hint="eastAsia" w:ascii="宋体" w:hAnsi="宋体"/>
          <w:color w:val="auto"/>
          <w:szCs w:val="21"/>
          <w:highlight w:val="none"/>
        </w:rPr>
        <w:t xml:space="preserve"> </w:t>
      </w:r>
    </w:p>
    <w:p w14:paraId="2B9D5D07">
      <w:pPr>
        <w:adjustRightInd w:val="0"/>
        <w:snapToGrid w:val="0"/>
        <w:spacing w:line="360" w:lineRule="auto"/>
        <w:ind w:firstLine="308" w:firstLineChars="147"/>
        <w:outlineLvl w:val="1"/>
        <w:rPr>
          <w:rFonts w:hint="eastAsia" w:ascii="宋体" w:hAnsi="宋体"/>
          <w:color w:val="auto"/>
          <w:szCs w:val="21"/>
          <w:highlight w:val="none"/>
        </w:rPr>
      </w:pPr>
      <w:bookmarkStart w:id="83" w:name="_Toc1484702740"/>
      <w:r>
        <w:rPr>
          <w:rFonts w:hint="eastAsia" w:ascii="宋体" w:hAnsi="宋体"/>
          <w:color w:val="auto"/>
          <w:szCs w:val="21"/>
          <w:highlight w:val="none"/>
        </w:rPr>
        <w:t>（5）政府采购合同专用条款</w:t>
      </w:r>
      <w:bookmarkEnd w:id="83"/>
      <w:r>
        <w:rPr>
          <w:rFonts w:hint="eastAsia" w:ascii="宋体" w:hAnsi="宋体"/>
          <w:color w:val="auto"/>
          <w:szCs w:val="21"/>
          <w:highlight w:val="none"/>
        </w:rPr>
        <w:t xml:space="preserve"> </w:t>
      </w:r>
    </w:p>
    <w:p w14:paraId="2B4453F5">
      <w:pPr>
        <w:adjustRightInd w:val="0"/>
        <w:snapToGrid w:val="0"/>
        <w:spacing w:line="360" w:lineRule="auto"/>
        <w:ind w:firstLine="308" w:firstLineChars="147"/>
        <w:outlineLvl w:val="1"/>
        <w:rPr>
          <w:rFonts w:hint="eastAsia" w:ascii="宋体" w:hAnsi="宋体"/>
          <w:color w:val="auto"/>
          <w:szCs w:val="21"/>
          <w:highlight w:val="none"/>
        </w:rPr>
      </w:pPr>
      <w:bookmarkStart w:id="84" w:name="_Toc1786456687"/>
      <w:r>
        <w:rPr>
          <w:rFonts w:hint="eastAsia" w:ascii="宋体" w:hAnsi="宋体"/>
          <w:color w:val="auto"/>
          <w:szCs w:val="21"/>
          <w:highlight w:val="none"/>
        </w:rPr>
        <w:t>（6）政府采购合同通用条款</w:t>
      </w:r>
      <w:bookmarkEnd w:id="84"/>
      <w:r>
        <w:rPr>
          <w:rFonts w:hint="eastAsia" w:ascii="宋体" w:hAnsi="宋体"/>
          <w:color w:val="auto"/>
          <w:szCs w:val="21"/>
          <w:highlight w:val="none"/>
        </w:rPr>
        <w:t xml:space="preserve"> </w:t>
      </w:r>
    </w:p>
    <w:p w14:paraId="4E5458DE">
      <w:pPr>
        <w:adjustRightInd w:val="0"/>
        <w:snapToGrid w:val="0"/>
        <w:spacing w:line="360" w:lineRule="auto"/>
        <w:ind w:firstLine="308" w:firstLineChars="147"/>
        <w:outlineLvl w:val="1"/>
        <w:rPr>
          <w:rFonts w:hint="eastAsia" w:ascii="宋体" w:hAnsi="宋体"/>
          <w:color w:val="auto"/>
          <w:szCs w:val="21"/>
          <w:highlight w:val="none"/>
        </w:rPr>
      </w:pPr>
      <w:bookmarkStart w:id="85" w:name="_Toc1008669702"/>
      <w:r>
        <w:rPr>
          <w:rFonts w:hint="eastAsia" w:ascii="宋体" w:hAnsi="宋体"/>
          <w:color w:val="auto"/>
          <w:szCs w:val="21"/>
          <w:highlight w:val="none"/>
        </w:rPr>
        <w:t>（7）标准、规范及有关技术文件，图纸</w:t>
      </w:r>
      <w:bookmarkEnd w:id="85"/>
      <w:r>
        <w:rPr>
          <w:rFonts w:hint="eastAsia" w:ascii="宋体" w:hAnsi="宋体"/>
          <w:color w:val="auto"/>
          <w:szCs w:val="21"/>
          <w:highlight w:val="none"/>
        </w:rPr>
        <w:t xml:space="preserve"> </w:t>
      </w:r>
    </w:p>
    <w:p w14:paraId="2CCBADB3">
      <w:pPr>
        <w:adjustRightInd w:val="0"/>
        <w:snapToGrid w:val="0"/>
        <w:spacing w:line="360" w:lineRule="auto"/>
        <w:ind w:firstLine="308" w:firstLineChars="147"/>
        <w:outlineLvl w:val="1"/>
        <w:rPr>
          <w:rFonts w:hint="eastAsia" w:ascii="宋体" w:hAnsi="宋体"/>
          <w:color w:val="auto"/>
          <w:szCs w:val="21"/>
          <w:highlight w:val="none"/>
        </w:rPr>
      </w:pPr>
      <w:bookmarkStart w:id="86" w:name="_Toc475772096"/>
      <w:r>
        <w:rPr>
          <w:rFonts w:hint="eastAsia" w:ascii="宋体" w:hAnsi="宋体"/>
          <w:color w:val="auto"/>
          <w:szCs w:val="21"/>
          <w:highlight w:val="none"/>
        </w:rPr>
        <w:t>（8）其他合同文件</w:t>
      </w:r>
      <w:bookmarkEnd w:id="86"/>
      <w:r>
        <w:rPr>
          <w:rFonts w:hint="eastAsia" w:ascii="宋体" w:hAnsi="宋体"/>
          <w:color w:val="auto"/>
          <w:szCs w:val="21"/>
          <w:highlight w:val="none"/>
        </w:rPr>
        <w:t xml:space="preserve"> </w:t>
      </w:r>
    </w:p>
    <w:p w14:paraId="497F21F1">
      <w:pPr>
        <w:adjustRightInd w:val="0"/>
        <w:snapToGrid w:val="0"/>
        <w:spacing w:line="360" w:lineRule="auto"/>
        <w:ind w:firstLine="310" w:firstLineChars="147"/>
        <w:outlineLvl w:val="1"/>
        <w:rPr>
          <w:rFonts w:hint="eastAsia" w:ascii="宋体" w:hAnsi="宋体"/>
          <w:b/>
          <w:color w:val="auto"/>
          <w:szCs w:val="21"/>
          <w:highlight w:val="none"/>
        </w:rPr>
      </w:pPr>
      <w:bookmarkStart w:id="87" w:name="_Toc1219999691"/>
      <w:r>
        <w:rPr>
          <w:rFonts w:hint="eastAsia" w:ascii="宋体" w:hAnsi="宋体"/>
          <w:b/>
          <w:color w:val="auto"/>
          <w:szCs w:val="21"/>
          <w:highlight w:val="none"/>
        </w:rPr>
        <w:t>7.合同生效</w:t>
      </w:r>
      <w:bookmarkEnd w:id="87"/>
    </w:p>
    <w:p w14:paraId="1C10D0BA">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本合同自</w:t>
      </w:r>
      <w:r>
        <w:rPr>
          <w:rFonts w:hint="eastAsia" w:ascii="宋体" w:hAnsi="宋体"/>
          <w:color w:val="auto"/>
          <w:szCs w:val="21"/>
          <w:highlight w:val="none"/>
          <w:u w:val="single"/>
        </w:rPr>
        <w:t xml:space="preserve">                               </w:t>
      </w:r>
      <w:r>
        <w:rPr>
          <w:rFonts w:hint="eastAsia" w:ascii="宋体" w:hAnsi="宋体"/>
          <w:color w:val="auto"/>
          <w:szCs w:val="21"/>
          <w:highlight w:val="none"/>
        </w:rPr>
        <w:t>生效。</w:t>
      </w:r>
    </w:p>
    <w:p w14:paraId="4A86D4CB">
      <w:pPr>
        <w:adjustRightInd w:val="0"/>
        <w:snapToGrid w:val="0"/>
        <w:spacing w:line="360" w:lineRule="auto"/>
        <w:ind w:firstLine="310" w:firstLineChars="147"/>
        <w:outlineLvl w:val="1"/>
        <w:rPr>
          <w:rFonts w:hint="eastAsia" w:ascii="宋体" w:hAnsi="宋体"/>
          <w:b/>
          <w:color w:val="auto"/>
          <w:szCs w:val="21"/>
          <w:highlight w:val="none"/>
        </w:rPr>
      </w:pPr>
      <w:bookmarkStart w:id="88" w:name="_Toc360945081"/>
      <w:r>
        <w:rPr>
          <w:rFonts w:hint="eastAsia" w:ascii="宋体" w:hAnsi="宋体"/>
          <w:b/>
          <w:color w:val="auto"/>
          <w:szCs w:val="21"/>
          <w:highlight w:val="none"/>
        </w:rPr>
        <w:t>8.合同份数</w:t>
      </w:r>
      <w:bookmarkEnd w:id="88"/>
    </w:p>
    <w:p w14:paraId="7D4BA2BB">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rPr>
        <w:t xml:space="preserve">    </w:t>
      </w:r>
      <w:r>
        <w:rPr>
          <w:rFonts w:hint="eastAsia" w:ascii="宋体" w:hAnsi="宋体"/>
          <w:color w:val="auto"/>
          <w:szCs w:val="21"/>
          <w:highlight w:val="none"/>
        </w:rPr>
        <w:t>份，</w:t>
      </w:r>
      <w:r>
        <w:rPr>
          <w:rFonts w:hint="eastAsia" w:ascii="宋体" w:hAnsi="宋体"/>
          <w:color w:val="auto"/>
          <w:szCs w:val="21"/>
          <w:highlight w:val="none"/>
          <w:lang w:val="en-US" w:eastAsia="zh-CN"/>
        </w:rPr>
        <w:t>甲方</w:t>
      </w:r>
      <w:r>
        <w:rPr>
          <w:rFonts w:hint="eastAsia" w:ascii="宋体" w:hAnsi="宋体"/>
          <w:color w:val="auto"/>
          <w:szCs w:val="21"/>
          <w:highlight w:val="none"/>
        </w:rPr>
        <w:t>执</w:t>
      </w:r>
      <w:r>
        <w:rPr>
          <w:rFonts w:hint="eastAsia" w:ascii="宋体" w:hAnsi="宋体"/>
          <w:color w:val="auto"/>
          <w:szCs w:val="21"/>
          <w:highlight w:val="none"/>
          <w:u w:val="single"/>
        </w:rPr>
        <w:t xml:space="preserve">   </w:t>
      </w:r>
      <w:r>
        <w:rPr>
          <w:rFonts w:hint="eastAsia" w:ascii="宋体" w:hAnsi="宋体"/>
          <w:color w:val="auto"/>
          <w:szCs w:val="21"/>
          <w:highlight w:val="none"/>
        </w:rPr>
        <w:t>份，</w:t>
      </w:r>
      <w:r>
        <w:rPr>
          <w:rFonts w:hint="eastAsia" w:ascii="宋体" w:hAnsi="宋体"/>
          <w:color w:val="auto"/>
          <w:szCs w:val="21"/>
          <w:highlight w:val="none"/>
          <w:lang w:val="en-US" w:eastAsia="zh-CN"/>
        </w:rPr>
        <w:t>乙方</w:t>
      </w:r>
      <w:r>
        <w:rPr>
          <w:rFonts w:hint="eastAsia" w:ascii="宋体" w:hAnsi="宋体"/>
          <w:color w:val="auto"/>
          <w:szCs w:val="21"/>
          <w:highlight w:val="none"/>
        </w:rPr>
        <w:t>执</w:t>
      </w:r>
      <w:r>
        <w:rPr>
          <w:rFonts w:hint="eastAsia" w:ascii="宋体" w:hAnsi="宋体"/>
          <w:color w:val="auto"/>
          <w:szCs w:val="21"/>
          <w:highlight w:val="none"/>
          <w:u w:val="single"/>
        </w:rPr>
        <w:t xml:space="preserve">   </w:t>
      </w:r>
      <w:r>
        <w:rPr>
          <w:rFonts w:hint="eastAsia" w:ascii="宋体" w:hAnsi="宋体"/>
          <w:color w:val="auto"/>
          <w:szCs w:val="21"/>
          <w:highlight w:val="none"/>
        </w:rPr>
        <w:t>份，均具有同等法律效力。</w:t>
      </w:r>
    </w:p>
    <w:p w14:paraId="443C0463">
      <w:pPr>
        <w:adjustRightInd w:val="0"/>
        <w:snapToGrid w:val="0"/>
        <w:spacing w:line="360" w:lineRule="auto"/>
        <w:outlineLvl w:val="1"/>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   </w:t>
      </w:r>
      <w:bookmarkStart w:id="89" w:name="_Toc1910157239"/>
      <w:r>
        <w:rPr>
          <w:rFonts w:hint="eastAsia" w:ascii="宋体" w:hAnsi="宋体"/>
          <w:color w:val="auto"/>
          <w:szCs w:val="21"/>
          <w:highlight w:val="none"/>
          <w:lang w:val="en-US" w:eastAsia="zh-CN"/>
        </w:rPr>
        <w:t>9.违约责任</w:t>
      </w:r>
      <w:bookmarkEnd w:id="89"/>
    </w:p>
    <w:p w14:paraId="58592551">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 xml:space="preserve">          ，因违约方的违约行为给守约方造成损失的，应承担损失赔偿责任；损失赔偿范围包括但不限于：直接经济损失、预期利益损失、律师费、诉讼费、保全费、鉴定费、审计费、公证费、调查取证费及其他实现权利所发生的合理费用</w:t>
      </w:r>
      <w:r>
        <w:rPr>
          <w:rFonts w:hint="eastAsia" w:ascii="宋体" w:hAnsi="宋体"/>
          <w:color w:val="auto"/>
          <w:szCs w:val="21"/>
          <w:highlight w:val="none"/>
          <w:lang w:eastAsia="zh-CN"/>
        </w:rPr>
        <w:t>。</w:t>
      </w:r>
    </w:p>
    <w:p w14:paraId="44370E96">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合同订立时间：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1ECC424">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合同订立地点：</w:t>
      </w:r>
      <w:r>
        <w:rPr>
          <w:rFonts w:hint="eastAsia" w:ascii="宋体" w:hAnsi="宋体"/>
          <w:color w:val="auto"/>
          <w:szCs w:val="21"/>
          <w:highlight w:val="none"/>
          <w:u w:val="single"/>
        </w:rPr>
        <w:t xml:space="preserve">                           </w:t>
      </w:r>
    </w:p>
    <w:p w14:paraId="54F4CAAB">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w:t>
      </w:r>
    </w:p>
    <w:p w14:paraId="78A93EF5">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甲      方：（公章）                     乙      方：（公章）</w:t>
      </w:r>
    </w:p>
    <w:p w14:paraId="01800D0D">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w:t>
      </w:r>
      <w:r>
        <w:rPr>
          <w:rFonts w:hint="eastAsia" w:ascii="宋体" w:hAnsi="宋体"/>
          <w:color w:val="auto"/>
          <w:szCs w:val="21"/>
          <w:highlight w:val="none"/>
          <w:u w:val="single"/>
        </w:rPr>
        <w:t xml:space="preserve">                   </w:t>
      </w:r>
    </w:p>
    <w:p w14:paraId="5EBCD2CB">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委托代理人：</w:t>
      </w:r>
      <w:r>
        <w:rPr>
          <w:rFonts w:hint="eastAsia" w:ascii="宋体" w:hAnsi="宋体"/>
          <w:color w:val="auto"/>
          <w:szCs w:val="21"/>
          <w:highlight w:val="none"/>
          <w:u w:val="single"/>
        </w:rPr>
        <w:t xml:space="preserve">                   </w:t>
      </w:r>
    </w:p>
    <w:p w14:paraId="1A2FCF96">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话：</w:t>
      </w:r>
      <w:r>
        <w:rPr>
          <w:rFonts w:hint="eastAsia" w:ascii="宋体" w:hAnsi="宋体"/>
          <w:color w:val="auto"/>
          <w:szCs w:val="21"/>
          <w:highlight w:val="none"/>
          <w:u w:val="single"/>
        </w:rPr>
        <w:t xml:space="preserve">                   </w:t>
      </w:r>
    </w:p>
    <w:p w14:paraId="5975CF34">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olor w:val="auto"/>
          <w:szCs w:val="21"/>
          <w:highlight w:val="none"/>
          <w:u w:val="single"/>
        </w:rPr>
        <w:t xml:space="preserve">                   </w:t>
      </w:r>
    </w:p>
    <w:p w14:paraId="0E4BEDA3">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开 户 银 行：</w:t>
      </w:r>
      <w:r>
        <w:rPr>
          <w:rFonts w:hint="eastAsia" w:ascii="宋体" w:hAnsi="宋体"/>
          <w:color w:val="auto"/>
          <w:szCs w:val="21"/>
          <w:highlight w:val="none"/>
          <w:u w:val="single"/>
        </w:rPr>
        <w:t xml:space="preserve">                   </w:t>
      </w:r>
    </w:p>
    <w:p w14:paraId="39521C4C">
      <w:pPr>
        <w:adjustRightInd w:val="0"/>
        <w:snapToGrid w:val="0"/>
        <w:spacing w:line="360" w:lineRule="auto"/>
        <w:jc w:val="center"/>
        <w:rPr>
          <w:rFonts w:hint="eastAsia" w:ascii="宋体" w:hAnsi="宋体"/>
          <w:b/>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帐       号：</w:t>
      </w:r>
      <w:r>
        <w:rPr>
          <w:rFonts w:hint="eastAsia" w:ascii="宋体" w:hAnsi="宋体"/>
          <w:color w:val="auto"/>
          <w:szCs w:val="21"/>
          <w:highlight w:val="none"/>
          <w:u w:val="single"/>
        </w:rPr>
        <w:t xml:space="preserve">                 </w:t>
      </w:r>
    </w:p>
    <w:p w14:paraId="4ED5E3FB">
      <w:pPr>
        <w:pStyle w:val="32"/>
        <w:keepNext/>
        <w:keepLines/>
        <w:adjustRightInd w:val="0"/>
        <w:snapToGrid w:val="0"/>
        <w:spacing w:beforeLines="50" w:line="360" w:lineRule="auto"/>
        <w:jc w:val="left"/>
        <w:outlineLvl w:val="1"/>
        <w:rPr>
          <w:rFonts w:hint="eastAsia" w:ascii="宋体" w:hAnsi="宋体"/>
          <w:color w:val="auto"/>
          <w:szCs w:val="21"/>
          <w:highlight w:val="none"/>
        </w:rPr>
      </w:pPr>
      <w:r>
        <w:rPr>
          <w:rFonts w:hint="eastAsia" w:ascii="宋体" w:hAnsi="宋体"/>
          <w:color w:val="auto"/>
          <w:szCs w:val="21"/>
          <w:highlight w:val="none"/>
        </w:rPr>
        <w:t xml:space="preserve">               </w:t>
      </w:r>
      <w:bookmarkStart w:id="90" w:name="_Toc256000046"/>
      <w:bookmarkStart w:id="91" w:name="_Toc3602"/>
    </w:p>
    <w:p w14:paraId="3CD6C207">
      <w:pPr>
        <w:rPr>
          <w:rFonts w:hint="eastAsia" w:ascii="黑体" w:hAnsi="华文中宋" w:eastAsia="黑体" w:cs="Courier New"/>
          <w:b/>
          <w:color w:val="auto"/>
          <w:sz w:val="24"/>
          <w:szCs w:val="24"/>
          <w:highlight w:val="none"/>
        </w:rPr>
      </w:pPr>
      <w:r>
        <w:rPr>
          <w:rFonts w:hint="eastAsia" w:ascii="黑体" w:hAnsi="华文中宋" w:eastAsia="黑体" w:cs="Courier New"/>
          <w:b/>
          <w:color w:val="auto"/>
          <w:sz w:val="24"/>
          <w:szCs w:val="24"/>
          <w:highlight w:val="none"/>
        </w:rPr>
        <w:br w:type="page"/>
      </w:r>
    </w:p>
    <w:p w14:paraId="3D1F2D42">
      <w:pPr>
        <w:pStyle w:val="32"/>
        <w:keepNext/>
        <w:keepLines/>
        <w:adjustRightInd w:val="0"/>
        <w:snapToGrid w:val="0"/>
        <w:spacing w:beforeLines="50" w:line="360" w:lineRule="auto"/>
        <w:jc w:val="left"/>
        <w:outlineLvl w:val="1"/>
        <w:rPr>
          <w:rFonts w:ascii="黑体" w:hAnsi="黑体" w:eastAsia="黑体"/>
          <w:b/>
          <w:bCs/>
          <w:color w:val="auto"/>
          <w:sz w:val="24"/>
          <w:szCs w:val="24"/>
          <w:highlight w:val="none"/>
        </w:rPr>
      </w:pPr>
      <w:bookmarkStart w:id="92" w:name="_Toc1279676870"/>
      <w:r>
        <w:rPr>
          <w:rFonts w:hint="eastAsia" w:ascii="黑体" w:hAnsi="华文中宋" w:eastAsia="黑体" w:cs="Courier New"/>
          <w:b/>
          <w:color w:val="auto"/>
          <w:sz w:val="24"/>
          <w:szCs w:val="24"/>
          <w:highlight w:val="none"/>
        </w:rPr>
        <w:t>二、政府采购合同通用条款</w:t>
      </w:r>
      <w:bookmarkEnd w:id="90"/>
      <w:bookmarkEnd w:id="91"/>
      <w:bookmarkEnd w:id="92"/>
    </w:p>
    <w:p w14:paraId="6B655147">
      <w:pPr>
        <w:pStyle w:val="32"/>
        <w:tabs>
          <w:tab w:val="left" w:pos="8820"/>
          <w:tab w:val="left" w:pos="9345"/>
          <w:tab w:val="left" w:pos="9765"/>
        </w:tabs>
        <w:adjustRightInd w:val="0"/>
        <w:snapToGrid w:val="0"/>
        <w:spacing w:before="50" w:line="360" w:lineRule="auto"/>
        <w:jc w:val="left"/>
        <w:outlineLvl w:val="2"/>
        <w:rPr>
          <w:rFonts w:ascii="宋体" w:hAnsi="宋体"/>
          <w:b/>
          <w:bCs/>
          <w:color w:val="auto"/>
          <w:sz w:val="24"/>
          <w:szCs w:val="24"/>
          <w:highlight w:val="none"/>
        </w:rPr>
      </w:pPr>
      <w:bookmarkStart w:id="93" w:name="_Toc480429385"/>
      <w:r>
        <w:rPr>
          <w:rFonts w:hint="eastAsia" w:ascii="宋体" w:hAnsi="宋体"/>
          <w:b/>
          <w:color w:val="auto"/>
          <w:sz w:val="24"/>
          <w:szCs w:val="24"/>
          <w:highlight w:val="none"/>
        </w:rPr>
        <w:t>1.</w:t>
      </w:r>
      <w:r>
        <w:rPr>
          <w:rFonts w:hint="eastAsia" w:ascii="宋体" w:hAnsi="宋体"/>
          <w:b/>
          <w:bCs/>
          <w:color w:val="auto"/>
          <w:sz w:val="24"/>
          <w:szCs w:val="24"/>
          <w:highlight w:val="none"/>
        </w:rPr>
        <w:t>定义</w:t>
      </w:r>
      <w:bookmarkEnd w:id="93"/>
    </w:p>
    <w:p w14:paraId="7AA10686">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1.1合同当事人</w:t>
      </w:r>
    </w:p>
    <w:p w14:paraId="4CA2AC0F">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（1）采购人（以下称甲方）是指使用财政性资金，通过政府采购程序向供应商购买货物、服务的国家机关、事业单位、团体组织。本次采购的甲方名称、地址见</w:t>
      </w:r>
      <w:r>
        <w:rPr>
          <w:rFonts w:hint="eastAsia" w:ascii="宋体" w:hAnsi="宋体"/>
          <w:b/>
          <w:color w:val="auto"/>
          <w:szCs w:val="21"/>
          <w:highlight w:val="none"/>
        </w:rPr>
        <w:t>【政府采购合同专用条款】。</w:t>
      </w:r>
    </w:p>
    <w:p w14:paraId="49C86394">
      <w:pPr>
        <w:pStyle w:val="32"/>
        <w:autoSpaceDE w:val="0"/>
        <w:autoSpaceDN w:val="0"/>
        <w:adjustRightInd w:val="0"/>
        <w:snapToGrid w:val="0"/>
        <w:spacing w:before="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（2）供应商（以下称乙方）是指参加政府采购活动而取得成交结果，并向采购人提供货物、服务的法人、其他组织或者自然人。</w:t>
      </w:r>
    </w:p>
    <w:p w14:paraId="366C6513">
      <w:pPr>
        <w:pStyle w:val="32"/>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039CF9CC">
      <w:pPr>
        <w:pStyle w:val="32"/>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（1）“合同”系指甲乙双方签署的、政府采购合同协议书中载明的甲乙双方所达成的协议，包括所有的附件、附录和上述文件所提到的构成合同的所有文件。</w:t>
      </w:r>
    </w:p>
    <w:p w14:paraId="1292DE4F">
      <w:pPr>
        <w:pStyle w:val="32"/>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（2）“合同价”系指根据本合同规定乙方在正确地完全履行合同义务后甲方应支付给乙方的价款。</w:t>
      </w:r>
    </w:p>
    <w:p w14:paraId="127D0A1D">
      <w:pPr>
        <w:pStyle w:val="32"/>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（3）“货物”系指乙方根据本合同规定须向甲方提供的各种形态和种类的物品，包括原材料、设备、产品（包括软件）及相关的其备品备件、工具、手册及其它技术资料和材料。</w:t>
      </w:r>
    </w:p>
    <w:p w14:paraId="5605F17E">
      <w:pPr>
        <w:pStyle w:val="32"/>
        <w:tabs>
          <w:tab w:val="left" w:pos="570"/>
          <w:tab w:val="left" w:pos="888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14:paraId="41B2A31D">
      <w:pPr>
        <w:pStyle w:val="32"/>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（5）“合同条款”系指本合同条款。</w:t>
      </w:r>
    </w:p>
    <w:p w14:paraId="44DF62FE">
      <w:pPr>
        <w:pStyle w:val="32"/>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（6）“项目现场”系指本合同项下货物安装、运行的现场，其名称见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14:paraId="1A1FAB60">
      <w:pPr>
        <w:pStyle w:val="32"/>
        <w:autoSpaceDE w:val="0"/>
        <w:autoSpaceDN w:val="0"/>
        <w:adjustRightInd w:val="0"/>
        <w:snapToGrid w:val="0"/>
        <w:spacing w:before="50" w:line="360" w:lineRule="auto"/>
        <w:jc w:val="left"/>
        <w:outlineLvl w:val="2"/>
        <w:rPr>
          <w:rFonts w:ascii="宋体" w:hAnsi="宋体"/>
          <w:b/>
          <w:color w:val="auto"/>
          <w:sz w:val="24"/>
          <w:szCs w:val="24"/>
          <w:highlight w:val="none"/>
        </w:rPr>
      </w:pPr>
      <w:bookmarkStart w:id="94" w:name="_Toc38160975"/>
      <w:r>
        <w:rPr>
          <w:rFonts w:hint="eastAsia" w:ascii="宋体" w:hAnsi="宋体"/>
          <w:b/>
          <w:color w:val="auto"/>
          <w:sz w:val="24"/>
          <w:szCs w:val="24"/>
          <w:highlight w:val="none"/>
        </w:rPr>
        <w:t>2.合同的适用范围</w:t>
      </w:r>
      <w:bookmarkEnd w:id="94"/>
    </w:p>
    <w:p w14:paraId="700CB7B1">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 本合同条款适用于没有被本合同其他部分的条款所取代的范围。</w:t>
      </w:r>
    </w:p>
    <w:p w14:paraId="3B6DE032">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 合同内容根据磋商文件、响应文件而确定。</w:t>
      </w:r>
    </w:p>
    <w:p w14:paraId="561B116D">
      <w:pPr>
        <w:pStyle w:val="32"/>
        <w:autoSpaceDE w:val="0"/>
        <w:autoSpaceDN w:val="0"/>
        <w:adjustRightInd w:val="0"/>
        <w:snapToGrid w:val="0"/>
        <w:spacing w:before="50" w:line="360" w:lineRule="auto"/>
        <w:jc w:val="left"/>
        <w:outlineLvl w:val="2"/>
        <w:rPr>
          <w:rFonts w:ascii="宋体" w:hAnsi="宋体"/>
          <w:b/>
          <w:bCs/>
          <w:color w:val="auto"/>
          <w:sz w:val="24"/>
          <w:szCs w:val="24"/>
          <w:highlight w:val="none"/>
        </w:rPr>
      </w:pPr>
      <w:bookmarkStart w:id="95" w:name="_Toc1421380019"/>
      <w:r>
        <w:rPr>
          <w:rFonts w:hint="eastAsia" w:ascii="宋体" w:hAnsi="宋体"/>
          <w:b/>
          <w:bCs/>
          <w:color w:val="auto"/>
          <w:sz w:val="24"/>
          <w:szCs w:val="24"/>
          <w:highlight w:val="none"/>
        </w:rPr>
        <w:t>3.</w:t>
      </w:r>
      <w:r>
        <w:rPr>
          <w:rFonts w:hint="eastAsia" w:ascii="宋体" w:hAnsi="宋体"/>
          <w:b/>
          <w:color w:val="auto"/>
          <w:sz w:val="24"/>
          <w:szCs w:val="24"/>
          <w:highlight w:val="none"/>
        </w:rPr>
        <w:t>合同标的及金额</w:t>
      </w:r>
      <w:bookmarkEnd w:id="95"/>
    </w:p>
    <w:p w14:paraId="1343B9C7">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 合同标的及金额应与成交结果一致。</w:t>
      </w:r>
    </w:p>
    <w:p w14:paraId="700D6F58">
      <w:pPr>
        <w:pStyle w:val="32"/>
        <w:autoSpaceDE w:val="0"/>
        <w:autoSpaceDN w:val="0"/>
        <w:adjustRightInd w:val="0"/>
        <w:snapToGrid w:val="0"/>
        <w:spacing w:before="50" w:line="360" w:lineRule="auto"/>
        <w:jc w:val="left"/>
        <w:outlineLvl w:val="2"/>
        <w:rPr>
          <w:rFonts w:ascii="宋体" w:hAnsi="宋体"/>
          <w:b/>
          <w:bCs/>
          <w:color w:val="auto"/>
          <w:sz w:val="24"/>
          <w:szCs w:val="24"/>
          <w:highlight w:val="none"/>
        </w:rPr>
      </w:pPr>
      <w:bookmarkStart w:id="96" w:name="_Toc525890105"/>
      <w:r>
        <w:rPr>
          <w:rFonts w:hint="eastAsia" w:ascii="宋体" w:hAnsi="宋体"/>
          <w:b/>
          <w:bCs/>
          <w:color w:val="auto"/>
          <w:sz w:val="24"/>
          <w:szCs w:val="24"/>
          <w:highlight w:val="none"/>
        </w:rPr>
        <w:t>4.</w:t>
      </w:r>
      <w:r>
        <w:rPr>
          <w:rFonts w:hint="eastAsia" w:ascii="宋体" w:hAnsi="宋体"/>
          <w:b/>
          <w:color w:val="auto"/>
          <w:sz w:val="24"/>
          <w:szCs w:val="24"/>
          <w:highlight w:val="none"/>
        </w:rPr>
        <w:t>合同价款</w:t>
      </w:r>
      <w:bookmarkEnd w:id="96"/>
    </w:p>
    <w:p w14:paraId="4A81FD98">
      <w:pPr>
        <w:pStyle w:val="32"/>
        <w:adjustRightInd w:val="0"/>
        <w:snapToGrid w:val="0"/>
        <w:spacing w:before="50" w:line="360" w:lineRule="auto"/>
        <w:ind w:firstLine="420" w:firstLineChars="200"/>
        <w:jc w:val="left"/>
        <w:rPr>
          <w:rFonts w:ascii="宋体" w:hAnsi="宋体"/>
          <w:b/>
          <w:bCs/>
          <w:i/>
          <w:iCs/>
          <w:color w:val="auto"/>
          <w:szCs w:val="21"/>
          <w:highlight w:val="none"/>
        </w:rPr>
      </w:pPr>
      <w:r>
        <w:rPr>
          <w:rFonts w:hint="eastAsia" w:ascii="宋体" w:hAnsi="宋体"/>
          <w:color w:val="auto"/>
          <w:szCs w:val="21"/>
          <w:highlight w:val="none"/>
        </w:rPr>
        <w:t>4.1具体合同价款见本合同第3.1条。乙方为履行本合同而发生的所有费用均应包含在合同价款中，甲方不再另行支付其它任何费用。</w:t>
      </w:r>
    </w:p>
    <w:p w14:paraId="6FBAF4CE">
      <w:pPr>
        <w:pStyle w:val="32"/>
        <w:adjustRightInd w:val="0"/>
        <w:snapToGrid w:val="0"/>
        <w:spacing w:before="50" w:line="360" w:lineRule="auto"/>
        <w:jc w:val="left"/>
        <w:outlineLvl w:val="2"/>
        <w:rPr>
          <w:rFonts w:ascii="宋体" w:hAnsi="宋体"/>
          <w:b/>
          <w:color w:val="auto"/>
          <w:sz w:val="24"/>
          <w:szCs w:val="24"/>
          <w:highlight w:val="none"/>
        </w:rPr>
      </w:pPr>
      <w:bookmarkStart w:id="97" w:name="_Toc1739787330"/>
      <w:r>
        <w:rPr>
          <w:rFonts w:hint="eastAsia" w:ascii="宋体" w:hAnsi="宋体"/>
          <w:b/>
          <w:color w:val="auto"/>
          <w:sz w:val="24"/>
          <w:szCs w:val="24"/>
          <w:highlight w:val="none"/>
        </w:rPr>
        <w:t>5.履行合同的时间、地点和方式</w:t>
      </w:r>
      <w:bookmarkEnd w:id="97"/>
    </w:p>
    <w:p w14:paraId="1AE598C0">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5.1 乙方应当在甲方确定的时间、指定的地点履行合同，具体的交货时间、地点和方式见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14:paraId="27E6C2D5">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5.2 乙方提供服务的应当在甲方指定的地点完成服务项目。</w:t>
      </w:r>
    </w:p>
    <w:p w14:paraId="7F9E756D">
      <w:pPr>
        <w:pStyle w:val="32"/>
        <w:adjustRightInd w:val="0"/>
        <w:snapToGrid w:val="0"/>
        <w:spacing w:before="50" w:line="360" w:lineRule="auto"/>
        <w:jc w:val="left"/>
        <w:outlineLvl w:val="2"/>
        <w:rPr>
          <w:rFonts w:ascii="宋体" w:hAnsi="宋体"/>
          <w:b/>
          <w:bCs/>
          <w:color w:val="auto"/>
          <w:sz w:val="24"/>
          <w:szCs w:val="24"/>
          <w:highlight w:val="none"/>
        </w:rPr>
      </w:pPr>
      <w:bookmarkStart w:id="98" w:name="_Toc468317758"/>
      <w:r>
        <w:rPr>
          <w:rFonts w:hint="eastAsia" w:ascii="宋体" w:hAnsi="宋体"/>
          <w:b/>
          <w:bCs/>
          <w:color w:val="auto"/>
          <w:sz w:val="24"/>
          <w:szCs w:val="24"/>
          <w:highlight w:val="none"/>
        </w:rPr>
        <w:t>6.</w:t>
      </w:r>
      <w:r>
        <w:rPr>
          <w:rFonts w:hint="eastAsia" w:ascii="宋体" w:hAnsi="宋体"/>
          <w:b/>
          <w:color w:val="auto"/>
          <w:sz w:val="24"/>
          <w:szCs w:val="24"/>
          <w:highlight w:val="none"/>
        </w:rPr>
        <w:t>货物的验收</w:t>
      </w:r>
      <w:bookmarkEnd w:id="98"/>
    </w:p>
    <w:p w14:paraId="23EEC117">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 甲方在收到乙方交付的货物后应当及时组织验收。</w:t>
      </w:r>
    </w:p>
    <w:p w14:paraId="4C471249">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6.2 货物的表面瑕疵，甲方应在验收时当面提出；对质量问题有异议的应在安装调试后十个工作日内提出。</w:t>
      </w:r>
    </w:p>
    <w:p w14:paraId="373835E0">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6.3 在验收过程中发现数量不足或有质量、技术等问题，乙方应负责按照甲方的要求采取补足、更换或退货等处理措施，并承担由此发生的一切费用和损失。</w:t>
      </w:r>
    </w:p>
    <w:p w14:paraId="00DFECF1">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6.4 甲方在乙方按合同规定交货或安装、调试后，无正当理由而拖延接收、验收或拒绝接收、验收的，应承担因此给乙方造成的直接损失。</w:t>
      </w:r>
    </w:p>
    <w:p w14:paraId="6A437F3F">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6.5 甲方对货物进行检查验收合格后，应当收取发票并在《交货验收单》上签署验收意见及加盖单位印章。</w:t>
      </w:r>
    </w:p>
    <w:p w14:paraId="0C3E1625">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6.6 大型或者复杂的货物采购项目，甲方可以邀请国家认可的质量检测机构参加验收工作，并由其出具验收报告单。</w:t>
      </w:r>
    </w:p>
    <w:p w14:paraId="7B925EAC">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6.7 乙方提供的进口产品，乙方应出示中华人民共和国进出口商品检验部门出具的检验证书（磋商文件第四章采购需求另有约定的除外）。</w:t>
      </w:r>
    </w:p>
    <w:p w14:paraId="3E45F03A">
      <w:pPr>
        <w:pStyle w:val="32"/>
        <w:adjustRightInd w:val="0"/>
        <w:snapToGrid w:val="0"/>
        <w:spacing w:before="50" w:line="360" w:lineRule="auto"/>
        <w:jc w:val="left"/>
        <w:outlineLvl w:val="2"/>
        <w:rPr>
          <w:rFonts w:ascii="宋体" w:hAnsi="宋体"/>
          <w:b/>
          <w:bCs/>
          <w:color w:val="auto"/>
          <w:sz w:val="24"/>
          <w:szCs w:val="24"/>
          <w:highlight w:val="none"/>
        </w:rPr>
      </w:pPr>
      <w:bookmarkStart w:id="99" w:name="_Toc488992451"/>
      <w:r>
        <w:rPr>
          <w:rFonts w:hint="eastAsia" w:ascii="宋体" w:hAnsi="宋体"/>
          <w:b/>
          <w:bCs/>
          <w:color w:val="auto"/>
          <w:sz w:val="24"/>
          <w:szCs w:val="24"/>
          <w:highlight w:val="none"/>
        </w:rPr>
        <w:t>7.货物包装要求</w:t>
      </w:r>
      <w:bookmarkEnd w:id="99"/>
    </w:p>
    <w:p w14:paraId="69CE57EA">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7FAA8D71">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7.2 每一个包装箱内应附一份详细装箱单、质量证书和保修保养证书。</w:t>
      </w:r>
    </w:p>
    <w:p w14:paraId="66AB21DB">
      <w:pPr>
        <w:pStyle w:val="32"/>
        <w:adjustRightInd w:val="0"/>
        <w:snapToGrid w:val="0"/>
        <w:spacing w:before="50" w:line="360" w:lineRule="auto"/>
        <w:jc w:val="left"/>
        <w:outlineLvl w:val="2"/>
        <w:rPr>
          <w:rFonts w:ascii="宋体" w:hAnsi="宋体"/>
          <w:b/>
          <w:color w:val="auto"/>
          <w:sz w:val="24"/>
          <w:szCs w:val="24"/>
          <w:highlight w:val="none"/>
        </w:rPr>
      </w:pPr>
      <w:bookmarkStart w:id="100" w:name="_Toc76206888"/>
      <w:r>
        <w:rPr>
          <w:rFonts w:hint="eastAsia" w:ascii="宋体" w:hAnsi="宋体"/>
          <w:b/>
          <w:color w:val="auto"/>
          <w:sz w:val="24"/>
          <w:szCs w:val="24"/>
          <w:highlight w:val="none"/>
        </w:rPr>
        <w:t>8.运输和保险</w:t>
      </w:r>
      <w:bookmarkEnd w:id="100"/>
    </w:p>
    <w:p w14:paraId="628EE40A">
      <w:pPr>
        <w:pStyle w:val="32"/>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8.1乙方负责办理将货物运抵本合同第5.1条规定的交货地点的一切运输事项，相关费用应包括在合同总价中。</w:t>
      </w:r>
    </w:p>
    <w:p w14:paraId="50812064">
      <w:pPr>
        <w:pStyle w:val="32"/>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8.2乙方应向保险公司投保以甲方为受益人的发运合同货物发票金额的110％运输一切险。</w:t>
      </w:r>
    </w:p>
    <w:p w14:paraId="124BBE2C">
      <w:pPr>
        <w:pStyle w:val="32"/>
        <w:adjustRightInd w:val="0"/>
        <w:snapToGrid w:val="0"/>
        <w:spacing w:before="50" w:line="360" w:lineRule="auto"/>
        <w:jc w:val="left"/>
        <w:outlineLvl w:val="2"/>
        <w:rPr>
          <w:rFonts w:ascii="宋体" w:hAnsi="宋体"/>
          <w:b/>
          <w:color w:val="auto"/>
          <w:sz w:val="24"/>
          <w:szCs w:val="24"/>
          <w:highlight w:val="none"/>
        </w:rPr>
      </w:pPr>
      <w:bookmarkStart w:id="101" w:name="_Toc908913004"/>
      <w:r>
        <w:rPr>
          <w:rFonts w:hint="eastAsia" w:ascii="宋体" w:hAnsi="宋体"/>
          <w:b/>
          <w:color w:val="auto"/>
          <w:sz w:val="24"/>
          <w:szCs w:val="24"/>
          <w:highlight w:val="none"/>
        </w:rPr>
        <w:t>9.质量标准和保证</w:t>
      </w:r>
      <w:bookmarkEnd w:id="101"/>
    </w:p>
    <w:p w14:paraId="24BFD1FF">
      <w:pPr>
        <w:pStyle w:val="32"/>
        <w:adjustRightInd w:val="0"/>
        <w:snapToGrid w:val="0"/>
        <w:spacing w:before="50" w:line="360" w:lineRule="auto"/>
        <w:ind w:firstLine="420" w:firstLineChars="200"/>
        <w:jc w:val="left"/>
        <w:rPr>
          <w:rFonts w:ascii="宋体" w:hAnsi="宋体" w:cs="Courier New"/>
          <w:b/>
          <w:color w:val="auto"/>
          <w:szCs w:val="21"/>
          <w:highlight w:val="none"/>
        </w:rPr>
      </w:pPr>
      <w:r>
        <w:rPr>
          <w:rFonts w:hint="eastAsia" w:ascii="宋体" w:hAnsi="宋体" w:cs="Courier New"/>
          <w:color w:val="auto"/>
          <w:szCs w:val="21"/>
          <w:highlight w:val="none"/>
        </w:rPr>
        <w:t>9.1 质量标准</w:t>
      </w:r>
    </w:p>
    <w:p w14:paraId="025CCA2C">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1）本合同下交付的</w:t>
      </w:r>
      <w:r>
        <w:rPr>
          <w:rFonts w:hint="eastAsia" w:ascii="宋体" w:hAnsi="宋体"/>
          <w:color w:val="auto"/>
          <w:szCs w:val="21"/>
          <w:highlight w:val="none"/>
        </w:rPr>
        <w:t>服务和货物应符合磋商文件第五章“技术规格、参数与要求”所述的标准。如果没有提及适用标准，则应符合中华人民共和国有关机构发布的最新版本的标准。</w:t>
      </w:r>
    </w:p>
    <w:p w14:paraId="43B8C484">
      <w:pPr>
        <w:pStyle w:val="32"/>
        <w:adjustRightInd w:val="0"/>
        <w:snapToGrid w:val="0"/>
        <w:spacing w:before="50" w:line="360" w:lineRule="auto"/>
        <w:ind w:firstLine="420" w:firstLineChars="200"/>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2）采用中华人民共和国法定计量单位。</w:t>
      </w:r>
    </w:p>
    <w:p w14:paraId="38FF1CE7">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3）乙方所出售的</w:t>
      </w:r>
      <w:r>
        <w:rPr>
          <w:rFonts w:hint="eastAsia" w:ascii="宋体" w:hAnsi="宋体"/>
          <w:color w:val="auto"/>
          <w:szCs w:val="21"/>
          <w:highlight w:val="none"/>
        </w:rPr>
        <w:t>服务和货物还应符合国家有关安全、环保、卫生之规定。</w:t>
      </w:r>
    </w:p>
    <w:p w14:paraId="13380D1C">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9.2 保证</w:t>
      </w:r>
    </w:p>
    <w:p w14:paraId="28F52F60">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（1）乙方应保证所提供的服务能按国家或行业标准以及磋商文件要求。</w:t>
      </w:r>
    </w:p>
    <w:p w14:paraId="1DA1C8CF">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规定或乙方承诺（两者以较长的为准）的质量保证期内，本保证保持有效。</w:t>
      </w:r>
    </w:p>
    <w:p w14:paraId="248A7568">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（3）在质量保证期内所发现的缺陷，甲方应尽快以书面形式通知乙方。</w:t>
      </w:r>
    </w:p>
    <w:p w14:paraId="1FF02609">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71FDB3D5">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5）在</w:t>
      </w:r>
      <w:r>
        <w:rPr>
          <w:rFonts w:hint="eastAsia" w:ascii="宋体" w:hAnsi="宋体"/>
          <w:color w:val="auto"/>
          <w:szCs w:val="21"/>
          <w:highlight w:val="none"/>
        </w:rPr>
        <w:t>服务期内或货物的质量保证期内，如果服务或货物的质量或规格与合同不符，或证实服务或货物是有缺陷的，包括潜在的缺陷或使用不符合要求等，甲方可以根据本合同第</w:t>
      </w:r>
      <w:r>
        <w:rPr>
          <w:rFonts w:ascii="宋体" w:hAnsi="宋体"/>
          <w:color w:val="auto"/>
          <w:szCs w:val="21"/>
          <w:highlight w:val="none"/>
        </w:rPr>
        <w:t>15.1条规定以书面形式向乙方提出补救措施或索赔。</w:t>
      </w:r>
    </w:p>
    <w:p w14:paraId="3AF93F72">
      <w:pPr>
        <w:pStyle w:val="32"/>
        <w:adjustRightInd w:val="0"/>
        <w:snapToGrid w:val="0"/>
        <w:spacing w:before="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w:t>
      </w:r>
      <w:r>
        <w:rPr>
          <w:rFonts w:ascii="宋体" w:hAnsi="宋体"/>
          <w:color w:val="auto"/>
          <w:szCs w:val="21"/>
          <w:highlight w:val="none"/>
        </w:rPr>
        <w:t>6）乙方在约定的时间内未能弥补缺陷，甲方可采取必要的补救措施，但其风险和费用将由乙方承担，甲方根据合同规定对乙方行使的其他权利不受影响。</w:t>
      </w:r>
    </w:p>
    <w:p w14:paraId="3E44A8F5">
      <w:pPr>
        <w:pStyle w:val="32"/>
        <w:adjustRightInd w:val="0"/>
        <w:snapToGrid w:val="0"/>
        <w:spacing w:before="50" w:line="360" w:lineRule="auto"/>
        <w:jc w:val="left"/>
        <w:outlineLvl w:val="2"/>
        <w:rPr>
          <w:rFonts w:ascii="宋体" w:hAnsi="宋体"/>
          <w:b/>
          <w:bCs/>
          <w:color w:val="auto"/>
          <w:sz w:val="24"/>
          <w:szCs w:val="24"/>
          <w:highlight w:val="none"/>
        </w:rPr>
      </w:pPr>
      <w:bookmarkStart w:id="102" w:name="_Toc1049677117"/>
      <w:r>
        <w:rPr>
          <w:rFonts w:ascii="宋体" w:hAnsi="宋体"/>
          <w:b/>
          <w:bCs/>
          <w:color w:val="auto"/>
          <w:sz w:val="24"/>
          <w:szCs w:val="24"/>
          <w:highlight w:val="none"/>
        </w:rPr>
        <w:t>10.权利瑕疵担保</w:t>
      </w:r>
      <w:bookmarkEnd w:id="102"/>
    </w:p>
    <w:p w14:paraId="1120E3EB">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ascii="宋体" w:hAnsi="宋体"/>
          <w:color w:val="auto"/>
          <w:szCs w:val="21"/>
          <w:highlight w:val="none"/>
        </w:rPr>
        <w:t xml:space="preserve">10.1 </w:t>
      </w:r>
      <w:r>
        <w:rPr>
          <w:rFonts w:hint="eastAsia" w:ascii="宋体" w:hAnsi="宋体"/>
          <w:color w:val="auto"/>
          <w:szCs w:val="21"/>
          <w:highlight w:val="none"/>
        </w:rPr>
        <w:t>乙方保证对其出售的服务和货物享有合法的权利。</w:t>
      </w:r>
    </w:p>
    <w:p w14:paraId="17B63DD7">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ascii="宋体" w:hAnsi="宋体"/>
          <w:color w:val="auto"/>
          <w:szCs w:val="21"/>
          <w:highlight w:val="none"/>
        </w:rPr>
        <w:t xml:space="preserve">10.2 </w:t>
      </w:r>
      <w:r>
        <w:rPr>
          <w:rFonts w:hint="eastAsia" w:ascii="宋体" w:hAnsi="宋体"/>
          <w:color w:val="auto"/>
          <w:szCs w:val="21"/>
          <w:highlight w:val="none"/>
        </w:rPr>
        <w:t>乙方保证在其出售的服务和货物上不存在任何未曾向甲方透露的担保物权，如抵押权、质押权、留置权等。</w:t>
      </w:r>
    </w:p>
    <w:p w14:paraId="57969603">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ascii="宋体" w:hAnsi="宋体"/>
          <w:color w:val="auto"/>
          <w:szCs w:val="21"/>
          <w:highlight w:val="none"/>
        </w:rPr>
        <w:t xml:space="preserve">10.3 </w:t>
      </w:r>
      <w:r>
        <w:rPr>
          <w:rFonts w:hint="eastAsia" w:ascii="宋体" w:hAnsi="宋体"/>
          <w:color w:val="auto"/>
          <w:szCs w:val="21"/>
          <w:highlight w:val="none"/>
        </w:rPr>
        <w:t>如甲方使用该服务和货物构成上述侵权的，则由乙方承担全部责任。</w:t>
      </w:r>
    </w:p>
    <w:p w14:paraId="0B9CA46F">
      <w:pPr>
        <w:pStyle w:val="32"/>
        <w:autoSpaceDE w:val="0"/>
        <w:autoSpaceDN w:val="0"/>
        <w:adjustRightInd w:val="0"/>
        <w:snapToGrid w:val="0"/>
        <w:spacing w:before="50" w:line="360" w:lineRule="auto"/>
        <w:jc w:val="left"/>
        <w:outlineLvl w:val="2"/>
        <w:rPr>
          <w:rFonts w:ascii="宋体" w:hAnsi="宋体"/>
          <w:b/>
          <w:bCs/>
          <w:color w:val="auto"/>
          <w:sz w:val="24"/>
          <w:szCs w:val="24"/>
          <w:highlight w:val="none"/>
        </w:rPr>
      </w:pPr>
      <w:bookmarkStart w:id="103" w:name="_Toc345145314"/>
      <w:r>
        <w:rPr>
          <w:rFonts w:hint="eastAsia" w:ascii="宋体" w:hAnsi="宋体"/>
          <w:b/>
          <w:bCs/>
          <w:color w:val="auto"/>
          <w:sz w:val="24"/>
          <w:szCs w:val="24"/>
          <w:highlight w:val="none"/>
        </w:rPr>
        <w:t>11.知识产权保护</w:t>
      </w:r>
      <w:bookmarkEnd w:id="103"/>
    </w:p>
    <w:p w14:paraId="335F0B6A">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 乙方对其所销售的货物应当享有知识产权或经权利人合法授权，保证没有侵犯任何第三人的知识产权和商业秘密等权利。</w:t>
      </w:r>
    </w:p>
    <w:p w14:paraId="15380EAB">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11.2 甲方使用乙方提供的货物对第三人构成侵权的，应当由乙方承担全部法律责任，给甲方造成损害的，乙方应当承担赔偿责任。</w:t>
      </w:r>
    </w:p>
    <w:p w14:paraId="6EE4931B">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11.3 甲方委托乙方开发的产品，甲方享有知识产权，未经甲方许可不得转让任何第三人。</w:t>
      </w:r>
    </w:p>
    <w:p w14:paraId="79836FEB">
      <w:pPr>
        <w:pStyle w:val="32"/>
        <w:autoSpaceDE w:val="0"/>
        <w:autoSpaceDN w:val="0"/>
        <w:adjustRightInd w:val="0"/>
        <w:snapToGrid w:val="0"/>
        <w:spacing w:before="50" w:line="360" w:lineRule="auto"/>
        <w:jc w:val="left"/>
        <w:outlineLvl w:val="2"/>
        <w:rPr>
          <w:rFonts w:ascii="宋体" w:hAnsi="宋体"/>
          <w:b/>
          <w:bCs/>
          <w:color w:val="auto"/>
          <w:sz w:val="24"/>
          <w:szCs w:val="24"/>
          <w:highlight w:val="none"/>
        </w:rPr>
      </w:pPr>
      <w:bookmarkStart w:id="104" w:name="_Toc503961851"/>
      <w:r>
        <w:rPr>
          <w:rFonts w:hint="eastAsia" w:ascii="宋体" w:hAnsi="宋体"/>
          <w:b/>
          <w:bCs/>
          <w:color w:val="auto"/>
          <w:sz w:val="24"/>
          <w:szCs w:val="24"/>
          <w:highlight w:val="none"/>
        </w:rPr>
        <w:t>12.保密义务</w:t>
      </w:r>
      <w:bookmarkEnd w:id="104"/>
    </w:p>
    <w:p w14:paraId="7B24ADD7">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12.1 甲、乙双方在采购和履行合同过程中所获悉的对方属于保密的内容，双方均有保密义务。</w:t>
      </w:r>
    </w:p>
    <w:p w14:paraId="76F99222">
      <w:pPr>
        <w:pStyle w:val="32"/>
        <w:autoSpaceDE w:val="0"/>
        <w:autoSpaceDN w:val="0"/>
        <w:adjustRightInd w:val="0"/>
        <w:snapToGrid w:val="0"/>
        <w:spacing w:before="50" w:line="360" w:lineRule="auto"/>
        <w:jc w:val="left"/>
        <w:outlineLvl w:val="2"/>
        <w:rPr>
          <w:rFonts w:ascii="宋体" w:hAnsi="宋体"/>
          <w:b/>
          <w:bCs/>
          <w:color w:val="auto"/>
          <w:sz w:val="24"/>
          <w:szCs w:val="24"/>
          <w:highlight w:val="none"/>
        </w:rPr>
      </w:pPr>
      <w:bookmarkStart w:id="105" w:name="_Toc411325989"/>
      <w:r>
        <w:rPr>
          <w:rFonts w:hint="eastAsia" w:ascii="宋体" w:hAnsi="宋体"/>
          <w:b/>
          <w:bCs/>
          <w:color w:val="auto"/>
          <w:sz w:val="24"/>
          <w:szCs w:val="24"/>
          <w:highlight w:val="none"/>
        </w:rPr>
        <w:t>13.合同价款支付</w:t>
      </w:r>
      <w:bookmarkEnd w:id="105"/>
    </w:p>
    <w:p w14:paraId="0FBC0868">
      <w:pPr>
        <w:pStyle w:val="32"/>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13.1验收合格后，乙方出具正规发票给甲方，凭甲方开具的《政府采购合同验收报告单》办理合同价</w:t>
      </w:r>
      <w:r>
        <w:rPr>
          <w:rFonts w:hint="eastAsia" w:ascii="宋体" w:hAnsi="宋体"/>
          <w:bCs/>
          <w:color w:val="auto"/>
          <w:szCs w:val="21"/>
          <w:highlight w:val="none"/>
        </w:rPr>
        <w:t>款</w:t>
      </w:r>
      <w:r>
        <w:rPr>
          <w:rFonts w:hint="eastAsia" w:ascii="宋体" w:hAnsi="宋体"/>
          <w:color w:val="auto"/>
          <w:szCs w:val="21"/>
          <w:highlight w:val="none"/>
        </w:rPr>
        <w:t>结算手续。</w:t>
      </w:r>
    </w:p>
    <w:p w14:paraId="00DFA1D6">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13.2 合同价款构成中应当由财政支付的部分，甲方应当在服务和货物验收合格后的十五个工作日内向国库管理部门申请支付，经国库管理部门审核后直接支付给乙方。</w:t>
      </w:r>
    </w:p>
    <w:p w14:paraId="0E9521C5">
      <w:pPr>
        <w:pStyle w:val="32"/>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13.3 合同价款构成中应当由甲方自行支付的部分，甲方应当在服务和货物验收合格后按规定支付。</w:t>
      </w:r>
    </w:p>
    <w:p w14:paraId="618C2B22">
      <w:pPr>
        <w:pStyle w:val="32"/>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13.4支付合同价</w:t>
      </w:r>
      <w:r>
        <w:rPr>
          <w:rFonts w:hint="eastAsia" w:ascii="宋体" w:hAnsi="宋体"/>
          <w:bCs/>
          <w:color w:val="auto"/>
          <w:szCs w:val="21"/>
          <w:highlight w:val="none"/>
        </w:rPr>
        <w:t>款</w:t>
      </w:r>
      <w:r>
        <w:rPr>
          <w:rFonts w:hint="eastAsia" w:ascii="宋体" w:hAnsi="宋体"/>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0E59DFA7">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13.5 合同价款支付方式</w:t>
      </w:r>
      <w:r>
        <w:rPr>
          <w:rFonts w:hint="eastAsia" w:ascii="宋体" w:hAnsi="宋体"/>
          <w:bCs/>
          <w:color w:val="auto"/>
          <w:szCs w:val="21"/>
          <w:highlight w:val="none"/>
        </w:rPr>
        <w:t>和条件在</w:t>
      </w:r>
      <w:r>
        <w:rPr>
          <w:rFonts w:hint="eastAsia" w:ascii="宋体" w:hAnsi="宋体"/>
          <w:b/>
          <w:color w:val="auto"/>
          <w:szCs w:val="21"/>
          <w:highlight w:val="none"/>
        </w:rPr>
        <w:t>【政府采购合同专用条款】</w:t>
      </w:r>
      <w:r>
        <w:rPr>
          <w:rFonts w:hint="eastAsia" w:ascii="宋体" w:hAnsi="宋体"/>
          <w:color w:val="auto"/>
          <w:szCs w:val="21"/>
          <w:highlight w:val="none"/>
        </w:rPr>
        <w:t>中另有规定。</w:t>
      </w:r>
    </w:p>
    <w:p w14:paraId="6B77AA93">
      <w:pPr>
        <w:pStyle w:val="32"/>
        <w:autoSpaceDE w:val="0"/>
        <w:autoSpaceDN w:val="0"/>
        <w:adjustRightInd w:val="0"/>
        <w:snapToGrid w:val="0"/>
        <w:spacing w:before="50" w:line="360" w:lineRule="auto"/>
        <w:jc w:val="left"/>
        <w:outlineLvl w:val="2"/>
        <w:rPr>
          <w:rFonts w:ascii="宋体" w:hAnsi="宋体"/>
          <w:b/>
          <w:color w:val="auto"/>
          <w:sz w:val="24"/>
          <w:szCs w:val="24"/>
          <w:highlight w:val="none"/>
        </w:rPr>
      </w:pPr>
      <w:bookmarkStart w:id="106" w:name="_Toc406037430"/>
      <w:r>
        <w:rPr>
          <w:rFonts w:hint="eastAsia" w:ascii="宋体" w:hAnsi="宋体"/>
          <w:b/>
          <w:bCs/>
          <w:color w:val="auto"/>
          <w:sz w:val="24"/>
          <w:szCs w:val="24"/>
          <w:highlight w:val="none"/>
        </w:rPr>
        <w:t>14.</w:t>
      </w:r>
      <w:r>
        <w:rPr>
          <w:rFonts w:hint="eastAsia" w:ascii="Times New Roman" w:hAnsi="Times New Roman"/>
          <w:b/>
          <w:color w:val="auto"/>
          <w:sz w:val="24"/>
          <w:szCs w:val="24"/>
          <w:highlight w:val="none"/>
        </w:rPr>
        <w:t>乙方应提供的</w:t>
      </w:r>
      <w:r>
        <w:rPr>
          <w:rFonts w:hint="eastAsia" w:ascii="宋体" w:hAnsi="宋体"/>
          <w:b/>
          <w:color w:val="auto"/>
          <w:sz w:val="24"/>
          <w:szCs w:val="24"/>
          <w:highlight w:val="none"/>
        </w:rPr>
        <w:t>服务</w:t>
      </w:r>
      <w:bookmarkEnd w:id="106"/>
    </w:p>
    <w:p w14:paraId="397812ED">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ascii="宋体" w:hAnsi="宋体"/>
          <w:color w:val="auto"/>
          <w:szCs w:val="21"/>
          <w:highlight w:val="none"/>
        </w:rPr>
        <w:t>14.1乙方应向甲方按</w:t>
      </w:r>
      <w:r>
        <w:rPr>
          <w:rFonts w:hint="eastAsia" w:ascii="宋体" w:hAnsi="宋体"/>
          <w:color w:val="auto"/>
          <w:szCs w:val="21"/>
          <w:highlight w:val="none"/>
        </w:rPr>
        <w:t>磋商文件</w:t>
      </w:r>
      <w:r>
        <w:rPr>
          <w:rFonts w:ascii="宋体" w:hAnsi="宋体"/>
          <w:color w:val="auto"/>
          <w:szCs w:val="21"/>
          <w:highlight w:val="none"/>
        </w:rPr>
        <w:t>要求及国家或行业服务标准提供服务。</w:t>
      </w:r>
    </w:p>
    <w:p w14:paraId="03F88BC4">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14.2乙方应向甲方提交所提供货物的技术文件，包括相应的中文技术文件，如：产品目录、图纸、操作手册、使用说明、维护手册或服务指南。这些文件应包装好随同货物一起发运。</w:t>
      </w:r>
    </w:p>
    <w:p w14:paraId="1C7965D4">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14.2.1乙方还应提供下列服务：</w:t>
      </w:r>
    </w:p>
    <w:p w14:paraId="5A41CA32">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192F9E62">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376813AF">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（3）在合同各方商定的一定期限内对所有的货物实施运行监督、维修，但前提条件是该服务并不能免除乙方在质量保证期内所承担的义务；</w:t>
      </w:r>
    </w:p>
    <w:p w14:paraId="616F4987">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（4）在制造商或项目现场就货物的安装、启动、运营、维护对甲方操作人员进行培训；</w:t>
      </w:r>
    </w:p>
    <w:p w14:paraId="3416D261">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153672AE">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14.3 乙方提供的服务的费用应包含在合同价款中，甲方不再另行支付。</w:t>
      </w:r>
    </w:p>
    <w:p w14:paraId="0969BB98">
      <w:pPr>
        <w:pStyle w:val="32"/>
        <w:adjustRightInd w:val="0"/>
        <w:snapToGrid w:val="0"/>
        <w:spacing w:before="50" w:line="360" w:lineRule="auto"/>
        <w:jc w:val="left"/>
        <w:outlineLvl w:val="2"/>
        <w:rPr>
          <w:rFonts w:ascii="宋体" w:hAnsi="宋体"/>
          <w:b/>
          <w:bCs/>
          <w:color w:val="auto"/>
          <w:sz w:val="24"/>
          <w:szCs w:val="24"/>
          <w:highlight w:val="none"/>
        </w:rPr>
      </w:pPr>
      <w:bookmarkStart w:id="107" w:name="_Toc1715539491"/>
      <w:r>
        <w:rPr>
          <w:rFonts w:hint="eastAsia" w:ascii="宋体" w:hAnsi="宋体"/>
          <w:b/>
          <w:bCs/>
          <w:color w:val="auto"/>
          <w:sz w:val="24"/>
          <w:szCs w:val="24"/>
          <w:highlight w:val="none"/>
        </w:rPr>
        <w:t>15.违约责任</w:t>
      </w:r>
      <w:bookmarkEnd w:id="107"/>
    </w:p>
    <w:p w14:paraId="209F0509">
      <w:pPr>
        <w:pStyle w:val="32"/>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15.1质量瑕疵的补救措施和索赔</w:t>
      </w:r>
    </w:p>
    <w:p w14:paraId="0C52D9E9">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如果乙方提供的服务或货物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058DA43">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①乙方同意解除服务或货物退货并将货款退还给甲方，由此发生的一切费用和损失由乙方承担。</w:t>
      </w:r>
    </w:p>
    <w:p w14:paraId="196EE7BE">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②根据服务或货物的质量状况以及甲方所遭受的损失，经过甲乙双方商定降低货物的价格。</w:t>
      </w:r>
    </w:p>
    <w:p w14:paraId="5596857F">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③乙方应在接到甲方通知后七日内负责采用符合合同规定的服务内容要求或货物规格、质量和性能要求的新零件、部件和设备来更换有缺陷的部分或修补缺陷部分，其费用由乙方负担。同时，乙方应在约定的质量保证期基础上相应延长修补和更换件的质量保证期。</w:t>
      </w:r>
    </w:p>
    <w:p w14:paraId="7FE7CF41">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担保金，如不足以弥补甲方损失的，甲方有权进一步要求乙方赔偿。</w:t>
      </w:r>
    </w:p>
    <w:p w14:paraId="46CFDF9E">
      <w:pPr>
        <w:pStyle w:val="32"/>
        <w:autoSpaceDE w:val="0"/>
        <w:autoSpaceDN w:val="0"/>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15.2 迟延交货的违约责任</w:t>
      </w:r>
    </w:p>
    <w:p w14:paraId="2A51F2D9">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5784B966">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（2）除本合同</w:t>
      </w:r>
      <w:r>
        <w:rPr>
          <w:rFonts w:hint="eastAsia" w:ascii="宋体" w:hAnsi="宋体"/>
          <w:bCs/>
          <w:color w:val="auto"/>
          <w:szCs w:val="21"/>
          <w:highlight w:val="none"/>
        </w:rPr>
        <w:t>第20条</w:t>
      </w:r>
      <w:r>
        <w:rPr>
          <w:rFonts w:hint="eastAsia" w:ascii="宋体" w:hAnsi="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2E638FAD">
      <w:pPr>
        <w:pStyle w:val="32"/>
        <w:autoSpaceDE w:val="0"/>
        <w:autoSpaceDN w:val="0"/>
        <w:adjustRightInd w:val="0"/>
        <w:snapToGrid w:val="0"/>
        <w:spacing w:before="50" w:line="360" w:lineRule="auto"/>
        <w:ind w:firstLine="420" w:firstLineChars="200"/>
        <w:jc w:val="left"/>
        <w:rPr>
          <w:rFonts w:ascii="宋体" w:hAnsi="宋体"/>
          <w:b/>
          <w:bCs/>
          <w:color w:val="auto"/>
          <w:szCs w:val="21"/>
          <w:highlight w:val="none"/>
        </w:rPr>
      </w:pPr>
      <w:r>
        <w:rPr>
          <w:rFonts w:hint="eastAsia" w:ascii="宋体" w:hAnsi="宋体"/>
          <w:color w:val="auto"/>
          <w:szCs w:val="21"/>
          <w:highlight w:val="none"/>
        </w:rPr>
        <w:t>（3）如果乙方延迟提供服务，甲方有权终止全部或部分合同，并依其认为适当的条件和方法购买服务，乙方应对购买服务超出的那部分费用负责。经甲方同意，乙方可继续执行合同中未终止的部分。</w:t>
      </w:r>
    </w:p>
    <w:p w14:paraId="536B614C">
      <w:pPr>
        <w:pStyle w:val="32"/>
        <w:autoSpaceDE w:val="0"/>
        <w:autoSpaceDN w:val="0"/>
        <w:adjustRightInd w:val="0"/>
        <w:snapToGrid w:val="0"/>
        <w:spacing w:before="50" w:line="360" w:lineRule="auto"/>
        <w:jc w:val="left"/>
        <w:outlineLvl w:val="2"/>
        <w:rPr>
          <w:rFonts w:ascii="宋体" w:hAnsi="宋体"/>
          <w:b/>
          <w:color w:val="auto"/>
          <w:sz w:val="24"/>
          <w:szCs w:val="24"/>
          <w:highlight w:val="none"/>
        </w:rPr>
      </w:pPr>
      <w:bookmarkStart w:id="108" w:name="_Toc956780615"/>
      <w:r>
        <w:rPr>
          <w:rFonts w:hint="eastAsia" w:ascii="宋体" w:hAnsi="宋体"/>
          <w:b/>
          <w:color w:val="auto"/>
          <w:sz w:val="24"/>
          <w:szCs w:val="24"/>
          <w:highlight w:val="none"/>
        </w:rPr>
        <w:t>16.合同的变更</w:t>
      </w:r>
      <w:bookmarkEnd w:id="108"/>
    </w:p>
    <w:p w14:paraId="6D386AB6">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16.1 在合同履行过程中，甲、乙双方可就合同履行的时间、地点和方式等协商进行变更。协商一致后，双方应签订书面的补充协议。</w:t>
      </w:r>
    </w:p>
    <w:p w14:paraId="04321792">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16.2 在不改变合同其他条款的前提下，甲方有权在合同价款百分之十的范围内追加与合同标的相同的货物或服务，并就此与乙方签订补充合同，乙方不得拒绝。</w:t>
      </w:r>
    </w:p>
    <w:p w14:paraId="7DC153EE">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16.3 除双方签署书面协议，并成为合同不可分割的一部分外，本合同条件不得有任何变更。</w:t>
      </w:r>
    </w:p>
    <w:p w14:paraId="7C26048E">
      <w:pPr>
        <w:pStyle w:val="32"/>
        <w:autoSpaceDE w:val="0"/>
        <w:autoSpaceDN w:val="0"/>
        <w:adjustRightInd w:val="0"/>
        <w:snapToGrid w:val="0"/>
        <w:spacing w:before="50" w:line="360" w:lineRule="auto"/>
        <w:jc w:val="left"/>
        <w:outlineLvl w:val="2"/>
        <w:rPr>
          <w:rFonts w:ascii="宋体" w:hAnsi="宋体"/>
          <w:b/>
          <w:color w:val="auto"/>
          <w:sz w:val="24"/>
          <w:szCs w:val="24"/>
          <w:highlight w:val="none"/>
        </w:rPr>
      </w:pPr>
      <w:bookmarkStart w:id="109" w:name="_Toc254247569"/>
      <w:r>
        <w:rPr>
          <w:rFonts w:hint="eastAsia" w:ascii="宋体" w:hAnsi="宋体"/>
          <w:b/>
          <w:color w:val="auto"/>
          <w:sz w:val="24"/>
          <w:szCs w:val="24"/>
          <w:highlight w:val="none"/>
        </w:rPr>
        <w:t>17.合同中止与终止</w:t>
      </w:r>
      <w:bookmarkEnd w:id="109"/>
    </w:p>
    <w:p w14:paraId="2B1B3FAB">
      <w:pPr>
        <w:pStyle w:val="32"/>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17.1合同的中止</w:t>
      </w:r>
    </w:p>
    <w:p w14:paraId="236245FF">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（1）合同在履行过程中，因采购计划调整，甲方可以要求中止履行，待计划确定后继续履行；</w:t>
      </w:r>
    </w:p>
    <w:p w14:paraId="5197A8DC">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（2）合同履行过程中因供应商就采购过程或结果提起投诉的，甲方认为有必要或财政部门责令中止的，应当中止合同的履行。</w:t>
      </w:r>
    </w:p>
    <w:p w14:paraId="3DE8D1E6">
      <w:pPr>
        <w:pStyle w:val="32"/>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17.2合同的终止</w:t>
      </w:r>
    </w:p>
    <w:p w14:paraId="2149481A">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793F02AE">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（2）乙方未能依照本合同约定条件履行合同，已构成根本性违约的，甲方有权终止本合同，并追究乙方的违约责任。</w:t>
      </w:r>
    </w:p>
    <w:p w14:paraId="63693EEF">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（3）如果乙方丧失履约能力或被宣告破产，甲方可在任何时候以书面形式通知乙方终止合同而不给乙方补偿。</w:t>
      </w:r>
    </w:p>
    <w:p w14:paraId="0E1D88A3">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（4）如果乙方在履行合同过程中有不正当竞争行为，甲方有权解除合同，并按《中华人民共和国反不正当竞争法》规定由有关部门追究其法律责任。</w:t>
      </w:r>
    </w:p>
    <w:p w14:paraId="4313E899">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（5）如果合同的履行将损害国家利益或社会公共利益，甲方有权终止合同的履行，给乙方造成损失的予以相应补偿。</w:t>
      </w:r>
    </w:p>
    <w:p w14:paraId="64D0C916">
      <w:pPr>
        <w:pStyle w:val="32"/>
        <w:autoSpaceDE w:val="0"/>
        <w:autoSpaceDN w:val="0"/>
        <w:adjustRightInd w:val="0"/>
        <w:snapToGrid w:val="0"/>
        <w:spacing w:before="50" w:line="360" w:lineRule="auto"/>
        <w:jc w:val="left"/>
        <w:outlineLvl w:val="2"/>
        <w:rPr>
          <w:rFonts w:ascii="宋体" w:hAnsi="宋体"/>
          <w:b/>
          <w:bCs/>
          <w:color w:val="auto"/>
          <w:sz w:val="24"/>
          <w:szCs w:val="24"/>
          <w:highlight w:val="none"/>
        </w:rPr>
      </w:pPr>
      <w:bookmarkStart w:id="110" w:name="_Toc1793918300"/>
      <w:r>
        <w:rPr>
          <w:rFonts w:hint="eastAsia" w:ascii="宋体" w:hAnsi="宋体"/>
          <w:b/>
          <w:bCs/>
          <w:color w:val="auto"/>
          <w:sz w:val="24"/>
          <w:szCs w:val="24"/>
          <w:highlight w:val="none"/>
        </w:rPr>
        <w:t>18.合同转让和分包</w:t>
      </w:r>
      <w:bookmarkEnd w:id="110"/>
    </w:p>
    <w:p w14:paraId="0D506B09">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18.1 乙方不得以任何形式将合同转包。</w:t>
      </w:r>
    </w:p>
    <w:p w14:paraId="14B44B86">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18.2 乙方未在响应文件中说明，不得将</w:t>
      </w:r>
      <w:r>
        <w:rPr>
          <w:rFonts w:hint="eastAsia" w:ascii="宋体" w:hAnsi="宋体"/>
          <w:bCs/>
          <w:color w:val="auto"/>
          <w:szCs w:val="21"/>
          <w:highlight w:val="none"/>
        </w:rPr>
        <w:t>合同</w:t>
      </w:r>
      <w:r>
        <w:rPr>
          <w:rFonts w:hint="eastAsia" w:ascii="宋体" w:hAnsi="宋体"/>
          <w:color w:val="auto"/>
          <w:szCs w:val="21"/>
          <w:highlight w:val="none"/>
        </w:rPr>
        <w:t>的非主体、非关键性工作分包给他人。</w:t>
      </w:r>
    </w:p>
    <w:p w14:paraId="1785F55D">
      <w:pPr>
        <w:pStyle w:val="32"/>
        <w:autoSpaceDE w:val="0"/>
        <w:autoSpaceDN w:val="0"/>
        <w:adjustRightInd w:val="0"/>
        <w:snapToGrid w:val="0"/>
        <w:spacing w:before="50" w:line="360" w:lineRule="auto"/>
        <w:jc w:val="left"/>
        <w:outlineLvl w:val="2"/>
        <w:rPr>
          <w:rFonts w:ascii="宋体" w:hAnsi="宋体"/>
          <w:b/>
          <w:bCs/>
          <w:color w:val="auto"/>
          <w:sz w:val="24"/>
          <w:szCs w:val="24"/>
          <w:highlight w:val="none"/>
        </w:rPr>
      </w:pPr>
      <w:bookmarkStart w:id="111" w:name="_Toc1861947867"/>
      <w:r>
        <w:rPr>
          <w:rFonts w:hint="eastAsia" w:ascii="宋体" w:hAnsi="宋体"/>
          <w:b/>
          <w:bCs/>
          <w:color w:val="auto"/>
          <w:sz w:val="24"/>
          <w:szCs w:val="24"/>
          <w:highlight w:val="none"/>
        </w:rPr>
        <w:t>19.不可抗力</w:t>
      </w:r>
      <w:bookmarkEnd w:id="111"/>
    </w:p>
    <w:p w14:paraId="30DE18CB">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19.1 不可抗力是指合同双方不可预见、不可避免、不可克服的自然灾害和社会事件。</w:t>
      </w:r>
    </w:p>
    <w:p w14:paraId="26C4B314">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19.2 任何一方对由于不可抗力造成的部分或全部不能履行合同不承担违约责任。但迟延履行后发生不可抗力的，不能免除责任。</w:t>
      </w:r>
    </w:p>
    <w:p w14:paraId="29CD2CEA">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71C4A121">
      <w:pPr>
        <w:pStyle w:val="32"/>
        <w:autoSpaceDE w:val="0"/>
        <w:autoSpaceDN w:val="0"/>
        <w:adjustRightInd w:val="0"/>
        <w:snapToGrid w:val="0"/>
        <w:spacing w:before="50" w:line="360" w:lineRule="auto"/>
        <w:jc w:val="left"/>
        <w:outlineLvl w:val="2"/>
        <w:rPr>
          <w:rFonts w:ascii="宋体" w:hAnsi="宋体"/>
          <w:b/>
          <w:bCs/>
          <w:color w:val="auto"/>
          <w:sz w:val="24"/>
          <w:szCs w:val="24"/>
          <w:highlight w:val="none"/>
        </w:rPr>
      </w:pPr>
      <w:bookmarkStart w:id="112" w:name="_Toc626096585"/>
      <w:r>
        <w:rPr>
          <w:rFonts w:hint="eastAsia" w:ascii="宋体" w:hAnsi="宋体"/>
          <w:b/>
          <w:bCs/>
          <w:color w:val="auto"/>
          <w:sz w:val="24"/>
          <w:szCs w:val="24"/>
          <w:highlight w:val="none"/>
        </w:rPr>
        <w:t>20.解决争议的方法</w:t>
      </w:r>
      <w:bookmarkEnd w:id="112"/>
    </w:p>
    <w:p w14:paraId="5D2958DB">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20.1 合同各方应通过友好协商，解决在执行合同过程中所发生的或与合同有关的一切争端。如从协商开始后十日内仍不能解决，可以向财政部门提请调解。</w:t>
      </w:r>
    </w:p>
    <w:p w14:paraId="2B81891B">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20.2 调解不成可以按</w:t>
      </w:r>
      <w:r>
        <w:rPr>
          <w:rFonts w:hint="eastAsia" w:ascii="宋体" w:hAnsi="宋体"/>
          <w:b/>
          <w:color w:val="auto"/>
          <w:szCs w:val="21"/>
          <w:highlight w:val="none"/>
        </w:rPr>
        <w:t>【政府采购合同专用条款】</w:t>
      </w:r>
      <w:r>
        <w:rPr>
          <w:rFonts w:hint="eastAsia" w:ascii="宋体" w:hAnsi="宋体"/>
          <w:color w:val="auto"/>
          <w:szCs w:val="21"/>
          <w:highlight w:val="none"/>
        </w:rPr>
        <w:t>中约定中规定下列方式之一提起仲裁或诉讼：</w:t>
      </w:r>
    </w:p>
    <w:p w14:paraId="45BEAD5E">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（1）向甲方所在地仲裁机构提起仲裁；</w:t>
      </w:r>
    </w:p>
    <w:p w14:paraId="6FD4AAA2">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（2）向甲方所在地人民法院提起诉讼。</w:t>
      </w:r>
    </w:p>
    <w:p w14:paraId="6780BCD9">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20.3 如仲裁或诉讼事项不影响合同其它部分的履行，则在仲裁或诉讼期间，除正在进行仲裁或诉讼的部分外，合同的其它部分应继续执行。</w:t>
      </w:r>
    </w:p>
    <w:p w14:paraId="34A6B318">
      <w:pPr>
        <w:pStyle w:val="32"/>
        <w:autoSpaceDE w:val="0"/>
        <w:autoSpaceDN w:val="0"/>
        <w:adjustRightInd w:val="0"/>
        <w:snapToGrid w:val="0"/>
        <w:spacing w:before="50" w:line="360" w:lineRule="auto"/>
        <w:jc w:val="left"/>
        <w:outlineLvl w:val="2"/>
        <w:rPr>
          <w:rFonts w:ascii="宋体" w:hAnsi="宋体"/>
          <w:b/>
          <w:color w:val="auto"/>
          <w:sz w:val="24"/>
          <w:szCs w:val="24"/>
          <w:highlight w:val="none"/>
        </w:rPr>
      </w:pPr>
      <w:bookmarkStart w:id="113" w:name="_Toc135433795"/>
      <w:r>
        <w:rPr>
          <w:rFonts w:hint="eastAsia" w:ascii="宋体" w:hAnsi="宋体"/>
          <w:b/>
          <w:color w:val="auto"/>
          <w:sz w:val="24"/>
          <w:szCs w:val="24"/>
          <w:highlight w:val="none"/>
        </w:rPr>
        <w:t>21.法律适用</w:t>
      </w:r>
      <w:bookmarkEnd w:id="113"/>
    </w:p>
    <w:p w14:paraId="7D2C98A2">
      <w:pPr>
        <w:pStyle w:val="32"/>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21.1 本合同适用中华人民共和国现行法律、行政法规和规章，如合同条款与法律、行政法规和规章不一致的，按照法律、行政法规和规章修改本合同。</w:t>
      </w:r>
    </w:p>
    <w:p w14:paraId="3F04A588">
      <w:pPr>
        <w:pStyle w:val="32"/>
        <w:autoSpaceDE w:val="0"/>
        <w:autoSpaceDN w:val="0"/>
        <w:adjustRightInd w:val="0"/>
        <w:snapToGrid w:val="0"/>
        <w:spacing w:before="50" w:line="360" w:lineRule="auto"/>
        <w:jc w:val="left"/>
        <w:outlineLvl w:val="2"/>
        <w:rPr>
          <w:rFonts w:ascii="宋体" w:hAnsi="宋体"/>
          <w:b/>
          <w:color w:val="auto"/>
          <w:sz w:val="24"/>
          <w:szCs w:val="24"/>
          <w:highlight w:val="none"/>
        </w:rPr>
      </w:pPr>
      <w:bookmarkStart w:id="114" w:name="_Toc2050610392"/>
      <w:r>
        <w:rPr>
          <w:rFonts w:hint="eastAsia" w:ascii="宋体" w:hAnsi="宋体"/>
          <w:b/>
          <w:bCs/>
          <w:color w:val="auto"/>
          <w:sz w:val="24"/>
          <w:szCs w:val="24"/>
          <w:highlight w:val="none"/>
        </w:rPr>
        <w:t>22.</w:t>
      </w:r>
      <w:r>
        <w:rPr>
          <w:rFonts w:hint="eastAsia" w:ascii="宋体" w:hAnsi="宋体"/>
          <w:b/>
          <w:color w:val="auto"/>
          <w:sz w:val="24"/>
          <w:szCs w:val="24"/>
          <w:highlight w:val="none"/>
        </w:rPr>
        <w:t>通知</w:t>
      </w:r>
      <w:bookmarkEnd w:id="114"/>
    </w:p>
    <w:p w14:paraId="7AD29B28">
      <w:pPr>
        <w:pStyle w:val="32"/>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22.1本合同一方给另一方的通知均应采用书面形式，传真或快递送到本合同中规定的对方的地址和办理签收手续，</w:t>
      </w:r>
    </w:p>
    <w:p w14:paraId="224AE0F1">
      <w:pPr>
        <w:pStyle w:val="32"/>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22.2通知以送到之日或通知书中规定的生效之日起生效，两者中以较迟之日为准。</w:t>
      </w:r>
    </w:p>
    <w:p w14:paraId="20132F4A">
      <w:pPr>
        <w:pStyle w:val="32"/>
        <w:adjustRightInd w:val="0"/>
        <w:snapToGrid w:val="0"/>
        <w:spacing w:before="50" w:line="360" w:lineRule="auto"/>
        <w:jc w:val="left"/>
        <w:outlineLvl w:val="2"/>
        <w:rPr>
          <w:rFonts w:ascii="宋体" w:hAnsi="宋体"/>
          <w:b/>
          <w:bCs/>
          <w:color w:val="auto"/>
          <w:sz w:val="24"/>
          <w:szCs w:val="24"/>
          <w:highlight w:val="none"/>
        </w:rPr>
      </w:pPr>
      <w:bookmarkStart w:id="115" w:name="_Toc1791291288"/>
      <w:r>
        <w:rPr>
          <w:rFonts w:hint="eastAsia" w:ascii="宋体" w:hAnsi="宋体"/>
          <w:b/>
          <w:bCs/>
          <w:color w:val="auto"/>
          <w:sz w:val="24"/>
          <w:szCs w:val="24"/>
          <w:highlight w:val="none"/>
        </w:rPr>
        <w:t>23. 合同未尽事项</w:t>
      </w:r>
      <w:bookmarkEnd w:id="115"/>
    </w:p>
    <w:p w14:paraId="78887E07">
      <w:pPr>
        <w:pStyle w:val="32"/>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p>
    <w:p w14:paraId="6665038C">
      <w:pPr>
        <w:pStyle w:val="32"/>
        <w:adjustRightInd w:val="0"/>
        <w:snapToGrid w:val="0"/>
        <w:spacing w:before="50" w:line="360" w:lineRule="auto"/>
        <w:jc w:val="left"/>
        <w:outlineLvl w:val="2"/>
        <w:rPr>
          <w:rFonts w:ascii="宋体" w:hAnsi="宋体"/>
          <w:b/>
          <w:bCs/>
          <w:color w:val="auto"/>
          <w:sz w:val="24"/>
          <w:szCs w:val="24"/>
          <w:highlight w:val="none"/>
        </w:rPr>
      </w:pPr>
      <w:bookmarkStart w:id="116" w:name="_Toc659430123"/>
      <w:r>
        <w:rPr>
          <w:rFonts w:hint="eastAsia" w:ascii="宋体" w:hAnsi="宋体"/>
          <w:b/>
          <w:bCs/>
          <w:color w:val="auto"/>
          <w:sz w:val="24"/>
          <w:szCs w:val="24"/>
          <w:highlight w:val="none"/>
        </w:rPr>
        <w:t>24.合同生效</w:t>
      </w:r>
      <w:bookmarkEnd w:id="116"/>
    </w:p>
    <w:p w14:paraId="0A987EC5">
      <w:pPr>
        <w:pStyle w:val="32"/>
        <w:autoSpaceDE w:val="0"/>
        <w:autoSpaceDN w:val="0"/>
        <w:adjustRightInd w:val="0"/>
        <w:snapToGrid w:val="0"/>
        <w:spacing w:before="50" w:line="360" w:lineRule="auto"/>
        <w:ind w:firstLine="420" w:firstLineChars="200"/>
        <w:jc w:val="left"/>
        <w:rPr>
          <w:rFonts w:ascii="黑体" w:hAnsi="黑体" w:eastAsia="黑体"/>
          <w:b/>
          <w:bCs/>
          <w:color w:val="auto"/>
          <w:sz w:val="32"/>
          <w:szCs w:val="24"/>
          <w:highlight w:val="none"/>
        </w:rPr>
      </w:pPr>
      <w:r>
        <w:rPr>
          <w:rFonts w:hint="eastAsia" w:ascii="宋体" w:hAnsi="宋体"/>
          <w:color w:val="auto"/>
          <w:szCs w:val="21"/>
          <w:highlight w:val="none"/>
        </w:rPr>
        <w:t>24.1 本合同在合同双方签字盖章后生效。</w:t>
      </w:r>
      <w:r>
        <w:rPr>
          <w:rFonts w:ascii="黑体" w:hAnsi="黑体" w:eastAsia="黑体"/>
          <w:b/>
          <w:bCs/>
          <w:color w:val="auto"/>
          <w:sz w:val="32"/>
          <w:szCs w:val="24"/>
          <w:highlight w:val="none"/>
        </w:rPr>
        <w:br w:type="page"/>
      </w:r>
    </w:p>
    <w:p w14:paraId="10E21CEA">
      <w:pPr>
        <w:pStyle w:val="32"/>
        <w:keepNext/>
        <w:keepLines/>
        <w:adjustRightInd w:val="0"/>
        <w:snapToGrid w:val="0"/>
        <w:spacing w:line="360" w:lineRule="auto"/>
        <w:ind w:firstLine="482" w:firstLineChars="200"/>
        <w:jc w:val="center"/>
        <w:outlineLvl w:val="1"/>
        <w:rPr>
          <w:rFonts w:ascii="黑体" w:hAnsi="华文中宋" w:eastAsia="黑体"/>
          <w:b/>
          <w:bCs/>
          <w:color w:val="auto"/>
          <w:sz w:val="24"/>
          <w:szCs w:val="24"/>
          <w:highlight w:val="none"/>
        </w:rPr>
      </w:pPr>
      <w:bookmarkStart w:id="117" w:name="_Toc2026458741"/>
      <w:bookmarkStart w:id="118" w:name="_Toc256000047"/>
      <w:bookmarkStart w:id="119" w:name="_Toc3153"/>
      <w:r>
        <w:rPr>
          <w:rFonts w:hint="eastAsia" w:ascii="黑体" w:hAnsi="华文中宋" w:eastAsia="黑体"/>
          <w:b/>
          <w:bCs/>
          <w:color w:val="auto"/>
          <w:sz w:val="24"/>
          <w:szCs w:val="24"/>
          <w:highlight w:val="none"/>
        </w:rPr>
        <w:t>三、政府采购合同专用条款</w:t>
      </w:r>
      <w:bookmarkEnd w:id="117"/>
      <w:bookmarkEnd w:id="118"/>
      <w:bookmarkEnd w:id="119"/>
    </w:p>
    <w:p w14:paraId="19C7B9BB">
      <w:pPr>
        <w:pStyle w:val="32"/>
        <w:rPr>
          <w:color w:val="auto"/>
          <w:highlight w:val="none"/>
        </w:rPr>
        <w:sectPr>
          <w:pgSz w:w="11906" w:h="16838"/>
          <w:pgMar w:top="1440" w:right="1800" w:bottom="1440" w:left="1800" w:header="851" w:footer="992" w:gutter="0"/>
          <w:cols w:space="720" w:num="1"/>
          <w:docGrid w:type="lines" w:linePitch="312" w:charSpace="0"/>
        </w:sectPr>
      </w:pPr>
      <w:r>
        <w:rPr>
          <w:rFonts w:hint="eastAsia" w:ascii="Times New Roman" w:hAnsi="Times New Roman"/>
          <w:color w:val="auto"/>
          <w:szCs w:val="24"/>
          <w:highlight w:val="none"/>
        </w:rPr>
        <w:t>列表内容详见第四章采购需求</w:t>
      </w:r>
    </w:p>
    <w:tbl>
      <w:tblPr>
        <w:tblStyle w:val="21"/>
        <w:tblW w:w="0" w:type="auto"/>
        <w:tblInd w:w="-1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14C0E1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2D62477">
            <w:pPr>
              <w:pStyle w:val="34"/>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第三章第二</w:t>
            </w:r>
          </w:p>
          <w:p w14:paraId="50B441DF">
            <w:pPr>
              <w:pStyle w:val="34"/>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第1.1款</w:t>
            </w:r>
          </w:p>
        </w:tc>
        <w:tc>
          <w:tcPr>
            <w:tcW w:w="1843" w:type="dxa"/>
            <w:vAlign w:val="center"/>
          </w:tcPr>
          <w:p w14:paraId="0EFE85FF">
            <w:pPr>
              <w:pStyle w:val="34"/>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甲方名称、地址 </w:t>
            </w:r>
          </w:p>
        </w:tc>
        <w:tc>
          <w:tcPr>
            <w:tcW w:w="5464" w:type="dxa"/>
            <w:vAlign w:val="center"/>
          </w:tcPr>
          <w:p w14:paraId="1A307905">
            <w:pPr>
              <w:pStyle w:val="34"/>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名称：湖南省公路事务中心</w:t>
            </w:r>
          </w:p>
          <w:p w14:paraId="6D3815C8">
            <w:pPr>
              <w:pStyle w:val="34"/>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地址：长沙市八一路520号  </w:t>
            </w:r>
          </w:p>
        </w:tc>
      </w:tr>
      <w:tr w14:paraId="17D52F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2DFCD63">
            <w:pPr>
              <w:pStyle w:val="34"/>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第三章第二</w:t>
            </w:r>
          </w:p>
          <w:p w14:paraId="11DBDC34">
            <w:pPr>
              <w:pStyle w:val="34"/>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第1.2（6）项</w:t>
            </w:r>
          </w:p>
        </w:tc>
        <w:tc>
          <w:tcPr>
            <w:tcW w:w="1843" w:type="dxa"/>
            <w:vAlign w:val="center"/>
          </w:tcPr>
          <w:p w14:paraId="7B4301F3">
            <w:pPr>
              <w:pStyle w:val="34"/>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项目现场</w:t>
            </w:r>
          </w:p>
        </w:tc>
        <w:tc>
          <w:tcPr>
            <w:tcW w:w="5464" w:type="dxa"/>
            <w:vAlign w:val="center"/>
          </w:tcPr>
          <w:p w14:paraId="2DC18BF9">
            <w:pPr>
              <w:pStyle w:val="34"/>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 采购人指定地点  </w:t>
            </w:r>
          </w:p>
        </w:tc>
      </w:tr>
      <w:tr w14:paraId="69F151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2EED87E">
            <w:pPr>
              <w:pStyle w:val="34"/>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第三章第二</w:t>
            </w:r>
          </w:p>
          <w:p w14:paraId="212933E0">
            <w:pPr>
              <w:pStyle w:val="34"/>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第5.1款</w:t>
            </w:r>
          </w:p>
        </w:tc>
        <w:tc>
          <w:tcPr>
            <w:tcW w:w="1843" w:type="dxa"/>
            <w:vAlign w:val="center"/>
          </w:tcPr>
          <w:p w14:paraId="655D60BC">
            <w:pPr>
              <w:pStyle w:val="34"/>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履行合同的时间、地点及方式</w:t>
            </w:r>
          </w:p>
        </w:tc>
        <w:tc>
          <w:tcPr>
            <w:tcW w:w="5464" w:type="dxa"/>
            <w:vAlign w:val="center"/>
          </w:tcPr>
          <w:p w14:paraId="1585DB31">
            <w:pPr>
              <w:pStyle w:val="34"/>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具体以本项目采购文件第四章采购需求的要求为准 </w:t>
            </w:r>
          </w:p>
        </w:tc>
      </w:tr>
      <w:tr w14:paraId="457609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324B5F9">
            <w:pPr>
              <w:pStyle w:val="34"/>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第三章第二</w:t>
            </w:r>
          </w:p>
          <w:p w14:paraId="7299F24E">
            <w:pPr>
              <w:pStyle w:val="34"/>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第9.2（1）项</w:t>
            </w:r>
          </w:p>
        </w:tc>
        <w:tc>
          <w:tcPr>
            <w:tcW w:w="1843" w:type="dxa"/>
            <w:vAlign w:val="center"/>
          </w:tcPr>
          <w:p w14:paraId="634E344A">
            <w:pPr>
              <w:pStyle w:val="34"/>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服务质量保证期</w:t>
            </w:r>
          </w:p>
        </w:tc>
        <w:tc>
          <w:tcPr>
            <w:tcW w:w="5464" w:type="dxa"/>
            <w:vAlign w:val="center"/>
          </w:tcPr>
          <w:p w14:paraId="280DA36F">
            <w:pPr>
              <w:pStyle w:val="34"/>
              <w:autoSpaceDE w:val="0"/>
              <w:autoSpaceDN w:val="0"/>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具体以本项目采购文件第四章采购需求的要求为准 </w:t>
            </w:r>
          </w:p>
        </w:tc>
      </w:tr>
      <w:tr w14:paraId="692947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6D1DB44">
            <w:pPr>
              <w:pStyle w:val="34"/>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第三章第二</w:t>
            </w:r>
          </w:p>
          <w:p w14:paraId="05DB8A04">
            <w:pPr>
              <w:pStyle w:val="34"/>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第9.2（3）项</w:t>
            </w:r>
          </w:p>
        </w:tc>
        <w:tc>
          <w:tcPr>
            <w:tcW w:w="1843" w:type="dxa"/>
            <w:vAlign w:val="center"/>
          </w:tcPr>
          <w:p w14:paraId="146F0D31">
            <w:pPr>
              <w:pStyle w:val="34"/>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服务响应时间</w:t>
            </w:r>
          </w:p>
        </w:tc>
        <w:tc>
          <w:tcPr>
            <w:tcW w:w="5464" w:type="dxa"/>
            <w:vAlign w:val="center"/>
          </w:tcPr>
          <w:p w14:paraId="094A964D">
            <w:pPr>
              <w:pStyle w:val="34"/>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具体以本项目采购文件第四章采购需求的要求为准 </w:t>
            </w:r>
          </w:p>
        </w:tc>
      </w:tr>
      <w:tr w14:paraId="243EA7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DED52B4">
            <w:pPr>
              <w:pStyle w:val="34"/>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第三章第二</w:t>
            </w:r>
          </w:p>
          <w:p w14:paraId="0030DC1F">
            <w:pPr>
              <w:pStyle w:val="34"/>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第13.5款</w:t>
            </w:r>
          </w:p>
        </w:tc>
        <w:tc>
          <w:tcPr>
            <w:tcW w:w="1843" w:type="dxa"/>
            <w:vAlign w:val="center"/>
          </w:tcPr>
          <w:p w14:paraId="4F9DFF98">
            <w:pPr>
              <w:pStyle w:val="34"/>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合同价款支付方式</w:t>
            </w:r>
            <w:r>
              <w:rPr>
                <w:rFonts w:hint="eastAsia" w:ascii="宋体" w:hAnsi="宋体"/>
                <w:bCs/>
                <w:color w:val="auto"/>
                <w:szCs w:val="21"/>
                <w:highlight w:val="none"/>
              </w:rPr>
              <w:t>和条件</w:t>
            </w:r>
          </w:p>
        </w:tc>
        <w:tc>
          <w:tcPr>
            <w:tcW w:w="5464" w:type="dxa"/>
            <w:vAlign w:val="center"/>
          </w:tcPr>
          <w:p w14:paraId="01F0ACD0">
            <w:pPr>
              <w:pStyle w:val="35"/>
              <w:ind w:left="0" w:leftChars="0"/>
              <w:rPr>
                <w:rFonts w:ascii="宋体" w:hAnsi="宋体"/>
                <w:color w:val="auto"/>
                <w:szCs w:val="21"/>
                <w:highlight w:val="none"/>
              </w:rPr>
            </w:pPr>
            <w:r>
              <w:rPr>
                <w:rFonts w:hint="eastAsia" w:ascii="宋体" w:hAnsi="宋体"/>
                <w:color w:val="auto"/>
                <w:szCs w:val="21"/>
                <w:highlight w:val="none"/>
              </w:rPr>
              <w:t xml:space="preserve">具体以本项目采购文件第四章采购需求的要求为准 </w:t>
            </w:r>
          </w:p>
        </w:tc>
      </w:tr>
      <w:tr w14:paraId="218226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408E201">
            <w:pPr>
              <w:pStyle w:val="34"/>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第三章第二</w:t>
            </w:r>
          </w:p>
          <w:p w14:paraId="150D6D51">
            <w:pPr>
              <w:pStyle w:val="34"/>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第14.2（6）项</w:t>
            </w:r>
          </w:p>
        </w:tc>
        <w:tc>
          <w:tcPr>
            <w:tcW w:w="1843" w:type="dxa"/>
            <w:vAlign w:val="center"/>
          </w:tcPr>
          <w:p w14:paraId="70A32303">
            <w:pPr>
              <w:pStyle w:val="34"/>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乙方提供的其他服务</w:t>
            </w:r>
          </w:p>
        </w:tc>
        <w:tc>
          <w:tcPr>
            <w:tcW w:w="5464" w:type="dxa"/>
            <w:vAlign w:val="center"/>
          </w:tcPr>
          <w:p w14:paraId="47B9DE53">
            <w:pPr>
              <w:pStyle w:val="34"/>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具体以本项目采购文件第四章采购需求的要求为准 </w:t>
            </w:r>
          </w:p>
        </w:tc>
      </w:tr>
      <w:tr w14:paraId="756034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315DB97">
            <w:pPr>
              <w:pStyle w:val="34"/>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第三章第二</w:t>
            </w:r>
          </w:p>
          <w:p w14:paraId="4F1B9906">
            <w:pPr>
              <w:pStyle w:val="34"/>
              <w:adjustRightInd w:val="0"/>
              <w:snapToGrid w:val="0"/>
              <w:spacing w:line="360" w:lineRule="auto"/>
              <w:jc w:val="center"/>
              <w:rPr>
                <w:rFonts w:ascii="宋体" w:hAnsi="宋体"/>
                <w:bCs/>
                <w:color w:val="auto"/>
                <w:szCs w:val="21"/>
                <w:highlight w:val="none"/>
              </w:rPr>
            </w:pPr>
            <w:r>
              <w:rPr>
                <w:rFonts w:hint="eastAsia" w:ascii="宋体" w:hAnsi="宋体"/>
                <w:color w:val="auto"/>
                <w:szCs w:val="21"/>
                <w:highlight w:val="none"/>
              </w:rPr>
              <w:t>第20.2款</w:t>
            </w:r>
          </w:p>
        </w:tc>
        <w:tc>
          <w:tcPr>
            <w:tcW w:w="1843" w:type="dxa"/>
            <w:vAlign w:val="center"/>
          </w:tcPr>
          <w:p w14:paraId="488FD04A">
            <w:pPr>
              <w:pStyle w:val="34"/>
              <w:adjustRightInd w:val="0"/>
              <w:snapToGrid w:val="0"/>
              <w:spacing w:line="360" w:lineRule="auto"/>
              <w:jc w:val="left"/>
              <w:rPr>
                <w:rFonts w:ascii="宋体" w:hAnsi="宋体"/>
                <w:bCs/>
                <w:color w:val="auto"/>
                <w:szCs w:val="21"/>
                <w:highlight w:val="none"/>
              </w:rPr>
            </w:pPr>
            <w:r>
              <w:rPr>
                <w:rFonts w:hint="eastAsia" w:ascii="宋体" w:hAnsi="宋体"/>
                <w:color w:val="auto"/>
                <w:szCs w:val="21"/>
                <w:highlight w:val="none"/>
              </w:rPr>
              <w:t>解决争议的方式</w:t>
            </w:r>
          </w:p>
        </w:tc>
        <w:tc>
          <w:tcPr>
            <w:tcW w:w="5464" w:type="dxa"/>
            <w:vAlign w:val="center"/>
          </w:tcPr>
          <w:p w14:paraId="22F8AC3D">
            <w:pPr>
              <w:pStyle w:val="34"/>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诉讼</w:t>
            </w:r>
            <w:r>
              <w:rPr>
                <w:rFonts w:hint="eastAsia" w:ascii="宋体" w:hAnsi="宋体" w:cs="宋体"/>
                <w:color w:val="auto"/>
                <w:szCs w:val="21"/>
                <w:highlight w:val="none"/>
              </w:rPr>
              <w:t>：采购人（甲方）住所所在地人民法院管辖</w:t>
            </w:r>
          </w:p>
          <w:p w14:paraId="554230F6">
            <w:pPr>
              <w:pStyle w:val="34"/>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仲裁</w:t>
            </w:r>
          </w:p>
        </w:tc>
      </w:tr>
      <w:tr w14:paraId="2B6467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073C7C4D">
            <w:pPr>
              <w:pStyle w:val="34"/>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第三章第二</w:t>
            </w:r>
          </w:p>
          <w:p w14:paraId="5F3DBC39">
            <w:pPr>
              <w:pStyle w:val="34"/>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第23.1款</w:t>
            </w:r>
          </w:p>
        </w:tc>
        <w:tc>
          <w:tcPr>
            <w:tcW w:w="1843" w:type="dxa"/>
            <w:vAlign w:val="center"/>
          </w:tcPr>
          <w:p w14:paraId="4C31FA35">
            <w:pPr>
              <w:pStyle w:val="34"/>
              <w:adjustRightInd w:val="0"/>
              <w:snapToGrid w:val="0"/>
              <w:spacing w:line="360" w:lineRule="auto"/>
              <w:jc w:val="left"/>
              <w:rPr>
                <w:rFonts w:ascii="宋体" w:hAnsi="宋体"/>
                <w:color w:val="auto"/>
                <w:szCs w:val="21"/>
                <w:highlight w:val="none"/>
              </w:rPr>
            </w:pPr>
            <w:r>
              <w:rPr>
                <w:rFonts w:hint="eastAsia" w:ascii="宋体" w:hAnsi="宋体"/>
                <w:bCs/>
                <w:color w:val="auto"/>
                <w:szCs w:val="21"/>
                <w:highlight w:val="none"/>
              </w:rPr>
              <w:t>合同未尽事项</w:t>
            </w:r>
          </w:p>
        </w:tc>
        <w:tc>
          <w:tcPr>
            <w:tcW w:w="5464" w:type="dxa"/>
            <w:vAlign w:val="center"/>
          </w:tcPr>
          <w:p w14:paraId="301187FA">
            <w:pPr>
              <w:pStyle w:val="34"/>
              <w:adjustRightInd w:val="0"/>
              <w:snapToGrid w:val="0"/>
              <w:spacing w:line="360" w:lineRule="auto"/>
              <w:jc w:val="left"/>
              <w:rPr>
                <w:rFonts w:ascii="宋体" w:hAnsi="宋体"/>
                <w:color w:val="auto"/>
                <w:szCs w:val="21"/>
                <w:highlight w:val="none"/>
                <w:u w:val="single"/>
              </w:rPr>
            </w:pPr>
            <w:r>
              <w:rPr>
                <w:rFonts w:hint="eastAsia" w:ascii="宋体" w:hAnsi="宋体" w:cs="宋体"/>
                <w:color w:val="auto"/>
                <w:szCs w:val="21"/>
                <w:highlight w:val="none"/>
              </w:rPr>
              <w:t>未尽事项，按照本文件的要求和国家相关法律法规执行</w:t>
            </w:r>
          </w:p>
        </w:tc>
      </w:tr>
    </w:tbl>
    <w:p w14:paraId="4E5EB00F">
      <w:pPr>
        <w:pStyle w:val="34"/>
        <w:rPr>
          <w:color w:val="auto"/>
          <w:highlight w:val="none"/>
        </w:rPr>
        <w:sectPr>
          <w:type w:val="continuous"/>
          <w:pgSz w:w="11906" w:h="16838"/>
          <w:pgMar w:top="1440" w:right="1800" w:bottom="1440" w:left="1800" w:header="851" w:footer="992" w:gutter="0"/>
          <w:cols w:space="720" w:num="1"/>
          <w:docGrid w:type="lines" w:linePitch="312" w:charSpace="0"/>
        </w:sectPr>
      </w:pPr>
    </w:p>
    <w:p w14:paraId="3C87F0FB">
      <w:pPr>
        <w:spacing w:line="360" w:lineRule="exact"/>
        <w:jc w:val="center"/>
        <w:outlineLvl w:val="0"/>
        <w:rPr>
          <w:rFonts w:ascii="黑体" w:eastAsia="黑体"/>
          <w:b/>
          <w:color w:val="auto"/>
          <w:sz w:val="32"/>
          <w:szCs w:val="32"/>
          <w:highlight w:val="none"/>
        </w:rPr>
      </w:pPr>
      <w:bookmarkStart w:id="120" w:name="_Toc1748902214"/>
      <w:r>
        <w:rPr>
          <w:rFonts w:hint="eastAsia" w:ascii="黑体" w:hAnsi="宋体" w:eastAsia="黑体"/>
          <w:b/>
          <w:bCs/>
          <w:color w:val="auto"/>
          <w:sz w:val="32"/>
          <w:szCs w:val="32"/>
          <w:highlight w:val="none"/>
        </w:rPr>
        <w:t xml:space="preserve">第四章 </w:t>
      </w:r>
      <w:r>
        <w:rPr>
          <w:rFonts w:hint="eastAsia" w:ascii="黑体" w:eastAsia="黑体"/>
          <w:b/>
          <w:color w:val="auto"/>
          <w:sz w:val="32"/>
          <w:szCs w:val="32"/>
          <w:highlight w:val="none"/>
        </w:rPr>
        <w:t>采购需求</w:t>
      </w:r>
      <w:bookmarkEnd w:id="120"/>
    </w:p>
    <w:p w14:paraId="6CF870B5">
      <w:pPr>
        <w:pStyle w:val="49"/>
        <w:keepNext/>
        <w:keepLines/>
        <w:adjustRightInd w:val="0"/>
        <w:snapToGrid w:val="0"/>
        <w:spacing w:before="156" w:beforeLines="50" w:line="360" w:lineRule="auto"/>
        <w:jc w:val="center"/>
        <w:outlineLvl w:val="1"/>
        <w:rPr>
          <w:rStyle w:val="23"/>
          <w:rFonts w:ascii="黑体" w:hAnsi="黑体" w:eastAsia="黑体" w:cs="Times New Roman"/>
          <w:b/>
          <w:bCs/>
          <w:sz w:val="28"/>
          <w:szCs w:val="28"/>
        </w:rPr>
      </w:pPr>
      <w:bookmarkStart w:id="121" w:name="_Toc1190834209"/>
      <w:bookmarkStart w:id="122" w:name="_Toc21905"/>
      <w:bookmarkStart w:id="123" w:name="_Toc256000038"/>
      <w:bookmarkStart w:id="124" w:name="_Toc25789"/>
      <w:r>
        <w:rPr>
          <w:rStyle w:val="23"/>
          <w:rFonts w:hint="eastAsia" w:ascii="黑体" w:hAnsi="黑体" w:eastAsia="黑体" w:cs="Times New Roman"/>
          <w:b/>
          <w:bCs/>
          <w:sz w:val="28"/>
          <w:szCs w:val="28"/>
        </w:rPr>
        <w:t>第一节 采购清单一览表</w:t>
      </w:r>
      <w:bookmarkEnd w:id="121"/>
      <w:bookmarkEnd w:id="122"/>
      <w:bookmarkEnd w:id="123"/>
      <w:bookmarkEnd w:id="124"/>
    </w:p>
    <w:tbl>
      <w:tblPr>
        <w:tblStyle w:val="21"/>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2"/>
        <w:gridCol w:w="1922"/>
        <w:gridCol w:w="2126"/>
        <w:gridCol w:w="1701"/>
        <w:gridCol w:w="1785"/>
        <w:gridCol w:w="789"/>
      </w:tblGrid>
      <w:tr w14:paraId="3BCD8E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61" w:hRule="atLeast"/>
          <w:jc w:val="center"/>
        </w:trPr>
        <w:tc>
          <w:tcPr>
            <w:tcW w:w="772" w:type="dxa"/>
            <w:vMerge w:val="restart"/>
            <w:noWrap w:val="0"/>
            <w:vAlign w:val="center"/>
          </w:tcPr>
          <w:p w14:paraId="1D62E768">
            <w:pPr>
              <w:pStyle w:val="49"/>
              <w:widowControl w:val="0"/>
              <w:adjustRightInd w:val="0"/>
              <w:snapToGrid w:val="0"/>
              <w:spacing w:line="300" w:lineRule="exact"/>
              <w:jc w:val="center"/>
              <w:rPr>
                <w:rStyle w:val="23"/>
                <w:rFonts w:ascii="Times New Roman" w:hAnsi="Times New Roman" w:eastAsia="宋体" w:cs="Times New Roman"/>
                <w:kern w:val="2"/>
                <w:sz w:val="21"/>
                <w:szCs w:val="21"/>
                <w:lang w:val="en-US" w:eastAsia="zh-CN" w:bidi="ar-SA"/>
              </w:rPr>
            </w:pPr>
            <w:r>
              <w:rPr>
                <w:rStyle w:val="23"/>
                <w:rFonts w:hint="eastAsia" w:ascii="Times New Roman" w:hAnsi="Times New Roman" w:eastAsia="宋体" w:cs="Times New Roman"/>
                <w:kern w:val="2"/>
                <w:sz w:val="21"/>
                <w:szCs w:val="21"/>
                <w:lang w:val="en-US" w:eastAsia="zh-CN" w:bidi="ar-SA"/>
              </w:rPr>
              <w:t>包号</w:t>
            </w:r>
          </w:p>
        </w:tc>
        <w:tc>
          <w:tcPr>
            <w:tcW w:w="1922" w:type="dxa"/>
            <w:vMerge w:val="restart"/>
            <w:noWrap w:val="0"/>
            <w:vAlign w:val="center"/>
          </w:tcPr>
          <w:p w14:paraId="52DC766D">
            <w:pPr>
              <w:pStyle w:val="49"/>
              <w:widowControl w:val="0"/>
              <w:adjustRightInd w:val="0"/>
              <w:snapToGrid w:val="0"/>
              <w:spacing w:line="300" w:lineRule="exact"/>
              <w:jc w:val="center"/>
              <w:rPr>
                <w:rStyle w:val="23"/>
                <w:rFonts w:ascii="Times New Roman" w:hAnsi="Times New Roman" w:eastAsia="宋体" w:cs="Times New Roman"/>
                <w:kern w:val="2"/>
                <w:sz w:val="21"/>
                <w:szCs w:val="21"/>
                <w:lang w:val="en-US" w:eastAsia="zh-CN" w:bidi="ar-SA"/>
              </w:rPr>
            </w:pPr>
            <w:r>
              <w:rPr>
                <w:rStyle w:val="23"/>
                <w:rFonts w:hint="eastAsia" w:ascii="Times New Roman" w:hAnsi="Times New Roman" w:eastAsia="宋体" w:cs="Times New Roman"/>
                <w:kern w:val="2"/>
                <w:sz w:val="21"/>
                <w:szCs w:val="21"/>
                <w:lang w:val="en-US" w:eastAsia="zh-CN" w:bidi="ar-SA"/>
              </w:rPr>
              <w:t>包名称</w:t>
            </w:r>
          </w:p>
        </w:tc>
        <w:tc>
          <w:tcPr>
            <w:tcW w:w="2126" w:type="dxa"/>
            <w:vMerge w:val="restart"/>
            <w:noWrap w:val="0"/>
            <w:vAlign w:val="center"/>
          </w:tcPr>
          <w:p w14:paraId="05E46BC5">
            <w:pPr>
              <w:pStyle w:val="49"/>
              <w:widowControl w:val="0"/>
              <w:adjustRightInd w:val="0"/>
              <w:snapToGrid w:val="0"/>
              <w:spacing w:line="300" w:lineRule="exact"/>
              <w:jc w:val="center"/>
              <w:rPr>
                <w:rStyle w:val="23"/>
                <w:rFonts w:ascii="Times New Roman" w:hAnsi="Times New Roman" w:eastAsia="宋体" w:cs="Times New Roman"/>
                <w:kern w:val="2"/>
                <w:sz w:val="21"/>
                <w:szCs w:val="21"/>
                <w:lang w:val="en-US" w:eastAsia="zh-CN" w:bidi="ar-SA"/>
              </w:rPr>
            </w:pPr>
            <w:r>
              <w:rPr>
                <w:rStyle w:val="23"/>
                <w:rFonts w:hint="eastAsia" w:ascii="Times New Roman" w:hAnsi="Times New Roman" w:eastAsia="宋体" w:cs="Times New Roman"/>
                <w:kern w:val="2"/>
                <w:sz w:val="21"/>
                <w:szCs w:val="21"/>
                <w:lang w:val="en-US" w:eastAsia="zh-CN" w:bidi="ar-SA"/>
              </w:rPr>
              <w:t>分项项目名称</w:t>
            </w:r>
          </w:p>
          <w:p w14:paraId="223F84B9">
            <w:pPr>
              <w:pStyle w:val="49"/>
              <w:widowControl w:val="0"/>
              <w:adjustRightInd w:val="0"/>
              <w:snapToGrid w:val="0"/>
              <w:spacing w:line="300" w:lineRule="exact"/>
              <w:jc w:val="center"/>
              <w:rPr>
                <w:rStyle w:val="23"/>
                <w:rFonts w:ascii="Times New Roman" w:hAnsi="Times New Roman" w:eastAsia="宋体" w:cs="Times New Roman"/>
                <w:kern w:val="2"/>
                <w:sz w:val="21"/>
                <w:szCs w:val="21"/>
                <w:lang w:val="en-US" w:eastAsia="zh-CN" w:bidi="ar-SA"/>
              </w:rPr>
            </w:pPr>
            <w:r>
              <w:rPr>
                <w:rStyle w:val="23"/>
                <w:rFonts w:hint="eastAsia" w:ascii="Times New Roman" w:hAnsi="Times New Roman" w:eastAsia="宋体" w:cs="Times New Roman"/>
                <w:kern w:val="2"/>
                <w:sz w:val="21"/>
                <w:szCs w:val="21"/>
                <w:lang w:val="en-US" w:eastAsia="zh-CN" w:bidi="ar-SA"/>
              </w:rPr>
              <w:t>（条目号/品目名称）</w:t>
            </w:r>
          </w:p>
        </w:tc>
        <w:tc>
          <w:tcPr>
            <w:tcW w:w="3486" w:type="dxa"/>
            <w:gridSpan w:val="2"/>
            <w:noWrap w:val="0"/>
            <w:vAlign w:val="center"/>
          </w:tcPr>
          <w:p w14:paraId="7F8CBA16">
            <w:pPr>
              <w:pStyle w:val="49"/>
              <w:widowControl w:val="0"/>
              <w:adjustRightInd w:val="0"/>
              <w:snapToGrid w:val="0"/>
              <w:spacing w:line="300" w:lineRule="exact"/>
              <w:jc w:val="center"/>
              <w:rPr>
                <w:rStyle w:val="23"/>
                <w:rFonts w:ascii="Times New Roman" w:hAnsi="Times New Roman" w:eastAsia="宋体" w:cs="Times New Roman"/>
                <w:kern w:val="2"/>
                <w:sz w:val="21"/>
                <w:szCs w:val="21"/>
                <w:lang w:val="en-US" w:eastAsia="zh-CN" w:bidi="ar-SA"/>
              </w:rPr>
            </w:pPr>
            <w:r>
              <w:rPr>
                <w:rStyle w:val="23"/>
                <w:rFonts w:hint="eastAsia" w:ascii="Times New Roman" w:hAnsi="Times New Roman" w:eastAsia="宋体" w:cs="Times New Roman"/>
                <w:kern w:val="2"/>
                <w:sz w:val="21"/>
                <w:szCs w:val="21"/>
                <w:lang w:val="en-US" w:eastAsia="zh-CN" w:bidi="ar-SA"/>
              </w:rPr>
              <w:t>服务要求</w:t>
            </w:r>
          </w:p>
        </w:tc>
        <w:tc>
          <w:tcPr>
            <w:tcW w:w="789" w:type="dxa"/>
            <w:vMerge w:val="restart"/>
            <w:noWrap w:val="0"/>
            <w:vAlign w:val="center"/>
          </w:tcPr>
          <w:p w14:paraId="2990DD3A">
            <w:pPr>
              <w:pStyle w:val="49"/>
              <w:widowControl w:val="0"/>
              <w:adjustRightInd w:val="0"/>
              <w:snapToGrid w:val="0"/>
              <w:spacing w:line="300" w:lineRule="exact"/>
              <w:jc w:val="center"/>
              <w:rPr>
                <w:rStyle w:val="23"/>
                <w:rFonts w:ascii="Times New Roman" w:hAnsi="Times New Roman" w:eastAsia="宋体" w:cs="Times New Roman"/>
                <w:kern w:val="2"/>
                <w:sz w:val="21"/>
                <w:szCs w:val="21"/>
                <w:lang w:val="en-US" w:eastAsia="zh-CN" w:bidi="ar-SA"/>
              </w:rPr>
            </w:pPr>
            <w:r>
              <w:rPr>
                <w:rStyle w:val="23"/>
                <w:rFonts w:hint="eastAsia" w:ascii="Times New Roman" w:hAnsi="Times New Roman" w:eastAsia="宋体" w:cs="Times New Roman"/>
                <w:kern w:val="2"/>
                <w:sz w:val="21"/>
                <w:szCs w:val="21"/>
                <w:lang w:val="en-US" w:eastAsia="zh-CN" w:bidi="ar-SA"/>
              </w:rPr>
              <w:t>备注</w:t>
            </w:r>
          </w:p>
        </w:tc>
      </w:tr>
      <w:tr w14:paraId="7FD273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772" w:type="dxa"/>
            <w:vMerge w:val="continue"/>
            <w:noWrap w:val="0"/>
            <w:vAlign w:val="center"/>
          </w:tcPr>
          <w:p w14:paraId="7C784891">
            <w:pPr>
              <w:pStyle w:val="49"/>
              <w:widowControl w:val="0"/>
              <w:adjustRightInd w:val="0"/>
              <w:snapToGrid w:val="0"/>
              <w:spacing w:before="156" w:beforeLines="50" w:line="300" w:lineRule="exact"/>
              <w:jc w:val="center"/>
              <w:rPr>
                <w:rStyle w:val="23"/>
                <w:rFonts w:ascii="Times New Roman" w:hAnsi="Times New Roman" w:eastAsia="宋体" w:cs="Times New Roman"/>
                <w:kern w:val="2"/>
                <w:sz w:val="21"/>
                <w:szCs w:val="21"/>
                <w:lang w:val="en-US" w:eastAsia="zh-CN" w:bidi="ar-SA"/>
              </w:rPr>
            </w:pPr>
          </w:p>
        </w:tc>
        <w:tc>
          <w:tcPr>
            <w:tcW w:w="1922" w:type="dxa"/>
            <w:vMerge w:val="continue"/>
            <w:noWrap w:val="0"/>
            <w:vAlign w:val="center"/>
          </w:tcPr>
          <w:p w14:paraId="098B8E53">
            <w:pPr>
              <w:pStyle w:val="49"/>
              <w:widowControl w:val="0"/>
              <w:adjustRightInd w:val="0"/>
              <w:snapToGrid w:val="0"/>
              <w:spacing w:before="156" w:beforeLines="50" w:line="300" w:lineRule="exact"/>
              <w:jc w:val="center"/>
              <w:rPr>
                <w:rStyle w:val="23"/>
                <w:rFonts w:ascii="Times New Roman" w:hAnsi="Times New Roman" w:eastAsia="宋体" w:cs="Times New Roman"/>
                <w:kern w:val="2"/>
                <w:sz w:val="21"/>
                <w:szCs w:val="21"/>
                <w:lang w:val="en-US" w:eastAsia="zh-CN" w:bidi="ar-SA"/>
              </w:rPr>
            </w:pPr>
          </w:p>
        </w:tc>
        <w:tc>
          <w:tcPr>
            <w:tcW w:w="2126" w:type="dxa"/>
            <w:vMerge w:val="continue"/>
            <w:noWrap w:val="0"/>
            <w:vAlign w:val="center"/>
          </w:tcPr>
          <w:p w14:paraId="5A58B58F">
            <w:pPr>
              <w:pStyle w:val="49"/>
              <w:widowControl w:val="0"/>
              <w:adjustRightInd w:val="0"/>
              <w:snapToGrid w:val="0"/>
              <w:spacing w:before="156" w:beforeLines="50" w:line="300" w:lineRule="exact"/>
              <w:jc w:val="center"/>
              <w:rPr>
                <w:rStyle w:val="23"/>
                <w:rFonts w:ascii="Times New Roman" w:hAnsi="Times New Roman" w:eastAsia="宋体" w:cs="Times New Roman"/>
                <w:kern w:val="2"/>
                <w:sz w:val="21"/>
                <w:szCs w:val="21"/>
                <w:lang w:val="en-US" w:eastAsia="zh-CN" w:bidi="ar-SA"/>
              </w:rPr>
            </w:pPr>
          </w:p>
        </w:tc>
        <w:tc>
          <w:tcPr>
            <w:tcW w:w="1701" w:type="dxa"/>
            <w:noWrap w:val="0"/>
            <w:vAlign w:val="center"/>
          </w:tcPr>
          <w:p w14:paraId="451C34EE">
            <w:pPr>
              <w:pStyle w:val="49"/>
              <w:widowControl w:val="0"/>
              <w:adjustRightInd w:val="0"/>
              <w:snapToGrid w:val="0"/>
              <w:spacing w:before="156" w:beforeLines="50" w:line="300" w:lineRule="exact"/>
              <w:jc w:val="center"/>
              <w:rPr>
                <w:rStyle w:val="23"/>
                <w:rFonts w:ascii="Times New Roman" w:hAnsi="Times New Roman" w:eastAsia="宋体" w:cs="Times New Roman"/>
                <w:kern w:val="2"/>
                <w:sz w:val="21"/>
                <w:szCs w:val="21"/>
                <w:lang w:val="en-US" w:eastAsia="zh-CN" w:bidi="ar-SA"/>
              </w:rPr>
            </w:pPr>
            <w:r>
              <w:rPr>
                <w:rStyle w:val="23"/>
                <w:rFonts w:hint="eastAsia" w:ascii="Times New Roman" w:hAnsi="Times New Roman" w:eastAsia="宋体" w:cs="Times New Roman"/>
                <w:kern w:val="2"/>
                <w:sz w:val="21"/>
                <w:szCs w:val="21"/>
                <w:lang w:val="en-US" w:eastAsia="zh-CN" w:bidi="ar-SA"/>
              </w:rPr>
              <w:t>时间</w:t>
            </w:r>
          </w:p>
        </w:tc>
        <w:tc>
          <w:tcPr>
            <w:tcW w:w="1785" w:type="dxa"/>
            <w:noWrap w:val="0"/>
            <w:vAlign w:val="center"/>
          </w:tcPr>
          <w:p w14:paraId="17B33E2A">
            <w:pPr>
              <w:pStyle w:val="49"/>
              <w:widowControl w:val="0"/>
              <w:adjustRightInd w:val="0"/>
              <w:snapToGrid w:val="0"/>
              <w:spacing w:before="156" w:beforeLines="50" w:line="300" w:lineRule="exact"/>
              <w:jc w:val="center"/>
              <w:rPr>
                <w:rStyle w:val="23"/>
                <w:rFonts w:ascii="Times New Roman" w:hAnsi="Times New Roman" w:eastAsia="宋体" w:cs="Times New Roman"/>
                <w:kern w:val="2"/>
                <w:sz w:val="21"/>
                <w:szCs w:val="21"/>
                <w:lang w:val="en-US" w:eastAsia="zh-CN" w:bidi="ar-SA"/>
              </w:rPr>
            </w:pPr>
            <w:r>
              <w:rPr>
                <w:rStyle w:val="23"/>
                <w:rFonts w:hint="eastAsia" w:ascii="Times New Roman" w:hAnsi="Times New Roman" w:eastAsia="宋体" w:cs="Times New Roman"/>
                <w:kern w:val="2"/>
                <w:sz w:val="21"/>
                <w:szCs w:val="21"/>
                <w:lang w:val="en-US" w:eastAsia="zh-CN" w:bidi="ar-SA"/>
              </w:rPr>
              <w:t>地点</w:t>
            </w:r>
          </w:p>
        </w:tc>
        <w:tc>
          <w:tcPr>
            <w:tcW w:w="789" w:type="dxa"/>
            <w:vMerge w:val="continue"/>
            <w:noWrap w:val="0"/>
            <w:vAlign w:val="top"/>
          </w:tcPr>
          <w:p w14:paraId="7D558792">
            <w:pPr>
              <w:pStyle w:val="49"/>
              <w:widowControl w:val="0"/>
              <w:adjustRightInd w:val="0"/>
              <w:snapToGrid w:val="0"/>
              <w:spacing w:before="156" w:beforeLines="50" w:line="300" w:lineRule="exact"/>
              <w:jc w:val="both"/>
              <w:rPr>
                <w:rStyle w:val="23"/>
                <w:rFonts w:ascii="Times New Roman" w:hAnsi="Times New Roman" w:eastAsia="宋体" w:cs="Times New Roman"/>
                <w:kern w:val="2"/>
                <w:sz w:val="21"/>
                <w:szCs w:val="21"/>
                <w:lang w:val="en-US" w:eastAsia="zh-CN" w:bidi="ar-SA"/>
              </w:rPr>
            </w:pPr>
          </w:p>
        </w:tc>
      </w:tr>
      <w:tr w14:paraId="301AD3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29" w:hRule="atLeast"/>
          <w:jc w:val="center"/>
        </w:trPr>
        <w:tc>
          <w:tcPr>
            <w:tcW w:w="772" w:type="dxa"/>
            <w:noWrap w:val="0"/>
            <w:vAlign w:val="center"/>
          </w:tcPr>
          <w:p w14:paraId="05CE9B9F">
            <w:pPr>
              <w:pStyle w:val="49"/>
              <w:widowControl w:val="0"/>
              <w:adjustRightInd w:val="0"/>
              <w:snapToGrid w:val="0"/>
              <w:spacing w:before="156" w:beforeLines="50" w:line="300" w:lineRule="exact"/>
              <w:jc w:val="center"/>
              <w:rPr>
                <w:rStyle w:val="23"/>
                <w:rFonts w:ascii="Times New Roman" w:hAnsi="Times New Roman" w:eastAsia="宋体" w:cs="Times New Roman"/>
                <w:kern w:val="2"/>
                <w:sz w:val="21"/>
                <w:szCs w:val="21"/>
                <w:lang w:val="en-US" w:eastAsia="zh-CN" w:bidi="ar-SA"/>
              </w:rPr>
            </w:pPr>
            <w:r>
              <w:rPr>
                <w:rStyle w:val="23"/>
                <w:rFonts w:hint="eastAsia" w:ascii="Times New Roman" w:hAnsi="Times New Roman" w:eastAsia="宋体" w:cs="Times New Roman"/>
                <w:kern w:val="2"/>
                <w:sz w:val="21"/>
                <w:szCs w:val="21"/>
                <w:lang w:val="en-US" w:eastAsia="zh-CN" w:bidi="ar-SA"/>
              </w:rPr>
              <w:t>1</w:t>
            </w:r>
          </w:p>
        </w:tc>
        <w:tc>
          <w:tcPr>
            <w:tcW w:w="1922" w:type="dxa"/>
            <w:noWrap w:val="0"/>
            <w:vAlign w:val="center"/>
          </w:tcPr>
          <w:p w14:paraId="77C9EF1F">
            <w:pPr>
              <w:pStyle w:val="50"/>
              <w:widowControl/>
              <w:jc w:val="both"/>
              <w:rPr>
                <w:rStyle w:val="23"/>
                <w:rFonts w:hint="eastAsia" w:ascii="宋体" w:hAnsi="宋体" w:eastAsia="宋体" w:cs="宋体"/>
                <w:color w:val="auto"/>
                <w:kern w:val="2"/>
                <w:sz w:val="21"/>
                <w:szCs w:val="21"/>
                <w:highlight w:val="none"/>
                <w:lang w:val="en-US" w:eastAsia="zh-CN" w:bidi="ar-SA"/>
              </w:rPr>
            </w:pPr>
            <w:r>
              <w:rPr>
                <w:rStyle w:val="23"/>
                <w:rFonts w:hint="eastAsia" w:ascii="宋体" w:hAnsi="宋体" w:eastAsia="宋体" w:cs="宋体"/>
                <w:color w:val="auto"/>
                <w:kern w:val="2"/>
                <w:sz w:val="21"/>
                <w:szCs w:val="21"/>
                <w:highlight w:val="none"/>
                <w:lang w:val="en-US" w:eastAsia="zh-CN" w:bidi="ar-SA"/>
              </w:rPr>
              <w:t>普通国省道</w:t>
            </w:r>
            <w:r>
              <w:rPr>
                <w:rStyle w:val="23"/>
                <w:rFonts w:hint="eastAsia" w:ascii="宋体" w:hAnsi="宋体" w:cs="宋体"/>
                <w:color w:val="auto"/>
                <w:kern w:val="2"/>
                <w:sz w:val="21"/>
                <w:szCs w:val="21"/>
                <w:highlight w:val="none"/>
                <w:lang w:val="en-US" w:eastAsia="zh-CN" w:bidi="ar-SA"/>
              </w:rPr>
              <w:t>10座</w:t>
            </w:r>
            <w:r>
              <w:rPr>
                <w:rStyle w:val="23"/>
                <w:rFonts w:hint="eastAsia" w:ascii="宋体" w:hAnsi="宋体" w:eastAsia="宋体" w:cs="宋体"/>
                <w:color w:val="auto"/>
                <w:kern w:val="2"/>
                <w:sz w:val="21"/>
                <w:szCs w:val="21"/>
                <w:highlight w:val="none"/>
                <w:lang w:val="en-US" w:eastAsia="zh-CN" w:bidi="ar-SA"/>
              </w:rPr>
              <w:t>重点桥梁监测</w:t>
            </w:r>
          </w:p>
        </w:tc>
        <w:tc>
          <w:tcPr>
            <w:tcW w:w="2126" w:type="dxa"/>
            <w:noWrap w:val="0"/>
            <w:vAlign w:val="center"/>
          </w:tcPr>
          <w:p w14:paraId="09C87221">
            <w:pPr>
              <w:pStyle w:val="50"/>
              <w:widowControl/>
              <w:jc w:val="both"/>
              <w:rPr>
                <w:rStyle w:val="23"/>
                <w:rFonts w:hint="eastAsia" w:ascii="宋体" w:hAnsi="宋体" w:eastAsia="宋体" w:cs="宋体"/>
                <w:color w:val="auto"/>
                <w:kern w:val="2"/>
                <w:sz w:val="21"/>
                <w:szCs w:val="21"/>
                <w:highlight w:val="none"/>
                <w:lang w:val="en-US" w:eastAsia="zh-CN" w:bidi="ar-SA"/>
              </w:rPr>
            </w:pPr>
            <w:r>
              <w:rPr>
                <w:rStyle w:val="23"/>
                <w:rFonts w:hint="eastAsia" w:ascii="宋体" w:hAnsi="宋体" w:eastAsia="宋体" w:cs="宋体"/>
                <w:color w:val="auto"/>
                <w:kern w:val="2"/>
                <w:sz w:val="21"/>
                <w:szCs w:val="21"/>
                <w:highlight w:val="none"/>
                <w:lang w:val="en-US" w:eastAsia="zh-CN" w:bidi="ar-SA"/>
              </w:rPr>
              <w:t>C19990000-其他专业技术服务</w:t>
            </w:r>
          </w:p>
        </w:tc>
        <w:tc>
          <w:tcPr>
            <w:tcW w:w="1701" w:type="dxa"/>
            <w:noWrap w:val="0"/>
            <w:vAlign w:val="center"/>
          </w:tcPr>
          <w:p w14:paraId="71A116C3">
            <w:pPr>
              <w:pStyle w:val="49"/>
              <w:widowControl w:val="0"/>
              <w:adjustRightInd w:val="0"/>
              <w:snapToGrid w:val="0"/>
              <w:spacing w:before="156" w:beforeLines="50" w:line="300" w:lineRule="exact"/>
              <w:jc w:val="center"/>
              <w:rPr>
                <w:rStyle w:val="23"/>
                <w:rFonts w:ascii="Times New Roman" w:hAnsi="Times New Roman" w:eastAsia="宋体" w:cs="Times New Roman"/>
                <w:kern w:val="2"/>
                <w:sz w:val="21"/>
                <w:szCs w:val="21"/>
                <w:lang w:val="en-US" w:eastAsia="zh-CN" w:bidi="ar-SA"/>
              </w:rPr>
            </w:pPr>
            <w:r>
              <w:rPr>
                <w:rStyle w:val="23"/>
                <w:rFonts w:hint="eastAsia" w:ascii="宋体" w:hAnsi="宋体" w:eastAsia="宋体" w:cs="宋体"/>
                <w:kern w:val="2"/>
                <w:sz w:val="21"/>
                <w:szCs w:val="21"/>
                <w:lang w:val="en-US" w:eastAsia="zh-CN" w:bidi="ar-SA"/>
              </w:rPr>
              <w:t>合同签订后一年</w:t>
            </w:r>
          </w:p>
        </w:tc>
        <w:tc>
          <w:tcPr>
            <w:tcW w:w="1785" w:type="dxa"/>
            <w:noWrap w:val="0"/>
            <w:vAlign w:val="center"/>
          </w:tcPr>
          <w:p w14:paraId="08465339">
            <w:pPr>
              <w:pStyle w:val="49"/>
              <w:widowControl w:val="0"/>
              <w:adjustRightInd w:val="0"/>
              <w:snapToGrid w:val="0"/>
              <w:spacing w:before="156" w:beforeLines="50" w:line="300" w:lineRule="exact"/>
              <w:jc w:val="center"/>
              <w:rPr>
                <w:rStyle w:val="23"/>
                <w:rFonts w:ascii="Times New Roman" w:hAnsi="Times New Roman" w:eastAsia="宋体" w:cs="Times New Roman"/>
                <w:kern w:val="2"/>
                <w:sz w:val="21"/>
                <w:szCs w:val="21"/>
                <w:lang w:val="en-US" w:eastAsia="zh-CN" w:bidi="ar-SA"/>
              </w:rPr>
            </w:pPr>
            <w:r>
              <w:rPr>
                <w:rStyle w:val="23"/>
                <w:rFonts w:hint="eastAsia" w:ascii="Times New Roman" w:hAnsi="Times New Roman" w:eastAsia="宋体" w:cs="Times New Roman"/>
                <w:kern w:val="2"/>
                <w:sz w:val="21"/>
                <w:szCs w:val="21"/>
                <w:lang w:val="en-US" w:eastAsia="zh-CN" w:bidi="ar-SA"/>
              </w:rPr>
              <w:t>采购人指定地点</w:t>
            </w:r>
          </w:p>
        </w:tc>
        <w:tc>
          <w:tcPr>
            <w:tcW w:w="789" w:type="dxa"/>
            <w:noWrap w:val="0"/>
            <w:vAlign w:val="center"/>
          </w:tcPr>
          <w:p w14:paraId="58A936C4">
            <w:pPr>
              <w:pStyle w:val="49"/>
              <w:widowControl w:val="0"/>
              <w:adjustRightInd w:val="0"/>
              <w:snapToGrid w:val="0"/>
              <w:spacing w:before="156" w:beforeLines="50" w:line="300" w:lineRule="exact"/>
              <w:jc w:val="center"/>
              <w:rPr>
                <w:rStyle w:val="23"/>
                <w:rFonts w:ascii="Times New Roman" w:hAnsi="Times New Roman" w:eastAsia="宋体" w:cs="Times New Roman"/>
                <w:kern w:val="2"/>
                <w:sz w:val="21"/>
                <w:szCs w:val="21"/>
                <w:lang w:val="en-US" w:eastAsia="zh-CN" w:bidi="ar-SA"/>
              </w:rPr>
            </w:pPr>
          </w:p>
        </w:tc>
      </w:tr>
      <w:tr w14:paraId="1C9644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51" w:hRule="atLeast"/>
          <w:jc w:val="center"/>
        </w:trPr>
        <w:tc>
          <w:tcPr>
            <w:tcW w:w="772" w:type="dxa"/>
            <w:noWrap w:val="0"/>
            <w:vAlign w:val="center"/>
          </w:tcPr>
          <w:p w14:paraId="59C2EC36">
            <w:pPr>
              <w:pStyle w:val="49"/>
              <w:widowControl w:val="0"/>
              <w:adjustRightInd w:val="0"/>
              <w:snapToGrid w:val="0"/>
              <w:spacing w:before="156" w:beforeLines="50" w:line="300" w:lineRule="exact"/>
              <w:jc w:val="center"/>
              <w:rPr>
                <w:rStyle w:val="23"/>
                <w:rFonts w:ascii="Times New Roman" w:hAnsi="Times New Roman" w:eastAsia="宋体" w:cs="Times New Roman"/>
                <w:kern w:val="2"/>
                <w:sz w:val="21"/>
                <w:szCs w:val="21"/>
                <w:lang w:val="en-US" w:eastAsia="zh-CN" w:bidi="ar-SA"/>
              </w:rPr>
            </w:pPr>
            <w:r>
              <w:rPr>
                <w:rStyle w:val="23"/>
                <w:rFonts w:hint="eastAsia" w:ascii="Times New Roman" w:hAnsi="Times New Roman" w:eastAsia="宋体" w:cs="Times New Roman"/>
                <w:kern w:val="2"/>
                <w:sz w:val="21"/>
                <w:szCs w:val="21"/>
                <w:lang w:val="en-US" w:eastAsia="zh-CN" w:bidi="ar-SA"/>
              </w:rPr>
              <w:t>2</w:t>
            </w:r>
          </w:p>
        </w:tc>
        <w:tc>
          <w:tcPr>
            <w:tcW w:w="1922" w:type="dxa"/>
            <w:noWrap w:val="0"/>
            <w:vAlign w:val="center"/>
          </w:tcPr>
          <w:p w14:paraId="71017890">
            <w:pPr>
              <w:pStyle w:val="50"/>
              <w:widowControl/>
              <w:jc w:val="both"/>
              <w:rPr>
                <w:rStyle w:val="23"/>
                <w:rFonts w:hint="eastAsia" w:ascii="宋体" w:hAnsi="宋体" w:eastAsia="宋体" w:cs="宋体"/>
                <w:color w:val="auto"/>
                <w:kern w:val="2"/>
                <w:sz w:val="21"/>
                <w:szCs w:val="21"/>
                <w:highlight w:val="none"/>
                <w:lang w:val="en-US" w:eastAsia="zh-CN" w:bidi="ar-SA"/>
              </w:rPr>
            </w:pPr>
            <w:r>
              <w:rPr>
                <w:rStyle w:val="23"/>
                <w:rFonts w:hint="eastAsia" w:ascii="宋体" w:hAnsi="宋体" w:eastAsia="宋体" w:cs="宋体"/>
                <w:color w:val="auto"/>
                <w:kern w:val="2"/>
                <w:sz w:val="21"/>
                <w:szCs w:val="21"/>
                <w:highlight w:val="none"/>
                <w:lang w:val="en-US" w:eastAsia="zh-CN" w:bidi="ar-SA"/>
              </w:rPr>
              <w:t>普通国省道</w:t>
            </w:r>
            <w:r>
              <w:rPr>
                <w:rStyle w:val="23"/>
                <w:rFonts w:hint="eastAsia" w:ascii="宋体" w:hAnsi="宋体" w:cs="宋体"/>
                <w:color w:val="auto"/>
                <w:kern w:val="2"/>
                <w:sz w:val="21"/>
                <w:szCs w:val="21"/>
                <w:highlight w:val="none"/>
                <w:lang w:val="en-US" w:eastAsia="zh-CN" w:bidi="ar-SA"/>
              </w:rPr>
              <w:t>2座</w:t>
            </w:r>
            <w:r>
              <w:rPr>
                <w:rStyle w:val="23"/>
                <w:rFonts w:hint="eastAsia" w:ascii="宋体" w:hAnsi="宋体" w:eastAsia="宋体" w:cs="宋体"/>
                <w:color w:val="auto"/>
                <w:kern w:val="2"/>
                <w:sz w:val="21"/>
                <w:szCs w:val="21"/>
                <w:highlight w:val="none"/>
                <w:lang w:val="en-US" w:eastAsia="zh-CN" w:bidi="ar-SA"/>
              </w:rPr>
              <w:t>重点桥梁监测、高速公路</w:t>
            </w:r>
            <w:r>
              <w:rPr>
                <w:rStyle w:val="23"/>
                <w:rFonts w:hint="eastAsia" w:ascii="宋体" w:hAnsi="宋体" w:cs="宋体"/>
                <w:color w:val="auto"/>
                <w:kern w:val="2"/>
                <w:sz w:val="21"/>
                <w:szCs w:val="21"/>
                <w:highlight w:val="none"/>
                <w:lang w:val="en-US" w:eastAsia="zh-CN" w:bidi="ar-SA"/>
              </w:rPr>
              <w:t>6座</w:t>
            </w:r>
            <w:r>
              <w:rPr>
                <w:rStyle w:val="23"/>
                <w:rFonts w:hint="eastAsia" w:ascii="宋体" w:hAnsi="宋体" w:eastAsia="宋体" w:cs="宋体"/>
                <w:color w:val="auto"/>
                <w:kern w:val="2"/>
                <w:sz w:val="21"/>
                <w:szCs w:val="21"/>
                <w:highlight w:val="none"/>
                <w:lang w:val="en-US" w:eastAsia="zh-CN" w:bidi="ar-SA"/>
              </w:rPr>
              <w:t>重点桥梁监测</w:t>
            </w:r>
          </w:p>
        </w:tc>
        <w:tc>
          <w:tcPr>
            <w:tcW w:w="2126" w:type="dxa"/>
            <w:noWrap w:val="0"/>
            <w:vAlign w:val="center"/>
          </w:tcPr>
          <w:p w14:paraId="19E4571C">
            <w:pPr>
              <w:pStyle w:val="50"/>
              <w:widowControl/>
              <w:jc w:val="both"/>
              <w:rPr>
                <w:rStyle w:val="23"/>
                <w:rFonts w:hint="eastAsia" w:ascii="宋体" w:hAnsi="宋体" w:eastAsia="宋体" w:cs="宋体"/>
                <w:color w:val="auto"/>
                <w:kern w:val="2"/>
                <w:sz w:val="21"/>
                <w:szCs w:val="21"/>
                <w:highlight w:val="none"/>
                <w:lang w:val="en-US" w:eastAsia="zh-CN" w:bidi="ar-SA"/>
              </w:rPr>
            </w:pPr>
            <w:r>
              <w:rPr>
                <w:rStyle w:val="23"/>
                <w:rFonts w:hint="eastAsia" w:ascii="宋体" w:hAnsi="宋体" w:eastAsia="宋体" w:cs="宋体"/>
                <w:color w:val="auto"/>
                <w:kern w:val="2"/>
                <w:sz w:val="21"/>
                <w:szCs w:val="21"/>
                <w:highlight w:val="none"/>
                <w:lang w:val="en-US" w:eastAsia="zh-CN" w:bidi="ar-SA"/>
              </w:rPr>
              <w:t>C19990000-其他专业技术服务</w:t>
            </w:r>
          </w:p>
        </w:tc>
        <w:tc>
          <w:tcPr>
            <w:tcW w:w="1701" w:type="dxa"/>
            <w:noWrap w:val="0"/>
            <w:vAlign w:val="center"/>
          </w:tcPr>
          <w:p w14:paraId="15A4E26B">
            <w:pPr>
              <w:pStyle w:val="49"/>
              <w:widowControl w:val="0"/>
              <w:adjustRightInd w:val="0"/>
              <w:snapToGrid w:val="0"/>
              <w:spacing w:before="156" w:beforeLines="50" w:line="300" w:lineRule="exact"/>
              <w:jc w:val="center"/>
              <w:rPr>
                <w:rStyle w:val="23"/>
                <w:rFonts w:ascii="宋体" w:hAnsi="宋体" w:eastAsia="宋体" w:cs="宋体"/>
                <w:kern w:val="2"/>
                <w:sz w:val="21"/>
                <w:szCs w:val="21"/>
                <w:lang w:val="en-US" w:eastAsia="zh-CN" w:bidi="ar-SA"/>
              </w:rPr>
            </w:pPr>
            <w:r>
              <w:rPr>
                <w:rStyle w:val="23"/>
                <w:rFonts w:hint="eastAsia" w:ascii="宋体" w:hAnsi="宋体" w:eastAsia="宋体" w:cs="宋体"/>
                <w:kern w:val="2"/>
                <w:sz w:val="21"/>
                <w:szCs w:val="21"/>
                <w:lang w:val="en-US" w:eastAsia="zh-CN" w:bidi="ar-SA"/>
              </w:rPr>
              <w:t>合同签订后一年</w:t>
            </w:r>
          </w:p>
        </w:tc>
        <w:tc>
          <w:tcPr>
            <w:tcW w:w="1785" w:type="dxa"/>
            <w:noWrap w:val="0"/>
            <w:vAlign w:val="center"/>
          </w:tcPr>
          <w:p w14:paraId="1C05AC34">
            <w:pPr>
              <w:pStyle w:val="49"/>
              <w:widowControl w:val="0"/>
              <w:adjustRightInd w:val="0"/>
              <w:snapToGrid w:val="0"/>
              <w:spacing w:before="156" w:beforeLines="50" w:line="300" w:lineRule="exact"/>
              <w:jc w:val="center"/>
              <w:rPr>
                <w:rStyle w:val="23"/>
                <w:rFonts w:ascii="宋体" w:hAnsi="宋体" w:eastAsia="宋体" w:cs="宋体"/>
                <w:kern w:val="2"/>
                <w:sz w:val="21"/>
                <w:szCs w:val="21"/>
                <w:lang w:val="en-US" w:eastAsia="zh-CN" w:bidi="ar-SA"/>
              </w:rPr>
            </w:pPr>
            <w:r>
              <w:rPr>
                <w:rStyle w:val="23"/>
                <w:rFonts w:hint="eastAsia" w:ascii="Times New Roman" w:hAnsi="Times New Roman" w:eastAsia="宋体" w:cs="Times New Roman"/>
                <w:kern w:val="2"/>
                <w:sz w:val="21"/>
                <w:szCs w:val="21"/>
                <w:lang w:val="en-US" w:eastAsia="zh-CN" w:bidi="ar-SA"/>
              </w:rPr>
              <w:t>采购人指定地点</w:t>
            </w:r>
          </w:p>
        </w:tc>
        <w:tc>
          <w:tcPr>
            <w:tcW w:w="789" w:type="dxa"/>
            <w:noWrap w:val="0"/>
            <w:vAlign w:val="center"/>
          </w:tcPr>
          <w:p w14:paraId="6B0EC3B0">
            <w:pPr>
              <w:pStyle w:val="49"/>
              <w:widowControl w:val="0"/>
              <w:adjustRightInd w:val="0"/>
              <w:snapToGrid w:val="0"/>
              <w:spacing w:before="156" w:beforeLines="50" w:line="300" w:lineRule="exact"/>
              <w:jc w:val="center"/>
              <w:rPr>
                <w:rStyle w:val="23"/>
                <w:rFonts w:ascii="Times New Roman" w:hAnsi="Times New Roman" w:eastAsia="宋体" w:cs="Times New Roman"/>
                <w:kern w:val="2"/>
                <w:sz w:val="21"/>
                <w:szCs w:val="21"/>
                <w:lang w:val="en-US" w:eastAsia="zh-CN" w:bidi="ar-SA"/>
              </w:rPr>
            </w:pPr>
          </w:p>
        </w:tc>
      </w:tr>
      <w:tr w14:paraId="286E19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51" w:hRule="atLeast"/>
          <w:jc w:val="center"/>
        </w:trPr>
        <w:tc>
          <w:tcPr>
            <w:tcW w:w="772" w:type="dxa"/>
            <w:noWrap w:val="0"/>
            <w:vAlign w:val="center"/>
          </w:tcPr>
          <w:p w14:paraId="44092501">
            <w:pPr>
              <w:pStyle w:val="49"/>
              <w:widowControl w:val="0"/>
              <w:adjustRightInd w:val="0"/>
              <w:snapToGrid w:val="0"/>
              <w:spacing w:before="156" w:beforeLines="50" w:line="300" w:lineRule="exact"/>
              <w:jc w:val="center"/>
              <w:rPr>
                <w:rStyle w:val="23"/>
                <w:rFonts w:hint="default" w:ascii="Times New Roman" w:hAnsi="Times New Roman" w:eastAsia="宋体" w:cs="Times New Roman"/>
                <w:kern w:val="2"/>
                <w:sz w:val="21"/>
                <w:szCs w:val="21"/>
                <w:lang w:val="en-US" w:eastAsia="zh-CN" w:bidi="ar-SA"/>
              </w:rPr>
            </w:pPr>
            <w:r>
              <w:rPr>
                <w:rStyle w:val="23"/>
                <w:rFonts w:hint="eastAsia" w:ascii="Times New Roman" w:hAnsi="Times New Roman" w:eastAsia="宋体" w:cs="Times New Roman"/>
                <w:kern w:val="2"/>
                <w:sz w:val="21"/>
                <w:szCs w:val="21"/>
                <w:lang w:val="en-US" w:eastAsia="zh-CN" w:bidi="ar-SA"/>
              </w:rPr>
              <w:t>3</w:t>
            </w:r>
          </w:p>
        </w:tc>
        <w:tc>
          <w:tcPr>
            <w:tcW w:w="1922" w:type="dxa"/>
            <w:noWrap w:val="0"/>
            <w:vAlign w:val="center"/>
          </w:tcPr>
          <w:p w14:paraId="3E9BDD2A">
            <w:pPr>
              <w:pStyle w:val="50"/>
              <w:widowControl/>
              <w:jc w:val="both"/>
              <w:rPr>
                <w:rStyle w:val="23"/>
                <w:rFonts w:hint="eastAsia" w:ascii="宋体" w:hAnsi="宋体" w:eastAsia="宋体" w:cs="宋体"/>
                <w:color w:val="auto"/>
                <w:kern w:val="2"/>
                <w:sz w:val="21"/>
                <w:szCs w:val="21"/>
                <w:highlight w:val="none"/>
                <w:lang w:val="en-US" w:eastAsia="zh-CN" w:bidi="ar-SA"/>
              </w:rPr>
            </w:pPr>
            <w:r>
              <w:rPr>
                <w:rStyle w:val="23"/>
                <w:rFonts w:hint="eastAsia" w:ascii="宋体" w:hAnsi="宋体" w:eastAsia="宋体" w:cs="宋体"/>
                <w:color w:val="auto"/>
                <w:kern w:val="2"/>
                <w:sz w:val="21"/>
                <w:szCs w:val="21"/>
                <w:highlight w:val="none"/>
                <w:lang w:val="en-US" w:eastAsia="zh-CN" w:bidi="ar-SA"/>
              </w:rPr>
              <w:t>普通国省道</w:t>
            </w:r>
            <w:r>
              <w:rPr>
                <w:rStyle w:val="23"/>
                <w:rFonts w:hint="eastAsia" w:ascii="宋体" w:hAnsi="宋体" w:cs="宋体"/>
                <w:color w:val="auto"/>
                <w:kern w:val="2"/>
                <w:sz w:val="21"/>
                <w:szCs w:val="21"/>
                <w:highlight w:val="none"/>
                <w:lang w:val="en-US" w:eastAsia="zh-CN" w:bidi="ar-SA"/>
              </w:rPr>
              <w:t>2座</w:t>
            </w:r>
            <w:r>
              <w:rPr>
                <w:rStyle w:val="23"/>
                <w:rFonts w:hint="eastAsia" w:ascii="宋体" w:hAnsi="宋体" w:eastAsia="宋体" w:cs="宋体"/>
                <w:color w:val="auto"/>
                <w:kern w:val="2"/>
                <w:sz w:val="21"/>
                <w:szCs w:val="21"/>
                <w:highlight w:val="none"/>
                <w:lang w:val="en-US" w:eastAsia="zh-CN" w:bidi="ar-SA"/>
              </w:rPr>
              <w:t>重点桥梁监测、高速公路</w:t>
            </w:r>
            <w:r>
              <w:rPr>
                <w:rStyle w:val="23"/>
                <w:rFonts w:hint="eastAsia" w:ascii="宋体" w:hAnsi="宋体" w:cs="宋体"/>
                <w:color w:val="auto"/>
                <w:kern w:val="2"/>
                <w:sz w:val="21"/>
                <w:szCs w:val="21"/>
                <w:highlight w:val="none"/>
                <w:lang w:val="en-US" w:eastAsia="zh-CN" w:bidi="ar-SA"/>
              </w:rPr>
              <w:t>6座</w:t>
            </w:r>
            <w:r>
              <w:rPr>
                <w:rStyle w:val="23"/>
                <w:rFonts w:hint="eastAsia" w:ascii="宋体" w:hAnsi="宋体" w:eastAsia="宋体" w:cs="宋体"/>
                <w:color w:val="auto"/>
                <w:kern w:val="2"/>
                <w:sz w:val="21"/>
                <w:szCs w:val="21"/>
                <w:highlight w:val="none"/>
                <w:lang w:val="en-US" w:eastAsia="zh-CN" w:bidi="ar-SA"/>
              </w:rPr>
              <w:t>重点桥梁监测</w:t>
            </w:r>
          </w:p>
        </w:tc>
        <w:tc>
          <w:tcPr>
            <w:tcW w:w="2126" w:type="dxa"/>
            <w:noWrap w:val="0"/>
            <w:vAlign w:val="center"/>
          </w:tcPr>
          <w:p w14:paraId="40A374AC">
            <w:pPr>
              <w:pStyle w:val="50"/>
              <w:widowControl/>
              <w:jc w:val="both"/>
              <w:rPr>
                <w:rStyle w:val="23"/>
                <w:rFonts w:hint="eastAsia" w:ascii="宋体" w:hAnsi="宋体" w:eastAsia="宋体" w:cs="宋体"/>
                <w:color w:val="auto"/>
                <w:kern w:val="2"/>
                <w:sz w:val="21"/>
                <w:szCs w:val="21"/>
                <w:highlight w:val="none"/>
                <w:lang w:val="en-US" w:eastAsia="zh-CN" w:bidi="ar-SA"/>
              </w:rPr>
            </w:pPr>
            <w:r>
              <w:rPr>
                <w:rStyle w:val="23"/>
                <w:rFonts w:hint="eastAsia" w:ascii="宋体" w:hAnsi="宋体" w:eastAsia="宋体" w:cs="宋体"/>
                <w:color w:val="auto"/>
                <w:kern w:val="2"/>
                <w:sz w:val="21"/>
                <w:szCs w:val="21"/>
                <w:highlight w:val="none"/>
                <w:lang w:val="en-US" w:eastAsia="zh-CN" w:bidi="ar-SA"/>
              </w:rPr>
              <w:t>C19990000-其他专业技术服务</w:t>
            </w:r>
          </w:p>
        </w:tc>
        <w:tc>
          <w:tcPr>
            <w:tcW w:w="1701" w:type="dxa"/>
            <w:noWrap w:val="0"/>
            <w:vAlign w:val="center"/>
          </w:tcPr>
          <w:p w14:paraId="060D97C9">
            <w:pPr>
              <w:pStyle w:val="49"/>
              <w:widowControl w:val="0"/>
              <w:adjustRightInd w:val="0"/>
              <w:snapToGrid w:val="0"/>
              <w:spacing w:before="156" w:beforeLines="50" w:line="300" w:lineRule="exact"/>
              <w:jc w:val="center"/>
              <w:rPr>
                <w:rStyle w:val="23"/>
                <w:rFonts w:hint="eastAsia" w:ascii="宋体" w:hAnsi="宋体" w:eastAsia="宋体" w:cs="宋体"/>
                <w:kern w:val="2"/>
                <w:sz w:val="21"/>
                <w:szCs w:val="21"/>
                <w:lang w:val="en-US" w:eastAsia="zh-CN" w:bidi="ar-SA"/>
              </w:rPr>
            </w:pPr>
            <w:r>
              <w:rPr>
                <w:rStyle w:val="23"/>
                <w:rFonts w:hint="eastAsia" w:ascii="宋体" w:hAnsi="宋体" w:eastAsia="宋体" w:cs="宋体"/>
                <w:kern w:val="2"/>
                <w:sz w:val="21"/>
                <w:szCs w:val="21"/>
                <w:lang w:val="en-US" w:eastAsia="zh-CN" w:bidi="ar-SA"/>
              </w:rPr>
              <w:t>合同签订后一年</w:t>
            </w:r>
          </w:p>
        </w:tc>
        <w:tc>
          <w:tcPr>
            <w:tcW w:w="1785" w:type="dxa"/>
            <w:noWrap w:val="0"/>
            <w:vAlign w:val="center"/>
          </w:tcPr>
          <w:p w14:paraId="146D1156">
            <w:pPr>
              <w:pStyle w:val="49"/>
              <w:widowControl w:val="0"/>
              <w:adjustRightInd w:val="0"/>
              <w:snapToGrid w:val="0"/>
              <w:spacing w:before="156" w:beforeLines="50" w:line="300" w:lineRule="exact"/>
              <w:jc w:val="center"/>
              <w:rPr>
                <w:rStyle w:val="23"/>
                <w:rFonts w:hint="eastAsia" w:ascii="Times New Roman" w:hAnsi="Times New Roman" w:eastAsia="宋体" w:cs="Times New Roman"/>
                <w:kern w:val="2"/>
                <w:sz w:val="21"/>
                <w:szCs w:val="21"/>
                <w:lang w:val="en-US" w:eastAsia="zh-CN" w:bidi="ar-SA"/>
              </w:rPr>
            </w:pPr>
            <w:r>
              <w:rPr>
                <w:rStyle w:val="23"/>
                <w:rFonts w:hint="eastAsia" w:ascii="Times New Roman" w:hAnsi="Times New Roman" w:eastAsia="宋体" w:cs="Times New Roman"/>
                <w:kern w:val="2"/>
                <w:sz w:val="21"/>
                <w:szCs w:val="21"/>
                <w:lang w:val="en-US" w:eastAsia="zh-CN" w:bidi="ar-SA"/>
              </w:rPr>
              <w:t>采购人指定地点</w:t>
            </w:r>
          </w:p>
        </w:tc>
        <w:tc>
          <w:tcPr>
            <w:tcW w:w="789" w:type="dxa"/>
            <w:noWrap w:val="0"/>
            <w:vAlign w:val="center"/>
          </w:tcPr>
          <w:p w14:paraId="4042DD62">
            <w:pPr>
              <w:pStyle w:val="49"/>
              <w:widowControl w:val="0"/>
              <w:adjustRightInd w:val="0"/>
              <w:snapToGrid w:val="0"/>
              <w:spacing w:before="156" w:beforeLines="50" w:line="300" w:lineRule="exact"/>
              <w:jc w:val="center"/>
              <w:rPr>
                <w:rStyle w:val="23"/>
                <w:rFonts w:ascii="Times New Roman" w:hAnsi="Times New Roman" w:eastAsia="宋体" w:cs="Times New Roman"/>
                <w:kern w:val="2"/>
                <w:sz w:val="21"/>
                <w:szCs w:val="21"/>
                <w:lang w:val="en-US" w:eastAsia="zh-CN" w:bidi="ar-SA"/>
              </w:rPr>
            </w:pPr>
          </w:p>
        </w:tc>
      </w:tr>
      <w:tr w14:paraId="282732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51" w:hRule="atLeast"/>
          <w:jc w:val="center"/>
        </w:trPr>
        <w:tc>
          <w:tcPr>
            <w:tcW w:w="772" w:type="dxa"/>
            <w:noWrap w:val="0"/>
            <w:vAlign w:val="center"/>
          </w:tcPr>
          <w:p w14:paraId="06474E0B">
            <w:pPr>
              <w:pStyle w:val="49"/>
              <w:widowControl w:val="0"/>
              <w:adjustRightInd w:val="0"/>
              <w:snapToGrid w:val="0"/>
              <w:spacing w:before="156" w:beforeLines="50" w:line="300" w:lineRule="exact"/>
              <w:jc w:val="center"/>
              <w:rPr>
                <w:rStyle w:val="23"/>
                <w:rFonts w:hint="default" w:ascii="Times New Roman" w:hAnsi="Times New Roman" w:eastAsia="宋体" w:cs="Times New Roman"/>
                <w:kern w:val="2"/>
                <w:sz w:val="21"/>
                <w:szCs w:val="21"/>
                <w:lang w:val="en-US" w:eastAsia="zh-CN" w:bidi="ar-SA"/>
              </w:rPr>
            </w:pPr>
            <w:r>
              <w:rPr>
                <w:rStyle w:val="23"/>
                <w:rFonts w:hint="eastAsia" w:ascii="Times New Roman" w:hAnsi="Times New Roman" w:eastAsia="宋体" w:cs="Times New Roman"/>
                <w:kern w:val="2"/>
                <w:sz w:val="21"/>
                <w:szCs w:val="21"/>
                <w:lang w:val="en-US" w:eastAsia="zh-CN" w:bidi="ar-SA"/>
              </w:rPr>
              <w:t>4</w:t>
            </w:r>
          </w:p>
        </w:tc>
        <w:tc>
          <w:tcPr>
            <w:tcW w:w="1922" w:type="dxa"/>
            <w:noWrap w:val="0"/>
            <w:vAlign w:val="center"/>
          </w:tcPr>
          <w:p w14:paraId="338C1907">
            <w:pPr>
              <w:pStyle w:val="50"/>
              <w:widowControl/>
              <w:jc w:val="both"/>
              <w:rPr>
                <w:rStyle w:val="23"/>
                <w:rFonts w:hint="eastAsia" w:ascii="宋体" w:hAnsi="宋体" w:eastAsia="宋体" w:cs="宋体"/>
                <w:color w:val="auto"/>
                <w:kern w:val="2"/>
                <w:sz w:val="21"/>
                <w:szCs w:val="21"/>
                <w:highlight w:val="none"/>
                <w:lang w:val="en-US" w:eastAsia="zh-CN" w:bidi="ar-SA"/>
              </w:rPr>
            </w:pPr>
            <w:r>
              <w:rPr>
                <w:rStyle w:val="23"/>
                <w:rFonts w:hint="eastAsia" w:ascii="宋体" w:hAnsi="宋体" w:eastAsia="宋体" w:cs="宋体"/>
                <w:color w:val="auto"/>
                <w:kern w:val="2"/>
                <w:sz w:val="21"/>
                <w:szCs w:val="21"/>
                <w:highlight w:val="none"/>
                <w:lang w:val="en-US" w:eastAsia="zh-CN" w:bidi="ar-SA"/>
              </w:rPr>
              <w:t>普通国省道</w:t>
            </w:r>
            <w:r>
              <w:rPr>
                <w:rStyle w:val="23"/>
                <w:rFonts w:hint="eastAsia" w:ascii="宋体" w:hAnsi="宋体" w:cs="宋体"/>
                <w:color w:val="auto"/>
                <w:kern w:val="2"/>
                <w:sz w:val="21"/>
                <w:szCs w:val="21"/>
                <w:highlight w:val="none"/>
                <w:lang w:val="en-US" w:eastAsia="zh-CN" w:bidi="ar-SA"/>
              </w:rPr>
              <w:t>2座</w:t>
            </w:r>
            <w:r>
              <w:rPr>
                <w:rStyle w:val="23"/>
                <w:rFonts w:hint="eastAsia" w:ascii="宋体" w:hAnsi="宋体" w:eastAsia="宋体" w:cs="宋体"/>
                <w:color w:val="auto"/>
                <w:kern w:val="2"/>
                <w:sz w:val="21"/>
                <w:szCs w:val="21"/>
                <w:highlight w:val="none"/>
                <w:lang w:val="en-US" w:eastAsia="zh-CN" w:bidi="ar-SA"/>
              </w:rPr>
              <w:t>重点隧道监测、高速公路</w:t>
            </w:r>
            <w:r>
              <w:rPr>
                <w:rStyle w:val="23"/>
                <w:rFonts w:hint="eastAsia" w:ascii="宋体" w:hAnsi="宋体" w:cs="宋体"/>
                <w:color w:val="auto"/>
                <w:kern w:val="2"/>
                <w:sz w:val="21"/>
                <w:szCs w:val="21"/>
                <w:highlight w:val="none"/>
                <w:lang w:val="en-US" w:eastAsia="zh-CN" w:bidi="ar-SA"/>
              </w:rPr>
              <w:t>2座</w:t>
            </w:r>
            <w:r>
              <w:rPr>
                <w:rStyle w:val="23"/>
                <w:rFonts w:hint="eastAsia" w:ascii="宋体" w:hAnsi="宋体" w:eastAsia="宋体" w:cs="宋体"/>
                <w:color w:val="auto"/>
                <w:kern w:val="2"/>
                <w:sz w:val="21"/>
                <w:szCs w:val="21"/>
                <w:highlight w:val="none"/>
                <w:lang w:val="en-US" w:eastAsia="zh-CN" w:bidi="ar-SA"/>
              </w:rPr>
              <w:t>重点隧道监测</w:t>
            </w:r>
          </w:p>
        </w:tc>
        <w:tc>
          <w:tcPr>
            <w:tcW w:w="2126" w:type="dxa"/>
            <w:noWrap w:val="0"/>
            <w:vAlign w:val="center"/>
          </w:tcPr>
          <w:p w14:paraId="5989F2C2">
            <w:pPr>
              <w:pStyle w:val="50"/>
              <w:widowControl/>
              <w:jc w:val="both"/>
              <w:rPr>
                <w:rStyle w:val="23"/>
                <w:rFonts w:hint="eastAsia" w:ascii="宋体" w:hAnsi="宋体" w:eastAsia="宋体" w:cs="宋体"/>
                <w:color w:val="auto"/>
                <w:kern w:val="2"/>
                <w:sz w:val="21"/>
                <w:szCs w:val="21"/>
                <w:highlight w:val="none"/>
                <w:lang w:val="en-US" w:eastAsia="zh-CN" w:bidi="ar-SA"/>
              </w:rPr>
            </w:pPr>
            <w:r>
              <w:rPr>
                <w:rStyle w:val="23"/>
                <w:rFonts w:hint="eastAsia" w:ascii="宋体" w:hAnsi="宋体" w:eastAsia="宋体" w:cs="宋体"/>
                <w:color w:val="auto"/>
                <w:kern w:val="2"/>
                <w:sz w:val="21"/>
                <w:szCs w:val="21"/>
                <w:highlight w:val="none"/>
                <w:lang w:val="en-US" w:eastAsia="zh-CN" w:bidi="ar-SA"/>
              </w:rPr>
              <w:t>C19990000-其他专业技术服务</w:t>
            </w:r>
          </w:p>
        </w:tc>
        <w:tc>
          <w:tcPr>
            <w:tcW w:w="1701" w:type="dxa"/>
            <w:noWrap w:val="0"/>
            <w:vAlign w:val="center"/>
          </w:tcPr>
          <w:p w14:paraId="6E1FB2CF">
            <w:pPr>
              <w:pStyle w:val="49"/>
              <w:widowControl w:val="0"/>
              <w:adjustRightInd w:val="0"/>
              <w:snapToGrid w:val="0"/>
              <w:spacing w:before="156" w:beforeLines="50" w:line="300" w:lineRule="exact"/>
              <w:jc w:val="center"/>
              <w:rPr>
                <w:rStyle w:val="23"/>
                <w:rFonts w:hint="eastAsia" w:ascii="宋体" w:hAnsi="宋体" w:eastAsia="宋体" w:cs="宋体"/>
                <w:kern w:val="2"/>
                <w:sz w:val="21"/>
                <w:szCs w:val="21"/>
                <w:lang w:val="en-US" w:eastAsia="zh-CN" w:bidi="ar-SA"/>
              </w:rPr>
            </w:pPr>
            <w:r>
              <w:rPr>
                <w:rStyle w:val="23"/>
                <w:rFonts w:hint="eastAsia" w:ascii="宋体" w:hAnsi="宋体" w:eastAsia="宋体" w:cs="宋体"/>
                <w:kern w:val="2"/>
                <w:sz w:val="21"/>
                <w:szCs w:val="21"/>
                <w:lang w:val="en-US" w:eastAsia="zh-CN" w:bidi="ar-SA"/>
              </w:rPr>
              <w:t>合同签订后一年</w:t>
            </w:r>
          </w:p>
        </w:tc>
        <w:tc>
          <w:tcPr>
            <w:tcW w:w="1785" w:type="dxa"/>
            <w:noWrap w:val="0"/>
            <w:vAlign w:val="center"/>
          </w:tcPr>
          <w:p w14:paraId="7C4C4E02">
            <w:pPr>
              <w:pStyle w:val="49"/>
              <w:widowControl w:val="0"/>
              <w:adjustRightInd w:val="0"/>
              <w:snapToGrid w:val="0"/>
              <w:spacing w:before="156" w:beforeLines="50" w:line="300" w:lineRule="exact"/>
              <w:jc w:val="center"/>
              <w:rPr>
                <w:rStyle w:val="23"/>
                <w:rFonts w:hint="eastAsia" w:ascii="Times New Roman" w:hAnsi="Times New Roman" w:eastAsia="宋体" w:cs="Times New Roman"/>
                <w:kern w:val="2"/>
                <w:sz w:val="21"/>
                <w:szCs w:val="21"/>
                <w:lang w:val="en-US" w:eastAsia="zh-CN" w:bidi="ar-SA"/>
              </w:rPr>
            </w:pPr>
            <w:r>
              <w:rPr>
                <w:rStyle w:val="23"/>
                <w:rFonts w:hint="eastAsia" w:ascii="Times New Roman" w:hAnsi="Times New Roman" w:eastAsia="宋体" w:cs="Times New Roman"/>
                <w:kern w:val="2"/>
                <w:sz w:val="21"/>
                <w:szCs w:val="21"/>
                <w:lang w:val="en-US" w:eastAsia="zh-CN" w:bidi="ar-SA"/>
              </w:rPr>
              <w:t>采购人指定地点</w:t>
            </w:r>
          </w:p>
        </w:tc>
        <w:tc>
          <w:tcPr>
            <w:tcW w:w="789" w:type="dxa"/>
            <w:noWrap w:val="0"/>
            <w:vAlign w:val="center"/>
          </w:tcPr>
          <w:p w14:paraId="6BA90FAF">
            <w:pPr>
              <w:pStyle w:val="49"/>
              <w:widowControl w:val="0"/>
              <w:adjustRightInd w:val="0"/>
              <w:snapToGrid w:val="0"/>
              <w:spacing w:before="156" w:beforeLines="50" w:line="300" w:lineRule="exact"/>
              <w:jc w:val="center"/>
              <w:rPr>
                <w:rStyle w:val="23"/>
                <w:rFonts w:ascii="Times New Roman" w:hAnsi="Times New Roman" w:eastAsia="宋体" w:cs="Times New Roman"/>
                <w:kern w:val="2"/>
                <w:sz w:val="21"/>
                <w:szCs w:val="21"/>
                <w:lang w:val="en-US" w:eastAsia="zh-CN" w:bidi="ar-SA"/>
              </w:rPr>
            </w:pPr>
          </w:p>
        </w:tc>
      </w:tr>
    </w:tbl>
    <w:p w14:paraId="7DF20EFD">
      <w:pPr>
        <w:pStyle w:val="49"/>
        <w:adjustRightInd w:val="0"/>
        <w:snapToGrid w:val="0"/>
        <w:spacing w:line="360" w:lineRule="auto"/>
        <w:rPr>
          <w:rStyle w:val="23"/>
          <w:rFonts w:ascii="宋体" w:hAnsi="宋体" w:eastAsia="宋体" w:cs="Times New Roman"/>
          <w:szCs w:val="21"/>
        </w:rPr>
      </w:pPr>
    </w:p>
    <w:p w14:paraId="42AC1A1D">
      <w:pPr>
        <w:pStyle w:val="49"/>
        <w:autoSpaceDE w:val="0"/>
        <w:autoSpaceDN w:val="0"/>
        <w:adjustRightInd w:val="0"/>
        <w:spacing w:after="120"/>
        <w:ind w:left="420" w:leftChars="200"/>
        <w:jc w:val="left"/>
        <w:rPr>
          <w:rStyle w:val="23"/>
          <w:rFonts w:ascii="Times New Roman" w:hAnsi="Times New Roman" w:eastAsia="宋体" w:cs="Times New Roman"/>
          <w:kern w:val="0"/>
        </w:rPr>
      </w:pPr>
    </w:p>
    <w:p w14:paraId="53C4335B">
      <w:pPr>
        <w:pStyle w:val="49"/>
        <w:adjustRightInd w:val="0"/>
        <w:snapToGrid w:val="0"/>
        <w:spacing w:line="360" w:lineRule="auto"/>
        <w:rPr>
          <w:rStyle w:val="23"/>
          <w:rFonts w:ascii="宋体" w:hAnsi="宋体" w:eastAsia="宋体" w:cs="Times New Roman"/>
          <w:szCs w:val="21"/>
        </w:rPr>
      </w:pPr>
      <w:r>
        <w:rPr>
          <w:rStyle w:val="23"/>
          <w:rFonts w:hint="eastAsia" w:ascii="宋体" w:hAnsi="宋体" w:eastAsia="宋体" w:cs="Times New Roman"/>
          <w:szCs w:val="21"/>
        </w:rPr>
        <w:t>注：1、“包”为最小合同单位（最小</w:t>
      </w:r>
      <w:r>
        <w:rPr>
          <w:rStyle w:val="23"/>
          <w:rFonts w:hint="eastAsia" w:ascii="宋体" w:hAnsi="宋体" w:cs="Times New Roman"/>
          <w:szCs w:val="21"/>
          <w:lang w:eastAsia="zh-CN"/>
        </w:rPr>
        <w:t>响应</w:t>
      </w:r>
      <w:r>
        <w:rPr>
          <w:rStyle w:val="23"/>
          <w:rFonts w:hint="eastAsia" w:ascii="宋体" w:hAnsi="宋体" w:eastAsia="宋体" w:cs="Times New Roman"/>
          <w:szCs w:val="21"/>
        </w:rPr>
        <w:t>单位）。每“包”内容应细化到“品目”（如果分品目的）。</w:t>
      </w:r>
    </w:p>
    <w:p w14:paraId="7E0C99CF">
      <w:pPr>
        <w:pStyle w:val="49"/>
        <w:adjustRightInd w:val="0"/>
        <w:snapToGrid w:val="0"/>
        <w:spacing w:line="360" w:lineRule="auto"/>
        <w:ind w:firstLine="420" w:firstLineChars="200"/>
        <w:rPr>
          <w:rStyle w:val="23"/>
          <w:rFonts w:ascii="宋体" w:hAnsi="宋体" w:eastAsia="宋体" w:cs="Times New Roman"/>
          <w:szCs w:val="21"/>
        </w:rPr>
      </w:pPr>
      <w:r>
        <w:rPr>
          <w:rStyle w:val="23"/>
          <w:rFonts w:hint="eastAsia" w:ascii="宋体" w:hAnsi="宋体" w:eastAsia="宋体" w:cs="Times New Roman"/>
          <w:szCs w:val="21"/>
        </w:rPr>
        <w:t>2、</w:t>
      </w:r>
      <w:r>
        <w:rPr>
          <w:rStyle w:val="23"/>
          <w:rFonts w:hint="eastAsia" w:ascii="宋体" w:hAnsi="宋体" w:cs="Times New Roman"/>
          <w:szCs w:val="21"/>
          <w:lang w:eastAsia="zh-CN"/>
        </w:rPr>
        <w:t>供应商</w:t>
      </w:r>
      <w:r>
        <w:rPr>
          <w:rStyle w:val="23"/>
          <w:rFonts w:hint="eastAsia" w:ascii="宋体" w:hAnsi="宋体" w:eastAsia="宋体" w:cs="Times New Roman"/>
          <w:szCs w:val="21"/>
        </w:rPr>
        <w:t>必须对一个完整、独立的包进行</w:t>
      </w:r>
      <w:r>
        <w:rPr>
          <w:rStyle w:val="23"/>
          <w:rFonts w:hint="eastAsia" w:ascii="宋体" w:hAnsi="宋体" w:cs="Times New Roman"/>
          <w:szCs w:val="21"/>
          <w:lang w:eastAsia="zh-CN"/>
        </w:rPr>
        <w:t>响应</w:t>
      </w:r>
      <w:r>
        <w:rPr>
          <w:rStyle w:val="23"/>
          <w:rFonts w:hint="eastAsia" w:ascii="宋体" w:hAnsi="宋体" w:eastAsia="宋体" w:cs="Times New Roman"/>
          <w:szCs w:val="21"/>
        </w:rPr>
        <w:t>，不得仅对一个包中的部分品目</w:t>
      </w:r>
      <w:r>
        <w:rPr>
          <w:rStyle w:val="23"/>
          <w:rFonts w:hint="eastAsia" w:ascii="宋体" w:hAnsi="宋体" w:cs="Times New Roman"/>
          <w:szCs w:val="21"/>
          <w:lang w:eastAsia="zh-CN"/>
        </w:rPr>
        <w:t>响应</w:t>
      </w:r>
      <w:r>
        <w:rPr>
          <w:rStyle w:val="23"/>
          <w:rFonts w:hint="eastAsia" w:ascii="宋体" w:hAnsi="宋体" w:eastAsia="宋体" w:cs="Times New Roman"/>
          <w:szCs w:val="21"/>
        </w:rPr>
        <w:t>，否则</w:t>
      </w:r>
      <w:r>
        <w:rPr>
          <w:rStyle w:val="23"/>
          <w:rFonts w:hint="eastAsia" w:ascii="宋体" w:hAnsi="宋体" w:cs="Times New Roman"/>
          <w:b/>
          <w:szCs w:val="21"/>
          <w:lang w:eastAsia="zh-CN"/>
        </w:rPr>
        <w:t>响应</w:t>
      </w:r>
      <w:r>
        <w:rPr>
          <w:rStyle w:val="23"/>
          <w:rFonts w:hint="eastAsia" w:ascii="宋体" w:hAnsi="宋体" w:eastAsia="宋体" w:cs="Times New Roman"/>
          <w:b/>
          <w:szCs w:val="21"/>
        </w:rPr>
        <w:t>无效。</w:t>
      </w:r>
    </w:p>
    <w:p w14:paraId="737B7C52">
      <w:pPr>
        <w:pStyle w:val="49"/>
        <w:adjustRightInd w:val="0"/>
        <w:snapToGrid w:val="0"/>
        <w:spacing w:line="360" w:lineRule="auto"/>
        <w:ind w:firstLine="420" w:firstLineChars="200"/>
        <w:rPr>
          <w:rStyle w:val="23"/>
          <w:rFonts w:ascii="宋体" w:hAnsi="宋体" w:eastAsia="宋体" w:cs="宋体"/>
          <w:kern w:val="0"/>
          <w:szCs w:val="21"/>
        </w:rPr>
      </w:pPr>
      <w:r>
        <w:rPr>
          <w:rStyle w:val="23"/>
          <w:rFonts w:hint="eastAsia" w:ascii="宋体" w:hAnsi="宋体" w:eastAsia="宋体" w:cs="Times New Roman"/>
          <w:szCs w:val="21"/>
        </w:rPr>
        <w:t>3、服务主要要求：</w:t>
      </w:r>
      <w:r>
        <w:rPr>
          <w:rStyle w:val="23"/>
          <w:rFonts w:hint="eastAsia" w:ascii="宋体" w:hAnsi="宋体" w:eastAsia="宋体" w:cs="宋体"/>
          <w:kern w:val="0"/>
          <w:szCs w:val="21"/>
        </w:rPr>
        <w:t>详见“技术要求”中的具体技术参数。</w:t>
      </w:r>
    </w:p>
    <w:p w14:paraId="7AC81184">
      <w:pPr>
        <w:pStyle w:val="49"/>
        <w:adjustRightInd w:val="0"/>
        <w:snapToGrid w:val="0"/>
        <w:spacing w:line="360" w:lineRule="auto"/>
        <w:ind w:firstLine="420" w:firstLineChars="200"/>
        <w:rPr>
          <w:rStyle w:val="23"/>
          <w:rFonts w:ascii="Times New Roman" w:hAnsi="Times New Roman" w:eastAsia="宋体" w:cs="Times New Roman"/>
          <w:b/>
          <w:bCs/>
          <w:color w:val="auto"/>
        </w:rPr>
      </w:pPr>
      <w:r>
        <w:rPr>
          <w:rStyle w:val="23"/>
          <w:rFonts w:hint="eastAsia" w:ascii="宋体" w:hAnsi="宋体" w:eastAsia="宋体" w:cs="宋体"/>
          <w:bCs/>
          <w:kern w:val="0"/>
          <w:szCs w:val="21"/>
        </w:rPr>
        <w:t>4、</w:t>
      </w:r>
      <w:r>
        <w:rPr>
          <w:rStyle w:val="23"/>
          <w:rFonts w:hint="eastAsia" w:ascii="宋体" w:hAnsi="宋体" w:cs="宋体"/>
          <w:bCs/>
          <w:kern w:val="0"/>
          <w:szCs w:val="21"/>
          <w:lang w:eastAsia="zh-CN"/>
        </w:rPr>
        <w:t>供应商</w:t>
      </w:r>
      <w:r>
        <w:rPr>
          <w:rStyle w:val="23"/>
          <w:rFonts w:hint="eastAsia" w:ascii="宋体" w:hAnsi="宋体" w:eastAsia="宋体" w:cs="宋体"/>
          <w:bCs/>
          <w:kern w:val="0"/>
          <w:szCs w:val="21"/>
        </w:rPr>
        <w:t>应</w:t>
      </w:r>
      <w:r>
        <w:rPr>
          <w:rStyle w:val="23"/>
          <w:rFonts w:hint="eastAsia" w:ascii="宋体" w:hAnsi="宋体" w:eastAsia="宋体" w:cs="宋体"/>
          <w:kern w:val="0"/>
          <w:szCs w:val="21"/>
        </w:rPr>
        <w:t>在</w:t>
      </w:r>
      <w:r>
        <w:rPr>
          <w:rStyle w:val="23"/>
          <w:rFonts w:hint="eastAsia" w:ascii="宋体" w:hAnsi="宋体" w:cs="宋体"/>
          <w:kern w:val="0"/>
          <w:szCs w:val="21"/>
          <w:lang w:eastAsia="zh-CN"/>
        </w:rPr>
        <w:t>响应文件</w:t>
      </w:r>
      <w:r>
        <w:rPr>
          <w:rStyle w:val="23"/>
          <w:rFonts w:hint="eastAsia" w:ascii="宋体" w:hAnsi="宋体" w:eastAsia="宋体" w:cs="宋体"/>
          <w:kern w:val="0"/>
          <w:szCs w:val="21"/>
        </w:rPr>
        <w:t>《分项报价明细表》中按</w:t>
      </w:r>
      <w:r>
        <w:rPr>
          <w:rStyle w:val="23"/>
          <w:rFonts w:hint="eastAsia" w:ascii="宋体" w:hAnsi="宋体" w:eastAsia="宋体" w:cs="Times New Roman"/>
          <w:szCs w:val="21"/>
        </w:rPr>
        <w:t>分项项目名称（包括</w:t>
      </w:r>
      <w:r>
        <w:rPr>
          <w:rStyle w:val="23"/>
          <w:rFonts w:hint="eastAsia" w:ascii="宋体" w:hAnsi="宋体" w:eastAsia="宋体" w:cs="宋体"/>
          <w:kern w:val="0"/>
          <w:szCs w:val="21"/>
        </w:rPr>
        <w:t>条目号/品目名称）顺序逐项填写，且每个品目中的条目均需按</w:t>
      </w:r>
      <w:r>
        <w:rPr>
          <w:rStyle w:val="23"/>
          <w:rFonts w:hint="eastAsia" w:ascii="宋体" w:hAnsi="宋体" w:cs="宋体"/>
          <w:kern w:val="0"/>
          <w:szCs w:val="21"/>
          <w:lang w:eastAsia="zh-CN"/>
        </w:rPr>
        <w:t>磋商文件</w:t>
      </w:r>
      <w:r>
        <w:rPr>
          <w:rStyle w:val="23"/>
          <w:rFonts w:hint="eastAsia" w:ascii="宋体" w:hAnsi="宋体" w:eastAsia="宋体" w:cs="宋体"/>
          <w:kern w:val="0"/>
          <w:szCs w:val="21"/>
        </w:rPr>
        <w:t>规定报价。如有缺项、漏项，其</w:t>
      </w:r>
      <w:r>
        <w:rPr>
          <w:rStyle w:val="23"/>
          <w:rFonts w:hint="eastAsia" w:ascii="宋体" w:hAnsi="宋体" w:cs="宋体"/>
          <w:b/>
          <w:kern w:val="0"/>
          <w:szCs w:val="21"/>
          <w:lang w:eastAsia="zh-CN"/>
        </w:rPr>
        <w:t>响应</w:t>
      </w:r>
      <w:r>
        <w:rPr>
          <w:rStyle w:val="23"/>
          <w:rFonts w:hint="eastAsia" w:ascii="宋体" w:hAnsi="宋体" w:eastAsia="宋体" w:cs="宋体"/>
          <w:b/>
          <w:kern w:val="0"/>
          <w:szCs w:val="21"/>
        </w:rPr>
        <w:t>无效</w:t>
      </w:r>
      <w:r>
        <w:rPr>
          <w:rStyle w:val="23"/>
          <w:rFonts w:hint="eastAsia" w:ascii="宋体" w:hAnsi="宋体" w:eastAsia="宋体" w:cs="宋体"/>
          <w:kern w:val="0"/>
          <w:szCs w:val="21"/>
        </w:rPr>
        <w:t>。</w:t>
      </w:r>
    </w:p>
    <w:p w14:paraId="3A365B1B">
      <w:pPr>
        <w:rPr>
          <w:rFonts w:hint="eastAsia" w:ascii="黑体" w:eastAsia="黑体"/>
          <w:b/>
          <w:color w:val="auto"/>
          <w:sz w:val="32"/>
          <w:szCs w:val="32"/>
          <w:highlight w:val="none"/>
        </w:rPr>
      </w:pPr>
    </w:p>
    <w:p w14:paraId="5620E0A4">
      <w:pPr>
        <w:jc w:val="center"/>
        <w:rPr>
          <w:rStyle w:val="23"/>
          <w:rFonts w:ascii="黑体" w:hAnsi="黑体" w:eastAsia="黑体"/>
          <w:b/>
          <w:bCs/>
          <w:color w:val="auto"/>
          <w:sz w:val="28"/>
          <w:szCs w:val="28"/>
        </w:rPr>
      </w:pPr>
      <w:r>
        <w:rPr>
          <w:rFonts w:hint="eastAsia" w:ascii="黑体" w:eastAsia="黑体"/>
          <w:b/>
          <w:color w:val="auto"/>
          <w:sz w:val="32"/>
          <w:szCs w:val="32"/>
          <w:highlight w:val="none"/>
        </w:rPr>
        <w:br w:type="page"/>
      </w:r>
      <w:bookmarkStart w:id="125" w:name="_Toc256000039"/>
      <w:r>
        <w:rPr>
          <w:rStyle w:val="23"/>
          <w:rFonts w:hint="eastAsia" w:ascii="黑体" w:hAnsi="黑体" w:eastAsia="黑体"/>
          <w:b/>
          <w:bCs/>
          <w:color w:val="auto"/>
          <w:sz w:val="28"/>
          <w:szCs w:val="28"/>
        </w:rPr>
        <w:t>第二节 技术要求</w:t>
      </w:r>
      <w:bookmarkEnd w:id="125"/>
    </w:p>
    <w:p w14:paraId="0F3A8439">
      <w:pPr>
        <w:pStyle w:val="49"/>
        <w:adjustRightInd w:val="0"/>
        <w:snapToGrid w:val="0"/>
        <w:spacing w:line="360" w:lineRule="auto"/>
        <w:rPr>
          <w:rStyle w:val="23"/>
          <w:rFonts w:hint="eastAsia" w:ascii="宋体" w:hAnsi="宋体"/>
          <w:b/>
          <w:bCs/>
          <w:color w:val="auto"/>
          <w:szCs w:val="21"/>
          <w:lang w:eastAsia="zh-CN"/>
        </w:rPr>
      </w:pPr>
      <w:r>
        <w:rPr>
          <w:rStyle w:val="23"/>
          <w:rFonts w:hint="eastAsia" w:ascii="宋体" w:hAnsi="宋体"/>
          <w:b/>
          <w:bCs/>
          <w:color w:val="auto"/>
          <w:szCs w:val="21"/>
        </w:rPr>
        <w:t>一、采购项目名称：</w:t>
      </w:r>
      <w:r>
        <w:rPr>
          <w:rStyle w:val="23"/>
          <w:rFonts w:hint="eastAsia" w:ascii="宋体" w:hAnsi="宋体"/>
          <w:b/>
          <w:bCs/>
          <w:color w:val="auto"/>
          <w:szCs w:val="21"/>
          <w:lang w:eastAsia="zh-CN"/>
        </w:rPr>
        <w:t>2026年湖南省国省干线公路重点桥隧监测项目</w:t>
      </w:r>
    </w:p>
    <w:p w14:paraId="56141BE3">
      <w:pPr>
        <w:pStyle w:val="49"/>
        <w:adjustRightInd w:val="0"/>
        <w:snapToGrid w:val="0"/>
        <w:spacing w:line="360" w:lineRule="auto"/>
        <w:rPr>
          <w:rStyle w:val="23"/>
          <w:rFonts w:hint="eastAsia" w:ascii="宋体" w:hAnsi="宋体"/>
          <w:b/>
          <w:bCs/>
          <w:color w:val="auto"/>
          <w:szCs w:val="21"/>
          <w:lang w:val="en-US" w:eastAsia="zh-CN"/>
        </w:rPr>
      </w:pPr>
      <w:r>
        <w:rPr>
          <w:rStyle w:val="23"/>
          <w:rFonts w:hint="eastAsia" w:ascii="宋体" w:hAnsi="宋体"/>
          <w:b/>
          <w:bCs/>
          <w:color w:val="auto"/>
          <w:szCs w:val="21"/>
          <w:lang w:val="en-US" w:eastAsia="zh-CN"/>
        </w:rPr>
        <w:t>二、任务来源：</w:t>
      </w:r>
    </w:p>
    <w:p w14:paraId="269F1822">
      <w:pPr>
        <w:spacing w:line="240" w:lineRule="auto"/>
        <w:ind w:firstLine="420" w:firstLineChars="200"/>
        <w:jc w:val="both"/>
        <w:rPr>
          <w:rStyle w:val="23"/>
          <w:rFonts w:hint="eastAsia" w:ascii="宋体" w:hAnsi="宋体" w:eastAsia="宋体" w:cs="Times New Roman"/>
          <w:color w:val="auto"/>
          <w:kern w:val="2"/>
          <w:sz w:val="21"/>
          <w:szCs w:val="21"/>
          <w:lang w:val="en-US" w:eastAsia="zh-CN" w:bidi="ar-SA"/>
        </w:rPr>
      </w:pPr>
      <w:r>
        <w:rPr>
          <w:rStyle w:val="23"/>
          <w:rFonts w:hint="eastAsia" w:ascii="宋体" w:hAnsi="宋体" w:eastAsia="宋体" w:cs="Times New Roman"/>
          <w:color w:val="auto"/>
          <w:kern w:val="2"/>
          <w:sz w:val="21"/>
          <w:szCs w:val="21"/>
          <w:lang w:val="en-US" w:eastAsia="zh-CN" w:bidi="ar-SA"/>
        </w:rPr>
        <w:t>1.《交通运输部关于进一步加强公路桥梁养护管理的若干意见》（交公路发〔2013〕321号）；</w:t>
      </w:r>
    </w:p>
    <w:p w14:paraId="096BA890">
      <w:pPr>
        <w:spacing w:line="240" w:lineRule="auto"/>
        <w:ind w:firstLine="420" w:firstLineChars="200"/>
        <w:jc w:val="both"/>
        <w:rPr>
          <w:rStyle w:val="23"/>
          <w:rFonts w:hint="eastAsia" w:ascii="宋体" w:hAnsi="宋体" w:eastAsia="宋体" w:cs="Times New Roman"/>
          <w:color w:val="auto"/>
          <w:kern w:val="2"/>
          <w:sz w:val="21"/>
          <w:szCs w:val="21"/>
          <w:lang w:val="en-US" w:eastAsia="zh-CN" w:bidi="ar-SA"/>
        </w:rPr>
      </w:pPr>
      <w:r>
        <w:rPr>
          <w:rStyle w:val="23"/>
          <w:rFonts w:hint="eastAsia" w:ascii="宋体" w:hAnsi="宋体" w:eastAsia="宋体" w:cs="Times New Roman"/>
          <w:color w:val="auto"/>
          <w:kern w:val="2"/>
          <w:sz w:val="21"/>
          <w:szCs w:val="21"/>
          <w:lang w:val="en-US" w:eastAsia="zh-CN" w:bidi="ar-SA"/>
        </w:rPr>
        <w:t>2.《湖南省交通运输厅关于印发〈湖南省公路桥梁养护管理工作制度〉（试行）的通知》（湘交计统〔2019〕97号）；</w:t>
      </w:r>
    </w:p>
    <w:p w14:paraId="5A182D5E">
      <w:pPr>
        <w:spacing w:line="240" w:lineRule="auto"/>
        <w:ind w:firstLine="420" w:firstLineChars="200"/>
        <w:jc w:val="both"/>
        <w:rPr>
          <w:rStyle w:val="23"/>
          <w:rFonts w:hint="eastAsia" w:ascii="宋体" w:hAnsi="宋体" w:eastAsia="宋体" w:cs="Times New Roman"/>
          <w:color w:val="auto"/>
          <w:kern w:val="2"/>
          <w:sz w:val="21"/>
          <w:szCs w:val="21"/>
          <w:lang w:val="en-US" w:eastAsia="zh-CN" w:bidi="ar-SA"/>
        </w:rPr>
      </w:pPr>
      <w:r>
        <w:rPr>
          <w:rStyle w:val="23"/>
          <w:rFonts w:hint="eastAsia" w:ascii="宋体" w:hAnsi="宋体" w:eastAsia="宋体" w:cs="Times New Roman"/>
          <w:color w:val="auto"/>
          <w:kern w:val="2"/>
          <w:sz w:val="21"/>
          <w:szCs w:val="21"/>
          <w:lang w:val="en-US" w:eastAsia="zh-CN" w:bidi="ar-SA"/>
        </w:rPr>
        <w:t>3.《公路长大桥梁结构监测数据质量管理办法（试行）》（交公路函〔2025〕795号）</w:t>
      </w:r>
    </w:p>
    <w:p w14:paraId="75F8C7F7">
      <w:pPr>
        <w:spacing w:line="240" w:lineRule="auto"/>
        <w:ind w:firstLine="420" w:firstLineChars="200"/>
        <w:jc w:val="both"/>
        <w:rPr>
          <w:rStyle w:val="23"/>
          <w:rFonts w:hint="default" w:ascii="宋体" w:hAnsi="宋体"/>
          <w:b/>
          <w:bCs/>
          <w:color w:val="auto"/>
          <w:szCs w:val="21"/>
          <w:lang w:val="en-US" w:eastAsia="zh-CN"/>
        </w:rPr>
      </w:pPr>
      <w:r>
        <w:rPr>
          <w:rStyle w:val="23"/>
          <w:rFonts w:hint="eastAsia" w:ascii="宋体" w:hAnsi="宋体" w:eastAsia="宋体" w:cs="Times New Roman"/>
          <w:color w:val="auto"/>
          <w:kern w:val="2"/>
          <w:sz w:val="21"/>
          <w:szCs w:val="21"/>
          <w:lang w:val="en-US" w:eastAsia="zh-CN" w:bidi="ar-SA"/>
        </w:rPr>
        <w:t>4.《湖南省交通运输厅关于厅直单位2026年部门预算的批复》（湘交批〔2026〕23号）。</w:t>
      </w:r>
    </w:p>
    <w:p w14:paraId="7B0EF5EE">
      <w:pPr>
        <w:pStyle w:val="49"/>
        <w:adjustRightInd w:val="0"/>
        <w:snapToGrid w:val="0"/>
        <w:spacing w:line="360" w:lineRule="auto"/>
        <w:rPr>
          <w:rStyle w:val="23"/>
          <w:rFonts w:ascii="宋体" w:hAnsi="宋体"/>
          <w:b/>
          <w:bCs/>
          <w:color w:val="auto"/>
          <w:szCs w:val="21"/>
        </w:rPr>
      </w:pPr>
      <w:r>
        <w:rPr>
          <w:rStyle w:val="23"/>
          <w:rFonts w:hint="eastAsia" w:ascii="宋体" w:hAnsi="宋体"/>
          <w:b/>
          <w:bCs/>
          <w:color w:val="auto"/>
          <w:szCs w:val="21"/>
          <w:lang w:val="en-US" w:eastAsia="zh-CN"/>
        </w:rPr>
        <w:t>三</w:t>
      </w:r>
      <w:r>
        <w:rPr>
          <w:rStyle w:val="23"/>
          <w:rFonts w:hint="eastAsia" w:ascii="宋体" w:hAnsi="宋体"/>
          <w:b/>
          <w:bCs/>
          <w:color w:val="auto"/>
          <w:szCs w:val="21"/>
        </w:rPr>
        <w:t>、服务内容：</w:t>
      </w:r>
    </w:p>
    <w:p w14:paraId="275218DF">
      <w:pPr>
        <w:pStyle w:val="49"/>
        <w:ind w:firstLine="420" w:firstLineChars="200"/>
        <w:rPr>
          <w:rStyle w:val="23"/>
          <w:rFonts w:hint="eastAsia" w:ascii="宋体" w:hAnsi="宋体" w:eastAsia="宋体" w:cs="Times New Roman"/>
          <w:color w:val="auto"/>
          <w:kern w:val="2"/>
          <w:sz w:val="21"/>
          <w:szCs w:val="21"/>
          <w:lang w:val="en-US" w:eastAsia="zh-CN" w:bidi="ar-SA"/>
        </w:rPr>
      </w:pPr>
      <w:r>
        <w:rPr>
          <w:rStyle w:val="23"/>
          <w:rFonts w:hint="eastAsia" w:ascii="宋体" w:hAnsi="宋体" w:eastAsia="宋体" w:cs="Times New Roman"/>
          <w:color w:val="auto"/>
          <w:kern w:val="2"/>
          <w:sz w:val="21"/>
          <w:szCs w:val="21"/>
          <w:lang w:val="en-US" w:eastAsia="zh-CN" w:bidi="ar-SA"/>
        </w:rPr>
        <w:t>该项目主要工作内容为委托有相关资质的专业技术单位对高速公路、普通国省道的重点桥梁、隧道进行监测，对重点桥梁、隧道的技术状况、养护管理状况进行监督检查。依据相关规范并参照《国家公路网重点桥梁和隧道监测评价规程》现场开展桥隧检测，对桥隧定检质量进行复查，复核其技术状况评定等级，检查桥隧养护标准规范的执行情况，对桥隧养护管理情况进行数据分析和质量评价，编制桥隧监测报告。</w:t>
      </w:r>
    </w:p>
    <w:p w14:paraId="1A47F506">
      <w:pPr>
        <w:pStyle w:val="49"/>
        <w:adjustRightInd w:val="0"/>
        <w:snapToGrid w:val="0"/>
        <w:spacing w:line="360" w:lineRule="auto"/>
        <w:ind w:firstLine="420" w:firstLineChars="200"/>
        <w:rPr>
          <w:rStyle w:val="23"/>
          <w:rFonts w:hint="eastAsia" w:ascii="宋体" w:hAnsi="宋体" w:eastAsia="宋体" w:cs="Times New Roman"/>
          <w:color w:val="auto"/>
          <w:kern w:val="2"/>
          <w:sz w:val="21"/>
          <w:szCs w:val="21"/>
          <w:lang w:val="en-US" w:eastAsia="zh-CN" w:bidi="ar-SA"/>
        </w:rPr>
      </w:pPr>
    </w:p>
    <w:p w14:paraId="6103DF01">
      <w:pPr>
        <w:pStyle w:val="49"/>
        <w:adjustRightInd w:val="0"/>
        <w:snapToGrid w:val="0"/>
        <w:spacing w:line="360" w:lineRule="auto"/>
        <w:ind w:firstLine="420" w:firstLineChars="200"/>
        <w:rPr>
          <w:rStyle w:val="23"/>
          <w:rFonts w:hint="default" w:ascii="宋体" w:hAnsi="宋体" w:eastAsia="宋体" w:cs="Times New Roman"/>
          <w:b w:val="0"/>
          <w:bCs w:val="0"/>
          <w:color w:val="auto"/>
          <w:kern w:val="2"/>
          <w:sz w:val="21"/>
          <w:szCs w:val="21"/>
          <w:highlight w:val="none"/>
          <w:lang w:val="en-US" w:eastAsia="zh-CN" w:bidi="ar-SA"/>
        </w:rPr>
      </w:pPr>
      <w:r>
        <w:rPr>
          <w:rStyle w:val="23"/>
          <w:rFonts w:hint="eastAsia" w:ascii="宋体" w:hAnsi="宋体" w:eastAsia="宋体" w:cs="Times New Roman"/>
          <w:b w:val="0"/>
          <w:bCs w:val="0"/>
          <w:color w:val="auto"/>
          <w:kern w:val="2"/>
          <w:sz w:val="21"/>
          <w:szCs w:val="21"/>
          <w:highlight w:val="none"/>
          <w:lang w:val="en-US" w:eastAsia="zh-CN" w:bidi="ar-SA"/>
        </w:rPr>
        <w:t>本项目工作内容及要求如下表：</w:t>
      </w:r>
    </w:p>
    <w:p w14:paraId="17FB7387">
      <w:pPr>
        <w:pStyle w:val="49"/>
        <w:adjustRightInd w:val="0"/>
        <w:snapToGrid w:val="0"/>
        <w:spacing w:line="360" w:lineRule="auto"/>
        <w:jc w:val="center"/>
        <w:rPr>
          <w:rStyle w:val="23"/>
          <w:rFonts w:hint="default" w:ascii="Times New Roman" w:hAnsi="宋体" w:eastAsia="宋体" w:cs="宋体-18030"/>
          <w:b/>
          <w:color w:val="auto"/>
          <w:sz w:val="24"/>
          <w:szCs w:val="21"/>
          <w:lang w:val="en-US" w:eastAsia="zh-CN"/>
        </w:rPr>
      </w:pPr>
      <w:r>
        <w:rPr>
          <w:rStyle w:val="23"/>
          <w:rFonts w:ascii="Times New Roman" w:hAnsi="宋体" w:cs="宋体-18030"/>
          <w:b/>
          <w:color w:val="auto"/>
          <w:sz w:val="24"/>
          <w:szCs w:val="21"/>
        </w:rPr>
        <w:t>包</w:t>
      </w:r>
      <w:r>
        <w:rPr>
          <w:rStyle w:val="23"/>
          <w:rFonts w:hint="eastAsia" w:ascii="Times New Roman" w:hAnsi="宋体" w:cs="宋体-18030"/>
          <w:b/>
          <w:color w:val="auto"/>
          <w:sz w:val="24"/>
          <w:szCs w:val="21"/>
        </w:rPr>
        <w:t>1工作内容及要求</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815"/>
        <w:gridCol w:w="695"/>
        <w:gridCol w:w="5949"/>
      </w:tblGrid>
      <w:tr w14:paraId="7D78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35" w:type="pct"/>
            <w:noWrap w:val="0"/>
            <w:vAlign w:val="center"/>
          </w:tcPr>
          <w:p w14:paraId="753F4EFA">
            <w:pPr>
              <w:pStyle w:val="49"/>
              <w:widowControl w:val="0"/>
              <w:adjustRightInd w:val="0"/>
              <w:snapToGrid w:val="0"/>
              <w:jc w:val="center"/>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序号</w:t>
            </w:r>
          </w:p>
        </w:tc>
        <w:tc>
          <w:tcPr>
            <w:tcW w:w="1023" w:type="pct"/>
            <w:noWrap w:val="0"/>
            <w:vAlign w:val="center"/>
          </w:tcPr>
          <w:p w14:paraId="4F360DD0">
            <w:pPr>
              <w:pStyle w:val="49"/>
              <w:widowControl w:val="0"/>
              <w:adjustRightInd w:val="0"/>
              <w:snapToGrid w:val="0"/>
              <w:jc w:val="center"/>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服务内容</w:t>
            </w:r>
          </w:p>
        </w:tc>
        <w:tc>
          <w:tcPr>
            <w:tcW w:w="393" w:type="pct"/>
            <w:noWrap w:val="0"/>
            <w:vAlign w:val="center"/>
          </w:tcPr>
          <w:p w14:paraId="0D27CD6F">
            <w:pPr>
              <w:pStyle w:val="49"/>
              <w:widowControl w:val="0"/>
              <w:adjustRightInd w:val="0"/>
              <w:snapToGrid w:val="0"/>
              <w:jc w:val="center"/>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数量</w:t>
            </w:r>
          </w:p>
        </w:tc>
        <w:tc>
          <w:tcPr>
            <w:tcW w:w="3346" w:type="pct"/>
            <w:noWrap w:val="0"/>
            <w:vAlign w:val="center"/>
          </w:tcPr>
          <w:p w14:paraId="1A51DA7C">
            <w:pPr>
              <w:pStyle w:val="49"/>
              <w:widowControl w:val="0"/>
              <w:adjustRightInd w:val="0"/>
              <w:snapToGrid w:val="0"/>
              <w:jc w:val="center"/>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工作内容及要求</w:t>
            </w:r>
          </w:p>
        </w:tc>
      </w:tr>
      <w:tr w14:paraId="339B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000" w:type="pct"/>
            <w:gridSpan w:val="4"/>
            <w:noWrap w:val="0"/>
            <w:vAlign w:val="center"/>
          </w:tcPr>
          <w:p w14:paraId="5BE2376E">
            <w:pPr>
              <w:pStyle w:val="49"/>
              <w:widowControl w:val="0"/>
              <w:adjustRightInd w:val="0"/>
              <w:snapToGrid w:val="0"/>
              <w:jc w:val="both"/>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一、</w:t>
            </w:r>
            <w:r>
              <w:rPr>
                <w:rStyle w:val="23"/>
                <w:rFonts w:hint="eastAsia" w:ascii="宋体" w:hAnsi="宋体" w:eastAsia="宋体" w:cs="宋体"/>
                <w:b/>
                <w:bCs/>
                <w:color w:val="auto"/>
                <w:kern w:val="2"/>
                <w:sz w:val="21"/>
                <w:szCs w:val="21"/>
                <w:highlight w:val="none"/>
                <w:lang w:val="en-US" w:eastAsia="zh-CN" w:bidi="ar-SA"/>
              </w:rPr>
              <w:t>普通国省道10座重点桥梁监测</w:t>
            </w:r>
          </w:p>
        </w:tc>
      </w:tr>
      <w:tr w14:paraId="08DF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8" w:hRule="atLeast"/>
          <w:jc w:val="center"/>
        </w:trPr>
        <w:tc>
          <w:tcPr>
            <w:tcW w:w="235" w:type="pct"/>
            <w:noWrap w:val="0"/>
            <w:vAlign w:val="center"/>
          </w:tcPr>
          <w:p w14:paraId="5BA21B5F">
            <w:pPr>
              <w:pStyle w:val="49"/>
              <w:widowControl w:val="0"/>
              <w:adjustRightInd w:val="0"/>
              <w:snapToGrid w:val="0"/>
              <w:spacing w:line="240" w:lineRule="exact"/>
              <w:jc w:val="center"/>
              <w:rPr>
                <w:rStyle w:val="23"/>
                <w:rFonts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w:t>
            </w:r>
          </w:p>
        </w:tc>
        <w:tc>
          <w:tcPr>
            <w:tcW w:w="1023" w:type="pct"/>
            <w:noWrap w:val="0"/>
            <w:vAlign w:val="center"/>
          </w:tcPr>
          <w:p w14:paraId="783EAD89">
            <w:pPr>
              <w:pStyle w:val="49"/>
              <w:widowControl w:val="0"/>
              <w:adjustRightInd w:val="0"/>
              <w:snapToGrid w:val="0"/>
              <w:spacing w:line="240" w:lineRule="exact"/>
              <w:jc w:val="center"/>
              <w:rPr>
                <w:rStyle w:val="23"/>
                <w:rFonts w:hint="default"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普通国省道桥梁现场监测</w:t>
            </w:r>
          </w:p>
        </w:tc>
        <w:tc>
          <w:tcPr>
            <w:tcW w:w="393" w:type="pct"/>
            <w:noWrap w:val="0"/>
            <w:vAlign w:val="center"/>
          </w:tcPr>
          <w:p w14:paraId="2E914052">
            <w:pPr>
              <w:pStyle w:val="49"/>
              <w:widowControl w:val="0"/>
              <w:autoSpaceDE w:val="0"/>
              <w:autoSpaceDN w:val="0"/>
              <w:adjustRightInd w:val="0"/>
              <w:spacing w:after="120"/>
              <w:jc w:val="center"/>
              <w:rPr>
                <w:rStyle w:val="23"/>
                <w:rFonts w:hint="default"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10座</w:t>
            </w:r>
          </w:p>
        </w:tc>
        <w:tc>
          <w:tcPr>
            <w:tcW w:w="3346" w:type="pct"/>
            <w:noWrap w:val="0"/>
            <w:vAlign w:val="center"/>
          </w:tcPr>
          <w:p w14:paraId="5D1675F5">
            <w:pPr>
              <w:pStyle w:val="49"/>
              <w:widowControl w:val="0"/>
              <w:adjustRightInd w:val="0"/>
              <w:snapToGrid w:val="0"/>
              <w:jc w:val="left"/>
              <w:rPr>
                <w:rStyle w:val="23"/>
                <w:rFonts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参照交通运输部重点桥梁监测工作</w:t>
            </w:r>
            <w:r>
              <w:rPr>
                <w:rStyle w:val="23"/>
                <w:rFonts w:hint="eastAsia" w:ascii="宋体" w:hAnsi="宋体" w:cs="宋体"/>
                <w:color w:val="auto"/>
                <w:kern w:val="0"/>
                <w:sz w:val="21"/>
                <w:szCs w:val="21"/>
                <w:highlight w:val="none"/>
                <w:lang w:val="en-US" w:eastAsia="zh-CN" w:bidi="ar-SA"/>
              </w:rPr>
              <w:t>的相关要求，对重点监测桥梁开展检测工作：</w:t>
            </w:r>
          </w:p>
          <w:p w14:paraId="5D7759F7">
            <w:pPr>
              <w:pStyle w:val="49"/>
              <w:widowControl w:val="0"/>
              <w:adjustRightInd w:val="0"/>
              <w:snapToGrid w:val="0"/>
              <w:jc w:val="left"/>
              <w:rPr>
                <w:rStyle w:val="23"/>
                <w:rFonts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（1）桥梁检测及技术状况评定：对抽检桥梁按《公路桥涵养护规范》（JTG 5120-2021）定检要求进行检测（包括永久观测点测量、增补），对桥梁技术状况进行评定；</w:t>
            </w:r>
          </w:p>
          <w:p w14:paraId="4BC37FD6">
            <w:pPr>
              <w:pStyle w:val="49"/>
              <w:widowControl w:val="0"/>
              <w:adjustRightInd w:val="0"/>
              <w:snapToGrid w:val="0"/>
              <w:jc w:val="left"/>
              <w:rPr>
                <w:rStyle w:val="23"/>
                <w:rFonts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（2）例行检查复核：对抽检桥梁最近一期定检报告进行检查，对其技术状况评定等级进行复核，对定检报告质量进行评价；对桥梁经常检查记录进行检查；</w:t>
            </w:r>
          </w:p>
          <w:p w14:paraId="05B0106B">
            <w:pPr>
              <w:pStyle w:val="49"/>
              <w:widowControl w:val="0"/>
              <w:adjustRightInd w:val="0"/>
              <w:snapToGrid w:val="0"/>
              <w:jc w:val="left"/>
              <w:rPr>
                <w:rStyle w:val="23"/>
                <w:rFonts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（3）桥梁养护效果检查：对桥梁养护中出现的重大问题进行现场复查和检测，对桥梁病害处治的及时性、维修效果进行检查。</w:t>
            </w:r>
          </w:p>
        </w:tc>
      </w:tr>
      <w:tr w14:paraId="71FE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5000" w:type="pct"/>
            <w:gridSpan w:val="4"/>
            <w:noWrap w:val="0"/>
            <w:vAlign w:val="center"/>
          </w:tcPr>
          <w:p w14:paraId="4108194B">
            <w:pPr>
              <w:pStyle w:val="49"/>
              <w:widowControl w:val="0"/>
              <w:adjustRightInd w:val="0"/>
              <w:snapToGrid w:val="0"/>
              <w:jc w:val="left"/>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二、专项检查</w:t>
            </w:r>
          </w:p>
        </w:tc>
      </w:tr>
      <w:tr w14:paraId="0548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155CFF9D">
            <w:pPr>
              <w:pStyle w:val="49"/>
              <w:widowControl w:val="0"/>
              <w:adjustRightInd w:val="0"/>
              <w:snapToGrid w:val="0"/>
              <w:spacing w:line="240" w:lineRule="exact"/>
              <w:jc w:val="center"/>
              <w:rPr>
                <w:rStyle w:val="23"/>
                <w:rFonts w:hint="default"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w:t>
            </w:r>
          </w:p>
        </w:tc>
        <w:tc>
          <w:tcPr>
            <w:tcW w:w="1023" w:type="pct"/>
            <w:shd w:val="clear" w:color="auto" w:fill="auto"/>
            <w:noWrap w:val="0"/>
            <w:vAlign w:val="center"/>
          </w:tcPr>
          <w:p w14:paraId="50BCF813">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长大桥梁结构监测数据质量评价</w:t>
            </w:r>
          </w:p>
        </w:tc>
        <w:tc>
          <w:tcPr>
            <w:tcW w:w="393" w:type="pct"/>
            <w:shd w:val="clear" w:color="auto" w:fill="auto"/>
            <w:noWrap w:val="0"/>
            <w:vAlign w:val="center"/>
          </w:tcPr>
          <w:p w14:paraId="0BF40AC4">
            <w:pPr>
              <w:pStyle w:val="49"/>
              <w:widowControl w:val="0"/>
              <w:autoSpaceDE w:val="0"/>
              <w:autoSpaceDN w:val="0"/>
              <w:adjustRightInd w:val="0"/>
              <w:spacing w:after="120"/>
              <w:jc w:val="center"/>
              <w:rPr>
                <w:rStyle w:val="23"/>
                <w:rFonts w:hint="default"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10座</w:t>
            </w:r>
          </w:p>
        </w:tc>
        <w:tc>
          <w:tcPr>
            <w:tcW w:w="3346" w:type="pct"/>
            <w:shd w:val="clear" w:color="auto" w:fill="auto"/>
            <w:noWrap w:val="0"/>
            <w:vAlign w:val="center"/>
          </w:tcPr>
          <w:p w14:paraId="2E4379ED">
            <w:pPr>
              <w:pStyle w:val="49"/>
              <w:widowControl w:val="0"/>
              <w:adjustRightInd w:val="0"/>
              <w:snapToGrid w:val="0"/>
              <w:jc w:val="left"/>
              <w:rPr>
                <w:rStyle w:val="23"/>
                <w:rFonts w:hint="eastAsia" w:ascii="宋体" w:hAnsi="宋体" w:cs="宋体"/>
                <w:b/>
                <w:bCs w:val="0"/>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根据《公路长大桥梁结构监测数据质量管理办法（试行)》(交公路函[2025]795号)及《公路长大桥梁结构监测数据质量评价技术指南（试行）》的相关要求，对省级长大桥梁结构监测平台中的桥梁监测数据的完整性、时效性、准确性和真实性按半年及年度开展并进行年度综合评价，编制省级数据质量评价报告。</w:t>
            </w:r>
          </w:p>
        </w:tc>
      </w:tr>
      <w:tr w14:paraId="7B3D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01792F8E">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2</w:t>
            </w:r>
          </w:p>
        </w:tc>
        <w:tc>
          <w:tcPr>
            <w:tcW w:w="1023" w:type="pct"/>
            <w:noWrap w:val="0"/>
            <w:vAlign w:val="center"/>
          </w:tcPr>
          <w:p w14:paraId="11151AC6">
            <w:pPr>
              <w:pStyle w:val="49"/>
              <w:widowControl w:val="0"/>
              <w:adjustRightInd w:val="0"/>
              <w:snapToGrid w:val="0"/>
              <w:spacing w:line="240" w:lineRule="exact"/>
              <w:jc w:val="center"/>
              <w:rPr>
                <w:rStyle w:val="23"/>
                <w:rFonts w:ascii="宋体" w:hAnsi="宋体" w:cs="宋体"/>
                <w:bCs/>
                <w:color w:val="auto"/>
                <w:kern w:val="2"/>
                <w:sz w:val="21"/>
                <w:szCs w:val="21"/>
                <w:highlight w:val="none"/>
                <w:lang w:val="en-US" w:eastAsia="zh-CN" w:bidi="ar-SA"/>
              </w:rPr>
            </w:pPr>
          </w:p>
          <w:p w14:paraId="58C1D4AE">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CBMS数字化管养平台数据核查</w:t>
            </w:r>
          </w:p>
        </w:tc>
        <w:tc>
          <w:tcPr>
            <w:tcW w:w="393" w:type="pct"/>
            <w:noWrap w:val="0"/>
            <w:vAlign w:val="center"/>
          </w:tcPr>
          <w:p w14:paraId="20A2771B">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10市州*5座</w:t>
            </w:r>
          </w:p>
        </w:tc>
        <w:tc>
          <w:tcPr>
            <w:tcW w:w="3346" w:type="pct"/>
            <w:noWrap w:val="0"/>
            <w:vAlign w:val="center"/>
          </w:tcPr>
          <w:p w14:paraId="08AF6563">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bCs/>
                <w:color w:val="auto"/>
                <w:kern w:val="2"/>
                <w:sz w:val="21"/>
                <w:szCs w:val="21"/>
                <w:highlight w:val="none"/>
                <w:lang w:val="en-US" w:eastAsia="zh-CN" w:bidi="ar-SA"/>
              </w:rPr>
              <w:t>参照交通运输部重点桥梁监测工作</w:t>
            </w:r>
            <w:r>
              <w:rPr>
                <w:rStyle w:val="23"/>
                <w:rFonts w:hint="eastAsia" w:ascii="宋体" w:hAnsi="宋体" w:cs="宋体"/>
                <w:color w:val="auto"/>
                <w:kern w:val="0"/>
                <w:sz w:val="21"/>
                <w:szCs w:val="21"/>
                <w:highlight w:val="none"/>
                <w:lang w:val="en-US" w:eastAsia="zh-CN" w:bidi="ar-SA"/>
              </w:rPr>
              <w:t>的相关要求，在</w:t>
            </w:r>
            <w:r>
              <w:rPr>
                <w:rStyle w:val="23"/>
                <w:rFonts w:hint="eastAsia" w:ascii="宋体" w:hAnsi="宋体" w:cs="宋体"/>
                <w:bCs/>
                <w:color w:val="auto"/>
                <w:kern w:val="2"/>
                <w:sz w:val="21"/>
                <w:szCs w:val="21"/>
                <w:highlight w:val="none"/>
                <w:lang w:val="en-US" w:eastAsia="zh-CN" w:bidi="ar-SA"/>
              </w:rPr>
              <w:t>CBMS数字化管养平台中检查国省道桥梁基础数据（44个指标）、设计文件、定检报告、经常检查录入（上传）的准确性、完整性、及时性。</w:t>
            </w:r>
          </w:p>
        </w:tc>
      </w:tr>
      <w:tr w14:paraId="558A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772B3B96">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3</w:t>
            </w:r>
          </w:p>
        </w:tc>
        <w:tc>
          <w:tcPr>
            <w:tcW w:w="1023" w:type="pct"/>
            <w:noWrap w:val="0"/>
            <w:vAlign w:val="center"/>
          </w:tcPr>
          <w:p w14:paraId="6B9E82C5">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预防性养护实施检查</w:t>
            </w:r>
          </w:p>
        </w:tc>
        <w:tc>
          <w:tcPr>
            <w:tcW w:w="393" w:type="pct"/>
            <w:noWrap w:val="0"/>
            <w:vAlign w:val="center"/>
          </w:tcPr>
          <w:p w14:paraId="78939392">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10市州*5座</w:t>
            </w:r>
          </w:p>
        </w:tc>
        <w:tc>
          <w:tcPr>
            <w:tcW w:w="3346" w:type="pct"/>
            <w:noWrap w:val="0"/>
            <w:vAlign w:val="center"/>
          </w:tcPr>
          <w:p w14:paraId="32807647">
            <w:pPr>
              <w:pStyle w:val="49"/>
              <w:widowControl/>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color w:val="auto"/>
                <w:kern w:val="0"/>
                <w:sz w:val="21"/>
                <w:szCs w:val="21"/>
                <w:highlight w:val="none"/>
                <w:lang w:val="en-US" w:eastAsia="zh-CN" w:bidi="ar-SA"/>
              </w:rPr>
              <w:t>对桥梁预防性养护性及时性、实施效果等进行检查。</w:t>
            </w:r>
          </w:p>
        </w:tc>
      </w:tr>
      <w:tr w14:paraId="3744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78FD5663">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4</w:t>
            </w:r>
          </w:p>
        </w:tc>
        <w:tc>
          <w:tcPr>
            <w:tcW w:w="1023" w:type="pct"/>
            <w:noWrap w:val="0"/>
            <w:vAlign w:val="center"/>
          </w:tcPr>
          <w:p w14:paraId="25011758">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color w:val="auto"/>
                <w:kern w:val="0"/>
                <w:sz w:val="21"/>
                <w:szCs w:val="21"/>
                <w:highlight w:val="none"/>
                <w:lang w:val="en-US" w:eastAsia="zh-CN" w:bidi="ar-SA"/>
              </w:rPr>
              <w:t>桥梁保护区管理检查</w:t>
            </w:r>
          </w:p>
        </w:tc>
        <w:tc>
          <w:tcPr>
            <w:tcW w:w="393" w:type="pct"/>
            <w:noWrap w:val="0"/>
            <w:vAlign w:val="center"/>
          </w:tcPr>
          <w:p w14:paraId="49E4BAB7">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10市州*5座</w:t>
            </w:r>
          </w:p>
        </w:tc>
        <w:tc>
          <w:tcPr>
            <w:tcW w:w="3346" w:type="pct"/>
            <w:noWrap w:val="0"/>
            <w:vAlign w:val="center"/>
          </w:tcPr>
          <w:p w14:paraId="367B9AF2">
            <w:pPr>
              <w:pStyle w:val="49"/>
              <w:widowControl w:val="0"/>
              <w:numPr>
                <w:ilvl w:val="0"/>
                <w:numId w:val="2"/>
              </w:numPr>
              <w:adjustRightInd w:val="0"/>
              <w:snapToGrid w:val="0"/>
              <w:jc w:val="left"/>
              <w:rPr>
                <w:rStyle w:val="23"/>
                <w:rFonts w:ascii="宋体" w:hAnsi="宋体" w:cs="宋体"/>
                <w:color w:val="auto"/>
                <w:kern w:val="2"/>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检查桥梁有无桥下空间(含桥梁内部空间)被占用情况，包括填土、可燃 物堆积、违建等现象；</w:t>
            </w:r>
          </w:p>
          <w:p w14:paraId="5DADF7D1">
            <w:pPr>
              <w:pStyle w:val="49"/>
              <w:widowControl w:val="0"/>
              <w:numPr>
                <w:ilvl w:val="0"/>
                <w:numId w:val="2"/>
              </w:numPr>
              <w:adjustRightInd w:val="0"/>
              <w:snapToGrid w:val="0"/>
              <w:jc w:val="left"/>
              <w:rPr>
                <w:rStyle w:val="23"/>
                <w:rFonts w:ascii="宋体" w:hAnsi="宋体" w:cs="宋体"/>
                <w:color w:val="auto"/>
                <w:kern w:val="2"/>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检查桥梁上有无堆放物品、搭建设施以及铺设高压电线和输送易燃、易爆或 有毒有害气体、液体的管道的情况；</w:t>
            </w:r>
          </w:p>
          <w:p w14:paraId="72A249E9">
            <w:pPr>
              <w:pStyle w:val="49"/>
              <w:widowControl w:val="0"/>
              <w:numPr>
                <w:ilvl w:val="0"/>
                <w:numId w:val="2"/>
              </w:numPr>
              <w:adjustRightInd w:val="0"/>
              <w:snapToGrid w:val="0"/>
              <w:jc w:val="left"/>
              <w:rPr>
                <w:rStyle w:val="23"/>
                <w:rFonts w:hint="eastAsia" w:ascii="宋体" w:hAnsi="宋体" w:cs="Times New Roman"/>
                <w:b w:val="0"/>
                <w:bCs w:val="0"/>
                <w:color w:val="auto"/>
                <w:kern w:val="2"/>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采用无人机或人工巡检的方式，检查跨越河道上下游各1000m范围内是否存在架设浮桥及修建其他危及公路桥梁安全的设施。</w:t>
            </w:r>
          </w:p>
        </w:tc>
      </w:tr>
      <w:tr w14:paraId="4483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31FAB20C">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5</w:t>
            </w:r>
          </w:p>
        </w:tc>
        <w:tc>
          <w:tcPr>
            <w:tcW w:w="1023" w:type="pct"/>
            <w:noWrap w:val="0"/>
            <w:vAlign w:val="center"/>
          </w:tcPr>
          <w:p w14:paraId="42DC61A3">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color w:val="auto"/>
                <w:kern w:val="0"/>
                <w:sz w:val="21"/>
                <w:szCs w:val="21"/>
                <w:highlight w:val="none"/>
                <w:lang w:val="en-US" w:eastAsia="zh-CN" w:bidi="ar-SA"/>
              </w:rPr>
              <w:t>检查通道设置情况</w:t>
            </w:r>
          </w:p>
        </w:tc>
        <w:tc>
          <w:tcPr>
            <w:tcW w:w="393" w:type="pct"/>
            <w:noWrap w:val="0"/>
            <w:vAlign w:val="center"/>
          </w:tcPr>
          <w:p w14:paraId="6FE2F590">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10市州*5座</w:t>
            </w:r>
          </w:p>
        </w:tc>
        <w:tc>
          <w:tcPr>
            <w:tcW w:w="3346" w:type="pct"/>
            <w:noWrap w:val="0"/>
            <w:vAlign w:val="center"/>
          </w:tcPr>
          <w:p w14:paraId="4E1022C7">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color w:val="auto"/>
                <w:kern w:val="2"/>
                <w:sz w:val="21"/>
                <w:szCs w:val="21"/>
                <w:highlight w:val="none"/>
                <w:lang w:val="en-US" w:eastAsia="zh-CN" w:bidi="ar-SA"/>
              </w:rPr>
              <w:t>检查桥梁检查通道设置情况。</w:t>
            </w:r>
          </w:p>
        </w:tc>
      </w:tr>
      <w:tr w14:paraId="2EB7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1F66E9A4">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6</w:t>
            </w:r>
          </w:p>
        </w:tc>
        <w:tc>
          <w:tcPr>
            <w:tcW w:w="1023" w:type="pct"/>
            <w:noWrap w:val="0"/>
            <w:vAlign w:val="center"/>
          </w:tcPr>
          <w:p w14:paraId="7AC297AA">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高墩偏位检查</w:t>
            </w:r>
          </w:p>
        </w:tc>
        <w:tc>
          <w:tcPr>
            <w:tcW w:w="393" w:type="pct"/>
            <w:noWrap w:val="0"/>
            <w:vAlign w:val="center"/>
          </w:tcPr>
          <w:p w14:paraId="6FF59224">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1项</w:t>
            </w:r>
          </w:p>
        </w:tc>
        <w:tc>
          <w:tcPr>
            <w:tcW w:w="3346" w:type="pct"/>
            <w:noWrap w:val="0"/>
            <w:vAlign w:val="center"/>
          </w:tcPr>
          <w:p w14:paraId="22D50CE7">
            <w:pPr>
              <w:pStyle w:val="49"/>
              <w:widowControl w:val="0"/>
              <w:adjustRightInd w:val="0"/>
              <w:snapToGrid w:val="0"/>
              <w:jc w:val="left"/>
              <w:rPr>
                <w:rStyle w:val="23"/>
                <w:rFonts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若抽检桥梁存在高度超过20米的墩柱，则进行桥墩竖直度检测，并对最近一次竖直度检测结果进行复核，同时采用无人机对该桥墩外观进行检测。</w:t>
            </w:r>
          </w:p>
          <w:p w14:paraId="248763BC">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bCs/>
                <w:color w:val="auto"/>
                <w:kern w:val="2"/>
                <w:sz w:val="21"/>
                <w:szCs w:val="21"/>
                <w:highlight w:val="none"/>
                <w:lang w:val="en-US" w:eastAsia="zh-CN" w:bidi="ar-SA"/>
              </w:rPr>
              <w:t>若抽检桥梁不存在高墩，则不开展高墩偏位检查工作。</w:t>
            </w:r>
          </w:p>
        </w:tc>
      </w:tr>
      <w:tr w14:paraId="7190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70B8610F">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7</w:t>
            </w:r>
          </w:p>
        </w:tc>
        <w:tc>
          <w:tcPr>
            <w:tcW w:w="1023" w:type="pct"/>
            <w:noWrap w:val="0"/>
            <w:vAlign w:val="center"/>
          </w:tcPr>
          <w:p w14:paraId="7EBDDAB4">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水下基础检查</w:t>
            </w:r>
          </w:p>
        </w:tc>
        <w:tc>
          <w:tcPr>
            <w:tcW w:w="393" w:type="pct"/>
            <w:noWrap w:val="0"/>
            <w:vAlign w:val="center"/>
          </w:tcPr>
          <w:p w14:paraId="5474CD19">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10管养单位*</w:t>
            </w:r>
            <w:r>
              <w:rPr>
                <w:rStyle w:val="23"/>
                <w:rFonts w:ascii="宋体" w:hAnsi="宋体" w:cs="宋体"/>
                <w:color w:val="auto"/>
                <w:kern w:val="2"/>
                <w:sz w:val="21"/>
                <w:szCs w:val="21"/>
                <w:highlight w:val="none"/>
                <w:lang w:val="en-US" w:eastAsia="zh-CN" w:bidi="ar-SA"/>
              </w:rPr>
              <w:t>1座</w:t>
            </w:r>
          </w:p>
        </w:tc>
        <w:tc>
          <w:tcPr>
            <w:tcW w:w="3346" w:type="pct"/>
            <w:noWrap w:val="0"/>
            <w:vAlign w:val="center"/>
          </w:tcPr>
          <w:p w14:paraId="325BE25E">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bCs/>
                <w:color w:val="auto"/>
                <w:kern w:val="2"/>
                <w:sz w:val="21"/>
                <w:szCs w:val="21"/>
                <w:highlight w:val="none"/>
                <w:lang w:val="en-US" w:eastAsia="zh-CN" w:bidi="ar-SA"/>
              </w:rPr>
              <w:t>若抽检重点监测桥梁具有水下基础，则采用潜水探摸、水下摄像等方式对水下基础进行检查；若抽检重点监测桥梁无水下基础，则抽检同一管养单位的另外一座具有水下基础的桥梁开展水下检测。</w:t>
            </w:r>
          </w:p>
        </w:tc>
      </w:tr>
      <w:tr w14:paraId="641B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32E6A834">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8</w:t>
            </w:r>
          </w:p>
        </w:tc>
        <w:tc>
          <w:tcPr>
            <w:tcW w:w="1023" w:type="pct"/>
            <w:noWrap w:val="0"/>
            <w:vAlign w:val="center"/>
          </w:tcPr>
          <w:p w14:paraId="557C03FA">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2025年省检“回头看”</w:t>
            </w:r>
          </w:p>
        </w:tc>
        <w:tc>
          <w:tcPr>
            <w:tcW w:w="393" w:type="pct"/>
            <w:noWrap w:val="0"/>
            <w:vAlign w:val="center"/>
          </w:tcPr>
          <w:p w14:paraId="2321BAE2">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w:t>
            </w:r>
          </w:p>
        </w:tc>
        <w:tc>
          <w:tcPr>
            <w:tcW w:w="3346" w:type="pct"/>
            <w:noWrap w:val="0"/>
            <w:vAlign w:val="center"/>
          </w:tcPr>
          <w:p w14:paraId="20635CE5">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bCs/>
                <w:color w:val="auto"/>
                <w:kern w:val="2"/>
                <w:sz w:val="21"/>
                <w:szCs w:val="21"/>
                <w:highlight w:val="none"/>
                <w:lang w:val="en-US" w:eastAsia="zh-CN" w:bidi="ar-SA"/>
              </w:rPr>
              <w:t>对2025年重点监测通报问题进行“回头看”，现场核查问题整改情况。</w:t>
            </w:r>
          </w:p>
        </w:tc>
      </w:tr>
      <w:tr w14:paraId="69BF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5000" w:type="pct"/>
            <w:gridSpan w:val="4"/>
            <w:noWrap w:val="0"/>
            <w:vAlign w:val="center"/>
          </w:tcPr>
          <w:p w14:paraId="01FB9F12">
            <w:pPr>
              <w:pStyle w:val="49"/>
              <w:widowControl w:val="0"/>
              <w:adjustRightInd w:val="0"/>
              <w:snapToGrid w:val="0"/>
              <w:jc w:val="left"/>
              <w:rPr>
                <w:rStyle w:val="23"/>
                <w:rFonts w:hint="eastAsia" w:ascii="宋体" w:hAnsi="宋体" w:cs="宋体"/>
                <w:color w:val="auto"/>
                <w:kern w:val="2"/>
                <w:sz w:val="21"/>
                <w:szCs w:val="21"/>
                <w:highlight w:val="none"/>
                <w:lang w:val="en-US" w:eastAsia="zh-CN" w:bidi="ar-SA"/>
              </w:rPr>
            </w:pPr>
            <w:r>
              <w:rPr>
                <w:rStyle w:val="23"/>
                <w:rFonts w:hint="eastAsia" w:ascii="宋体" w:hAnsi="宋体" w:cs="宋体"/>
                <w:b/>
                <w:color w:val="auto"/>
                <w:kern w:val="2"/>
                <w:sz w:val="21"/>
                <w:szCs w:val="21"/>
                <w:highlight w:val="none"/>
                <w:lang w:val="en-US" w:eastAsia="zh-CN" w:bidi="ar-SA"/>
              </w:rPr>
              <w:t>三、其他工作</w:t>
            </w:r>
            <w:r>
              <w:rPr>
                <w:rStyle w:val="23"/>
                <w:rFonts w:hint="eastAsia" w:ascii="宋体" w:hAnsi="宋体" w:cs="宋体"/>
                <w:b/>
                <w:color w:val="auto"/>
                <w:kern w:val="2"/>
                <w:sz w:val="21"/>
                <w:szCs w:val="21"/>
                <w:highlight w:val="none"/>
                <w:shd w:val="clear" w:color="auto" w:fill="auto"/>
                <w:lang w:val="en-US" w:eastAsia="zh-CN" w:bidi="ar-SA"/>
              </w:rPr>
              <w:t>（本项内容为检测附带内容，不进行报价）</w:t>
            </w:r>
          </w:p>
        </w:tc>
      </w:tr>
      <w:tr w14:paraId="3793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1D0E58B4">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w:t>
            </w:r>
          </w:p>
        </w:tc>
        <w:tc>
          <w:tcPr>
            <w:tcW w:w="1023" w:type="pct"/>
            <w:noWrap w:val="0"/>
            <w:vAlign w:val="center"/>
          </w:tcPr>
          <w:p w14:paraId="70FD0DE8">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检测结果数据分析及出具加盖相关资质印章的检测报告</w:t>
            </w:r>
          </w:p>
        </w:tc>
        <w:tc>
          <w:tcPr>
            <w:tcW w:w="393" w:type="pct"/>
            <w:noWrap w:val="0"/>
            <w:vAlign w:val="center"/>
          </w:tcPr>
          <w:p w14:paraId="0CF8D72E">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1项</w:t>
            </w:r>
          </w:p>
        </w:tc>
        <w:tc>
          <w:tcPr>
            <w:tcW w:w="3346" w:type="pct"/>
            <w:noWrap w:val="0"/>
            <w:vAlign w:val="center"/>
          </w:tcPr>
          <w:p w14:paraId="0B7039AD">
            <w:pPr>
              <w:pStyle w:val="49"/>
              <w:widowControl w:val="0"/>
              <w:adjustRightInd w:val="0"/>
              <w:snapToGrid w:val="0"/>
              <w:jc w:val="left"/>
              <w:rPr>
                <w:rStyle w:val="23"/>
                <w:rFonts w:ascii="宋体" w:hAnsi="宋体" w:cs="宋体"/>
                <w:color w:val="auto"/>
                <w:kern w:val="2"/>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（1）编制单个市州桥梁检测报告；</w:t>
            </w:r>
          </w:p>
          <w:p w14:paraId="4EB2EFD4">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color w:val="auto"/>
                <w:kern w:val="2"/>
                <w:sz w:val="21"/>
                <w:szCs w:val="21"/>
                <w:highlight w:val="none"/>
                <w:lang w:val="en-US" w:eastAsia="zh-CN" w:bidi="ar-SA"/>
              </w:rPr>
              <w:t>（2）编制普通国省道桥梁检测总报告。</w:t>
            </w:r>
          </w:p>
        </w:tc>
      </w:tr>
      <w:tr w14:paraId="729F5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158DEE99">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2</w:t>
            </w:r>
          </w:p>
        </w:tc>
        <w:tc>
          <w:tcPr>
            <w:tcW w:w="1023" w:type="pct"/>
            <w:noWrap w:val="0"/>
            <w:vAlign w:val="center"/>
          </w:tcPr>
          <w:p w14:paraId="6729751E">
            <w:pPr>
              <w:pStyle w:val="49"/>
              <w:widowControl w:val="0"/>
              <w:adjustRightInd w:val="0"/>
              <w:snapToGrid w:val="0"/>
              <w:spacing w:line="240" w:lineRule="exact"/>
              <w:jc w:val="center"/>
              <w:rPr>
                <w:rFonts w:hint="default"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技术咨询及技术应用试点</w:t>
            </w:r>
          </w:p>
        </w:tc>
        <w:tc>
          <w:tcPr>
            <w:tcW w:w="393" w:type="pct"/>
            <w:noWrap w:val="0"/>
            <w:vAlign w:val="center"/>
          </w:tcPr>
          <w:p w14:paraId="03379351">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1项</w:t>
            </w:r>
          </w:p>
        </w:tc>
        <w:tc>
          <w:tcPr>
            <w:tcW w:w="3346" w:type="pct"/>
            <w:noWrap w:val="0"/>
            <w:vAlign w:val="center"/>
          </w:tcPr>
          <w:p w14:paraId="15C19ACA">
            <w:pPr>
              <w:pStyle w:val="49"/>
              <w:widowControl w:val="0"/>
              <w:adjustRightInd w:val="0"/>
              <w:snapToGrid w:val="0"/>
              <w:jc w:val="left"/>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（1）为桥梁养护管理提供技术咨询，安排1名桥梁专业技术人员提供驻点服务。</w:t>
            </w:r>
          </w:p>
          <w:p w14:paraId="390931B8">
            <w:pPr>
              <w:pStyle w:val="49"/>
              <w:widowControl w:val="0"/>
              <w:adjustRightInd w:val="0"/>
              <w:snapToGrid w:val="0"/>
              <w:jc w:val="left"/>
              <w:rPr>
                <w:rStyle w:val="23"/>
                <w:rFonts w:hint="default"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（2）完成1项采用低空无人机公路桥梁检测或水下机器人公路桥梁检查试点应用，并编制试点应用报告。</w:t>
            </w:r>
          </w:p>
        </w:tc>
      </w:tr>
    </w:tbl>
    <w:p w14:paraId="145E0D58">
      <w:pPr>
        <w:rPr>
          <w:rFonts w:hint="eastAsia" w:ascii="黑体" w:eastAsia="黑体"/>
          <w:b/>
          <w:color w:val="auto"/>
          <w:sz w:val="32"/>
          <w:szCs w:val="32"/>
          <w:highlight w:val="none"/>
        </w:rPr>
      </w:pPr>
    </w:p>
    <w:p w14:paraId="14E6C88B">
      <w:pPr>
        <w:pStyle w:val="49"/>
        <w:widowControl/>
        <w:jc w:val="center"/>
        <w:rPr>
          <w:rStyle w:val="23"/>
          <w:rFonts w:ascii="宋体" w:hAnsi="宋体" w:cs="宋体-18030"/>
          <w:b/>
          <w:color w:val="auto"/>
          <w:sz w:val="24"/>
          <w:szCs w:val="21"/>
        </w:rPr>
      </w:pPr>
      <w:r>
        <w:rPr>
          <w:rFonts w:hint="eastAsia" w:ascii="黑体" w:eastAsia="黑体"/>
          <w:b/>
          <w:color w:val="auto"/>
          <w:sz w:val="32"/>
          <w:szCs w:val="32"/>
          <w:highlight w:val="none"/>
        </w:rPr>
        <w:br w:type="page"/>
      </w:r>
    </w:p>
    <w:p w14:paraId="43423328">
      <w:pPr>
        <w:pStyle w:val="49"/>
        <w:widowControl/>
        <w:jc w:val="center"/>
        <w:rPr>
          <w:rStyle w:val="23"/>
          <w:rFonts w:hint="eastAsia" w:ascii="宋体" w:hAnsi="宋体" w:cs="宋体-18030"/>
          <w:b/>
          <w:color w:val="auto"/>
          <w:sz w:val="24"/>
          <w:szCs w:val="21"/>
        </w:rPr>
      </w:pPr>
      <w:r>
        <w:rPr>
          <w:rStyle w:val="23"/>
          <w:rFonts w:ascii="宋体" w:hAnsi="宋体" w:cs="宋体-18030"/>
          <w:b/>
          <w:color w:val="auto"/>
          <w:sz w:val="24"/>
          <w:szCs w:val="21"/>
        </w:rPr>
        <w:t>包</w:t>
      </w:r>
      <w:r>
        <w:rPr>
          <w:rStyle w:val="23"/>
          <w:rFonts w:hint="eastAsia" w:ascii="宋体" w:hAnsi="宋体" w:cs="宋体-18030"/>
          <w:b/>
          <w:color w:val="auto"/>
          <w:sz w:val="24"/>
          <w:szCs w:val="21"/>
        </w:rPr>
        <w:t>2工作内容及要求</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817"/>
        <w:gridCol w:w="697"/>
        <w:gridCol w:w="5945"/>
      </w:tblGrid>
      <w:tr w14:paraId="4A9D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35" w:type="pct"/>
            <w:noWrap w:val="0"/>
            <w:vAlign w:val="center"/>
          </w:tcPr>
          <w:p w14:paraId="4D5AD766">
            <w:pPr>
              <w:pStyle w:val="49"/>
              <w:widowControl w:val="0"/>
              <w:adjustRightInd w:val="0"/>
              <w:snapToGrid w:val="0"/>
              <w:jc w:val="center"/>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序号</w:t>
            </w:r>
          </w:p>
        </w:tc>
        <w:tc>
          <w:tcPr>
            <w:tcW w:w="1024" w:type="pct"/>
            <w:noWrap w:val="0"/>
            <w:vAlign w:val="center"/>
          </w:tcPr>
          <w:p w14:paraId="0A5AE22B">
            <w:pPr>
              <w:pStyle w:val="49"/>
              <w:widowControl w:val="0"/>
              <w:adjustRightInd w:val="0"/>
              <w:snapToGrid w:val="0"/>
              <w:jc w:val="center"/>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服务内容</w:t>
            </w:r>
          </w:p>
        </w:tc>
        <w:tc>
          <w:tcPr>
            <w:tcW w:w="394" w:type="pct"/>
            <w:noWrap w:val="0"/>
            <w:vAlign w:val="center"/>
          </w:tcPr>
          <w:p w14:paraId="3B33857B">
            <w:pPr>
              <w:pStyle w:val="49"/>
              <w:widowControl w:val="0"/>
              <w:adjustRightInd w:val="0"/>
              <w:snapToGrid w:val="0"/>
              <w:jc w:val="center"/>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数量</w:t>
            </w:r>
          </w:p>
        </w:tc>
        <w:tc>
          <w:tcPr>
            <w:tcW w:w="3345" w:type="pct"/>
            <w:noWrap w:val="0"/>
            <w:vAlign w:val="center"/>
          </w:tcPr>
          <w:p w14:paraId="30573E4C">
            <w:pPr>
              <w:pStyle w:val="49"/>
              <w:widowControl w:val="0"/>
              <w:adjustRightInd w:val="0"/>
              <w:snapToGrid w:val="0"/>
              <w:jc w:val="center"/>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工作内容及要求</w:t>
            </w:r>
          </w:p>
        </w:tc>
      </w:tr>
      <w:tr w14:paraId="1B61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000" w:type="pct"/>
            <w:gridSpan w:val="4"/>
            <w:noWrap w:val="0"/>
            <w:vAlign w:val="center"/>
          </w:tcPr>
          <w:p w14:paraId="2574F6D3">
            <w:pPr>
              <w:pStyle w:val="49"/>
              <w:widowControl w:val="0"/>
              <w:adjustRightInd w:val="0"/>
              <w:snapToGrid w:val="0"/>
              <w:jc w:val="both"/>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一、</w:t>
            </w:r>
            <w:r>
              <w:rPr>
                <w:rStyle w:val="23"/>
                <w:rFonts w:hint="eastAsia" w:ascii="宋体" w:hAnsi="宋体" w:eastAsia="宋体" w:cs="宋体"/>
                <w:b/>
                <w:bCs/>
                <w:color w:val="auto"/>
                <w:kern w:val="2"/>
                <w:sz w:val="21"/>
                <w:szCs w:val="21"/>
                <w:highlight w:val="none"/>
                <w:lang w:val="en-US" w:eastAsia="zh-CN" w:bidi="ar-SA"/>
              </w:rPr>
              <w:t>普通国省道2座重点桥梁监测、高速公路6座重点桥梁监测</w:t>
            </w:r>
          </w:p>
        </w:tc>
      </w:tr>
      <w:tr w14:paraId="545D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8" w:hRule="atLeast"/>
          <w:jc w:val="center"/>
        </w:trPr>
        <w:tc>
          <w:tcPr>
            <w:tcW w:w="235" w:type="pct"/>
            <w:noWrap w:val="0"/>
            <w:vAlign w:val="center"/>
          </w:tcPr>
          <w:p w14:paraId="101D270A">
            <w:pPr>
              <w:pStyle w:val="49"/>
              <w:widowControl w:val="0"/>
              <w:adjustRightInd w:val="0"/>
              <w:snapToGrid w:val="0"/>
              <w:spacing w:line="240" w:lineRule="exact"/>
              <w:jc w:val="center"/>
              <w:rPr>
                <w:rStyle w:val="23"/>
                <w:rFonts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w:t>
            </w:r>
          </w:p>
        </w:tc>
        <w:tc>
          <w:tcPr>
            <w:tcW w:w="1024" w:type="pct"/>
            <w:noWrap w:val="0"/>
            <w:vAlign w:val="center"/>
          </w:tcPr>
          <w:p w14:paraId="19552CFB">
            <w:pPr>
              <w:pStyle w:val="49"/>
              <w:widowControl w:val="0"/>
              <w:adjustRightInd w:val="0"/>
              <w:snapToGrid w:val="0"/>
              <w:spacing w:line="240" w:lineRule="exact"/>
              <w:jc w:val="center"/>
              <w:rPr>
                <w:rStyle w:val="23"/>
                <w:rFonts w:hint="default" w:ascii="宋体" w:hAnsi="宋体" w:cs="宋体"/>
                <w:bCs/>
                <w:color w:val="auto"/>
                <w:kern w:val="2"/>
                <w:sz w:val="21"/>
                <w:szCs w:val="21"/>
                <w:highlight w:val="none"/>
                <w:lang w:val="en-US" w:eastAsia="zh-CN" w:bidi="ar-SA"/>
              </w:rPr>
            </w:pPr>
            <w:r>
              <w:rPr>
                <w:rStyle w:val="23"/>
                <w:rFonts w:hint="eastAsia" w:ascii="宋体" w:hAnsi="宋体" w:eastAsia="宋体" w:cs="宋体"/>
                <w:b w:val="0"/>
                <w:bCs w:val="0"/>
                <w:color w:val="auto"/>
                <w:kern w:val="2"/>
                <w:sz w:val="21"/>
                <w:szCs w:val="21"/>
                <w:highlight w:val="none"/>
                <w:lang w:val="en-US" w:eastAsia="zh-CN" w:bidi="ar-SA"/>
              </w:rPr>
              <w:t>普通国省道重点桥梁监测</w:t>
            </w:r>
          </w:p>
        </w:tc>
        <w:tc>
          <w:tcPr>
            <w:tcW w:w="394" w:type="pct"/>
            <w:noWrap w:val="0"/>
            <w:vAlign w:val="center"/>
          </w:tcPr>
          <w:p w14:paraId="3CB4A319">
            <w:pPr>
              <w:pStyle w:val="49"/>
              <w:widowControl w:val="0"/>
              <w:autoSpaceDE w:val="0"/>
              <w:autoSpaceDN w:val="0"/>
              <w:adjustRightInd w:val="0"/>
              <w:spacing w:after="120"/>
              <w:jc w:val="center"/>
              <w:rPr>
                <w:rStyle w:val="23"/>
                <w:rFonts w:hint="default"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2座</w:t>
            </w:r>
          </w:p>
        </w:tc>
        <w:tc>
          <w:tcPr>
            <w:tcW w:w="3345" w:type="pct"/>
            <w:vMerge w:val="restart"/>
            <w:noWrap w:val="0"/>
            <w:vAlign w:val="center"/>
          </w:tcPr>
          <w:p w14:paraId="7EDA1802">
            <w:pPr>
              <w:pStyle w:val="49"/>
              <w:widowControl w:val="0"/>
              <w:adjustRightInd w:val="0"/>
              <w:snapToGrid w:val="0"/>
              <w:jc w:val="left"/>
              <w:rPr>
                <w:rStyle w:val="23"/>
                <w:rFonts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参照交通运输部重点桥梁监测工作</w:t>
            </w:r>
            <w:r>
              <w:rPr>
                <w:rStyle w:val="23"/>
                <w:rFonts w:hint="eastAsia" w:ascii="宋体" w:hAnsi="宋体" w:cs="宋体"/>
                <w:color w:val="auto"/>
                <w:kern w:val="0"/>
                <w:sz w:val="21"/>
                <w:szCs w:val="21"/>
                <w:highlight w:val="none"/>
                <w:lang w:val="en-US" w:eastAsia="zh-CN" w:bidi="ar-SA"/>
              </w:rPr>
              <w:t>的相关要求，对重点监测桥梁开展检测工作：</w:t>
            </w:r>
          </w:p>
          <w:p w14:paraId="120881E0">
            <w:pPr>
              <w:pStyle w:val="49"/>
              <w:widowControl w:val="0"/>
              <w:adjustRightInd w:val="0"/>
              <w:snapToGrid w:val="0"/>
              <w:jc w:val="left"/>
              <w:rPr>
                <w:rStyle w:val="23"/>
                <w:rFonts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（1）桥梁检测及技术状况评定：对抽检桥梁按《公路桥涵养护规范》（JTG 5120-2021）定检要求进行检测（包括永久观测点测量、增补），对桥梁技术状况进行评定；</w:t>
            </w:r>
          </w:p>
          <w:p w14:paraId="1AC1DE06">
            <w:pPr>
              <w:pStyle w:val="49"/>
              <w:widowControl w:val="0"/>
              <w:adjustRightInd w:val="0"/>
              <w:snapToGrid w:val="0"/>
              <w:jc w:val="left"/>
              <w:rPr>
                <w:rStyle w:val="23"/>
                <w:rFonts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（2）例行检查复核：对抽检桥梁最近一期定检报告进行检查，对其技术状况评定等级进行复核，对定检报告质量进行评价；对桥梁经常检查记录进行检查；</w:t>
            </w:r>
          </w:p>
          <w:p w14:paraId="2DFF5051">
            <w:pPr>
              <w:pStyle w:val="49"/>
              <w:widowControl w:val="0"/>
              <w:adjustRightInd w:val="0"/>
              <w:snapToGrid w:val="0"/>
              <w:jc w:val="left"/>
              <w:rPr>
                <w:rStyle w:val="23"/>
                <w:rFonts w:hint="default" w:ascii="宋体" w:hAnsi="宋体" w:cs="宋体"/>
                <w:b/>
                <w:bCs w:val="0"/>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（3）桥梁养护效果检查：对桥梁养护中出现的重大问题进行现场复查和检测，对桥梁病害处治的及时性、维修效果进行检查。</w:t>
            </w:r>
          </w:p>
        </w:tc>
      </w:tr>
      <w:tr w14:paraId="3DE4D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3D37445B">
            <w:pPr>
              <w:pStyle w:val="49"/>
              <w:widowControl w:val="0"/>
              <w:adjustRightInd w:val="0"/>
              <w:snapToGrid w:val="0"/>
              <w:spacing w:line="240" w:lineRule="exact"/>
              <w:jc w:val="center"/>
              <w:rPr>
                <w:rStyle w:val="23"/>
                <w:rFonts w:hint="default"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2</w:t>
            </w:r>
          </w:p>
        </w:tc>
        <w:tc>
          <w:tcPr>
            <w:tcW w:w="1024" w:type="pct"/>
            <w:noWrap w:val="0"/>
            <w:vAlign w:val="center"/>
          </w:tcPr>
          <w:p w14:paraId="737EB32B">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eastAsia="宋体" w:cs="宋体"/>
                <w:b w:val="0"/>
                <w:bCs w:val="0"/>
                <w:color w:val="auto"/>
                <w:kern w:val="2"/>
                <w:sz w:val="21"/>
                <w:szCs w:val="21"/>
                <w:highlight w:val="none"/>
                <w:lang w:val="en-US" w:eastAsia="zh-CN" w:bidi="ar-SA"/>
              </w:rPr>
              <w:t>高速公路重点桥梁监测</w:t>
            </w:r>
          </w:p>
        </w:tc>
        <w:tc>
          <w:tcPr>
            <w:tcW w:w="394" w:type="pct"/>
            <w:noWrap w:val="0"/>
            <w:vAlign w:val="center"/>
          </w:tcPr>
          <w:p w14:paraId="19A4E91D">
            <w:pPr>
              <w:pStyle w:val="49"/>
              <w:widowControl w:val="0"/>
              <w:autoSpaceDE w:val="0"/>
              <w:autoSpaceDN w:val="0"/>
              <w:adjustRightInd w:val="0"/>
              <w:spacing w:after="120"/>
              <w:jc w:val="center"/>
              <w:rPr>
                <w:rStyle w:val="23"/>
                <w:rFonts w:hint="default"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6座</w:t>
            </w:r>
          </w:p>
        </w:tc>
        <w:tc>
          <w:tcPr>
            <w:tcW w:w="3345" w:type="pct"/>
            <w:vMerge w:val="continue"/>
            <w:noWrap w:val="0"/>
            <w:vAlign w:val="center"/>
          </w:tcPr>
          <w:p w14:paraId="6B58DF0B">
            <w:pPr>
              <w:pStyle w:val="49"/>
              <w:widowControl w:val="0"/>
              <w:adjustRightInd w:val="0"/>
              <w:snapToGrid w:val="0"/>
              <w:jc w:val="left"/>
              <w:rPr>
                <w:rStyle w:val="23"/>
                <w:rFonts w:hint="default" w:ascii="宋体" w:hAnsi="宋体" w:cs="宋体"/>
                <w:b/>
                <w:bCs w:val="0"/>
                <w:color w:val="auto"/>
                <w:kern w:val="2"/>
                <w:sz w:val="21"/>
                <w:szCs w:val="21"/>
                <w:highlight w:val="none"/>
                <w:lang w:val="en-US" w:eastAsia="zh-CN" w:bidi="ar-SA"/>
              </w:rPr>
            </w:pPr>
          </w:p>
        </w:tc>
      </w:tr>
      <w:tr w14:paraId="51965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5000" w:type="pct"/>
            <w:gridSpan w:val="4"/>
            <w:noWrap w:val="0"/>
            <w:vAlign w:val="center"/>
          </w:tcPr>
          <w:p w14:paraId="0C890159">
            <w:pPr>
              <w:pStyle w:val="49"/>
              <w:widowControl w:val="0"/>
              <w:adjustRightInd w:val="0"/>
              <w:snapToGrid w:val="0"/>
              <w:jc w:val="left"/>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二、专项检查</w:t>
            </w:r>
          </w:p>
        </w:tc>
      </w:tr>
      <w:tr w14:paraId="2CB7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042A3CA9">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w:t>
            </w:r>
          </w:p>
        </w:tc>
        <w:tc>
          <w:tcPr>
            <w:tcW w:w="1024" w:type="pct"/>
            <w:noWrap w:val="0"/>
            <w:vAlign w:val="center"/>
          </w:tcPr>
          <w:p w14:paraId="12D3AEB9">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 w:val="0"/>
                <w:bCs w:val="0"/>
                <w:color w:val="auto"/>
                <w:kern w:val="2"/>
                <w:sz w:val="21"/>
                <w:szCs w:val="21"/>
                <w:highlight w:val="none"/>
                <w:lang w:val="en-US" w:eastAsia="zh-CN" w:bidi="ar-SA"/>
              </w:rPr>
              <w:t>桥隧定检报告复核</w:t>
            </w:r>
          </w:p>
        </w:tc>
        <w:tc>
          <w:tcPr>
            <w:tcW w:w="394" w:type="pct"/>
            <w:noWrap w:val="0"/>
            <w:vAlign w:val="center"/>
          </w:tcPr>
          <w:p w14:paraId="75D7F5F7">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不少于100座</w:t>
            </w:r>
          </w:p>
        </w:tc>
        <w:tc>
          <w:tcPr>
            <w:tcW w:w="3345" w:type="pct"/>
            <w:noWrap w:val="0"/>
            <w:vAlign w:val="center"/>
          </w:tcPr>
          <w:p w14:paraId="64F57C38">
            <w:pPr>
              <w:pStyle w:val="49"/>
              <w:widowControl w:val="0"/>
              <w:adjustRightInd w:val="0"/>
              <w:snapToGrid w:val="0"/>
              <w:jc w:val="left"/>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开展定检报告质量抽查，必要时赴现场实地抽查。</w:t>
            </w:r>
          </w:p>
        </w:tc>
      </w:tr>
      <w:tr w14:paraId="7D741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5EDDBC10">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2</w:t>
            </w:r>
          </w:p>
        </w:tc>
        <w:tc>
          <w:tcPr>
            <w:tcW w:w="1024" w:type="pct"/>
            <w:noWrap w:val="0"/>
            <w:vAlign w:val="center"/>
          </w:tcPr>
          <w:p w14:paraId="7D81F5B0">
            <w:pPr>
              <w:pStyle w:val="49"/>
              <w:widowControl w:val="0"/>
              <w:adjustRightInd w:val="0"/>
              <w:snapToGrid w:val="0"/>
              <w:spacing w:line="240" w:lineRule="exact"/>
              <w:jc w:val="center"/>
              <w:rPr>
                <w:rStyle w:val="23"/>
                <w:rFonts w:ascii="宋体" w:hAnsi="宋体" w:cs="宋体"/>
                <w:bCs/>
                <w:color w:val="auto"/>
                <w:kern w:val="2"/>
                <w:sz w:val="21"/>
                <w:szCs w:val="21"/>
                <w:highlight w:val="none"/>
                <w:lang w:val="en-US" w:eastAsia="zh-CN" w:bidi="ar-SA"/>
              </w:rPr>
            </w:pPr>
          </w:p>
          <w:p w14:paraId="0342AC3F">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CBMS数字化管养平台数据核查</w:t>
            </w:r>
          </w:p>
        </w:tc>
        <w:tc>
          <w:tcPr>
            <w:tcW w:w="394" w:type="pct"/>
            <w:noWrap w:val="0"/>
            <w:vAlign w:val="center"/>
          </w:tcPr>
          <w:p w14:paraId="1A4426D8">
            <w:pPr>
              <w:pStyle w:val="49"/>
              <w:widowControl w:val="0"/>
              <w:autoSpaceDE w:val="0"/>
              <w:autoSpaceDN w:val="0"/>
              <w:adjustRightInd w:val="0"/>
              <w:spacing w:after="120"/>
              <w:jc w:val="center"/>
              <w:rPr>
                <w:rStyle w:val="23"/>
                <w:rFonts w:hint="default"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2市州*5座+6管养单位*5座</w:t>
            </w:r>
          </w:p>
        </w:tc>
        <w:tc>
          <w:tcPr>
            <w:tcW w:w="3345" w:type="pct"/>
            <w:noWrap w:val="0"/>
            <w:vAlign w:val="center"/>
          </w:tcPr>
          <w:p w14:paraId="53DC5256">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bCs/>
                <w:color w:val="auto"/>
                <w:kern w:val="2"/>
                <w:sz w:val="21"/>
                <w:szCs w:val="21"/>
                <w:highlight w:val="none"/>
                <w:lang w:val="en-US" w:eastAsia="zh-CN" w:bidi="ar-SA"/>
              </w:rPr>
              <w:t>参照交通运输部重点桥梁监测工作</w:t>
            </w:r>
            <w:r>
              <w:rPr>
                <w:rStyle w:val="23"/>
                <w:rFonts w:hint="eastAsia" w:ascii="宋体" w:hAnsi="宋体" w:cs="宋体"/>
                <w:color w:val="auto"/>
                <w:kern w:val="0"/>
                <w:sz w:val="21"/>
                <w:szCs w:val="21"/>
                <w:highlight w:val="none"/>
                <w:lang w:val="en-US" w:eastAsia="zh-CN" w:bidi="ar-SA"/>
              </w:rPr>
              <w:t>的相关要求，在</w:t>
            </w:r>
            <w:r>
              <w:rPr>
                <w:rStyle w:val="23"/>
                <w:rFonts w:hint="eastAsia" w:ascii="宋体" w:hAnsi="宋体" w:cs="宋体"/>
                <w:bCs/>
                <w:color w:val="auto"/>
                <w:kern w:val="2"/>
                <w:sz w:val="21"/>
                <w:szCs w:val="21"/>
                <w:highlight w:val="none"/>
                <w:lang w:val="en-US" w:eastAsia="zh-CN" w:bidi="ar-SA"/>
              </w:rPr>
              <w:t>CBMS数字化管养平台中检查国省道桥梁基础数据（44个指标）、设计文件、定检报告、经常检查录入（上传）的准确性、完整性、及时性。</w:t>
            </w:r>
          </w:p>
        </w:tc>
      </w:tr>
      <w:tr w14:paraId="326B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57D81CC7">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3</w:t>
            </w:r>
          </w:p>
        </w:tc>
        <w:tc>
          <w:tcPr>
            <w:tcW w:w="1024" w:type="pct"/>
            <w:noWrap w:val="0"/>
            <w:vAlign w:val="center"/>
          </w:tcPr>
          <w:p w14:paraId="3FAD1851">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预防性养护实施检查</w:t>
            </w:r>
          </w:p>
        </w:tc>
        <w:tc>
          <w:tcPr>
            <w:tcW w:w="394" w:type="pct"/>
            <w:noWrap w:val="0"/>
            <w:vAlign w:val="center"/>
          </w:tcPr>
          <w:p w14:paraId="711CBE05">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2市州*5座+6管养单位*5座</w:t>
            </w:r>
          </w:p>
        </w:tc>
        <w:tc>
          <w:tcPr>
            <w:tcW w:w="3345" w:type="pct"/>
            <w:noWrap w:val="0"/>
            <w:vAlign w:val="center"/>
          </w:tcPr>
          <w:p w14:paraId="2526963E">
            <w:pPr>
              <w:pStyle w:val="49"/>
              <w:widowControl/>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color w:val="auto"/>
                <w:kern w:val="0"/>
                <w:sz w:val="21"/>
                <w:szCs w:val="21"/>
                <w:highlight w:val="none"/>
                <w:lang w:val="en-US" w:eastAsia="zh-CN" w:bidi="ar-SA"/>
              </w:rPr>
              <w:t>对桥梁预防性养护性及时性、实施效果等进行检查。</w:t>
            </w:r>
          </w:p>
        </w:tc>
      </w:tr>
      <w:tr w14:paraId="23B4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00C231AA">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4</w:t>
            </w:r>
          </w:p>
        </w:tc>
        <w:tc>
          <w:tcPr>
            <w:tcW w:w="1024" w:type="pct"/>
            <w:noWrap w:val="0"/>
            <w:vAlign w:val="center"/>
          </w:tcPr>
          <w:p w14:paraId="60010947">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color w:val="auto"/>
                <w:kern w:val="0"/>
                <w:sz w:val="21"/>
                <w:szCs w:val="21"/>
                <w:highlight w:val="none"/>
                <w:lang w:val="en-US" w:eastAsia="zh-CN" w:bidi="ar-SA"/>
              </w:rPr>
              <w:t>桥梁保护区管理检查</w:t>
            </w:r>
          </w:p>
        </w:tc>
        <w:tc>
          <w:tcPr>
            <w:tcW w:w="394" w:type="pct"/>
            <w:noWrap w:val="0"/>
            <w:vAlign w:val="center"/>
          </w:tcPr>
          <w:p w14:paraId="6A7402DA">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2市州*5座+6管养单位*5座</w:t>
            </w:r>
          </w:p>
        </w:tc>
        <w:tc>
          <w:tcPr>
            <w:tcW w:w="3345" w:type="pct"/>
            <w:noWrap w:val="0"/>
            <w:vAlign w:val="center"/>
          </w:tcPr>
          <w:p w14:paraId="18EA2E90">
            <w:pPr>
              <w:pStyle w:val="49"/>
              <w:widowControl w:val="0"/>
              <w:numPr>
                <w:ilvl w:val="0"/>
                <w:numId w:val="2"/>
              </w:numPr>
              <w:adjustRightInd w:val="0"/>
              <w:snapToGrid w:val="0"/>
              <w:jc w:val="left"/>
              <w:rPr>
                <w:rStyle w:val="23"/>
                <w:rFonts w:ascii="宋体" w:hAnsi="宋体" w:cs="宋体"/>
                <w:color w:val="auto"/>
                <w:kern w:val="2"/>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检查桥梁有无桥下空间(含桥梁内部空间)被占用情况，包括填土、可燃 物堆积、违建等现象；</w:t>
            </w:r>
          </w:p>
          <w:p w14:paraId="040CDF81">
            <w:pPr>
              <w:pStyle w:val="49"/>
              <w:widowControl w:val="0"/>
              <w:numPr>
                <w:ilvl w:val="0"/>
                <w:numId w:val="2"/>
              </w:numPr>
              <w:adjustRightInd w:val="0"/>
              <w:snapToGrid w:val="0"/>
              <w:jc w:val="left"/>
              <w:rPr>
                <w:rStyle w:val="23"/>
                <w:rFonts w:ascii="宋体" w:hAnsi="宋体" w:cs="宋体"/>
                <w:color w:val="auto"/>
                <w:kern w:val="2"/>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检查桥梁上有无堆放物品、搭建设施以及铺设高压电线和输送易燃、易爆或 有毒有害气体、液体的管道的情况；</w:t>
            </w:r>
          </w:p>
          <w:p w14:paraId="7A0E0D2D">
            <w:pPr>
              <w:pStyle w:val="49"/>
              <w:widowControl w:val="0"/>
              <w:numPr>
                <w:ilvl w:val="0"/>
                <w:numId w:val="2"/>
              </w:numPr>
              <w:adjustRightInd w:val="0"/>
              <w:snapToGrid w:val="0"/>
              <w:jc w:val="left"/>
              <w:rPr>
                <w:rStyle w:val="23"/>
                <w:rFonts w:hint="eastAsia" w:ascii="宋体" w:hAnsi="宋体" w:cs="Times New Roman"/>
                <w:b w:val="0"/>
                <w:bCs w:val="0"/>
                <w:color w:val="auto"/>
                <w:kern w:val="2"/>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采用无人机或人工巡检的方式，检查跨越河道上下游各1000m范围内是否存在架设浮桥及修建其他危及公路桥梁安全的设施。</w:t>
            </w:r>
          </w:p>
        </w:tc>
      </w:tr>
      <w:tr w14:paraId="2772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7417CA4F">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5</w:t>
            </w:r>
          </w:p>
        </w:tc>
        <w:tc>
          <w:tcPr>
            <w:tcW w:w="1024" w:type="pct"/>
            <w:noWrap w:val="0"/>
            <w:vAlign w:val="center"/>
          </w:tcPr>
          <w:p w14:paraId="1C90E189">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color w:val="auto"/>
                <w:kern w:val="0"/>
                <w:sz w:val="21"/>
                <w:szCs w:val="21"/>
                <w:highlight w:val="none"/>
                <w:lang w:val="en-US" w:eastAsia="zh-CN" w:bidi="ar-SA"/>
              </w:rPr>
              <w:t>检查通道设置情况</w:t>
            </w:r>
          </w:p>
        </w:tc>
        <w:tc>
          <w:tcPr>
            <w:tcW w:w="394" w:type="pct"/>
            <w:noWrap w:val="0"/>
            <w:vAlign w:val="center"/>
          </w:tcPr>
          <w:p w14:paraId="6E347ECE">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2市州*5座+6管养单位*5座</w:t>
            </w:r>
          </w:p>
        </w:tc>
        <w:tc>
          <w:tcPr>
            <w:tcW w:w="3345" w:type="pct"/>
            <w:noWrap w:val="0"/>
            <w:vAlign w:val="center"/>
          </w:tcPr>
          <w:p w14:paraId="2C786EFC">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color w:val="auto"/>
                <w:kern w:val="2"/>
                <w:sz w:val="21"/>
                <w:szCs w:val="21"/>
                <w:highlight w:val="none"/>
                <w:lang w:val="en-US" w:eastAsia="zh-CN" w:bidi="ar-SA"/>
              </w:rPr>
              <w:t>检查桥梁检查通道设置情况。</w:t>
            </w:r>
          </w:p>
        </w:tc>
      </w:tr>
      <w:tr w14:paraId="4B7D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62B9FB90">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6</w:t>
            </w:r>
          </w:p>
        </w:tc>
        <w:tc>
          <w:tcPr>
            <w:tcW w:w="1024" w:type="pct"/>
            <w:noWrap w:val="0"/>
            <w:vAlign w:val="center"/>
          </w:tcPr>
          <w:p w14:paraId="712158DB">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高墩偏位检查</w:t>
            </w:r>
          </w:p>
        </w:tc>
        <w:tc>
          <w:tcPr>
            <w:tcW w:w="394" w:type="pct"/>
            <w:noWrap w:val="0"/>
            <w:vAlign w:val="center"/>
          </w:tcPr>
          <w:p w14:paraId="329742E5">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1项</w:t>
            </w:r>
          </w:p>
        </w:tc>
        <w:tc>
          <w:tcPr>
            <w:tcW w:w="3345" w:type="pct"/>
            <w:noWrap w:val="0"/>
            <w:vAlign w:val="center"/>
          </w:tcPr>
          <w:p w14:paraId="3C1F17ED">
            <w:pPr>
              <w:pStyle w:val="49"/>
              <w:widowControl w:val="0"/>
              <w:adjustRightInd w:val="0"/>
              <w:snapToGrid w:val="0"/>
              <w:jc w:val="left"/>
              <w:rPr>
                <w:rStyle w:val="23"/>
                <w:rFonts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若抽检桥梁存在高度超过20米的墩柱，则进行桥墩竖直度检测，并对最近一次竖直度检测结果进行复核，同时采用无人机对该桥墩外观进行检测。</w:t>
            </w:r>
          </w:p>
          <w:p w14:paraId="59DA6B59">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bCs/>
                <w:color w:val="auto"/>
                <w:kern w:val="2"/>
                <w:sz w:val="21"/>
                <w:szCs w:val="21"/>
                <w:highlight w:val="none"/>
                <w:lang w:val="en-US" w:eastAsia="zh-CN" w:bidi="ar-SA"/>
              </w:rPr>
              <w:t>若抽检桥梁不存在高墩，则不开展高墩偏位检查工作。</w:t>
            </w:r>
          </w:p>
        </w:tc>
      </w:tr>
      <w:tr w14:paraId="33B09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6D0C47C6">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7</w:t>
            </w:r>
          </w:p>
        </w:tc>
        <w:tc>
          <w:tcPr>
            <w:tcW w:w="1024" w:type="pct"/>
            <w:noWrap w:val="0"/>
            <w:vAlign w:val="center"/>
          </w:tcPr>
          <w:p w14:paraId="7C7EAFDD">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水下基础检查</w:t>
            </w:r>
          </w:p>
        </w:tc>
        <w:tc>
          <w:tcPr>
            <w:tcW w:w="394" w:type="pct"/>
            <w:noWrap w:val="0"/>
            <w:vAlign w:val="center"/>
          </w:tcPr>
          <w:p w14:paraId="2E813CA3">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8管养单位*</w:t>
            </w:r>
            <w:r>
              <w:rPr>
                <w:rStyle w:val="23"/>
                <w:rFonts w:ascii="宋体" w:hAnsi="宋体" w:cs="宋体"/>
                <w:color w:val="auto"/>
                <w:kern w:val="2"/>
                <w:sz w:val="21"/>
                <w:szCs w:val="21"/>
                <w:highlight w:val="none"/>
                <w:lang w:val="en-US" w:eastAsia="zh-CN" w:bidi="ar-SA"/>
              </w:rPr>
              <w:t>1座</w:t>
            </w:r>
          </w:p>
        </w:tc>
        <w:tc>
          <w:tcPr>
            <w:tcW w:w="3345" w:type="pct"/>
            <w:noWrap w:val="0"/>
            <w:vAlign w:val="center"/>
          </w:tcPr>
          <w:p w14:paraId="4501D97B">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bCs/>
                <w:color w:val="auto"/>
                <w:kern w:val="2"/>
                <w:sz w:val="21"/>
                <w:szCs w:val="21"/>
                <w:highlight w:val="none"/>
                <w:lang w:val="en-US" w:eastAsia="zh-CN" w:bidi="ar-SA"/>
              </w:rPr>
              <w:t>若抽检重点监测桥梁具有水下基础，则采用潜水探摸、水下摄像等方式对水下基础进行检查；若抽检重点监测桥梁无水下基础，则抽检同一管养单位的另外一座具有水下基础的桥梁开展水下检测。</w:t>
            </w:r>
          </w:p>
        </w:tc>
      </w:tr>
      <w:tr w14:paraId="5F33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7A593718">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8</w:t>
            </w:r>
          </w:p>
        </w:tc>
        <w:tc>
          <w:tcPr>
            <w:tcW w:w="1024" w:type="pct"/>
            <w:noWrap w:val="0"/>
            <w:vAlign w:val="center"/>
          </w:tcPr>
          <w:p w14:paraId="58537249">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2025年省检“回头看”</w:t>
            </w:r>
          </w:p>
        </w:tc>
        <w:tc>
          <w:tcPr>
            <w:tcW w:w="394" w:type="pct"/>
            <w:noWrap w:val="0"/>
            <w:vAlign w:val="center"/>
          </w:tcPr>
          <w:p w14:paraId="33263044">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w:t>
            </w:r>
          </w:p>
        </w:tc>
        <w:tc>
          <w:tcPr>
            <w:tcW w:w="3345" w:type="pct"/>
            <w:noWrap w:val="0"/>
            <w:vAlign w:val="center"/>
          </w:tcPr>
          <w:p w14:paraId="3425EF41">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bCs/>
                <w:color w:val="auto"/>
                <w:kern w:val="2"/>
                <w:sz w:val="21"/>
                <w:szCs w:val="21"/>
                <w:highlight w:val="none"/>
                <w:lang w:val="en-US" w:eastAsia="zh-CN" w:bidi="ar-SA"/>
              </w:rPr>
              <w:t>对2025年重点监测通报问题进行“回头看”，现场核查问题整改情况。</w:t>
            </w:r>
          </w:p>
        </w:tc>
      </w:tr>
      <w:tr w14:paraId="2D0A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000" w:type="pct"/>
            <w:gridSpan w:val="4"/>
            <w:noWrap w:val="0"/>
            <w:vAlign w:val="center"/>
          </w:tcPr>
          <w:p w14:paraId="2A680873">
            <w:pPr>
              <w:pStyle w:val="49"/>
              <w:widowControl w:val="0"/>
              <w:adjustRightInd w:val="0"/>
              <w:snapToGrid w:val="0"/>
              <w:jc w:val="left"/>
              <w:rPr>
                <w:rStyle w:val="23"/>
                <w:rFonts w:hint="eastAsia" w:ascii="宋体" w:hAnsi="宋体" w:cs="宋体"/>
                <w:color w:val="auto"/>
                <w:kern w:val="2"/>
                <w:sz w:val="21"/>
                <w:szCs w:val="21"/>
                <w:highlight w:val="none"/>
                <w:lang w:val="en-US" w:eastAsia="zh-CN" w:bidi="ar-SA"/>
              </w:rPr>
            </w:pPr>
            <w:r>
              <w:rPr>
                <w:rStyle w:val="23"/>
                <w:rFonts w:hint="eastAsia" w:ascii="宋体" w:hAnsi="宋体" w:cs="宋体"/>
                <w:b/>
                <w:color w:val="auto"/>
                <w:kern w:val="2"/>
                <w:sz w:val="21"/>
                <w:szCs w:val="21"/>
                <w:highlight w:val="none"/>
                <w:lang w:val="en-US" w:eastAsia="zh-CN" w:bidi="ar-SA"/>
              </w:rPr>
              <w:t>三、其他工作</w:t>
            </w:r>
            <w:r>
              <w:rPr>
                <w:rStyle w:val="23"/>
                <w:rFonts w:hint="eastAsia" w:ascii="宋体" w:hAnsi="宋体" w:cs="宋体"/>
                <w:b/>
                <w:color w:val="auto"/>
                <w:kern w:val="2"/>
                <w:sz w:val="21"/>
                <w:szCs w:val="21"/>
                <w:highlight w:val="none"/>
                <w:shd w:val="clear" w:color="auto" w:fill="auto"/>
                <w:lang w:val="en-US" w:eastAsia="zh-CN" w:bidi="ar-SA"/>
              </w:rPr>
              <w:t>（本项内容为检测附带内容，不进行报价）</w:t>
            </w:r>
          </w:p>
        </w:tc>
      </w:tr>
      <w:tr w14:paraId="753A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14331CA9">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w:t>
            </w:r>
          </w:p>
        </w:tc>
        <w:tc>
          <w:tcPr>
            <w:tcW w:w="1024" w:type="pct"/>
            <w:noWrap w:val="0"/>
            <w:vAlign w:val="center"/>
          </w:tcPr>
          <w:p w14:paraId="58CD8123">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检测结果数据分析及出具加盖相关资质印章的检测报告</w:t>
            </w:r>
          </w:p>
        </w:tc>
        <w:tc>
          <w:tcPr>
            <w:tcW w:w="394" w:type="pct"/>
            <w:noWrap w:val="0"/>
            <w:vAlign w:val="center"/>
          </w:tcPr>
          <w:p w14:paraId="3A54DD1C">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1项</w:t>
            </w:r>
          </w:p>
        </w:tc>
        <w:tc>
          <w:tcPr>
            <w:tcW w:w="3345" w:type="pct"/>
            <w:noWrap w:val="0"/>
            <w:vAlign w:val="center"/>
          </w:tcPr>
          <w:p w14:paraId="1699A11C">
            <w:pPr>
              <w:pStyle w:val="49"/>
              <w:widowControl w:val="0"/>
              <w:adjustRightInd w:val="0"/>
              <w:snapToGrid w:val="0"/>
              <w:jc w:val="left"/>
              <w:rPr>
                <w:rStyle w:val="23"/>
                <w:rFonts w:hint="eastAsia" w:ascii="宋体" w:hAnsi="宋体" w:cs="宋体"/>
                <w:color w:val="auto"/>
                <w:kern w:val="2"/>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（1）编制单个市州（管养单位）桥梁检测报告；</w:t>
            </w:r>
          </w:p>
          <w:p w14:paraId="5876ADBA">
            <w:pPr>
              <w:pStyle w:val="49"/>
              <w:widowControl w:val="0"/>
              <w:adjustRightInd w:val="0"/>
              <w:snapToGrid w:val="0"/>
              <w:jc w:val="left"/>
              <w:rPr>
                <w:rStyle w:val="23"/>
                <w:rFonts w:hint="eastAsia" w:ascii="宋体" w:hAnsi="宋体" w:cs="宋体"/>
                <w:color w:val="auto"/>
                <w:kern w:val="2"/>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（2）编制高速公路桥梁检测总报告。</w:t>
            </w:r>
          </w:p>
        </w:tc>
      </w:tr>
      <w:tr w14:paraId="342B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6536DBD8">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2</w:t>
            </w:r>
          </w:p>
        </w:tc>
        <w:tc>
          <w:tcPr>
            <w:tcW w:w="1024" w:type="pct"/>
            <w:noWrap w:val="0"/>
            <w:vAlign w:val="center"/>
          </w:tcPr>
          <w:p w14:paraId="7EC5DF1F">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技术咨询及技术应用试点</w:t>
            </w:r>
          </w:p>
        </w:tc>
        <w:tc>
          <w:tcPr>
            <w:tcW w:w="394" w:type="pct"/>
            <w:noWrap w:val="0"/>
            <w:vAlign w:val="center"/>
          </w:tcPr>
          <w:p w14:paraId="5261B739">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1项</w:t>
            </w:r>
          </w:p>
        </w:tc>
        <w:tc>
          <w:tcPr>
            <w:tcW w:w="3345" w:type="pct"/>
            <w:noWrap w:val="0"/>
            <w:vAlign w:val="center"/>
          </w:tcPr>
          <w:p w14:paraId="5D1FB896">
            <w:pPr>
              <w:pStyle w:val="49"/>
              <w:widowControl w:val="0"/>
              <w:adjustRightInd w:val="0"/>
              <w:snapToGrid w:val="0"/>
              <w:jc w:val="left"/>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（1）为桥梁养护管理提供技术咨询，安排1名桥梁专业技术人员提供驻点服务。</w:t>
            </w:r>
          </w:p>
          <w:p w14:paraId="6141E795">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bCs/>
                <w:color w:val="auto"/>
                <w:kern w:val="2"/>
                <w:sz w:val="21"/>
                <w:szCs w:val="21"/>
                <w:highlight w:val="none"/>
                <w:lang w:val="en-US" w:eastAsia="zh-CN" w:bidi="ar-SA"/>
              </w:rPr>
              <w:t>（2）完成1项采用低空无人机公路桥梁检测或水下机器人公路桥梁检查试点应用，并编制试点应用报告。</w:t>
            </w:r>
          </w:p>
        </w:tc>
      </w:tr>
    </w:tbl>
    <w:p w14:paraId="692F7285">
      <w:pPr>
        <w:pStyle w:val="49"/>
        <w:widowControl/>
        <w:jc w:val="center"/>
        <w:rPr>
          <w:rStyle w:val="23"/>
          <w:rFonts w:hint="eastAsia" w:ascii="宋体" w:hAnsi="宋体" w:cs="宋体-18030"/>
          <w:b/>
          <w:color w:val="auto"/>
          <w:sz w:val="24"/>
          <w:szCs w:val="21"/>
        </w:rPr>
      </w:pPr>
    </w:p>
    <w:p w14:paraId="2674E1A4">
      <w:pPr>
        <w:pStyle w:val="49"/>
        <w:widowControl/>
        <w:jc w:val="center"/>
        <w:rPr>
          <w:rStyle w:val="23"/>
          <w:rFonts w:ascii="宋体" w:hAnsi="宋体" w:cs="宋体-18030"/>
          <w:b/>
          <w:color w:val="auto"/>
          <w:sz w:val="24"/>
          <w:szCs w:val="21"/>
        </w:rPr>
      </w:pPr>
    </w:p>
    <w:p w14:paraId="75F8C79C">
      <w:pPr>
        <w:pStyle w:val="49"/>
        <w:widowControl/>
        <w:jc w:val="center"/>
        <w:rPr>
          <w:rStyle w:val="23"/>
          <w:rFonts w:hint="eastAsia" w:ascii="宋体" w:hAnsi="宋体" w:cs="宋体-18030"/>
          <w:b/>
          <w:color w:val="auto"/>
          <w:sz w:val="24"/>
          <w:szCs w:val="21"/>
        </w:rPr>
      </w:pPr>
      <w:r>
        <w:rPr>
          <w:rStyle w:val="23"/>
          <w:rFonts w:ascii="宋体" w:hAnsi="宋体" w:cs="宋体-18030"/>
          <w:b/>
          <w:color w:val="auto"/>
          <w:sz w:val="24"/>
          <w:szCs w:val="21"/>
        </w:rPr>
        <w:t>包</w:t>
      </w:r>
      <w:r>
        <w:rPr>
          <w:rStyle w:val="23"/>
          <w:rFonts w:hint="eastAsia" w:ascii="宋体" w:hAnsi="宋体" w:cs="宋体-18030"/>
          <w:b/>
          <w:color w:val="auto"/>
          <w:sz w:val="24"/>
          <w:szCs w:val="21"/>
          <w:lang w:val="en-US" w:eastAsia="zh-CN"/>
        </w:rPr>
        <w:t>3</w:t>
      </w:r>
      <w:r>
        <w:rPr>
          <w:rStyle w:val="23"/>
          <w:rFonts w:hint="eastAsia" w:ascii="宋体" w:hAnsi="宋体" w:cs="宋体-18030"/>
          <w:b/>
          <w:color w:val="auto"/>
          <w:sz w:val="24"/>
          <w:szCs w:val="21"/>
        </w:rPr>
        <w:t>工作内容及要求</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817"/>
        <w:gridCol w:w="697"/>
        <w:gridCol w:w="5945"/>
      </w:tblGrid>
      <w:tr w14:paraId="606C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5" w:type="pct"/>
            <w:noWrap w:val="0"/>
            <w:vAlign w:val="center"/>
          </w:tcPr>
          <w:p w14:paraId="3F3714C5">
            <w:pPr>
              <w:pStyle w:val="49"/>
              <w:widowControl w:val="0"/>
              <w:adjustRightInd w:val="0"/>
              <w:snapToGrid w:val="0"/>
              <w:jc w:val="center"/>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序号</w:t>
            </w:r>
          </w:p>
        </w:tc>
        <w:tc>
          <w:tcPr>
            <w:tcW w:w="1024" w:type="pct"/>
            <w:noWrap w:val="0"/>
            <w:vAlign w:val="center"/>
          </w:tcPr>
          <w:p w14:paraId="39C7F375">
            <w:pPr>
              <w:pStyle w:val="49"/>
              <w:widowControl w:val="0"/>
              <w:adjustRightInd w:val="0"/>
              <w:snapToGrid w:val="0"/>
              <w:jc w:val="center"/>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服务内容</w:t>
            </w:r>
          </w:p>
        </w:tc>
        <w:tc>
          <w:tcPr>
            <w:tcW w:w="394" w:type="pct"/>
            <w:noWrap w:val="0"/>
            <w:vAlign w:val="center"/>
          </w:tcPr>
          <w:p w14:paraId="18587682">
            <w:pPr>
              <w:pStyle w:val="49"/>
              <w:widowControl w:val="0"/>
              <w:adjustRightInd w:val="0"/>
              <w:snapToGrid w:val="0"/>
              <w:jc w:val="center"/>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数量</w:t>
            </w:r>
          </w:p>
        </w:tc>
        <w:tc>
          <w:tcPr>
            <w:tcW w:w="3345" w:type="pct"/>
            <w:noWrap w:val="0"/>
            <w:vAlign w:val="center"/>
          </w:tcPr>
          <w:p w14:paraId="581C71CD">
            <w:pPr>
              <w:pStyle w:val="49"/>
              <w:widowControl w:val="0"/>
              <w:adjustRightInd w:val="0"/>
              <w:snapToGrid w:val="0"/>
              <w:jc w:val="center"/>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工作内容及要求</w:t>
            </w:r>
          </w:p>
        </w:tc>
      </w:tr>
      <w:tr w14:paraId="652D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000" w:type="pct"/>
            <w:gridSpan w:val="4"/>
            <w:noWrap w:val="0"/>
            <w:vAlign w:val="center"/>
          </w:tcPr>
          <w:p w14:paraId="64591DA8">
            <w:pPr>
              <w:pStyle w:val="49"/>
              <w:widowControl w:val="0"/>
              <w:adjustRightInd w:val="0"/>
              <w:snapToGrid w:val="0"/>
              <w:jc w:val="both"/>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一、</w:t>
            </w:r>
            <w:r>
              <w:rPr>
                <w:rStyle w:val="23"/>
                <w:rFonts w:hint="eastAsia" w:ascii="宋体" w:hAnsi="宋体" w:eastAsia="宋体" w:cs="宋体"/>
                <w:b/>
                <w:bCs/>
                <w:color w:val="auto"/>
                <w:kern w:val="2"/>
                <w:sz w:val="21"/>
                <w:szCs w:val="21"/>
                <w:highlight w:val="none"/>
                <w:lang w:val="en-US" w:eastAsia="zh-CN" w:bidi="ar-SA"/>
              </w:rPr>
              <w:t>普通国省道2座重点桥梁监测、高速公路6座重点桥梁监测</w:t>
            </w:r>
          </w:p>
        </w:tc>
      </w:tr>
      <w:tr w14:paraId="3A5F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235" w:type="pct"/>
            <w:noWrap w:val="0"/>
            <w:vAlign w:val="center"/>
          </w:tcPr>
          <w:p w14:paraId="76EE0587">
            <w:pPr>
              <w:pStyle w:val="49"/>
              <w:widowControl w:val="0"/>
              <w:adjustRightInd w:val="0"/>
              <w:snapToGrid w:val="0"/>
              <w:spacing w:line="240" w:lineRule="exact"/>
              <w:jc w:val="center"/>
              <w:rPr>
                <w:rStyle w:val="23"/>
                <w:rFonts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w:t>
            </w:r>
          </w:p>
        </w:tc>
        <w:tc>
          <w:tcPr>
            <w:tcW w:w="1024" w:type="pct"/>
            <w:noWrap w:val="0"/>
            <w:vAlign w:val="center"/>
          </w:tcPr>
          <w:p w14:paraId="174A3345">
            <w:pPr>
              <w:pStyle w:val="49"/>
              <w:widowControl w:val="0"/>
              <w:adjustRightInd w:val="0"/>
              <w:snapToGrid w:val="0"/>
              <w:spacing w:line="240" w:lineRule="exact"/>
              <w:jc w:val="center"/>
              <w:rPr>
                <w:rStyle w:val="23"/>
                <w:rFonts w:hint="default" w:ascii="宋体" w:hAnsi="宋体" w:cs="宋体"/>
                <w:bCs/>
                <w:color w:val="auto"/>
                <w:kern w:val="2"/>
                <w:sz w:val="21"/>
                <w:szCs w:val="21"/>
                <w:highlight w:val="none"/>
                <w:lang w:val="en-US" w:eastAsia="zh-CN" w:bidi="ar-SA"/>
              </w:rPr>
            </w:pPr>
            <w:r>
              <w:rPr>
                <w:rStyle w:val="23"/>
                <w:rFonts w:hint="eastAsia" w:ascii="宋体" w:hAnsi="宋体" w:eastAsia="宋体" w:cs="宋体"/>
                <w:b w:val="0"/>
                <w:bCs w:val="0"/>
                <w:color w:val="auto"/>
                <w:kern w:val="2"/>
                <w:sz w:val="21"/>
                <w:szCs w:val="21"/>
                <w:highlight w:val="none"/>
                <w:lang w:val="en-US" w:eastAsia="zh-CN" w:bidi="ar-SA"/>
              </w:rPr>
              <w:t>普通国省道重点桥梁监测</w:t>
            </w:r>
          </w:p>
        </w:tc>
        <w:tc>
          <w:tcPr>
            <w:tcW w:w="394" w:type="pct"/>
            <w:noWrap w:val="0"/>
            <w:vAlign w:val="center"/>
          </w:tcPr>
          <w:p w14:paraId="3C123E35">
            <w:pPr>
              <w:pStyle w:val="49"/>
              <w:widowControl w:val="0"/>
              <w:autoSpaceDE w:val="0"/>
              <w:autoSpaceDN w:val="0"/>
              <w:adjustRightInd w:val="0"/>
              <w:spacing w:after="120"/>
              <w:jc w:val="center"/>
              <w:rPr>
                <w:rStyle w:val="23"/>
                <w:rFonts w:hint="default"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2座</w:t>
            </w:r>
          </w:p>
        </w:tc>
        <w:tc>
          <w:tcPr>
            <w:tcW w:w="3345" w:type="pct"/>
            <w:vMerge w:val="restart"/>
            <w:noWrap w:val="0"/>
            <w:vAlign w:val="center"/>
          </w:tcPr>
          <w:p w14:paraId="4FFE5D24">
            <w:pPr>
              <w:pStyle w:val="49"/>
              <w:widowControl w:val="0"/>
              <w:adjustRightInd w:val="0"/>
              <w:snapToGrid w:val="0"/>
              <w:jc w:val="left"/>
              <w:rPr>
                <w:rStyle w:val="23"/>
                <w:rFonts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参照交通运输部重点桥梁监测工作</w:t>
            </w:r>
            <w:r>
              <w:rPr>
                <w:rStyle w:val="23"/>
                <w:rFonts w:hint="eastAsia" w:ascii="宋体" w:hAnsi="宋体" w:cs="宋体"/>
                <w:color w:val="auto"/>
                <w:kern w:val="0"/>
                <w:sz w:val="21"/>
                <w:szCs w:val="21"/>
                <w:highlight w:val="none"/>
                <w:lang w:val="en-US" w:eastAsia="zh-CN" w:bidi="ar-SA"/>
              </w:rPr>
              <w:t>的相关要求，对重点监测桥梁开展检测工作：</w:t>
            </w:r>
          </w:p>
          <w:p w14:paraId="655FB892">
            <w:pPr>
              <w:pStyle w:val="49"/>
              <w:widowControl w:val="0"/>
              <w:adjustRightInd w:val="0"/>
              <w:snapToGrid w:val="0"/>
              <w:jc w:val="left"/>
              <w:rPr>
                <w:rStyle w:val="23"/>
                <w:rFonts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（1）桥梁检测及技术状况评定：对抽检桥梁按《公路桥涵养护规范》（JTG 5120-2021）定检要求进行检测（包括永久观测点测量、增补），对桥梁技术状况进行评定；</w:t>
            </w:r>
          </w:p>
          <w:p w14:paraId="7A169F50">
            <w:pPr>
              <w:pStyle w:val="49"/>
              <w:widowControl w:val="0"/>
              <w:adjustRightInd w:val="0"/>
              <w:snapToGrid w:val="0"/>
              <w:jc w:val="left"/>
              <w:rPr>
                <w:rStyle w:val="23"/>
                <w:rFonts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（2）例行检查复核：对抽检桥梁最近一期定检报告进行检查，对其技术状况评定等级进行复核，对定检报告质量进行评价；对桥梁经常检查记录进行检查；</w:t>
            </w:r>
          </w:p>
          <w:p w14:paraId="6316797D">
            <w:pPr>
              <w:pStyle w:val="49"/>
              <w:widowControl w:val="0"/>
              <w:adjustRightInd w:val="0"/>
              <w:snapToGrid w:val="0"/>
              <w:jc w:val="left"/>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（3）桥梁养护效果检查：对桥梁养护中出现的重大问题进行现场复查和检测，对桥梁病害处治的及时性、维修效果进行检查。</w:t>
            </w:r>
          </w:p>
          <w:p w14:paraId="5C4D72DC">
            <w:pPr>
              <w:pStyle w:val="49"/>
              <w:widowControl w:val="0"/>
              <w:adjustRightInd w:val="0"/>
              <w:snapToGrid w:val="0"/>
              <w:jc w:val="left"/>
              <w:rPr>
                <w:rStyle w:val="23"/>
                <w:rFonts w:hint="default" w:ascii="宋体" w:hAnsi="宋体" w:cs="宋体"/>
                <w:b/>
                <w:bCs w:val="0"/>
                <w:color w:val="auto"/>
                <w:kern w:val="2"/>
                <w:sz w:val="21"/>
                <w:szCs w:val="21"/>
                <w:highlight w:val="none"/>
                <w:lang w:val="en-US" w:eastAsia="zh-CN" w:bidi="ar-SA"/>
              </w:rPr>
            </w:pPr>
          </w:p>
        </w:tc>
      </w:tr>
      <w:tr w14:paraId="3B71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1FFA27F4">
            <w:pPr>
              <w:pStyle w:val="49"/>
              <w:widowControl w:val="0"/>
              <w:adjustRightInd w:val="0"/>
              <w:snapToGrid w:val="0"/>
              <w:spacing w:line="240" w:lineRule="exact"/>
              <w:jc w:val="center"/>
              <w:rPr>
                <w:rStyle w:val="23"/>
                <w:rFonts w:hint="default"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2</w:t>
            </w:r>
          </w:p>
        </w:tc>
        <w:tc>
          <w:tcPr>
            <w:tcW w:w="1024" w:type="pct"/>
            <w:noWrap w:val="0"/>
            <w:vAlign w:val="center"/>
          </w:tcPr>
          <w:p w14:paraId="096BD2D6">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eastAsia="宋体" w:cs="宋体"/>
                <w:b w:val="0"/>
                <w:bCs w:val="0"/>
                <w:color w:val="auto"/>
                <w:kern w:val="2"/>
                <w:sz w:val="21"/>
                <w:szCs w:val="21"/>
                <w:highlight w:val="none"/>
                <w:lang w:val="en-US" w:eastAsia="zh-CN" w:bidi="ar-SA"/>
              </w:rPr>
              <w:t>高速公路重点桥梁监测</w:t>
            </w:r>
          </w:p>
        </w:tc>
        <w:tc>
          <w:tcPr>
            <w:tcW w:w="394" w:type="pct"/>
            <w:noWrap w:val="0"/>
            <w:vAlign w:val="center"/>
          </w:tcPr>
          <w:p w14:paraId="0E2DDD51">
            <w:pPr>
              <w:pStyle w:val="49"/>
              <w:widowControl w:val="0"/>
              <w:autoSpaceDE w:val="0"/>
              <w:autoSpaceDN w:val="0"/>
              <w:adjustRightInd w:val="0"/>
              <w:spacing w:after="120"/>
              <w:jc w:val="center"/>
              <w:rPr>
                <w:rStyle w:val="23"/>
                <w:rFonts w:hint="default"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6座</w:t>
            </w:r>
          </w:p>
        </w:tc>
        <w:tc>
          <w:tcPr>
            <w:tcW w:w="3345" w:type="pct"/>
            <w:vMerge w:val="continue"/>
            <w:noWrap w:val="0"/>
            <w:vAlign w:val="center"/>
          </w:tcPr>
          <w:p w14:paraId="39C25D8F">
            <w:pPr>
              <w:pStyle w:val="49"/>
              <w:widowControl w:val="0"/>
              <w:adjustRightInd w:val="0"/>
              <w:snapToGrid w:val="0"/>
              <w:jc w:val="left"/>
              <w:rPr>
                <w:rStyle w:val="23"/>
                <w:rFonts w:hint="default" w:ascii="宋体" w:hAnsi="宋体" w:cs="宋体"/>
                <w:b/>
                <w:bCs w:val="0"/>
                <w:color w:val="auto"/>
                <w:kern w:val="2"/>
                <w:sz w:val="21"/>
                <w:szCs w:val="21"/>
                <w:highlight w:val="none"/>
                <w:lang w:val="en-US" w:eastAsia="zh-CN" w:bidi="ar-SA"/>
              </w:rPr>
            </w:pPr>
          </w:p>
        </w:tc>
      </w:tr>
      <w:tr w14:paraId="7797C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5000" w:type="pct"/>
            <w:gridSpan w:val="4"/>
            <w:noWrap w:val="0"/>
            <w:vAlign w:val="center"/>
          </w:tcPr>
          <w:p w14:paraId="75F50E3B">
            <w:pPr>
              <w:pStyle w:val="49"/>
              <w:widowControl w:val="0"/>
              <w:adjustRightInd w:val="0"/>
              <w:snapToGrid w:val="0"/>
              <w:jc w:val="left"/>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二、专项检查</w:t>
            </w:r>
          </w:p>
        </w:tc>
      </w:tr>
      <w:tr w14:paraId="75C3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72CF9EB8">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w:t>
            </w:r>
          </w:p>
        </w:tc>
        <w:tc>
          <w:tcPr>
            <w:tcW w:w="1024" w:type="pct"/>
            <w:noWrap w:val="0"/>
            <w:vAlign w:val="center"/>
          </w:tcPr>
          <w:p w14:paraId="2F6F139D">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 w:val="0"/>
                <w:bCs w:val="0"/>
                <w:color w:val="auto"/>
                <w:kern w:val="2"/>
                <w:sz w:val="21"/>
                <w:szCs w:val="21"/>
                <w:highlight w:val="none"/>
                <w:lang w:val="en-US" w:eastAsia="zh-CN" w:bidi="ar-SA"/>
              </w:rPr>
              <w:t>桥隧定检报告复核</w:t>
            </w:r>
          </w:p>
        </w:tc>
        <w:tc>
          <w:tcPr>
            <w:tcW w:w="394" w:type="pct"/>
            <w:noWrap w:val="0"/>
            <w:vAlign w:val="center"/>
          </w:tcPr>
          <w:p w14:paraId="2B01CD31">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不少于100座</w:t>
            </w:r>
          </w:p>
        </w:tc>
        <w:tc>
          <w:tcPr>
            <w:tcW w:w="3345" w:type="pct"/>
            <w:noWrap w:val="0"/>
            <w:vAlign w:val="center"/>
          </w:tcPr>
          <w:p w14:paraId="00974E99">
            <w:pPr>
              <w:pStyle w:val="49"/>
              <w:widowControl w:val="0"/>
              <w:adjustRightInd w:val="0"/>
              <w:snapToGrid w:val="0"/>
              <w:jc w:val="left"/>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开展定检报告质量抽查，必要时赴现场实地抽查。</w:t>
            </w:r>
          </w:p>
        </w:tc>
      </w:tr>
      <w:tr w14:paraId="1F61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2EE59592">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2</w:t>
            </w:r>
          </w:p>
        </w:tc>
        <w:tc>
          <w:tcPr>
            <w:tcW w:w="1024" w:type="pct"/>
            <w:noWrap w:val="0"/>
            <w:vAlign w:val="center"/>
          </w:tcPr>
          <w:p w14:paraId="3389DB1E">
            <w:pPr>
              <w:pStyle w:val="49"/>
              <w:widowControl w:val="0"/>
              <w:adjustRightInd w:val="0"/>
              <w:snapToGrid w:val="0"/>
              <w:spacing w:line="240" w:lineRule="exact"/>
              <w:jc w:val="center"/>
              <w:rPr>
                <w:rStyle w:val="23"/>
                <w:rFonts w:ascii="宋体" w:hAnsi="宋体" w:cs="宋体"/>
                <w:bCs/>
                <w:color w:val="auto"/>
                <w:kern w:val="2"/>
                <w:sz w:val="21"/>
                <w:szCs w:val="21"/>
                <w:highlight w:val="none"/>
                <w:lang w:val="en-US" w:eastAsia="zh-CN" w:bidi="ar-SA"/>
              </w:rPr>
            </w:pPr>
          </w:p>
          <w:p w14:paraId="00DB8F48">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CBMS数字化管养平台数据核查</w:t>
            </w:r>
          </w:p>
        </w:tc>
        <w:tc>
          <w:tcPr>
            <w:tcW w:w="394" w:type="pct"/>
            <w:noWrap w:val="0"/>
            <w:vAlign w:val="center"/>
          </w:tcPr>
          <w:p w14:paraId="222B84CA">
            <w:pPr>
              <w:pStyle w:val="49"/>
              <w:widowControl w:val="0"/>
              <w:autoSpaceDE w:val="0"/>
              <w:autoSpaceDN w:val="0"/>
              <w:adjustRightInd w:val="0"/>
              <w:spacing w:after="120"/>
              <w:jc w:val="center"/>
              <w:rPr>
                <w:rStyle w:val="23"/>
                <w:rFonts w:hint="default"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2市州*5座+6管养单位*5座</w:t>
            </w:r>
          </w:p>
        </w:tc>
        <w:tc>
          <w:tcPr>
            <w:tcW w:w="3345" w:type="pct"/>
            <w:noWrap w:val="0"/>
            <w:vAlign w:val="center"/>
          </w:tcPr>
          <w:p w14:paraId="6A7C8AA5">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bCs/>
                <w:color w:val="auto"/>
                <w:kern w:val="2"/>
                <w:sz w:val="21"/>
                <w:szCs w:val="21"/>
                <w:highlight w:val="none"/>
                <w:lang w:val="en-US" w:eastAsia="zh-CN" w:bidi="ar-SA"/>
              </w:rPr>
              <w:t>参照交通运输部重点桥梁监测工作</w:t>
            </w:r>
            <w:r>
              <w:rPr>
                <w:rStyle w:val="23"/>
                <w:rFonts w:hint="eastAsia" w:ascii="宋体" w:hAnsi="宋体" w:cs="宋体"/>
                <w:color w:val="auto"/>
                <w:kern w:val="0"/>
                <w:sz w:val="21"/>
                <w:szCs w:val="21"/>
                <w:highlight w:val="none"/>
                <w:lang w:val="en-US" w:eastAsia="zh-CN" w:bidi="ar-SA"/>
              </w:rPr>
              <w:t>的相关要求，在</w:t>
            </w:r>
            <w:r>
              <w:rPr>
                <w:rStyle w:val="23"/>
                <w:rFonts w:hint="eastAsia" w:ascii="宋体" w:hAnsi="宋体" w:cs="宋体"/>
                <w:bCs/>
                <w:color w:val="auto"/>
                <w:kern w:val="2"/>
                <w:sz w:val="21"/>
                <w:szCs w:val="21"/>
                <w:highlight w:val="none"/>
                <w:lang w:val="en-US" w:eastAsia="zh-CN" w:bidi="ar-SA"/>
              </w:rPr>
              <w:t>CBMS数字化管养平台中检查国省道桥梁基础数据（44个指标）、设计文件、定检报告、经常检查录入（上传）的准确性、完整性、及时性。</w:t>
            </w:r>
          </w:p>
        </w:tc>
      </w:tr>
      <w:tr w14:paraId="3671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791740CA">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3</w:t>
            </w:r>
          </w:p>
        </w:tc>
        <w:tc>
          <w:tcPr>
            <w:tcW w:w="1024" w:type="pct"/>
            <w:noWrap w:val="0"/>
            <w:vAlign w:val="center"/>
          </w:tcPr>
          <w:p w14:paraId="3098C1AB">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预防性养护实施检查</w:t>
            </w:r>
          </w:p>
        </w:tc>
        <w:tc>
          <w:tcPr>
            <w:tcW w:w="394" w:type="pct"/>
            <w:noWrap w:val="0"/>
            <w:vAlign w:val="center"/>
          </w:tcPr>
          <w:p w14:paraId="60873DAA">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2市州*5座+6管养单位*5座</w:t>
            </w:r>
          </w:p>
        </w:tc>
        <w:tc>
          <w:tcPr>
            <w:tcW w:w="3345" w:type="pct"/>
            <w:noWrap w:val="0"/>
            <w:vAlign w:val="center"/>
          </w:tcPr>
          <w:p w14:paraId="2408682B">
            <w:pPr>
              <w:pStyle w:val="49"/>
              <w:widowControl/>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color w:val="auto"/>
                <w:kern w:val="0"/>
                <w:sz w:val="21"/>
                <w:szCs w:val="21"/>
                <w:highlight w:val="none"/>
                <w:lang w:val="en-US" w:eastAsia="zh-CN" w:bidi="ar-SA"/>
              </w:rPr>
              <w:t>对桥梁预防性养护性及时性、实施效果等进行检查。</w:t>
            </w:r>
          </w:p>
        </w:tc>
      </w:tr>
      <w:tr w14:paraId="158B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67FC87EB">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4</w:t>
            </w:r>
          </w:p>
        </w:tc>
        <w:tc>
          <w:tcPr>
            <w:tcW w:w="1024" w:type="pct"/>
            <w:noWrap w:val="0"/>
            <w:vAlign w:val="center"/>
          </w:tcPr>
          <w:p w14:paraId="5E0D503D">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color w:val="auto"/>
                <w:kern w:val="0"/>
                <w:sz w:val="21"/>
                <w:szCs w:val="21"/>
                <w:highlight w:val="none"/>
                <w:lang w:val="en-US" w:eastAsia="zh-CN" w:bidi="ar-SA"/>
              </w:rPr>
              <w:t>桥梁保护区管理检查</w:t>
            </w:r>
          </w:p>
        </w:tc>
        <w:tc>
          <w:tcPr>
            <w:tcW w:w="394" w:type="pct"/>
            <w:noWrap w:val="0"/>
            <w:vAlign w:val="center"/>
          </w:tcPr>
          <w:p w14:paraId="23EE4D1D">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2市州*5座+6管养单位*5座</w:t>
            </w:r>
          </w:p>
        </w:tc>
        <w:tc>
          <w:tcPr>
            <w:tcW w:w="3345" w:type="pct"/>
            <w:noWrap w:val="0"/>
            <w:vAlign w:val="center"/>
          </w:tcPr>
          <w:p w14:paraId="73933AD2">
            <w:pPr>
              <w:pStyle w:val="49"/>
              <w:widowControl w:val="0"/>
              <w:numPr>
                <w:ilvl w:val="0"/>
                <w:numId w:val="3"/>
              </w:numPr>
              <w:adjustRightInd w:val="0"/>
              <w:snapToGrid w:val="0"/>
              <w:jc w:val="left"/>
              <w:rPr>
                <w:rStyle w:val="23"/>
                <w:rFonts w:ascii="宋体" w:hAnsi="宋体" w:cs="宋体"/>
                <w:color w:val="auto"/>
                <w:kern w:val="2"/>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检查桥梁有无桥下空间(含桥梁内部空间)被占用情况，包括填土、可燃 物堆积、违建等现象；</w:t>
            </w:r>
          </w:p>
          <w:p w14:paraId="4203E635">
            <w:pPr>
              <w:pStyle w:val="49"/>
              <w:widowControl w:val="0"/>
              <w:numPr>
                <w:ilvl w:val="0"/>
                <w:numId w:val="3"/>
              </w:numPr>
              <w:adjustRightInd w:val="0"/>
              <w:snapToGrid w:val="0"/>
              <w:jc w:val="left"/>
              <w:rPr>
                <w:rStyle w:val="23"/>
                <w:rFonts w:ascii="宋体" w:hAnsi="宋体" w:cs="宋体"/>
                <w:color w:val="auto"/>
                <w:kern w:val="2"/>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检查桥梁上有无堆放物品、搭建设施以及铺设高压电线和输送易燃、易爆或 有毒有害气体、液体的管道的情况；</w:t>
            </w:r>
          </w:p>
          <w:p w14:paraId="082B4A9D">
            <w:pPr>
              <w:pStyle w:val="49"/>
              <w:widowControl w:val="0"/>
              <w:numPr>
                <w:ilvl w:val="0"/>
                <w:numId w:val="3"/>
              </w:numPr>
              <w:adjustRightInd w:val="0"/>
              <w:snapToGrid w:val="0"/>
              <w:jc w:val="left"/>
              <w:rPr>
                <w:rStyle w:val="23"/>
                <w:rFonts w:hint="eastAsia" w:ascii="宋体" w:hAnsi="宋体" w:cs="Times New Roman"/>
                <w:b w:val="0"/>
                <w:bCs w:val="0"/>
                <w:color w:val="auto"/>
                <w:kern w:val="2"/>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采用无人机或人工巡检的方式，检查跨越河道上下游各1000m范围内是否存在架设浮桥及修建其他危及公路桥梁安全的设施。</w:t>
            </w:r>
          </w:p>
        </w:tc>
      </w:tr>
      <w:tr w14:paraId="4772A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28998BB0">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5</w:t>
            </w:r>
          </w:p>
        </w:tc>
        <w:tc>
          <w:tcPr>
            <w:tcW w:w="1024" w:type="pct"/>
            <w:noWrap w:val="0"/>
            <w:vAlign w:val="center"/>
          </w:tcPr>
          <w:p w14:paraId="012F4817">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color w:val="auto"/>
                <w:kern w:val="0"/>
                <w:sz w:val="21"/>
                <w:szCs w:val="21"/>
                <w:highlight w:val="none"/>
                <w:lang w:val="en-US" w:eastAsia="zh-CN" w:bidi="ar-SA"/>
              </w:rPr>
              <w:t>检查通道设置情况</w:t>
            </w:r>
          </w:p>
        </w:tc>
        <w:tc>
          <w:tcPr>
            <w:tcW w:w="394" w:type="pct"/>
            <w:noWrap w:val="0"/>
            <w:vAlign w:val="center"/>
          </w:tcPr>
          <w:p w14:paraId="4E64A181">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2市州*5座+6管养单位*5座</w:t>
            </w:r>
          </w:p>
        </w:tc>
        <w:tc>
          <w:tcPr>
            <w:tcW w:w="3345" w:type="pct"/>
            <w:noWrap w:val="0"/>
            <w:vAlign w:val="center"/>
          </w:tcPr>
          <w:p w14:paraId="4A8491AA">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color w:val="auto"/>
                <w:kern w:val="2"/>
                <w:sz w:val="21"/>
                <w:szCs w:val="21"/>
                <w:highlight w:val="none"/>
                <w:lang w:val="en-US" w:eastAsia="zh-CN" w:bidi="ar-SA"/>
              </w:rPr>
              <w:t>检查桥梁检查通道设置情况。</w:t>
            </w:r>
          </w:p>
        </w:tc>
      </w:tr>
      <w:tr w14:paraId="58CE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387DFE20">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6</w:t>
            </w:r>
          </w:p>
        </w:tc>
        <w:tc>
          <w:tcPr>
            <w:tcW w:w="1024" w:type="pct"/>
            <w:noWrap w:val="0"/>
            <w:vAlign w:val="center"/>
          </w:tcPr>
          <w:p w14:paraId="2A33D4A8">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高墩偏位检查</w:t>
            </w:r>
          </w:p>
        </w:tc>
        <w:tc>
          <w:tcPr>
            <w:tcW w:w="394" w:type="pct"/>
            <w:noWrap w:val="0"/>
            <w:vAlign w:val="center"/>
          </w:tcPr>
          <w:p w14:paraId="0C38CF42">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1项</w:t>
            </w:r>
          </w:p>
        </w:tc>
        <w:tc>
          <w:tcPr>
            <w:tcW w:w="3345" w:type="pct"/>
            <w:noWrap w:val="0"/>
            <w:vAlign w:val="center"/>
          </w:tcPr>
          <w:p w14:paraId="763BA0C2">
            <w:pPr>
              <w:pStyle w:val="49"/>
              <w:widowControl w:val="0"/>
              <w:adjustRightInd w:val="0"/>
              <w:snapToGrid w:val="0"/>
              <w:jc w:val="left"/>
              <w:rPr>
                <w:rStyle w:val="23"/>
                <w:rFonts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若抽检桥梁存在高度超过20米的墩柱，则进行桥墩竖直度检测，并对最近一次竖直度检测结果进行复核，同时采用无人机对该桥墩外观进行检测。</w:t>
            </w:r>
          </w:p>
          <w:p w14:paraId="4E010A53">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bCs/>
                <w:color w:val="auto"/>
                <w:kern w:val="2"/>
                <w:sz w:val="21"/>
                <w:szCs w:val="21"/>
                <w:highlight w:val="none"/>
                <w:lang w:val="en-US" w:eastAsia="zh-CN" w:bidi="ar-SA"/>
              </w:rPr>
              <w:t>若抽检桥梁不存在高墩，则不开展高墩偏位检查工作。</w:t>
            </w:r>
          </w:p>
        </w:tc>
      </w:tr>
      <w:tr w14:paraId="6A57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42EE35E9">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7</w:t>
            </w:r>
          </w:p>
        </w:tc>
        <w:tc>
          <w:tcPr>
            <w:tcW w:w="1024" w:type="pct"/>
            <w:noWrap w:val="0"/>
            <w:vAlign w:val="center"/>
          </w:tcPr>
          <w:p w14:paraId="711B9562">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水下基础检查</w:t>
            </w:r>
          </w:p>
        </w:tc>
        <w:tc>
          <w:tcPr>
            <w:tcW w:w="394" w:type="pct"/>
            <w:noWrap w:val="0"/>
            <w:vAlign w:val="center"/>
          </w:tcPr>
          <w:p w14:paraId="147E7739">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8管养单位*</w:t>
            </w:r>
            <w:r>
              <w:rPr>
                <w:rStyle w:val="23"/>
                <w:rFonts w:ascii="宋体" w:hAnsi="宋体" w:cs="宋体"/>
                <w:color w:val="auto"/>
                <w:kern w:val="2"/>
                <w:sz w:val="21"/>
                <w:szCs w:val="21"/>
                <w:highlight w:val="none"/>
                <w:lang w:val="en-US" w:eastAsia="zh-CN" w:bidi="ar-SA"/>
              </w:rPr>
              <w:t>1座</w:t>
            </w:r>
          </w:p>
        </w:tc>
        <w:tc>
          <w:tcPr>
            <w:tcW w:w="3345" w:type="pct"/>
            <w:noWrap w:val="0"/>
            <w:vAlign w:val="center"/>
          </w:tcPr>
          <w:p w14:paraId="34CBF3D6">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bCs/>
                <w:color w:val="auto"/>
                <w:kern w:val="2"/>
                <w:sz w:val="21"/>
                <w:szCs w:val="21"/>
                <w:highlight w:val="none"/>
                <w:lang w:val="en-US" w:eastAsia="zh-CN" w:bidi="ar-SA"/>
              </w:rPr>
              <w:t>若抽检重点监测桥梁具有水下基础，则采用潜水探摸、水下摄像等方式对水下基础进行检查；若抽检重点监测桥梁无水下基础，则抽检同一管养单位的另外一座具有水下基础的桥梁开展水下检测。</w:t>
            </w:r>
          </w:p>
        </w:tc>
      </w:tr>
      <w:tr w14:paraId="2890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3A1B7C05">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8</w:t>
            </w:r>
          </w:p>
        </w:tc>
        <w:tc>
          <w:tcPr>
            <w:tcW w:w="1024" w:type="pct"/>
            <w:noWrap w:val="0"/>
            <w:vAlign w:val="center"/>
          </w:tcPr>
          <w:p w14:paraId="5A4C6364">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2025年省检“回头看”</w:t>
            </w:r>
          </w:p>
        </w:tc>
        <w:tc>
          <w:tcPr>
            <w:tcW w:w="394" w:type="pct"/>
            <w:noWrap w:val="0"/>
            <w:vAlign w:val="center"/>
          </w:tcPr>
          <w:p w14:paraId="3265E972">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w:t>
            </w:r>
          </w:p>
        </w:tc>
        <w:tc>
          <w:tcPr>
            <w:tcW w:w="3345" w:type="pct"/>
            <w:noWrap w:val="0"/>
            <w:vAlign w:val="center"/>
          </w:tcPr>
          <w:p w14:paraId="6CAA1A56">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bCs/>
                <w:color w:val="auto"/>
                <w:kern w:val="2"/>
                <w:sz w:val="21"/>
                <w:szCs w:val="21"/>
                <w:highlight w:val="none"/>
                <w:lang w:val="en-US" w:eastAsia="zh-CN" w:bidi="ar-SA"/>
              </w:rPr>
              <w:t>对2025年重点监测通报问题进行“回头看”，现场核查问题整改情况。</w:t>
            </w:r>
          </w:p>
        </w:tc>
      </w:tr>
      <w:tr w14:paraId="50D8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000" w:type="pct"/>
            <w:gridSpan w:val="4"/>
            <w:noWrap w:val="0"/>
            <w:vAlign w:val="center"/>
          </w:tcPr>
          <w:p w14:paraId="09E22CFA">
            <w:pPr>
              <w:pStyle w:val="49"/>
              <w:widowControl w:val="0"/>
              <w:adjustRightInd w:val="0"/>
              <w:snapToGrid w:val="0"/>
              <w:jc w:val="left"/>
              <w:rPr>
                <w:rStyle w:val="23"/>
                <w:rFonts w:hint="eastAsia" w:ascii="宋体" w:hAnsi="宋体" w:cs="宋体"/>
                <w:color w:val="auto"/>
                <w:kern w:val="2"/>
                <w:sz w:val="21"/>
                <w:szCs w:val="21"/>
                <w:highlight w:val="none"/>
                <w:lang w:val="en-US" w:eastAsia="zh-CN" w:bidi="ar-SA"/>
              </w:rPr>
            </w:pPr>
            <w:r>
              <w:rPr>
                <w:rStyle w:val="23"/>
                <w:rFonts w:hint="eastAsia" w:ascii="宋体" w:hAnsi="宋体" w:cs="宋体"/>
                <w:b/>
                <w:color w:val="auto"/>
                <w:kern w:val="2"/>
                <w:sz w:val="21"/>
                <w:szCs w:val="21"/>
                <w:highlight w:val="none"/>
                <w:lang w:val="en-US" w:eastAsia="zh-CN" w:bidi="ar-SA"/>
              </w:rPr>
              <w:t>三、其他工作</w:t>
            </w:r>
            <w:r>
              <w:rPr>
                <w:rStyle w:val="23"/>
                <w:rFonts w:hint="eastAsia" w:ascii="宋体" w:hAnsi="宋体" w:cs="宋体"/>
                <w:b/>
                <w:color w:val="auto"/>
                <w:kern w:val="2"/>
                <w:sz w:val="21"/>
                <w:szCs w:val="21"/>
                <w:highlight w:val="none"/>
                <w:shd w:val="clear" w:color="auto" w:fill="auto"/>
                <w:lang w:val="en-US" w:eastAsia="zh-CN" w:bidi="ar-SA"/>
              </w:rPr>
              <w:t>（本项内容为检测附带内容，不进行报价）</w:t>
            </w:r>
          </w:p>
        </w:tc>
      </w:tr>
      <w:tr w14:paraId="6750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79E401B6">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w:t>
            </w:r>
          </w:p>
        </w:tc>
        <w:tc>
          <w:tcPr>
            <w:tcW w:w="1024" w:type="pct"/>
            <w:noWrap w:val="0"/>
            <w:vAlign w:val="center"/>
          </w:tcPr>
          <w:p w14:paraId="5F6F1153">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检测结果数据分析及出具加盖相关资质印章的检测报告</w:t>
            </w:r>
          </w:p>
        </w:tc>
        <w:tc>
          <w:tcPr>
            <w:tcW w:w="394" w:type="pct"/>
            <w:noWrap w:val="0"/>
            <w:vAlign w:val="center"/>
          </w:tcPr>
          <w:p w14:paraId="4BF2A27F">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1项</w:t>
            </w:r>
          </w:p>
        </w:tc>
        <w:tc>
          <w:tcPr>
            <w:tcW w:w="3345" w:type="pct"/>
            <w:noWrap w:val="0"/>
            <w:vAlign w:val="center"/>
          </w:tcPr>
          <w:p w14:paraId="7D930106">
            <w:pPr>
              <w:pStyle w:val="49"/>
              <w:widowControl w:val="0"/>
              <w:adjustRightInd w:val="0"/>
              <w:snapToGrid w:val="0"/>
              <w:jc w:val="left"/>
              <w:rPr>
                <w:rStyle w:val="23"/>
                <w:rFonts w:hint="eastAsia" w:ascii="宋体" w:hAnsi="宋体" w:cs="宋体"/>
                <w:color w:val="auto"/>
                <w:kern w:val="2"/>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（1）编制单个市州（管养单位）桥梁检测报告；</w:t>
            </w:r>
          </w:p>
          <w:p w14:paraId="5FFB6873">
            <w:pPr>
              <w:pStyle w:val="49"/>
              <w:widowControl w:val="0"/>
              <w:adjustRightInd w:val="0"/>
              <w:snapToGrid w:val="0"/>
              <w:jc w:val="left"/>
              <w:rPr>
                <w:rStyle w:val="23"/>
                <w:rFonts w:hint="eastAsia" w:ascii="宋体" w:hAnsi="宋体" w:cs="宋体"/>
                <w:color w:val="auto"/>
                <w:kern w:val="2"/>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（2）协助编制高速公路桥梁检测总报告。</w:t>
            </w:r>
          </w:p>
        </w:tc>
      </w:tr>
      <w:tr w14:paraId="2003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41427A3D">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2</w:t>
            </w:r>
          </w:p>
        </w:tc>
        <w:tc>
          <w:tcPr>
            <w:tcW w:w="1024" w:type="pct"/>
            <w:noWrap w:val="0"/>
            <w:vAlign w:val="center"/>
          </w:tcPr>
          <w:p w14:paraId="3EC95046">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技术咨询及技术应用试点</w:t>
            </w:r>
          </w:p>
        </w:tc>
        <w:tc>
          <w:tcPr>
            <w:tcW w:w="394" w:type="pct"/>
            <w:noWrap w:val="0"/>
            <w:vAlign w:val="center"/>
          </w:tcPr>
          <w:p w14:paraId="5F180EC1">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1项</w:t>
            </w:r>
          </w:p>
        </w:tc>
        <w:tc>
          <w:tcPr>
            <w:tcW w:w="3345" w:type="pct"/>
            <w:noWrap w:val="0"/>
            <w:vAlign w:val="center"/>
          </w:tcPr>
          <w:p w14:paraId="5778DF92">
            <w:pPr>
              <w:pStyle w:val="49"/>
              <w:widowControl w:val="0"/>
              <w:adjustRightInd w:val="0"/>
              <w:snapToGrid w:val="0"/>
              <w:jc w:val="left"/>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（1）为桥梁养护管理提供技术咨询，安排1名桥梁专业技术人员提供驻点服务。</w:t>
            </w:r>
          </w:p>
          <w:p w14:paraId="00682EBF">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bCs/>
                <w:color w:val="auto"/>
                <w:kern w:val="2"/>
                <w:sz w:val="21"/>
                <w:szCs w:val="21"/>
                <w:highlight w:val="none"/>
                <w:lang w:val="en-US" w:eastAsia="zh-CN" w:bidi="ar-SA"/>
              </w:rPr>
              <w:t>（2）完成1项采用低空无人机公路桥梁巡检或水下机器人公路桥梁检查试点应用，并编制试点应用报告。</w:t>
            </w:r>
          </w:p>
        </w:tc>
      </w:tr>
    </w:tbl>
    <w:p w14:paraId="3D2A0BD6">
      <w:pPr>
        <w:pStyle w:val="49"/>
        <w:widowControl/>
        <w:jc w:val="center"/>
        <w:rPr>
          <w:rStyle w:val="23"/>
          <w:rFonts w:hint="eastAsia" w:ascii="宋体" w:hAnsi="宋体" w:cs="宋体-18030"/>
          <w:b/>
          <w:color w:val="auto"/>
          <w:sz w:val="24"/>
          <w:szCs w:val="21"/>
        </w:rPr>
      </w:pPr>
    </w:p>
    <w:p w14:paraId="366F0FFE">
      <w:pPr>
        <w:pStyle w:val="49"/>
        <w:widowControl/>
        <w:jc w:val="center"/>
        <w:rPr>
          <w:rStyle w:val="23"/>
          <w:rFonts w:hint="eastAsia" w:ascii="宋体" w:hAnsi="宋体" w:cs="宋体-18030"/>
          <w:b/>
          <w:color w:val="auto"/>
          <w:sz w:val="24"/>
          <w:szCs w:val="21"/>
        </w:rPr>
      </w:pPr>
    </w:p>
    <w:p w14:paraId="66F2704A">
      <w:pPr>
        <w:pStyle w:val="49"/>
        <w:widowControl/>
        <w:jc w:val="center"/>
        <w:rPr>
          <w:rStyle w:val="23"/>
          <w:rFonts w:hint="eastAsia" w:ascii="宋体" w:hAnsi="宋体" w:cs="宋体-18030"/>
          <w:b/>
          <w:color w:val="auto"/>
          <w:sz w:val="24"/>
          <w:szCs w:val="21"/>
        </w:rPr>
      </w:pPr>
      <w:r>
        <w:rPr>
          <w:rStyle w:val="23"/>
          <w:rFonts w:ascii="宋体" w:hAnsi="宋体" w:cs="宋体-18030"/>
          <w:b/>
          <w:color w:val="auto"/>
          <w:sz w:val="24"/>
          <w:szCs w:val="21"/>
        </w:rPr>
        <w:t>包</w:t>
      </w:r>
      <w:r>
        <w:rPr>
          <w:rStyle w:val="23"/>
          <w:rFonts w:hint="eastAsia" w:ascii="宋体" w:hAnsi="宋体" w:cs="宋体-18030"/>
          <w:b/>
          <w:color w:val="auto"/>
          <w:sz w:val="24"/>
          <w:szCs w:val="21"/>
          <w:lang w:val="en-US" w:eastAsia="zh-CN"/>
        </w:rPr>
        <w:t>4</w:t>
      </w:r>
      <w:r>
        <w:rPr>
          <w:rStyle w:val="23"/>
          <w:rFonts w:hint="eastAsia" w:ascii="宋体" w:hAnsi="宋体" w:cs="宋体-18030"/>
          <w:b/>
          <w:color w:val="auto"/>
          <w:sz w:val="24"/>
          <w:szCs w:val="21"/>
        </w:rPr>
        <w:t>工作内容及要求</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815"/>
        <w:gridCol w:w="695"/>
        <w:gridCol w:w="5949"/>
      </w:tblGrid>
      <w:tr w14:paraId="078F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35" w:type="pct"/>
            <w:noWrap w:val="0"/>
            <w:vAlign w:val="center"/>
          </w:tcPr>
          <w:p w14:paraId="64277DE7">
            <w:pPr>
              <w:pStyle w:val="49"/>
              <w:widowControl w:val="0"/>
              <w:adjustRightInd w:val="0"/>
              <w:snapToGrid w:val="0"/>
              <w:jc w:val="center"/>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序号</w:t>
            </w:r>
          </w:p>
        </w:tc>
        <w:tc>
          <w:tcPr>
            <w:tcW w:w="1023" w:type="pct"/>
            <w:noWrap w:val="0"/>
            <w:vAlign w:val="center"/>
          </w:tcPr>
          <w:p w14:paraId="6ED24C87">
            <w:pPr>
              <w:pStyle w:val="49"/>
              <w:widowControl w:val="0"/>
              <w:adjustRightInd w:val="0"/>
              <w:snapToGrid w:val="0"/>
              <w:jc w:val="center"/>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服务内容</w:t>
            </w:r>
          </w:p>
        </w:tc>
        <w:tc>
          <w:tcPr>
            <w:tcW w:w="393" w:type="pct"/>
            <w:noWrap w:val="0"/>
            <w:vAlign w:val="center"/>
          </w:tcPr>
          <w:p w14:paraId="3F306A1E">
            <w:pPr>
              <w:pStyle w:val="49"/>
              <w:widowControl w:val="0"/>
              <w:adjustRightInd w:val="0"/>
              <w:snapToGrid w:val="0"/>
              <w:jc w:val="center"/>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数量</w:t>
            </w:r>
          </w:p>
        </w:tc>
        <w:tc>
          <w:tcPr>
            <w:tcW w:w="3346" w:type="pct"/>
            <w:noWrap w:val="0"/>
            <w:vAlign w:val="center"/>
          </w:tcPr>
          <w:p w14:paraId="48FA6E7C">
            <w:pPr>
              <w:pStyle w:val="49"/>
              <w:widowControl w:val="0"/>
              <w:adjustRightInd w:val="0"/>
              <w:snapToGrid w:val="0"/>
              <w:jc w:val="center"/>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工作内容及要求</w:t>
            </w:r>
          </w:p>
        </w:tc>
      </w:tr>
      <w:tr w14:paraId="5E7AE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000" w:type="pct"/>
            <w:gridSpan w:val="4"/>
            <w:noWrap w:val="0"/>
            <w:vAlign w:val="center"/>
          </w:tcPr>
          <w:p w14:paraId="79967255">
            <w:pPr>
              <w:pStyle w:val="49"/>
              <w:widowControl w:val="0"/>
              <w:adjustRightInd w:val="0"/>
              <w:snapToGrid w:val="0"/>
              <w:jc w:val="both"/>
              <w:rPr>
                <w:rStyle w:val="23"/>
                <w:rFonts w:ascii="宋体" w:hAnsi="宋体" w:cs="宋体"/>
                <w:b/>
                <w:bCs/>
                <w:color w:val="auto"/>
                <w:kern w:val="2"/>
                <w:sz w:val="21"/>
                <w:szCs w:val="21"/>
                <w:highlight w:val="none"/>
                <w:lang w:val="en-US" w:eastAsia="zh-CN" w:bidi="ar-SA"/>
              </w:rPr>
            </w:pPr>
            <w:r>
              <w:rPr>
                <w:rStyle w:val="23"/>
                <w:rFonts w:hint="eastAsia" w:ascii="宋体" w:hAnsi="宋体" w:cs="宋体"/>
                <w:b/>
                <w:bCs/>
                <w:color w:val="auto"/>
                <w:kern w:val="2"/>
                <w:sz w:val="21"/>
                <w:szCs w:val="21"/>
                <w:highlight w:val="none"/>
                <w:lang w:val="en-US" w:eastAsia="zh-CN" w:bidi="ar-SA"/>
              </w:rPr>
              <w:t>一、</w:t>
            </w:r>
            <w:r>
              <w:rPr>
                <w:rStyle w:val="23"/>
                <w:rFonts w:hint="eastAsia" w:ascii="宋体" w:hAnsi="宋体" w:eastAsia="宋体" w:cs="宋体"/>
                <w:b/>
                <w:bCs/>
                <w:color w:val="auto"/>
                <w:kern w:val="2"/>
                <w:sz w:val="21"/>
                <w:szCs w:val="21"/>
                <w:highlight w:val="none"/>
                <w:lang w:val="en-US" w:eastAsia="zh-CN" w:bidi="ar-SA"/>
              </w:rPr>
              <w:t>普通国省道2座重点隧道监测、高速公路2座重点隧道监测</w:t>
            </w:r>
          </w:p>
        </w:tc>
      </w:tr>
      <w:tr w14:paraId="42D9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4" w:hRule="atLeast"/>
          <w:jc w:val="center"/>
        </w:trPr>
        <w:tc>
          <w:tcPr>
            <w:tcW w:w="235" w:type="pct"/>
            <w:noWrap w:val="0"/>
            <w:vAlign w:val="center"/>
          </w:tcPr>
          <w:p w14:paraId="49873583">
            <w:pPr>
              <w:pStyle w:val="49"/>
              <w:widowControl w:val="0"/>
              <w:adjustRightInd w:val="0"/>
              <w:snapToGrid w:val="0"/>
              <w:spacing w:line="240" w:lineRule="exact"/>
              <w:jc w:val="center"/>
              <w:rPr>
                <w:rStyle w:val="23"/>
                <w:rFonts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w:t>
            </w:r>
          </w:p>
        </w:tc>
        <w:tc>
          <w:tcPr>
            <w:tcW w:w="1023" w:type="pct"/>
            <w:noWrap w:val="0"/>
            <w:vAlign w:val="center"/>
          </w:tcPr>
          <w:p w14:paraId="07EC2D4B">
            <w:pPr>
              <w:pStyle w:val="49"/>
              <w:widowControl w:val="0"/>
              <w:adjustRightInd w:val="0"/>
              <w:snapToGrid w:val="0"/>
              <w:spacing w:line="240" w:lineRule="exact"/>
              <w:jc w:val="center"/>
              <w:rPr>
                <w:rStyle w:val="23"/>
                <w:rFonts w:hint="default" w:ascii="宋体" w:hAnsi="宋体" w:cs="宋体"/>
                <w:bCs/>
                <w:color w:val="auto"/>
                <w:kern w:val="2"/>
                <w:sz w:val="21"/>
                <w:szCs w:val="21"/>
                <w:highlight w:val="none"/>
                <w:lang w:val="en-US" w:eastAsia="zh-CN" w:bidi="ar-SA"/>
              </w:rPr>
            </w:pPr>
            <w:r>
              <w:rPr>
                <w:rStyle w:val="23"/>
                <w:rFonts w:hint="eastAsia" w:ascii="宋体" w:hAnsi="宋体" w:eastAsia="宋体" w:cs="宋体"/>
                <w:b w:val="0"/>
                <w:bCs w:val="0"/>
                <w:color w:val="auto"/>
                <w:kern w:val="2"/>
                <w:sz w:val="21"/>
                <w:szCs w:val="21"/>
                <w:highlight w:val="none"/>
                <w:lang w:val="en-US" w:eastAsia="zh-CN" w:bidi="ar-SA"/>
              </w:rPr>
              <w:t>普通国省道重点隧道监测</w:t>
            </w:r>
          </w:p>
        </w:tc>
        <w:tc>
          <w:tcPr>
            <w:tcW w:w="393" w:type="pct"/>
            <w:noWrap w:val="0"/>
            <w:vAlign w:val="center"/>
          </w:tcPr>
          <w:p w14:paraId="7CBD75B5">
            <w:pPr>
              <w:pStyle w:val="49"/>
              <w:widowControl w:val="0"/>
              <w:autoSpaceDE w:val="0"/>
              <w:autoSpaceDN w:val="0"/>
              <w:adjustRightInd w:val="0"/>
              <w:spacing w:after="120"/>
              <w:jc w:val="center"/>
              <w:rPr>
                <w:rStyle w:val="23"/>
                <w:rFonts w:hint="default"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2座</w:t>
            </w:r>
          </w:p>
        </w:tc>
        <w:tc>
          <w:tcPr>
            <w:tcW w:w="3346" w:type="pct"/>
            <w:vMerge w:val="restart"/>
            <w:noWrap w:val="0"/>
            <w:vAlign w:val="center"/>
          </w:tcPr>
          <w:p w14:paraId="39315EA5">
            <w:pPr>
              <w:pStyle w:val="49"/>
              <w:widowControl w:val="0"/>
              <w:adjustRightInd w:val="0"/>
              <w:snapToGrid w:val="0"/>
              <w:jc w:val="left"/>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参照交通运输部重点隧道监测工作的相关要求，对重点监测隧道开展检测工作：</w:t>
            </w:r>
          </w:p>
          <w:p w14:paraId="4167EE1D">
            <w:pPr>
              <w:pStyle w:val="49"/>
              <w:widowControl w:val="0"/>
              <w:adjustRightInd w:val="0"/>
              <w:snapToGrid w:val="0"/>
              <w:jc w:val="left"/>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（1）隧道检测及技术状况评定：对抽检隧道按照《公路隧道养护技术规范》（JTG H12-2015）、《国家公路网重点桥梁和隧道监测评价规程》（T／CECS G:E41-04-2019）的内容、深度对隧道（包括土建结构、机电设施、其他附属工程设施等）进行定检，对隧道土建、机电、附属工程设施技术状况进行评定；</w:t>
            </w:r>
          </w:p>
          <w:p w14:paraId="7D3D4B8B">
            <w:pPr>
              <w:pStyle w:val="49"/>
              <w:widowControl w:val="0"/>
              <w:adjustRightInd w:val="0"/>
              <w:snapToGrid w:val="0"/>
              <w:jc w:val="left"/>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（2）土建结构专项检查：根据定检结果，有针对性开展隧道土建结构专项检查，如结构变形检查、裂缝检查、漏水检查等；</w:t>
            </w:r>
          </w:p>
          <w:p w14:paraId="5F80B337">
            <w:pPr>
              <w:pStyle w:val="49"/>
              <w:widowControl w:val="0"/>
              <w:adjustRightInd w:val="0"/>
              <w:snapToGrid w:val="0"/>
              <w:jc w:val="left"/>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（3）例行检查复核：对抽检隧道最近一期定检报告进行检查，对其技术状况评定等级进行复核，对定检报告质量进行评价；对隧道经常检查记录进行检查；</w:t>
            </w:r>
          </w:p>
          <w:p w14:paraId="35914B91">
            <w:pPr>
              <w:pStyle w:val="49"/>
              <w:widowControl w:val="0"/>
              <w:adjustRightInd w:val="0"/>
              <w:snapToGrid w:val="0"/>
              <w:jc w:val="left"/>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（4）隧道养护效果检查：对隧道养护中出现的重大问题进行现场复查和检测，对隧道病害处治的及时性、维修效果进行检查。</w:t>
            </w:r>
          </w:p>
          <w:p w14:paraId="306A26E8">
            <w:pPr>
              <w:pStyle w:val="49"/>
              <w:widowControl w:val="0"/>
              <w:adjustRightInd w:val="0"/>
              <w:snapToGrid w:val="0"/>
              <w:jc w:val="left"/>
              <w:rPr>
                <w:rStyle w:val="23"/>
                <w:rFonts w:hint="default" w:ascii="宋体" w:hAnsi="宋体" w:cs="宋体"/>
                <w:b/>
                <w:bCs w:val="0"/>
                <w:color w:val="auto"/>
                <w:kern w:val="2"/>
                <w:sz w:val="21"/>
                <w:szCs w:val="21"/>
                <w:highlight w:val="none"/>
                <w:lang w:val="en-US" w:eastAsia="zh-CN" w:bidi="ar-SA"/>
              </w:rPr>
            </w:pPr>
          </w:p>
        </w:tc>
      </w:tr>
      <w:tr w14:paraId="7AAB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000E33FF">
            <w:pPr>
              <w:pStyle w:val="49"/>
              <w:widowControl w:val="0"/>
              <w:adjustRightInd w:val="0"/>
              <w:snapToGrid w:val="0"/>
              <w:spacing w:line="240" w:lineRule="exact"/>
              <w:jc w:val="center"/>
              <w:rPr>
                <w:rStyle w:val="23"/>
                <w:rFonts w:hint="default"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2</w:t>
            </w:r>
          </w:p>
        </w:tc>
        <w:tc>
          <w:tcPr>
            <w:tcW w:w="1023" w:type="pct"/>
            <w:noWrap w:val="0"/>
            <w:vAlign w:val="center"/>
          </w:tcPr>
          <w:p w14:paraId="68A9C752">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eastAsia="宋体" w:cs="宋体"/>
                <w:b w:val="0"/>
                <w:bCs w:val="0"/>
                <w:color w:val="auto"/>
                <w:kern w:val="2"/>
                <w:sz w:val="21"/>
                <w:szCs w:val="21"/>
                <w:highlight w:val="none"/>
                <w:lang w:val="en-US" w:eastAsia="zh-CN" w:bidi="ar-SA"/>
              </w:rPr>
              <w:t>高速公路重点隧道监测</w:t>
            </w:r>
          </w:p>
        </w:tc>
        <w:tc>
          <w:tcPr>
            <w:tcW w:w="393" w:type="pct"/>
            <w:noWrap w:val="0"/>
            <w:vAlign w:val="center"/>
          </w:tcPr>
          <w:p w14:paraId="06445962">
            <w:pPr>
              <w:pStyle w:val="49"/>
              <w:widowControl w:val="0"/>
              <w:autoSpaceDE w:val="0"/>
              <w:autoSpaceDN w:val="0"/>
              <w:adjustRightInd w:val="0"/>
              <w:spacing w:after="120"/>
              <w:jc w:val="center"/>
              <w:rPr>
                <w:rStyle w:val="23"/>
                <w:rFonts w:hint="default"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2座</w:t>
            </w:r>
          </w:p>
        </w:tc>
        <w:tc>
          <w:tcPr>
            <w:tcW w:w="3346" w:type="pct"/>
            <w:vMerge w:val="continue"/>
            <w:noWrap w:val="0"/>
            <w:vAlign w:val="center"/>
          </w:tcPr>
          <w:p w14:paraId="2DAA059E">
            <w:pPr>
              <w:pStyle w:val="49"/>
              <w:widowControl w:val="0"/>
              <w:adjustRightInd w:val="0"/>
              <w:snapToGrid w:val="0"/>
              <w:jc w:val="left"/>
              <w:rPr>
                <w:rStyle w:val="23"/>
                <w:rFonts w:hint="default" w:ascii="宋体" w:hAnsi="宋体" w:cs="宋体"/>
                <w:b/>
                <w:bCs w:val="0"/>
                <w:color w:val="auto"/>
                <w:kern w:val="2"/>
                <w:sz w:val="21"/>
                <w:szCs w:val="21"/>
                <w:highlight w:val="none"/>
                <w:lang w:val="en-US" w:eastAsia="zh-CN" w:bidi="ar-SA"/>
              </w:rPr>
            </w:pPr>
          </w:p>
        </w:tc>
      </w:tr>
      <w:tr w14:paraId="3706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5000" w:type="pct"/>
            <w:gridSpan w:val="4"/>
            <w:noWrap w:val="0"/>
            <w:vAlign w:val="center"/>
          </w:tcPr>
          <w:p w14:paraId="24F44A04">
            <w:pPr>
              <w:pStyle w:val="49"/>
              <w:widowControl w:val="0"/>
              <w:adjustRightInd w:val="0"/>
              <w:snapToGrid w:val="0"/>
              <w:jc w:val="left"/>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二、专项检查</w:t>
            </w:r>
          </w:p>
        </w:tc>
      </w:tr>
      <w:tr w14:paraId="7348B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04EE8344">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w:t>
            </w:r>
          </w:p>
        </w:tc>
        <w:tc>
          <w:tcPr>
            <w:tcW w:w="1023" w:type="pct"/>
            <w:noWrap w:val="0"/>
            <w:vAlign w:val="center"/>
          </w:tcPr>
          <w:p w14:paraId="61988DE3">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 w:val="0"/>
                <w:bCs w:val="0"/>
                <w:color w:val="auto"/>
                <w:kern w:val="2"/>
                <w:sz w:val="21"/>
                <w:szCs w:val="21"/>
                <w:highlight w:val="none"/>
                <w:lang w:val="en-US" w:eastAsia="zh-CN" w:bidi="ar-SA"/>
              </w:rPr>
              <w:t>桥隧定检报告复核</w:t>
            </w:r>
          </w:p>
        </w:tc>
        <w:tc>
          <w:tcPr>
            <w:tcW w:w="393" w:type="pct"/>
            <w:noWrap w:val="0"/>
            <w:vAlign w:val="center"/>
          </w:tcPr>
          <w:p w14:paraId="47A56F51">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不少于600座</w:t>
            </w:r>
          </w:p>
        </w:tc>
        <w:tc>
          <w:tcPr>
            <w:tcW w:w="3346" w:type="pct"/>
            <w:noWrap w:val="0"/>
            <w:vAlign w:val="center"/>
          </w:tcPr>
          <w:p w14:paraId="252CD61D">
            <w:pPr>
              <w:pStyle w:val="49"/>
              <w:widowControl w:val="0"/>
              <w:adjustRightInd w:val="0"/>
              <w:snapToGrid w:val="0"/>
              <w:jc w:val="left"/>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开展定检报告质量抽查，必要时赴现场实地抽查。</w:t>
            </w:r>
          </w:p>
        </w:tc>
      </w:tr>
      <w:tr w14:paraId="1906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404E00CC">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2</w:t>
            </w:r>
          </w:p>
        </w:tc>
        <w:tc>
          <w:tcPr>
            <w:tcW w:w="1023" w:type="pct"/>
            <w:noWrap w:val="0"/>
            <w:vAlign w:val="center"/>
          </w:tcPr>
          <w:p w14:paraId="09F7E9AD">
            <w:pPr>
              <w:pStyle w:val="49"/>
              <w:widowControl w:val="0"/>
              <w:adjustRightInd w:val="0"/>
              <w:snapToGrid w:val="0"/>
              <w:spacing w:line="240" w:lineRule="exact"/>
              <w:jc w:val="center"/>
              <w:rPr>
                <w:rStyle w:val="23"/>
                <w:rFonts w:ascii="宋体" w:hAnsi="宋体" w:cs="宋体"/>
                <w:bCs/>
                <w:color w:val="auto"/>
                <w:kern w:val="2"/>
                <w:sz w:val="21"/>
                <w:szCs w:val="21"/>
                <w:highlight w:val="none"/>
                <w:lang w:val="en-US" w:eastAsia="zh-CN" w:bidi="ar-SA"/>
              </w:rPr>
            </w:pPr>
          </w:p>
          <w:p w14:paraId="7D29B754">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CBMS数字化管养平台数据核查</w:t>
            </w:r>
          </w:p>
        </w:tc>
        <w:tc>
          <w:tcPr>
            <w:tcW w:w="393" w:type="pct"/>
            <w:noWrap w:val="0"/>
            <w:vAlign w:val="center"/>
          </w:tcPr>
          <w:p w14:paraId="13D08049">
            <w:pPr>
              <w:pStyle w:val="49"/>
              <w:widowControl w:val="0"/>
              <w:autoSpaceDE w:val="0"/>
              <w:autoSpaceDN w:val="0"/>
              <w:adjustRightInd w:val="0"/>
              <w:spacing w:after="120"/>
              <w:jc w:val="center"/>
              <w:rPr>
                <w:rStyle w:val="23"/>
                <w:rFonts w:hint="default"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2市州*5座+2管养单位*5座</w:t>
            </w:r>
          </w:p>
        </w:tc>
        <w:tc>
          <w:tcPr>
            <w:tcW w:w="3346" w:type="pct"/>
            <w:noWrap w:val="0"/>
            <w:vAlign w:val="center"/>
          </w:tcPr>
          <w:p w14:paraId="581BD840">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bCs/>
                <w:color w:val="auto"/>
                <w:kern w:val="2"/>
                <w:sz w:val="21"/>
                <w:szCs w:val="21"/>
                <w:highlight w:val="none"/>
                <w:lang w:val="en-US" w:eastAsia="zh-CN" w:bidi="ar-SA"/>
              </w:rPr>
              <w:t>参照交通运输部重点隧道监测工作</w:t>
            </w:r>
            <w:r>
              <w:rPr>
                <w:rStyle w:val="23"/>
                <w:rFonts w:hint="eastAsia" w:ascii="宋体" w:hAnsi="宋体" w:cs="宋体"/>
                <w:color w:val="auto"/>
                <w:kern w:val="0"/>
                <w:sz w:val="21"/>
                <w:szCs w:val="21"/>
                <w:highlight w:val="none"/>
                <w:lang w:val="en-US" w:eastAsia="zh-CN" w:bidi="ar-SA"/>
              </w:rPr>
              <w:t>的相关要求，在</w:t>
            </w:r>
            <w:r>
              <w:rPr>
                <w:rStyle w:val="23"/>
                <w:rFonts w:hint="eastAsia" w:ascii="宋体" w:hAnsi="宋体" w:cs="宋体"/>
                <w:bCs/>
                <w:color w:val="auto"/>
                <w:kern w:val="2"/>
                <w:sz w:val="21"/>
                <w:szCs w:val="21"/>
                <w:highlight w:val="none"/>
                <w:lang w:val="en-US" w:eastAsia="zh-CN" w:bidi="ar-SA"/>
              </w:rPr>
              <w:t>CBMS数字化管养平台中检查国省道隧道基础数据（39个指标）、设计文件、定检报告、经常检查录入（上传）的准确性、完整性、及时性。</w:t>
            </w:r>
          </w:p>
        </w:tc>
      </w:tr>
      <w:tr w14:paraId="24501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51F67D58">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3</w:t>
            </w:r>
          </w:p>
        </w:tc>
        <w:tc>
          <w:tcPr>
            <w:tcW w:w="1023" w:type="pct"/>
            <w:noWrap w:val="0"/>
            <w:vAlign w:val="center"/>
          </w:tcPr>
          <w:p w14:paraId="2B946236">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预防性养护实施检查</w:t>
            </w:r>
          </w:p>
        </w:tc>
        <w:tc>
          <w:tcPr>
            <w:tcW w:w="393" w:type="pct"/>
            <w:noWrap w:val="0"/>
            <w:vAlign w:val="center"/>
          </w:tcPr>
          <w:p w14:paraId="3C51A76F">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2市州*5座+2管养单位*5座</w:t>
            </w:r>
          </w:p>
        </w:tc>
        <w:tc>
          <w:tcPr>
            <w:tcW w:w="3346" w:type="pct"/>
            <w:noWrap w:val="0"/>
            <w:vAlign w:val="center"/>
          </w:tcPr>
          <w:p w14:paraId="319EB2E0">
            <w:pPr>
              <w:pStyle w:val="49"/>
              <w:widowControl/>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color w:val="auto"/>
                <w:kern w:val="0"/>
                <w:sz w:val="21"/>
                <w:szCs w:val="21"/>
                <w:highlight w:val="none"/>
                <w:lang w:val="en-US" w:eastAsia="zh-CN" w:bidi="ar-SA"/>
              </w:rPr>
              <w:t>对隧道预防性养护性及时性、实施效果等进行检查。</w:t>
            </w:r>
          </w:p>
        </w:tc>
      </w:tr>
      <w:tr w14:paraId="75634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3AEB721C">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4</w:t>
            </w:r>
          </w:p>
        </w:tc>
        <w:tc>
          <w:tcPr>
            <w:tcW w:w="1023" w:type="pct"/>
            <w:noWrap w:val="0"/>
            <w:vAlign w:val="center"/>
          </w:tcPr>
          <w:p w14:paraId="72A4423E">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2025年省检“回头看”</w:t>
            </w:r>
          </w:p>
        </w:tc>
        <w:tc>
          <w:tcPr>
            <w:tcW w:w="393" w:type="pct"/>
            <w:noWrap w:val="0"/>
            <w:vAlign w:val="center"/>
          </w:tcPr>
          <w:p w14:paraId="4B7EA01D">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w:t>
            </w:r>
          </w:p>
        </w:tc>
        <w:tc>
          <w:tcPr>
            <w:tcW w:w="3346" w:type="pct"/>
            <w:noWrap w:val="0"/>
            <w:vAlign w:val="center"/>
          </w:tcPr>
          <w:p w14:paraId="6B3EF091">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bCs/>
                <w:color w:val="auto"/>
                <w:kern w:val="2"/>
                <w:sz w:val="21"/>
                <w:szCs w:val="21"/>
                <w:highlight w:val="none"/>
                <w:lang w:val="en-US" w:eastAsia="zh-CN" w:bidi="ar-SA"/>
              </w:rPr>
              <w:t>对2025年重点监测通报问题进行“回头看”，现场核查问题整改情况。</w:t>
            </w:r>
          </w:p>
        </w:tc>
      </w:tr>
      <w:tr w14:paraId="01376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000" w:type="pct"/>
            <w:gridSpan w:val="4"/>
            <w:noWrap w:val="0"/>
            <w:vAlign w:val="center"/>
          </w:tcPr>
          <w:p w14:paraId="776F7680">
            <w:pPr>
              <w:pStyle w:val="49"/>
              <w:widowControl w:val="0"/>
              <w:adjustRightInd w:val="0"/>
              <w:snapToGrid w:val="0"/>
              <w:jc w:val="left"/>
              <w:rPr>
                <w:rStyle w:val="23"/>
                <w:rFonts w:hint="eastAsia" w:ascii="宋体" w:hAnsi="宋体" w:cs="宋体"/>
                <w:color w:val="auto"/>
                <w:kern w:val="2"/>
                <w:sz w:val="21"/>
                <w:szCs w:val="21"/>
                <w:highlight w:val="none"/>
                <w:lang w:val="en-US" w:eastAsia="zh-CN" w:bidi="ar-SA"/>
              </w:rPr>
            </w:pPr>
            <w:r>
              <w:rPr>
                <w:rStyle w:val="23"/>
                <w:rFonts w:hint="eastAsia" w:ascii="宋体" w:hAnsi="宋体" w:cs="宋体"/>
                <w:b/>
                <w:color w:val="auto"/>
                <w:kern w:val="2"/>
                <w:sz w:val="21"/>
                <w:szCs w:val="21"/>
                <w:highlight w:val="none"/>
                <w:lang w:val="en-US" w:eastAsia="zh-CN" w:bidi="ar-SA"/>
              </w:rPr>
              <w:t>三、其他工</w:t>
            </w:r>
            <w:r>
              <w:rPr>
                <w:rStyle w:val="23"/>
                <w:rFonts w:hint="eastAsia" w:ascii="宋体" w:hAnsi="宋体" w:cs="宋体"/>
                <w:b/>
                <w:color w:val="auto"/>
                <w:kern w:val="2"/>
                <w:sz w:val="21"/>
                <w:szCs w:val="21"/>
                <w:highlight w:val="none"/>
                <w:shd w:val="clear" w:color="auto" w:fill="auto"/>
                <w:lang w:val="en-US" w:eastAsia="zh-CN" w:bidi="ar-SA"/>
              </w:rPr>
              <w:t>作（本项内容为检测附带内容，不进行报价）</w:t>
            </w:r>
          </w:p>
        </w:tc>
      </w:tr>
      <w:tr w14:paraId="173A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5D1A8A9C">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w:t>
            </w:r>
          </w:p>
        </w:tc>
        <w:tc>
          <w:tcPr>
            <w:tcW w:w="1023" w:type="pct"/>
            <w:noWrap w:val="0"/>
            <w:vAlign w:val="center"/>
          </w:tcPr>
          <w:p w14:paraId="29FB6824">
            <w:pPr>
              <w:pStyle w:val="49"/>
              <w:widowControl w:val="0"/>
              <w:adjustRightInd w:val="0"/>
              <w:snapToGrid w:val="0"/>
              <w:spacing w:line="240" w:lineRule="exact"/>
              <w:jc w:val="center"/>
              <w:rPr>
                <w:rFonts w:hint="eastAsia"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检测结果数据分析及出具加盖相关资质印章的检测报告</w:t>
            </w:r>
          </w:p>
        </w:tc>
        <w:tc>
          <w:tcPr>
            <w:tcW w:w="393" w:type="pct"/>
            <w:noWrap w:val="0"/>
            <w:vAlign w:val="center"/>
          </w:tcPr>
          <w:p w14:paraId="6F66ED66">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1项</w:t>
            </w:r>
          </w:p>
        </w:tc>
        <w:tc>
          <w:tcPr>
            <w:tcW w:w="3346" w:type="pct"/>
            <w:noWrap w:val="0"/>
            <w:vAlign w:val="center"/>
          </w:tcPr>
          <w:p w14:paraId="60910F51">
            <w:pPr>
              <w:pStyle w:val="49"/>
              <w:widowControl w:val="0"/>
              <w:adjustRightInd w:val="0"/>
              <w:snapToGrid w:val="0"/>
              <w:jc w:val="left"/>
              <w:rPr>
                <w:rStyle w:val="23"/>
                <w:rFonts w:hint="eastAsia" w:ascii="宋体" w:hAnsi="宋体" w:cs="宋体"/>
                <w:color w:val="auto"/>
                <w:kern w:val="2"/>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（1）编制单个单个市州（管养单位）隧道检测报告；</w:t>
            </w:r>
          </w:p>
          <w:p w14:paraId="55BDDC6A">
            <w:pPr>
              <w:pStyle w:val="49"/>
              <w:widowControl w:val="0"/>
              <w:adjustRightInd w:val="0"/>
              <w:snapToGrid w:val="0"/>
              <w:jc w:val="left"/>
              <w:rPr>
                <w:rStyle w:val="23"/>
                <w:rFonts w:hint="eastAsia" w:ascii="宋体" w:hAnsi="宋体" w:cs="宋体"/>
                <w:color w:val="auto"/>
                <w:kern w:val="2"/>
                <w:sz w:val="21"/>
                <w:szCs w:val="21"/>
                <w:highlight w:val="none"/>
                <w:lang w:val="en-US" w:eastAsia="zh-CN" w:bidi="ar-SA"/>
              </w:rPr>
            </w:pPr>
            <w:r>
              <w:rPr>
                <w:rStyle w:val="23"/>
                <w:rFonts w:hint="eastAsia" w:ascii="宋体" w:hAnsi="宋体" w:cs="宋体"/>
                <w:color w:val="auto"/>
                <w:kern w:val="2"/>
                <w:sz w:val="21"/>
                <w:szCs w:val="21"/>
                <w:highlight w:val="none"/>
                <w:lang w:val="en-US" w:eastAsia="zh-CN" w:bidi="ar-SA"/>
              </w:rPr>
              <w:t>（2）编制普通公路、高速公路隧道检测总报告。</w:t>
            </w:r>
          </w:p>
        </w:tc>
      </w:tr>
      <w:tr w14:paraId="16FB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35" w:type="pct"/>
            <w:noWrap w:val="0"/>
            <w:vAlign w:val="center"/>
          </w:tcPr>
          <w:p w14:paraId="3199206D">
            <w:pPr>
              <w:pStyle w:val="49"/>
              <w:widowControl w:val="0"/>
              <w:adjustRightInd w:val="0"/>
              <w:snapToGrid w:val="0"/>
              <w:spacing w:line="240" w:lineRule="exact"/>
              <w:jc w:val="center"/>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2</w:t>
            </w:r>
          </w:p>
        </w:tc>
        <w:tc>
          <w:tcPr>
            <w:tcW w:w="1023" w:type="pct"/>
            <w:noWrap w:val="0"/>
            <w:vAlign w:val="center"/>
          </w:tcPr>
          <w:p w14:paraId="59146030">
            <w:pPr>
              <w:pStyle w:val="49"/>
              <w:widowControl w:val="0"/>
              <w:adjustRightInd w:val="0"/>
              <w:snapToGrid w:val="0"/>
              <w:spacing w:line="240" w:lineRule="exact"/>
              <w:jc w:val="center"/>
              <w:rPr>
                <w:rFonts w:hint="default" w:ascii="宋体" w:hAnsi="宋体" w:eastAsia="宋体" w:cs="宋体"/>
                <w:snapToGrid w:val="0"/>
                <w:color w:val="auto"/>
                <w:spacing w:val="8"/>
                <w:kern w:val="0"/>
                <w:sz w:val="24"/>
                <w:szCs w:val="24"/>
                <w:highlight w:val="none"/>
                <w:vertAlign w:val="baseline"/>
                <w:lang w:val="en-US" w:eastAsia="zh-CN"/>
              </w:rPr>
            </w:pPr>
            <w:r>
              <w:rPr>
                <w:rStyle w:val="23"/>
                <w:rFonts w:hint="eastAsia" w:ascii="宋体" w:hAnsi="宋体" w:cs="宋体"/>
                <w:bCs/>
                <w:color w:val="auto"/>
                <w:kern w:val="2"/>
                <w:sz w:val="21"/>
                <w:szCs w:val="21"/>
                <w:highlight w:val="none"/>
                <w:lang w:val="en-US" w:eastAsia="zh-CN" w:bidi="ar-SA"/>
              </w:rPr>
              <w:t>技术咨询及技术应用试点</w:t>
            </w:r>
          </w:p>
        </w:tc>
        <w:tc>
          <w:tcPr>
            <w:tcW w:w="393" w:type="pct"/>
            <w:noWrap w:val="0"/>
            <w:vAlign w:val="center"/>
          </w:tcPr>
          <w:p w14:paraId="2768B964">
            <w:pPr>
              <w:pStyle w:val="49"/>
              <w:widowControl w:val="0"/>
              <w:autoSpaceDE w:val="0"/>
              <w:autoSpaceDN w:val="0"/>
              <w:adjustRightInd w:val="0"/>
              <w:spacing w:after="120"/>
              <w:jc w:val="center"/>
              <w:rPr>
                <w:rStyle w:val="23"/>
                <w:rFonts w:hint="eastAsia" w:ascii="宋体" w:hAnsi="宋体" w:cs="宋体"/>
                <w:bCs/>
                <w:color w:val="auto"/>
                <w:kern w:val="0"/>
                <w:sz w:val="21"/>
                <w:szCs w:val="21"/>
                <w:highlight w:val="none"/>
                <w:lang w:val="en-US" w:eastAsia="zh-CN" w:bidi="ar-SA"/>
              </w:rPr>
            </w:pPr>
            <w:r>
              <w:rPr>
                <w:rStyle w:val="23"/>
                <w:rFonts w:hint="eastAsia" w:ascii="宋体" w:hAnsi="宋体" w:cs="宋体"/>
                <w:bCs/>
                <w:color w:val="auto"/>
                <w:kern w:val="0"/>
                <w:sz w:val="21"/>
                <w:szCs w:val="21"/>
                <w:highlight w:val="none"/>
                <w:lang w:val="en-US" w:eastAsia="zh-CN" w:bidi="ar-SA"/>
              </w:rPr>
              <w:t>1项</w:t>
            </w:r>
          </w:p>
        </w:tc>
        <w:tc>
          <w:tcPr>
            <w:tcW w:w="3346" w:type="pct"/>
            <w:noWrap w:val="0"/>
            <w:vAlign w:val="center"/>
          </w:tcPr>
          <w:p w14:paraId="31BE8CEE">
            <w:pPr>
              <w:pStyle w:val="49"/>
              <w:widowControl w:val="0"/>
              <w:adjustRightInd w:val="0"/>
              <w:snapToGrid w:val="0"/>
              <w:jc w:val="left"/>
              <w:rPr>
                <w:rStyle w:val="23"/>
                <w:rFonts w:hint="eastAsia" w:ascii="宋体" w:hAnsi="宋体" w:cs="宋体"/>
                <w:bCs/>
                <w:color w:val="auto"/>
                <w:kern w:val="2"/>
                <w:sz w:val="21"/>
                <w:szCs w:val="21"/>
                <w:highlight w:val="none"/>
                <w:lang w:val="en-US" w:eastAsia="zh-CN" w:bidi="ar-SA"/>
              </w:rPr>
            </w:pPr>
            <w:r>
              <w:rPr>
                <w:rStyle w:val="23"/>
                <w:rFonts w:hint="eastAsia" w:ascii="宋体" w:hAnsi="宋体" w:cs="宋体"/>
                <w:bCs/>
                <w:color w:val="auto"/>
                <w:kern w:val="2"/>
                <w:sz w:val="21"/>
                <w:szCs w:val="21"/>
                <w:highlight w:val="none"/>
                <w:lang w:val="en-US" w:eastAsia="zh-CN" w:bidi="ar-SA"/>
              </w:rPr>
              <w:t>（1）为隧道养护管理提供技术咨询，安排1名隧道专业技术人员提供驻点服务。</w:t>
            </w:r>
          </w:p>
          <w:p w14:paraId="48D97FA1">
            <w:pPr>
              <w:pStyle w:val="49"/>
              <w:widowControl w:val="0"/>
              <w:adjustRightInd w:val="0"/>
              <w:snapToGrid w:val="0"/>
              <w:jc w:val="left"/>
              <w:rPr>
                <w:rStyle w:val="23"/>
                <w:rFonts w:hint="eastAsia" w:ascii="宋体" w:hAnsi="宋体" w:cs="Times New Roman"/>
                <w:b w:val="0"/>
                <w:bCs w:val="0"/>
                <w:color w:val="auto"/>
                <w:kern w:val="2"/>
                <w:sz w:val="21"/>
                <w:szCs w:val="21"/>
                <w:highlight w:val="yellow"/>
                <w:lang w:val="en-US" w:eastAsia="zh-CN" w:bidi="ar-SA"/>
              </w:rPr>
            </w:pPr>
            <w:r>
              <w:rPr>
                <w:rStyle w:val="23"/>
                <w:rFonts w:hint="eastAsia" w:ascii="宋体" w:hAnsi="宋体" w:cs="宋体"/>
                <w:bCs/>
                <w:color w:val="auto"/>
                <w:kern w:val="2"/>
                <w:sz w:val="21"/>
                <w:szCs w:val="21"/>
                <w:highlight w:val="none"/>
                <w:lang w:val="en-US" w:eastAsia="zh-CN" w:bidi="ar-SA"/>
              </w:rPr>
              <w:t>（2）完成1项隧道智能检测车对隧道外观病害进行检测试点应用，并编制试点应用报告。</w:t>
            </w:r>
          </w:p>
        </w:tc>
      </w:tr>
    </w:tbl>
    <w:p w14:paraId="4685CAEB">
      <w:pPr>
        <w:pStyle w:val="49"/>
        <w:widowControl/>
        <w:jc w:val="center"/>
        <w:rPr>
          <w:rStyle w:val="23"/>
          <w:rFonts w:hint="eastAsia" w:ascii="宋体" w:hAnsi="宋体" w:cs="宋体-18030"/>
          <w:b/>
          <w:color w:val="auto"/>
          <w:sz w:val="24"/>
          <w:szCs w:val="21"/>
        </w:rPr>
      </w:pPr>
    </w:p>
    <w:p w14:paraId="740EF845">
      <w:pPr>
        <w:pStyle w:val="49"/>
        <w:spacing w:after="312" w:afterLines="100"/>
        <w:rPr>
          <w:rStyle w:val="23"/>
          <w:rFonts w:ascii="Times New Roman" w:hAnsi="宋体"/>
          <w:bCs/>
          <w:color w:val="auto"/>
        </w:rPr>
      </w:pPr>
      <w:r>
        <w:rPr>
          <w:rStyle w:val="23"/>
          <w:rFonts w:hint="eastAsia" w:ascii="Times New Roman" w:hAnsi="宋体"/>
          <w:b/>
          <w:color w:val="auto"/>
        </w:rPr>
        <w:t>备注：</w:t>
      </w:r>
      <w:r>
        <w:rPr>
          <w:rStyle w:val="23"/>
          <w:rFonts w:hint="eastAsia" w:ascii="Times New Roman" w:hAnsi="宋体"/>
          <w:bCs/>
          <w:color w:val="auto"/>
        </w:rPr>
        <w:t>实际工作内容包含但不限于以上所述主要工作内容，与湖南省国省干线公路桥隧检测相关的其他工作作为</w:t>
      </w:r>
      <w:r>
        <w:rPr>
          <w:rStyle w:val="23"/>
          <w:rFonts w:hint="eastAsia" w:ascii="Times New Roman" w:hAnsi="宋体"/>
          <w:bCs/>
          <w:color w:val="auto"/>
          <w:lang w:eastAsia="zh-CN"/>
        </w:rPr>
        <w:t>成交供应商</w:t>
      </w:r>
      <w:r>
        <w:rPr>
          <w:rStyle w:val="23"/>
          <w:rFonts w:hint="eastAsia" w:ascii="Times New Roman" w:hAnsi="宋体"/>
          <w:bCs/>
          <w:color w:val="auto"/>
        </w:rPr>
        <w:t>应该完成的附属工作，不另行支付费用，</w:t>
      </w:r>
      <w:r>
        <w:rPr>
          <w:rStyle w:val="23"/>
          <w:rFonts w:hint="eastAsia" w:ascii="Times New Roman" w:hAnsi="宋体"/>
          <w:bCs/>
          <w:color w:val="auto"/>
          <w:lang w:eastAsia="zh-CN"/>
        </w:rPr>
        <w:t>成交供应商</w:t>
      </w:r>
      <w:r>
        <w:rPr>
          <w:rStyle w:val="23"/>
          <w:rFonts w:hint="eastAsia" w:ascii="Times New Roman" w:hAnsi="宋体"/>
          <w:bCs/>
          <w:color w:val="auto"/>
        </w:rPr>
        <w:t>不得以</w:t>
      </w:r>
      <w:r>
        <w:rPr>
          <w:rStyle w:val="23"/>
          <w:rFonts w:hint="eastAsia" w:ascii="Times New Roman" w:hAnsi="宋体"/>
          <w:bCs/>
          <w:color w:val="auto"/>
          <w:lang w:eastAsia="zh-CN"/>
        </w:rPr>
        <w:t>磋商文件</w:t>
      </w:r>
      <w:r>
        <w:rPr>
          <w:rStyle w:val="23"/>
          <w:rFonts w:hint="eastAsia" w:ascii="Times New Roman" w:hAnsi="宋体"/>
          <w:bCs/>
          <w:color w:val="auto"/>
        </w:rPr>
        <w:t>未列明作为理由而拒绝完成。</w:t>
      </w:r>
    </w:p>
    <w:p w14:paraId="27D362A5">
      <w:pPr>
        <w:pStyle w:val="49"/>
        <w:adjustRightInd w:val="0"/>
        <w:snapToGrid w:val="0"/>
        <w:spacing w:line="360" w:lineRule="auto"/>
        <w:rPr>
          <w:rStyle w:val="23"/>
          <w:rFonts w:hint="eastAsia" w:ascii="宋体" w:hAnsi="宋体" w:eastAsia="宋体" w:cs="宋体"/>
          <w:b/>
          <w:color w:val="auto"/>
          <w:szCs w:val="21"/>
        </w:rPr>
      </w:pPr>
      <w:r>
        <w:rPr>
          <w:rFonts w:hint="eastAsia" w:ascii="黑体" w:eastAsia="黑体"/>
          <w:b/>
          <w:color w:val="auto"/>
          <w:sz w:val="32"/>
          <w:szCs w:val="32"/>
          <w:highlight w:val="none"/>
        </w:rPr>
        <w:br w:type="page"/>
      </w:r>
      <w:r>
        <w:rPr>
          <w:rStyle w:val="23"/>
          <w:rFonts w:hint="eastAsia" w:ascii="Times New Roman" w:hAnsi="宋体" w:cs="宋体-18030"/>
          <w:b/>
          <w:color w:val="auto"/>
          <w:szCs w:val="21"/>
        </w:rPr>
        <w:t>2、人员配置要求</w:t>
      </w:r>
    </w:p>
    <w:p w14:paraId="6C26D4AD">
      <w:pPr>
        <w:pStyle w:val="49"/>
        <w:adjustRightInd w:val="0"/>
        <w:snapToGrid w:val="0"/>
        <w:spacing w:line="360" w:lineRule="auto"/>
        <w:ind w:firstLine="420" w:firstLineChars="200"/>
        <w:rPr>
          <w:rStyle w:val="23"/>
          <w:rFonts w:ascii="Times New Roman" w:hAnsi="宋体" w:cs="Tahoma"/>
          <w:b/>
          <w:color w:val="auto"/>
          <w:szCs w:val="21"/>
        </w:rPr>
      </w:pPr>
      <w:r>
        <w:rPr>
          <w:rStyle w:val="23"/>
          <w:rFonts w:hint="eastAsia" w:ascii="Times New Roman" w:hAnsi="宋体"/>
          <w:color w:val="auto"/>
          <w:kern w:val="32"/>
          <w:szCs w:val="21"/>
          <w:lang w:eastAsia="zh-CN"/>
        </w:rPr>
        <w:t>响应</w:t>
      </w:r>
      <w:r>
        <w:rPr>
          <w:rStyle w:val="23"/>
          <w:rFonts w:hint="eastAsia" w:ascii="Times New Roman" w:hAnsi="宋体"/>
          <w:color w:val="auto"/>
          <w:kern w:val="32"/>
          <w:szCs w:val="21"/>
        </w:rPr>
        <w:t>供应商检测人员具体要求详见下表。</w:t>
      </w:r>
      <w:r>
        <w:rPr>
          <w:rStyle w:val="23"/>
          <w:rFonts w:hint="eastAsia" w:ascii="Times New Roman" w:hAnsi="宋体"/>
          <w:color w:val="auto"/>
          <w:kern w:val="32"/>
          <w:szCs w:val="21"/>
          <w:lang w:eastAsia="zh-CN"/>
        </w:rPr>
        <w:t>响应</w:t>
      </w:r>
      <w:r>
        <w:rPr>
          <w:rStyle w:val="23"/>
          <w:rFonts w:hint="eastAsia" w:ascii="Times New Roman" w:hAnsi="宋体"/>
          <w:color w:val="auto"/>
          <w:kern w:val="32"/>
          <w:szCs w:val="21"/>
        </w:rPr>
        <w:t>供应商人员应与实际到场人员一致，不得替换</w:t>
      </w:r>
      <w:r>
        <w:rPr>
          <w:rStyle w:val="23"/>
          <w:rFonts w:hint="eastAsia" w:ascii="Times New Roman" w:hAnsi="宋体"/>
          <w:color w:val="auto"/>
          <w:kern w:val="32"/>
          <w:szCs w:val="21"/>
          <w:lang w:eastAsia="zh-CN"/>
        </w:rPr>
        <w:t>，</w:t>
      </w:r>
      <w:r>
        <w:rPr>
          <w:rStyle w:val="23"/>
          <w:rFonts w:hint="eastAsia" w:ascii="Times New Roman" w:hAnsi="宋体"/>
          <w:color w:val="auto"/>
          <w:kern w:val="32"/>
          <w:szCs w:val="21"/>
        </w:rPr>
        <w:t>如有特殊情况，须经采购人同意后方可进行更换。所有检测人员应熟悉桥隧养护管理相关规章制度和技术规范、标准。</w:t>
      </w:r>
    </w:p>
    <w:p w14:paraId="5F3E50B5">
      <w:pPr>
        <w:pStyle w:val="49"/>
        <w:spacing w:line="360" w:lineRule="auto"/>
        <w:jc w:val="center"/>
        <w:rPr>
          <w:rStyle w:val="23"/>
          <w:rFonts w:ascii="Times New Roman" w:hAnsi="宋体"/>
          <w:b/>
          <w:bCs/>
          <w:color w:val="auto"/>
          <w:spacing w:val="20"/>
          <w:szCs w:val="21"/>
        </w:rPr>
      </w:pPr>
      <w:r>
        <w:rPr>
          <w:rStyle w:val="23"/>
          <w:rFonts w:hint="eastAsia" w:ascii="Times New Roman" w:hAnsi="宋体" w:cs="Tahoma"/>
          <w:b/>
          <w:color w:val="auto"/>
          <w:szCs w:val="21"/>
        </w:rPr>
        <w:t>包1、包2</w:t>
      </w:r>
      <w:r>
        <w:rPr>
          <w:rStyle w:val="23"/>
          <w:rFonts w:hint="eastAsia" w:ascii="Times New Roman" w:hAnsi="宋体" w:cs="Tahoma"/>
          <w:b/>
          <w:color w:val="auto"/>
          <w:szCs w:val="21"/>
          <w:lang w:eastAsia="zh-CN"/>
        </w:rPr>
        <w:t>、</w:t>
      </w:r>
      <w:r>
        <w:rPr>
          <w:rStyle w:val="23"/>
          <w:rFonts w:hint="eastAsia" w:ascii="Times New Roman" w:hAnsi="宋体" w:cs="Tahoma"/>
          <w:b/>
          <w:color w:val="auto"/>
          <w:szCs w:val="21"/>
          <w:lang w:val="en-US" w:eastAsia="zh-CN"/>
        </w:rPr>
        <w:t>包3、包4</w:t>
      </w:r>
      <w:r>
        <w:rPr>
          <w:rStyle w:val="23"/>
          <w:rFonts w:hint="eastAsia" w:ascii="Times New Roman" w:hAnsi="宋体" w:cs="Tahoma"/>
          <w:b/>
          <w:color w:val="auto"/>
          <w:szCs w:val="21"/>
        </w:rPr>
        <w:t>拟投入检测人员最低要求</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8"/>
        <w:gridCol w:w="1330"/>
        <w:gridCol w:w="3989"/>
        <w:gridCol w:w="1504"/>
        <w:gridCol w:w="795"/>
      </w:tblGrid>
      <w:tr w14:paraId="2FDB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7" w:hRule="atLeast"/>
          <w:jc w:val="center"/>
        </w:trPr>
        <w:tc>
          <w:tcPr>
            <w:tcW w:w="1418" w:type="dxa"/>
            <w:noWrap w:val="0"/>
            <w:vAlign w:val="center"/>
          </w:tcPr>
          <w:p w14:paraId="531A5D41">
            <w:pPr>
              <w:pStyle w:val="49"/>
              <w:widowControl w:val="0"/>
              <w:jc w:val="center"/>
              <w:rPr>
                <w:rStyle w:val="23"/>
                <w:rFonts w:ascii="宋体" w:hAnsi="宋体" w:cs="宋体"/>
                <w:b/>
                <w:bCs/>
                <w:color w:val="auto"/>
                <w:kern w:val="2"/>
                <w:sz w:val="21"/>
                <w:szCs w:val="21"/>
                <w:lang w:val="en-US" w:eastAsia="zh-CN" w:bidi="ar-SA"/>
              </w:rPr>
            </w:pPr>
            <w:r>
              <w:rPr>
                <w:rStyle w:val="23"/>
                <w:rFonts w:hint="eastAsia" w:ascii="宋体" w:hAnsi="宋体" w:cs="宋体"/>
                <w:b/>
                <w:bCs/>
                <w:color w:val="auto"/>
                <w:kern w:val="2"/>
                <w:sz w:val="21"/>
                <w:szCs w:val="21"/>
                <w:lang w:val="en-US" w:eastAsia="zh-CN" w:bidi="ar-SA"/>
              </w:rPr>
              <w:t>职 位</w:t>
            </w:r>
          </w:p>
        </w:tc>
        <w:tc>
          <w:tcPr>
            <w:tcW w:w="1330" w:type="dxa"/>
            <w:noWrap w:val="0"/>
            <w:vAlign w:val="center"/>
          </w:tcPr>
          <w:p w14:paraId="3BD03936">
            <w:pPr>
              <w:pStyle w:val="49"/>
              <w:widowControl w:val="0"/>
              <w:jc w:val="center"/>
              <w:rPr>
                <w:rStyle w:val="23"/>
                <w:rFonts w:ascii="宋体" w:hAnsi="宋体" w:cs="宋体"/>
                <w:b/>
                <w:bCs/>
                <w:color w:val="auto"/>
                <w:kern w:val="2"/>
                <w:sz w:val="21"/>
                <w:szCs w:val="21"/>
                <w:lang w:val="en-US" w:eastAsia="zh-CN" w:bidi="ar-SA"/>
              </w:rPr>
            </w:pPr>
            <w:r>
              <w:rPr>
                <w:rStyle w:val="23"/>
                <w:rFonts w:hint="eastAsia" w:ascii="宋体" w:hAnsi="宋体" w:cs="宋体"/>
                <w:b/>
                <w:bCs/>
                <w:color w:val="auto"/>
                <w:kern w:val="2"/>
                <w:sz w:val="21"/>
                <w:szCs w:val="21"/>
                <w:lang w:val="en-US" w:eastAsia="zh-CN" w:bidi="ar-SA"/>
              </w:rPr>
              <w:t>职 称</w:t>
            </w:r>
          </w:p>
        </w:tc>
        <w:tc>
          <w:tcPr>
            <w:tcW w:w="3989" w:type="dxa"/>
            <w:noWrap w:val="0"/>
            <w:vAlign w:val="center"/>
          </w:tcPr>
          <w:p w14:paraId="09A459BA">
            <w:pPr>
              <w:pStyle w:val="49"/>
              <w:widowControl w:val="0"/>
              <w:jc w:val="center"/>
              <w:rPr>
                <w:rStyle w:val="23"/>
                <w:rFonts w:ascii="宋体" w:hAnsi="宋体" w:cs="宋体"/>
                <w:b/>
                <w:bCs/>
                <w:color w:val="auto"/>
                <w:kern w:val="2"/>
                <w:sz w:val="21"/>
                <w:szCs w:val="21"/>
                <w:lang w:val="en-US" w:eastAsia="zh-CN" w:bidi="ar-SA"/>
              </w:rPr>
            </w:pPr>
            <w:r>
              <w:rPr>
                <w:rStyle w:val="23"/>
                <w:rFonts w:hint="eastAsia" w:ascii="宋体" w:hAnsi="宋体" w:cs="宋体"/>
                <w:b/>
                <w:bCs/>
                <w:color w:val="auto"/>
                <w:kern w:val="2"/>
                <w:sz w:val="21"/>
                <w:szCs w:val="21"/>
                <w:lang w:val="en-US" w:eastAsia="zh-CN" w:bidi="ar-SA"/>
              </w:rPr>
              <w:t>资格要求</w:t>
            </w:r>
          </w:p>
        </w:tc>
        <w:tc>
          <w:tcPr>
            <w:tcW w:w="1504" w:type="dxa"/>
            <w:noWrap w:val="0"/>
            <w:vAlign w:val="center"/>
          </w:tcPr>
          <w:p w14:paraId="4F97F253">
            <w:pPr>
              <w:pStyle w:val="49"/>
              <w:widowControl w:val="0"/>
              <w:jc w:val="center"/>
              <w:rPr>
                <w:rStyle w:val="23"/>
                <w:rFonts w:ascii="宋体" w:hAnsi="宋体" w:cs="宋体"/>
                <w:b/>
                <w:bCs/>
                <w:color w:val="auto"/>
                <w:kern w:val="2"/>
                <w:sz w:val="21"/>
                <w:szCs w:val="21"/>
                <w:lang w:val="en-US" w:eastAsia="zh-CN" w:bidi="ar-SA"/>
              </w:rPr>
            </w:pPr>
            <w:r>
              <w:rPr>
                <w:rStyle w:val="23"/>
                <w:rFonts w:hint="eastAsia" w:ascii="宋体" w:hAnsi="宋体" w:cs="宋体"/>
                <w:b/>
                <w:bCs/>
                <w:color w:val="auto"/>
                <w:kern w:val="2"/>
                <w:sz w:val="21"/>
                <w:szCs w:val="21"/>
                <w:lang w:val="en-US" w:eastAsia="zh-CN" w:bidi="ar-SA"/>
              </w:rPr>
              <w:t>人员数量（人）</w:t>
            </w:r>
          </w:p>
        </w:tc>
        <w:tc>
          <w:tcPr>
            <w:tcW w:w="795" w:type="dxa"/>
            <w:noWrap w:val="0"/>
            <w:vAlign w:val="center"/>
          </w:tcPr>
          <w:p w14:paraId="6F70EF98">
            <w:pPr>
              <w:pStyle w:val="49"/>
              <w:widowControl w:val="0"/>
              <w:jc w:val="center"/>
              <w:rPr>
                <w:rStyle w:val="23"/>
                <w:rFonts w:ascii="宋体" w:hAnsi="宋体" w:cs="宋体"/>
                <w:b/>
                <w:bCs/>
                <w:color w:val="auto"/>
                <w:kern w:val="2"/>
                <w:sz w:val="21"/>
                <w:szCs w:val="21"/>
                <w:lang w:val="en-US" w:eastAsia="zh-CN" w:bidi="ar-SA"/>
              </w:rPr>
            </w:pPr>
            <w:r>
              <w:rPr>
                <w:rStyle w:val="23"/>
                <w:rFonts w:hint="eastAsia" w:ascii="宋体" w:hAnsi="宋体" w:cs="宋体"/>
                <w:b/>
                <w:bCs/>
                <w:color w:val="auto"/>
                <w:kern w:val="2"/>
                <w:sz w:val="21"/>
                <w:szCs w:val="21"/>
                <w:lang w:val="en-US" w:eastAsia="zh-CN" w:bidi="ar-SA"/>
              </w:rPr>
              <w:t>备注</w:t>
            </w:r>
          </w:p>
        </w:tc>
      </w:tr>
      <w:tr w14:paraId="4E3D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418" w:type="dxa"/>
            <w:noWrap w:val="0"/>
            <w:vAlign w:val="center"/>
          </w:tcPr>
          <w:p w14:paraId="255CCB50">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项目负责人</w:t>
            </w:r>
          </w:p>
        </w:tc>
        <w:tc>
          <w:tcPr>
            <w:tcW w:w="1330" w:type="dxa"/>
            <w:noWrap w:val="0"/>
            <w:vAlign w:val="center"/>
          </w:tcPr>
          <w:p w14:paraId="0825396B">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高级工程师及以上</w:t>
            </w:r>
          </w:p>
        </w:tc>
        <w:tc>
          <w:tcPr>
            <w:tcW w:w="3989" w:type="dxa"/>
            <w:noWrap w:val="0"/>
            <w:vAlign w:val="center"/>
          </w:tcPr>
          <w:p w14:paraId="63991056">
            <w:pPr>
              <w:pStyle w:val="49"/>
              <w:widowControl w:val="0"/>
              <w:jc w:val="left"/>
              <w:rPr>
                <w:rStyle w:val="23"/>
                <w:rFonts w:ascii="宋体" w:hAnsi="宋体" w:cs="宋体"/>
                <w:color w:val="auto"/>
                <w:kern w:val="2"/>
                <w:sz w:val="21"/>
                <w:szCs w:val="21"/>
                <w:shd w:val="clear" w:color="auto" w:fill="auto"/>
                <w:lang w:val="en-US" w:eastAsia="zh-CN" w:bidi="ar-SA"/>
              </w:rPr>
            </w:pPr>
            <w:r>
              <w:rPr>
                <w:rStyle w:val="23"/>
                <w:rFonts w:hint="eastAsia" w:ascii="宋体" w:hAnsi="宋体" w:cs="宋体"/>
                <w:color w:val="auto"/>
                <w:kern w:val="2"/>
                <w:sz w:val="21"/>
                <w:szCs w:val="21"/>
                <w:shd w:val="clear" w:color="auto" w:fill="auto"/>
                <w:lang w:val="en-US" w:eastAsia="zh-CN" w:bidi="ar-SA"/>
              </w:rPr>
              <w:t>从事路桥专业工作5年以上，具有承担桥梁特殊检查（包1、包2、包3）、具有承担隧道专项检查（包4）的工作经验，持有交通运输部颁发的试验检测师资格证书（桥梁隧道专业）</w:t>
            </w:r>
          </w:p>
        </w:tc>
        <w:tc>
          <w:tcPr>
            <w:tcW w:w="1504" w:type="dxa"/>
            <w:noWrap w:val="0"/>
            <w:vAlign w:val="center"/>
          </w:tcPr>
          <w:p w14:paraId="02A04E3E">
            <w:pPr>
              <w:pStyle w:val="49"/>
              <w:widowControl w:val="0"/>
              <w:spacing w:line="500" w:lineRule="exact"/>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w:t>
            </w:r>
          </w:p>
        </w:tc>
        <w:tc>
          <w:tcPr>
            <w:tcW w:w="795" w:type="dxa"/>
            <w:noWrap w:val="0"/>
            <w:vAlign w:val="top"/>
          </w:tcPr>
          <w:p w14:paraId="3A98F807">
            <w:pPr>
              <w:pStyle w:val="49"/>
              <w:widowControl w:val="0"/>
              <w:spacing w:line="500" w:lineRule="exact"/>
              <w:jc w:val="center"/>
              <w:rPr>
                <w:rStyle w:val="23"/>
                <w:rFonts w:ascii="宋体" w:hAnsi="宋体" w:cs="宋体"/>
                <w:color w:val="auto"/>
                <w:kern w:val="2"/>
                <w:sz w:val="21"/>
                <w:szCs w:val="21"/>
                <w:lang w:val="en-US" w:eastAsia="zh-CN" w:bidi="ar-SA"/>
              </w:rPr>
            </w:pPr>
          </w:p>
        </w:tc>
      </w:tr>
      <w:tr w14:paraId="6F0E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2" w:hRule="atLeast"/>
          <w:jc w:val="center"/>
        </w:trPr>
        <w:tc>
          <w:tcPr>
            <w:tcW w:w="1418" w:type="dxa"/>
            <w:noWrap w:val="0"/>
            <w:vAlign w:val="center"/>
          </w:tcPr>
          <w:p w14:paraId="5ECA09DA">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技术负责人</w:t>
            </w:r>
          </w:p>
        </w:tc>
        <w:tc>
          <w:tcPr>
            <w:tcW w:w="1330" w:type="dxa"/>
            <w:noWrap w:val="0"/>
            <w:vAlign w:val="center"/>
          </w:tcPr>
          <w:p w14:paraId="7249D6D4">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高级工程师及以上</w:t>
            </w:r>
          </w:p>
        </w:tc>
        <w:tc>
          <w:tcPr>
            <w:tcW w:w="3989" w:type="dxa"/>
            <w:noWrap w:val="0"/>
            <w:vAlign w:val="center"/>
          </w:tcPr>
          <w:p w14:paraId="7BEEF5D2">
            <w:pPr>
              <w:pStyle w:val="49"/>
              <w:widowControl w:val="0"/>
              <w:jc w:val="left"/>
              <w:rPr>
                <w:rStyle w:val="23"/>
                <w:rFonts w:ascii="宋体" w:hAnsi="宋体" w:cs="宋体"/>
                <w:color w:val="auto"/>
                <w:kern w:val="2"/>
                <w:sz w:val="21"/>
                <w:szCs w:val="21"/>
                <w:shd w:val="clear" w:color="auto" w:fill="auto"/>
                <w:lang w:val="en-US" w:eastAsia="zh-CN" w:bidi="ar-SA"/>
              </w:rPr>
            </w:pPr>
            <w:r>
              <w:rPr>
                <w:rStyle w:val="23"/>
                <w:rFonts w:hint="eastAsia" w:ascii="宋体" w:hAnsi="宋体" w:cs="宋体"/>
                <w:color w:val="auto"/>
                <w:kern w:val="2"/>
                <w:sz w:val="21"/>
                <w:szCs w:val="21"/>
                <w:shd w:val="clear" w:color="auto" w:fill="auto"/>
                <w:lang w:val="en-US" w:eastAsia="zh-CN" w:bidi="ar-SA"/>
              </w:rPr>
              <w:t>从事路桥专业工作5年以上，具有承担桥梁特殊检查（包1、包2、包3）、具有承担隧道专项检查（包4）的工作经验，持有交通运输部颁发的试验检测师资格证书（桥梁隧道专业）</w:t>
            </w:r>
          </w:p>
        </w:tc>
        <w:tc>
          <w:tcPr>
            <w:tcW w:w="1504" w:type="dxa"/>
            <w:noWrap w:val="0"/>
            <w:vAlign w:val="center"/>
          </w:tcPr>
          <w:p w14:paraId="465853CD">
            <w:pPr>
              <w:pStyle w:val="49"/>
              <w:widowControl w:val="0"/>
              <w:spacing w:line="500" w:lineRule="exact"/>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w:t>
            </w:r>
          </w:p>
        </w:tc>
        <w:tc>
          <w:tcPr>
            <w:tcW w:w="795" w:type="dxa"/>
            <w:noWrap w:val="0"/>
            <w:vAlign w:val="top"/>
          </w:tcPr>
          <w:p w14:paraId="169138D0">
            <w:pPr>
              <w:pStyle w:val="49"/>
              <w:widowControl w:val="0"/>
              <w:spacing w:line="500" w:lineRule="exact"/>
              <w:jc w:val="center"/>
              <w:rPr>
                <w:rStyle w:val="23"/>
                <w:rFonts w:ascii="宋体" w:hAnsi="宋体" w:cs="宋体"/>
                <w:color w:val="auto"/>
                <w:kern w:val="2"/>
                <w:sz w:val="21"/>
                <w:szCs w:val="21"/>
                <w:lang w:val="en-US" w:eastAsia="zh-CN" w:bidi="ar-SA"/>
              </w:rPr>
            </w:pPr>
          </w:p>
        </w:tc>
      </w:tr>
      <w:tr w14:paraId="67EF7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418" w:type="dxa"/>
            <w:noWrap w:val="0"/>
            <w:vAlign w:val="center"/>
          </w:tcPr>
          <w:p w14:paraId="1300336D">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检测工程师</w:t>
            </w:r>
          </w:p>
        </w:tc>
        <w:tc>
          <w:tcPr>
            <w:tcW w:w="1330" w:type="dxa"/>
            <w:noWrap w:val="0"/>
            <w:vAlign w:val="center"/>
          </w:tcPr>
          <w:p w14:paraId="01FA17D3">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工程师及以上</w:t>
            </w:r>
          </w:p>
        </w:tc>
        <w:tc>
          <w:tcPr>
            <w:tcW w:w="3989" w:type="dxa"/>
            <w:noWrap w:val="0"/>
            <w:vAlign w:val="center"/>
          </w:tcPr>
          <w:p w14:paraId="2BC7830A">
            <w:pPr>
              <w:pStyle w:val="49"/>
              <w:widowControl w:val="0"/>
              <w:jc w:val="left"/>
              <w:rPr>
                <w:rStyle w:val="23"/>
                <w:rFonts w:ascii="宋体" w:hAnsi="宋体" w:cs="宋体"/>
                <w:color w:val="auto"/>
                <w:kern w:val="2"/>
                <w:sz w:val="21"/>
                <w:szCs w:val="21"/>
                <w:shd w:val="clear" w:color="auto" w:fill="auto"/>
                <w:lang w:val="en-US" w:eastAsia="zh-CN" w:bidi="ar-SA"/>
              </w:rPr>
            </w:pPr>
            <w:r>
              <w:rPr>
                <w:rStyle w:val="23"/>
                <w:rFonts w:hint="eastAsia" w:ascii="宋体" w:hAnsi="宋体" w:cs="宋体"/>
                <w:color w:val="auto"/>
                <w:kern w:val="2"/>
                <w:sz w:val="21"/>
                <w:szCs w:val="21"/>
                <w:shd w:val="clear" w:color="auto" w:fill="auto"/>
                <w:lang w:val="en-US" w:eastAsia="zh-CN" w:bidi="ar-SA"/>
              </w:rPr>
              <w:t>从事路桥专业工作</w:t>
            </w:r>
            <w:r>
              <w:rPr>
                <w:rStyle w:val="23"/>
                <w:rFonts w:ascii="宋体" w:hAnsi="宋体" w:cs="宋体"/>
                <w:color w:val="auto"/>
                <w:kern w:val="2"/>
                <w:sz w:val="21"/>
                <w:szCs w:val="21"/>
                <w:shd w:val="clear" w:color="auto" w:fill="auto"/>
                <w:lang w:val="en-US" w:eastAsia="zh-CN" w:bidi="ar-SA"/>
              </w:rPr>
              <w:t>3</w:t>
            </w:r>
            <w:r>
              <w:rPr>
                <w:rStyle w:val="23"/>
                <w:rFonts w:hint="eastAsia" w:ascii="宋体" w:hAnsi="宋体" w:cs="宋体"/>
                <w:color w:val="auto"/>
                <w:kern w:val="2"/>
                <w:sz w:val="21"/>
                <w:szCs w:val="21"/>
                <w:shd w:val="clear" w:color="auto" w:fill="auto"/>
                <w:lang w:val="en-US" w:eastAsia="zh-CN" w:bidi="ar-SA"/>
              </w:rPr>
              <w:t>年以上，具有承担桥梁特殊检查（包1、包2、包3）、具有承担隧道专项检查（包4）工作经验，持有交通运输部颁发的试验试验检测师资格证书（桥梁隧道专业）</w:t>
            </w:r>
          </w:p>
        </w:tc>
        <w:tc>
          <w:tcPr>
            <w:tcW w:w="1504" w:type="dxa"/>
            <w:noWrap w:val="0"/>
            <w:vAlign w:val="center"/>
          </w:tcPr>
          <w:p w14:paraId="6A358D0A">
            <w:pPr>
              <w:pStyle w:val="49"/>
              <w:widowControl w:val="0"/>
              <w:jc w:val="center"/>
              <w:rPr>
                <w:rStyle w:val="23"/>
                <w:rFonts w:ascii="宋体" w:hAnsi="宋体" w:cs="宋体"/>
                <w:color w:val="auto"/>
                <w:kern w:val="2"/>
                <w:sz w:val="21"/>
                <w:szCs w:val="21"/>
                <w:lang w:val="en-US" w:eastAsia="zh-CN" w:bidi="ar-SA"/>
              </w:rPr>
            </w:pPr>
            <w:r>
              <w:rPr>
                <w:rStyle w:val="23"/>
                <w:rFonts w:ascii="宋体" w:hAnsi="宋体" w:cs="宋体"/>
                <w:color w:val="auto"/>
                <w:kern w:val="2"/>
                <w:sz w:val="21"/>
                <w:szCs w:val="21"/>
                <w:lang w:val="en-US" w:eastAsia="zh-CN" w:bidi="ar-SA"/>
              </w:rPr>
              <w:t>4</w:t>
            </w:r>
          </w:p>
        </w:tc>
        <w:tc>
          <w:tcPr>
            <w:tcW w:w="795" w:type="dxa"/>
            <w:noWrap w:val="0"/>
            <w:vAlign w:val="top"/>
          </w:tcPr>
          <w:p w14:paraId="23072BC0">
            <w:pPr>
              <w:pStyle w:val="49"/>
              <w:widowControl w:val="0"/>
              <w:jc w:val="center"/>
              <w:rPr>
                <w:rStyle w:val="23"/>
                <w:rFonts w:ascii="宋体" w:hAnsi="宋体" w:cs="宋体"/>
                <w:color w:val="auto"/>
                <w:kern w:val="2"/>
                <w:sz w:val="21"/>
                <w:szCs w:val="21"/>
                <w:lang w:val="en-US" w:eastAsia="zh-CN" w:bidi="ar-SA"/>
              </w:rPr>
            </w:pPr>
          </w:p>
        </w:tc>
      </w:tr>
      <w:tr w14:paraId="7054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418" w:type="dxa"/>
            <w:noWrap w:val="0"/>
            <w:vAlign w:val="center"/>
          </w:tcPr>
          <w:p w14:paraId="1D88BF42">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检测员</w:t>
            </w:r>
          </w:p>
        </w:tc>
        <w:tc>
          <w:tcPr>
            <w:tcW w:w="1330" w:type="dxa"/>
            <w:noWrap w:val="0"/>
            <w:vAlign w:val="center"/>
          </w:tcPr>
          <w:p w14:paraId="5E695B0C">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助理工程师及以上</w:t>
            </w:r>
          </w:p>
        </w:tc>
        <w:tc>
          <w:tcPr>
            <w:tcW w:w="3989" w:type="dxa"/>
            <w:noWrap w:val="0"/>
            <w:vAlign w:val="center"/>
          </w:tcPr>
          <w:p w14:paraId="401DCBE8">
            <w:pPr>
              <w:pStyle w:val="49"/>
              <w:widowControl w:val="0"/>
              <w:jc w:val="left"/>
              <w:rPr>
                <w:rStyle w:val="23"/>
                <w:rFonts w:ascii="宋体" w:hAnsi="宋体" w:cs="宋体"/>
                <w:color w:val="auto"/>
                <w:kern w:val="2"/>
                <w:sz w:val="21"/>
                <w:szCs w:val="21"/>
                <w:shd w:val="clear" w:color="auto" w:fill="auto"/>
                <w:lang w:val="en-US" w:eastAsia="zh-CN" w:bidi="ar-SA"/>
              </w:rPr>
            </w:pPr>
            <w:r>
              <w:rPr>
                <w:rStyle w:val="23"/>
                <w:rFonts w:hint="eastAsia" w:ascii="宋体" w:hAnsi="宋体" w:cs="宋体"/>
                <w:color w:val="auto"/>
                <w:kern w:val="2"/>
                <w:sz w:val="21"/>
                <w:szCs w:val="21"/>
                <w:shd w:val="clear" w:color="auto" w:fill="auto"/>
                <w:lang w:val="en-US" w:eastAsia="zh-CN" w:bidi="ar-SA"/>
              </w:rPr>
              <w:t>从事路桥专业工作</w:t>
            </w:r>
            <w:r>
              <w:rPr>
                <w:rStyle w:val="23"/>
                <w:rFonts w:ascii="宋体" w:hAnsi="宋体" w:cs="宋体"/>
                <w:color w:val="auto"/>
                <w:kern w:val="2"/>
                <w:sz w:val="21"/>
                <w:szCs w:val="21"/>
                <w:shd w:val="clear" w:color="auto" w:fill="auto"/>
                <w:lang w:val="en-US" w:eastAsia="zh-CN" w:bidi="ar-SA"/>
              </w:rPr>
              <w:t>1</w:t>
            </w:r>
            <w:r>
              <w:rPr>
                <w:rStyle w:val="23"/>
                <w:rFonts w:hint="eastAsia" w:ascii="宋体" w:hAnsi="宋体" w:cs="宋体"/>
                <w:color w:val="auto"/>
                <w:kern w:val="2"/>
                <w:sz w:val="21"/>
                <w:szCs w:val="21"/>
                <w:shd w:val="clear" w:color="auto" w:fill="auto"/>
                <w:lang w:val="en-US" w:eastAsia="zh-CN" w:bidi="ar-SA"/>
              </w:rPr>
              <w:t>年以上，具有承担桥梁特殊检查（包1、包2、包3）、具有承担隧道专项检查（包4）工作经验，持有交通运输部颁发的助理试验检测师或以上等级资格证书（桥梁隧道专业）</w:t>
            </w:r>
          </w:p>
        </w:tc>
        <w:tc>
          <w:tcPr>
            <w:tcW w:w="1504" w:type="dxa"/>
            <w:noWrap w:val="0"/>
            <w:vAlign w:val="center"/>
          </w:tcPr>
          <w:p w14:paraId="4C074F47">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2</w:t>
            </w:r>
          </w:p>
        </w:tc>
        <w:tc>
          <w:tcPr>
            <w:tcW w:w="795" w:type="dxa"/>
            <w:noWrap w:val="0"/>
            <w:vAlign w:val="top"/>
          </w:tcPr>
          <w:p w14:paraId="71523B87">
            <w:pPr>
              <w:pStyle w:val="49"/>
              <w:widowControl w:val="0"/>
              <w:jc w:val="center"/>
              <w:rPr>
                <w:rStyle w:val="23"/>
                <w:rFonts w:ascii="宋体" w:hAnsi="宋体" w:cs="宋体"/>
                <w:color w:val="auto"/>
                <w:kern w:val="2"/>
                <w:sz w:val="21"/>
                <w:szCs w:val="21"/>
                <w:lang w:val="en-US" w:eastAsia="zh-CN" w:bidi="ar-SA"/>
              </w:rPr>
            </w:pPr>
          </w:p>
        </w:tc>
      </w:tr>
    </w:tbl>
    <w:p w14:paraId="04771751">
      <w:pPr>
        <w:pStyle w:val="49"/>
        <w:spacing w:line="360" w:lineRule="auto"/>
        <w:jc w:val="left"/>
        <w:rPr>
          <w:rStyle w:val="23"/>
          <w:rFonts w:ascii="宋体" w:hAnsi="宋体" w:cs="宋体"/>
          <w:b/>
          <w:color w:val="auto"/>
          <w:szCs w:val="21"/>
        </w:rPr>
      </w:pPr>
      <w:r>
        <w:rPr>
          <w:rStyle w:val="23"/>
          <w:rFonts w:hint="eastAsia" w:ascii="宋体" w:hAnsi="宋体" w:cs="宋体"/>
          <w:b/>
          <w:color w:val="auto"/>
          <w:szCs w:val="21"/>
        </w:rPr>
        <w:t>备注：</w:t>
      </w:r>
    </w:p>
    <w:p w14:paraId="247D97B6">
      <w:pPr>
        <w:pStyle w:val="49"/>
        <w:adjustRightInd w:val="0"/>
        <w:snapToGrid w:val="0"/>
        <w:spacing w:line="360" w:lineRule="auto"/>
        <w:rPr>
          <w:rStyle w:val="23"/>
          <w:rFonts w:ascii="宋体" w:hAnsi="宋体" w:cs="宋体"/>
          <w:bCs/>
          <w:color w:val="auto"/>
          <w:szCs w:val="21"/>
        </w:rPr>
      </w:pPr>
      <w:r>
        <w:rPr>
          <w:rStyle w:val="23"/>
          <w:rFonts w:hint="eastAsia" w:ascii="宋体" w:hAnsi="宋体" w:cs="宋体"/>
          <w:bCs/>
          <w:color w:val="auto"/>
          <w:szCs w:val="21"/>
        </w:rPr>
        <w:t>（1）从事路桥专业工作时间确定方式：如所学专业是公路工程相关专业，以毕业时间的年限起算；如非公路工程相关专业，以该人员获取本专业（或机关）职称证书、注册资格证书的年限起算；</w:t>
      </w:r>
    </w:p>
    <w:p w14:paraId="46F600B2">
      <w:pPr>
        <w:pStyle w:val="49"/>
        <w:adjustRightInd w:val="0"/>
        <w:snapToGrid w:val="0"/>
        <w:spacing w:line="360" w:lineRule="auto"/>
        <w:rPr>
          <w:rStyle w:val="23"/>
          <w:rFonts w:ascii="Times New Roman" w:hAnsi="Times New Roman"/>
          <w:bCs/>
          <w:color w:val="auto"/>
        </w:rPr>
      </w:pPr>
      <w:r>
        <w:rPr>
          <w:rStyle w:val="23"/>
          <w:rFonts w:hint="eastAsia" w:ascii="宋体" w:hAnsi="宋体" w:cs="宋体"/>
          <w:bCs/>
          <w:color w:val="auto"/>
          <w:szCs w:val="21"/>
        </w:rPr>
        <w:t>（2）桥梁特殊检查（或隧道专项检查）相关工作经验须提供</w:t>
      </w:r>
      <w:r>
        <w:rPr>
          <w:rStyle w:val="23"/>
          <w:rFonts w:hint="eastAsia" w:ascii="宋体" w:hAnsi="宋体" w:cs="宋体"/>
          <w:bCs/>
          <w:color w:val="auto"/>
        </w:rPr>
        <w:t>项目</w:t>
      </w:r>
      <w:r>
        <w:rPr>
          <w:rStyle w:val="23"/>
          <w:rFonts w:ascii="宋体" w:hAnsi="宋体" w:cs="宋体"/>
          <w:bCs/>
          <w:color w:val="auto"/>
        </w:rPr>
        <w:t>合同扫描件和完工证明材料或验收文件</w:t>
      </w:r>
      <w:r>
        <w:rPr>
          <w:rStyle w:val="23"/>
          <w:rFonts w:hint="eastAsia" w:ascii="宋体" w:hAnsi="宋体" w:cs="宋体"/>
          <w:bCs/>
          <w:color w:val="auto"/>
        </w:rPr>
        <w:t>扫描件，</w:t>
      </w:r>
      <w:r>
        <w:rPr>
          <w:rStyle w:val="23"/>
          <w:rFonts w:ascii="宋体" w:hAnsi="宋体" w:cs="宋体"/>
          <w:color w:val="auto"/>
          <w:kern w:val="0"/>
        </w:rPr>
        <w:t>如</w:t>
      </w:r>
      <w:r>
        <w:rPr>
          <w:rStyle w:val="23"/>
          <w:rFonts w:hint="eastAsia" w:ascii="宋体" w:hAnsi="宋体" w:cs="宋体"/>
          <w:color w:val="auto"/>
          <w:kern w:val="0"/>
        </w:rPr>
        <w:t>上述证明材料</w:t>
      </w:r>
      <w:r>
        <w:rPr>
          <w:rStyle w:val="23"/>
          <w:rFonts w:ascii="宋体" w:hAnsi="宋体" w:cs="宋体"/>
          <w:color w:val="auto"/>
          <w:szCs w:val="24"/>
        </w:rPr>
        <w:t>不能体现上述要求的</w:t>
      </w:r>
      <w:r>
        <w:rPr>
          <w:rStyle w:val="23"/>
          <w:rFonts w:hint="eastAsia" w:ascii="宋体" w:hAnsi="宋体" w:cs="宋体"/>
          <w:color w:val="auto"/>
          <w:szCs w:val="24"/>
        </w:rPr>
        <w:t>工作经验</w:t>
      </w:r>
      <w:r>
        <w:rPr>
          <w:rStyle w:val="23"/>
          <w:rFonts w:ascii="宋体" w:hAnsi="宋体" w:cs="宋体"/>
          <w:color w:val="auto"/>
          <w:szCs w:val="24"/>
        </w:rPr>
        <w:t>时</w:t>
      </w:r>
      <w:r>
        <w:rPr>
          <w:rStyle w:val="23"/>
          <w:rFonts w:ascii="宋体" w:hAnsi="宋体" w:cs="宋体"/>
          <w:color w:val="auto"/>
          <w:kern w:val="0"/>
        </w:rPr>
        <w:t>，</w:t>
      </w:r>
      <w:r>
        <w:rPr>
          <w:rStyle w:val="23"/>
          <w:rFonts w:hint="eastAsia" w:ascii="宋体" w:hAnsi="宋体" w:cs="宋体"/>
          <w:color w:val="auto"/>
          <w:kern w:val="0"/>
        </w:rPr>
        <w:t>还须另外</w:t>
      </w:r>
      <w:r>
        <w:rPr>
          <w:rStyle w:val="23"/>
          <w:rFonts w:ascii="宋体" w:hAnsi="宋体" w:cs="宋体"/>
          <w:color w:val="auto"/>
          <w:kern w:val="0"/>
        </w:rPr>
        <w:t>提供加盖</w:t>
      </w:r>
      <w:r>
        <w:rPr>
          <w:rStyle w:val="23"/>
          <w:rFonts w:hint="eastAsia" w:ascii="宋体" w:hAnsi="宋体" w:cs="宋体"/>
          <w:color w:val="auto"/>
          <w:kern w:val="0"/>
          <w:lang w:eastAsia="zh-CN"/>
        </w:rPr>
        <w:t>采购人</w:t>
      </w:r>
      <w:r>
        <w:rPr>
          <w:rStyle w:val="23"/>
          <w:rFonts w:ascii="宋体" w:hAnsi="宋体" w:cs="宋体"/>
          <w:color w:val="auto"/>
          <w:kern w:val="0"/>
        </w:rPr>
        <w:t>公章的证明材料</w:t>
      </w:r>
      <w:r>
        <w:rPr>
          <w:rStyle w:val="23"/>
          <w:rFonts w:hint="eastAsia" w:ascii="宋体" w:hAnsi="宋体" w:cs="宋体"/>
          <w:bCs/>
          <w:color w:val="auto"/>
        </w:rPr>
        <w:t>扫描件</w:t>
      </w:r>
      <w:r>
        <w:rPr>
          <w:rStyle w:val="23"/>
          <w:rFonts w:hint="eastAsia" w:ascii="宋体" w:hAnsi="宋体" w:cs="宋体"/>
          <w:color w:val="auto"/>
          <w:kern w:val="0"/>
        </w:rPr>
        <w:t>来补充说明；</w:t>
      </w:r>
    </w:p>
    <w:p w14:paraId="74909049">
      <w:pPr>
        <w:pStyle w:val="49"/>
        <w:adjustRightInd w:val="0"/>
        <w:snapToGrid w:val="0"/>
        <w:spacing w:line="360" w:lineRule="auto"/>
        <w:rPr>
          <w:rStyle w:val="23"/>
          <w:rFonts w:ascii="宋体" w:hAnsi="宋体" w:cs="宋体"/>
          <w:bCs/>
          <w:color w:val="auto"/>
          <w:szCs w:val="21"/>
        </w:rPr>
      </w:pPr>
      <w:r>
        <w:rPr>
          <w:rStyle w:val="23"/>
          <w:rFonts w:hint="eastAsia" w:ascii="宋体" w:hAnsi="宋体" w:cs="宋体"/>
          <w:bCs/>
          <w:color w:val="auto"/>
          <w:szCs w:val="21"/>
        </w:rPr>
        <w:t>（3）公路工程相关专业含公路工程、桥梁工程、公路与桥梁工程、交通土建、隧道（地下结构）工程、交通工程，路桥、桥梁、桥隧、隧道、道路桥梁、公路与城市道路建设、土木工程（路桥方向）专业；</w:t>
      </w:r>
    </w:p>
    <w:p w14:paraId="12C25589">
      <w:pPr>
        <w:pStyle w:val="49"/>
        <w:adjustRightInd w:val="0"/>
        <w:snapToGrid w:val="0"/>
        <w:spacing w:line="360" w:lineRule="auto"/>
        <w:rPr>
          <w:rStyle w:val="23"/>
          <w:rFonts w:ascii="宋体" w:hAnsi="宋体" w:cs="宋体"/>
          <w:bCs/>
          <w:color w:val="auto"/>
          <w:szCs w:val="21"/>
        </w:rPr>
      </w:pPr>
      <w:r>
        <w:rPr>
          <w:rStyle w:val="23"/>
          <w:rFonts w:hint="eastAsia" w:ascii="宋体" w:hAnsi="宋体" w:cs="宋体"/>
          <w:bCs/>
          <w:color w:val="auto"/>
          <w:szCs w:val="21"/>
        </w:rPr>
        <w:t>（4）同一人在本项目中仅限任一个职位，人员年龄不超过60岁；</w:t>
      </w:r>
    </w:p>
    <w:p w14:paraId="6385B05B">
      <w:pPr>
        <w:pStyle w:val="49"/>
        <w:adjustRightInd w:val="0"/>
        <w:snapToGrid w:val="0"/>
        <w:spacing w:line="360" w:lineRule="auto"/>
        <w:rPr>
          <w:rStyle w:val="23"/>
          <w:rFonts w:ascii="宋体" w:hAnsi="宋体" w:cs="宋体"/>
          <w:bCs/>
          <w:color w:val="auto"/>
          <w:szCs w:val="21"/>
        </w:rPr>
      </w:pPr>
      <w:r>
        <w:rPr>
          <w:rStyle w:val="23"/>
          <w:rFonts w:hint="eastAsia" w:ascii="宋体" w:hAnsi="宋体" w:cs="宋体"/>
          <w:bCs/>
          <w:color w:val="auto"/>
          <w:szCs w:val="21"/>
        </w:rPr>
        <w:t>（5）以上所有配置人员必须与后期检测人员一致。</w:t>
      </w:r>
    </w:p>
    <w:p w14:paraId="107C7767">
      <w:pPr>
        <w:pStyle w:val="49"/>
        <w:adjustRightInd w:val="0"/>
        <w:snapToGrid w:val="0"/>
        <w:spacing w:line="360" w:lineRule="auto"/>
        <w:ind w:firstLine="422" w:firstLineChars="200"/>
        <w:rPr>
          <w:rStyle w:val="23"/>
          <w:rFonts w:ascii="宋体" w:hAnsi="宋体" w:cs="宋体"/>
          <w:b/>
          <w:color w:val="auto"/>
          <w:szCs w:val="21"/>
        </w:rPr>
      </w:pPr>
      <w:r>
        <w:rPr>
          <w:rStyle w:val="23"/>
          <w:rFonts w:hint="eastAsia" w:ascii="宋体" w:hAnsi="宋体" w:cs="宋体"/>
          <w:b/>
          <w:color w:val="auto"/>
          <w:szCs w:val="21"/>
        </w:rPr>
        <w:t>3、设备配置要求</w:t>
      </w:r>
    </w:p>
    <w:p w14:paraId="77DB5372">
      <w:pPr>
        <w:pStyle w:val="49"/>
        <w:spacing w:line="360" w:lineRule="auto"/>
        <w:ind w:firstLine="420" w:firstLineChars="200"/>
        <w:jc w:val="left"/>
        <w:rPr>
          <w:rStyle w:val="23"/>
          <w:rFonts w:ascii="宋体" w:hAnsi="宋体" w:cs="宋体"/>
          <w:b/>
          <w:color w:val="auto"/>
          <w:szCs w:val="21"/>
        </w:rPr>
      </w:pPr>
      <w:r>
        <w:rPr>
          <w:rStyle w:val="23"/>
          <w:rFonts w:hint="eastAsia" w:ascii="宋体" w:hAnsi="宋体" w:cs="宋体"/>
          <w:color w:val="auto"/>
          <w:szCs w:val="21"/>
        </w:rPr>
        <w:t>为了使试验检测技术服务工作能够保质保量的开展，顺利完成采购人委托的各项工作任务，根据项目工作量，</w:t>
      </w:r>
      <w:r>
        <w:rPr>
          <w:rStyle w:val="23"/>
          <w:rFonts w:hint="eastAsia" w:ascii="宋体" w:hAnsi="宋体" w:cs="宋体"/>
          <w:color w:val="auto"/>
          <w:szCs w:val="21"/>
          <w:lang w:eastAsia="zh-CN"/>
        </w:rPr>
        <w:t>响应</w:t>
      </w:r>
      <w:r>
        <w:rPr>
          <w:rStyle w:val="23"/>
          <w:rFonts w:hint="eastAsia" w:ascii="宋体" w:hAnsi="宋体" w:cs="宋体"/>
          <w:color w:val="auto"/>
          <w:szCs w:val="21"/>
        </w:rPr>
        <w:t>供应商投入的主要试验检测仪器设备详见下表。</w:t>
      </w:r>
    </w:p>
    <w:p w14:paraId="1A134F63">
      <w:pPr>
        <w:pStyle w:val="49"/>
        <w:spacing w:line="360" w:lineRule="auto"/>
        <w:jc w:val="center"/>
        <w:rPr>
          <w:rStyle w:val="23"/>
          <w:rFonts w:hint="eastAsia" w:ascii="宋体" w:hAnsi="宋体" w:cs="宋体"/>
          <w:b/>
          <w:color w:val="auto"/>
          <w:szCs w:val="21"/>
          <w:highlight w:val="none"/>
        </w:rPr>
      </w:pPr>
      <w:r>
        <w:rPr>
          <w:rStyle w:val="23"/>
          <w:rFonts w:hint="eastAsia" w:ascii="宋体" w:hAnsi="宋体" w:cs="宋体"/>
          <w:b/>
          <w:color w:val="auto"/>
          <w:szCs w:val="21"/>
          <w:highlight w:val="none"/>
        </w:rPr>
        <w:t>包</w:t>
      </w:r>
      <w:r>
        <w:rPr>
          <w:rStyle w:val="23"/>
          <w:rFonts w:hint="eastAsia" w:ascii="宋体" w:hAnsi="宋体" w:cs="宋体"/>
          <w:b/>
          <w:color w:val="auto"/>
          <w:szCs w:val="21"/>
          <w:highlight w:val="none"/>
          <w:lang w:val="en-US" w:eastAsia="zh-CN"/>
        </w:rPr>
        <w:t>1</w:t>
      </w:r>
      <w:r>
        <w:rPr>
          <w:rStyle w:val="23"/>
          <w:rFonts w:hint="eastAsia" w:ascii="宋体" w:hAnsi="宋体" w:cs="宋体"/>
          <w:b/>
          <w:color w:val="auto"/>
          <w:szCs w:val="21"/>
          <w:highlight w:val="none"/>
        </w:rPr>
        <w:t>、</w:t>
      </w:r>
      <w:r>
        <w:rPr>
          <w:rStyle w:val="23"/>
          <w:rFonts w:hint="eastAsia" w:ascii="宋体" w:hAnsi="宋体" w:cs="宋体"/>
          <w:b/>
          <w:color w:val="auto"/>
          <w:szCs w:val="21"/>
          <w:highlight w:val="none"/>
          <w:lang w:val="en-US" w:eastAsia="zh-CN"/>
        </w:rPr>
        <w:t>包2、包3</w:t>
      </w:r>
      <w:r>
        <w:rPr>
          <w:rStyle w:val="23"/>
          <w:rFonts w:hint="eastAsia" w:ascii="宋体" w:hAnsi="宋体" w:cs="宋体"/>
          <w:b/>
          <w:color w:val="auto"/>
          <w:szCs w:val="21"/>
          <w:highlight w:val="none"/>
        </w:rPr>
        <w:t>拟投入检测仪器设备及车辆基本要求</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2937"/>
        <w:gridCol w:w="1266"/>
        <w:gridCol w:w="3298"/>
      </w:tblGrid>
      <w:tr w14:paraId="6551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blHeader/>
          <w:jc w:val="center"/>
        </w:trPr>
        <w:tc>
          <w:tcPr>
            <w:tcW w:w="1021" w:type="dxa"/>
            <w:noWrap w:val="0"/>
            <w:vAlign w:val="center"/>
          </w:tcPr>
          <w:p w14:paraId="48B5ABE6">
            <w:pPr>
              <w:pStyle w:val="49"/>
              <w:widowControl w:val="0"/>
              <w:jc w:val="center"/>
              <w:rPr>
                <w:rStyle w:val="23"/>
                <w:rFonts w:ascii="宋体" w:hAnsi="宋体" w:cs="宋体"/>
                <w:b/>
                <w:color w:val="auto"/>
                <w:kern w:val="2"/>
                <w:sz w:val="21"/>
                <w:szCs w:val="21"/>
                <w:lang w:val="en-US" w:eastAsia="zh-CN" w:bidi="ar-SA"/>
              </w:rPr>
            </w:pPr>
            <w:r>
              <w:rPr>
                <w:rStyle w:val="23"/>
                <w:rFonts w:hint="eastAsia" w:ascii="宋体" w:hAnsi="宋体" w:cs="宋体"/>
                <w:b/>
                <w:color w:val="auto"/>
                <w:kern w:val="2"/>
                <w:sz w:val="21"/>
                <w:szCs w:val="21"/>
                <w:lang w:val="en-US" w:eastAsia="zh-CN" w:bidi="ar-SA"/>
              </w:rPr>
              <w:t>序号</w:t>
            </w:r>
          </w:p>
        </w:tc>
        <w:tc>
          <w:tcPr>
            <w:tcW w:w="2937" w:type="dxa"/>
            <w:noWrap w:val="0"/>
            <w:vAlign w:val="center"/>
          </w:tcPr>
          <w:p w14:paraId="04D3E3BA">
            <w:pPr>
              <w:pStyle w:val="49"/>
              <w:widowControl w:val="0"/>
              <w:jc w:val="center"/>
              <w:rPr>
                <w:rStyle w:val="23"/>
                <w:rFonts w:ascii="宋体" w:hAnsi="宋体" w:cs="宋体"/>
                <w:b/>
                <w:color w:val="auto"/>
                <w:kern w:val="2"/>
                <w:sz w:val="21"/>
                <w:szCs w:val="21"/>
                <w:lang w:val="en-US" w:eastAsia="zh-CN" w:bidi="ar-SA"/>
              </w:rPr>
            </w:pPr>
            <w:r>
              <w:rPr>
                <w:rStyle w:val="23"/>
                <w:rFonts w:hint="eastAsia" w:ascii="宋体" w:hAnsi="宋体" w:cs="宋体"/>
                <w:b/>
                <w:color w:val="auto"/>
                <w:kern w:val="2"/>
                <w:sz w:val="21"/>
                <w:szCs w:val="21"/>
                <w:lang w:val="en-US" w:eastAsia="zh-CN" w:bidi="ar-SA"/>
              </w:rPr>
              <w:t>仪器名称</w:t>
            </w:r>
          </w:p>
        </w:tc>
        <w:tc>
          <w:tcPr>
            <w:tcW w:w="1266" w:type="dxa"/>
            <w:noWrap w:val="0"/>
            <w:vAlign w:val="center"/>
          </w:tcPr>
          <w:p w14:paraId="0C1278FE">
            <w:pPr>
              <w:pStyle w:val="49"/>
              <w:widowControl w:val="0"/>
              <w:jc w:val="center"/>
              <w:rPr>
                <w:rStyle w:val="23"/>
                <w:rFonts w:ascii="宋体" w:hAnsi="宋体" w:cs="宋体"/>
                <w:b/>
                <w:color w:val="auto"/>
                <w:kern w:val="2"/>
                <w:sz w:val="21"/>
                <w:szCs w:val="21"/>
                <w:lang w:val="en-US" w:eastAsia="zh-CN" w:bidi="ar-SA"/>
              </w:rPr>
            </w:pPr>
            <w:r>
              <w:rPr>
                <w:rStyle w:val="23"/>
                <w:rFonts w:hint="eastAsia" w:ascii="宋体" w:hAnsi="宋体" w:cs="宋体"/>
                <w:b/>
                <w:color w:val="auto"/>
                <w:kern w:val="2"/>
                <w:sz w:val="21"/>
                <w:szCs w:val="21"/>
                <w:lang w:val="en-US" w:eastAsia="zh-CN" w:bidi="ar-SA"/>
              </w:rPr>
              <w:t>数量</w:t>
            </w:r>
          </w:p>
        </w:tc>
        <w:tc>
          <w:tcPr>
            <w:tcW w:w="3298" w:type="dxa"/>
            <w:noWrap w:val="0"/>
            <w:vAlign w:val="center"/>
          </w:tcPr>
          <w:p w14:paraId="18399ED6">
            <w:pPr>
              <w:pStyle w:val="49"/>
              <w:widowControl w:val="0"/>
              <w:jc w:val="center"/>
              <w:rPr>
                <w:rStyle w:val="23"/>
                <w:rFonts w:ascii="宋体" w:hAnsi="宋体" w:cs="宋体"/>
                <w:b/>
                <w:color w:val="auto"/>
                <w:kern w:val="2"/>
                <w:sz w:val="21"/>
                <w:szCs w:val="21"/>
                <w:lang w:val="en-US" w:eastAsia="zh-CN" w:bidi="ar-SA"/>
              </w:rPr>
            </w:pPr>
            <w:r>
              <w:rPr>
                <w:rStyle w:val="23"/>
                <w:rFonts w:hint="eastAsia" w:ascii="宋体" w:hAnsi="宋体" w:cs="宋体"/>
                <w:b/>
                <w:color w:val="auto"/>
                <w:kern w:val="2"/>
                <w:sz w:val="21"/>
                <w:szCs w:val="21"/>
                <w:lang w:val="en-US" w:eastAsia="zh-CN" w:bidi="ar-SA"/>
              </w:rPr>
              <w:t>备注</w:t>
            </w:r>
          </w:p>
        </w:tc>
      </w:tr>
      <w:tr w14:paraId="692B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604F0AF0">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w:t>
            </w:r>
          </w:p>
        </w:tc>
        <w:tc>
          <w:tcPr>
            <w:tcW w:w="2937" w:type="dxa"/>
            <w:noWrap w:val="0"/>
            <w:vAlign w:val="center"/>
          </w:tcPr>
          <w:p w14:paraId="7911D3C1">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裂缝宽度测试仪</w:t>
            </w:r>
          </w:p>
        </w:tc>
        <w:tc>
          <w:tcPr>
            <w:tcW w:w="1266" w:type="dxa"/>
            <w:noWrap w:val="0"/>
            <w:vAlign w:val="center"/>
          </w:tcPr>
          <w:p w14:paraId="2D3422E1">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1台</w:t>
            </w:r>
          </w:p>
        </w:tc>
        <w:tc>
          <w:tcPr>
            <w:tcW w:w="3298" w:type="dxa"/>
            <w:noWrap w:val="0"/>
            <w:vAlign w:val="center"/>
          </w:tcPr>
          <w:p w14:paraId="09E51E87">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w:t>
            </w:r>
          </w:p>
        </w:tc>
      </w:tr>
      <w:tr w14:paraId="1C518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6A2D3522">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2</w:t>
            </w:r>
          </w:p>
        </w:tc>
        <w:tc>
          <w:tcPr>
            <w:tcW w:w="2937" w:type="dxa"/>
            <w:noWrap w:val="0"/>
            <w:vAlign w:val="center"/>
          </w:tcPr>
          <w:p w14:paraId="77CA1676">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裂缝深度测试仪</w:t>
            </w:r>
          </w:p>
        </w:tc>
        <w:tc>
          <w:tcPr>
            <w:tcW w:w="1266" w:type="dxa"/>
            <w:noWrap w:val="0"/>
            <w:vAlign w:val="center"/>
          </w:tcPr>
          <w:p w14:paraId="42F0F4C8">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1台</w:t>
            </w:r>
          </w:p>
        </w:tc>
        <w:tc>
          <w:tcPr>
            <w:tcW w:w="3298" w:type="dxa"/>
            <w:noWrap w:val="0"/>
            <w:vAlign w:val="center"/>
          </w:tcPr>
          <w:p w14:paraId="79C257FF">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w:t>
            </w:r>
          </w:p>
        </w:tc>
      </w:tr>
      <w:tr w14:paraId="706F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5DEF1E97">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3</w:t>
            </w:r>
          </w:p>
        </w:tc>
        <w:tc>
          <w:tcPr>
            <w:tcW w:w="2937" w:type="dxa"/>
            <w:noWrap w:val="0"/>
            <w:vAlign w:val="center"/>
          </w:tcPr>
          <w:p w14:paraId="3FBDE85A">
            <w:pPr>
              <w:pStyle w:val="49"/>
              <w:widowControl/>
              <w:jc w:val="center"/>
              <w:rPr>
                <w:rStyle w:val="23"/>
                <w:rFonts w:ascii="宋体" w:hAnsi="宋体" w:cs="宋体"/>
                <w:color w:val="auto"/>
                <w:kern w:val="0"/>
                <w:sz w:val="21"/>
                <w:szCs w:val="21"/>
                <w:lang w:val="en-US" w:eastAsia="zh-CN" w:bidi="ar-SA"/>
              </w:rPr>
            </w:pPr>
            <w:r>
              <w:rPr>
                <w:rStyle w:val="23"/>
                <w:rFonts w:hint="eastAsia" w:ascii="宋体" w:hAnsi="宋体" w:cs="宋体"/>
                <w:color w:val="auto"/>
                <w:kern w:val="0"/>
                <w:sz w:val="21"/>
                <w:szCs w:val="21"/>
                <w:lang w:val="en-US" w:eastAsia="zh-CN" w:bidi="ar-SA"/>
              </w:rPr>
              <w:t>水准仪</w:t>
            </w:r>
          </w:p>
        </w:tc>
        <w:tc>
          <w:tcPr>
            <w:tcW w:w="1266" w:type="dxa"/>
            <w:noWrap w:val="0"/>
            <w:vAlign w:val="center"/>
          </w:tcPr>
          <w:p w14:paraId="7C7E45B5">
            <w:pPr>
              <w:pStyle w:val="49"/>
              <w:widowControl/>
              <w:jc w:val="center"/>
              <w:rPr>
                <w:rStyle w:val="23"/>
                <w:rFonts w:ascii="宋体" w:hAnsi="宋体" w:cs="宋体"/>
                <w:color w:val="auto"/>
                <w:kern w:val="0"/>
                <w:sz w:val="21"/>
                <w:szCs w:val="21"/>
                <w:lang w:val="en-US" w:eastAsia="zh-CN" w:bidi="ar-SA"/>
              </w:rPr>
            </w:pPr>
            <w:r>
              <w:rPr>
                <w:rStyle w:val="23"/>
                <w:rFonts w:hint="eastAsia" w:ascii="宋体" w:hAnsi="宋体" w:cs="宋体"/>
                <w:color w:val="auto"/>
                <w:kern w:val="0"/>
                <w:sz w:val="21"/>
                <w:szCs w:val="21"/>
                <w:lang w:val="en-US" w:eastAsia="zh-CN" w:bidi="ar-SA"/>
              </w:rPr>
              <w:t>1台</w:t>
            </w:r>
          </w:p>
        </w:tc>
        <w:tc>
          <w:tcPr>
            <w:tcW w:w="3298" w:type="dxa"/>
            <w:noWrap w:val="0"/>
            <w:vAlign w:val="center"/>
          </w:tcPr>
          <w:p w14:paraId="3835D1FF">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w:t>
            </w:r>
          </w:p>
        </w:tc>
      </w:tr>
      <w:tr w14:paraId="6DBD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153D1D9E">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4</w:t>
            </w:r>
          </w:p>
        </w:tc>
        <w:tc>
          <w:tcPr>
            <w:tcW w:w="2937" w:type="dxa"/>
            <w:noWrap w:val="0"/>
            <w:vAlign w:val="center"/>
          </w:tcPr>
          <w:p w14:paraId="686E32DE">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免棱镜全站仪</w:t>
            </w:r>
          </w:p>
        </w:tc>
        <w:tc>
          <w:tcPr>
            <w:tcW w:w="1266" w:type="dxa"/>
            <w:noWrap w:val="0"/>
            <w:vAlign w:val="center"/>
          </w:tcPr>
          <w:p w14:paraId="4EA7A606">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1台</w:t>
            </w:r>
          </w:p>
        </w:tc>
        <w:tc>
          <w:tcPr>
            <w:tcW w:w="3298" w:type="dxa"/>
            <w:noWrap w:val="0"/>
            <w:vAlign w:val="center"/>
          </w:tcPr>
          <w:p w14:paraId="0E7797C2">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w:t>
            </w:r>
          </w:p>
        </w:tc>
      </w:tr>
      <w:tr w14:paraId="0922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60CE93FE">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5</w:t>
            </w:r>
          </w:p>
        </w:tc>
        <w:tc>
          <w:tcPr>
            <w:tcW w:w="2937" w:type="dxa"/>
            <w:noWrap w:val="0"/>
            <w:vAlign w:val="center"/>
          </w:tcPr>
          <w:p w14:paraId="4DCED5B8">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桥梁检测车</w:t>
            </w:r>
          </w:p>
        </w:tc>
        <w:tc>
          <w:tcPr>
            <w:tcW w:w="1266" w:type="dxa"/>
            <w:noWrap w:val="0"/>
            <w:vAlign w:val="center"/>
          </w:tcPr>
          <w:p w14:paraId="6A09C176">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1台</w:t>
            </w:r>
          </w:p>
        </w:tc>
        <w:tc>
          <w:tcPr>
            <w:tcW w:w="3298" w:type="dxa"/>
            <w:noWrap w:val="0"/>
            <w:vAlign w:val="center"/>
          </w:tcPr>
          <w:p w14:paraId="5B632FDE">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w:t>
            </w:r>
          </w:p>
        </w:tc>
      </w:tr>
      <w:tr w14:paraId="5F041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0B730AE9">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6</w:t>
            </w:r>
          </w:p>
        </w:tc>
        <w:tc>
          <w:tcPr>
            <w:tcW w:w="2937" w:type="dxa"/>
            <w:noWrap w:val="0"/>
            <w:vAlign w:val="center"/>
          </w:tcPr>
          <w:p w14:paraId="5B486DEC">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水下检测设备（至少具备推进系统、照明系统、摄像系统，如水下机器人等）</w:t>
            </w:r>
          </w:p>
        </w:tc>
        <w:tc>
          <w:tcPr>
            <w:tcW w:w="1266" w:type="dxa"/>
            <w:noWrap w:val="0"/>
            <w:vAlign w:val="center"/>
          </w:tcPr>
          <w:p w14:paraId="01435396">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1台</w:t>
            </w:r>
          </w:p>
        </w:tc>
        <w:tc>
          <w:tcPr>
            <w:tcW w:w="3298" w:type="dxa"/>
            <w:noWrap w:val="0"/>
            <w:vAlign w:val="center"/>
          </w:tcPr>
          <w:p w14:paraId="6D0FD86E">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自有或租赁</w:t>
            </w:r>
          </w:p>
        </w:tc>
      </w:tr>
      <w:tr w14:paraId="49D9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0B483ABD">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7</w:t>
            </w:r>
          </w:p>
        </w:tc>
        <w:tc>
          <w:tcPr>
            <w:tcW w:w="2937" w:type="dxa"/>
            <w:noWrap w:val="0"/>
            <w:vAlign w:val="center"/>
          </w:tcPr>
          <w:p w14:paraId="03C55B4C">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无人机</w:t>
            </w:r>
          </w:p>
        </w:tc>
        <w:tc>
          <w:tcPr>
            <w:tcW w:w="1266" w:type="dxa"/>
            <w:noWrap w:val="0"/>
            <w:vAlign w:val="center"/>
          </w:tcPr>
          <w:p w14:paraId="7A57373C">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1台</w:t>
            </w:r>
          </w:p>
        </w:tc>
        <w:tc>
          <w:tcPr>
            <w:tcW w:w="3298" w:type="dxa"/>
            <w:noWrap w:val="0"/>
            <w:vAlign w:val="center"/>
          </w:tcPr>
          <w:p w14:paraId="67DCDAD9">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自有或租赁</w:t>
            </w:r>
          </w:p>
        </w:tc>
      </w:tr>
      <w:tr w14:paraId="7D25D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6237C015">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8</w:t>
            </w:r>
          </w:p>
        </w:tc>
        <w:tc>
          <w:tcPr>
            <w:tcW w:w="2937" w:type="dxa"/>
            <w:noWrap w:val="0"/>
            <w:vAlign w:val="center"/>
          </w:tcPr>
          <w:p w14:paraId="753244E4">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工作车辆</w:t>
            </w:r>
          </w:p>
        </w:tc>
        <w:tc>
          <w:tcPr>
            <w:tcW w:w="1266" w:type="dxa"/>
            <w:noWrap w:val="0"/>
            <w:vAlign w:val="center"/>
          </w:tcPr>
          <w:p w14:paraId="6A9BA34A">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2台</w:t>
            </w:r>
          </w:p>
        </w:tc>
        <w:tc>
          <w:tcPr>
            <w:tcW w:w="3298" w:type="dxa"/>
            <w:noWrap w:val="0"/>
            <w:vAlign w:val="center"/>
          </w:tcPr>
          <w:p w14:paraId="2B2484E3">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满足工作需要</w:t>
            </w:r>
          </w:p>
        </w:tc>
      </w:tr>
    </w:tbl>
    <w:p w14:paraId="0A676931">
      <w:pPr>
        <w:pStyle w:val="49"/>
        <w:spacing w:line="360" w:lineRule="auto"/>
        <w:jc w:val="center"/>
        <w:rPr>
          <w:rStyle w:val="23"/>
          <w:rFonts w:hint="eastAsia" w:ascii="宋体" w:hAnsi="宋体" w:cs="宋体"/>
          <w:b/>
          <w:color w:val="auto"/>
          <w:szCs w:val="21"/>
          <w:highlight w:val="none"/>
        </w:rPr>
      </w:pPr>
    </w:p>
    <w:p w14:paraId="4BF4D9B7">
      <w:pPr>
        <w:pStyle w:val="49"/>
        <w:spacing w:line="360" w:lineRule="auto"/>
        <w:jc w:val="center"/>
        <w:rPr>
          <w:rStyle w:val="23"/>
          <w:rFonts w:hint="eastAsia" w:ascii="宋体" w:hAnsi="宋体" w:cs="宋体"/>
          <w:b/>
          <w:color w:val="auto"/>
          <w:szCs w:val="21"/>
          <w:highlight w:val="none"/>
        </w:rPr>
      </w:pPr>
      <w:r>
        <w:rPr>
          <w:rStyle w:val="23"/>
          <w:rFonts w:hint="eastAsia" w:ascii="宋体" w:hAnsi="宋体" w:cs="宋体"/>
          <w:b/>
          <w:color w:val="auto"/>
          <w:szCs w:val="21"/>
          <w:highlight w:val="none"/>
        </w:rPr>
        <w:t>包</w:t>
      </w:r>
      <w:r>
        <w:rPr>
          <w:rStyle w:val="23"/>
          <w:rFonts w:hint="eastAsia" w:ascii="宋体" w:hAnsi="宋体" w:cs="宋体"/>
          <w:b/>
          <w:color w:val="auto"/>
          <w:szCs w:val="21"/>
          <w:highlight w:val="none"/>
          <w:lang w:val="en-US" w:eastAsia="zh-CN"/>
        </w:rPr>
        <w:t>4</w:t>
      </w:r>
      <w:r>
        <w:rPr>
          <w:rStyle w:val="23"/>
          <w:rFonts w:hint="eastAsia" w:ascii="宋体" w:hAnsi="宋体" w:cs="宋体"/>
          <w:b/>
          <w:color w:val="auto"/>
          <w:szCs w:val="21"/>
          <w:highlight w:val="none"/>
        </w:rPr>
        <w:t>、拟投入检测仪器设备及车辆基本要求</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2937"/>
        <w:gridCol w:w="1266"/>
        <w:gridCol w:w="3298"/>
      </w:tblGrid>
      <w:tr w14:paraId="5EAE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blHeader/>
          <w:jc w:val="center"/>
        </w:trPr>
        <w:tc>
          <w:tcPr>
            <w:tcW w:w="1021" w:type="dxa"/>
            <w:noWrap w:val="0"/>
            <w:vAlign w:val="center"/>
          </w:tcPr>
          <w:p w14:paraId="31CA08DA">
            <w:pPr>
              <w:pStyle w:val="49"/>
              <w:widowControl w:val="0"/>
              <w:jc w:val="center"/>
              <w:rPr>
                <w:rStyle w:val="23"/>
                <w:rFonts w:ascii="宋体" w:hAnsi="宋体" w:cs="宋体"/>
                <w:b/>
                <w:color w:val="auto"/>
                <w:kern w:val="2"/>
                <w:sz w:val="21"/>
                <w:szCs w:val="21"/>
                <w:lang w:val="en-US" w:eastAsia="zh-CN" w:bidi="ar-SA"/>
              </w:rPr>
            </w:pPr>
            <w:r>
              <w:rPr>
                <w:rStyle w:val="23"/>
                <w:rFonts w:hint="eastAsia" w:ascii="宋体" w:hAnsi="宋体" w:cs="宋体"/>
                <w:b/>
                <w:color w:val="auto"/>
                <w:kern w:val="2"/>
                <w:sz w:val="21"/>
                <w:szCs w:val="21"/>
                <w:lang w:val="en-US" w:eastAsia="zh-CN" w:bidi="ar-SA"/>
              </w:rPr>
              <w:t>序号</w:t>
            </w:r>
          </w:p>
        </w:tc>
        <w:tc>
          <w:tcPr>
            <w:tcW w:w="2937" w:type="dxa"/>
            <w:noWrap w:val="0"/>
            <w:vAlign w:val="center"/>
          </w:tcPr>
          <w:p w14:paraId="01A28AC9">
            <w:pPr>
              <w:pStyle w:val="49"/>
              <w:widowControl w:val="0"/>
              <w:jc w:val="center"/>
              <w:rPr>
                <w:rStyle w:val="23"/>
                <w:rFonts w:ascii="宋体" w:hAnsi="宋体" w:cs="宋体"/>
                <w:b/>
                <w:color w:val="auto"/>
                <w:kern w:val="2"/>
                <w:sz w:val="21"/>
                <w:szCs w:val="21"/>
                <w:lang w:val="en-US" w:eastAsia="zh-CN" w:bidi="ar-SA"/>
              </w:rPr>
            </w:pPr>
            <w:r>
              <w:rPr>
                <w:rStyle w:val="23"/>
                <w:rFonts w:hint="eastAsia" w:ascii="宋体" w:hAnsi="宋体" w:cs="宋体"/>
                <w:b/>
                <w:color w:val="auto"/>
                <w:kern w:val="2"/>
                <w:sz w:val="21"/>
                <w:szCs w:val="21"/>
                <w:lang w:val="en-US" w:eastAsia="zh-CN" w:bidi="ar-SA"/>
              </w:rPr>
              <w:t>仪器名称</w:t>
            </w:r>
          </w:p>
        </w:tc>
        <w:tc>
          <w:tcPr>
            <w:tcW w:w="1266" w:type="dxa"/>
            <w:noWrap w:val="0"/>
            <w:vAlign w:val="center"/>
          </w:tcPr>
          <w:p w14:paraId="41A125FE">
            <w:pPr>
              <w:pStyle w:val="49"/>
              <w:widowControl w:val="0"/>
              <w:jc w:val="center"/>
              <w:rPr>
                <w:rStyle w:val="23"/>
                <w:rFonts w:ascii="宋体" w:hAnsi="宋体" w:cs="宋体"/>
                <w:b/>
                <w:color w:val="auto"/>
                <w:kern w:val="2"/>
                <w:sz w:val="21"/>
                <w:szCs w:val="21"/>
                <w:lang w:val="en-US" w:eastAsia="zh-CN" w:bidi="ar-SA"/>
              </w:rPr>
            </w:pPr>
            <w:r>
              <w:rPr>
                <w:rStyle w:val="23"/>
                <w:rFonts w:hint="eastAsia" w:ascii="宋体" w:hAnsi="宋体" w:cs="宋体"/>
                <w:b/>
                <w:color w:val="auto"/>
                <w:kern w:val="2"/>
                <w:sz w:val="21"/>
                <w:szCs w:val="21"/>
                <w:lang w:val="en-US" w:eastAsia="zh-CN" w:bidi="ar-SA"/>
              </w:rPr>
              <w:t>数量</w:t>
            </w:r>
          </w:p>
        </w:tc>
        <w:tc>
          <w:tcPr>
            <w:tcW w:w="3298" w:type="dxa"/>
            <w:noWrap w:val="0"/>
            <w:vAlign w:val="center"/>
          </w:tcPr>
          <w:p w14:paraId="106DD0B2">
            <w:pPr>
              <w:pStyle w:val="49"/>
              <w:widowControl w:val="0"/>
              <w:jc w:val="center"/>
              <w:rPr>
                <w:rStyle w:val="23"/>
                <w:rFonts w:ascii="宋体" w:hAnsi="宋体" w:cs="宋体"/>
                <w:b/>
                <w:color w:val="auto"/>
                <w:kern w:val="2"/>
                <w:sz w:val="21"/>
                <w:szCs w:val="21"/>
                <w:lang w:val="en-US" w:eastAsia="zh-CN" w:bidi="ar-SA"/>
              </w:rPr>
            </w:pPr>
            <w:r>
              <w:rPr>
                <w:rStyle w:val="23"/>
                <w:rFonts w:hint="eastAsia" w:ascii="宋体" w:hAnsi="宋体" w:cs="宋体"/>
                <w:b/>
                <w:color w:val="auto"/>
                <w:kern w:val="2"/>
                <w:sz w:val="21"/>
                <w:szCs w:val="21"/>
                <w:lang w:val="en-US" w:eastAsia="zh-CN" w:bidi="ar-SA"/>
              </w:rPr>
              <w:t>备注</w:t>
            </w:r>
          </w:p>
        </w:tc>
      </w:tr>
      <w:tr w14:paraId="0027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522" w:type="dxa"/>
            <w:gridSpan w:val="4"/>
            <w:noWrap w:val="0"/>
            <w:vAlign w:val="center"/>
          </w:tcPr>
          <w:p w14:paraId="485E38DD">
            <w:pPr>
              <w:pStyle w:val="49"/>
              <w:widowControl w:val="0"/>
              <w:jc w:val="both"/>
              <w:rPr>
                <w:rStyle w:val="23"/>
                <w:rFonts w:ascii="宋体" w:hAnsi="宋体" w:cs="宋体"/>
                <w:color w:val="auto"/>
                <w:kern w:val="2"/>
                <w:sz w:val="21"/>
                <w:szCs w:val="21"/>
                <w:lang w:val="en-US" w:eastAsia="zh-CN" w:bidi="ar-SA"/>
              </w:rPr>
            </w:pPr>
            <w:r>
              <w:rPr>
                <w:rStyle w:val="23"/>
                <w:rFonts w:hint="eastAsia" w:ascii="宋体" w:hAnsi="宋体" w:cs="宋体"/>
                <w:b/>
                <w:strike/>
                <w:color w:val="auto"/>
                <w:kern w:val="2"/>
                <w:sz w:val="21"/>
                <w:szCs w:val="21"/>
                <w:lang w:val="en-US" w:eastAsia="zh-CN" w:bidi="ar-SA"/>
              </w:rPr>
              <w:t>一</w:t>
            </w:r>
            <w:r>
              <w:rPr>
                <w:rStyle w:val="23"/>
                <w:rFonts w:hint="eastAsia" w:ascii="宋体" w:hAnsi="宋体" w:cs="宋体"/>
                <w:b/>
                <w:color w:val="auto"/>
                <w:kern w:val="2"/>
                <w:sz w:val="21"/>
                <w:szCs w:val="21"/>
                <w:lang w:val="en-US" w:eastAsia="zh-CN" w:bidi="ar-SA"/>
              </w:rPr>
              <w:t>、隧道检测设备</w:t>
            </w:r>
          </w:p>
        </w:tc>
      </w:tr>
      <w:tr w14:paraId="49082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6FBABBB3">
            <w:pPr>
              <w:pStyle w:val="49"/>
              <w:widowControl w:val="0"/>
              <w:jc w:val="center"/>
              <w:rPr>
                <w:rStyle w:val="23"/>
                <w:rFonts w:ascii="宋体" w:hAnsi="宋体" w:cs="宋体"/>
                <w:color w:val="auto"/>
                <w:kern w:val="2"/>
                <w:sz w:val="21"/>
                <w:szCs w:val="21"/>
                <w:lang w:val="en-US" w:eastAsia="zh-CN" w:bidi="ar-SA"/>
              </w:rPr>
            </w:pPr>
            <w:r>
              <w:rPr>
                <w:rStyle w:val="23"/>
                <w:rFonts w:ascii="宋体" w:hAnsi="宋体" w:cs="宋体"/>
                <w:color w:val="auto"/>
                <w:kern w:val="2"/>
                <w:sz w:val="21"/>
                <w:szCs w:val="21"/>
                <w:lang w:val="en-US" w:eastAsia="zh-CN" w:bidi="ar-SA"/>
              </w:rPr>
              <w:t>1</w:t>
            </w:r>
          </w:p>
        </w:tc>
        <w:tc>
          <w:tcPr>
            <w:tcW w:w="2937" w:type="dxa"/>
            <w:noWrap w:val="0"/>
            <w:vAlign w:val="center"/>
          </w:tcPr>
          <w:p w14:paraId="31734969">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激光精准测距仪</w:t>
            </w:r>
          </w:p>
        </w:tc>
        <w:tc>
          <w:tcPr>
            <w:tcW w:w="1266" w:type="dxa"/>
            <w:noWrap w:val="0"/>
            <w:vAlign w:val="center"/>
          </w:tcPr>
          <w:p w14:paraId="73C75E95">
            <w:pPr>
              <w:pStyle w:val="49"/>
              <w:widowControl w:val="0"/>
              <w:jc w:val="center"/>
              <w:rPr>
                <w:rStyle w:val="23"/>
                <w:rFonts w:ascii="宋体" w:hAnsi="宋体" w:cs="宋体"/>
                <w:color w:val="auto"/>
                <w:kern w:val="2"/>
                <w:sz w:val="21"/>
                <w:szCs w:val="21"/>
                <w:lang w:val="en-US" w:eastAsia="zh-CN" w:bidi="ar-SA"/>
              </w:rPr>
            </w:pPr>
            <w:r>
              <w:rPr>
                <w:rStyle w:val="23"/>
                <w:rFonts w:ascii="宋体" w:hAnsi="宋体" w:cs="宋体"/>
                <w:color w:val="auto"/>
                <w:kern w:val="2"/>
                <w:sz w:val="21"/>
                <w:szCs w:val="21"/>
                <w:lang w:val="en-US" w:eastAsia="zh-CN" w:bidi="ar-SA"/>
              </w:rPr>
              <w:t>1</w:t>
            </w:r>
            <w:r>
              <w:rPr>
                <w:rStyle w:val="23"/>
                <w:rFonts w:hint="eastAsia" w:ascii="宋体" w:hAnsi="宋体" w:cs="宋体"/>
                <w:color w:val="auto"/>
                <w:kern w:val="2"/>
                <w:sz w:val="21"/>
                <w:szCs w:val="21"/>
                <w:lang w:val="en-US" w:eastAsia="zh-CN" w:bidi="ar-SA"/>
              </w:rPr>
              <w:t>台</w:t>
            </w:r>
          </w:p>
        </w:tc>
        <w:tc>
          <w:tcPr>
            <w:tcW w:w="3298" w:type="dxa"/>
            <w:noWrap w:val="0"/>
            <w:vAlign w:val="center"/>
          </w:tcPr>
          <w:p w14:paraId="448F6F5D">
            <w:pPr>
              <w:pStyle w:val="49"/>
              <w:widowControl w:val="0"/>
              <w:jc w:val="center"/>
              <w:rPr>
                <w:rStyle w:val="23"/>
                <w:rFonts w:ascii="宋体" w:hAnsi="宋体" w:cs="宋体"/>
                <w:bCs/>
                <w:iCs/>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w:t>
            </w:r>
          </w:p>
        </w:tc>
      </w:tr>
      <w:tr w14:paraId="3896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684D1994">
            <w:pPr>
              <w:pStyle w:val="49"/>
              <w:widowControl w:val="0"/>
              <w:jc w:val="center"/>
              <w:rPr>
                <w:rStyle w:val="23"/>
                <w:rFonts w:ascii="宋体" w:hAnsi="宋体" w:cs="宋体"/>
                <w:color w:val="auto"/>
                <w:kern w:val="2"/>
                <w:sz w:val="21"/>
                <w:szCs w:val="21"/>
                <w:lang w:val="en-US" w:eastAsia="zh-CN" w:bidi="ar-SA"/>
              </w:rPr>
            </w:pPr>
            <w:r>
              <w:rPr>
                <w:rStyle w:val="23"/>
                <w:rFonts w:ascii="宋体" w:hAnsi="宋体" w:cs="宋体"/>
                <w:color w:val="auto"/>
                <w:kern w:val="2"/>
                <w:sz w:val="21"/>
                <w:szCs w:val="21"/>
                <w:lang w:val="en-US" w:eastAsia="zh-CN" w:bidi="ar-SA"/>
              </w:rPr>
              <w:t>2</w:t>
            </w:r>
          </w:p>
        </w:tc>
        <w:tc>
          <w:tcPr>
            <w:tcW w:w="2937" w:type="dxa"/>
            <w:noWrap w:val="0"/>
            <w:vAlign w:val="center"/>
          </w:tcPr>
          <w:p w14:paraId="4D18F41D">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olor w:val="auto"/>
                <w:kern w:val="2"/>
                <w:sz w:val="21"/>
                <w:szCs w:val="21"/>
                <w:lang w:val="en-US" w:eastAsia="zh-CN" w:bidi="ar-SA"/>
              </w:rPr>
              <w:t>能见度测试仪</w:t>
            </w:r>
          </w:p>
        </w:tc>
        <w:tc>
          <w:tcPr>
            <w:tcW w:w="1266" w:type="dxa"/>
            <w:noWrap w:val="0"/>
            <w:vAlign w:val="center"/>
          </w:tcPr>
          <w:p w14:paraId="3E199EAA">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olor w:val="auto"/>
                <w:kern w:val="2"/>
                <w:sz w:val="21"/>
                <w:szCs w:val="21"/>
                <w:lang w:val="en-US" w:eastAsia="zh-CN" w:bidi="ar-SA"/>
              </w:rPr>
              <w:t>1套</w:t>
            </w:r>
          </w:p>
        </w:tc>
        <w:tc>
          <w:tcPr>
            <w:tcW w:w="3298" w:type="dxa"/>
            <w:noWrap w:val="0"/>
            <w:vAlign w:val="center"/>
          </w:tcPr>
          <w:p w14:paraId="60013F1E">
            <w:pPr>
              <w:pStyle w:val="49"/>
              <w:widowControl w:val="0"/>
              <w:jc w:val="center"/>
              <w:rPr>
                <w:rStyle w:val="23"/>
                <w:rFonts w:ascii="宋体" w:hAnsi="宋体" w:cs="宋体"/>
                <w:bCs/>
                <w:iCs/>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w:t>
            </w:r>
          </w:p>
        </w:tc>
      </w:tr>
      <w:tr w14:paraId="3DC4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597DC218">
            <w:pPr>
              <w:pStyle w:val="49"/>
              <w:widowControl w:val="0"/>
              <w:jc w:val="center"/>
              <w:rPr>
                <w:rStyle w:val="23"/>
                <w:rFonts w:ascii="宋体" w:hAnsi="宋体" w:cs="宋体"/>
                <w:color w:val="auto"/>
                <w:kern w:val="2"/>
                <w:sz w:val="21"/>
                <w:szCs w:val="21"/>
                <w:lang w:val="en-US" w:eastAsia="zh-CN" w:bidi="ar-SA"/>
              </w:rPr>
            </w:pPr>
            <w:r>
              <w:rPr>
                <w:rStyle w:val="23"/>
                <w:rFonts w:ascii="宋体" w:hAnsi="宋体" w:cs="宋体"/>
                <w:color w:val="auto"/>
                <w:kern w:val="2"/>
                <w:sz w:val="21"/>
                <w:szCs w:val="21"/>
                <w:lang w:val="en-US" w:eastAsia="zh-CN" w:bidi="ar-SA"/>
              </w:rPr>
              <w:t>3</w:t>
            </w:r>
          </w:p>
        </w:tc>
        <w:tc>
          <w:tcPr>
            <w:tcW w:w="2937" w:type="dxa"/>
            <w:noWrap w:val="0"/>
            <w:vAlign w:val="center"/>
          </w:tcPr>
          <w:p w14:paraId="538F9DAD">
            <w:pPr>
              <w:pStyle w:val="49"/>
              <w:widowControl w:val="0"/>
              <w:jc w:val="center"/>
              <w:rPr>
                <w:rStyle w:val="23"/>
                <w:rFonts w:ascii="宋体" w:hAnsi="宋体" w:cs="宋体"/>
                <w:color w:val="auto"/>
                <w:kern w:val="2"/>
                <w:sz w:val="21"/>
                <w:szCs w:val="21"/>
                <w:lang w:val="en-US" w:eastAsia="zh-CN" w:bidi="ar-SA"/>
              </w:rPr>
            </w:pPr>
            <w:r>
              <w:rPr>
                <w:rStyle w:val="23"/>
                <w:rFonts w:ascii="宋体" w:hAnsi="宋体"/>
                <w:color w:val="auto"/>
                <w:kern w:val="2"/>
                <w:sz w:val="21"/>
                <w:szCs w:val="21"/>
                <w:lang w:val="en-US" w:eastAsia="zh-CN" w:bidi="ar-SA"/>
              </w:rPr>
              <w:t>CO</w:t>
            </w:r>
            <w:r>
              <w:rPr>
                <w:rStyle w:val="23"/>
                <w:rFonts w:hint="eastAsia" w:ascii="宋体" w:hAnsi="宋体"/>
                <w:color w:val="auto"/>
                <w:kern w:val="2"/>
                <w:sz w:val="21"/>
                <w:szCs w:val="21"/>
                <w:lang w:val="en-US" w:eastAsia="zh-CN" w:bidi="ar-SA"/>
              </w:rPr>
              <w:t>测试仪</w:t>
            </w:r>
          </w:p>
        </w:tc>
        <w:tc>
          <w:tcPr>
            <w:tcW w:w="1266" w:type="dxa"/>
            <w:noWrap w:val="0"/>
            <w:vAlign w:val="center"/>
          </w:tcPr>
          <w:p w14:paraId="2B2FE70F">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olor w:val="auto"/>
                <w:kern w:val="2"/>
                <w:sz w:val="21"/>
                <w:szCs w:val="21"/>
                <w:lang w:val="en-US" w:eastAsia="zh-CN" w:bidi="ar-SA"/>
              </w:rPr>
              <w:t>1台</w:t>
            </w:r>
          </w:p>
        </w:tc>
        <w:tc>
          <w:tcPr>
            <w:tcW w:w="3298" w:type="dxa"/>
            <w:noWrap w:val="0"/>
            <w:vAlign w:val="center"/>
          </w:tcPr>
          <w:p w14:paraId="3DA2CB69">
            <w:pPr>
              <w:pStyle w:val="49"/>
              <w:widowControl w:val="0"/>
              <w:jc w:val="center"/>
              <w:rPr>
                <w:rStyle w:val="23"/>
                <w:rFonts w:ascii="宋体" w:hAnsi="宋体" w:cs="宋体"/>
                <w:bCs/>
                <w:iCs/>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w:t>
            </w:r>
          </w:p>
        </w:tc>
      </w:tr>
      <w:tr w14:paraId="0D9C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5F3A04A6">
            <w:pPr>
              <w:pStyle w:val="49"/>
              <w:widowControl w:val="0"/>
              <w:jc w:val="center"/>
              <w:rPr>
                <w:rStyle w:val="23"/>
                <w:rFonts w:ascii="宋体" w:hAnsi="宋体" w:cs="宋体"/>
                <w:color w:val="auto"/>
                <w:kern w:val="2"/>
                <w:sz w:val="21"/>
                <w:szCs w:val="21"/>
                <w:lang w:val="en-US" w:eastAsia="zh-CN" w:bidi="ar-SA"/>
              </w:rPr>
            </w:pPr>
            <w:r>
              <w:rPr>
                <w:rStyle w:val="23"/>
                <w:rFonts w:ascii="宋体" w:hAnsi="宋体" w:cs="宋体"/>
                <w:color w:val="auto"/>
                <w:kern w:val="2"/>
                <w:sz w:val="21"/>
                <w:szCs w:val="21"/>
                <w:lang w:val="en-US" w:eastAsia="zh-CN" w:bidi="ar-SA"/>
              </w:rPr>
              <w:t>4</w:t>
            </w:r>
          </w:p>
        </w:tc>
        <w:tc>
          <w:tcPr>
            <w:tcW w:w="2937" w:type="dxa"/>
            <w:noWrap w:val="0"/>
            <w:vAlign w:val="center"/>
          </w:tcPr>
          <w:p w14:paraId="183AED66">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olor w:val="auto"/>
                <w:kern w:val="2"/>
                <w:sz w:val="21"/>
                <w:szCs w:val="21"/>
                <w:lang w:val="en-US" w:eastAsia="zh-CN" w:bidi="ar-SA"/>
              </w:rPr>
              <w:t>兆欧表</w:t>
            </w:r>
          </w:p>
        </w:tc>
        <w:tc>
          <w:tcPr>
            <w:tcW w:w="1266" w:type="dxa"/>
            <w:noWrap w:val="0"/>
            <w:vAlign w:val="center"/>
          </w:tcPr>
          <w:p w14:paraId="5DB6F9A5">
            <w:pPr>
              <w:pStyle w:val="49"/>
              <w:widowControl w:val="0"/>
              <w:jc w:val="center"/>
              <w:rPr>
                <w:rStyle w:val="23"/>
                <w:rFonts w:ascii="宋体" w:hAnsi="宋体" w:cs="宋体"/>
                <w:color w:val="auto"/>
                <w:kern w:val="2"/>
                <w:sz w:val="21"/>
                <w:szCs w:val="21"/>
                <w:lang w:val="en-US" w:eastAsia="zh-CN" w:bidi="ar-SA"/>
              </w:rPr>
            </w:pPr>
            <w:r>
              <w:rPr>
                <w:rStyle w:val="23"/>
                <w:rFonts w:ascii="宋体" w:hAnsi="宋体"/>
                <w:color w:val="auto"/>
                <w:kern w:val="2"/>
                <w:sz w:val="21"/>
                <w:szCs w:val="21"/>
                <w:lang w:val="en-US" w:eastAsia="zh-CN" w:bidi="ar-SA"/>
              </w:rPr>
              <w:t>1</w:t>
            </w:r>
            <w:r>
              <w:rPr>
                <w:rStyle w:val="23"/>
                <w:rFonts w:hint="eastAsia" w:ascii="宋体" w:hAnsi="宋体"/>
                <w:color w:val="auto"/>
                <w:kern w:val="2"/>
                <w:sz w:val="21"/>
                <w:szCs w:val="21"/>
                <w:lang w:val="en-US" w:eastAsia="zh-CN" w:bidi="ar-SA"/>
              </w:rPr>
              <w:t>台</w:t>
            </w:r>
          </w:p>
        </w:tc>
        <w:tc>
          <w:tcPr>
            <w:tcW w:w="3298" w:type="dxa"/>
            <w:noWrap w:val="0"/>
            <w:vAlign w:val="center"/>
          </w:tcPr>
          <w:p w14:paraId="3B7B8D6B">
            <w:pPr>
              <w:pStyle w:val="49"/>
              <w:widowControl w:val="0"/>
              <w:jc w:val="center"/>
              <w:rPr>
                <w:rStyle w:val="23"/>
                <w:rFonts w:ascii="宋体" w:hAnsi="宋体" w:cs="宋体"/>
                <w:bCs/>
                <w:iCs/>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w:t>
            </w:r>
          </w:p>
        </w:tc>
      </w:tr>
      <w:tr w14:paraId="389C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2A954A89">
            <w:pPr>
              <w:pStyle w:val="49"/>
              <w:widowControl w:val="0"/>
              <w:jc w:val="center"/>
              <w:rPr>
                <w:rStyle w:val="23"/>
                <w:rFonts w:ascii="宋体" w:hAnsi="宋体" w:cs="宋体"/>
                <w:color w:val="auto"/>
                <w:kern w:val="2"/>
                <w:sz w:val="21"/>
                <w:szCs w:val="21"/>
                <w:lang w:val="en-US" w:eastAsia="zh-CN" w:bidi="ar-SA"/>
              </w:rPr>
            </w:pPr>
            <w:r>
              <w:rPr>
                <w:rStyle w:val="23"/>
                <w:rFonts w:ascii="宋体" w:hAnsi="宋体" w:cs="宋体"/>
                <w:color w:val="auto"/>
                <w:kern w:val="2"/>
                <w:sz w:val="21"/>
                <w:szCs w:val="21"/>
                <w:lang w:val="en-US" w:eastAsia="zh-CN" w:bidi="ar-SA"/>
              </w:rPr>
              <w:t>5</w:t>
            </w:r>
          </w:p>
        </w:tc>
        <w:tc>
          <w:tcPr>
            <w:tcW w:w="2937" w:type="dxa"/>
            <w:noWrap w:val="0"/>
            <w:vAlign w:val="center"/>
          </w:tcPr>
          <w:p w14:paraId="1C21A197">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olor w:val="auto"/>
                <w:kern w:val="2"/>
                <w:sz w:val="21"/>
                <w:szCs w:val="21"/>
                <w:lang w:val="en-US" w:eastAsia="zh-CN" w:bidi="ar-SA"/>
              </w:rPr>
              <w:t>声级计</w:t>
            </w:r>
          </w:p>
        </w:tc>
        <w:tc>
          <w:tcPr>
            <w:tcW w:w="1266" w:type="dxa"/>
            <w:noWrap w:val="0"/>
            <w:vAlign w:val="center"/>
          </w:tcPr>
          <w:p w14:paraId="39B284BE">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olor w:val="auto"/>
                <w:kern w:val="2"/>
                <w:sz w:val="21"/>
                <w:szCs w:val="21"/>
                <w:lang w:val="en-US" w:eastAsia="zh-CN" w:bidi="ar-SA"/>
              </w:rPr>
              <w:t>1台</w:t>
            </w:r>
          </w:p>
        </w:tc>
        <w:tc>
          <w:tcPr>
            <w:tcW w:w="3298" w:type="dxa"/>
            <w:noWrap w:val="0"/>
            <w:vAlign w:val="center"/>
          </w:tcPr>
          <w:p w14:paraId="45904313">
            <w:pPr>
              <w:pStyle w:val="49"/>
              <w:widowControl w:val="0"/>
              <w:jc w:val="center"/>
              <w:rPr>
                <w:rStyle w:val="23"/>
                <w:rFonts w:ascii="宋体" w:hAnsi="宋体" w:cs="宋体"/>
                <w:bCs/>
                <w:iCs/>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w:t>
            </w:r>
          </w:p>
        </w:tc>
      </w:tr>
      <w:tr w14:paraId="7A69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4C546293">
            <w:pPr>
              <w:pStyle w:val="49"/>
              <w:widowControl w:val="0"/>
              <w:jc w:val="center"/>
              <w:rPr>
                <w:rStyle w:val="23"/>
                <w:rFonts w:ascii="宋体" w:hAnsi="宋体" w:cs="宋体"/>
                <w:color w:val="auto"/>
                <w:kern w:val="2"/>
                <w:sz w:val="21"/>
                <w:szCs w:val="21"/>
                <w:lang w:val="en-US" w:eastAsia="zh-CN" w:bidi="ar-SA"/>
              </w:rPr>
            </w:pPr>
            <w:r>
              <w:rPr>
                <w:rStyle w:val="23"/>
                <w:rFonts w:ascii="宋体" w:hAnsi="宋体" w:cs="宋体"/>
                <w:color w:val="auto"/>
                <w:kern w:val="2"/>
                <w:sz w:val="21"/>
                <w:szCs w:val="21"/>
                <w:lang w:val="en-US" w:eastAsia="zh-CN" w:bidi="ar-SA"/>
              </w:rPr>
              <w:t>6</w:t>
            </w:r>
          </w:p>
        </w:tc>
        <w:tc>
          <w:tcPr>
            <w:tcW w:w="2937" w:type="dxa"/>
            <w:noWrap w:val="0"/>
            <w:vAlign w:val="center"/>
          </w:tcPr>
          <w:p w14:paraId="1D853A7C">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olor w:val="auto"/>
                <w:kern w:val="2"/>
                <w:sz w:val="21"/>
                <w:szCs w:val="21"/>
                <w:lang w:val="en-US" w:eastAsia="zh-CN" w:bidi="ar-SA"/>
              </w:rPr>
              <w:t>涂层测厚仪</w:t>
            </w:r>
          </w:p>
        </w:tc>
        <w:tc>
          <w:tcPr>
            <w:tcW w:w="1266" w:type="dxa"/>
            <w:noWrap w:val="0"/>
            <w:vAlign w:val="center"/>
          </w:tcPr>
          <w:p w14:paraId="513497E6">
            <w:pPr>
              <w:pStyle w:val="49"/>
              <w:widowControl w:val="0"/>
              <w:jc w:val="center"/>
              <w:rPr>
                <w:rStyle w:val="23"/>
                <w:rFonts w:ascii="宋体" w:hAnsi="宋体" w:cs="宋体"/>
                <w:color w:val="auto"/>
                <w:kern w:val="2"/>
                <w:sz w:val="21"/>
                <w:szCs w:val="21"/>
                <w:lang w:val="en-US" w:eastAsia="zh-CN" w:bidi="ar-SA"/>
              </w:rPr>
            </w:pPr>
            <w:r>
              <w:rPr>
                <w:rStyle w:val="23"/>
                <w:rFonts w:ascii="宋体" w:hAnsi="宋体"/>
                <w:color w:val="auto"/>
                <w:kern w:val="2"/>
                <w:sz w:val="21"/>
                <w:szCs w:val="21"/>
                <w:lang w:val="en-US" w:eastAsia="zh-CN" w:bidi="ar-SA"/>
              </w:rPr>
              <w:t>1</w:t>
            </w:r>
            <w:r>
              <w:rPr>
                <w:rStyle w:val="23"/>
                <w:rFonts w:hint="eastAsia" w:ascii="宋体" w:hAnsi="宋体"/>
                <w:color w:val="auto"/>
                <w:kern w:val="2"/>
                <w:sz w:val="21"/>
                <w:szCs w:val="21"/>
                <w:lang w:val="en-US" w:eastAsia="zh-CN" w:bidi="ar-SA"/>
              </w:rPr>
              <w:t>台</w:t>
            </w:r>
          </w:p>
        </w:tc>
        <w:tc>
          <w:tcPr>
            <w:tcW w:w="3298" w:type="dxa"/>
            <w:noWrap w:val="0"/>
            <w:vAlign w:val="center"/>
          </w:tcPr>
          <w:p w14:paraId="42D520B2">
            <w:pPr>
              <w:pStyle w:val="49"/>
              <w:widowControl w:val="0"/>
              <w:jc w:val="center"/>
              <w:rPr>
                <w:rStyle w:val="23"/>
                <w:rFonts w:ascii="宋体" w:hAnsi="宋体" w:cs="宋体"/>
                <w:bCs/>
                <w:iCs/>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w:t>
            </w:r>
          </w:p>
        </w:tc>
      </w:tr>
      <w:tr w14:paraId="00983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3D018718">
            <w:pPr>
              <w:pStyle w:val="49"/>
              <w:widowControl w:val="0"/>
              <w:jc w:val="center"/>
              <w:rPr>
                <w:rStyle w:val="23"/>
                <w:rFonts w:ascii="宋体" w:hAnsi="宋体" w:cs="宋体"/>
                <w:color w:val="auto"/>
                <w:kern w:val="2"/>
                <w:sz w:val="21"/>
                <w:szCs w:val="21"/>
                <w:lang w:val="en-US" w:eastAsia="zh-CN" w:bidi="ar-SA"/>
              </w:rPr>
            </w:pPr>
            <w:r>
              <w:rPr>
                <w:rStyle w:val="23"/>
                <w:rFonts w:ascii="宋体" w:hAnsi="宋体" w:cs="宋体"/>
                <w:color w:val="auto"/>
                <w:kern w:val="2"/>
                <w:sz w:val="21"/>
                <w:szCs w:val="21"/>
                <w:lang w:val="en-US" w:eastAsia="zh-CN" w:bidi="ar-SA"/>
              </w:rPr>
              <w:t>7</w:t>
            </w:r>
          </w:p>
        </w:tc>
        <w:tc>
          <w:tcPr>
            <w:tcW w:w="2937" w:type="dxa"/>
            <w:noWrap w:val="0"/>
            <w:vAlign w:val="center"/>
          </w:tcPr>
          <w:p w14:paraId="0EE25243">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olor w:val="auto"/>
                <w:kern w:val="2"/>
                <w:sz w:val="21"/>
                <w:szCs w:val="21"/>
                <w:lang w:val="en-US" w:eastAsia="zh-CN" w:bidi="ar-SA"/>
              </w:rPr>
              <w:t>照度计</w:t>
            </w:r>
          </w:p>
        </w:tc>
        <w:tc>
          <w:tcPr>
            <w:tcW w:w="1266" w:type="dxa"/>
            <w:noWrap w:val="0"/>
            <w:vAlign w:val="center"/>
          </w:tcPr>
          <w:p w14:paraId="1C319908">
            <w:pPr>
              <w:pStyle w:val="49"/>
              <w:widowControl w:val="0"/>
              <w:jc w:val="center"/>
              <w:rPr>
                <w:rStyle w:val="23"/>
                <w:rFonts w:ascii="宋体" w:hAnsi="宋体" w:cs="宋体"/>
                <w:color w:val="auto"/>
                <w:kern w:val="2"/>
                <w:sz w:val="21"/>
                <w:szCs w:val="21"/>
                <w:lang w:val="en-US" w:eastAsia="zh-CN" w:bidi="ar-SA"/>
              </w:rPr>
            </w:pPr>
            <w:r>
              <w:rPr>
                <w:rStyle w:val="23"/>
                <w:rFonts w:ascii="宋体" w:hAnsi="宋体"/>
                <w:color w:val="auto"/>
                <w:kern w:val="2"/>
                <w:sz w:val="21"/>
                <w:szCs w:val="21"/>
                <w:lang w:val="en-US" w:eastAsia="zh-CN" w:bidi="ar-SA"/>
              </w:rPr>
              <w:t>1</w:t>
            </w:r>
            <w:r>
              <w:rPr>
                <w:rStyle w:val="23"/>
                <w:rFonts w:hint="eastAsia" w:ascii="宋体" w:hAnsi="宋体"/>
                <w:color w:val="auto"/>
                <w:kern w:val="2"/>
                <w:sz w:val="21"/>
                <w:szCs w:val="21"/>
                <w:lang w:val="en-US" w:eastAsia="zh-CN" w:bidi="ar-SA"/>
              </w:rPr>
              <w:t>台</w:t>
            </w:r>
          </w:p>
        </w:tc>
        <w:tc>
          <w:tcPr>
            <w:tcW w:w="3298" w:type="dxa"/>
            <w:noWrap w:val="0"/>
            <w:vAlign w:val="center"/>
          </w:tcPr>
          <w:p w14:paraId="2ACB64A2">
            <w:pPr>
              <w:pStyle w:val="49"/>
              <w:widowControl w:val="0"/>
              <w:jc w:val="center"/>
              <w:rPr>
                <w:rStyle w:val="23"/>
                <w:rFonts w:ascii="宋体" w:hAnsi="宋体" w:cs="宋体"/>
                <w:bCs/>
                <w:iCs/>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w:t>
            </w:r>
          </w:p>
        </w:tc>
      </w:tr>
      <w:tr w14:paraId="0E78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38D74904">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8</w:t>
            </w:r>
          </w:p>
        </w:tc>
        <w:tc>
          <w:tcPr>
            <w:tcW w:w="2937" w:type="dxa"/>
            <w:noWrap w:val="0"/>
            <w:vAlign w:val="center"/>
          </w:tcPr>
          <w:p w14:paraId="26177948">
            <w:pPr>
              <w:pStyle w:val="49"/>
              <w:widowControl/>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0"/>
                <w:sz w:val="21"/>
                <w:szCs w:val="21"/>
                <w:lang w:val="en-US" w:eastAsia="zh-CN" w:bidi="ar-SA"/>
              </w:rPr>
              <w:t>隧道激光断面仪</w:t>
            </w:r>
          </w:p>
        </w:tc>
        <w:tc>
          <w:tcPr>
            <w:tcW w:w="1266" w:type="dxa"/>
            <w:noWrap w:val="0"/>
            <w:vAlign w:val="center"/>
          </w:tcPr>
          <w:p w14:paraId="102F9C13">
            <w:pPr>
              <w:pStyle w:val="49"/>
              <w:widowControl/>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0"/>
                <w:sz w:val="21"/>
                <w:szCs w:val="21"/>
                <w:lang w:val="en-US" w:eastAsia="zh-CN" w:bidi="ar-SA"/>
              </w:rPr>
              <w:t>1</w:t>
            </w:r>
            <w:r>
              <w:rPr>
                <w:rStyle w:val="23"/>
                <w:rFonts w:hint="eastAsia" w:ascii="宋体" w:hAnsi="宋体"/>
                <w:color w:val="auto"/>
                <w:kern w:val="2"/>
                <w:sz w:val="21"/>
                <w:szCs w:val="21"/>
                <w:lang w:val="en-US" w:eastAsia="zh-CN" w:bidi="ar-SA"/>
              </w:rPr>
              <w:t>台</w:t>
            </w:r>
          </w:p>
        </w:tc>
        <w:tc>
          <w:tcPr>
            <w:tcW w:w="3298" w:type="dxa"/>
            <w:noWrap w:val="0"/>
            <w:vAlign w:val="center"/>
          </w:tcPr>
          <w:p w14:paraId="29AE2A86">
            <w:pPr>
              <w:pStyle w:val="49"/>
              <w:widowControl w:val="0"/>
              <w:jc w:val="center"/>
              <w:rPr>
                <w:rStyle w:val="23"/>
                <w:rFonts w:ascii="宋体" w:hAnsi="宋体" w:cs="宋体"/>
                <w:bCs/>
                <w:iCs/>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w:t>
            </w:r>
          </w:p>
        </w:tc>
      </w:tr>
      <w:tr w14:paraId="1548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31E3559D">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9</w:t>
            </w:r>
          </w:p>
        </w:tc>
        <w:tc>
          <w:tcPr>
            <w:tcW w:w="2937" w:type="dxa"/>
            <w:noWrap w:val="0"/>
            <w:vAlign w:val="center"/>
          </w:tcPr>
          <w:p w14:paraId="32053F71">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视频系统分析仪</w:t>
            </w:r>
          </w:p>
        </w:tc>
        <w:tc>
          <w:tcPr>
            <w:tcW w:w="1266" w:type="dxa"/>
            <w:noWrap w:val="0"/>
            <w:vAlign w:val="center"/>
          </w:tcPr>
          <w:p w14:paraId="2E9696E0">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1套</w:t>
            </w:r>
          </w:p>
        </w:tc>
        <w:tc>
          <w:tcPr>
            <w:tcW w:w="3298" w:type="dxa"/>
            <w:noWrap w:val="0"/>
            <w:vAlign w:val="center"/>
          </w:tcPr>
          <w:p w14:paraId="78AE1B90">
            <w:pPr>
              <w:pStyle w:val="49"/>
              <w:widowControl w:val="0"/>
              <w:jc w:val="center"/>
              <w:rPr>
                <w:rStyle w:val="23"/>
                <w:rFonts w:ascii="宋体" w:hAnsi="宋体" w:cs="宋体"/>
                <w:bCs/>
                <w:iCs/>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自有或租赁</w:t>
            </w:r>
          </w:p>
        </w:tc>
      </w:tr>
      <w:tr w14:paraId="080CC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5B7574E6">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10</w:t>
            </w:r>
          </w:p>
        </w:tc>
        <w:tc>
          <w:tcPr>
            <w:tcW w:w="2937" w:type="dxa"/>
            <w:noWrap w:val="0"/>
            <w:vAlign w:val="center"/>
          </w:tcPr>
          <w:p w14:paraId="351DA8D5">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视频信号源</w:t>
            </w:r>
          </w:p>
        </w:tc>
        <w:tc>
          <w:tcPr>
            <w:tcW w:w="1266" w:type="dxa"/>
            <w:noWrap w:val="0"/>
            <w:vAlign w:val="center"/>
          </w:tcPr>
          <w:p w14:paraId="3206A211">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1套</w:t>
            </w:r>
          </w:p>
        </w:tc>
        <w:tc>
          <w:tcPr>
            <w:tcW w:w="3298" w:type="dxa"/>
            <w:noWrap w:val="0"/>
            <w:vAlign w:val="center"/>
          </w:tcPr>
          <w:p w14:paraId="692CAA3C">
            <w:pPr>
              <w:pStyle w:val="49"/>
              <w:widowControl w:val="0"/>
              <w:jc w:val="center"/>
              <w:rPr>
                <w:rStyle w:val="23"/>
                <w:rFonts w:ascii="宋体" w:hAnsi="宋体" w:cs="宋体"/>
                <w:bCs/>
                <w:iCs/>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自有或租赁</w:t>
            </w:r>
          </w:p>
        </w:tc>
      </w:tr>
      <w:tr w14:paraId="7560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16CE4BFA">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11</w:t>
            </w:r>
          </w:p>
        </w:tc>
        <w:tc>
          <w:tcPr>
            <w:tcW w:w="2937" w:type="dxa"/>
            <w:noWrap w:val="0"/>
            <w:vAlign w:val="center"/>
          </w:tcPr>
          <w:p w14:paraId="409EF3DA">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olor w:val="auto"/>
                <w:kern w:val="2"/>
                <w:sz w:val="21"/>
                <w:szCs w:val="21"/>
                <w:lang w:val="en-US" w:eastAsia="zh-CN" w:bidi="ar-SA"/>
              </w:rPr>
              <w:t>接地电阻测试仪</w:t>
            </w:r>
          </w:p>
        </w:tc>
        <w:tc>
          <w:tcPr>
            <w:tcW w:w="1266" w:type="dxa"/>
            <w:noWrap w:val="0"/>
            <w:vAlign w:val="center"/>
          </w:tcPr>
          <w:p w14:paraId="6D22ACFB">
            <w:pPr>
              <w:pStyle w:val="49"/>
              <w:widowControl w:val="0"/>
              <w:jc w:val="center"/>
              <w:rPr>
                <w:rStyle w:val="23"/>
                <w:rFonts w:ascii="宋体" w:hAnsi="宋体" w:cs="宋体"/>
                <w:color w:val="auto"/>
                <w:kern w:val="2"/>
                <w:sz w:val="21"/>
                <w:szCs w:val="21"/>
                <w:lang w:val="en-US" w:eastAsia="zh-CN" w:bidi="ar-SA"/>
              </w:rPr>
            </w:pPr>
            <w:r>
              <w:rPr>
                <w:rStyle w:val="23"/>
                <w:rFonts w:ascii="宋体" w:hAnsi="宋体"/>
                <w:color w:val="auto"/>
                <w:kern w:val="2"/>
                <w:sz w:val="21"/>
                <w:szCs w:val="21"/>
                <w:lang w:val="en-US" w:eastAsia="zh-CN" w:bidi="ar-SA"/>
              </w:rPr>
              <w:t>1</w:t>
            </w:r>
            <w:r>
              <w:rPr>
                <w:rStyle w:val="23"/>
                <w:rFonts w:hint="eastAsia" w:ascii="宋体" w:hAnsi="宋体" w:cs="宋体"/>
                <w:color w:val="auto"/>
                <w:kern w:val="2"/>
                <w:sz w:val="21"/>
                <w:szCs w:val="21"/>
                <w:lang w:val="en-US" w:eastAsia="zh-CN" w:bidi="ar-SA"/>
              </w:rPr>
              <w:t>套</w:t>
            </w:r>
          </w:p>
        </w:tc>
        <w:tc>
          <w:tcPr>
            <w:tcW w:w="3298" w:type="dxa"/>
            <w:noWrap w:val="0"/>
            <w:vAlign w:val="center"/>
          </w:tcPr>
          <w:p w14:paraId="5E27D789">
            <w:pPr>
              <w:pStyle w:val="49"/>
              <w:widowControl w:val="0"/>
              <w:jc w:val="center"/>
              <w:rPr>
                <w:rStyle w:val="23"/>
                <w:rFonts w:ascii="宋体" w:hAnsi="宋体" w:cs="宋体"/>
                <w:bCs/>
                <w:iCs/>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自有或租赁</w:t>
            </w:r>
          </w:p>
        </w:tc>
      </w:tr>
      <w:tr w14:paraId="28C22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0697BDC3">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12</w:t>
            </w:r>
          </w:p>
        </w:tc>
        <w:tc>
          <w:tcPr>
            <w:tcW w:w="2937" w:type="dxa"/>
            <w:noWrap w:val="0"/>
            <w:vAlign w:val="center"/>
          </w:tcPr>
          <w:p w14:paraId="2B7F3538">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电缆故障测试仪</w:t>
            </w:r>
          </w:p>
        </w:tc>
        <w:tc>
          <w:tcPr>
            <w:tcW w:w="1266" w:type="dxa"/>
            <w:noWrap w:val="0"/>
            <w:vAlign w:val="center"/>
          </w:tcPr>
          <w:p w14:paraId="6FDFCD73">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1套</w:t>
            </w:r>
          </w:p>
        </w:tc>
        <w:tc>
          <w:tcPr>
            <w:tcW w:w="3298" w:type="dxa"/>
            <w:noWrap w:val="0"/>
            <w:vAlign w:val="center"/>
          </w:tcPr>
          <w:p w14:paraId="15F0463A">
            <w:pPr>
              <w:pStyle w:val="49"/>
              <w:widowControl w:val="0"/>
              <w:jc w:val="center"/>
              <w:rPr>
                <w:rStyle w:val="23"/>
                <w:rFonts w:ascii="宋体" w:hAnsi="宋体" w:cs="宋体"/>
                <w:bCs/>
                <w:iCs/>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自有或租赁</w:t>
            </w:r>
          </w:p>
        </w:tc>
      </w:tr>
      <w:tr w14:paraId="346B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144729B2">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13</w:t>
            </w:r>
          </w:p>
        </w:tc>
        <w:tc>
          <w:tcPr>
            <w:tcW w:w="2937" w:type="dxa"/>
            <w:noWrap w:val="0"/>
            <w:vAlign w:val="center"/>
          </w:tcPr>
          <w:p w14:paraId="760A1DC9">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分光辐射亮度计</w:t>
            </w:r>
          </w:p>
        </w:tc>
        <w:tc>
          <w:tcPr>
            <w:tcW w:w="1266" w:type="dxa"/>
            <w:noWrap w:val="0"/>
            <w:vAlign w:val="center"/>
          </w:tcPr>
          <w:p w14:paraId="28D5CC38">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1套</w:t>
            </w:r>
          </w:p>
        </w:tc>
        <w:tc>
          <w:tcPr>
            <w:tcW w:w="3298" w:type="dxa"/>
            <w:noWrap w:val="0"/>
            <w:vAlign w:val="center"/>
          </w:tcPr>
          <w:p w14:paraId="57305D04">
            <w:pPr>
              <w:pStyle w:val="49"/>
              <w:widowControl w:val="0"/>
              <w:jc w:val="center"/>
              <w:rPr>
                <w:rStyle w:val="23"/>
                <w:rFonts w:ascii="宋体" w:hAnsi="宋体" w:cs="宋体"/>
                <w:bCs/>
                <w:iCs/>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自有或租赁</w:t>
            </w:r>
          </w:p>
        </w:tc>
      </w:tr>
      <w:tr w14:paraId="6FFE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787711BD">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14</w:t>
            </w:r>
          </w:p>
        </w:tc>
        <w:tc>
          <w:tcPr>
            <w:tcW w:w="2937" w:type="dxa"/>
            <w:noWrap w:val="0"/>
            <w:vAlign w:val="center"/>
          </w:tcPr>
          <w:p w14:paraId="78553109">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电能质量测试仪</w:t>
            </w:r>
          </w:p>
        </w:tc>
        <w:tc>
          <w:tcPr>
            <w:tcW w:w="1266" w:type="dxa"/>
            <w:noWrap w:val="0"/>
            <w:vAlign w:val="center"/>
          </w:tcPr>
          <w:p w14:paraId="2B4AB1D7">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1套</w:t>
            </w:r>
          </w:p>
        </w:tc>
        <w:tc>
          <w:tcPr>
            <w:tcW w:w="3298" w:type="dxa"/>
            <w:noWrap w:val="0"/>
            <w:vAlign w:val="center"/>
          </w:tcPr>
          <w:p w14:paraId="7E20AD7F">
            <w:pPr>
              <w:pStyle w:val="49"/>
              <w:widowControl w:val="0"/>
              <w:jc w:val="center"/>
              <w:rPr>
                <w:rStyle w:val="23"/>
                <w:rFonts w:ascii="宋体" w:hAnsi="宋体" w:cs="宋体"/>
                <w:bCs/>
                <w:iCs/>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自有或租赁</w:t>
            </w:r>
          </w:p>
        </w:tc>
      </w:tr>
      <w:tr w14:paraId="46A1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7E27C710">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15</w:t>
            </w:r>
          </w:p>
        </w:tc>
        <w:tc>
          <w:tcPr>
            <w:tcW w:w="2937" w:type="dxa"/>
            <w:noWrap w:val="0"/>
            <w:vAlign w:val="center"/>
          </w:tcPr>
          <w:p w14:paraId="4DDDD275">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olor w:val="auto"/>
                <w:kern w:val="2"/>
                <w:sz w:val="21"/>
                <w:szCs w:val="21"/>
                <w:lang w:val="en-US" w:eastAsia="zh-CN" w:bidi="ar-SA"/>
              </w:rPr>
              <w:t>线缆认证测试仪</w:t>
            </w:r>
          </w:p>
        </w:tc>
        <w:tc>
          <w:tcPr>
            <w:tcW w:w="1266" w:type="dxa"/>
            <w:noWrap w:val="0"/>
            <w:vAlign w:val="center"/>
          </w:tcPr>
          <w:p w14:paraId="69FAC5CC">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olor w:val="auto"/>
                <w:kern w:val="2"/>
                <w:sz w:val="21"/>
                <w:szCs w:val="21"/>
                <w:lang w:val="en-US" w:eastAsia="zh-CN" w:bidi="ar-SA"/>
              </w:rPr>
              <w:t>1</w:t>
            </w:r>
            <w:r>
              <w:rPr>
                <w:rStyle w:val="23"/>
                <w:rFonts w:hint="eastAsia" w:ascii="宋体" w:hAnsi="宋体" w:cs="宋体"/>
                <w:color w:val="auto"/>
                <w:kern w:val="2"/>
                <w:sz w:val="21"/>
                <w:szCs w:val="21"/>
                <w:lang w:val="en-US" w:eastAsia="zh-CN" w:bidi="ar-SA"/>
              </w:rPr>
              <w:t>套</w:t>
            </w:r>
          </w:p>
        </w:tc>
        <w:tc>
          <w:tcPr>
            <w:tcW w:w="3298" w:type="dxa"/>
            <w:noWrap w:val="0"/>
            <w:vAlign w:val="center"/>
          </w:tcPr>
          <w:p w14:paraId="2A25218A">
            <w:pPr>
              <w:pStyle w:val="49"/>
              <w:widowControl w:val="0"/>
              <w:jc w:val="center"/>
              <w:rPr>
                <w:rStyle w:val="23"/>
                <w:rFonts w:ascii="宋体" w:hAnsi="宋体" w:cs="宋体"/>
                <w:bCs/>
                <w:iCs/>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自有或租赁</w:t>
            </w:r>
          </w:p>
        </w:tc>
      </w:tr>
      <w:tr w14:paraId="0607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7CDA5A2C">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16</w:t>
            </w:r>
          </w:p>
        </w:tc>
        <w:tc>
          <w:tcPr>
            <w:tcW w:w="2937" w:type="dxa"/>
            <w:noWrap w:val="0"/>
            <w:vAlign w:val="center"/>
          </w:tcPr>
          <w:p w14:paraId="3D24F98D">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olor w:val="auto"/>
                <w:kern w:val="2"/>
                <w:sz w:val="21"/>
                <w:szCs w:val="21"/>
                <w:lang w:val="en-US" w:eastAsia="zh-CN" w:bidi="ar-SA"/>
              </w:rPr>
              <w:t>相位表</w:t>
            </w:r>
          </w:p>
        </w:tc>
        <w:tc>
          <w:tcPr>
            <w:tcW w:w="1266" w:type="dxa"/>
            <w:noWrap w:val="0"/>
            <w:vAlign w:val="center"/>
          </w:tcPr>
          <w:p w14:paraId="23D321E2">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olor w:val="auto"/>
                <w:kern w:val="2"/>
                <w:sz w:val="21"/>
                <w:szCs w:val="21"/>
                <w:lang w:val="en-US" w:eastAsia="zh-CN" w:bidi="ar-SA"/>
              </w:rPr>
              <w:t>1</w:t>
            </w:r>
            <w:r>
              <w:rPr>
                <w:rStyle w:val="23"/>
                <w:rFonts w:hint="eastAsia" w:ascii="宋体" w:hAnsi="宋体" w:cs="宋体"/>
                <w:color w:val="auto"/>
                <w:kern w:val="2"/>
                <w:sz w:val="21"/>
                <w:szCs w:val="21"/>
                <w:lang w:val="en-US" w:eastAsia="zh-CN" w:bidi="ar-SA"/>
              </w:rPr>
              <w:t>套</w:t>
            </w:r>
          </w:p>
        </w:tc>
        <w:tc>
          <w:tcPr>
            <w:tcW w:w="3298" w:type="dxa"/>
            <w:noWrap w:val="0"/>
            <w:vAlign w:val="center"/>
          </w:tcPr>
          <w:p w14:paraId="569AEE49">
            <w:pPr>
              <w:pStyle w:val="49"/>
              <w:widowControl w:val="0"/>
              <w:jc w:val="center"/>
              <w:rPr>
                <w:rStyle w:val="23"/>
                <w:rFonts w:ascii="宋体" w:hAnsi="宋体" w:cs="宋体"/>
                <w:bCs/>
                <w:iCs/>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自有或租赁</w:t>
            </w:r>
          </w:p>
        </w:tc>
      </w:tr>
      <w:tr w14:paraId="351F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21" w:type="dxa"/>
            <w:noWrap w:val="0"/>
            <w:vAlign w:val="center"/>
          </w:tcPr>
          <w:p w14:paraId="410BDBA5">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17</w:t>
            </w:r>
          </w:p>
        </w:tc>
        <w:tc>
          <w:tcPr>
            <w:tcW w:w="2937" w:type="dxa"/>
            <w:noWrap w:val="0"/>
            <w:vAlign w:val="center"/>
          </w:tcPr>
          <w:p w14:paraId="6F27063B">
            <w:pPr>
              <w:pStyle w:val="49"/>
              <w:widowControl w:val="0"/>
              <w:jc w:val="center"/>
              <w:rPr>
                <w:rStyle w:val="23"/>
                <w:rFonts w:ascii="宋体" w:hAnsi="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工作车辆</w:t>
            </w:r>
          </w:p>
        </w:tc>
        <w:tc>
          <w:tcPr>
            <w:tcW w:w="1266" w:type="dxa"/>
            <w:noWrap w:val="0"/>
            <w:vAlign w:val="center"/>
          </w:tcPr>
          <w:p w14:paraId="510F53E5">
            <w:pPr>
              <w:pStyle w:val="49"/>
              <w:widowControl w:val="0"/>
              <w:jc w:val="center"/>
              <w:rPr>
                <w:rStyle w:val="23"/>
                <w:rFonts w:ascii="宋体" w:hAnsi="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1台</w:t>
            </w:r>
          </w:p>
        </w:tc>
        <w:tc>
          <w:tcPr>
            <w:tcW w:w="3298" w:type="dxa"/>
            <w:noWrap w:val="0"/>
            <w:vAlign w:val="center"/>
          </w:tcPr>
          <w:p w14:paraId="23FE4498">
            <w:pPr>
              <w:pStyle w:val="49"/>
              <w:widowControl w:val="0"/>
              <w:jc w:val="center"/>
              <w:rPr>
                <w:rStyle w:val="23"/>
                <w:rFonts w:ascii="宋体" w:hAnsi="宋体" w:cs="宋体"/>
                <w:color w:val="auto"/>
                <w:kern w:val="2"/>
                <w:sz w:val="21"/>
                <w:szCs w:val="21"/>
                <w:lang w:val="en-US" w:eastAsia="zh-CN" w:bidi="ar-SA"/>
              </w:rPr>
            </w:pPr>
            <w:r>
              <w:rPr>
                <w:rStyle w:val="23"/>
                <w:rFonts w:hint="eastAsia" w:ascii="宋体" w:hAnsi="宋体" w:cs="宋体"/>
                <w:color w:val="auto"/>
                <w:kern w:val="2"/>
                <w:sz w:val="21"/>
                <w:szCs w:val="21"/>
                <w:lang w:val="en-US" w:eastAsia="zh-CN" w:bidi="ar-SA"/>
              </w:rPr>
              <w:t>满足工作需要</w:t>
            </w:r>
          </w:p>
        </w:tc>
      </w:tr>
    </w:tbl>
    <w:p w14:paraId="59A8A38F">
      <w:pPr>
        <w:pStyle w:val="49"/>
        <w:spacing w:line="360" w:lineRule="auto"/>
        <w:jc w:val="center"/>
        <w:rPr>
          <w:rStyle w:val="23"/>
          <w:rFonts w:hint="eastAsia" w:ascii="宋体" w:hAnsi="宋体" w:cs="宋体"/>
          <w:b/>
          <w:color w:val="auto"/>
          <w:szCs w:val="21"/>
          <w:highlight w:val="none"/>
        </w:rPr>
      </w:pPr>
    </w:p>
    <w:p w14:paraId="270FAF75">
      <w:pPr>
        <w:pStyle w:val="49"/>
        <w:rPr>
          <w:rStyle w:val="23"/>
          <w:rFonts w:ascii="宋体" w:hAnsi="宋体" w:cs="宋体"/>
          <w:b/>
          <w:bCs/>
          <w:color w:val="auto"/>
        </w:rPr>
      </w:pPr>
      <w:r>
        <w:rPr>
          <w:rStyle w:val="23"/>
          <w:rFonts w:hint="eastAsia" w:ascii="宋体" w:hAnsi="宋体" w:cs="宋体"/>
          <w:b/>
          <w:bCs/>
          <w:color w:val="auto"/>
          <w:lang w:val="en-US" w:eastAsia="zh-CN"/>
        </w:rPr>
        <w:t>四</w:t>
      </w:r>
      <w:r>
        <w:rPr>
          <w:rStyle w:val="23"/>
          <w:rFonts w:hint="eastAsia" w:ascii="宋体" w:hAnsi="宋体" w:cs="宋体"/>
          <w:b/>
          <w:bCs/>
          <w:color w:val="auto"/>
        </w:rPr>
        <w:t>、</w:t>
      </w:r>
      <w:r>
        <w:rPr>
          <w:rStyle w:val="23"/>
          <w:rFonts w:hint="eastAsia" w:ascii="宋体" w:hAnsi="宋体" w:cs="宋体"/>
          <w:b/>
          <w:bCs/>
          <w:color w:val="auto"/>
          <w:szCs w:val="21"/>
        </w:rPr>
        <w:t>技术服务要求</w:t>
      </w:r>
      <w:r>
        <w:rPr>
          <w:rStyle w:val="23"/>
          <w:rFonts w:hint="eastAsia" w:ascii="宋体" w:hAnsi="宋体" w:cs="宋体"/>
          <w:b/>
          <w:bCs/>
          <w:color w:val="auto"/>
        </w:rPr>
        <w:t>：</w:t>
      </w:r>
    </w:p>
    <w:p w14:paraId="7B70BFF7">
      <w:pPr>
        <w:pStyle w:val="49"/>
        <w:ind w:firstLine="422" w:firstLineChars="200"/>
        <w:rPr>
          <w:rStyle w:val="23"/>
          <w:rFonts w:ascii="宋体" w:hAnsi="宋体" w:cs="宋体"/>
          <w:b/>
          <w:bCs/>
          <w:color w:val="auto"/>
          <w:szCs w:val="21"/>
        </w:rPr>
      </w:pPr>
      <w:r>
        <w:rPr>
          <w:rStyle w:val="23"/>
          <w:rFonts w:hint="eastAsia" w:ascii="宋体" w:hAnsi="宋体" w:cs="宋体"/>
          <w:b/>
          <w:bCs/>
          <w:color w:val="auto"/>
          <w:szCs w:val="21"/>
        </w:rPr>
        <w:t>1、技术服务依据</w:t>
      </w:r>
    </w:p>
    <w:p w14:paraId="47887547">
      <w:pPr>
        <w:pStyle w:val="49"/>
        <w:adjustRightInd w:val="0"/>
        <w:snapToGrid w:val="0"/>
        <w:spacing w:line="400" w:lineRule="exact"/>
        <w:ind w:firstLine="420" w:firstLineChars="200"/>
        <w:rPr>
          <w:rStyle w:val="23"/>
          <w:rFonts w:ascii="宋体" w:hAnsi="宋体" w:cs="宋体"/>
          <w:bCs/>
          <w:color w:val="auto"/>
          <w:szCs w:val="21"/>
        </w:rPr>
      </w:pPr>
      <w:r>
        <w:rPr>
          <w:rStyle w:val="23"/>
          <w:rFonts w:hint="eastAsia" w:ascii="宋体" w:hAnsi="宋体" w:cs="宋体"/>
          <w:bCs/>
          <w:color w:val="auto"/>
          <w:szCs w:val="21"/>
        </w:rPr>
        <w:t>（1）《公路桥涵养护规范》（JTG 5120-2021）；</w:t>
      </w:r>
    </w:p>
    <w:p w14:paraId="6F551420">
      <w:pPr>
        <w:pStyle w:val="49"/>
        <w:adjustRightInd w:val="0"/>
        <w:snapToGrid w:val="0"/>
        <w:spacing w:line="400" w:lineRule="exact"/>
        <w:ind w:firstLine="420" w:firstLineChars="200"/>
        <w:rPr>
          <w:rStyle w:val="23"/>
          <w:rFonts w:ascii="宋体" w:hAnsi="宋体" w:cs="宋体"/>
          <w:bCs/>
          <w:color w:val="auto"/>
          <w:szCs w:val="21"/>
        </w:rPr>
      </w:pPr>
      <w:r>
        <w:rPr>
          <w:rStyle w:val="23"/>
          <w:rFonts w:hint="eastAsia" w:ascii="宋体" w:hAnsi="宋体" w:cs="宋体"/>
          <w:bCs/>
          <w:color w:val="auto"/>
          <w:szCs w:val="21"/>
        </w:rPr>
        <w:t>（2）《公路桥梁技术状况评定标准》（JTG/T H21-2011）；</w:t>
      </w:r>
    </w:p>
    <w:p w14:paraId="4D21C4C9">
      <w:pPr>
        <w:pStyle w:val="49"/>
        <w:adjustRightInd w:val="0"/>
        <w:snapToGrid w:val="0"/>
        <w:spacing w:line="400" w:lineRule="exact"/>
        <w:ind w:firstLine="420" w:firstLineChars="200"/>
        <w:rPr>
          <w:rStyle w:val="23"/>
          <w:rFonts w:ascii="宋体" w:hAnsi="宋体" w:cs="宋体"/>
          <w:bCs/>
          <w:color w:val="auto"/>
          <w:szCs w:val="21"/>
        </w:rPr>
      </w:pPr>
      <w:r>
        <w:rPr>
          <w:rStyle w:val="23"/>
          <w:rFonts w:hint="eastAsia" w:ascii="宋体" w:hAnsi="宋体" w:cs="宋体"/>
          <w:bCs/>
          <w:color w:val="auto"/>
          <w:szCs w:val="21"/>
        </w:rPr>
        <w:t>（3）《公路桥梁承载能力检测评定规程》（JTG/T J21-2011）；</w:t>
      </w:r>
    </w:p>
    <w:p w14:paraId="3AF00446">
      <w:pPr>
        <w:pStyle w:val="49"/>
        <w:adjustRightInd w:val="0"/>
        <w:snapToGrid w:val="0"/>
        <w:spacing w:line="400" w:lineRule="exact"/>
        <w:ind w:firstLine="420" w:firstLineChars="200"/>
        <w:rPr>
          <w:rStyle w:val="23"/>
          <w:rFonts w:ascii="宋体" w:hAnsi="宋体" w:cs="宋体"/>
          <w:bCs/>
          <w:color w:val="auto"/>
          <w:szCs w:val="21"/>
        </w:rPr>
      </w:pPr>
      <w:r>
        <w:rPr>
          <w:rStyle w:val="23"/>
          <w:rFonts w:hint="eastAsia" w:ascii="宋体" w:hAnsi="宋体" w:cs="宋体"/>
          <w:bCs/>
          <w:color w:val="auto"/>
          <w:szCs w:val="21"/>
        </w:rPr>
        <w:t>（4）《公路隧道养护技术规范》（JTG H12-2015）；</w:t>
      </w:r>
    </w:p>
    <w:p w14:paraId="2DC25E0A">
      <w:pPr>
        <w:pStyle w:val="49"/>
        <w:adjustRightInd w:val="0"/>
        <w:snapToGrid w:val="0"/>
        <w:spacing w:line="400" w:lineRule="exact"/>
        <w:ind w:firstLine="420" w:firstLineChars="200"/>
        <w:rPr>
          <w:rStyle w:val="23"/>
          <w:rFonts w:ascii="宋体" w:hAnsi="宋体" w:cs="宋体"/>
          <w:bCs/>
          <w:color w:val="auto"/>
          <w:szCs w:val="21"/>
        </w:rPr>
      </w:pPr>
      <w:r>
        <w:rPr>
          <w:rStyle w:val="23"/>
          <w:rFonts w:hint="eastAsia" w:ascii="宋体" w:hAnsi="宋体" w:cs="宋体"/>
          <w:bCs/>
          <w:color w:val="auto"/>
          <w:szCs w:val="21"/>
        </w:rPr>
        <w:t>（5）《公路养护工程质量检验评定标准 第一册 土建工程》（JTG 5220-2020）；</w:t>
      </w:r>
    </w:p>
    <w:p w14:paraId="08E715F3">
      <w:pPr>
        <w:pStyle w:val="49"/>
        <w:adjustRightInd w:val="0"/>
        <w:snapToGrid w:val="0"/>
        <w:spacing w:line="400" w:lineRule="exact"/>
        <w:ind w:firstLine="420" w:firstLineChars="200"/>
        <w:rPr>
          <w:rStyle w:val="23"/>
          <w:rFonts w:ascii="宋体" w:hAnsi="宋体" w:cs="宋体"/>
          <w:bCs/>
          <w:color w:val="auto"/>
          <w:szCs w:val="21"/>
        </w:rPr>
      </w:pPr>
      <w:r>
        <w:rPr>
          <w:rStyle w:val="23"/>
          <w:rFonts w:hint="eastAsia" w:ascii="宋体" w:hAnsi="宋体" w:cs="宋体"/>
          <w:bCs/>
          <w:color w:val="auto"/>
          <w:szCs w:val="21"/>
        </w:rPr>
        <w:t>（6）《公路工程质量检验评定标准 第一册 土建工程》（JTG F80∕1-2017）；</w:t>
      </w:r>
    </w:p>
    <w:p w14:paraId="35EE3F7A">
      <w:pPr>
        <w:pStyle w:val="49"/>
        <w:adjustRightInd w:val="0"/>
        <w:snapToGrid w:val="0"/>
        <w:spacing w:line="400" w:lineRule="exact"/>
        <w:ind w:firstLine="420" w:firstLineChars="200"/>
        <w:rPr>
          <w:rStyle w:val="23"/>
          <w:rFonts w:ascii="宋体" w:hAnsi="宋体" w:cs="宋体"/>
          <w:bCs/>
          <w:color w:val="auto"/>
          <w:szCs w:val="21"/>
        </w:rPr>
      </w:pPr>
      <w:r>
        <w:rPr>
          <w:rStyle w:val="23"/>
          <w:rFonts w:hint="eastAsia" w:ascii="宋体" w:hAnsi="宋体" w:cs="宋体"/>
          <w:bCs/>
          <w:color w:val="auto"/>
          <w:szCs w:val="21"/>
        </w:rPr>
        <w:t>（7）《国家公路网重点桥梁和隧道监测评价规程》（T／CECS G：E41-04-2019）；</w:t>
      </w:r>
    </w:p>
    <w:p w14:paraId="43DFE192">
      <w:pPr>
        <w:pStyle w:val="49"/>
        <w:adjustRightInd w:val="0"/>
        <w:snapToGrid w:val="0"/>
        <w:spacing w:line="400" w:lineRule="exact"/>
        <w:ind w:firstLine="420" w:firstLineChars="200"/>
        <w:rPr>
          <w:rStyle w:val="23"/>
          <w:rFonts w:ascii="宋体" w:hAnsi="宋体" w:cs="宋体"/>
          <w:bCs/>
          <w:color w:val="auto"/>
          <w:szCs w:val="21"/>
        </w:rPr>
      </w:pPr>
      <w:r>
        <w:rPr>
          <w:rStyle w:val="23"/>
          <w:rFonts w:hint="eastAsia" w:ascii="宋体" w:hAnsi="宋体" w:cs="宋体"/>
          <w:bCs/>
          <w:color w:val="auto"/>
          <w:szCs w:val="21"/>
        </w:rPr>
        <w:t>（8）《交通运输部关于印发&lt;公路桥梁养护管理工作制度&gt;的通知》（交公路发[2007]336号）；</w:t>
      </w:r>
    </w:p>
    <w:p w14:paraId="52A345EF">
      <w:pPr>
        <w:pStyle w:val="49"/>
        <w:adjustRightInd w:val="0"/>
        <w:snapToGrid w:val="0"/>
        <w:spacing w:line="400" w:lineRule="exact"/>
        <w:ind w:firstLine="420" w:firstLineChars="200"/>
        <w:rPr>
          <w:rStyle w:val="23"/>
          <w:rFonts w:ascii="宋体" w:hAnsi="宋体" w:cs="宋体"/>
          <w:bCs/>
          <w:color w:val="auto"/>
          <w:szCs w:val="21"/>
        </w:rPr>
      </w:pPr>
      <w:r>
        <w:rPr>
          <w:rStyle w:val="23"/>
          <w:rFonts w:hint="eastAsia" w:ascii="宋体" w:hAnsi="宋体" w:cs="宋体"/>
          <w:bCs/>
          <w:color w:val="auto"/>
          <w:szCs w:val="21"/>
        </w:rPr>
        <w:t>（9）《交通运输部关于进一步加强公路桥梁养护管理的若干意见》（交公路发[2013]321号）；</w:t>
      </w:r>
    </w:p>
    <w:p w14:paraId="17BD61D2">
      <w:pPr>
        <w:pStyle w:val="49"/>
        <w:adjustRightInd w:val="0"/>
        <w:snapToGrid w:val="0"/>
        <w:spacing w:line="400" w:lineRule="exact"/>
        <w:ind w:firstLine="420" w:firstLineChars="200"/>
        <w:rPr>
          <w:rStyle w:val="23"/>
          <w:rFonts w:ascii="宋体" w:hAnsi="宋体" w:cs="宋体"/>
          <w:bCs/>
          <w:color w:val="auto"/>
          <w:szCs w:val="21"/>
        </w:rPr>
      </w:pPr>
      <w:r>
        <w:rPr>
          <w:rStyle w:val="23"/>
          <w:rFonts w:hint="eastAsia" w:ascii="宋体" w:hAnsi="宋体" w:cs="宋体"/>
          <w:bCs/>
          <w:color w:val="auto"/>
          <w:szCs w:val="21"/>
        </w:rPr>
        <w:t>（10）《交通运输部关于印发&lt;公路长大桥隧养护管理和安全运行若干规定&gt;的通知》（交公路发[2018]35号）；</w:t>
      </w:r>
    </w:p>
    <w:p w14:paraId="5AAAB232">
      <w:pPr>
        <w:pStyle w:val="49"/>
        <w:adjustRightInd w:val="0"/>
        <w:snapToGrid w:val="0"/>
        <w:spacing w:line="400" w:lineRule="exact"/>
        <w:ind w:firstLine="420" w:firstLineChars="200"/>
        <w:rPr>
          <w:rStyle w:val="23"/>
          <w:rFonts w:ascii="宋体" w:hAnsi="宋体" w:cs="宋体"/>
          <w:bCs/>
          <w:color w:val="auto"/>
          <w:szCs w:val="21"/>
        </w:rPr>
      </w:pPr>
      <w:r>
        <w:rPr>
          <w:rStyle w:val="23"/>
          <w:rFonts w:hint="eastAsia" w:ascii="宋体" w:hAnsi="宋体" w:cs="宋体"/>
          <w:bCs/>
          <w:color w:val="auto"/>
          <w:szCs w:val="21"/>
        </w:rPr>
        <w:t>（11）《交通运输部办公厅关于印发促进公路隧道提质升级行动方案的通知》（交办公路[2019]9号）等；</w:t>
      </w:r>
    </w:p>
    <w:p w14:paraId="59856C17">
      <w:pPr>
        <w:pStyle w:val="49"/>
        <w:adjustRightInd w:val="0"/>
        <w:snapToGrid w:val="0"/>
        <w:spacing w:line="400" w:lineRule="exact"/>
        <w:ind w:firstLine="420" w:firstLineChars="200"/>
        <w:rPr>
          <w:rStyle w:val="23"/>
          <w:rFonts w:ascii="宋体" w:hAnsi="宋体" w:cs="宋体"/>
          <w:bCs/>
          <w:color w:val="auto"/>
          <w:szCs w:val="21"/>
        </w:rPr>
      </w:pPr>
      <w:r>
        <w:rPr>
          <w:rStyle w:val="23"/>
          <w:rFonts w:hint="eastAsia" w:ascii="宋体" w:hAnsi="宋体" w:cs="宋体"/>
          <w:bCs/>
          <w:color w:val="auto"/>
          <w:szCs w:val="21"/>
        </w:rPr>
        <w:t>（12）《交通运输部办公厅关于印发公路危旧桥梁改造行动方案的通知》（交办公路[2020]71号）；</w:t>
      </w:r>
    </w:p>
    <w:p w14:paraId="44FA541B">
      <w:pPr>
        <w:pStyle w:val="49"/>
        <w:adjustRightInd w:val="0"/>
        <w:snapToGrid w:val="0"/>
        <w:spacing w:line="400" w:lineRule="exact"/>
        <w:ind w:firstLine="420" w:firstLineChars="200"/>
        <w:rPr>
          <w:rStyle w:val="23"/>
          <w:rFonts w:ascii="宋体" w:hAnsi="宋体" w:cs="宋体"/>
          <w:bCs/>
          <w:color w:val="auto"/>
          <w:szCs w:val="21"/>
        </w:rPr>
      </w:pPr>
      <w:r>
        <w:rPr>
          <w:rStyle w:val="23"/>
          <w:rFonts w:hint="eastAsia" w:ascii="宋体" w:hAnsi="宋体" w:cs="宋体"/>
          <w:bCs/>
          <w:color w:val="auto"/>
          <w:szCs w:val="21"/>
        </w:rPr>
        <w:t>（13）《湖南省公路桥梁养护管理工作制度》（试行）的通知（湘交计统[2019] 97号）；</w:t>
      </w:r>
    </w:p>
    <w:p w14:paraId="7E877F59">
      <w:pPr>
        <w:pStyle w:val="49"/>
        <w:adjustRightInd w:val="0"/>
        <w:snapToGrid w:val="0"/>
        <w:spacing w:line="400" w:lineRule="exact"/>
        <w:ind w:firstLine="420" w:firstLineChars="200"/>
        <w:rPr>
          <w:rStyle w:val="23"/>
          <w:rFonts w:ascii="宋体" w:hAnsi="宋体" w:cs="宋体"/>
          <w:bCs/>
          <w:color w:val="auto"/>
          <w:szCs w:val="21"/>
        </w:rPr>
      </w:pPr>
      <w:r>
        <w:rPr>
          <w:rStyle w:val="23"/>
          <w:rFonts w:hint="eastAsia" w:ascii="宋体" w:hAnsi="宋体" w:cs="宋体"/>
          <w:bCs/>
          <w:color w:val="auto"/>
          <w:szCs w:val="21"/>
        </w:rPr>
        <w:t>（14）《湖南省交通运输厅关于印发&lt;湖南省公路危旧桥梁改造行动总体方案&gt;的通知》（湘交养管〔2021〕34号）；</w:t>
      </w:r>
    </w:p>
    <w:p w14:paraId="222AD438">
      <w:pPr>
        <w:pStyle w:val="49"/>
        <w:adjustRightInd w:val="0"/>
        <w:snapToGrid w:val="0"/>
        <w:spacing w:line="400" w:lineRule="exact"/>
        <w:ind w:firstLine="420" w:firstLineChars="200"/>
        <w:rPr>
          <w:rStyle w:val="23"/>
          <w:rFonts w:ascii="宋体" w:hAnsi="宋体" w:cs="宋体"/>
          <w:bCs/>
          <w:color w:val="auto"/>
          <w:szCs w:val="21"/>
        </w:rPr>
      </w:pPr>
      <w:r>
        <w:rPr>
          <w:rStyle w:val="23"/>
          <w:rFonts w:hint="eastAsia" w:ascii="宋体" w:hAnsi="宋体" w:cs="宋体"/>
          <w:bCs/>
          <w:color w:val="auto"/>
          <w:szCs w:val="21"/>
        </w:rPr>
        <w:t>（15）《湖南省交通运输厅办公室关于印发&lt;湖南省实施公路桥梁信息公示牌设置要求和公路桥梁限载标志设置要求工作方案&gt;的通知》（厅办〔2021〕1号）；</w:t>
      </w:r>
    </w:p>
    <w:p w14:paraId="6EBFD510">
      <w:pPr>
        <w:pStyle w:val="49"/>
        <w:adjustRightInd w:val="0"/>
        <w:snapToGrid w:val="0"/>
        <w:spacing w:line="400" w:lineRule="exact"/>
        <w:ind w:firstLine="420" w:firstLineChars="200"/>
        <w:rPr>
          <w:rStyle w:val="23"/>
          <w:rFonts w:ascii="宋体" w:hAnsi="宋体" w:cs="宋体"/>
          <w:bCs/>
          <w:color w:val="auto"/>
          <w:szCs w:val="21"/>
        </w:rPr>
      </w:pPr>
      <w:r>
        <w:rPr>
          <w:rStyle w:val="23"/>
          <w:rFonts w:hint="eastAsia" w:ascii="宋体" w:hAnsi="宋体" w:cs="宋体"/>
          <w:bCs/>
          <w:color w:val="auto"/>
          <w:szCs w:val="21"/>
        </w:rPr>
        <w:t>如规范有更新变化，则按照最新规范执行。</w:t>
      </w:r>
    </w:p>
    <w:p w14:paraId="58394D27">
      <w:pPr>
        <w:pStyle w:val="49"/>
        <w:spacing w:line="400" w:lineRule="exact"/>
        <w:ind w:firstLine="422" w:firstLineChars="200"/>
        <w:rPr>
          <w:rStyle w:val="23"/>
          <w:rFonts w:ascii="宋体" w:hAnsi="宋体" w:cs="宋体"/>
          <w:b/>
          <w:color w:val="auto"/>
          <w:szCs w:val="21"/>
        </w:rPr>
      </w:pPr>
      <w:r>
        <w:rPr>
          <w:rStyle w:val="23"/>
          <w:rFonts w:hint="eastAsia" w:ascii="宋体" w:hAnsi="宋体" w:cs="宋体"/>
          <w:b/>
          <w:color w:val="auto"/>
          <w:szCs w:val="21"/>
        </w:rPr>
        <w:t>2、基本要求</w:t>
      </w:r>
    </w:p>
    <w:p w14:paraId="03648A37">
      <w:pPr>
        <w:pStyle w:val="49"/>
        <w:adjustRightInd w:val="0"/>
        <w:snapToGrid w:val="0"/>
        <w:spacing w:line="400" w:lineRule="exact"/>
        <w:ind w:firstLine="420" w:firstLineChars="200"/>
        <w:rPr>
          <w:rStyle w:val="23"/>
          <w:rFonts w:ascii="宋体" w:hAnsi="宋体" w:cs="宋体"/>
          <w:color w:val="auto"/>
          <w:szCs w:val="21"/>
        </w:rPr>
      </w:pPr>
      <w:r>
        <w:rPr>
          <w:rStyle w:val="23"/>
          <w:rFonts w:hint="eastAsia" w:ascii="宋体" w:hAnsi="宋体" w:cs="宋体"/>
          <w:bCs/>
          <w:color w:val="auto"/>
          <w:szCs w:val="21"/>
        </w:rPr>
        <w:t>（1）检测要求。</w:t>
      </w:r>
      <w:r>
        <w:rPr>
          <w:rStyle w:val="23"/>
          <w:rFonts w:hint="eastAsia" w:ascii="宋体" w:hAnsi="宋体" w:cs="宋体"/>
          <w:color w:val="auto"/>
          <w:szCs w:val="21"/>
          <w:lang w:eastAsia="zh-CN"/>
        </w:rPr>
        <w:t>成交供应商</w:t>
      </w:r>
      <w:r>
        <w:rPr>
          <w:rStyle w:val="23"/>
          <w:rFonts w:hint="eastAsia" w:ascii="宋体" w:hAnsi="宋体" w:cs="宋体"/>
          <w:color w:val="auto"/>
          <w:szCs w:val="21"/>
        </w:rPr>
        <w:t>应按经采购人审核通过的检查检测工作方案开展桥隧的省级检查工作，不得擅自变更检查检测工作内容。对于水下基础应</w:t>
      </w:r>
      <w:r>
        <w:rPr>
          <w:rStyle w:val="23"/>
          <w:rFonts w:hint="eastAsia" w:ascii="宋体" w:hAnsi="宋体" w:cs="宋体"/>
          <w:bCs/>
          <w:color w:val="auto"/>
          <w:szCs w:val="21"/>
        </w:rPr>
        <w:t>采用潜水探摸、水下摄像等方式对基础冲刷情况进行检查并提供相应的检查照片等，未按要求开展桥梁水下基础检测的的则认定该项目不合格。</w:t>
      </w:r>
    </w:p>
    <w:p w14:paraId="69B1B36E">
      <w:pPr>
        <w:pStyle w:val="49"/>
        <w:adjustRightInd w:val="0"/>
        <w:snapToGrid w:val="0"/>
        <w:spacing w:line="400" w:lineRule="exact"/>
        <w:ind w:firstLine="420" w:firstLineChars="200"/>
        <w:rPr>
          <w:rStyle w:val="23"/>
          <w:rFonts w:ascii="宋体" w:hAnsi="宋体" w:cs="宋体"/>
          <w:bCs/>
          <w:color w:val="auto"/>
          <w:szCs w:val="21"/>
          <w:highlight w:val="yellow"/>
        </w:rPr>
      </w:pPr>
      <w:r>
        <w:rPr>
          <w:rStyle w:val="23"/>
          <w:rFonts w:hint="eastAsia" w:ascii="宋体" w:hAnsi="宋体" w:cs="宋体"/>
          <w:bCs/>
          <w:color w:val="auto"/>
          <w:szCs w:val="21"/>
        </w:rPr>
        <w:t>（2）</w:t>
      </w:r>
      <w:r>
        <w:rPr>
          <w:rStyle w:val="23"/>
          <w:rFonts w:hint="eastAsia" w:ascii="宋体" w:hAnsi="宋体" w:cs="宋体"/>
          <w:bCs/>
          <w:color w:val="auto"/>
          <w:szCs w:val="21"/>
          <w:highlight w:val="none"/>
        </w:rPr>
        <w:t>完成时间。外业工作于</w:t>
      </w:r>
      <w:r>
        <w:rPr>
          <w:rStyle w:val="23"/>
          <w:rFonts w:hint="eastAsia" w:ascii="宋体" w:hAnsi="宋体" w:cs="宋体"/>
          <w:bCs/>
          <w:color w:val="auto"/>
          <w:szCs w:val="21"/>
          <w:highlight w:val="none"/>
          <w:lang w:val="en-US" w:eastAsia="zh-CN"/>
        </w:rPr>
        <w:t>8</w:t>
      </w:r>
      <w:r>
        <w:rPr>
          <w:rStyle w:val="23"/>
          <w:rFonts w:hint="eastAsia" w:ascii="宋体" w:hAnsi="宋体" w:cs="宋体"/>
          <w:bCs/>
          <w:color w:val="auto"/>
          <w:szCs w:val="21"/>
          <w:highlight w:val="none"/>
        </w:rPr>
        <w:t>月</w:t>
      </w:r>
      <w:r>
        <w:rPr>
          <w:rStyle w:val="23"/>
          <w:rFonts w:hint="eastAsia" w:ascii="宋体" w:hAnsi="宋体" w:cs="宋体"/>
          <w:bCs/>
          <w:color w:val="auto"/>
          <w:szCs w:val="21"/>
          <w:highlight w:val="none"/>
          <w:lang w:val="en-US" w:eastAsia="zh-CN"/>
        </w:rPr>
        <w:t>中旬</w:t>
      </w:r>
      <w:r>
        <w:rPr>
          <w:rStyle w:val="23"/>
          <w:rFonts w:hint="eastAsia" w:ascii="宋体" w:hAnsi="宋体" w:cs="宋体"/>
          <w:bCs/>
          <w:color w:val="auto"/>
          <w:szCs w:val="21"/>
          <w:highlight w:val="none"/>
        </w:rPr>
        <w:t>完成，数据分析、报告编制于9月底前完成，12月底完成项目验收。</w:t>
      </w:r>
    </w:p>
    <w:p w14:paraId="3D9AA290">
      <w:pPr>
        <w:pStyle w:val="49"/>
        <w:adjustRightInd w:val="0"/>
        <w:snapToGrid w:val="0"/>
        <w:spacing w:line="400" w:lineRule="exact"/>
        <w:ind w:firstLine="420" w:firstLineChars="200"/>
        <w:rPr>
          <w:rStyle w:val="23"/>
          <w:rFonts w:ascii="宋体" w:hAnsi="宋体" w:cs="宋体"/>
          <w:bCs/>
          <w:color w:val="auto"/>
          <w:szCs w:val="21"/>
        </w:rPr>
      </w:pPr>
      <w:r>
        <w:rPr>
          <w:rStyle w:val="23"/>
          <w:rFonts w:hint="eastAsia" w:ascii="宋体" w:hAnsi="宋体" w:cs="宋体"/>
          <w:bCs/>
          <w:color w:val="auto"/>
          <w:szCs w:val="21"/>
        </w:rPr>
        <w:t>（3）检测方案。各检测单位于签订合同后7天内报送桥隧省级监测工作方案和制定检查评分表等，方案的内容应包括:检测人员、进度安排，检查检测的内容、方法及手段，采用的检测设备、建议等。检测方案经审核通过后才能开展检测工作，检测方案中的人员、设备等应与</w:t>
      </w:r>
      <w:r>
        <w:rPr>
          <w:rStyle w:val="23"/>
          <w:rFonts w:hint="eastAsia" w:ascii="宋体" w:hAnsi="宋体" w:cs="宋体"/>
          <w:bCs/>
          <w:color w:val="auto"/>
          <w:szCs w:val="21"/>
          <w:lang w:eastAsia="zh-CN"/>
        </w:rPr>
        <w:t>响应文件</w:t>
      </w:r>
      <w:r>
        <w:rPr>
          <w:rStyle w:val="23"/>
          <w:rFonts w:hint="eastAsia" w:ascii="宋体" w:hAnsi="宋体" w:cs="宋体"/>
          <w:bCs/>
          <w:color w:val="auto"/>
          <w:szCs w:val="21"/>
        </w:rPr>
        <w:t>一致。</w:t>
      </w:r>
    </w:p>
    <w:p w14:paraId="0A0A8FC3">
      <w:pPr>
        <w:pStyle w:val="49"/>
        <w:adjustRightInd w:val="0"/>
        <w:snapToGrid w:val="0"/>
        <w:spacing w:line="360" w:lineRule="auto"/>
        <w:ind w:firstLine="420" w:firstLineChars="200"/>
        <w:rPr>
          <w:rStyle w:val="23"/>
          <w:rFonts w:ascii="宋体" w:hAnsi="宋体" w:cs="宋体"/>
          <w:color w:val="auto"/>
          <w:szCs w:val="21"/>
        </w:rPr>
      </w:pPr>
      <w:r>
        <w:rPr>
          <w:rStyle w:val="23"/>
          <w:rFonts w:hint="eastAsia" w:ascii="宋体" w:hAnsi="宋体" w:cs="宋体"/>
          <w:bCs/>
          <w:color w:val="auto"/>
          <w:szCs w:val="21"/>
        </w:rPr>
        <w:t>（4）检测结果。</w:t>
      </w:r>
      <w:r>
        <w:rPr>
          <w:rStyle w:val="23"/>
          <w:rFonts w:hint="eastAsia" w:ascii="宋体" w:hAnsi="宋体" w:cs="宋体"/>
          <w:color w:val="auto"/>
          <w:szCs w:val="21"/>
          <w:lang w:eastAsia="zh-CN"/>
        </w:rPr>
        <w:t>成交供应商</w:t>
      </w:r>
      <w:r>
        <w:rPr>
          <w:rStyle w:val="23"/>
          <w:rFonts w:hint="eastAsia" w:ascii="宋体" w:hAnsi="宋体" w:cs="宋体"/>
          <w:color w:val="auto"/>
          <w:szCs w:val="21"/>
        </w:rPr>
        <w:t>应按规范、技术标准及部省制度有关要求开展检查检测工作，确保检查结果客观、公正、准确，所有检查检测评价应提供相应证明材料并符合相关规定。</w:t>
      </w:r>
    </w:p>
    <w:p w14:paraId="2212F558">
      <w:pPr>
        <w:pStyle w:val="49"/>
        <w:spacing w:line="360" w:lineRule="auto"/>
        <w:ind w:firstLine="422" w:firstLineChars="200"/>
        <w:rPr>
          <w:rStyle w:val="23"/>
          <w:rFonts w:ascii="宋体" w:hAnsi="宋体" w:cs="宋体"/>
          <w:b/>
          <w:color w:val="auto"/>
        </w:rPr>
      </w:pPr>
      <w:r>
        <w:rPr>
          <w:rStyle w:val="23"/>
          <w:rFonts w:hint="eastAsia" w:ascii="宋体" w:hAnsi="宋体" w:cs="宋体"/>
          <w:b/>
          <w:color w:val="auto"/>
        </w:rPr>
        <w:t>四、管理要求</w:t>
      </w:r>
    </w:p>
    <w:p w14:paraId="2D25C9D4">
      <w:pPr>
        <w:pStyle w:val="49"/>
        <w:spacing w:line="360" w:lineRule="auto"/>
        <w:ind w:firstLine="420" w:firstLineChars="200"/>
        <w:rPr>
          <w:rStyle w:val="23"/>
          <w:rFonts w:ascii="宋体" w:hAnsi="宋体" w:cs="宋体"/>
          <w:color w:val="auto"/>
          <w:kern w:val="32"/>
          <w:szCs w:val="21"/>
        </w:rPr>
      </w:pPr>
      <w:r>
        <w:rPr>
          <w:rStyle w:val="23"/>
          <w:rFonts w:hint="eastAsia" w:ascii="宋体" w:hAnsi="宋体" w:cs="宋体"/>
          <w:color w:val="auto"/>
          <w:kern w:val="32"/>
          <w:szCs w:val="21"/>
        </w:rPr>
        <w:t>(一)人员</w:t>
      </w:r>
    </w:p>
    <w:p w14:paraId="68A4E1C0">
      <w:pPr>
        <w:pStyle w:val="49"/>
        <w:spacing w:line="360" w:lineRule="auto"/>
        <w:ind w:firstLine="420" w:firstLineChars="200"/>
        <w:rPr>
          <w:rStyle w:val="23"/>
          <w:rFonts w:ascii="宋体" w:hAnsi="宋体" w:cs="宋体"/>
          <w:color w:val="auto"/>
          <w:kern w:val="32"/>
          <w:szCs w:val="21"/>
        </w:rPr>
      </w:pPr>
      <w:r>
        <w:rPr>
          <w:rStyle w:val="23"/>
          <w:rFonts w:hint="eastAsia" w:ascii="宋体" w:hAnsi="宋体" w:cs="宋体"/>
          <w:color w:val="auto"/>
          <w:kern w:val="32"/>
          <w:szCs w:val="21"/>
        </w:rPr>
        <w:t xml:space="preserve">1. </w:t>
      </w:r>
      <w:r>
        <w:rPr>
          <w:rStyle w:val="23"/>
          <w:rFonts w:hint="eastAsia" w:ascii="宋体" w:hAnsi="宋体" w:cs="宋体"/>
          <w:color w:val="auto"/>
          <w:kern w:val="32"/>
          <w:szCs w:val="21"/>
          <w:lang w:eastAsia="zh-CN"/>
        </w:rPr>
        <w:t>成交供应商</w:t>
      </w:r>
      <w:r>
        <w:rPr>
          <w:rStyle w:val="23"/>
          <w:rFonts w:hint="eastAsia" w:ascii="宋体" w:hAnsi="宋体" w:cs="宋体"/>
          <w:color w:val="auto"/>
          <w:kern w:val="32"/>
          <w:szCs w:val="21"/>
        </w:rPr>
        <w:t>人员投入本项目的人员必须与</w:t>
      </w:r>
      <w:r>
        <w:rPr>
          <w:rStyle w:val="23"/>
          <w:rFonts w:hint="eastAsia" w:ascii="宋体" w:hAnsi="宋体" w:cs="宋体"/>
          <w:color w:val="auto"/>
          <w:kern w:val="32"/>
          <w:szCs w:val="21"/>
          <w:lang w:eastAsia="zh-CN"/>
        </w:rPr>
        <w:t>响应文件</w:t>
      </w:r>
      <w:r>
        <w:rPr>
          <w:rStyle w:val="23"/>
          <w:rFonts w:hint="eastAsia" w:ascii="宋体" w:hAnsi="宋体" w:cs="宋体"/>
          <w:color w:val="auto"/>
          <w:kern w:val="32"/>
          <w:szCs w:val="21"/>
        </w:rPr>
        <w:t>保持一致，如需更换必须经过</w:t>
      </w:r>
      <w:r>
        <w:rPr>
          <w:rStyle w:val="23"/>
          <w:rFonts w:hint="eastAsia" w:ascii="宋体" w:hAnsi="宋体" w:cs="宋体"/>
          <w:color w:val="auto"/>
          <w:kern w:val="32"/>
          <w:szCs w:val="21"/>
          <w:lang w:eastAsia="zh-CN"/>
        </w:rPr>
        <w:t>采购人</w:t>
      </w:r>
      <w:r>
        <w:rPr>
          <w:rStyle w:val="23"/>
          <w:rFonts w:hint="eastAsia" w:ascii="宋体" w:hAnsi="宋体" w:cs="宋体"/>
          <w:color w:val="auto"/>
          <w:kern w:val="32"/>
          <w:szCs w:val="21"/>
        </w:rPr>
        <w:t>批准，项目负责人、技术负责人原则上不得更换，如果更换则视为违约，</w:t>
      </w:r>
      <w:r>
        <w:rPr>
          <w:rStyle w:val="23"/>
          <w:rFonts w:hint="eastAsia" w:ascii="宋体" w:hAnsi="宋体" w:cs="宋体"/>
          <w:color w:val="auto"/>
          <w:kern w:val="32"/>
          <w:szCs w:val="21"/>
          <w:lang w:eastAsia="zh-CN"/>
        </w:rPr>
        <w:t>成交供应商</w:t>
      </w:r>
      <w:r>
        <w:rPr>
          <w:rStyle w:val="23"/>
          <w:rFonts w:hint="eastAsia" w:ascii="宋体" w:hAnsi="宋体" w:cs="宋体"/>
          <w:color w:val="auto"/>
          <w:kern w:val="32"/>
          <w:szCs w:val="21"/>
        </w:rPr>
        <w:t>应承担违约责任。</w:t>
      </w:r>
    </w:p>
    <w:p w14:paraId="4EA65290">
      <w:pPr>
        <w:pStyle w:val="49"/>
        <w:spacing w:line="360" w:lineRule="auto"/>
        <w:ind w:firstLine="420" w:firstLineChars="200"/>
        <w:rPr>
          <w:rStyle w:val="23"/>
          <w:rFonts w:ascii="宋体" w:hAnsi="宋体" w:cs="宋体"/>
          <w:color w:val="auto"/>
          <w:kern w:val="32"/>
          <w:szCs w:val="21"/>
        </w:rPr>
      </w:pPr>
      <w:r>
        <w:rPr>
          <w:rStyle w:val="23"/>
          <w:rFonts w:hint="eastAsia" w:ascii="宋体" w:hAnsi="宋体" w:cs="宋体"/>
          <w:color w:val="auto"/>
          <w:kern w:val="32"/>
          <w:szCs w:val="21"/>
        </w:rPr>
        <w:t>2. 在工作过程中，</w:t>
      </w:r>
      <w:r>
        <w:rPr>
          <w:rStyle w:val="23"/>
          <w:rFonts w:hint="eastAsia" w:ascii="宋体" w:hAnsi="宋体" w:cs="宋体"/>
          <w:color w:val="auto"/>
          <w:kern w:val="32"/>
          <w:szCs w:val="21"/>
          <w:lang w:eastAsia="zh-CN"/>
        </w:rPr>
        <w:t>采购人</w:t>
      </w:r>
      <w:r>
        <w:rPr>
          <w:rStyle w:val="23"/>
          <w:rFonts w:hint="eastAsia" w:ascii="宋体" w:hAnsi="宋体" w:cs="宋体"/>
          <w:color w:val="auto"/>
          <w:kern w:val="32"/>
          <w:szCs w:val="21"/>
        </w:rPr>
        <w:t>发现</w:t>
      </w:r>
      <w:r>
        <w:rPr>
          <w:rStyle w:val="23"/>
          <w:rFonts w:hint="eastAsia" w:ascii="宋体" w:hAnsi="宋体" w:cs="宋体"/>
          <w:color w:val="auto"/>
          <w:kern w:val="32"/>
          <w:szCs w:val="21"/>
          <w:lang w:eastAsia="zh-CN"/>
        </w:rPr>
        <w:t>成交供应商</w:t>
      </w:r>
      <w:r>
        <w:rPr>
          <w:rStyle w:val="23"/>
          <w:rFonts w:hint="eastAsia" w:ascii="宋体" w:hAnsi="宋体" w:cs="宋体"/>
          <w:color w:val="auto"/>
          <w:kern w:val="32"/>
          <w:szCs w:val="21"/>
        </w:rPr>
        <w:t>人员的履约能力不满足合同要求，</w:t>
      </w:r>
      <w:r>
        <w:rPr>
          <w:rStyle w:val="23"/>
          <w:rFonts w:hint="eastAsia" w:ascii="宋体" w:hAnsi="宋体" w:cs="宋体"/>
          <w:color w:val="auto"/>
          <w:kern w:val="32"/>
          <w:szCs w:val="21"/>
          <w:lang w:eastAsia="zh-CN"/>
        </w:rPr>
        <w:t>采购人</w:t>
      </w:r>
      <w:r>
        <w:rPr>
          <w:rStyle w:val="23"/>
          <w:rFonts w:hint="eastAsia" w:ascii="宋体" w:hAnsi="宋体" w:cs="宋体"/>
          <w:color w:val="auto"/>
          <w:kern w:val="32"/>
          <w:szCs w:val="21"/>
        </w:rPr>
        <w:t>可强制要求更换</w:t>
      </w:r>
      <w:r>
        <w:rPr>
          <w:rStyle w:val="23"/>
          <w:rFonts w:hint="eastAsia" w:ascii="宋体" w:hAnsi="宋体" w:cs="宋体"/>
          <w:color w:val="auto"/>
          <w:kern w:val="32"/>
          <w:szCs w:val="21"/>
          <w:lang w:eastAsia="zh-CN"/>
        </w:rPr>
        <w:t>成交供应商</w:t>
      </w:r>
      <w:r>
        <w:rPr>
          <w:rStyle w:val="23"/>
          <w:rFonts w:hint="eastAsia" w:ascii="宋体" w:hAnsi="宋体" w:cs="宋体"/>
          <w:color w:val="auto"/>
          <w:kern w:val="32"/>
          <w:szCs w:val="21"/>
        </w:rPr>
        <w:t>履约能力达到合同要求的人员，视同人员更换。</w:t>
      </w:r>
    </w:p>
    <w:p w14:paraId="5C9B9448">
      <w:pPr>
        <w:pStyle w:val="49"/>
        <w:spacing w:line="360" w:lineRule="auto"/>
        <w:ind w:firstLine="420" w:firstLineChars="200"/>
        <w:rPr>
          <w:rStyle w:val="23"/>
          <w:rFonts w:ascii="宋体" w:hAnsi="宋体" w:cs="宋体"/>
          <w:color w:val="auto"/>
          <w:kern w:val="32"/>
          <w:szCs w:val="21"/>
        </w:rPr>
      </w:pPr>
      <w:r>
        <w:rPr>
          <w:rStyle w:val="23"/>
          <w:rFonts w:hint="eastAsia" w:ascii="宋体" w:hAnsi="宋体" w:cs="宋体"/>
          <w:color w:val="auto"/>
          <w:kern w:val="32"/>
          <w:szCs w:val="21"/>
        </w:rPr>
        <w:t>3. 在合同履约过程中，</w:t>
      </w:r>
      <w:r>
        <w:rPr>
          <w:rStyle w:val="23"/>
          <w:rFonts w:hint="eastAsia" w:ascii="宋体" w:hAnsi="宋体" w:cs="宋体"/>
          <w:color w:val="auto"/>
          <w:kern w:val="32"/>
          <w:szCs w:val="21"/>
          <w:lang w:eastAsia="zh-CN"/>
        </w:rPr>
        <w:t>成交供应商</w:t>
      </w:r>
      <w:r>
        <w:rPr>
          <w:rStyle w:val="23"/>
          <w:rFonts w:hint="eastAsia" w:ascii="宋体" w:hAnsi="宋体" w:cs="宋体"/>
          <w:color w:val="auto"/>
          <w:kern w:val="32"/>
          <w:szCs w:val="21"/>
        </w:rPr>
        <w:t>必须严格按</w:t>
      </w:r>
      <w:r>
        <w:rPr>
          <w:rStyle w:val="23"/>
          <w:rFonts w:hint="eastAsia" w:ascii="宋体" w:hAnsi="宋体" w:cs="宋体"/>
          <w:color w:val="auto"/>
          <w:kern w:val="32"/>
          <w:szCs w:val="21"/>
          <w:lang w:eastAsia="zh-CN"/>
        </w:rPr>
        <w:t>采购人</w:t>
      </w:r>
      <w:r>
        <w:rPr>
          <w:rStyle w:val="23"/>
          <w:rFonts w:hint="eastAsia" w:ascii="宋体" w:hAnsi="宋体" w:cs="宋体"/>
          <w:color w:val="auto"/>
          <w:kern w:val="32"/>
          <w:szCs w:val="21"/>
        </w:rPr>
        <w:t>的要求，派相关人员实施；</w:t>
      </w:r>
      <w:r>
        <w:rPr>
          <w:rStyle w:val="23"/>
          <w:rFonts w:hint="eastAsia" w:ascii="宋体" w:hAnsi="宋体" w:cs="宋体"/>
          <w:color w:val="auto"/>
          <w:kern w:val="32"/>
          <w:szCs w:val="21"/>
          <w:lang w:eastAsia="zh-CN"/>
        </w:rPr>
        <w:t>采购人</w:t>
      </w:r>
      <w:r>
        <w:rPr>
          <w:rStyle w:val="23"/>
          <w:rFonts w:hint="eastAsia" w:ascii="宋体" w:hAnsi="宋体" w:cs="宋体"/>
          <w:color w:val="auto"/>
          <w:kern w:val="32"/>
          <w:szCs w:val="21"/>
        </w:rPr>
        <w:t>有指定人员要求的，</w:t>
      </w:r>
      <w:r>
        <w:rPr>
          <w:rStyle w:val="23"/>
          <w:rFonts w:hint="eastAsia" w:ascii="宋体" w:hAnsi="宋体" w:cs="宋体"/>
          <w:color w:val="auto"/>
          <w:kern w:val="32"/>
          <w:szCs w:val="21"/>
          <w:lang w:eastAsia="zh-CN"/>
        </w:rPr>
        <w:t>成交供应商</w:t>
      </w:r>
      <w:r>
        <w:rPr>
          <w:rStyle w:val="23"/>
          <w:rFonts w:hint="eastAsia" w:ascii="宋体" w:hAnsi="宋体" w:cs="宋体"/>
          <w:color w:val="auto"/>
          <w:kern w:val="32"/>
          <w:szCs w:val="21"/>
        </w:rPr>
        <w:t>必须派指定人员实施。</w:t>
      </w:r>
    </w:p>
    <w:p w14:paraId="412D01F9">
      <w:pPr>
        <w:pStyle w:val="49"/>
        <w:spacing w:line="360" w:lineRule="auto"/>
        <w:ind w:firstLine="420" w:firstLineChars="200"/>
        <w:rPr>
          <w:rStyle w:val="23"/>
          <w:rFonts w:ascii="宋体" w:hAnsi="宋体" w:cs="宋体"/>
          <w:color w:val="auto"/>
          <w:kern w:val="32"/>
          <w:szCs w:val="21"/>
        </w:rPr>
      </w:pPr>
      <w:r>
        <w:rPr>
          <w:rStyle w:val="23"/>
          <w:rFonts w:hint="eastAsia" w:ascii="宋体" w:hAnsi="宋体" w:cs="宋体"/>
          <w:color w:val="auto"/>
          <w:kern w:val="32"/>
          <w:szCs w:val="21"/>
        </w:rPr>
        <w:t xml:space="preserve">4. </w:t>
      </w:r>
      <w:r>
        <w:rPr>
          <w:rStyle w:val="23"/>
          <w:rFonts w:hint="eastAsia" w:ascii="宋体" w:hAnsi="宋体" w:cs="宋体"/>
          <w:color w:val="auto"/>
          <w:kern w:val="32"/>
          <w:szCs w:val="21"/>
          <w:lang w:eastAsia="zh-CN"/>
        </w:rPr>
        <w:t>成交供应商</w:t>
      </w:r>
      <w:r>
        <w:rPr>
          <w:rStyle w:val="23"/>
          <w:rFonts w:hint="eastAsia" w:ascii="宋体" w:hAnsi="宋体" w:cs="宋体"/>
          <w:color w:val="auto"/>
          <w:kern w:val="32"/>
          <w:szCs w:val="21"/>
        </w:rPr>
        <w:t>必须派驻履行本合同书所需的有关人员和试验设备，并按试验检测人员的职业准则开展工作。</w:t>
      </w:r>
    </w:p>
    <w:p w14:paraId="19E18CC7">
      <w:pPr>
        <w:pStyle w:val="49"/>
        <w:spacing w:line="360" w:lineRule="auto"/>
        <w:ind w:firstLine="420" w:firstLineChars="200"/>
        <w:rPr>
          <w:rStyle w:val="23"/>
          <w:rFonts w:ascii="宋体" w:hAnsi="宋体" w:cs="宋体"/>
          <w:color w:val="auto"/>
          <w:kern w:val="32"/>
          <w:szCs w:val="21"/>
        </w:rPr>
      </w:pPr>
      <w:r>
        <w:rPr>
          <w:rStyle w:val="23"/>
          <w:rFonts w:hint="eastAsia" w:ascii="宋体" w:hAnsi="宋体" w:cs="宋体"/>
          <w:color w:val="auto"/>
          <w:kern w:val="32"/>
          <w:szCs w:val="21"/>
        </w:rPr>
        <w:t xml:space="preserve">5. </w:t>
      </w:r>
      <w:r>
        <w:rPr>
          <w:rStyle w:val="23"/>
          <w:rFonts w:hint="eastAsia" w:ascii="宋体" w:hAnsi="宋体" w:cs="宋体"/>
          <w:color w:val="auto"/>
          <w:kern w:val="32"/>
          <w:szCs w:val="21"/>
          <w:lang w:eastAsia="zh-CN"/>
        </w:rPr>
        <w:t>成交供应商</w:t>
      </w:r>
      <w:r>
        <w:rPr>
          <w:rStyle w:val="23"/>
          <w:rFonts w:hint="eastAsia" w:ascii="宋体" w:hAnsi="宋体" w:cs="宋体"/>
          <w:color w:val="auto"/>
          <w:kern w:val="32"/>
          <w:szCs w:val="21"/>
        </w:rPr>
        <w:t>派驻项目的项目负责人不得在</w:t>
      </w:r>
      <w:r>
        <w:rPr>
          <w:rStyle w:val="23"/>
          <w:rFonts w:hint="eastAsia" w:ascii="宋体" w:hAnsi="宋体" w:cs="宋体"/>
          <w:color w:val="auto"/>
          <w:kern w:val="32"/>
          <w:szCs w:val="21"/>
          <w:lang w:eastAsia="zh-CN"/>
        </w:rPr>
        <w:t>采购人</w:t>
      </w:r>
      <w:r>
        <w:rPr>
          <w:rStyle w:val="23"/>
          <w:rFonts w:hint="eastAsia" w:ascii="宋体" w:hAnsi="宋体" w:cs="宋体"/>
          <w:color w:val="auto"/>
          <w:kern w:val="32"/>
          <w:szCs w:val="21"/>
        </w:rPr>
        <w:t>处同时参与其他项目。</w:t>
      </w:r>
    </w:p>
    <w:p w14:paraId="553A7973">
      <w:pPr>
        <w:pStyle w:val="49"/>
        <w:spacing w:line="360" w:lineRule="auto"/>
        <w:ind w:firstLine="315" w:firstLineChars="150"/>
        <w:rPr>
          <w:rStyle w:val="23"/>
          <w:rFonts w:ascii="宋体" w:hAnsi="宋体" w:cs="宋体"/>
          <w:color w:val="auto"/>
          <w:kern w:val="32"/>
          <w:szCs w:val="21"/>
        </w:rPr>
      </w:pPr>
      <w:r>
        <w:rPr>
          <w:rStyle w:val="23"/>
          <w:rFonts w:hint="eastAsia" w:ascii="宋体" w:hAnsi="宋体" w:cs="宋体"/>
          <w:color w:val="auto"/>
          <w:kern w:val="32"/>
          <w:szCs w:val="21"/>
        </w:rPr>
        <w:t>（二）工作组织</w:t>
      </w:r>
    </w:p>
    <w:p w14:paraId="0BF12C52">
      <w:pPr>
        <w:pStyle w:val="49"/>
        <w:spacing w:line="360" w:lineRule="auto"/>
        <w:ind w:firstLine="420" w:firstLineChars="200"/>
        <w:rPr>
          <w:rStyle w:val="23"/>
          <w:rFonts w:ascii="宋体" w:hAnsi="宋体" w:cs="宋体"/>
          <w:color w:val="auto"/>
          <w:kern w:val="32"/>
          <w:szCs w:val="21"/>
        </w:rPr>
      </w:pPr>
      <w:r>
        <w:rPr>
          <w:rStyle w:val="23"/>
          <w:rFonts w:hint="eastAsia" w:ascii="宋体" w:hAnsi="宋体" w:cs="宋体"/>
          <w:color w:val="auto"/>
          <w:kern w:val="32"/>
          <w:szCs w:val="21"/>
        </w:rPr>
        <w:t xml:space="preserve">1. </w:t>
      </w:r>
      <w:r>
        <w:rPr>
          <w:rStyle w:val="23"/>
          <w:rFonts w:hint="eastAsia" w:ascii="宋体" w:hAnsi="宋体" w:cs="宋体"/>
          <w:color w:val="auto"/>
          <w:kern w:val="32"/>
          <w:szCs w:val="21"/>
          <w:lang w:eastAsia="zh-CN"/>
        </w:rPr>
        <w:t>成交供应商</w:t>
      </w:r>
      <w:r>
        <w:rPr>
          <w:rStyle w:val="23"/>
          <w:rFonts w:hint="eastAsia" w:ascii="宋体" w:hAnsi="宋体" w:cs="宋体"/>
          <w:color w:val="auto"/>
          <w:kern w:val="32"/>
          <w:szCs w:val="21"/>
        </w:rPr>
        <w:t>应指定专用邮箱用于接收</w:t>
      </w:r>
      <w:r>
        <w:rPr>
          <w:rStyle w:val="23"/>
          <w:rFonts w:hint="eastAsia" w:ascii="宋体" w:hAnsi="宋体" w:cs="宋体"/>
          <w:color w:val="auto"/>
          <w:kern w:val="32"/>
          <w:szCs w:val="21"/>
          <w:lang w:eastAsia="zh-CN"/>
        </w:rPr>
        <w:t>采购人</w:t>
      </w:r>
      <w:r>
        <w:rPr>
          <w:rStyle w:val="23"/>
          <w:rFonts w:hint="eastAsia" w:ascii="宋体" w:hAnsi="宋体" w:cs="宋体"/>
          <w:color w:val="auto"/>
          <w:kern w:val="32"/>
          <w:szCs w:val="21"/>
        </w:rPr>
        <w:t>的工作安排、要求，</w:t>
      </w:r>
      <w:r>
        <w:rPr>
          <w:rStyle w:val="23"/>
          <w:rFonts w:hint="eastAsia" w:ascii="宋体" w:hAnsi="宋体" w:cs="宋体"/>
          <w:color w:val="auto"/>
          <w:kern w:val="32"/>
          <w:szCs w:val="21"/>
          <w:lang w:eastAsia="zh-CN"/>
        </w:rPr>
        <w:t>采购人</w:t>
      </w:r>
      <w:r>
        <w:rPr>
          <w:rStyle w:val="23"/>
          <w:rFonts w:hint="eastAsia" w:ascii="宋体" w:hAnsi="宋体" w:cs="宋体"/>
          <w:color w:val="auto"/>
          <w:kern w:val="32"/>
          <w:szCs w:val="21"/>
        </w:rPr>
        <w:t>通过专用邮箱发送的工作安排和要求。</w:t>
      </w:r>
    </w:p>
    <w:p w14:paraId="212B7C8D">
      <w:pPr>
        <w:pStyle w:val="49"/>
        <w:spacing w:line="360" w:lineRule="auto"/>
        <w:ind w:firstLine="420" w:firstLineChars="200"/>
        <w:rPr>
          <w:rStyle w:val="23"/>
          <w:rFonts w:ascii="宋体" w:hAnsi="宋体" w:cs="宋体"/>
          <w:color w:val="auto"/>
          <w:kern w:val="32"/>
          <w:szCs w:val="21"/>
        </w:rPr>
      </w:pPr>
      <w:r>
        <w:rPr>
          <w:rStyle w:val="23"/>
          <w:rFonts w:hint="eastAsia" w:ascii="宋体" w:hAnsi="宋体" w:cs="宋体"/>
          <w:color w:val="auto"/>
          <w:kern w:val="32"/>
          <w:szCs w:val="21"/>
        </w:rPr>
        <w:t xml:space="preserve">2. </w:t>
      </w:r>
      <w:r>
        <w:rPr>
          <w:rStyle w:val="23"/>
          <w:rFonts w:hint="eastAsia" w:ascii="宋体" w:hAnsi="宋体" w:cs="宋体"/>
          <w:color w:val="auto"/>
          <w:kern w:val="32"/>
          <w:szCs w:val="21"/>
          <w:lang w:eastAsia="zh-CN"/>
        </w:rPr>
        <w:t>成交供应商</w:t>
      </w:r>
      <w:r>
        <w:rPr>
          <w:rStyle w:val="23"/>
          <w:rFonts w:hint="eastAsia" w:ascii="宋体" w:hAnsi="宋体" w:cs="宋体"/>
          <w:color w:val="auto"/>
          <w:kern w:val="32"/>
          <w:szCs w:val="21"/>
        </w:rPr>
        <w:t>应对检测任务合理组织分工，检测时间以</w:t>
      </w:r>
      <w:r>
        <w:rPr>
          <w:rStyle w:val="23"/>
          <w:rFonts w:hint="eastAsia" w:ascii="宋体" w:hAnsi="宋体" w:cs="宋体"/>
          <w:color w:val="auto"/>
          <w:kern w:val="32"/>
          <w:szCs w:val="21"/>
          <w:lang w:eastAsia="zh-CN"/>
        </w:rPr>
        <w:t>采购人</w:t>
      </w:r>
      <w:r>
        <w:rPr>
          <w:rStyle w:val="23"/>
          <w:rFonts w:hint="eastAsia" w:ascii="宋体" w:hAnsi="宋体" w:cs="宋体"/>
          <w:color w:val="auto"/>
          <w:kern w:val="32"/>
          <w:szCs w:val="21"/>
        </w:rPr>
        <w:t>工作安排为准。</w:t>
      </w:r>
    </w:p>
    <w:p w14:paraId="4C4D0953">
      <w:pPr>
        <w:pStyle w:val="49"/>
        <w:spacing w:line="360" w:lineRule="auto"/>
        <w:ind w:firstLine="420" w:firstLineChars="200"/>
        <w:rPr>
          <w:rStyle w:val="23"/>
          <w:rFonts w:ascii="宋体" w:hAnsi="宋体" w:cs="宋体"/>
          <w:color w:val="auto"/>
          <w:kern w:val="32"/>
          <w:szCs w:val="21"/>
        </w:rPr>
      </w:pPr>
      <w:r>
        <w:rPr>
          <w:rStyle w:val="23"/>
          <w:rFonts w:hint="eastAsia" w:ascii="宋体" w:hAnsi="宋体" w:cs="宋体"/>
          <w:color w:val="auto"/>
          <w:kern w:val="32"/>
          <w:szCs w:val="21"/>
        </w:rPr>
        <w:t xml:space="preserve">3. </w:t>
      </w:r>
      <w:r>
        <w:rPr>
          <w:rStyle w:val="23"/>
          <w:rFonts w:hint="eastAsia" w:ascii="宋体" w:hAnsi="宋体" w:cs="宋体"/>
          <w:color w:val="auto"/>
          <w:szCs w:val="21"/>
          <w:lang w:eastAsia="zh-CN"/>
        </w:rPr>
        <w:t>成交供应商</w:t>
      </w:r>
      <w:r>
        <w:rPr>
          <w:rStyle w:val="23"/>
          <w:rFonts w:hint="eastAsia" w:ascii="宋体" w:hAnsi="宋体" w:cs="宋体"/>
          <w:color w:val="auto"/>
          <w:szCs w:val="21"/>
        </w:rPr>
        <w:t>投入本项目的设备必须与</w:t>
      </w:r>
      <w:r>
        <w:rPr>
          <w:rStyle w:val="23"/>
          <w:rFonts w:hint="eastAsia" w:ascii="宋体" w:hAnsi="宋体" w:cs="宋体"/>
          <w:color w:val="auto"/>
          <w:szCs w:val="21"/>
          <w:lang w:eastAsia="zh-CN"/>
        </w:rPr>
        <w:t>响应文件</w:t>
      </w:r>
      <w:r>
        <w:rPr>
          <w:rStyle w:val="23"/>
          <w:rFonts w:hint="eastAsia" w:ascii="宋体" w:hAnsi="宋体" w:cs="宋体"/>
          <w:color w:val="auto"/>
          <w:szCs w:val="21"/>
        </w:rPr>
        <w:t>保持一致，原则上不得更换。</w:t>
      </w:r>
    </w:p>
    <w:p w14:paraId="018E65A5">
      <w:pPr>
        <w:pStyle w:val="49"/>
        <w:adjustRightInd w:val="0"/>
        <w:snapToGrid w:val="0"/>
        <w:spacing w:line="360" w:lineRule="auto"/>
        <w:ind w:firstLine="420" w:firstLineChars="200"/>
        <w:jc w:val="left"/>
        <w:rPr>
          <w:rStyle w:val="23"/>
          <w:rFonts w:ascii="宋体" w:hAnsi="宋体" w:cs="宋体"/>
          <w:color w:val="auto"/>
          <w:kern w:val="32"/>
          <w:szCs w:val="21"/>
        </w:rPr>
      </w:pPr>
      <w:r>
        <w:rPr>
          <w:rStyle w:val="23"/>
          <w:rFonts w:ascii="宋体" w:hAnsi="宋体" w:cs="宋体"/>
          <w:color w:val="auto"/>
          <w:kern w:val="32"/>
          <w:szCs w:val="21"/>
        </w:rPr>
        <w:t>4</w:t>
      </w:r>
      <w:r>
        <w:rPr>
          <w:rStyle w:val="23"/>
          <w:rFonts w:hint="eastAsia" w:ascii="宋体" w:hAnsi="宋体" w:cs="宋体"/>
          <w:color w:val="auto"/>
          <w:kern w:val="32"/>
          <w:szCs w:val="21"/>
        </w:rPr>
        <w:t xml:space="preserve">. </w:t>
      </w:r>
      <w:r>
        <w:rPr>
          <w:rStyle w:val="23"/>
          <w:rFonts w:hint="eastAsia" w:ascii="宋体" w:hAnsi="宋体" w:cs="宋体"/>
          <w:color w:val="auto"/>
          <w:szCs w:val="21"/>
          <w:lang w:eastAsia="zh-CN"/>
        </w:rPr>
        <w:t>成交供应商</w:t>
      </w:r>
      <w:r>
        <w:rPr>
          <w:rStyle w:val="23"/>
          <w:rFonts w:hint="eastAsia" w:ascii="宋体" w:hAnsi="宋体" w:cs="宋体"/>
          <w:color w:val="auto"/>
          <w:kern w:val="32"/>
          <w:szCs w:val="21"/>
        </w:rPr>
        <w:t>应服从采购人及主管部门的工作安排和相关规定。</w:t>
      </w:r>
    </w:p>
    <w:p w14:paraId="61E01BD1">
      <w:pPr>
        <w:pStyle w:val="49"/>
        <w:spacing w:line="360" w:lineRule="auto"/>
        <w:ind w:firstLine="315" w:firstLineChars="150"/>
        <w:rPr>
          <w:rStyle w:val="23"/>
          <w:rFonts w:ascii="宋体" w:hAnsi="宋体" w:cs="宋体"/>
          <w:color w:val="auto"/>
          <w:kern w:val="32"/>
          <w:szCs w:val="21"/>
        </w:rPr>
      </w:pPr>
      <w:r>
        <w:rPr>
          <w:rStyle w:val="23"/>
          <w:rFonts w:hint="eastAsia" w:ascii="宋体" w:hAnsi="宋体" w:cs="宋体"/>
          <w:color w:val="auto"/>
          <w:kern w:val="32"/>
          <w:szCs w:val="21"/>
        </w:rPr>
        <w:t>（三）纪律要求</w:t>
      </w:r>
    </w:p>
    <w:p w14:paraId="0ED1BE4D">
      <w:pPr>
        <w:pStyle w:val="49"/>
        <w:spacing w:line="360" w:lineRule="auto"/>
        <w:ind w:firstLine="420" w:firstLineChars="200"/>
        <w:rPr>
          <w:rStyle w:val="23"/>
          <w:rFonts w:ascii="宋体" w:hAnsi="宋体" w:cs="宋体"/>
          <w:color w:val="auto"/>
          <w:kern w:val="32"/>
          <w:szCs w:val="21"/>
        </w:rPr>
      </w:pPr>
      <w:r>
        <w:rPr>
          <w:rStyle w:val="23"/>
          <w:rFonts w:hint="eastAsia" w:ascii="宋体" w:hAnsi="宋体" w:cs="宋体"/>
          <w:color w:val="auto"/>
          <w:kern w:val="32"/>
          <w:szCs w:val="21"/>
        </w:rPr>
        <w:t xml:space="preserve">1. </w:t>
      </w:r>
      <w:r>
        <w:rPr>
          <w:rStyle w:val="23"/>
          <w:rFonts w:hint="eastAsia" w:ascii="宋体" w:hAnsi="宋体" w:cs="宋体"/>
          <w:color w:val="auto"/>
          <w:kern w:val="32"/>
          <w:szCs w:val="21"/>
          <w:lang w:eastAsia="zh-CN"/>
        </w:rPr>
        <w:t>响应</w:t>
      </w:r>
      <w:r>
        <w:rPr>
          <w:rStyle w:val="23"/>
          <w:rFonts w:hint="eastAsia" w:ascii="宋体" w:hAnsi="宋体" w:cs="宋体"/>
          <w:color w:val="auto"/>
          <w:kern w:val="32"/>
          <w:szCs w:val="21"/>
        </w:rPr>
        <w:t>供应商除向采购人收取合同约定的报酬外，</w:t>
      </w:r>
      <w:r>
        <w:rPr>
          <w:rStyle w:val="23"/>
          <w:rFonts w:hint="eastAsia" w:ascii="宋体" w:hAnsi="宋体" w:cs="宋体"/>
          <w:color w:val="auto"/>
          <w:kern w:val="32"/>
          <w:szCs w:val="21"/>
          <w:lang w:eastAsia="zh-CN"/>
        </w:rPr>
        <w:t>成交供应商</w:t>
      </w:r>
      <w:r>
        <w:rPr>
          <w:rStyle w:val="23"/>
          <w:rFonts w:hint="eastAsia" w:ascii="宋体" w:hAnsi="宋体" w:cs="宋体"/>
          <w:color w:val="auto"/>
          <w:kern w:val="32"/>
          <w:szCs w:val="21"/>
        </w:rPr>
        <w:t>及其所有参与本项目人员均不得接受与本合同项目有关的其它各方的任何津贴、</w:t>
      </w:r>
      <w:r>
        <w:rPr>
          <w:rStyle w:val="23"/>
          <w:rFonts w:hint="eastAsia" w:ascii="宋体" w:hAnsi="宋体" w:cs="宋体"/>
          <w:color w:val="auto"/>
        </w:rPr>
        <w:t>回报、礼金、有价证券等报酬</w:t>
      </w:r>
      <w:r>
        <w:rPr>
          <w:rStyle w:val="23"/>
          <w:rFonts w:hint="eastAsia" w:ascii="宋体" w:hAnsi="宋体" w:cs="宋体"/>
          <w:color w:val="auto"/>
          <w:kern w:val="32"/>
          <w:szCs w:val="21"/>
        </w:rPr>
        <w:t>。</w:t>
      </w:r>
    </w:p>
    <w:p w14:paraId="750D22AC">
      <w:pPr>
        <w:pStyle w:val="49"/>
        <w:spacing w:line="360" w:lineRule="auto"/>
        <w:ind w:firstLine="315" w:firstLineChars="150"/>
        <w:rPr>
          <w:rStyle w:val="23"/>
          <w:rFonts w:ascii="宋体" w:hAnsi="宋体" w:cs="宋体"/>
          <w:color w:val="auto"/>
          <w:kern w:val="32"/>
          <w:szCs w:val="21"/>
        </w:rPr>
      </w:pPr>
      <w:r>
        <w:rPr>
          <w:rStyle w:val="23"/>
          <w:rFonts w:hint="eastAsia" w:ascii="宋体" w:hAnsi="宋体" w:cs="宋体"/>
          <w:color w:val="auto"/>
          <w:kern w:val="32"/>
          <w:szCs w:val="21"/>
        </w:rPr>
        <w:t>（四）其他要求</w:t>
      </w:r>
    </w:p>
    <w:p w14:paraId="462A33EC">
      <w:pPr>
        <w:pStyle w:val="49"/>
        <w:spacing w:line="360" w:lineRule="auto"/>
        <w:ind w:firstLine="420" w:firstLineChars="200"/>
        <w:rPr>
          <w:rStyle w:val="23"/>
          <w:rFonts w:ascii="宋体" w:hAnsi="宋体" w:cs="宋体"/>
          <w:color w:val="auto"/>
          <w:kern w:val="32"/>
          <w:szCs w:val="21"/>
        </w:rPr>
      </w:pPr>
      <w:r>
        <w:rPr>
          <w:rStyle w:val="23"/>
          <w:rFonts w:hint="eastAsia" w:ascii="宋体" w:hAnsi="宋体" w:cs="宋体"/>
          <w:color w:val="auto"/>
          <w:kern w:val="32"/>
          <w:szCs w:val="21"/>
        </w:rPr>
        <w:t>1. 检测人员、车辆及设备工具的管理及安全由</w:t>
      </w:r>
      <w:r>
        <w:rPr>
          <w:rStyle w:val="23"/>
          <w:rFonts w:hint="eastAsia" w:ascii="宋体" w:hAnsi="宋体" w:cs="宋体"/>
          <w:color w:val="auto"/>
          <w:kern w:val="32"/>
          <w:szCs w:val="21"/>
          <w:lang w:eastAsia="zh-CN"/>
        </w:rPr>
        <w:t>成交供应商</w:t>
      </w:r>
      <w:r>
        <w:rPr>
          <w:rStyle w:val="23"/>
          <w:rFonts w:hint="eastAsia" w:ascii="宋体" w:hAnsi="宋体" w:cs="宋体"/>
          <w:color w:val="auto"/>
          <w:kern w:val="32"/>
          <w:szCs w:val="21"/>
        </w:rPr>
        <w:t>负责。检测人员的生活、办公、通讯以及各项保险等由</w:t>
      </w:r>
      <w:r>
        <w:rPr>
          <w:rStyle w:val="23"/>
          <w:rFonts w:hint="eastAsia" w:ascii="宋体" w:hAnsi="宋体" w:cs="宋体"/>
          <w:color w:val="auto"/>
          <w:kern w:val="32"/>
          <w:szCs w:val="21"/>
          <w:lang w:eastAsia="zh-CN"/>
        </w:rPr>
        <w:t>成交供应商</w:t>
      </w:r>
      <w:r>
        <w:rPr>
          <w:rStyle w:val="23"/>
          <w:rFonts w:hint="eastAsia" w:ascii="宋体" w:hAnsi="宋体" w:cs="宋体"/>
          <w:color w:val="auto"/>
          <w:kern w:val="32"/>
          <w:szCs w:val="21"/>
        </w:rPr>
        <w:t>承担。</w:t>
      </w:r>
    </w:p>
    <w:p w14:paraId="1841A293">
      <w:pPr>
        <w:pStyle w:val="49"/>
        <w:adjustRightInd w:val="0"/>
        <w:snapToGrid w:val="0"/>
        <w:spacing w:line="400" w:lineRule="exact"/>
        <w:ind w:firstLine="420" w:firstLineChars="200"/>
        <w:jc w:val="left"/>
        <w:rPr>
          <w:rStyle w:val="23"/>
          <w:rFonts w:ascii="宋体" w:hAnsi="宋体" w:cs="宋体"/>
          <w:color w:val="auto"/>
          <w:kern w:val="32"/>
          <w:szCs w:val="21"/>
        </w:rPr>
      </w:pPr>
      <w:r>
        <w:rPr>
          <w:rStyle w:val="23"/>
          <w:rFonts w:hint="eastAsia" w:ascii="宋体" w:hAnsi="宋体" w:cs="宋体"/>
          <w:color w:val="auto"/>
          <w:kern w:val="32"/>
          <w:szCs w:val="21"/>
        </w:rPr>
        <w:t>2.对于投诉的处理，如</w:t>
      </w:r>
      <w:r>
        <w:rPr>
          <w:rStyle w:val="23"/>
          <w:rFonts w:hint="eastAsia" w:ascii="宋体" w:hAnsi="宋体" w:cs="宋体"/>
          <w:color w:val="auto"/>
          <w:kern w:val="32"/>
          <w:szCs w:val="21"/>
          <w:lang w:eastAsia="zh-CN"/>
        </w:rPr>
        <w:t>成交供应商</w:t>
      </w:r>
      <w:r>
        <w:rPr>
          <w:rStyle w:val="23"/>
          <w:rFonts w:hint="eastAsia" w:ascii="宋体" w:hAnsi="宋体" w:cs="宋体"/>
          <w:color w:val="auto"/>
          <w:kern w:val="32"/>
          <w:szCs w:val="21"/>
        </w:rPr>
        <w:t>在履约过程中被相关单位投诉服务质量存在明显缺陷，且经采购人调查情况属实后，采购人有权追究</w:t>
      </w:r>
      <w:r>
        <w:rPr>
          <w:rStyle w:val="23"/>
          <w:rFonts w:hint="eastAsia" w:ascii="宋体" w:hAnsi="宋体" w:cs="宋体"/>
          <w:color w:val="auto"/>
          <w:kern w:val="32"/>
          <w:szCs w:val="21"/>
          <w:lang w:eastAsia="zh-CN"/>
        </w:rPr>
        <w:t>成交供应商</w:t>
      </w:r>
      <w:r>
        <w:rPr>
          <w:rStyle w:val="23"/>
          <w:rFonts w:hint="eastAsia" w:ascii="宋体" w:hAnsi="宋体" w:cs="宋体"/>
          <w:color w:val="auto"/>
          <w:kern w:val="32"/>
          <w:szCs w:val="21"/>
        </w:rPr>
        <w:t>相关责任。</w:t>
      </w:r>
    </w:p>
    <w:p w14:paraId="1BEF0FE0">
      <w:pPr>
        <w:pStyle w:val="49"/>
        <w:adjustRightInd w:val="0"/>
        <w:snapToGrid w:val="0"/>
        <w:spacing w:line="400" w:lineRule="exact"/>
        <w:ind w:firstLine="420" w:firstLineChars="200"/>
        <w:jc w:val="left"/>
        <w:rPr>
          <w:rStyle w:val="23"/>
          <w:rFonts w:hint="eastAsia" w:ascii="宋体" w:hAnsi="宋体" w:cs="宋体"/>
          <w:color w:val="auto"/>
          <w:kern w:val="32"/>
          <w:szCs w:val="21"/>
        </w:rPr>
      </w:pPr>
      <w:r>
        <w:rPr>
          <w:rStyle w:val="23"/>
          <w:rFonts w:hint="eastAsia" w:ascii="宋体" w:hAnsi="宋体" w:cs="宋体"/>
          <w:color w:val="auto"/>
          <w:kern w:val="32"/>
          <w:szCs w:val="21"/>
        </w:rPr>
        <w:t>3.</w:t>
      </w:r>
      <w:r>
        <w:rPr>
          <w:rStyle w:val="23"/>
          <w:rFonts w:hint="eastAsia" w:ascii="宋体" w:hAnsi="宋体" w:cs="宋体"/>
          <w:color w:val="auto"/>
          <w:kern w:val="32"/>
          <w:szCs w:val="21"/>
          <w:lang w:eastAsia="zh-CN"/>
        </w:rPr>
        <w:t>成交供应商</w:t>
      </w:r>
      <w:r>
        <w:rPr>
          <w:rStyle w:val="23"/>
          <w:rFonts w:hint="eastAsia" w:ascii="宋体" w:hAnsi="宋体" w:cs="宋体"/>
          <w:color w:val="auto"/>
          <w:kern w:val="32"/>
          <w:szCs w:val="21"/>
        </w:rPr>
        <w:t>所提供的成果报告应符合交通运输部路网监测技术要求和部省相关规范要求，并经过同等资质单位和专家评审认定，如果成果报告存在缺陷，应补充服务并修订完善，若经过修改人存在缺陷，采购人有权追究</w:t>
      </w:r>
      <w:r>
        <w:rPr>
          <w:rStyle w:val="23"/>
          <w:rFonts w:hint="eastAsia" w:ascii="宋体" w:hAnsi="宋体" w:cs="宋体"/>
          <w:color w:val="auto"/>
          <w:kern w:val="32"/>
          <w:szCs w:val="21"/>
          <w:lang w:eastAsia="zh-CN"/>
        </w:rPr>
        <w:t>成交供应商</w:t>
      </w:r>
      <w:r>
        <w:rPr>
          <w:rStyle w:val="23"/>
          <w:rFonts w:hint="eastAsia" w:ascii="宋体" w:hAnsi="宋体" w:cs="宋体"/>
          <w:color w:val="auto"/>
          <w:kern w:val="32"/>
          <w:szCs w:val="21"/>
        </w:rPr>
        <w:t>相关责任。</w:t>
      </w:r>
    </w:p>
    <w:p w14:paraId="1CA89810">
      <w:pPr>
        <w:rPr>
          <w:rStyle w:val="23"/>
          <w:rFonts w:hint="eastAsia" w:ascii="黑体" w:hAnsi="黑体" w:eastAsia="黑体" w:cs="Times New Roman"/>
          <w:b/>
          <w:bCs/>
          <w:sz w:val="28"/>
          <w:szCs w:val="28"/>
        </w:rPr>
      </w:pPr>
      <w:r>
        <w:rPr>
          <w:rStyle w:val="23"/>
          <w:rFonts w:hint="eastAsia" w:ascii="黑体" w:hAnsi="黑体" w:eastAsia="黑体" w:cs="Times New Roman"/>
          <w:b/>
          <w:bCs/>
          <w:sz w:val="28"/>
          <w:szCs w:val="28"/>
        </w:rPr>
        <w:br w:type="page"/>
      </w:r>
    </w:p>
    <w:p w14:paraId="2D35E835">
      <w:pPr>
        <w:pStyle w:val="49"/>
        <w:keepNext/>
        <w:keepLines/>
        <w:adjustRightInd w:val="0"/>
        <w:snapToGrid w:val="0"/>
        <w:spacing w:before="156" w:beforeLines="50" w:line="360" w:lineRule="auto"/>
        <w:jc w:val="center"/>
        <w:outlineLvl w:val="1"/>
        <w:rPr>
          <w:rStyle w:val="23"/>
          <w:rFonts w:ascii="Times New Roman" w:hAnsi="Times New Roman" w:eastAsia="宋体" w:cs="Times New Roman"/>
          <w:color w:val="000000"/>
          <w:szCs w:val="24"/>
        </w:rPr>
      </w:pPr>
      <w:bookmarkStart w:id="126" w:name="_Toc1950444270"/>
      <w:r>
        <w:rPr>
          <w:rStyle w:val="23"/>
          <w:rFonts w:hint="eastAsia" w:ascii="黑体" w:hAnsi="黑体" w:eastAsia="黑体" w:cs="Times New Roman"/>
          <w:b/>
          <w:bCs/>
          <w:sz w:val="28"/>
          <w:szCs w:val="28"/>
        </w:rPr>
        <w:t>第三节 商务要求</w:t>
      </w:r>
      <w:bookmarkEnd w:id="126"/>
    </w:p>
    <w:p w14:paraId="3DC0C25D">
      <w:pPr>
        <w:pStyle w:val="49"/>
        <w:widowControl/>
        <w:spacing w:before="240" w:after="240"/>
        <w:jc w:val="left"/>
        <w:rPr>
          <w:rStyle w:val="23"/>
          <w:rFonts w:ascii="宋体" w:hAnsi="宋体" w:eastAsia="宋体" w:cs="宋体"/>
          <w:color w:val="000000"/>
          <w:spacing w:val="30"/>
          <w:kern w:val="0"/>
          <w:szCs w:val="21"/>
        </w:rPr>
      </w:pPr>
      <w:r>
        <w:rPr>
          <w:rStyle w:val="23"/>
          <w:rFonts w:ascii="宋体" w:hAnsi="宋体" w:eastAsia="宋体" w:cs="宋体"/>
          <w:color w:val="000000"/>
          <w:spacing w:val="30"/>
          <w:kern w:val="0"/>
          <w:szCs w:val="21"/>
        </w:rPr>
        <w:t>一、主要商务要求</w:t>
      </w:r>
    </w:p>
    <w:tbl>
      <w:tblPr>
        <w:tblStyle w:val="21"/>
        <w:tblW w:w="77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57"/>
        <w:gridCol w:w="5464"/>
      </w:tblGrid>
      <w:tr w14:paraId="02A614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2" w:hRule="exact"/>
          <w:jc w:val="center"/>
        </w:trPr>
        <w:tc>
          <w:tcPr>
            <w:tcW w:w="2257" w:type="dxa"/>
            <w:noWrap w:val="0"/>
            <w:vAlign w:val="center"/>
          </w:tcPr>
          <w:p w14:paraId="1F2D4788">
            <w:pPr>
              <w:pStyle w:val="49"/>
              <w:widowControl/>
              <w:spacing w:line="276" w:lineRule="auto"/>
              <w:jc w:val="center"/>
              <w:rPr>
                <w:rStyle w:val="23"/>
                <w:rFonts w:ascii="宋体" w:hAnsi="宋体" w:eastAsia="宋体" w:cs="Times New Roman"/>
                <w:color w:val="000000"/>
                <w:kern w:val="2"/>
                <w:sz w:val="21"/>
                <w:szCs w:val="21"/>
                <w:lang w:val="en-US" w:eastAsia="zh-CN" w:bidi="ar-SA"/>
              </w:rPr>
            </w:pPr>
            <w:r>
              <w:rPr>
                <w:rStyle w:val="23"/>
                <w:rFonts w:hint="eastAsia" w:ascii="宋体" w:hAnsi="宋体" w:eastAsia="宋体" w:cs="Times New Roman"/>
                <w:color w:val="000000"/>
                <w:kern w:val="2"/>
                <w:sz w:val="21"/>
                <w:szCs w:val="21"/>
                <w:lang w:val="en-US" w:eastAsia="zh-CN" w:bidi="ar-SA"/>
              </w:rPr>
              <w:t xml:space="preserve">甲方名称、地址 </w:t>
            </w:r>
          </w:p>
        </w:tc>
        <w:tc>
          <w:tcPr>
            <w:tcW w:w="5464" w:type="dxa"/>
            <w:noWrap w:val="0"/>
            <w:vAlign w:val="center"/>
          </w:tcPr>
          <w:p w14:paraId="6DDBA477">
            <w:pPr>
              <w:pStyle w:val="49"/>
              <w:widowControl/>
              <w:jc w:val="left"/>
              <w:rPr>
                <w:rStyle w:val="23"/>
                <w:rFonts w:ascii="宋体" w:hAnsi="宋体" w:eastAsia="宋体" w:cs="宋体"/>
                <w:color w:val="000000"/>
                <w:spacing w:val="30"/>
                <w:kern w:val="0"/>
                <w:sz w:val="21"/>
                <w:szCs w:val="21"/>
                <w:u w:val="single"/>
                <w:lang w:val="en-US" w:eastAsia="zh-CN" w:bidi="ar-SA"/>
              </w:rPr>
            </w:pPr>
            <w:r>
              <w:rPr>
                <w:rStyle w:val="23"/>
                <w:rFonts w:hint="eastAsia" w:ascii="宋体" w:hAnsi="宋体" w:eastAsia="宋体" w:cs="宋体"/>
                <w:color w:val="000000"/>
                <w:spacing w:val="30"/>
                <w:kern w:val="0"/>
                <w:sz w:val="21"/>
                <w:szCs w:val="21"/>
                <w:lang w:val="en-US" w:eastAsia="zh-CN" w:bidi="ar-SA"/>
              </w:rPr>
              <w:t>名称：</w:t>
            </w:r>
            <w:r>
              <w:rPr>
                <w:rStyle w:val="23"/>
                <w:rFonts w:hint="eastAsia" w:ascii="宋体" w:hAnsi="宋体" w:eastAsia="宋体" w:cs="Times New Roman"/>
                <w:color w:val="000000"/>
                <w:kern w:val="2"/>
                <w:sz w:val="21"/>
                <w:szCs w:val="21"/>
                <w:u w:val="single"/>
                <w:lang w:val="en-US" w:eastAsia="zh-CN" w:bidi="ar-SA"/>
              </w:rPr>
              <w:t>湖南省公路事务中心</w:t>
            </w:r>
          </w:p>
          <w:p w14:paraId="7B612174">
            <w:pPr>
              <w:pStyle w:val="49"/>
              <w:widowControl/>
              <w:jc w:val="left"/>
              <w:rPr>
                <w:rStyle w:val="23"/>
                <w:rFonts w:ascii="宋体" w:hAnsi="宋体" w:eastAsia="宋体" w:cs="宋体"/>
                <w:color w:val="000000"/>
                <w:spacing w:val="30"/>
                <w:kern w:val="0"/>
                <w:sz w:val="21"/>
                <w:szCs w:val="21"/>
                <w:lang w:val="en-US" w:eastAsia="zh-CN" w:bidi="ar-SA"/>
              </w:rPr>
            </w:pPr>
            <w:r>
              <w:rPr>
                <w:rStyle w:val="23"/>
                <w:rFonts w:hint="eastAsia" w:ascii="宋体" w:hAnsi="宋体" w:eastAsia="宋体" w:cs="宋体"/>
                <w:color w:val="000000"/>
                <w:spacing w:val="30"/>
                <w:kern w:val="0"/>
                <w:sz w:val="21"/>
                <w:szCs w:val="21"/>
                <w:lang w:val="en-US" w:eastAsia="zh-CN" w:bidi="ar-SA"/>
              </w:rPr>
              <w:t>地址：</w:t>
            </w:r>
            <w:r>
              <w:rPr>
                <w:rStyle w:val="23"/>
                <w:rFonts w:hint="eastAsia" w:ascii="宋体" w:hAnsi="宋体" w:eastAsia="宋体" w:cs="Times New Roman"/>
                <w:color w:val="000000"/>
                <w:kern w:val="2"/>
                <w:sz w:val="21"/>
                <w:szCs w:val="21"/>
                <w:u w:val="single"/>
                <w:lang w:val="en-US" w:eastAsia="zh-CN" w:bidi="ar-SA"/>
              </w:rPr>
              <w:t>长沙市八一路520号</w:t>
            </w:r>
          </w:p>
        </w:tc>
      </w:tr>
      <w:tr w14:paraId="5904ED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9" w:hRule="exact"/>
          <w:jc w:val="center"/>
        </w:trPr>
        <w:tc>
          <w:tcPr>
            <w:tcW w:w="2257" w:type="dxa"/>
            <w:noWrap w:val="0"/>
            <w:vAlign w:val="center"/>
          </w:tcPr>
          <w:p w14:paraId="278FA541">
            <w:pPr>
              <w:pStyle w:val="49"/>
              <w:widowControl/>
              <w:spacing w:line="276" w:lineRule="auto"/>
              <w:jc w:val="center"/>
              <w:rPr>
                <w:rStyle w:val="23"/>
                <w:rFonts w:ascii="宋体" w:hAnsi="宋体" w:eastAsia="宋体" w:cs="Times New Roman"/>
                <w:color w:val="000000"/>
                <w:kern w:val="2"/>
                <w:sz w:val="21"/>
                <w:szCs w:val="21"/>
                <w:lang w:val="en-US" w:eastAsia="zh-CN" w:bidi="ar-SA"/>
              </w:rPr>
            </w:pPr>
            <w:r>
              <w:rPr>
                <w:rStyle w:val="23"/>
                <w:rFonts w:hint="eastAsia" w:ascii="宋体" w:hAnsi="宋体" w:eastAsia="宋体" w:cs="Times New Roman"/>
                <w:color w:val="000000"/>
                <w:kern w:val="2"/>
                <w:sz w:val="21"/>
                <w:szCs w:val="21"/>
                <w:lang w:val="en-US" w:eastAsia="zh-CN" w:bidi="ar-SA"/>
              </w:rPr>
              <w:t>项目现场</w:t>
            </w:r>
          </w:p>
        </w:tc>
        <w:tc>
          <w:tcPr>
            <w:tcW w:w="5464" w:type="dxa"/>
            <w:noWrap w:val="0"/>
            <w:vAlign w:val="center"/>
          </w:tcPr>
          <w:p w14:paraId="5AC1A6ED">
            <w:pPr>
              <w:pStyle w:val="49"/>
              <w:widowControl/>
              <w:spacing w:line="276" w:lineRule="auto"/>
              <w:jc w:val="left"/>
              <w:rPr>
                <w:rStyle w:val="23"/>
                <w:rFonts w:ascii="宋体" w:hAnsi="宋体" w:eastAsia="宋体" w:cs="宋体"/>
                <w:color w:val="000000"/>
                <w:spacing w:val="30"/>
                <w:kern w:val="0"/>
                <w:sz w:val="21"/>
                <w:szCs w:val="21"/>
                <w:u w:val="single"/>
                <w:lang w:val="en-US" w:eastAsia="zh-CN" w:bidi="ar-SA"/>
              </w:rPr>
            </w:pPr>
            <w:r>
              <w:rPr>
                <w:rStyle w:val="23"/>
                <w:rFonts w:hint="eastAsia" w:ascii="宋体" w:hAnsi="宋体" w:eastAsia="宋体" w:cs="Times New Roman"/>
                <w:color w:val="000000"/>
                <w:kern w:val="2"/>
                <w:sz w:val="21"/>
                <w:szCs w:val="21"/>
                <w:u w:val="single"/>
                <w:lang w:val="en-US" w:eastAsia="zh-CN" w:bidi="ar-SA"/>
              </w:rPr>
              <w:t>采购人指定地点</w:t>
            </w:r>
          </w:p>
        </w:tc>
      </w:tr>
      <w:tr w14:paraId="25CDCB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56" w:hRule="exact"/>
          <w:jc w:val="center"/>
        </w:trPr>
        <w:tc>
          <w:tcPr>
            <w:tcW w:w="2257" w:type="dxa"/>
            <w:noWrap w:val="0"/>
            <w:vAlign w:val="center"/>
          </w:tcPr>
          <w:p w14:paraId="50D8D699">
            <w:pPr>
              <w:pStyle w:val="49"/>
              <w:widowControl/>
              <w:spacing w:line="276" w:lineRule="auto"/>
              <w:jc w:val="center"/>
              <w:rPr>
                <w:rStyle w:val="23"/>
                <w:rFonts w:ascii="宋体" w:hAnsi="宋体" w:eastAsia="宋体" w:cs="Times New Roman"/>
                <w:color w:val="000000"/>
                <w:kern w:val="2"/>
                <w:sz w:val="21"/>
                <w:szCs w:val="21"/>
                <w:lang w:val="en-US" w:eastAsia="zh-CN" w:bidi="ar-SA"/>
              </w:rPr>
            </w:pPr>
            <w:r>
              <w:rPr>
                <w:rStyle w:val="23"/>
                <w:rFonts w:hint="eastAsia" w:ascii="宋体" w:hAnsi="宋体" w:eastAsia="宋体" w:cs="Times New Roman"/>
                <w:color w:val="000000"/>
                <w:kern w:val="2"/>
                <w:sz w:val="21"/>
                <w:szCs w:val="21"/>
                <w:lang w:val="en-US" w:eastAsia="zh-CN" w:bidi="ar-SA"/>
              </w:rPr>
              <w:t>履行合同的时间、地点及方式</w:t>
            </w:r>
          </w:p>
        </w:tc>
        <w:tc>
          <w:tcPr>
            <w:tcW w:w="5464" w:type="dxa"/>
            <w:noWrap w:val="0"/>
            <w:vAlign w:val="center"/>
          </w:tcPr>
          <w:p w14:paraId="534F96EB">
            <w:pPr>
              <w:pStyle w:val="49"/>
              <w:widowControl w:val="0"/>
              <w:adjustRightInd w:val="0"/>
              <w:snapToGrid w:val="0"/>
              <w:spacing w:line="276" w:lineRule="auto"/>
              <w:jc w:val="left"/>
              <w:rPr>
                <w:rStyle w:val="23"/>
                <w:rFonts w:ascii="宋体" w:hAnsi="宋体" w:eastAsia="宋体" w:cs="Times New Roman"/>
                <w:color w:val="000000"/>
                <w:kern w:val="2"/>
                <w:sz w:val="21"/>
                <w:szCs w:val="21"/>
                <w:highlight w:val="none"/>
                <w:lang w:val="en-US" w:eastAsia="zh-CN" w:bidi="ar-SA"/>
              </w:rPr>
            </w:pPr>
            <w:r>
              <w:rPr>
                <w:rStyle w:val="23"/>
                <w:rFonts w:hint="eastAsia" w:ascii="宋体" w:hAnsi="宋体" w:eastAsia="宋体" w:cs="Times New Roman"/>
                <w:color w:val="000000"/>
                <w:kern w:val="2"/>
                <w:sz w:val="21"/>
                <w:szCs w:val="21"/>
                <w:highlight w:val="none"/>
                <w:lang w:val="en-US" w:eastAsia="zh-CN" w:bidi="ar-SA"/>
              </w:rPr>
              <w:t>服务时间：</w:t>
            </w:r>
            <w:r>
              <w:rPr>
                <w:rStyle w:val="23"/>
                <w:rFonts w:hint="eastAsia" w:ascii="宋体" w:hAnsi="宋体" w:eastAsia="宋体" w:cs="Times New Roman"/>
                <w:color w:val="000000"/>
                <w:kern w:val="2"/>
                <w:sz w:val="21"/>
                <w:szCs w:val="21"/>
                <w:highlight w:val="none"/>
                <w:u w:val="single"/>
                <w:lang w:val="en-US" w:eastAsia="zh-CN" w:bidi="ar-SA"/>
              </w:rPr>
              <w:t>服务期1年，自合同签订之日起算。</w:t>
            </w:r>
          </w:p>
          <w:p w14:paraId="3134CE59">
            <w:pPr>
              <w:pStyle w:val="49"/>
              <w:widowControl/>
              <w:spacing w:line="276" w:lineRule="auto"/>
              <w:jc w:val="left"/>
              <w:rPr>
                <w:rStyle w:val="23"/>
                <w:rFonts w:ascii="宋体" w:hAnsi="宋体" w:eastAsia="宋体" w:cs="宋体"/>
                <w:color w:val="000000"/>
                <w:spacing w:val="30"/>
                <w:kern w:val="0"/>
                <w:sz w:val="21"/>
                <w:szCs w:val="21"/>
                <w:highlight w:val="none"/>
                <w:lang w:val="en-US" w:eastAsia="zh-CN" w:bidi="ar-SA"/>
              </w:rPr>
            </w:pPr>
            <w:r>
              <w:rPr>
                <w:rStyle w:val="23"/>
                <w:rFonts w:hint="eastAsia" w:ascii="宋体" w:hAnsi="宋体" w:eastAsia="宋体" w:cs="Times New Roman"/>
                <w:color w:val="000000"/>
                <w:kern w:val="2"/>
                <w:sz w:val="21"/>
                <w:szCs w:val="21"/>
                <w:highlight w:val="none"/>
                <w:lang w:val="en-US" w:eastAsia="zh-CN" w:bidi="ar-SA"/>
              </w:rPr>
              <w:t>服务地点：</w:t>
            </w:r>
            <w:r>
              <w:rPr>
                <w:rStyle w:val="23"/>
                <w:rFonts w:hint="eastAsia" w:ascii="宋体" w:hAnsi="宋体" w:eastAsia="宋体" w:cs="Times New Roman"/>
                <w:color w:val="000000"/>
                <w:kern w:val="2"/>
                <w:sz w:val="21"/>
                <w:szCs w:val="21"/>
                <w:highlight w:val="none"/>
                <w:u w:val="single"/>
                <w:lang w:val="en-US" w:eastAsia="zh-CN" w:bidi="ar-SA"/>
              </w:rPr>
              <w:t xml:space="preserve"> 采购人指定地点  </w:t>
            </w:r>
          </w:p>
        </w:tc>
      </w:tr>
      <w:tr w14:paraId="24FDD9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2257" w:type="dxa"/>
            <w:noWrap w:val="0"/>
            <w:vAlign w:val="center"/>
          </w:tcPr>
          <w:p w14:paraId="10B6FF3D">
            <w:pPr>
              <w:pStyle w:val="49"/>
              <w:widowControl/>
              <w:spacing w:line="276" w:lineRule="auto"/>
              <w:jc w:val="center"/>
              <w:rPr>
                <w:rStyle w:val="23"/>
                <w:rFonts w:ascii="宋体" w:hAnsi="宋体" w:eastAsia="宋体" w:cs="Times New Roman"/>
                <w:color w:val="000000"/>
                <w:kern w:val="2"/>
                <w:sz w:val="21"/>
                <w:szCs w:val="21"/>
                <w:lang w:val="en-US" w:eastAsia="zh-CN" w:bidi="ar-SA"/>
              </w:rPr>
            </w:pPr>
            <w:r>
              <w:rPr>
                <w:rStyle w:val="23"/>
                <w:rFonts w:hint="eastAsia" w:ascii="宋体" w:hAnsi="宋体" w:eastAsia="宋体" w:cs="Times New Roman"/>
                <w:color w:val="000000"/>
                <w:kern w:val="2"/>
                <w:sz w:val="21"/>
                <w:szCs w:val="21"/>
                <w:lang w:val="en-US" w:eastAsia="zh-CN" w:bidi="ar-SA"/>
              </w:rPr>
              <w:t>服务质量保证期</w:t>
            </w:r>
          </w:p>
        </w:tc>
        <w:tc>
          <w:tcPr>
            <w:tcW w:w="5464" w:type="dxa"/>
            <w:noWrap w:val="0"/>
            <w:vAlign w:val="center"/>
          </w:tcPr>
          <w:p w14:paraId="386248A6">
            <w:pPr>
              <w:pStyle w:val="49"/>
              <w:widowControl/>
              <w:spacing w:line="276" w:lineRule="auto"/>
              <w:jc w:val="left"/>
              <w:rPr>
                <w:rStyle w:val="23"/>
                <w:rFonts w:ascii="宋体" w:hAnsi="宋体" w:eastAsia="宋体" w:cs="宋体"/>
                <w:color w:val="000000"/>
                <w:spacing w:val="30"/>
                <w:kern w:val="0"/>
                <w:sz w:val="21"/>
                <w:szCs w:val="21"/>
                <w:u w:val="single"/>
                <w:lang w:val="en-US" w:eastAsia="zh-CN" w:bidi="ar-SA"/>
              </w:rPr>
            </w:pPr>
            <w:r>
              <w:rPr>
                <w:rStyle w:val="23"/>
                <w:rFonts w:hint="eastAsia" w:ascii="宋体" w:hAnsi="Times New Roman" w:eastAsia="宋体" w:cs="宋体"/>
                <w:color w:val="000000"/>
                <w:kern w:val="0"/>
                <w:sz w:val="21"/>
                <w:szCs w:val="21"/>
                <w:u w:val="single"/>
                <w:lang w:val="zh-CN" w:eastAsia="zh-CN" w:bidi="ar-SA"/>
              </w:rPr>
              <w:t>/</w:t>
            </w:r>
          </w:p>
        </w:tc>
      </w:tr>
      <w:tr w14:paraId="36FB53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7" w:hRule="atLeast"/>
          <w:jc w:val="center"/>
        </w:trPr>
        <w:tc>
          <w:tcPr>
            <w:tcW w:w="2257" w:type="dxa"/>
            <w:noWrap w:val="0"/>
            <w:vAlign w:val="center"/>
          </w:tcPr>
          <w:p w14:paraId="14AC935F">
            <w:pPr>
              <w:pStyle w:val="49"/>
              <w:widowControl/>
              <w:spacing w:line="276" w:lineRule="auto"/>
              <w:jc w:val="center"/>
              <w:rPr>
                <w:rStyle w:val="23"/>
                <w:rFonts w:ascii="宋体" w:hAnsi="宋体" w:eastAsia="宋体" w:cs="Times New Roman"/>
                <w:color w:val="000000"/>
                <w:kern w:val="2"/>
                <w:sz w:val="21"/>
                <w:szCs w:val="21"/>
                <w:lang w:val="en-US" w:eastAsia="zh-CN" w:bidi="ar-SA"/>
              </w:rPr>
            </w:pPr>
            <w:r>
              <w:rPr>
                <w:rStyle w:val="23"/>
                <w:rFonts w:hint="eastAsia" w:ascii="宋体" w:hAnsi="宋体" w:eastAsia="宋体" w:cs="Times New Roman"/>
                <w:color w:val="000000"/>
                <w:kern w:val="2"/>
                <w:sz w:val="21"/>
                <w:szCs w:val="21"/>
                <w:lang w:val="en-US" w:eastAsia="zh-CN" w:bidi="ar-SA"/>
              </w:rPr>
              <w:t>响应时间</w:t>
            </w:r>
          </w:p>
        </w:tc>
        <w:tc>
          <w:tcPr>
            <w:tcW w:w="5464" w:type="dxa"/>
            <w:noWrap w:val="0"/>
            <w:vAlign w:val="center"/>
          </w:tcPr>
          <w:p w14:paraId="21AFF668">
            <w:pPr>
              <w:pStyle w:val="49"/>
              <w:widowControl/>
              <w:spacing w:line="276" w:lineRule="auto"/>
              <w:jc w:val="left"/>
              <w:rPr>
                <w:rStyle w:val="23"/>
                <w:rFonts w:ascii="宋体" w:hAnsi="宋体" w:eastAsia="宋体" w:cs="宋体"/>
                <w:color w:val="000000"/>
                <w:spacing w:val="30"/>
                <w:kern w:val="0"/>
                <w:sz w:val="21"/>
                <w:szCs w:val="21"/>
                <w:u w:val="single"/>
                <w:lang w:val="en-US" w:eastAsia="zh-CN" w:bidi="ar-SA"/>
              </w:rPr>
            </w:pPr>
            <w:r>
              <w:rPr>
                <w:rStyle w:val="23"/>
                <w:rFonts w:hint="eastAsia" w:ascii="宋体" w:hAnsi="宋体" w:eastAsia="宋体" w:cs="Times New Roman"/>
                <w:color w:val="000000"/>
                <w:kern w:val="2"/>
                <w:sz w:val="21"/>
                <w:szCs w:val="21"/>
                <w:u w:val="single"/>
                <w:lang w:val="en-US" w:eastAsia="zh-CN" w:bidi="ar-SA"/>
              </w:rPr>
              <w:t>/</w:t>
            </w:r>
          </w:p>
        </w:tc>
      </w:tr>
      <w:tr w14:paraId="6B7BF0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257" w:type="dxa"/>
            <w:noWrap w:val="0"/>
            <w:vAlign w:val="center"/>
          </w:tcPr>
          <w:p w14:paraId="2FD32F85">
            <w:pPr>
              <w:pStyle w:val="49"/>
              <w:widowControl/>
              <w:spacing w:line="276" w:lineRule="auto"/>
              <w:jc w:val="center"/>
              <w:rPr>
                <w:rStyle w:val="23"/>
                <w:rFonts w:ascii="宋体" w:hAnsi="宋体" w:eastAsia="宋体" w:cs="Times New Roman"/>
                <w:color w:val="000000"/>
                <w:kern w:val="2"/>
                <w:sz w:val="21"/>
                <w:szCs w:val="21"/>
                <w:lang w:val="en-US" w:eastAsia="zh-CN" w:bidi="ar-SA"/>
              </w:rPr>
            </w:pPr>
            <w:r>
              <w:rPr>
                <w:rStyle w:val="23"/>
                <w:rFonts w:hint="eastAsia" w:ascii="宋体" w:hAnsi="宋体" w:eastAsia="宋体" w:cs="Times New Roman"/>
                <w:color w:val="000000"/>
                <w:kern w:val="2"/>
                <w:sz w:val="21"/>
                <w:szCs w:val="21"/>
                <w:lang w:val="en-US" w:eastAsia="zh-CN" w:bidi="ar-SA"/>
              </w:rPr>
              <w:t>合同价款支付方式和条件</w:t>
            </w:r>
          </w:p>
        </w:tc>
        <w:tc>
          <w:tcPr>
            <w:tcW w:w="5464" w:type="dxa"/>
            <w:noWrap w:val="0"/>
            <w:vAlign w:val="center"/>
          </w:tcPr>
          <w:p w14:paraId="25579AFC">
            <w:pPr>
              <w:pStyle w:val="49"/>
              <w:widowControl/>
              <w:spacing w:line="276" w:lineRule="auto"/>
              <w:jc w:val="left"/>
              <w:rPr>
                <w:rStyle w:val="23"/>
                <w:rFonts w:ascii="Times New Roman" w:hAnsi="Times New Roman" w:eastAsia="宋体" w:cs="Times New Roman"/>
                <w:color w:val="000000"/>
                <w:kern w:val="2"/>
                <w:sz w:val="21"/>
                <w:szCs w:val="24"/>
                <w:highlight w:val="none"/>
                <w:lang w:val="en-US" w:eastAsia="zh-CN" w:bidi="ar-SA"/>
              </w:rPr>
            </w:pPr>
            <w:r>
              <w:rPr>
                <w:rStyle w:val="23"/>
                <w:rFonts w:hint="eastAsia" w:ascii="Times New Roman" w:hAnsi="Times New Roman" w:eastAsia="宋体" w:cs="Times New Roman"/>
                <w:color w:val="000000"/>
                <w:kern w:val="2"/>
                <w:sz w:val="21"/>
                <w:szCs w:val="24"/>
                <w:highlight w:val="none"/>
                <w:lang w:val="en-US" w:eastAsia="zh-CN" w:bidi="ar-SA"/>
              </w:rPr>
              <w:t>支付方式：</w:t>
            </w:r>
            <w:r>
              <w:rPr>
                <w:rStyle w:val="23"/>
                <w:rFonts w:hint="eastAsia" w:ascii="MS Mincho" w:hAnsi="MS Mincho" w:eastAsia="MS Mincho" w:cs="MS Mincho"/>
                <w:color w:val="000000"/>
                <w:kern w:val="2"/>
                <w:sz w:val="21"/>
                <w:szCs w:val="24"/>
                <w:highlight w:val="none"/>
                <w:lang w:val="en-US" w:eastAsia="zh-CN" w:bidi="ar-SA"/>
              </w:rPr>
              <w:t>☑</w:t>
            </w:r>
            <w:r>
              <w:rPr>
                <w:rStyle w:val="23"/>
                <w:rFonts w:hint="eastAsia" w:ascii="宋体" w:hAnsi="宋体" w:eastAsia="宋体" w:cs="宋体"/>
                <w:color w:val="000000"/>
                <w:kern w:val="2"/>
                <w:sz w:val="21"/>
                <w:szCs w:val="24"/>
                <w:highlight w:val="none"/>
                <w:lang w:val="en-US" w:eastAsia="zh-CN" w:bidi="ar-SA"/>
              </w:rPr>
              <w:t>国库支付□自行支付□其它</w:t>
            </w:r>
          </w:p>
          <w:p w14:paraId="7C180709">
            <w:pPr>
              <w:pStyle w:val="49"/>
              <w:widowControl w:val="0"/>
              <w:jc w:val="left"/>
              <w:rPr>
                <w:rStyle w:val="23"/>
                <w:rFonts w:ascii="Times New Roman" w:hAnsi="Times New Roman" w:eastAsia="宋体" w:cs="Times New Roman"/>
                <w:color w:val="000000"/>
                <w:kern w:val="2"/>
                <w:sz w:val="21"/>
                <w:szCs w:val="24"/>
                <w:highlight w:val="none"/>
                <w:lang w:val="en-US" w:eastAsia="zh-CN" w:bidi="ar-SA"/>
              </w:rPr>
            </w:pPr>
            <w:r>
              <w:rPr>
                <w:rStyle w:val="23"/>
                <w:rFonts w:hint="eastAsia" w:ascii="Times New Roman" w:hAnsi="Times New Roman" w:eastAsia="宋体" w:cs="Times New Roman"/>
                <w:color w:val="000000"/>
                <w:kern w:val="2"/>
                <w:sz w:val="21"/>
                <w:szCs w:val="24"/>
                <w:highlight w:val="none"/>
                <w:lang w:val="en-US" w:eastAsia="zh-CN" w:bidi="ar-SA"/>
              </w:rPr>
              <w:t>支付条件：</w:t>
            </w:r>
            <w:r>
              <w:rPr>
                <w:rStyle w:val="23"/>
                <w:rFonts w:hint="eastAsia" w:ascii="宋体" w:hAnsi="宋体" w:eastAsia="宋体" w:cs="Times New Roman"/>
                <w:b/>
                <w:bCs/>
                <w:kern w:val="32"/>
                <w:sz w:val="21"/>
                <w:szCs w:val="21"/>
                <w:highlight w:val="none"/>
                <w:lang w:val="en-US" w:eastAsia="zh-CN" w:bidi="ar-SA"/>
              </w:rPr>
              <w:t>分</w:t>
            </w:r>
            <w:r>
              <w:rPr>
                <w:rStyle w:val="23"/>
                <w:rFonts w:hint="eastAsia" w:ascii="宋体" w:hAnsi="宋体" w:eastAsia="宋体" w:cs="宋体"/>
                <w:b/>
                <w:bCs/>
                <w:kern w:val="32"/>
                <w:sz w:val="21"/>
                <w:szCs w:val="21"/>
                <w:highlight w:val="none"/>
                <w:lang w:val="en-US" w:eastAsia="zh-CN" w:bidi="ar-SA"/>
              </w:rPr>
              <w:t>三期支付，签订合同后15个工作日内凭普通增值税发票付40%；外业工作完成后，凭外业总结报告及普通增值税发票付5</w:t>
            </w:r>
            <w:r>
              <w:rPr>
                <w:rStyle w:val="23"/>
                <w:rFonts w:ascii="宋体" w:hAnsi="宋体" w:eastAsia="宋体" w:cs="宋体"/>
                <w:b/>
                <w:bCs/>
                <w:kern w:val="32"/>
                <w:sz w:val="21"/>
                <w:szCs w:val="21"/>
                <w:highlight w:val="none"/>
                <w:lang w:val="en-US" w:eastAsia="zh-CN" w:bidi="ar-SA"/>
              </w:rPr>
              <w:t>0%；</w:t>
            </w:r>
            <w:r>
              <w:rPr>
                <w:rStyle w:val="23"/>
                <w:rFonts w:hint="eastAsia" w:ascii="宋体" w:hAnsi="宋体" w:eastAsia="宋体" w:cs="宋体"/>
                <w:b/>
                <w:bCs/>
                <w:kern w:val="32"/>
                <w:sz w:val="21"/>
                <w:szCs w:val="21"/>
                <w:highlight w:val="none"/>
                <w:lang w:val="en-US" w:eastAsia="zh-CN" w:bidi="ar-SA"/>
              </w:rPr>
              <w:t>剩余</w:t>
            </w:r>
            <w:r>
              <w:rPr>
                <w:rStyle w:val="23"/>
                <w:rFonts w:ascii="宋体" w:hAnsi="宋体" w:eastAsia="宋体" w:cs="宋体"/>
                <w:b/>
                <w:bCs/>
                <w:kern w:val="32"/>
                <w:sz w:val="21"/>
                <w:szCs w:val="21"/>
                <w:highlight w:val="none"/>
                <w:lang w:val="en-US" w:eastAsia="zh-CN" w:bidi="ar-SA"/>
              </w:rPr>
              <w:t>1</w:t>
            </w:r>
            <w:r>
              <w:rPr>
                <w:rStyle w:val="23"/>
                <w:rFonts w:hint="eastAsia" w:ascii="宋体" w:hAnsi="宋体" w:eastAsia="宋体" w:cs="宋体"/>
                <w:b/>
                <w:bCs/>
                <w:kern w:val="32"/>
                <w:sz w:val="21"/>
                <w:szCs w:val="21"/>
                <w:highlight w:val="none"/>
                <w:lang w:val="en-US" w:eastAsia="zh-CN" w:bidi="ar-SA"/>
              </w:rPr>
              <w:t>0%待项目验收合格后凭普通增值税发票支付。</w:t>
            </w:r>
          </w:p>
        </w:tc>
      </w:tr>
      <w:tr w14:paraId="442CF2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7" w:hRule="exact"/>
          <w:jc w:val="center"/>
        </w:trPr>
        <w:tc>
          <w:tcPr>
            <w:tcW w:w="2257" w:type="dxa"/>
            <w:noWrap w:val="0"/>
            <w:vAlign w:val="center"/>
          </w:tcPr>
          <w:p w14:paraId="7F1A744C">
            <w:pPr>
              <w:pStyle w:val="49"/>
              <w:widowControl/>
              <w:spacing w:line="276" w:lineRule="auto"/>
              <w:jc w:val="center"/>
              <w:rPr>
                <w:rStyle w:val="23"/>
                <w:rFonts w:ascii="宋体" w:hAnsi="宋体" w:eastAsia="宋体" w:cs="Times New Roman"/>
                <w:color w:val="000000"/>
                <w:kern w:val="2"/>
                <w:sz w:val="21"/>
                <w:szCs w:val="21"/>
                <w:lang w:val="en-US" w:eastAsia="zh-CN" w:bidi="ar-SA"/>
              </w:rPr>
            </w:pPr>
            <w:r>
              <w:rPr>
                <w:rStyle w:val="23"/>
                <w:rFonts w:hint="eastAsia" w:ascii="宋体" w:hAnsi="宋体" w:eastAsia="宋体" w:cs="Times New Roman"/>
                <w:color w:val="000000"/>
                <w:kern w:val="2"/>
                <w:sz w:val="21"/>
                <w:szCs w:val="21"/>
                <w:lang w:val="en-US" w:eastAsia="zh-CN" w:bidi="ar-SA"/>
              </w:rPr>
              <w:t>乙方提供的其他服务</w:t>
            </w:r>
          </w:p>
        </w:tc>
        <w:tc>
          <w:tcPr>
            <w:tcW w:w="5464" w:type="dxa"/>
            <w:noWrap w:val="0"/>
            <w:vAlign w:val="center"/>
          </w:tcPr>
          <w:p w14:paraId="748A3C16">
            <w:pPr>
              <w:pStyle w:val="49"/>
              <w:widowControl/>
              <w:spacing w:before="240" w:after="240" w:line="276" w:lineRule="auto"/>
              <w:jc w:val="left"/>
              <w:rPr>
                <w:rStyle w:val="23"/>
                <w:rFonts w:ascii="宋体" w:hAnsi="宋体" w:eastAsia="宋体" w:cs="宋体"/>
                <w:color w:val="000000"/>
                <w:spacing w:val="30"/>
                <w:kern w:val="0"/>
                <w:sz w:val="21"/>
                <w:szCs w:val="21"/>
                <w:lang w:val="en-US" w:eastAsia="zh-CN" w:bidi="ar-SA"/>
              </w:rPr>
            </w:pPr>
            <w:r>
              <w:rPr>
                <w:rStyle w:val="23"/>
                <w:rFonts w:hint="eastAsia" w:ascii="宋体" w:hAnsi="宋体" w:eastAsia="宋体" w:cs="Times New Roman"/>
                <w:color w:val="000000"/>
                <w:kern w:val="2"/>
                <w:sz w:val="21"/>
                <w:szCs w:val="21"/>
                <w:lang w:val="en-US" w:eastAsia="zh-CN" w:bidi="ar-SA"/>
              </w:rPr>
              <w:t>按第四章采购需求。</w:t>
            </w:r>
          </w:p>
        </w:tc>
      </w:tr>
      <w:tr w14:paraId="4CCFC8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4" w:hRule="atLeast"/>
          <w:jc w:val="center"/>
        </w:trPr>
        <w:tc>
          <w:tcPr>
            <w:tcW w:w="2257" w:type="dxa"/>
            <w:noWrap w:val="0"/>
            <w:vAlign w:val="center"/>
          </w:tcPr>
          <w:p w14:paraId="3CEEDFE3">
            <w:pPr>
              <w:pStyle w:val="49"/>
              <w:widowControl/>
              <w:spacing w:line="276" w:lineRule="auto"/>
              <w:jc w:val="center"/>
              <w:rPr>
                <w:rStyle w:val="23"/>
                <w:rFonts w:ascii="宋体" w:hAnsi="宋体" w:eastAsia="宋体" w:cs="Times New Roman"/>
                <w:color w:val="000000"/>
                <w:kern w:val="2"/>
                <w:sz w:val="21"/>
                <w:szCs w:val="21"/>
                <w:lang w:val="en-US" w:eastAsia="zh-CN" w:bidi="ar-SA"/>
              </w:rPr>
            </w:pPr>
            <w:r>
              <w:rPr>
                <w:rStyle w:val="23"/>
                <w:rFonts w:hint="eastAsia" w:ascii="宋体" w:hAnsi="宋体" w:eastAsia="宋体" w:cs="Times New Roman"/>
                <w:color w:val="000000"/>
                <w:kern w:val="2"/>
                <w:sz w:val="21"/>
                <w:szCs w:val="21"/>
                <w:lang w:val="en-US" w:eastAsia="zh-CN" w:bidi="ar-SA"/>
              </w:rPr>
              <w:t>解决争议的方式</w:t>
            </w:r>
          </w:p>
        </w:tc>
        <w:tc>
          <w:tcPr>
            <w:tcW w:w="5464" w:type="dxa"/>
            <w:noWrap w:val="0"/>
            <w:vAlign w:val="center"/>
          </w:tcPr>
          <w:p w14:paraId="20F23132">
            <w:pPr>
              <w:pStyle w:val="49"/>
              <w:widowControl/>
              <w:jc w:val="left"/>
              <w:rPr>
                <w:rStyle w:val="23"/>
                <w:rFonts w:ascii="宋体" w:hAnsi="宋体" w:eastAsia="宋体" w:cs="宋体"/>
                <w:color w:val="000000"/>
                <w:spacing w:val="30"/>
                <w:kern w:val="0"/>
                <w:sz w:val="21"/>
                <w:szCs w:val="21"/>
                <w:lang w:val="en-US" w:eastAsia="zh-CN" w:bidi="ar-SA"/>
              </w:rPr>
            </w:pPr>
            <w:r>
              <w:rPr>
                <w:rStyle w:val="23"/>
                <w:rFonts w:hint="eastAsia" w:ascii="MS Mincho" w:hAnsi="MS Mincho" w:eastAsia="MS Mincho" w:cs="MS Mincho"/>
                <w:color w:val="000000"/>
                <w:kern w:val="2"/>
                <w:sz w:val="21"/>
                <w:szCs w:val="21"/>
                <w:lang w:val="en-US" w:eastAsia="zh-CN" w:bidi="ar-SA"/>
              </w:rPr>
              <w:t>☑</w:t>
            </w:r>
            <w:r>
              <w:rPr>
                <w:rStyle w:val="23"/>
                <w:rFonts w:hint="eastAsia" w:ascii="MS Mincho" w:hAnsi="MS Mincho" w:eastAsia="宋体" w:cs="MS Mincho"/>
                <w:color w:val="000000"/>
                <w:kern w:val="2"/>
                <w:sz w:val="21"/>
                <w:szCs w:val="21"/>
                <w:lang w:val="en-US" w:eastAsia="zh-CN" w:bidi="ar-SA"/>
              </w:rPr>
              <w:t xml:space="preserve"> </w:t>
            </w:r>
            <w:r>
              <w:rPr>
                <w:rStyle w:val="23"/>
                <w:rFonts w:ascii="Times New Roman" w:hAnsi="Times New Roman" w:eastAsia="宋体" w:cs="Times New Roman"/>
                <w:color w:val="000000"/>
                <w:kern w:val="2"/>
                <w:sz w:val="21"/>
                <w:szCs w:val="21"/>
                <w:lang w:val="en-US" w:eastAsia="zh-CN" w:bidi="ar-SA"/>
              </w:rPr>
              <w:t>向</w:t>
            </w:r>
            <w:r>
              <w:rPr>
                <w:rStyle w:val="23"/>
                <w:rFonts w:hint="eastAsia" w:ascii="Times New Roman" w:hAnsi="Times New Roman" w:eastAsia="宋体" w:cs="Times New Roman"/>
                <w:color w:val="000000"/>
                <w:kern w:val="2"/>
                <w:sz w:val="21"/>
                <w:szCs w:val="21"/>
                <w:lang w:val="en-US" w:eastAsia="zh-CN" w:bidi="ar-SA"/>
              </w:rPr>
              <w:t>甲方所在地人民法院提起诉讼</w:t>
            </w:r>
          </w:p>
          <w:p w14:paraId="6380DB78">
            <w:pPr>
              <w:pStyle w:val="49"/>
              <w:widowControl/>
              <w:numPr>
                <w:ilvl w:val="0"/>
                <w:numId w:val="4"/>
              </w:numPr>
              <w:ind w:left="360" w:hanging="360"/>
              <w:jc w:val="left"/>
              <w:rPr>
                <w:rStyle w:val="23"/>
                <w:rFonts w:ascii="宋体" w:hAnsi="宋体" w:eastAsia="宋体" w:cs="宋体"/>
                <w:color w:val="000000"/>
                <w:spacing w:val="30"/>
                <w:kern w:val="0"/>
                <w:sz w:val="21"/>
                <w:szCs w:val="21"/>
                <w:lang w:val="en-US" w:eastAsia="zh-CN" w:bidi="ar-SA"/>
              </w:rPr>
            </w:pPr>
            <w:r>
              <w:rPr>
                <w:rStyle w:val="23"/>
                <w:rFonts w:hint="eastAsia" w:ascii="宋体" w:hAnsi="宋体" w:eastAsia="宋体" w:cs="宋体"/>
                <w:color w:val="000000"/>
                <w:spacing w:val="30"/>
                <w:kern w:val="0"/>
                <w:sz w:val="21"/>
                <w:szCs w:val="21"/>
                <w:lang w:val="en-US" w:eastAsia="zh-CN" w:bidi="ar-SA"/>
              </w:rPr>
              <w:t>仲裁</w:t>
            </w:r>
          </w:p>
        </w:tc>
      </w:tr>
      <w:tr w14:paraId="627760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57" w:type="dxa"/>
            <w:noWrap w:val="0"/>
            <w:vAlign w:val="center"/>
          </w:tcPr>
          <w:p w14:paraId="582ED3BF">
            <w:pPr>
              <w:pStyle w:val="49"/>
              <w:widowControl/>
              <w:spacing w:before="240" w:after="240" w:line="276" w:lineRule="auto"/>
              <w:jc w:val="left"/>
              <w:rPr>
                <w:rStyle w:val="23"/>
                <w:rFonts w:ascii="宋体" w:hAnsi="宋体" w:eastAsia="宋体" w:cs="宋体"/>
                <w:color w:val="000000"/>
                <w:spacing w:val="30"/>
                <w:kern w:val="0"/>
                <w:sz w:val="21"/>
                <w:szCs w:val="21"/>
                <w:lang w:val="en-US" w:eastAsia="zh-CN" w:bidi="ar-SA"/>
              </w:rPr>
            </w:pPr>
            <w:r>
              <w:rPr>
                <w:rStyle w:val="23"/>
                <w:rFonts w:hint="eastAsia" w:ascii="宋体" w:hAnsi="宋体" w:eastAsia="宋体" w:cs="宋体"/>
                <w:bCs/>
                <w:color w:val="000000"/>
                <w:spacing w:val="30"/>
                <w:kern w:val="0"/>
                <w:sz w:val="21"/>
                <w:szCs w:val="21"/>
                <w:lang w:val="en-US" w:eastAsia="zh-CN" w:bidi="ar-SA"/>
              </w:rPr>
              <w:t>合同未尽事项</w:t>
            </w:r>
          </w:p>
        </w:tc>
        <w:tc>
          <w:tcPr>
            <w:tcW w:w="5464" w:type="dxa"/>
            <w:noWrap w:val="0"/>
            <w:vAlign w:val="center"/>
          </w:tcPr>
          <w:p w14:paraId="2B356C54">
            <w:pPr>
              <w:pStyle w:val="49"/>
              <w:widowControl/>
              <w:spacing w:before="240" w:after="240" w:line="276" w:lineRule="auto"/>
              <w:jc w:val="left"/>
              <w:rPr>
                <w:rStyle w:val="23"/>
                <w:rFonts w:ascii="宋体" w:hAnsi="宋体" w:eastAsia="宋体" w:cs="宋体"/>
                <w:color w:val="000000"/>
                <w:spacing w:val="30"/>
                <w:kern w:val="0"/>
                <w:sz w:val="21"/>
                <w:szCs w:val="21"/>
                <w:u w:val="single"/>
                <w:lang w:val="en-US" w:eastAsia="zh-CN" w:bidi="ar-SA"/>
              </w:rPr>
            </w:pPr>
            <w:r>
              <w:rPr>
                <w:rStyle w:val="23"/>
                <w:rFonts w:ascii="Times New Roman" w:hAnsi="Times New Roman" w:eastAsia="宋体" w:cs="Times New Roman"/>
                <w:color w:val="000000"/>
                <w:kern w:val="2"/>
                <w:sz w:val="21"/>
                <w:szCs w:val="21"/>
                <w:u w:val="single"/>
                <w:lang w:val="en-US" w:eastAsia="zh-CN" w:bidi="ar-SA"/>
              </w:rPr>
              <w:t>未尽事项，按照本文件的要求和国家相关法律法规执行。</w:t>
            </w:r>
          </w:p>
        </w:tc>
      </w:tr>
    </w:tbl>
    <w:p w14:paraId="09148A37">
      <w:pPr>
        <w:pStyle w:val="49"/>
        <w:adjustRightInd w:val="0"/>
        <w:snapToGrid w:val="0"/>
        <w:spacing w:line="400" w:lineRule="exact"/>
        <w:jc w:val="left"/>
        <w:rPr>
          <w:rFonts w:hint="eastAsia" w:ascii="黑体" w:eastAsia="黑体"/>
          <w:b/>
          <w:color w:val="auto"/>
          <w:sz w:val="32"/>
          <w:szCs w:val="32"/>
          <w:highlight w:val="none"/>
        </w:rPr>
      </w:pPr>
      <w:r>
        <w:rPr>
          <w:rStyle w:val="23"/>
          <w:rFonts w:ascii="宋体" w:hAnsi="宋体" w:eastAsia="宋体" w:cs="宋体"/>
          <w:color w:val="000000"/>
          <w:spacing w:val="30"/>
          <w:kern w:val="0"/>
          <w:szCs w:val="21"/>
        </w:rPr>
        <w:t>二、</w:t>
      </w:r>
      <w:r>
        <w:rPr>
          <w:rStyle w:val="23"/>
          <w:rFonts w:hint="eastAsia" w:ascii="宋体" w:hAnsi="宋体" w:eastAsia="宋体" w:cs="宋体"/>
          <w:color w:val="000000"/>
          <w:spacing w:val="30"/>
          <w:kern w:val="0"/>
          <w:szCs w:val="21"/>
        </w:rPr>
        <w:t>其它商务</w:t>
      </w:r>
      <w:r>
        <w:rPr>
          <w:rStyle w:val="23"/>
          <w:rFonts w:ascii="宋体" w:hAnsi="宋体" w:eastAsia="宋体" w:cs="宋体"/>
          <w:color w:val="000000"/>
          <w:spacing w:val="30"/>
          <w:kern w:val="0"/>
          <w:szCs w:val="21"/>
        </w:rPr>
        <w:t>要求</w:t>
      </w:r>
      <w:r>
        <w:rPr>
          <w:rStyle w:val="23"/>
          <w:rFonts w:hint="eastAsia" w:ascii="宋体" w:hAnsi="宋体" w:eastAsia="宋体" w:cs="宋体"/>
          <w:color w:val="000000"/>
          <w:spacing w:val="30"/>
          <w:kern w:val="0"/>
          <w:szCs w:val="21"/>
        </w:rPr>
        <w:t>：无。</w:t>
      </w:r>
    </w:p>
    <w:p w14:paraId="4B387300">
      <w:pPr>
        <w:rPr>
          <w:rFonts w:hint="eastAsia" w:ascii="黑体" w:eastAsia="黑体"/>
          <w:b/>
          <w:color w:val="auto"/>
          <w:sz w:val="32"/>
          <w:szCs w:val="32"/>
          <w:highlight w:val="none"/>
        </w:rPr>
      </w:pPr>
      <w:r>
        <w:rPr>
          <w:rFonts w:hint="eastAsia" w:ascii="黑体" w:eastAsia="黑体"/>
          <w:b/>
          <w:color w:val="auto"/>
          <w:sz w:val="32"/>
          <w:szCs w:val="32"/>
          <w:highlight w:val="none"/>
        </w:rPr>
        <w:br w:type="page"/>
      </w:r>
    </w:p>
    <w:p w14:paraId="7431A0ED">
      <w:pPr>
        <w:adjustRightInd w:val="0"/>
        <w:snapToGrid w:val="0"/>
        <w:spacing w:line="360" w:lineRule="auto"/>
        <w:ind w:firstLine="643" w:firstLineChars="200"/>
        <w:jc w:val="center"/>
        <w:outlineLvl w:val="0"/>
        <w:rPr>
          <w:rFonts w:ascii="黑体" w:eastAsia="黑体"/>
          <w:b/>
          <w:color w:val="auto"/>
          <w:sz w:val="32"/>
          <w:szCs w:val="32"/>
          <w:highlight w:val="none"/>
        </w:rPr>
      </w:pPr>
      <w:bookmarkStart w:id="127" w:name="_Toc1926458082"/>
      <w:r>
        <w:rPr>
          <w:rFonts w:hint="eastAsia" w:ascii="黑体" w:eastAsia="黑体"/>
          <w:b/>
          <w:color w:val="auto"/>
          <w:sz w:val="32"/>
          <w:szCs w:val="32"/>
          <w:highlight w:val="none"/>
        </w:rPr>
        <w:t>第五章 响应文件组成</w:t>
      </w:r>
      <w:bookmarkEnd w:id="127"/>
    </w:p>
    <w:p w14:paraId="0A022CB4">
      <w:pPr>
        <w:spacing w:line="360" w:lineRule="exact"/>
        <w:rPr>
          <w:rFonts w:ascii="宋体"/>
          <w:color w:val="auto"/>
          <w:highlight w:val="none"/>
        </w:rPr>
      </w:pPr>
    </w:p>
    <w:p w14:paraId="764493CE">
      <w:pPr>
        <w:spacing w:line="360" w:lineRule="auto"/>
        <w:outlineLvl w:val="9"/>
        <w:rPr>
          <w:rFonts w:ascii="宋体"/>
          <w:highlight w:val="none"/>
        </w:rPr>
      </w:pPr>
      <w:r>
        <w:rPr>
          <w:rFonts w:hint="eastAsia" w:ascii="宋体"/>
          <w:highlight w:val="none"/>
        </w:rPr>
        <w:t>供应商的响应文件应包含以下部分：</w:t>
      </w:r>
    </w:p>
    <w:p w14:paraId="0354C79A">
      <w:pPr>
        <w:adjustRightInd w:val="0"/>
        <w:snapToGrid w:val="0"/>
        <w:spacing w:line="360" w:lineRule="auto"/>
        <w:jc w:val="left"/>
        <w:outlineLvl w:val="9"/>
        <w:rPr>
          <w:rFonts w:ascii="宋体" w:hAnsi="宋体"/>
          <w:b/>
          <w:szCs w:val="21"/>
          <w:highlight w:val="none"/>
        </w:rPr>
      </w:pPr>
      <w:r>
        <w:rPr>
          <w:rFonts w:hint="eastAsia" w:ascii="宋体" w:hAnsi="宋体"/>
          <w:b/>
          <w:szCs w:val="21"/>
          <w:highlight w:val="none"/>
        </w:rPr>
        <w:t>一、磋商响应声明</w:t>
      </w:r>
    </w:p>
    <w:p w14:paraId="53226665">
      <w:pPr>
        <w:adjustRightInd w:val="0"/>
        <w:snapToGrid w:val="0"/>
        <w:spacing w:line="360" w:lineRule="auto"/>
        <w:ind w:firstLine="420" w:firstLineChars="200"/>
        <w:jc w:val="left"/>
        <w:outlineLvl w:val="9"/>
        <w:rPr>
          <w:rFonts w:ascii="宋体" w:hAnsi="宋体"/>
          <w:szCs w:val="21"/>
          <w:highlight w:val="none"/>
        </w:rPr>
      </w:pPr>
      <w:r>
        <w:rPr>
          <w:rFonts w:hint="eastAsia" w:ascii="宋体" w:hAnsi="宋体"/>
          <w:szCs w:val="21"/>
          <w:highlight w:val="none"/>
        </w:rPr>
        <w:t>附件1：法定代表人身份证明</w:t>
      </w:r>
    </w:p>
    <w:p w14:paraId="4DA6E3D0">
      <w:pPr>
        <w:adjustRightInd w:val="0"/>
        <w:snapToGrid w:val="0"/>
        <w:spacing w:line="360" w:lineRule="auto"/>
        <w:ind w:firstLine="420" w:firstLineChars="200"/>
        <w:jc w:val="left"/>
        <w:outlineLvl w:val="9"/>
        <w:rPr>
          <w:rFonts w:ascii="宋体" w:hAnsi="宋体"/>
          <w:szCs w:val="21"/>
          <w:highlight w:val="none"/>
        </w:rPr>
      </w:pPr>
      <w:r>
        <w:rPr>
          <w:rFonts w:hint="eastAsia" w:ascii="宋体" w:hAnsi="宋体"/>
          <w:szCs w:val="21"/>
          <w:highlight w:val="none"/>
        </w:rPr>
        <w:t>附件2：法定代表人授权委托书</w:t>
      </w:r>
    </w:p>
    <w:p w14:paraId="1DE541CF">
      <w:pPr>
        <w:adjustRightInd w:val="0"/>
        <w:snapToGrid w:val="0"/>
        <w:spacing w:line="360" w:lineRule="auto"/>
        <w:jc w:val="left"/>
        <w:outlineLvl w:val="9"/>
        <w:rPr>
          <w:rFonts w:ascii="宋体" w:hAnsi="宋体"/>
          <w:b/>
          <w:szCs w:val="21"/>
          <w:highlight w:val="none"/>
        </w:rPr>
      </w:pPr>
      <w:r>
        <w:rPr>
          <w:rFonts w:hint="eastAsia" w:ascii="宋体" w:hAnsi="宋体"/>
          <w:b/>
          <w:szCs w:val="21"/>
          <w:highlight w:val="none"/>
        </w:rPr>
        <w:t>二、保证金</w:t>
      </w:r>
    </w:p>
    <w:p w14:paraId="5B09CCEB">
      <w:pPr>
        <w:adjustRightInd w:val="0"/>
        <w:snapToGrid w:val="0"/>
        <w:spacing w:line="360" w:lineRule="auto"/>
        <w:jc w:val="left"/>
        <w:outlineLvl w:val="9"/>
        <w:rPr>
          <w:rFonts w:ascii="宋体" w:hAnsi="宋体"/>
          <w:b/>
          <w:szCs w:val="21"/>
          <w:highlight w:val="none"/>
        </w:rPr>
      </w:pPr>
      <w:r>
        <w:rPr>
          <w:rFonts w:hint="eastAsia" w:ascii="宋体" w:hAnsi="宋体"/>
          <w:b/>
          <w:szCs w:val="21"/>
          <w:highlight w:val="none"/>
        </w:rPr>
        <w:t>三、联合体协议(格式)</w:t>
      </w:r>
    </w:p>
    <w:p w14:paraId="29413AEF">
      <w:pPr>
        <w:adjustRightInd w:val="0"/>
        <w:snapToGrid w:val="0"/>
        <w:spacing w:line="360" w:lineRule="auto"/>
        <w:jc w:val="left"/>
        <w:outlineLvl w:val="9"/>
        <w:rPr>
          <w:rFonts w:ascii="宋体" w:hAnsi="宋体"/>
          <w:b/>
          <w:szCs w:val="21"/>
          <w:highlight w:val="none"/>
        </w:rPr>
      </w:pPr>
      <w:r>
        <w:rPr>
          <w:rFonts w:hint="eastAsia" w:ascii="宋体" w:hAnsi="宋体"/>
          <w:b/>
          <w:szCs w:val="21"/>
          <w:highlight w:val="none"/>
        </w:rPr>
        <w:t>四、供应商的资格证明资料</w:t>
      </w:r>
    </w:p>
    <w:p w14:paraId="1ABC8F65">
      <w:pPr>
        <w:adjustRightInd w:val="0"/>
        <w:snapToGrid w:val="0"/>
        <w:spacing w:line="360" w:lineRule="auto"/>
        <w:ind w:firstLine="420" w:firstLineChars="200"/>
        <w:jc w:val="left"/>
        <w:outlineLvl w:val="9"/>
        <w:rPr>
          <w:rFonts w:ascii="宋体" w:hAnsi="宋体"/>
          <w:szCs w:val="21"/>
          <w:highlight w:val="none"/>
        </w:rPr>
      </w:pPr>
      <w:r>
        <w:rPr>
          <w:rFonts w:hint="eastAsia" w:ascii="宋体" w:hAnsi="宋体"/>
          <w:szCs w:val="21"/>
          <w:highlight w:val="none"/>
        </w:rPr>
        <w:t>附件3：供应商基本情况表</w:t>
      </w:r>
    </w:p>
    <w:p w14:paraId="7CA71139">
      <w:pPr>
        <w:adjustRightInd w:val="0"/>
        <w:snapToGrid w:val="0"/>
        <w:spacing w:line="360" w:lineRule="auto"/>
        <w:ind w:firstLine="420" w:firstLineChars="200"/>
        <w:outlineLvl w:val="9"/>
        <w:rPr>
          <w:rFonts w:ascii="宋体" w:hAnsi="宋体"/>
          <w:szCs w:val="21"/>
          <w:highlight w:val="none"/>
        </w:rPr>
      </w:pPr>
      <w:r>
        <w:rPr>
          <w:rFonts w:hint="eastAsia" w:ascii="宋体" w:hAnsi="宋体"/>
          <w:szCs w:val="21"/>
          <w:highlight w:val="none"/>
        </w:rPr>
        <w:t>附件4：磋商文件规定的基本资格条件证明资料</w:t>
      </w:r>
    </w:p>
    <w:p w14:paraId="0D1F070F">
      <w:pPr>
        <w:adjustRightInd w:val="0"/>
        <w:snapToGrid w:val="0"/>
        <w:spacing w:line="360" w:lineRule="auto"/>
        <w:ind w:firstLine="420" w:firstLineChars="200"/>
        <w:outlineLvl w:val="9"/>
        <w:rPr>
          <w:rFonts w:ascii="宋体" w:hAnsi="宋体"/>
          <w:szCs w:val="21"/>
          <w:highlight w:val="none"/>
        </w:rPr>
      </w:pPr>
      <w:r>
        <w:rPr>
          <w:rFonts w:hint="eastAsia" w:ascii="宋体" w:hAnsi="宋体"/>
          <w:szCs w:val="21"/>
          <w:highlight w:val="none"/>
        </w:rPr>
        <w:t>附件5：磋商文件规定的特定资格条件证明资料</w:t>
      </w:r>
    </w:p>
    <w:p w14:paraId="418E2B95">
      <w:pPr>
        <w:adjustRightInd w:val="0"/>
        <w:snapToGrid w:val="0"/>
        <w:spacing w:line="360" w:lineRule="auto"/>
        <w:ind w:firstLine="420" w:firstLineChars="200"/>
        <w:outlineLvl w:val="9"/>
        <w:rPr>
          <w:rFonts w:ascii="宋体" w:hAnsi="宋体"/>
          <w:bCs/>
          <w:szCs w:val="21"/>
          <w:highlight w:val="none"/>
        </w:rPr>
      </w:pPr>
      <w:r>
        <w:rPr>
          <w:rFonts w:hint="eastAsia" w:ascii="宋体" w:hAnsi="宋体"/>
          <w:bCs/>
          <w:szCs w:val="21"/>
          <w:highlight w:val="none"/>
        </w:rPr>
        <w:t>附件6：其他说明</w:t>
      </w:r>
    </w:p>
    <w:p w14:paraId="19859525">
      <w:pPr>
        <w:adjustRightInd w:val="0"/>
        <w:snapToGrid w:val="0"/>
        <w:spacing w:line="360" w:lineRule="auto"/>
        <w:outlineLvl w:val="9"/>
        <w:rPr>
          <w:rFonts w:ascii="宋体" w:hAnsi="宋体" w:cs="Courier New"/>
          <w:b/>
          <w:szCs w:val="21"/>
          <w:highlight w:val="none"/>
        </w:rPr>
      </w:pPr>
      <w:r>
        <w:rPr>
          <w:rFonts w:hint="eastAsia" w:ascii="宋体" w:hAnsi="宋体" w:cs="Courier New"/>
          <w:b/>
          <w:szCs w:val="21"/>
          <w:highlight w:val="none"/>
        </w:rPr>
        <w:t>五、货物或服务方案说明</w:t>
      </w:r>
    </w:p>
    <w:p w14:paraId="144F0536">
      <w:pPr>
        <w:adjustRightInd w:val="0"/>
        <w:snapToGrid w:val="0"/>
        <w:spacing w:line="360" w:lineRule="auto"/>
        <w:ind w:firstLine="435"/>
        <w:outlineLvl w:val="9"/>
        <w:rPr>
          <w:rFonts w:ascii="宋体" w:hAnsi="宋体" w:cs="Courier New"/>
          <w:szCs w:val="21"/>
          <w:highlight w:val="none"/>
        </w:rPr>
      </w:pPr>
      <w:r>
        <w:rPr>
          <w:rFonts w:hint="eastAsia" w:ascii="宋体" w:hAnsi="宋体" w:cs="Courier New"/>
          <w:szCs w:val="21"/>
          <w:highlight w:val="none"/>
        </w:rPr>
        <w:t>附件7-1：服务方案说明（服务类适用）</w:t>
      </w:r>
    </w:p>
    <w:p w14:paraId="2AF4008E">
      <w:pPr>
        <w:adjustRightInd w:val="0"/>
        <w:snapToGrid w:val="0"/>
        <w:spacing w:line="360" w:lineRule="auto"/>
        <w:ind w:firstLine="435"/>
        <w:outlineLvl w:val="9"/>
        <w:rPr>
          <w:rFonts w:hint="eastAsia" w:ascii="宋体" w:hAnsi="宋体" w:cs="Courier New"/>
          <w:szCs w:val="21"/>
          <w:highlight w:val="none"/>
        </w:rPr>
      </w:pPr>
      <w:r>
        <w:rPr>
          <w:rFonts w:hint="eastAsia" w:ascii="宋体" w:hAnsi="宋体" w:cs="Courier New"/>
          <w:szCs w:val="21"/>
          <w:highlight w:val="none"/>
        </w:rPr>
        <w:t>附件7-2：主要人员简历表（服务类适用）</w:t>
      </w:r>
    </w:p>
    <w:p w14:paraId="3B07348A">
      <w:pPr>
        <w:numPr>
          <w:ilvl w:val="0"/>
          <w:numId w:val="5"/>
        </w:numPr>
        <w:adjustRightInd w:val="0"/>
        <w:snapToGrid w:val="0"/>
        <w:spacing w:line="360" w:lineRule="auto"/>
        <w:outlineLvl w:val="9"/>
        <w:rPr>
          <w:rFonts w:hint="eastAsia" w:ascii="宋体" w:hAnsi="宋体" w:cs="Courier New"/>
          <w:b/>
          <w:bCs/>
          <w:szCs w:val="21"/>
          <w:highlight w:val="none"/>
          <w:lang w:val="en-US" w:eastAsia="zh-CN"/>
        </w:rPr>
      </w:pPr>
      <w:r>
        <w:rPr>
          <w:rFonts w:hint="eastAsia" w:ascii="宋体" w:hAnsi="宋体" w:cs="Courier New"/>
          <w:b/>
          <w:bCs/>
          <w:szCs w:val="21"/>
          <w:highlight w:val="none"/>
          <w:lang w:val="en-US" w:eastAsia="zh-CN"/>
        </w:rPr>
        <w:t>享受政府采购政策优惠的证明资料和清单表</w:t>
      </w:r>
    </w:p>
    <w:p w14:paraId="0DAF2535">
      <w:pPr>
        <w:numPr>
          <w:ilvl w:val="0"/>
          <w:numId w:val="0"/>
        </w:numPr>
        <w:adjustRightInd w:val="0"/>
        <w:snapToGrid w:val="0"/>
        <w:spacing w:line="360" w:lineRule="auto"/>
        <w:outlineLvl w:val="9"/>
        <w:rPr>
          <w:rFonts w:hint="eastAsia" w:ascii="宋体" w:hAnsi="宋体" w:cs="Courier New"/>
          <w:b/>
          <w:bCs/>
          <w:szCs w:val="21"/>
          <w:highlight w:val="none"/>
          <w:lang w:val="en-US" w:eastAsia="zh-CN"/>
        </w:rPr>
      </w:pPr>
      <w:r>
        <w:rPr>
          <w:rFonts w:hint="eastAsia" w:ascii="宋体" w:hAnsi="宋体" w:cs="Courier New"/>
          <w:b/>
          <w:bCs/>
          <w:szCs w:val="21"/>
          <w:highlight w:val="none"/>
          <w:lang w:val="en-US" w:eastAsia="zh-CN"/>
        </w:rPr>
        <w:t>七、中小企业声明函</w:t>
      </w:r>
    </w:p>
    <w:p w14:paraId="1F185EFD">
      <w:pPr>
        <w:adjustRightInd w:val="0"/>
        <w:snapToGrid w:val="0"/>
        <w:spacing w:line="360" w:lineRule="auto"/>
        <w:outlineLvl w:val="9"/>
        <w:rPr>
          <w:rFonts w:hAnsi="宋体"/>
          <w:b/>
          <w:highlight w:val="none"/>
        </w:rPr>
      </w:pPr>
      <w:r>
        <w:rPr>
          <w:rFonts w:hint="eastAsia" w:hAnsi="宋体"/>
          <w:b/>
          <w:highlight w:val="none"/>
          <w:lang w:val="en-US" w:eastAsia="zh-CN"/>
        </w:rPr>
        <w:t>八</w:t>
      </w:r>
      <w:r>
        <w:rPr>
          <w:rFonts w:hint="eastAsia" w:hAnsi="宋体"/>
          <w:b/>
          <w:highlight w:val="none"/>
        </w:rPr>
        <w:t>、技术/商务响应与偏离表</w:t>
      </w:r>
    </w:p>
    <w:p w14:paraId="7602B9D7">
      <w:pPr>
        <w:adjustRightInd w:val="0"/>
        <w:snapToGrid w:val="0"/>
        <w:spacing w:line="360" w:lineRule="auto"/>
        <w:outlineLvl w:val="9"/>
        <w:rPr>
          <w:rFonts w:ascii="宋体" w:hAnsi="宋体" w:cs="Courier New"/>
          <w:b/>
          <w:szCs w:val="21"/>
          <w:highlight w:val="none"/>
        </w:rPr>
      </w:pPr>
      <w:r>
        <w:rPr>
          <w:rFonts w:hint="eastAsia" w:ascii="宋体" w:hAnsi="宋体" w:cs="Courier New"/>
          <w:b/>
          <w:szCs w:val="21"/>
          <w:highlight w:val="none"/>
          <w:lang w:val="en-US" w:eastAsia="zh-CN"/>
        </w:rPr>
        <w:t>九</w:t>
      </w:r>
      <w:r>
        <w:rPr>
          <w:rFonts w:hint="eastAsia" w:ascii="宋体" w:hAnsi="宋体" w:cs="Courier New"/>
          <w:b/>
          <w:szCs w:val="21"/>
          <w:highlight w:val="none"/>
        </w:rPr>
        <w:t>、报价一览表及分项价格表</w:t>
      </w:r>
    </w:p>
    <w:p w14:paraId="3F4DEAF6">
      <w:pPr>
        <w:adjustRightInd w:val="0"/>
        <w:snapToGrid w:val="0"/>
        <w:spacing w:line="360" w:lineRule="auto"/>
        <w:ind w:firstLine="420" w:firstLineChars="200"/>
        <w:jc w:val="left"/>
        <w:outlineLvl w:val="9"/>
        <w:rPr>
          <w:rFonts w:ascii="宋体" w:hAnsi="宋体"/>
          <w:bCs/>
          <w:szCs w:val="21"/>
          <w:highlight w:val="none"/>
        </w:rPr>
      </w:pPr>
      <w:r>
        <w:rPr>
          <w:rFonts w:hint="eastAsia" w:ascii="宋体" w:hAnsi="宋体"/>
          <w:szCs w:val="21"/>
          <w:highlight w:val="none"/>
        </w:rPr>
        <w:t>附件9：</w:t>
      </w:r>
      <w:r>
        <w:rPr>
          <w:rFonts w:hint="eastAsia" w:ascii="宋体" w:hAnsi="宋体"/>
          <w:bCs/>
          <w:szCs w:val="21"/>
          <w:highlight w:val="none"/>
        </w:rPr>
        <w:t>报价一览表</w:t>
      </w:r>
    </w:p>
    <w:p w14:paraId="13BEED4A">
      <w:pPr>
        <w:adjustRightInd w:val="0"/>
        <w:snapToGrid w:val="0"/>
        <w:spacing w:line="360" w:lineRule="auto"/>
        <w:ind w:firstLine="420" w:firstLineChars="200"/>
        <w:jc w:val="left"/>
        <w:outlineLvl w:val="9"/>
        <w:rPr>
          <w:rFonts w:ascii="宋体" w:hAnsi="宋体"/>
          <w:szCs w:val="21"/>
          <w:highlight w:val="none"/>
        </w:rPr>
      </w:pPr>
      <w:r>
        <w:rPr>
          <w:rFonts w:hint="eastAsia" w:ascii="宋体" w:hAnsi="宋体"/>
          <w:bCs/>
          <w:szCs w:val="21"/>
          <w:highlight w:val="none"/>
        </w:rPr>
        <w:t>附件9-1：分项价格表</w:t>
      </w:r>
    </w:p>
    <w:p w14:paraId="31A002B1">
      <w:pPr>
        <w:numPr>
          <w:ilvl w:val="0"/>
          <w:numId w:val="6"/>
        </w:numPr>
        <w:adjustRightInd w:val="0"/>
        <w:snapToGrid w:val="0"/>
        <w:spacing w:line="360" w:lineRule="auto"/>
        <w:outlineLvl w:val="9"/>
        <w:rPr>
          <w:rFonts w:hint="eastAsia" w:ascii="宋体" w:hAnsi="宋体" w:cs="Courier New"/>
          <w:b/>
          <w:szCs w:val="21"/>
          <w:highlight w:val="none"/>
        </w:rPr>
      </w:pPr>
      <w:r>
        <w:rPr>
          <w:rFonts w:hint="eastAsia" w:ascii="宋体" w:hAnsi="宋体" w:cs="Courier New"/>
          <w:b/>
          <w:szCs w:val="21"/>
          <w:highlight w:val="none"/>
        </w:rPr>
        <w:t>供应商认为需提供的其它资料</w:t>
      </w:r>
    </w:p>
    <w:p w14:paraId="271F36DA">
      <w:pPr>
        <w:numPr>
          <w:ilvl w:val="0"/>
          <w:numId w:val="6"/>
        </w:numPr>
        <w:adjustRightInd w:val="0"/>
        <w:snapToGrid w:val="0"/>
        <w:spacing w:line="360" w:lineRule="auto"/>
        <w:outlineLvl w:val="9"/>
        <w:rPr>
          <w:rFonts w:hint="eastAsia" w:ascii="宋体" w:hAnsi="宋体" w:cs="Courier New"/>
          <w:b/>
          <w:szCs w:val="21"/>
          <w:highlight w:val="none"/>
        </w:rPr>
      </w:pPr>
      <w:r>
        <w:rPr>
          <w:rFonts w:hint="eastAsia" w:ascii="宋体" w:hAnsi="宋体" w:cs="Courier New"/>
          <w:b/>
          <w:szCs w:val="21"/>
          <w:highlight w:val="none"/>
          <w:lang w:eastAsia="zh-CN"/>
        </w:rPr>
        <w:t>廉洁承诺书</w:t>
      </w:r>
    </w:p>
    <w:p w14:paraId="6A7A7F0F">
      <w:pPr>
        <w:adjustRightInd w:val="0"/>
        <w:snapToGrid w:val="0"/>
        <w:spacing w:line="360" w:lineRule="auto"/>
        <w:outlineLvl w:val="9"/>
        <w:rPr>
          <w:rFonts w:ascii="宋体" w:hAnsi="宋体" w:cs="Courier New"/>
          <w:b/>
          <w:szCs w:val="21"/>
          <w:highlight w:val="none"/>
        </w:rPr>
      </w:pPr>
      <w:r>
        <w:rPr>
          <w:rFonts w:hint="eastAsia" w:ascii="宋体" w:hAnsi="宋体" w:cs="Courier New"/>
          <w:b/>
          <w:szCs w:val="21"/>
          <w:highlight w:val="none"/>
          <w:lang w:val="en-US" w:eastAsia="zh-CN"/>
        </w:rPr>
        <w:t>十二</w:t>
      </w:r>
      <w:r>
        <w:rPr>
          <w:rFonts w:hint="eastAsia" w:ascii="宋体" w:hAnsi="宋体" w:cs="Courier New"/>
          <w:b/>
          <w:szCs w:val="21"/>
          <w:highlight w:val="none"/>
        </w:rPr>
        <w:t>、最后报价</w:t>
      </w:r>
    </w:p>
    <w:p w14:paraId="37BE79B9">
      <w:pPr>
        <w:adjustRightInd w:val="0"/>
        <w:snapToGrid w:val="0"/>
        <w:spacing w:line="360" w:lineRule="auto"/>
        <w:rPr>
          <w:rFonts w:ascii="宋体" w:hAnsi="宋体" w:cs="Courier New"/>
          <w:b/>
          <w:szCs w:val="21"/>
          <w:highlight w:val="none"/>
        </w:rPr>
      </w:pPr>
    </w:p>
    <w:p w14:paraId="4FBC95D1">
      <w:pPr>
        <w:spacing w:line="360" w:lineRule="exact"/>
        <w:rPr>
          <w:rFonts w:ascii="黑体" w:eastAsia="黑体"/>
          <w:sz w:val="32"/>
          <w:szCs w:val="32"/>
          <w:highlight w:val="none"/>
        </w:rPr>
      </w:pPr>
    </w:p>
    <w:p w14:paraId="29652A52">
      <w:pPr>
        <w:spacing w:line="360" w:lineRule="exact"/>
        <w:rPr>
          <w:rFonts w:ascii="黑体" w:eastAsia="黑体"/>
          <w:sz w:val="32"/>
          <w:szCs w:val="32"/>
          <w:highlight w:val="none"/>
        </w:rPr>
      </w:pPr>
    </w:p>
    <w:p w14:paraId="700740A3">
      <w:pPr>
        <w:spacing w:line="360" w:lineRule="exact"/>
        <w:rPr>
          <w:rFonts w:ascii="黑体" w:eastAsia="黑体"/>
          <w:sz w:val="32"/>
          <w:szCs w:val="32"/>
          <w:highlight w:val="none"/>
        </w:rPr>
      </w:pPr>
    </w:p>
    <w:p w14:paraId="52D80B00">
      <w:pPr>
        <w:widowControl/>
        <w:jc w:val="left"/>
        <w:rPr>
          <w:rFonts w:ascii="黑体" w:eastAsia="黑体"/>
          <w:b/>
          <w:sz w:val="32"/>
          <w:szCs w:val="32"/>
          <w:highlight w:val="none"/>
        </w:rPr>
      </w:pPr>
    </w:p>
    <w:p w14:paraId="060DBEF8">
      <w:pPr>
        <w:spacing w:line="360" w:lineRule="exact"/>
        <w:jc w:val="center"/>
        <w:rPr>
          <w:rFonts w:ascii="黑体" w:eastAsia="黑体"/>
          <w:b/>
          <w:sz w:val="32"/>
          <w:szCs w:val="32"/>
          <w:highlight w:val="none"/>
        </w:rPr>
      </w:pPr>
    </w:p>
    <w:p w14:paraId="77B0B411">
      <w:pPr>
        <w:spacing w:line="360" w:lineRule="exact"/>
        <w:jc w:val="center"/>
        <w:rPr>
          <w:rFonts w:ascii="黑体" w:eastAsia="黑体"/>
          <w:b/>
          <w:sz w:val="32"/>
          <w:szCs w:val="32"/>
          <w:highlight w:val="none"/>
        </w:rPr>
      </w:pPr>
    </w:p>
    <w:p w14:paraId="234FFD47">
      <w:pPr>
        <w:spacing w:line="240" w:lineRule="auto"/>
        <w:jc w:val="left"/>
        <w:outlineLvl w:val="9"/>
        <w:rPr>
          <w:rFonts w:hint="eastAsia" w:ascii="黑体" w:eastAsia="黑体"/>
          <w:b/>
          <w:sz w:val="32"/>
          <w:szCs w:val="32"/>
          <w:highlight w:val="none"/>
        </w:rPr>
      </w:pPr>
      <w:r>
        <w:rPr>
          <w:rFonts w:hint="eastAsia" w:ascii="黑体" w:eastAsia="黑体"/>
          <w:b/>
          <w:sz w:val="32"/>
          <w:szCs w:val="32"/>
          <w:highlight w:val="none"/>
        </w:rPr>
        <w:br w:type="page"/>
      </w:r>
    </w:p>
    <w:p w14:paraId="0F758E11">
      <w:pPr>
        <w:spacing w:line="360" w:lineRule="exact"/>
        <w:jc w:val="center"/>
        <w:outlineLvl w:val="1"/>
        <w:rPr>
          <w:rFonts w:ascii="黑体" w:eastAsia="黑体"/>
          <w:b/>
          <w:sz w:val="32"/>
          <w:szCs w:val="32"/>
          <w:highlight w:val="none"/>
        </w:rPr>
      </w:pPr>
      <w:r>
        <w:rPr>
          <w:rFonts w:hint="eastAsia" w:ascii="黑体" w:eastAsia="黑体"/>
          <w:b/>
          <w:sz w:val="32"/>
          <w:szCs w:val="32"/>
          <w:highlight w:val="none"/>
        </w:rPr>
        <w:t>一、</w:t>
      </w:r>
      <w:r>
        <w:rPr>
          <w:rFonts w:hint="eastAsia" w:ascii="黑体" w:hAnsi="宋体" w:eastAsia="黑体"/>
          <w:b/>
          <w:sz w:val="32"/>
          <w:szCs w:val="32"/>
          <w:highlight w:val="none"/>
        </w:rPr>
        <w:t>磋商响应声明</w:t>
      </w:r>
    </w:p>
    <w:p w14:paraId="24D60EAE">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 xml:space="preserve">致 </w:t>
      </w:r>
      <w:r>
        <w:rPr>
          <w:rFonts w:hint="eastAsia" w:ascii="宋体" w:hAnsi="宋体" w:cs="宋体"/>
          <w:color w:val="auto"/>
          <w:szCs w:val="21"/>
          <w:u w:val="single"/>
        </w:rPr>
        <w:t xml:space="preserve">            </w:t>
      </w:r>
      <w:r>
        <w:rPr>
          <w:rFonts w:hint="eastAsia" w:ascii="宋体" w:hAnsi="宋体" w:cs="宋体"/>
          <w:color w:val="auto"/>
          <w:szCs w:val="21"/>
        </w:rPr>
        <w:t>(采购人或采购代理机构)：</w:t>
      </w:r>
    </w:p>
    <w:p w14:paraId="43B3DFB4">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我方已仔细研究了</w:t>
      </w:r>
      <w:r>
        <w:rPr>
          <w:rFonts w:hint="eastAsia" w:ascii="宋体" w:hAnsi="宋体" w:cs="宋体"/>
          <w:color w:val="auto"/>
          <w:szCs w:val="21"/>
          <w:u w:val="single"/>
        </w:rPr>
        <w:t xml:space="preserve">                 </w:t>
      </w:r>
      <w:r>
        <w:rPr>
          <w:rFonts w:hint="eastAsia" w:ascii="宋体" w:hAnsi="宋体" w:cs="宋体"/>
          <w:color w:val="auto"/>
          <w:szCs w:val="21"/>
        </w:rPr>
        <w:t>(项目名称)的竞争性磋商文件（政府采购编号：</w:t>
      </w:r>
      <w:r>
        <w:rPr>
          <w:rFonts w:hint="eastAsia" w:ascii="宋体" w:hAnsi="宋体" w:cs="宋体"/>
          <w:color w:val="auto"/>
          <w:szCs w:val="21"/>
          <w:u w:val="single"/>
        </w:rPr>
        <w:t xml:space="preserve">             </w:t>
      </w:r>
      <w:r>
        <w:rPr>
          <w:rFonts w:hint="eastAsia" w:ascii="宋体" w:hAnsi="宋体" w:cs="宋体"/>
          <w:color w:val="auto"/>
          <w:szCs w:val="21"/>
        </w:rPr>
        <w:t>；委托代理编号：</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ascii="宋体" w:hAnsi="宋体" w:cs="宋体"/>
          <w:color w:val="auto"/>
          <w:szCs w:val="21"/>
        </w:rPr>
        <w:t>）的全部内容，知悉参加竞争性磋商的风险，我方承诺接受磋商文件的全部条款且无任何异议。</w:t>
      </w:r>
    </w:p>
    <w:p w14:paraId="48DE16EB">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一、我方同意在磋商文件中规定的提交首次响应文件截止时间起</w:t>
      </w:r>
      <w:r>
        <w:rPr>
          <w:rFonts w:hint="eastAsia" w:ascii="宋体" w:hAnsi="宋体" w:cs="宋体"/>
          <w:color w:val="auto"/>
          <w:szCs w:val="21"/>
          <w:u w:val="single"/>
        </w:rPr>
        <w:t xml:space="preserve">    </w:t>
      </w:r>
      <w:r>
        <w:rPr>
          <w:rFonts w:hint="eastAsia" w:ascii="宋体" w:hAnsi="宋体" w:cs="宋体"/>
          <w:color w:val="auto"/>
          <w:szCs w:val="21"/>
        </w:rPr>
        <w:t>日内(响应文件有效期)遵守本响应文件中的承诺且在此期限期满之前均具有法律约束力。</w:t>
      </w:r>
    </w:p>
    <w:p w14:paraId="6D2EC895">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二、我方提交响应文件正本一份和副本一式</w:t>
      </w:r>
      <w:r>
        <w:rPr>
          <w:rFonts w:hint="eastAsia" w:ascii="宋体" w:hAnsi="宋体" w:cs="宋体"/>
          <w:color w:val="auto"/>
          <w:szCs w:val="21"/>
          <w:u w:val="single"/>
        </w:rPr>
        <w:t xml:space="preserve">    </w:t>
      </w:r>
      <w:r>
        <w:rPr>
          <w:rFonts w:hint="eastAsia" w:ascii="宋体" w:hAnsi="宋体" w:cs="宋体"/>
          <w:color w:val="auto"/>
          <w:szCs w:val="21"/>
        </w:rPr>
        <w:t xml:space="preserve"> 份，并保证响应文件提供的数据和资料全部内容真实、合法、准确和完整，我们对此负责，并愿承担由此引起的法律责任。</w:t>
      </w:r>
    </w:p>
    <w:p w14:paraId="72D943D5">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三、我方愿意向贵方提供任何与本项采购有关的数据、情况和技术资料。若贵方需要，我方愿意提供我方作出的一切承诺的证明资料。</w:t>
      </w:r>
    </w:p>
    <w:p w14:paraId="1482DB1C">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四、我方愿意按磋商文件规定和磋商小组要求重新提交响应文件和最后报价。</w:t>
      </w:r>
    </w:p>
    <w:p w14:paraId="51901915">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五、我方承诺遵守《中华人民共和国政府采购法》的有关规定，保证在获得成交资格后，按照磋商文件确定的事项签订政府采购合同，履行双方所签订的合同，并承担合同规定的责任和义务。</w:t>
      </w:r>
    </w:p>
    <w:p w14:paraId="1F7404F8">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 xml:space="preserve">六、我方在此声明： </w:t>
      </w:r>
    </w:p>
    <w:p w14:paraId="7D6CF409">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（一）我方与采购人或采购代理机构不存在隶属关系或者其他利害关系。</w:t>
      </w:r>
    </w:p>
    <w:p w14:paraId="6B090F50">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（二）我方与参加本项目的其他供应商不存在直接控股、管理关系，或者与其他供应商法定代表人（或者负责人）为同一人。</w:t>
      </w:r>
    </w:p>
    <w:p w14:paraId="3A7C835D">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（三）我方未为本项目前期准备提供设计或咨询服务。</w:t>
      </w:r>
    </w:p>
    <w:p w14:paraId="11A3B95E">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（四）我方具有良好的商业信誉和健全的财务会计制度。</w:t>
      </w:r>
    </w:p>
    <w:p w14:paraId="18477D4C">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（五）我方具有履行本项目采购合同所必需的设备和专业技术能力。</w:t>
      </w:r>
    </w:p>
    <w:p w14:paraId="1E92B58A">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（六）我方承诺（承诺期：成立三年以上的，为提交首次响应文件截止时间前三年内；成立不足三年的，为实际时间）：</w:t>
      </w:r>
    </w:p>
    <w:p w14:paraId="3DB5F663">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1、我方依法缴纳了各项税费及各项社会保障资金，没有偷税、漏税及欠缴行为。</w:t>
      </w:r>
    </w:p>
    <w:p w14:paraId="38047F4B">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2、我方在经营活动中没有存在下列重大违法记录：</w:t>
      </w:r>
    </w:p>
    <w:p w14:paraId="52479586">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(1)受到刑事处罚；</w:t>
      </w:r>
    </w:p>
    <w:p w14:paraId="004FC723">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(2)受到较大数额以上（200万元以上）的罚款、责令停产停业、在一至三年内禁止参加政府采购活动、暂扣或者吊销许可证、暂扣或者吊销执照的行政处罚。</w:t>
      </w:r>
    </w:p>
    <w:p w14:paraId="072F8ACD">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附件1：法定代表人身份证明</w:t>
      </w:r>
    </w:p>
    <w:p w14:paraId="5A85FDB5">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附件2：法定代表人授权书</w:t>
      </w:r>
    </w:p>
    <w:p w14:paraId="018DDB66">
      <w:pPr>
        <w:adjustRightInd w:val="0"/>
        <w:snapToGrid w:val="0"/>
        <w:spacing w:line="360" w:lineRule="auto"/>
        <w:ind w:right="0"/>
        <w:outlineLvl w:val="9"/>
        <w:rPr>
          <w:rFonts w:hint="eastAsia" w:ascii="宋体" w:hAnsi="宋体" w:cs="宋体"/>
          <w:color w:val="auto"/>
          <w:szCs w:val="21"/>
        </w:rPr>
      </w:pPr>
    </w:p>
    <w:p w14:paraId="68D576AB">
      <w:pPr>
        <w:adjustRightInd w:val="0"/>
        <w:snapToGrid w:val="0"/>
        <w:spacing w:line="360" w:lineRule="auto"/>
        <w:ind w:right="0"/>
        <w:outlineLvl w:val="9"/>
        <w:rPr>
          <w:rFonts w:hint="eastAsia" w:ascii="宋体" w:hAnsi="宋体" w:cs="宋体"/>
          <w:color w:val="auto"/>
          <w:szCs w:val="21"/>
        </w:rPr>
      </w:pPr>
      <w:r>
        <w:rPr>
          <w:rFonts w:hint="eastAsia" w:ascii="宋体" w:hAnsi="宋体" w:cs="宋体"/>
          <w:color w:val="auto"/>
          <w:szCs w:val="21"/>
        </w:rPr>
        <w:t>供应商名称(盖公章)：</w:t>
      </w:r>
    </w:p>
    <w:p w14:paraId="01536A48">
      <w:pPr>
        <w:adjustRightInd w:val="0"/>
        <w:snapToGrid w:val="0"/>
        <w:spacing w:line="360" w:lineRule="auto"/>
        <w:ind w:right="0"/>
        <w:outlineLvl w:val="9"/>
        <w:rPr>
          <w:rFonts w:hint="eastAsia" w:ascii="宋体" w:hAnsi="宋体" w:cs="宋体"/>
          <w:color w:val="auto"/>
          <w:szCs w:val="21"/>
          <w:u w:val="single"/>
        </w:rPr>
      </w:pPr>
      <w:r>
        <w:rPr>
          <w:rFonts w:hint="eastAsia" w:ascii="宋体" w:hAnsi="宋体" w:cs="宋体"/>
          <w:color w:val="auto"/>
          <w:szCs w:val="21"/>
        </w:rPr>
        <w:t xml:space="preserve">法定代表人或其委托代理人 (签字或盖章)： </w:t>
      </w:r>
      <w:r>
        <w:rPr>
          <w:rFonts w:hint="eastAsia" w:ascii="宋体" w:hAnsi="宋体" w:cs="宋体"/>
          <w:color w:val="auto"/>
          <w:szCs w:val="21"/>
          <w:u w:val="single"/>
        </w:rPr>
        <w:t xml:space="preserve">           </w:t>
      </w:r>
    </w:p>
    <w:p w14:paraId="7B5393C0">
      <w:pPr>
        <w:adjustRightInd w:val="0"/>
        <w:snapToGrid w:val="0"/>
        <w:spacing w:line="360" w:lineRule="auto"/>
        <w:ind w:right="0"/>
        <w:outlineLvl w:val="9"/>
        <w:rPr>
          <w:rFonts w:hint="eastAsia" w:ascii="黑体" w:hAnsi="黑体" w:eastAsia="黑体"/>
          <w:bCs/>
          <w:sz w:val="30"/>
          <w:szCs w:val="30"/>
          <w:highlight w:val="none"/>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 xml:space="preserve"> 日</w:t>
      </w:r>
      <w:r>
        <w:rPr>
          <w:rFonts w:hint="eastAsia" w:ascii="黑体" w:hAnsi="黑体" w:eastAsia="黑体"/>
          <w:bCs/>
          <w:sz w:val="30"/>
          <w:szCs w:val="30"/>
          <w:highlight w:val="none"/>
        </w:rPr>
        <w:br w:type="page"/>
      </w:r>
    </w:p>
    <w:p w14:paraId="56744F01">
      <w:pPr>
        <w:adjustRightInd w:val="0"/>
        <w:snapToGrid w:val="0"/>
        <w:spacing w:line="360" w:lineRule="auto"/>
        <w:ind w:right="24"/>
        <w:outlineLvl w:val="9"/>
        <w:rPr>
          <w:rFonts w:ascii="黑体" w:hAnsi="黑体" w:eastAsia="黑体"/>
          <w:bCs/>
          <w:sz w:val="30"/>
          <w:szCs w:val="30"/>
          <w:highlight w:val="none"/>
        </w:rPr>
      </w:pPr>
      <w:r>
        <w:rPr>
          <w:rFonts w:hint="eastAsia" w:ascii="黑体" w:hAnsi="黑体" w:eastAsia="黑体"/>
          <w:bCs/>
          <w:sz w:val="30"/>
          <w:szCs w:val="30"/>
          <w:highlight w:val="none"/>
        </w:rPr>
        <w:t>附件1</w:t>
      </w:r>
    </w:p>
    <w:p w14:paraId="1FADF6BF">
      <w:pPr>
        <w:jc w:val="center"/>
        <w:outlineLvl w:val="2"/>
        <w:rPr>
          <w:rFonts w:ascii="黑体" w:hAnsi="黑体" w:eastAsia="黑体"/>
          <w:b/>
          <w:sz w:val="30"/>
          <w:szCs w:val="30"/>
          <w:highlight w:val="none"/>
        </w:rPr>
      </w:pPr>
      <w:r>
        <w:rPr>
          <w:rFonts w:hint="eastAsia" w:ascii="黑体" w:hAnsi="黑体" w:eastAsia="黑体"/>
          <w:b/>
          <w:sz w:val="30"/>
          <w:szCs w:val="30"/>
          <w:highlight w:val="none"/>
        </w:rPr>
        <w:t>法定代表人身份证明</w:t>
      </w:r>
    </w:p>
    <w:p w14:paraId="7F38ADD1">
      <w:pPr>
        <w:snapToGrid w:val="0"/>
        <w:spacing w:line="480" w:lineRule="auto"/>
        <w:outlineLvl w:val="9"/>
        <w:rPr>
          <w:rFonts w:ascii="宋体" w:hAnsi="宋体"/>
          <w:szCs w:val="21"/>
          <w:highlight w:val="none"/>
        </w:rPr>
      </w:pPr>
    </w:p>
    <w:p w14:paraId="6077A4DC">
      <w:pPr>
        <w:autoSpaceDE w:val="0"/>
        <w:autoSpaceDN w:val="0"/>
        <w:adjustRightInd w:val="0"/>
        <w:snapToGrid w:val="0"/>
        <w:spacing w:line="360" w:lineRule="auto"/>
        <w:jc w:val="left"/>
        <w:outlineLvl w:val="9"/>
        <w:rPr>
          <w:rFonts w:ascii="宋体" w:hAnsi="宋体" w:cs="宋体"/>
          <w:kern w:val="0"/>
          <w:szCs w:val="21"/>
          <w:highlight w:val="none"/>
        </w:rPr>
      </w:pPr>
      <w:r>
        <w:rPr>
          <w:rFonts w:hint="eastAsia" w:ascii="宋体" w:hAnsi="宋体"/>
          <w:szCs w:val="21"/>
          <w:highlight w:val="none"/>
        </w:rPr>
        <w:t>供应商</w:t>
      </w:r>
      <w:r>
        <w:rPr>
          <w:rFonts w:hint="eastAsia" w:ascii="宋体" w:hAnsi="宋体" w:cs="宋体"/>
          <w:kern w:val="0"/>
          <w:szCs w:val="21"/>
          <w:highlight w:val="none"/>
        </w:rPr>
        <w:t>名称：</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w:t>
      </w:r>
    </w:p>
    <w:p w14:paraId="12B5B0B4">
      <w:pPr>
        <w:autoSpaceDE w:val="0"/>
        <w:autoSpaceDN w:val="0"/>
        <w:adjustRightInd w:val="0"/>
        <w:snapToGrid w:val="0"/>
        <w:spacing w:line="360" w:lineRule="auto"/>
        <w:jc w:val="left"/>
        <w:outlineLvl w:val="9"/>
        <w:rPr>
          <w:rFonts w:ascii="宋体" w:hAnsi="宋体" w:cs="宋体"/>
          <w:kern w:val="0"/>
          <w:szCs w:val="21"/>
          <w:highlight w:val="none"/>
        </w:rPr>
      </w:pPr>
      <w:r>
        <w:rPr>
          <w:rFonts w:hint="eastAsia" w:ascii="宋体" w:hAnsi="宋体" w:cs="宋体"/>
          <w:kern w:val="0"/>
          <w:szCs w:val="21"/>
          <w:highlight w:val="none"/>
        </w:rPr>
        <w:t>注册号：</w:t>
      </w:r>
      <w:r>
        <w:rPr>
          <w:rFonts w:hint="eastAsia" w:ascii="宋体" w:hAnsi="宋体" w:cs="宋体"/>
          <w:kern w:val="0"/>
          <w:szCs w:val="21"/>
          <w:highlight w:val="none"/>
          <w:u w:val="single"/>
        </w:rPr>
        <w:t xml:space="preserve">                  </w:t>
      </w:r>
    </w:p>
    <w:p w14:paraId="0B72630C">
      <w:pPr>
        <w:autoSpaceDE w:val="0"/>
        <w:autoSpaceDN w:val="0"/>
        <w:adjustRightInd w:val="0"/>
        <w:snapToGrid w:val="0"/>
        <w:spacing w:line="360" w:lineRule="auto"/>
        <w:jc w:val="left"/>
        <w:outlineLvl w:val="9"/>
        <w:rPr>
          <w:rFonts w:ascii="宋体" w:hAnsi="宋体" w:cs="宋体"/>
          <w:kern w:val="0"/>
          <w:szCs w:val="21"/>
          <w:highlight w:val="none"/>
        </w:rPr>
      </w:pPr>
      <w:r>
        <w:rPr>
          <w:rFonts w:hint="eastAsia" w:ascii="宋体" w:hAnsi="宋体" w:cs="宋体"/>
          <w:kern w:val="0"/>
          <w:szCs w:val="21"/>
          <w:highlight w:val="none"/>
        </w:rPr>
        <w:t>注册地址：</w:t>
      </w:r>
      <w:r>
        <w:rPr>
          <w:rFonts w:hint="eastAsia" w:ascii="宋体" w:hAnsi="宋体" w:cs="宋体"/>
          <w:kern w:val="0"/>
          <w:szCs w:val="21"/>
          <w:highlight w:val="none"/>
          <w:u w:val="single"/>
        </w:rPr>
        <w:t xml:space="preserve">                                    </w:t>
      </w:r>
    </w:p>
    <w:p w14:paraId="64FC8F80">
      <w:pPr>
        <w:autoSpaceDE w:val="0"/>
        <w:autoSpaceDN w:val="0"/>
        <w:adjustRightInd w:val="0"/>
        <w:snapToGrid w:val="0"/>
        <w:spacing w:line="360" w:lineRule="auto"/>
        <w:jc w:val="left"/>
        <w:outlineLvl w:val="9"/>
        <w:rPr>
          <w:rFonts w:ascii="宋体" w:hAnsi="宋体" w:cs="宋体"/>
          <w:kern w:val="0"/>
          <w:szCs w:val="21"/>
          <w:highlight w:val="none"/>
        </w:rPr>
      </w:pPr>
      <w:r>
        <w:rPr>
          <w:rFonts w:hint="eastAsia" w:ascii="宋体" w:hAnsi="宋体" w:cs="宋体"/>
          <w:kern w:val="0"/>
          <w:szCs w:val="21"/>
          <w:highlight w:val="none"/>
        </w:rPr>
        <w:t xml:space="preserve">成立时间：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年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日</w:t>
      </w:r>
    </w:p>
    <w:p w14:paraId="6526A64B">
      <w:pPr>
        <w:autoSpaceDE w:val="0"/>
        <w:autoSpaceDN w:val="0"/>
        <w:adjustRightInd w:val="0"/>
        <w:snapToGrid w:val="0"/>
        <w:spacing w:line="360" w:lineRule="auto"/>
        <w:jc w:val="left"/>
        <w:outlineLvl w:val="9"/>
        <w:rPr>
          <w:rFonts w:ascii="宋体" w:hAnsi="宋体" w:cs="宋体"/>
          <w:kern w:val="0"/>
          <w:szCs w:val="21"/>
          <w:highlight w:val="none"/>
          <w:u w:val="single"/>
        </w:rPr>
      </w:pPr>
      <w:r>
        <w:rPr>
          <w:rFonts w:hint="eastAsia" w:ascii="宋体" w:hAnsi="宋体" w:cs="宋体"/>
          <w:kern w:val="0"/>
          <w:szCs w:val="21"/>
          <w:highlight w:val="none"/>
        </w:rPr>
        <w:t>经营期限：</w:t>
      </w:r>
      <w:r>
        <w:rPr>
          <w:rFonts w:hint="eastAsia" w:ascii="宋体" w:hAnsi="宋体" w:cs="宋体"/>
          <w:kern w:val="0"/>
          <w:szCs w:val="21"/>
          <w:highlight w:val="none"/>
          <w:u w:val="single"/>
        </w:rPr>
        <w:t xml:space="preserve">                  </w:t>
      </w:r>
    </w:p>
    <w:p w14:paraId="5732F390">
      <w:pPr>
        <w:autoSpaceDE w:val="0"/>
        <w:autoSpaceDN w:val="0"/>
        <w:adjustRightInd w:val="0"/>
        <w:snapToGrid w:val="0"/>
        <w:spacing w:line="360" w:lineRule="auto"/>
        <w:jc w:val="left"/>
        <w:outlineLvl w:val="9"/>
        <w:rPr>
          <w:rFonts w:ascii="宋体" w:hAnsi="宋体" w:cs="宋体"/>
          <w:kern w:val="0"/>
          <w:szCs w:val="21"/>
          <w:highlight w:val="none"/>
          <w:u w:val="single"/>
        </w:rPr>
      </w:pPr>
      <w:r>
        <w:rPr>
          <w:rFonts w:hint="eastAsia" w:ascii="宋体" w:hAnsi="宋体" w:cs="宋体"/>
          <w:kern w:val="0"/>
          <w:szCs w:val="21"/>
          <w:highlight w:val="none"/>
        </w:rPr>
        <w:t>经营范围：主营：</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；兼营：</w:t>
      </w:r>
      <w:r>
        <w:rPr>
          <w:rFonts w:hint="eastAsia" w:ascii="宋体" w:hAnsi="宋体" w:cs="宋体"/>
          <w:kern w:val="0"/>
          <w:szCs w:val="21"/>
          <w:highlight w:val="none"/>
          <w:u w:val="single"/>
        </w:rPr>
        <w:t xml:space="preserve">              </w:t>
      </w:r>
    </w:p>
    <w:p w14:paraId="19A81B2A">
      <w:pPr>
        <w:autoSpaceDE w:val="0"/>
        <w:autoSpaceDN w:val="0"/>
        <w:adjustRightInd w:val="0"/>
        <w:snapToGrid w:val="0"/>
        <w:spacing w:line="360" w:lineRule="auto"/>
        <w:jc w:val="left"/>
        <w:outlineLvl w:val="9"/>
        <w:rPr>
          <w:rFonts w:ascii="宋体" w:hAnsi="宋体" w:cs="宋体"/>
          <w:kern w:val="0"/>
          <w:szCs w:val="21"/>
          <w:highlight w:val="none"/>
        </w:rPr>
      </w:pPr>
      <w:r>
        <w:rPr>
          <w:rFonts w:hint="eastAsia" w:ascii="宋体" w:hAnsi="宋体" w:cs="宋体"/>
          <w:kern w:val="0"/>
          <w:szCs w:val="21"/>
          <w:highlight w:val="none"/>
        </w:rPr>
        <w:t>姓名：</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性别：</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年龄：</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系</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w:t>
      </w:r>
      <w:r>
        <w:rPr>
          <w:rFonts w:hint="eastAsia" w:ascii="宋体" w:hAnsi="宋体"/>
          <w:szCs w:val="21"/>
          <w:highlight w:val="none"/>
        </w:rPr>
        <w:t>供应商</w:t>
      </w:r>
      <w:r>
        <w:rPr>
          <w:rFonts w:hint="eastAsia" w:ascii="宋体" w:hAnsi="宋体" w:cs="宋体"/>
          <w:kern w:val="0"/>
          <w:szCs w:val="21"/>
          <w:highlight w:val="none"/>
        </w:rPr>
        <w:t>名称）的法定代表人。</w:t>
      </w:r>
    </w:p>
    <w:p w14:paraId="4B9CCC6F">
      <w:pPr>
        <w:autoSpaceDE w:val="0"/>
        <w:autoSpaceDN w:val="0"/>
        <w:adjustRightInd w:val="0"/>
        <w:snapToGrid w:val="0"/>
        <w:spacing w:line="360" w:lineRule="auto"/>
        <w:jc w:val="left"/>
        <w:outlineLvl w:val="9"/>
        <w:rPr>
          <w:rFonts w:ascii="宋体" w:hAnsi="宋体" w:cs="宋体"/>
          <w:kern w:val="0"/>
          <w:szCs w:val="21"/>
          <w:highlight w:val="none"/>
        </w:rPr>
      </w:pPr>
      <w:r>
        <w:rPr>
          <w:rFonts w:hint="eastAsia" w:ascii="宋体" w:hAnsi="宋体" w:cs="宋体"/>
          <w:kern w:val="0"/>
          <w:szCs w:val="21"/>
          <w:highlight w:val="none"/>
        </w:rPr>
        <w:t>特此证明。</w:t>
      </w:r>
    </w:p>
    <w:p w14:paraId="3214F8F6">
      <w:pPr>
        <w:autoSpaceDE w:val="0"/>
        <w:autoSpaceDN w:val="0"/>
        <w:adjustRightInd w:val="0"/>
        <w:snapToGrid w:val="0"/>
        <w:spacing w:line="360" w:lineRule="auto"/>
        <w:jc w:val="left"/>
        <w:outlineLvl w:val="9"/>
        <w:rPr>
          <w:rFonts w:ascii="宋体" w:hAnsi="宋体" w:cs="宋体"/>
          <w:kern w:val="0"/>
          <w:szCs w:val="21"/>
          <w:highlight w:val="none"/>
        </w:rPr>
      </w:pPr>
      <w:r>
        <w:rPr>
          <w:rFonts w:hint="eastAsia" w:ascii="宋体" w:hAnsi="宋体"/>
          <w:szCs w:val="21"/>
          <w:highlight w:val="none"/>
        </w:rPr>
        <w:t>附：法定代表人身份证复印件</w:t>
      </w:r>
    </w:p>
    <w:p w14:paraId="3601C060">
      <w:pPr>
        <w:snapToGrid w:val="0"/>
        <w:spacing w:line="480" w:lineRule="auto"/>
        <w:outlineLvl w:val="9"/>
        <w:rPr>
          <w:rFonts w:ascii="宋体" w:hAnsi="宋体"/>
          <w:szCs w:val="21"/>
          <w:highlight w:val="none"/>
        </w:rPr>
      </w:pPr>
    </w:p>
    <w:p w14:paraId="1CCDCDED">
      <w:pPr>
        <w:snapToGrid w:val="0"/>
        <w:outlineLvl w:val="9"/>
        <w:rPr>
          <w:rFonts w:ascii="宋体" w:hAnsi="宋体"/>
          <w:szCs w:val="21"/>
          <w:highlight w:val="none"/>
        </w:rPr>
      </w:pPr>
    </w:p>
    <w:p w14:paraId="6D1EF836">
      <w:pPr>
        <w:snapToGrid w:val="0"/>
        <w:outlineLvl w:val="9"/>
        <w:rPr>
          <w:rFonts w:ascii="宋体" w:hAnsi="宋体"/>
          <w:szCs w:val="21"/>
          <w:highlight w:val="none"/>
        </w:rPr>
      </w:pPr>
    </w:p>
    <w:p w14:paraId="6096CE83">
      <w:pPr>
        <w:snapToGrid w:val="0"/>
        <w:outlineLvl w:val="9"/>
        <w:rPr>
          <w:rFonts w:ascii="宋体" w:hAnsi="宋体"/>
          <w:szCs w:val="21"/>
          <w:highlight w:val="none"/>
        </w:rPr>
      </w:pPr>
    </w:p>
    <w:p w14:paraId="418EAC0A">
      <w:pPr>
        <w:snapToGrid w:val="0"/>
        <w:outlineLvl w:val="9"/>
        <w:rPr>
          <w:rFonts w:ascii="宋体" w:hAnsi="宋体"/>
          <w:szCs w:val="21"/>
          <w:highlight w:val="none"/>
        </w:rPr>
      </w:pPr>
    </w:p>
    <w:p w14:paraId="312A474D">
      <w:pPr>
        <w:adjustRightInd w:val="0"/>
        <w:snapToGrid w:val="0"/>
        <w:spacing w:line="360" w:lineRule="auto"/>
        <w:outlineLvl w:val="9"/>
        <w:rPr>
          <w:rFonts w:ascii="宋体" w:hAnsi="宋体"/>
          <w:szCs w:val="21"/>
          <w:highlight w:val="none"/>
        </w:rPr>
      </w:pPr>
    </w:p>
    <w:p w14:paraId="3871B452">
      <w:pPr>
        <w:adjustRightInd w:val="0"/>
        <w:snapToGrid w:val="0"/>
        <w:spacing w:line="360" w:lineRule="auto"/>
        <w:ind w:right="420"/>
        <w:outlineLvl w:val="9"/>
        <w:rPr>
          <w:rFonts w:ascii="宋体" w:hAnsi="宋体"/>
          <w:szCs w:val="21"/>
          <w:highlight w:val="none"/>
        </w:rPr>
      </w:pPr>
      <w:r>
        <w:rPr>
          <w:rFonts w:hint="eastAsia" w:ascii="宋体" w:hAnsi="宋体"/>
          <w:szCs w:val="21"/>
          <w:highlight w:val="none"/>
        </w:rPr>
        <w:t>供应商名称（盖单位章）：</w:t>
      </w:r>
    </w:p>
    <w:p w14:paraId="17A4872D">
      <w:pPr>
        <w:adjustRightInd w:val="0"/>
        <w:snapToGrid w:val="0"/>
        <w:spacing w:line="360" w:lineRule="auto"/>
        <w:ind w:right="420"/>
        <w:outlineLvl w:val="9"/>
        <w:rPr>
          <w:rFonts w:ascii="仿宋_GB2312" w:hAnsi="宋体" w:eastAsia="仿宋_GB2312"/>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 xml:space="preserve">日      </w:t>
      </w:r>
    </w:p>
    <w:p w14:paraId="2991CD16">
      <w:pPr>
        <w:adjustRightInd w:val="0"/>
        <w:snapToGrid w:val="0"/>
        <w:spacing w:before="156" w:beforeLines="50" w:line="360" w:lineRule="auto"/>
        <w:outlineLvl w:val="9"/>
        <w:rPr>
          <w:rFonts w:ascii="仿宋_GB2312" w:hAnsi="宋体" w:eastAsia="仿宋_GB2312"/>
          <w:szCs w:val="21"/>
          <w:highlight w:val="none"/>
        </w:rPr>
      </w:pPr>
    </w:p>
    <w:p w14:paraId="07760A8C">
      <w:pPr>
        <w:adjustRightInd w:val="0"/>
        <w:snapToGrid w:val="0"/>
        <w:spacing w:before="156" w:beforeLines="50" w:line="360" w:lineRule="auto"/>
        <w:outlineLvl w:val="9"/>
        <w:rPr>
          <w:rFonts w:ascii="仿宋_GB2312" w:hAnsi="宋体" w:eastAsia="仿宋_GB2312"/>
          <w:szCs w:val="21"/>
          <w:highlight w:val="none"/>
        </w:rPr>
      </w:pPr>
    </w:p>
    <w:p w14:paraId="26351DAE">
      <w:pPr>
        <w:adjustRightInd w:val="0"/>
        <w:snapToGrid w:val="0"/>
        <w:spacing w:before="156" w:beforeLines="50" w:line="360" w:lineRule="auto"/>
        <w:rPr>
          <w:rFonts w:hint="eastAsia" w:ascii="宋体" w:hAnsi="宋体" w:cs="宋体"/>
          <w:bCs/>
          <w:color w:val="auto"/>
          <w:sz w:val="30"/>
          <w:szCs w:val="30"/>
        </w:rPr>
      </w:pPr>
      <w:r>
        <w:rPr>
          <w:rFonts w:hint="eastAsia" w:ascii="宋体" w:hAnsi="宋体" w:cs="宋体"/>
          <w:b/>
          <w:color w:val="auto"/>
          <w:szCs w:val="21"/>
        </w:rPr>
        <w:t>（注：此法定代表人身份证明由供应商加盖单位公章，除响应文件中须提供外，还须另外准备一份，不装入响应文件，用于现场身份验证。）</w:t>
      </w:r>
    </w:p>
    <w:p w14:paraId="7781E362">
      <w:pPr>
        <w:adjustRightInd w:val="0"/>
        <w:snapToGrid w:val="0"/>
        <w:spacing w:before="156" w:beforeLines="50" w:line="360" w:lineRule="auto"/>
        <w:outlineLvl w:val="9"/>
        <w:rPr>
          <w:rFonts w:ascii="黑体" w:hAnsi="黑体" w:eastAsia="黑体"/>
          <w:bCs/>
          <w:sz w:val="30"/>
          <w:szCs w:val="30"/>
          <w:highlight w:val="none"/>
        </w:rPr>
      </w:pPr>
    </w:p>
    <w:p w14:paraId="02BF20B1">
      <w:pPr>
        <w:adjustRightInd w:val="0"/>
        <w:snapToGrid w:val="0"/>
        <w:spacing w:before="156" w:beforeLines="50" w:line="360" w:lineRule="auto"/>
        <w:outlineLvl w:val="9"/>
        <w:rPr>
          <w:rFonts w:ascii="黑体" w:hAnsi="黑体" w:eastAsia="黑体"/>
          <w:bCs/>
          <w:sz w:val="30"/>
          <w:szCs w:val="30"/>
          <w:highlight w:val="none"/>
        </w:rPr>
      </w:pPr>
    </w:p>
    <w:p w14:paraId="700E415A">
      <w:pPr>
        <w:adjustRightInd w:val="0"/>
        <w:snapToGrid w:val="0"/>
        <w:spacing w:before="156" w:beforeLines="50" w:line="360" w:lineRule="auto"/>
        <w:outlineLvl w:val="9"/>
        <w:rPr>
          <w:rFonts w:ascii="黑体" w:hAnsi="黑体" w:eastAsia="黑体"/>
          <w:bCs/>
          <w:sz w:val="30"/>
          <w:szCs w:val="30"/>
          <w:highlight w:val="none"/>
        </w:rPr>
      </w:pPr>
    </w:p>
    <w:p w14:paraId="14686360">
      <w:pPr>
        <w:adjustRightInd w:val="0"/>
        <w:snapToGrid w:val="0"/>
        <w:spacing w:before="156" w:beforeLines="50" w:line="360" w:lineRule="auto"/>
        <w:outlineLvl w:val="9"/>
        <w:rPr>
          <w:rFonts w:ascii="黑体" w:hAnsi="黑体" w:eastAsia="黑体"/>
          <w:bCs/>
          <w:sz w:val="30"/>
          <w:szCs w:val="30"/>
          <w:highlight w:val="none"/>
        </w:rPr>
      </w:pPr>
    </w:p>
    <w:p w14:paraId="14C6FE0F">
      <w:pPr>
        <w:adjustRightInd/>
        <w:snapToGrid/>
        <w:spacing w:before="0" w:beforeLines="0" w:line="240" w:lineRule="auto"/>
        <w:outlineLvl w:val="9"/>
        <w:rPr>
          <w:rFonts w:hint="eastAsia" w:ascii="黑体" w:hAnsi="黑体" w:eastAsia="黑体"/>
          <w:bCs/>
          <w:sz w:val="30"/>
          <w:szCs w:val="30"/>
          <w:highlight w:val="none"/>
        </w:rPr>
      </w:pPr>
      <w:r>
        <w:rPr>
          <w:rFonts w:hint="eastAsia" w:ascii="黑体" w:hAnsi="黑体" w:eastAsia="黑体"/>
          <w:bCs/>
          <w:sz w:val="30"/>
          <w:szCs w:val="30"/>
          <w:highlight w:val="none"/>
        </w:rPr>
        <w:br w:type="page"/>
      </w:r>
    </w:p>
    <w:p w14:paraId="7AF66FC9">
      <w:pPr>
        <w:adjustRightInd w:val="0"/>
        <w:snapToGrid w:val="0"/>
        <w:spacing w:before="156" w:beforeLines="50" w:line="360" w:lineRule="auto"/>
        <w:outlineLvl w:val="9"/>
        <w:rPr>
          <w:rFonts w:ascii="黑体" w:hAnsi="黑体" w:eastAsia="黑体"/>
          <w:sz w:val="30"/>
          <w:szCs w:val="30"/>
          <w:highlight w:val="none"/>
        </w:rPr>
      </w:pPr>
      <w:r>
        <w:rPr>
          <w:rFonts w:hint="eastAsia" w:ascii="黑体" w:hAnsi="黑体" w:eastAsia="黑体"/>
          <w:bCs/>
          <w:sz w:val="30"/>
          <w:szCs w:val="30"/>
          <w:highlight w:val="none"/>
        </w:rPr>
        <w:t>附件2</w:t>
      </w:r>
    </w:p>
    <w:p w14:paraId="4A48ADB5">
      <w:pPr>
        <w:jc w:val="center"/>
        <w:outlineLvl w:val="2"/>
        <w:rPr>
          <w:rFonts w:ascii="黑体" w:hAnsi="黑体" w:eastAsia="黑体"/>
          <w:b/>
          <w:sz w:val="30"/>
          <w:szCs w:val="30"/>
          <w:highlight w:val="none"/>
        </w:rPr>
      </w:pPr>
      <w:r>
        <w:rPr>
          <w:rFonts w:hint="eastAsia" w:ascii="黑体" w:hAnsi="黑体" w:eastAsia="黑体"/>
          <w:b/>
          <w:sz w:val="30"/>
          <w:szCs w:val="30"/>
          <w:highlight w:val="none"/>
        </w:rPr>
        <w:t>法定代表人授权委托书</w:t>
      </w:r>
    </w:p>
    <w:p w14:paraId="6DDA7E9C">
      <w:pPr>
        <w:adjustRightInd w:val="0"/>
        <w:snapToGrid w:val="0"/>
        <w:spacing w:line="360" w:lineRule="auto"/>
        <w:jc w:val="center"/>
        <w:outlineLvl w:val="9"/>
        <w:rPr>
          <w:rFonts w:ascii="黑体" w:hAnsi="华文中宋" w:eastAsia="黑体"/>
          <w:b/>
          <w:sz w:val="28"/>
          <w:szCs w:val="28"/>
          <w:highlight w:val="none"/>
        </w:rPr>
      </w:pPr>
    </w:p>
    <w:p w14:paraId="3746A89B">
      <w:pPr>
        <w:autoSpaceDE w:val="0"/>
        <w:autoSpaceDN w:val="0"/>
        <w:adjustRightInd w:val="0"/>
        <w:snapToGrid w:val="0"/>
        <w:spacing w:before="156" w:beforeLines="50" w:line="360" w:lineRule="auto"/>
        <w:ind w:firstLine="420" w:firstLineChars="200"/>
        <w:jc w:val="left"/>
        <w:outlineLvl w:val="9"/>
        <w:rPr>
          <w:rFonts w:ascii="宋体" w:hAnsi="宋体" w:cs="宋体"/>
          <w:kern w:val="0"/>
          <w:szCs w:val="21"/>
          <w:highlight w:val="none"/>
        </w:rPr>
      </w:pPr>
      <w:r>
        <w:rPr>
          <w:rFonts w:hint="eastAsia" w:ascii="宋体" w:hAnsi="宋体" w:cs="宋体"/>
          <w:kern w:val="0"/>
          <w:szCs w:val="21"/>
          <w:highlight w:val="none"/>
        </w:rPr>
        <w:t>本人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（姓名、职务）系</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w:t>
      </w:r>
      <w:r>
        <w:rPr>
          <w:rFonts w:hint="eastAsia" w:ascii="宋体" w:hAnsi="宋体"/>
          <w:szCs w:val="21"/>
          <w:highlight w:val="none"/>
        </w:rPr>
        <w:t>供应商</w:t>
      </w:r>
      <w:r>
        <w:rPr>
          <w:rFonts w:hint="eastAsia" w:ascii="宋体" w:hAnsi="宋体" w:cs="宋体"/>
          <w:kern w:val="0"/>
          <w:szCs w:val="21"/>
          <w:highlight w:val="none"/>
        </w:rPr>
        <w:t>名称）的法定代表人，现授权</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（姓名、职务）为我方代理人。代理人根据授权，以我方名义：(1)签署、澄清、补正、修改、撤回、提交</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（项目名称、</w:t>
      </w:r>
      <w:r>
        <w:rPr>
          <w:rFonts w:hint="eastAsia" w:ascii="宋体" w:hAnsi="宋体" w:cs="宋体"/>
          <w:kern w:val="0"/>
          <w:szCs w:val="21"/>
          <w:highlight w:val="none"/>
          <w:lang w:val="en-US" w:eastAsia="zh-CN"/>
        </w:rPr>
        <w:t>包号、</w:t>
      </w:r>
      <w:r>
        <w:rPr>
          <w:rFonts w:hint="eastAsia" w:ascii="宋体" w:hAnsi="宋体"/>
          <w:szCs w:val="21"/>
          <w:highlight w:val="none"/>
        </w:rPr>
        <w:t>政府</w:t>
      </w:r>
      <w:r>
        <w:rPr>
          <w:rFonts w:hint="eastAsia" w:ascii="宋体" w:hAnsi="宋体" w:cs="宋体"/>
          <w:kern w:val="0"/>
          <w:szCs w:val="21"/>
          <w:highlight w:val="none"/>
        </w:rPr>
        <w:t>采购编号、采购代理机构编号）响应文件；(2)签署并重新提交响应文件及最后报价；(3)签订合同和处理有关事宜，其法律后果由我方承担；（4）询问、质疑、投诉等相关事项，其法律后果由我方承担。</w:t>
      </w:r>
    </w:p>
    <w:p w14:paraId="421D1EE9">
      <w:pPr>
        <w:autoSpaceDE w:val="0"/>
        <w:autoSpaceDN w:val="0"/>
        <w:adjustRightInd w:val="0"/>
        <w:snapToGrid w:val="0"/>
        <w:spacing w:before="156" w:beforeLines="50" w:line="360" w:lineRule="auto"/>
        <w:ind w:firstLine="420" w:firstLineChars="200"/>
        <w:jc w:val="left"/>
        <w:outlineLvl w:val="9"/>
        <w:rPr>
          <w:rFonts w:ascii="宋体" w:hAnsi="宋体" w:cs="宋体"/>
          <w:kern w:val="0"/>
          <w:szCs w:val="21"/>
          <w:highlight w:val="none"/>
        </w:rPr>
      </w:pPr>
    </w:p>
    <w:p w14:paraId="7EBCBBBB">
      <w:pPr>
        <w:autoSpaceDE w:val="0"/>
        <w:autoSpaceDN w:val="0"/>
        <w:adjustRightInd w:val="0"/>
        <w:snapToGrid w:val="0"/>
        <w:spacing w:before="156" w:beforeLines="50" w:line="360" w:lineRule="auto"/>
        <w:ind w:firstLine="420" w:firstLineChars="200"/>
        <w:jc w:val="left"/>
        <w:outlineLvl w:val="9"/>
        <w:rPr>
          <w:rFonts w:ascii="宋体" w:hAnsi="宋体" w:cs="宋体"/>
          <w:kern w:val="0"/>
          <w:szCs w:val="21"/>
          <w:highlight w:val="none"/>
        </w:rPr>
      </w:pPr>
      <w:r>
        <w:rPr>
          <w:rFonts w:hint="eastAsia" w:ascii="宋体" w:hAnsi="宋体" w:cs="宋体"/>
          <w:kern w:val="0"/>
          <w:szCs w:val="21"/>
          <w:highlight w:val="none"/>
        </w:rPr>
        <w:t>委托期限：</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w:t>
      </w:r>
    </w:p>
    <w:p w14:paraId="6E5A27D9">
      <w:pPr>
        <w:spacing w:line="360" w:lineRule="auto"/>
        <w:ind w:firstLine="435"/>
        <w:outlineLvl w:val="9"/>
        <w:rPr>
          <w:rFonts w:ascii="宋体" w:hAnsi="宋体" w:cs="宋体"/>
          <w:kern w:val="0"/>
          <w:szCs w:val="21"/>
          <w:highlight w:val="none"/>
        </w:rPr>
      </w:pPr>
      <w:r>
        <w:rPr>
          <w:rFonts w:hint="eastAsia" w:ascii="宋体" w:hAnsi="宋体" w:cs="宋体"/>
          <w:kern w:val="0"/>
          <w:szCs w:val="21"/>
          <w:highlight w:val="none"/>
        </w:rPr>
        <w:t>代理人无转委托权。</w:t>
      </w:r>
    </w:p>
    <w:p w14:paraId="3C57EF16">
      <w:pPr>
        <w:spacing w:line="360" w:lineRule="auto"/>
        <w:ind w:firstLine="435"/>
        <w:outlineLvl w:val="9"/>
        <w:rPr>
          <w:rFonts w:ascii="宋体" w:hAnsi="宋体"/>
          <w:szCs w:val="21"/>
          <w:highlight w:val="none"/>
        </w:rPr>
      </w:pPr>
      <w:r>
        <w:rPr>
          <w:rFonts w:hint="eastAsia" w:ascii="宋体" w:hAnsi="宋体"/>
          <w:szCs w:val="21"/>
          <w:highlight w:val="none"/>
        </w:rPr>
        <w:t>本授权书于</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日签字生效，特此声明。</w:t>
      </w:r>
    </w:p>
    <w:p w14:paraId="3AB7F1F7">
      <w:pPr>
        <w:adjustRightInd w:val="0"/>
        <w:snapToGrid w:val="0"/>
        <w:spacing w:before="156" w:beforeLines="50" w:line="360" w:lineRule="auto"/>
        <w:ind w:firstLine="420" w:firstLineChars="200"/>
        <w:outlineLvl w:val="9"/>
        <w:rPr>
          <w:rFonts w:ascii="宋体" w:hAnsi="宋体"/>
          <w:szCs w:val="21"/>
          <w:highlight w:val="none"/>
        </w:rPr>
      </w:pPr>
      <w:r>
        <w:rPr>
          <w:rFonts w:hint="eastAsia" w:ascii="宋体" w:hAnsi="宋体"/>
          <w:szCs w:val="21"/>
          <w:highlight w:val="none"/>
        </w:rPr>
        <w:t>附：委托代理人身份证复印件及法定代表人身份证明(附件1，原件)</w:t>
      </w:r>
    </w:p>
    <w:p w14:paraId="57A2047A">
      <w:pPr>
        <w:adjustRightInd w:val="0"/>
        <w:snapToGrid w:val="0"/>
        <w:spacing w:line="360" w:lineRule="auto"/>
        <w:ind w:right="420"/>
        <w:outlineLvl w:val="9"/>
        <w:rPr>
          <w:rFonts w:ascii="宋体" w:hAnsi="宋体"/>
          <w:szCs w:val="21"/>
          <w:highlight w:val="none"/>
        </w:rPr>
      </w:pPr>
    </w:p>
    <w:p w14:paraId="081F9570">
      <w:pPr>
        <w:adjustRightInd w:val="0"/>
        <w:snapToGrid w:val="0"/>
        <w:spacing w:line="360" w:lineRule="auto"/>
        <w:ind w:right="420"/>
        <w:outlineLvl w:val="9"/>
        <w:rPr>
          <w:rFonts w:ascii="宋体" w:hAnsi="宋体"/>
          <w:szCs w:val="21"/>
          <w:highlight w:val="none"/>
        </w:rPr>
      </w:pPr>
    </w:p>
    <w:p w14:paraId="0AF295DA">
      <w:pPr>
        <w:adjustRightInd w:val="0"/>
        <w:snapToGrid w:val="0"/>
        <w:spacing w:line="360" w:lineRule="auto"/>
        <w:ind w:right="420"/>
        <w:outlineLvl w:val="9"/>
        <w:rPr>
          <w:rFonts w:ascii="宋体" w:hAnsi="宋体"/>
          <w:szCs w:val="21"/>
          <w:highlight w:val="none"/>
        </w:rPr>
      </w:pPr>
    </w:p>
    <w:p w14:paraId="2028DD7D">
      <w:pPr>
        <w:spacing w:line="360" w:lineRule="exact"/>
        <w:rPr>
          <w:rFonts w:hint="eastAsia" w:ascii="宋体" w:hAnsi="宋体" w:cs="宋体"/>
          <w:b/>
          <w:color w:val="auto"/>
        </w:rPr>
      </w:pPr>
      <w:r>
        <w:rPr>
          <w:rFonts w:hint="eastAsia" w:ascii="宋体" w:hAnsi="宋体" w:cs="宋体"/>
          <w:b/>
          <w:color w:val="auto"/>
          <w:szCs w:val="21"/>
        </w:rPr>
        <w:t>（注：1、此法定代表人授权委托书由供应商法定代表人和委托代理人签署，并加盖单位公章，除响应文件中须提供外，还须另外准备一份，不装入响应文件，与项目的响应文件同时分别递交。用于现场身份验证。2、法人直接参加开标的，无需提供法人代表授权委托书。）</w:t>
      </w:r>
    </w:p>
    <w:p w14:paraId="2024E1A8">
      <w:pPr>
        <w:adjustRightInd w:val="0"/>
        <w:snapToGrid w:val="0"/>
        <w:spacing w:line="360" w:lineRule="auto"/>
        <w:ind w:right="420"/>
        <w:outlineLvl w:val="9"/>
        <w:rPr>
          <w:rFonts w:ascii="宋体" w:hAnsi="宋体"/>
          <w:szCs w:val="21"/>
          <w:highlight w:val="none"/>
        </w:rPr>
      </w:pPr>
    </w:p>
    <w:p w14:paraId="62F6086B">
      <w:pPr>
        <w:adjustRightInd w:val="0"/>
        <w:snapToGrid w:val="0"/>
        <w:spacing w:line="360" w:lineRule="auto"/>
        <w:ind w:right="420"/>
        <w:outlineLvl w:val="9"/>
        <w:rPr>
          <w:rFonts w:ascii="宋体" w:hAnsi="宋体"/>
          <w:szCs w:val="21"/>
          <w:highlight w:val="none"/>
        </w:rPr>
      </w:pPr>
    </w:p>
    <w:p w14:paraId="684A8C6E">
      <w:pPr>
        <w:adjustRightInd w:val="0"/>
        <w:snapToGrid w:val="0"/>
        <w:spacing w:line="360" w:lineRule="auto"/>
        <w:ind w:right="420"/>
        <w:outlineLvl w:val="9"/>
        <w:rPr>
          <w:rFonts w:ascii="宋体" w:hAnsi="宋体"/>
          <w:szCs w:val="21"/>
          <w:highlight w:val="none"/>
        </w:rPr>
      </w:pPr>
    </w:p>
    <w:p w14:paraId="07F869F1">
      <w:pPr>
        <w:adjustRightInd w:val="0"/>
        <w:snapToGrid w:val="0"/>
        <w:spacing w:line="360" w:lineRule="auto"/>
        <w:ind w:right="420"/>
        <w:outlineLvl w:val="9"/>
        <w:rPr>
          <w:rFonts w:ascii="宋体" w:hAnsi="宋体"/>
          <w:szCs w:val="21"/>
          <w:highlight w:val="none"/>
        </w:rPr>
      </w:pPr>
    </w:p>
    <w:p w14:paraId="10826B45">
      <w:pPr>
        <w:adjustRightInd w:val="0"/>
        <w:snapToGrid w:val="0"/>
        <w:spacing w:line="360" w:lineRule="auto"/>
        <w:ind w:right="420"/>
        <w:outlineLvl w:val="9"/>
        <w:rPr>
          <w:rFonts w:ascii="宋体" w:hAnsi="宋体"/>
          <w:szCs w:val="21"/>
          <w:highlight w:val="none"/>
        </w:rPr>
      </w:pPr>
      <w:r>
        <w:rPr>
          <w:rFonts w:hint="eastAsia" w:ascii="宋体" w:hAnsi="宋体"/>
          <w:szCs w:val="21"/>
          <w:highlight w:val="none"/>
        </w:rPr>
        <w:t>法定代表人（签字）：</w:t>
      </w:r>
      <w:r>
        <w:rPr>
          <w:rFonts w:hint="eastAsia" w:ascii="宋体" w:hAnsi="宋体"/>
          <w:szCs w:val="21"/>
          <w:highlight w:val="none"/>
          <w:u w:val="single"/>
        </w:rPr>
        <w:t xml:space="preserve">                     </w:t>
      </w:r>
    </w:p>
    <w:p w14:paraId="15C693C2">
      <w:pPr>
        <w:adjustRightInd w:val="0"/>
        <w:snapToGrid w:val="0"/>
        <w:spacing w:line="360" w:lineRule="auto"/>
        <w:ind w:right="420"/>
        <w:outlineLvl w:val="9"/>
        <w:rPr>
          <w:rFonts w:ascii="宋体" w:hAnsi="宋体"/>
          <w:szCs w:val="21"/>
          <w:highlight w:val="none"/>
        </w:rPr>
      </w:pPr>
      <w:r>
        <w:rPr>
          <w:rFonts w:hint="eastAsia" w:ascii="宋体" w:hAnsi="宋体"/>
          <w:szCs w:val="21"/>
          <w:highlight w:val="none"/>
        </w:rPr>
        <w:t>委托代理人（签字）：</w:t>
      </w:r>
      <w:r>
        <w:rPr>
          <w:rFonts w:hint="eastAsia" w:ascii="宋体" w:hAnsi="宋体"/>
          <w:szCs w:val="21"/>
          <w:highlight w:val="none"/>
          <w:u w:val="single"/>
        </w:rPr>
        <w:t xml:space="preserve">                     </w:t>
      </w:r>
    </w:p>
    <w:p w14:paraId="46A8F6F8">
      <w:pPr>
        <w:adjustRightInd w:val="0"/>
        <w:snapToGrid w:val="0"/>
        <w:spacing w:line="360" w:lineRule="auto"/>
        <w:ind w:right="24"/>
        <w:outlineLvl w:val="9"/>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2ED4BBC5">
      <w:pPr>
        <w:spacing w:line="360" w:lineRule="exact"/>
        <w:outlineLvl w:val="9"/>
        <w:rPr>
          <w:rFonts w:ascii="宋体"/>
          <w:b/>
          <w:highlight w:val="none"/>
        </w:rPr>
      </w:pPr>
    </w:p>
    <w:p w14:paraId="0916954F">
      <w:pPr>
        <w:spacing w:line="360" w:lineRule="exact"/>
        <w:outlineLvl w:val="9"/>
        <w:rPr>
          <w:rFonts w:ascii="宋体"/>
          <w:b/>
          <w:highlight w:val="none"/>
        </w:rPr>
      </w:pPr>
    </w:p>
    <w:p w14:paraId="2C031D78">
      <w:pPr>
        <w:spacing w:line="360" w:lineRule="exact"/>
        <w:rPr>
          <w:rFonts w:ascii="宋体"/>
          <w:b/>
          <w:highlight w:val="none"/>
        </w:rPr>
      </w:pPr>
    </w:p>
    <w:p w14:paraId="3BA08C11">
      <w:pPr>
        <w:spacing w:line="360" w:lineRule="exact"/>
        <w:rPr>
          <w:rFonts w:ascii="宋体"/>
          <w:b/>
          <w:highlight w:val="none"/>
        </w:rPr>
      </w:pPr>
    </w:p>
    <w:p w14:paraId="72FFD025">
      <w:pPr>
        <w:spacing w:after="120"/>
        <w:ind w:left="420" w:leftChars="200" w:firstLine="420" w:firstLineChars="200"/>
        <w:rPr>
          <w:highlight w:val="none"/>
        </w:rPr>
      </w:pPr>
    </w:p>
    <w:p w14:paraId="227F17A7">
      <w:pPr>
        <w:spacing w:line="360" w:lineRule="exact"/>
        <w:jc w:val="center"/>
        <w:rPr>
          <w:rFonts w:ascii="黑体" w:eastAsia="黑体"/>
          <w:b/>
          <w:sz w:val="32"/>
          <w:szCs w:val="32"/>
          <w:highlight w:val="none"/>
        </w:rPr>
      </w:pPr>
    </w:p>
    <w:p w14:paraId="4E0BF8DB">
      <w:pPr>
        <w:spacing w:line="360" w:lineRule="exact"/>
        <w:jc w:val="center"/>
        <w:outlineLvl w:val="1"/>
        <w:rPr>
          <w:rFonts w:hint="eastAsia" w:ascii="黑体" w:eastAsia="黑体"/>
          <w:b/>
          <w:sz w:val="32"/>
          <w:szCs w:val="32"/>
          <w:highlight w:val="none"/>
          <w:lang w:eastAsia="zh-CN"/>
        </w:rPr>
      </w:pPr>
      <w:r>
        <w:rPr>
          <w:rFonts w:hint="eastAsia" w:ascii="黑体" w:eastAsia="黑体"/>
          <w:b/>
          <w:sz w:val="32"/>
          <w:szCs w:val="32"/>
          <w:highlight w:val="none"/>
        </w:rPr>
        <w:t>二</w:t>
      </w:r>
      <w:r>
        <w:rPr>
          <w:rFonts w:hint="eastAsia" w:ascii="黑体" w:hAnsi="宋体" w:eastAsia="黑体"/>
          <w:b/>
          <w:sz w:val="32"/>
          <w:szCs w:val="32"/>
          <w:highlight w:val="none"/>
        </w:rPr>
        <w:t>、磋商</w:t>
      </w:r>
      <w:r>
        <w:rPr>
          <w:rFonts w:hint="eastAsia" w:ascii="黑体" w:eastAsia="黑体"/>
          <w:b/>
          <w:sz w:val="32"/>
          <w:szCs w:val="32"/>
          <w:highlight w:val="none"/>
        </w:rPr>
        <w:t>保证金缴纳证明材料</w:t>
      </w:r>
      <w:r>
        <w:rPr>
          <w:rFonts w:hint="eastAsia" w:ascii="黑体" w:hAnsi="黑体" w:eastAsia="黑体"/>
          <w:b/>
          <w:sz w:val="32"/>
          <w:szCs w:val="32"/>
          <w:highlight w:val="none"/>
        </w:rPr>
        <w:t>(本项目不适用)</w:t>
      </w:r>
    </w:p>
    <w:p w14:paraId="78F33318">
      <w:pPr>
        <w:adjustRightInd w:val="0"/>
        <w:snapToGrid w:val="0"/>
        <w:spacing w:before="156" w:beforeLines="50" w:line="360" w:lineRule="auto"/>
        <w:rPr>
          <w:rFonts w:ascii="宋体" w:hAnsi="宋体" w:cs="Courier New"/>
          <w:szCs w:val="21"/>
          <w:highlight w:val="none"/>
        </w:rPr>
      </w:pPr>
    </w:p>
    <w:p w14:paraId="21568A09">
      <w:pPr>
        <w:numPr>
          <w:ilvl w:val="0"/>
          <w:numId w:val="7"/>
        </w:numPr>
        <w:adjustRightInd w:val="0"/>
        <w:snapToGrid w:val="0"/>
        <w:spacing w:line="360" w:lineRule="auto"/>
        <w:ind w:left="780" w:hanging="360"/>
        <w:outlineLvl w:val="9"/>
        <w:rPr>
          <w:rFonts w:ascii="宋体" w:hAnsi="宋体"/>
          <w:highlight w:val="none"/>
        </w:rPr>
      </w:pPr>
      <w:r>
        <w:rPr>
          <w:rFonts w:hint="eastAsia" w:ascii="宋体" w:hAnsi="宋体"/>
          <w:highlight w:val="none"/>
        </w:rPr>
        <w:t>提供付款凭证复印件。</w:t>
      </w:r>
    </w:p>
    <w:p w14:paraId="09C7BD31">
      <w:pPr>
        <w:adjustRightInd w:val="0"/>
        <w:snapToGrid w:val="0"/>
        <w:spacing w:line="360" w:lineRule="auto"/>
        <w:jc w:val="center"/>
        <w:outlineLvl w:val="1"/>
        <w:rPr>
          <w:rFonts w:hint="eastAsia" w:ascii="黑体" w:hAnsi="黑体" w:eastAsia="黑体"/>
          <w:b/>
          <w:sz w:val="32"/>
          <w:szCs w:val="32"/>
          <w:highlight w:val="none"/>
        </w:rPr>
      </w:pPr>
    </w:p>
    <w:p w14:paraId="4BEDB4F6">
      <w:pPr>
        <w:adjustRightInd w:val="0"/>
        <w:snapToGrid w:val="0"/>
        <w:spacing w:line="360" w:lineRule="auto"/>
        <w:jc w:val="center"/>
        <w:outlineLvl w:val="1"/>
        <w:rPr>
          <w:rFonts w:hint="eastAsia" w:ascii="黑体" w:hAnsi="宋体" w:eastAsia="黑体"/>
          <w:b/>
          <w:sz w:val="32"/>
          <w:szCs w:val="32"/>
          <w:highlight w:val="none"/>
        </w:rPr>
      </w:pPr>
      <w:r>
        <w:rPr>
          <w:rFonts w:hint="eastAsia" w:ascii="黑体" w:hAnsi="黑体" w:eastAsia="黑体"/>
          <w:b/>
          <w:sz w:val="32"/>
          <w:szCs w:val="32"/>
          <w:highlight w:val="none"/>
        </w:rPr>
        <w:t>三、联合体协议(本项目不适用)</w:t>
      </w:r>
      <w:r>
        <w:rPr>
          <w:rFonts w:hint="eastAsia" w:ascii="黑体" w:hAnsi="宋体" w:eastAsia="黑体"/>
          <w:b/>
          <w:sz w:val="32"/>
          <w:szCs w:val="32"/>
          <w:highlight w:val="none"/>
        </w:rPr>
        <w:br w:type="page"/>
      </w:r>
    </w:p>
    <w:p w14:paraId="7EB5EA4E">
      <w:pPr>
        <w:adjustRightInd w:val="0"/>
        <w:snapToGrid w:val="0"/>
        <w:spacing w:line="360" w:lineRule="auto"/>
        <w:jc w:val="center"/>
        <w:outlineLvl w:val="1"/>
        <w:rPr>
          <w:rFonts w:ascii="黑体" w:hAnsi="宋体" w:eastAsia="黑体"/>
          <w:b/>
          <w:bCs/>
          <w:sz w:val="32"/>
          <w:szCs w:val="32"/>
          <w:highlight w:val="none"/>
        </w:rPr>
      </w:pPr>
      <w:r>
        <w:rPr>
          <w:rFonts w:hint="eastAsia" w:ascii="黑体" w:hAnsi="宋体" w:eastAsia="黑体"/>
          <w:b/>
          <w:sz w:val="32"/>
          <w:szCs w:val="32"/>
          <w:highlight w:val="none"/>
        </w:rPr>
        <w:t>四</w:t>
      </w:r>
      <w:r>
        <w:rPr>
          <w:rFonts w:hint="eastAsia" w:ascii="黑体" w:eastAsia="黑体"/>
          <w:b/>
          <w:sz w:val="32"/>
          <w:szCs w:val="32"/>
          <w:highlight w:val="none"/>
        </w:rPr>
        <w:t>、</w:t>
      </w:r>
      <w:r>
        <w:rPr>
          <w:rFonts w:hint="eastAsia" w:ascii="黑体" w:hAnsi="宋体" w:eastAsia="黑体"/>
          <w:b/>
          <w:sz w:val="32"/>
          <w:szCs w:val="32"/>
          <w:highlight w:val="none"/>
        </w:rPr>
        <w:t>供应商</w:t>
      </w:r>
      <w:r>
        <w:rPr>
          <w:rFonts w:hint="eastAsia" w:ascii="黑体" w:hAnsi="宋体" w:eastAsia="黑体"/>
          <w:b/>
          <w:bCs/>
          <w:sz w:val="32"/>
          <w:szCs w:val="32"/>
          <w:highlight w:val="none"/>
        </w:rPr>
        <w:t>的资格证明资料</w:t>
      </w:r>
    </w:p>
    <w:p w14:paraId="100B1A20">
      <w:pPr>
        <w:spacing w:line="480" w:lineRule="exact"/>
        <w:outlineLvl w:val="2"/>
        <w:rPr>
          <w:rFonts w:ascii="黑体" w:hAnsi="黑体" w:eastAsia="黑体"/>
          <w:sz w:val="30"/>
          <w:szCs w:val="30"/>
          <w:highlight w:val="none"/>
        </w:rPr>
      </w:pPr>
      <w:r>
        <w:rPr>
          <w:rFonts w:hint="eastAsia" w:ascii="黑体" w:hAnsi="黑体" w:eastAsia="黑体"/>
          <w:sz w:val="30"/>
          <w:szCs w:val="30"/>
          <w:highlight w:val="none"/>
        </w:rPr>
        <w:t>附件3              供应商基本情况表</w:t>
      </w:r>
    </w:p>
    <w:p w14:paraId="2E01930B">
      <w:pPr>
        <w:spacing w:line="480" w:lineRule="exact"/>
        <w:outlineLvl w:val="9"/>
        <w:rPr>
          <w:rFonts w:ascii="黑体" w:hAnsi="黑体" w:eastAsia="黑体"/>
          <w:sz w:val="30"/>
          <w:szCs w:val="30"/>
          <w:highlight w:val="none"/>
        </w:rPr>
      </w:pPr>
    </w:p>
    <w:p w14:paraId="448CDBE6">
      <w:pPr>
        <w:adjustRightInd w:val="0"/>
        <w:snapToGrid w:val="0"/>
        <w:spacing w:line="360" w:lineRule="auto"/>
        <w:outlineLvl w:val="9"/>
        <w:rPr>
          <w:rFonts w:ascii="宋体" w:hAnsi="宋体"/>
          <w:szCs w:val="21"/>
          <w:highlight w:val="none"/>
        </w:rPr>
      </w:pPr>
      <w:r>
        <w:rPr>
          <w:rFonts w:hint="eastAsia" w:ascii="宋体" w:hAnsi="宋体"/>
          <w:szCs w:val="21"/>
          <w:highlight w:val="none"/>
        </w:rPr>
        <w:t>盖供应商单位章</w:t>
      </w:r>
    </w:p>
    <w:tbl>
      <w:tblPr>
        <w:tblStyle w:val="21"/>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4AC9E7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vAlign w:val="center"/>
          </w:tcPr>
          <w:p w14:paraId="5475B29D">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eastAsia" w:ascii="宋体" w:hAnsi="宋体"/>
                <w:szCs w:val="21"/>
                <w:highlight w:val="none"/>
              </w:rPr>
              <w:t>供应商</w:t>
            </w:r>
            <w:r>
              <w:rPr>
                <w:rFonts w:hint="default" w:ascii="宋体" w:hAnsi="宋体"/>
                <w:szCs w:val="21"/>
                <w:highlight w:val="none"/>
              </w:rPr>
              <w:t>名称</w:t>
            </w:r>
          </w:p>
        </w:tc>
        <w:tc>
          <w:tcPr>
            <w:tcW w:w="3960" w:type="dxa"/>
            <w:gridSpan w:val="5"/>
            <w:tcBorders>
              <w:top w:val="double" w:color="auto" w:sz="4" w:space="0"/>
              <w:left w:val="single" w:color="auto" w:sz="6" w:space="0"/>
              <w:bottom w:val="single" w:color="auto" w:sz="6" w:space="0"/>
              <w:right w:val="single" w:color="auto" w:sz="6" w:space="0"/>
            </w:tcBorders>
            <w:vAlign w:val="center"/>
          </w:tcPr>
          <w:p w14:paraId="680EDF54">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1329" w:type="dxa"/>
            <w:tcBorders>
              <w:top w:val="double" w:color="auto" w:sz="4" w:space="0"/>
              <w:left w:val="single" w:color="auto" w:sz="6" w:space="0"/>
              <w:bottom w:val="single" w:color="auto" w:sz="6" w:space="0"/>
              <w:right w:val="single" w:color="auto" w:sz="6" w:space="0"/>
            </w:tcBorders>
            <w:vAlign w:val="center"/>
          </w:tcPr>
          <w:p w14:paraId="3854D501">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default" w:ascii="宋体" w:hAnsi="宋体"/>
                <w:szCs w:val="21"/>
                <w:highlight w:val="none"/>
              </w:rPr>
              <w:t>法定代表人</w:t>
            </w:r>
          </w:p>
        </w:tc>
        <w:tc>
          <w:tcPr>
            <w:tcW w:w="1911" w:type="dxa"/>
            <w:tcBorders>
              <w:top w:val="double" w:color="auto" w:sz="4" w:space="0"/>
              <w:left w:val="single" w:color="auto" w:sz="6" w:space="0"/>
              <w:bottom w:val="single" w:color="auto" w:sz="6" w:space="0"/>
              <w:right w:val="double" w:color="auto" w:sz="4" w:space="0"/>
            </w:tcBorders>
            <w:vAlign w:val="center"/>
          </w:tcPr>
          <w:p w14:paraId="0329BC75">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r>
      <w:tr w14:paraId="64C75C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49C3CCE0">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eastAsia" w:ascii="宋体" w:hAnsi="宋体"/>
                <w:szCs w:val="21"/>
                <w:highlight w:val="none"/>
              </w:rPr>
              <w:t>委托代理</w:t>
            </w:r>
            <w:r>
              <w:rPr>
                <w:rFonts w:hint="default" w:ascii="宋体" w:hAnsi="宋体"/>
                <w:szCs w:val="21"/>
                <w:highlight w:val="none"/>
              </w:rPr>
              <w:t>人</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4395E913">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1329" w:type="dxa"/>
            <w:tcBorders>
              <w:top w:val="single" w:color="auto" w:sz="6" w:space="0"/>
              <w:left w:val="single" w:color="auto" w:sz="6" w:space="0"/>
              <w:bottom w:val="single" w:color="auto" w:sz="6" w:space="0"/>
              <w:right w:val="single" w:color="auto" w:sz="6" w:space="0"/>
            </w:tcBorders>
            <w:vAlign w:val="center"/>
          </w:tcPr>
          <w:p w14:paraId="2CAD1480">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default" w:ascii="宋体" w:hAnsi="宋体"/>
                <w:szCs w:val="21"/>
                <w:highlight w:val="none"/>
              </w:rPr>
              <w:t>邮政编码</w:t>
            </w:r>
          </w:p>
        </w:tc>
        <w:tc>
          <w:tcPr>
            <w:tcW w:w="1911" w:type="dxa"/>
            <w:tcBorders>
              <w:top w:val="single" w:color="auto" w:sz="6" w:space="0"/>
              <w:left w:val="single" w:color="auto" w:sz="6" w:space="0"/>
              <w:bottom w:val="single" w:color="auto" w:sz="6" w:space="0"/>
              <w:right w:val="double" w:color="auto" w:sz="4" w:space="0"/>
            </w:tcBorders>
            <w:vAlign w:val="center"/>
          </w:tcPr>
          <w:p w14:paraId="47E65D88">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r>
      <w:tr w14:paraId="7153C3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2E5BE73B">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0DB939ED">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1329" w:type="dxa"/>
            <w:tcBorders>
              <w:top w:val="single" w:color="auto" w:sz="6" w:space="0"/>
              <w:left w:val="single" w:color="auto" w:sz="6" w:space="0"/>
              <w:bottom w:val="single" w:color="auto" w:sz="6" w:space="0"/>
              <w:right w:val="single" w:color="auto" w:sz="6" w:space="0"/>
            </w:tcBorders>
            <w:vAlign w:val="center"/>
          </w:tcPr>
          <w:p w14:paraId="1CE0CCE7">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eastAsia" w:ascii="宋体" w:hAnsi="宋体"/>
                <w:szCs w:val="21"/>
                <w:highlight w:val="none"/>
              </w:rPr>
              <w:t>电子邮箱</w:t>
            </w:r>
          </w:p>
        </w:tc>
        <w:tc>
          <w:tcPr>
            <w:tcW w:w="1911" w:type="dxa"/>
            <w:tcBorders>
              <w:top w:val="single" w:color="auto" w:sz="6" w:space="0"/>
              <w:left w:val="single" w:color="auto" w:sz="6" w:space="0"/>
              <w:bottom w:val="single" w:color="auto" w:sz="6" w:space="0"/>
              <w:right w:val="double" w:color="auto" w:sz="4" w:space="0"/>
            </w:tcBorders>
            <w:vAlign w:val="center"/>
          </w:tcPr>
          <w:p w14:paraId="4F8E9F71">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r>
      <w:tr w14:paraId="7ADF3C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57A86191">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eastAsia" w:ascii="宋体" w:hAnsi="宋体"/>
                <w:szCs w:val="21"/>
                <w:highlight w:val="none"/>
              </w:rPr>
              <w:t>上年营业收入</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575249B2">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1329" w:type="dxa"/>
            <w:tcBorders>
              <w:top w:val="single" w:color="auto" w:sz="6" w:space="0"/>
              <w:left w:val="single" w:color="auto" w:sz="6" w:space="0"/>
              <w:bottom w:val="single" w:color="auto" w:sz="6" w:space="0"/>
              <w:right w:val="single" w:color="auto" w:sz="6" w:space="0"/>
            </w:tcBorders>
            <w:vAlign w:val="center"/>
          </w:tcPr>
          <w:p w14:paraId="78C2D104">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eastAsia" w:ascii="宋体" w:hAnsi="宋体"/>
                <w:szCs w:val="21"/>
                <w:highlight w:val="none"/>
              </w:rPr>
              <w:t>员工总人数</w:t>
            </w:r>
          </w:p>
        </w:tc>
        <w:tc>
          <w:tcPr>
            <w:tcW w:w="1911" w:type="dxa"/>
            <w:tcBorders>
              <w:top w:val="single" w:color="auto" w:sz="6" w:space="0"/>
              <w:left w:val="single" w:color="auto" w:sz="6" w:space="0"/>
              <w:bottom w:val="single" w:color="auto" w:sz="6" w:space="0"/>
              <w:right w:val="double" w:color="auto" w:sz="4" w:space="0"/>
            </w:tcBorders>
            <w:vAlign w:val="center"/>
          </w:tcPr>
          <w:p w14:paraId="70640F2D">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r>
      <w:tr w14:paraId="52CB69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14086450">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eastAsia" w:ascii="宋体" w:hAnsi="宋体"/>
                <w:szCs w:val="21"/>
                <w:highlight w:val="none"/>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39102270">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eastAsia" w:ascii="宋体" w:hAnsi="宋体"/>
                <w:szCs w:val="21"/>
                <w:highlight w:val="none"/>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7312F96F">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12412C94">
            <w:pPr>
              <w:keepNext w:val="0"/>
              <w:keepLines w:val="0"/>
              <w:suppressLineNumbers w:val="0"/>
              <w:topLinePunct/>
              <w:spacing w:before="0" w:beforeAutospacing="0" w:after="0" w:afterAutospacing="0" w:line="440" w:lineRule="exact"/>
              <w:ind w:left="0" w:right="0" w:firstLine="105" w:firstLineChars="50"/>
              <w:jc w:val="center"/>
              <w:outlineLvl w:val="9"/>
              <w:rPr>
                <w:rFonts w:hint="default" w:ascii="宋体" w:hAnsi="宋体"/>
                <w:szCs w:val="21"/>
                <w:highlight w:val="none"/>
              </w:rPr>
            </w:pPr>
            <w:r>
              <w:rPr>
                <w:rFonts w:hint="eastAsia" w:ascii="宋体" w:hAnsi="宋体"/>
                <w:szCs w:val="21"/>
                <w:highlight w:val="none"/>
              </w:rPr>
              <w:t>注册地址</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4138F597">
            <w:pPr>
              <w:keepNext w:val="0"/>
              <w:keepLines w:val="0"/>
              <w:suppressLineNumbers w:val="0"/>
              <w:topLinePunct/>
              <w:spacing w:before="0" w:beforeAutospacing="0" w:after="0" w:afterAutospacing="0" w:line="440" w:lineRule="exact"/>
              <w:ind w:left="0" w:right="0" w:firstLine="105" w:firstLineChars="50"/>
              <w:jc w:val="center"/>
              <w:outlineLvl w:val="9"/>
              <w:rPr>
                <w:rFonts w:hint="default" w:ascii="宋体" w:hAnsi="宋体"/>
                <w:szCs w:val="21"/>
                <w:highlight w:val="none"/>
              </w:rPr>
            </w:pPr>
          </w:p>
        </w:tc>
      </w:tr>
      <w:tr w14:paraId="71AEC1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78C1F1F3">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5595F39B">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eastAsia" w:ascii="宋体" w:hAnsi="宋体"/>
                <w:szCs w:val="21"/>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48EAFDE1">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4226C360">
            <w:pPr>
              <w:keepNext w:val="0"/>
              <w:keepLines w:val="0"/>
              <w:suppressLineNumbers w:val="0"/>
              <w:topLinePunct/>
              <w:spacing w:before="0" w:beforeAutospacing="0" w:after="0" w:afterAutospacing="0" w:line="440" w:lineRule="exact"/>
              <w:ind w:left="0" w:right="0" w:firstLine="105" w:firstLineChars="50"/>
              <w:jc w:val="center"/>
              <w:outlineLvl w:val="9"/>
              <w:rPr>
                <w:rFonts w:hint="default" w:ascii="宋体" w:hAnsi="宋体"/>
                <w:szCs w:val="21"/>
                <w:highlight w:val="none"/>
              </w:rPr>
            </w:pPr>
            <w:r>
              <w:rPr>
                <w:rFonts w:hint="eastAsia" w:ascii="宋体" w:hAnsi="宋体"/>
                <w:szCs w:val="21"/>
                <w:highlight w:val="none"/>
              </w:rPr>
              <w:t>发证日期</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1C58CE5F">
            <w:pPr>
              <w:keepNext w:val="0"/>
              <w:keepLines w:val="0"/>
              <w:suppressLineNumbers w:val="0"/>
              <w:topLinePunct/>
              <w:spacing w:before="0" w:beforeAutospacing="0" w:after="0" w:afterAutospacing="0" w:line="440" w:lineRule="exact"/>
              <w:ind w:left="0" w:right="0" w:firstLine="105" w:firstLineChars="50"/>
              <w:jc w:val="center"/>
              <w:outlineLvl w:val="9"/>
              <w:rPr>
                <w:rFonts w:hint="default" w:ascii="宋体" w:hAnsi="宋体"/>
                <w:szCs w:val="21"/>
                <w:highlight w:val="none"/>
              </w:rPr>
            </w:pPr>
          </w:p>
        </w:tc>
      </w:tr>
      <w:tr w14:paraId="2D4E60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5835F98F">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23C69ED0">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eastAsia" w:ascii="宋体" w:hAnsi="宋体"/>
                <w:szCs w:val="21"/>
                <w:highlight w:val="none"/>
              </w:rPr>
              <w:t>营业范围（主营）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6DC7D7A3">
            <w:pPr>
              <w:keepNext w:val="0"/>
              <w:keepLines w:val="0"/>
              <w:suppressLineNumbers w:val="0"/>
              <w:topLinePunct/>
              <w:spacing w:before="0" w:beforeAutospacing="0" w:after="0" w:afterAutospacing="0" w:line="440" w:lineRule="exact"/>
              <w:ind w:left="0" w:right="0" w:firstLine="105" w:firstLineChars="50"/>
              <w:jc w:val="center"/>
              <w:outlineLvl w:val="9"/>
              <w:rPr>
                <w:rFonts w:hint="default" w:ascii="宋体" w:hAnsi="宋体"/>
                <w:szCs w:val="21"/>
                <w:highlight w:val="none"/>
              </w:rPr>
            </w:pPr>
          </w:p>
        </w:tc>
      </w:tr>
      <w:tr w14:paraId="0A91AE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7D779BAA">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6B127FA6">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eastAsia" w:ascii="宋体" w:hAnsi="宋体"/>
                <w:szCs w:val="21"/>
                <w:highlight w:val="none"/>
              </w:rPr>
              <w:t>营业范围（兼营）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31F06624">
            <w:pPr>
              <w:keepNext w:val="0"/>
              <w:keepLines w:val="0"/>
              <w:suppressLineNumbers w:val="0"/>
              <w:topLinePunct/>
              <w:spacing w:before="0" w:beforeAutospacing="0" w:after="0" w:afterAutospacing="0" w:line="440" w:lineRule="exact"/>
              <w:ind w:left="0" w:right="0" w:firstLine="105" w:firstLineChars="50"/>
              <w:jc w:val="center"/>
              <w:outlineLvl w:val="9"/>
              <w:rPr>
                <w:rFonts w:hint="default" w:ascii="宋体" w:hAnsi="宋体"/>
                <w:szCs w:val="21"/>
                <w:highlight w:val="none"/>
              </w:rPr>
            </w:pPr>
          </w:p>
        </w:tc>
      </w:tr>
      <w:tr w14:paraId="4AAF7D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2510C821">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eastAsia" w:ascii="宋体" w:hAnsi="宋体"/>
                <w:szCs w:val="21"/>
                <w:highlight w:val="none"/>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7F8EAF61">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r>
      <w:tr w14:paraId="741A7C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22A9282C">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eastAsia" w:ascii="宋体" w:hAnsi="宋体"/>
                <w:szCs w:val="21"/>
                <w:highlight w:val="none"/>
              </w:rPr>
              <w:t>税务登记机关</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75124411">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r>
      <w:tr w14:paraId="46FA9B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EA93F21">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default" w:ascii="宋体" w:hAnsi="宋体"/>
                <w:szCs w:val="21"/>
                <w:highlight w:val="none"/>
              </w:rPr>
              <w:t>资质</w:t>
            </w:r>
            <w:r>
              <w:rPr>
                <w:rFonts w:hint="eastAsia" w:ascii="宋体" w:hAnsi="宋体"/>
                <w:szCs w:val="21"/>
                <w:highlight w:val="none"/>
              </w:rPr>
              <w:t>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21C83E">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default" w:ascii="宋体" w:hAnsi="宋体"/>
                <w:szCs w:val="21"/>
                <w:highlight w:val="none"/>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086CEB75">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eastAsia" w:ascii="宋体" w:hAnsi="宋体"/>
                <w:szCs w:val="21"/>
                <w:highlight w:val="none"/>
              </w:rPr>
              <w:t>发证机关</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7FD244F8">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eastAsia" w:ascii="宋体" w:hAnsi="宋体"/>
                <w:szCs w:val="21"/>
                <w:highlight w:val="none"/>
              </w:rPr>
              <w:t>有效期</w:t>
            </w:r>
          </w:p>
        </w:tc>
      </w:tr>
      <w:tr w14:paraId="27ACBD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5E1CEE48">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FBA0023">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14:paraId="6399F709">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17C3C15D">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r>
      <w:tr w14:paraId="5FCFD1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1AC53CB">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567643A2">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14:paraId="71592553">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679605FB">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r>
      <w:tr w14:paraId="3CDF0B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AA1D2F8">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9CC448F">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14:paraId="4900954D">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620B6545">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r>
      <w:tr w14:paraId="634AAD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86DA300">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538AFA27">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14:paraId="7A53C1A3">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30D6C18E">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p>
        </w:tc>
      </w:tr>
      <w:tr w14:paraId="4DB106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vAlign w:val="center"/>
          </w:tcPr>
          <w:p w14:paraId="7B81F64A">
            <w:pPr>
              <w:keepNext w:val="0"/>
              <w:keepLines w:val="0"/>
              <w:suppressLineNumbers w:val="0"/>
              <w:topLinePunct/>
              <w:spacing w:before="0" w:beforeAutospacing="0" w:after="0" w:afterAutospacing="0" w:line="440" w:lineRule="exact"/>
              <w:ind w:left="0" w:right="0"/>
              <w:jc w:val="center"/>
              <w:outlineLvl w:val="9"/>
              <w:rPr>
                <w:rFonts w:hint="default" w:ascii="宋体" w:hAnsi="宋体"/>
                <w:szCs w:val="21"/>
                <w:highlight w:val="none"/>
              </w:rPr>
            </w:pPr>
            <w:r>
              <w:rPr>
                <w:rFonts w:hint="default" w:ascii="宋体" w:hAnsi="宋体"/>
                <w:szCs w:val="21"/>
                <w:highlight w:val="none"/>
              </w:rPr>
              <w:t>备注</w:t>
            </w:r>
          </w:p>
        </w:tc>
        <w:tc>
          <w:tcPr>
            <w:tcW w:w="7562" w:type="dxa"/>
            <w:gridSpan w:val="8"/>
            <w:tcBorders>
              <w:top w:val="single" w:color="auto" w:sz="6" w:space="0"/>
              <w:left w:val="single" w:color="auto" w:sz="6" w:space="0"/>
              <w:bottom w:val="double" w:color="auto" w:sz="4" w:space="0"/>
              <w:right w:val="double" w:color="auto" w:sz="4" w:space="0"/>
            </w:tcBorders>
            <w:vAlign w:val="center"/>
          </w:tcPr>
          <w:p w14:paraId="1FB171DD">
            <w:pPr>
              <w:keepNext w:val="0"/>
              <w:keepLines w:val="0"/>
              <w:suppressLineNumbers w:val="0"/>
              <w:topLinePunct/>
              <w:spacing w:before="0" w:beforeAutospacing="0" w:after="0" w:afterAutospacing="0" w:line="440" w:lineRule="exact"/>
              <w:ind w:left="0" w:right="0"/>
              <w:outlineLvl w:val="9"/>
              <w:rPr>
                <w:rFonts w:hint="default" w:ascii="黑体" w:hAnsi="宋体" w:eastAsia="黑体"/>
                <w:szCs w:val="21"/>
                <w:highlight w:val="none"/>
              </w:rPr>
            </w:pPr>
            <w:r>
              <w:rPr>
                <w:rFonts w:hint="eastAsia" w:ascii="黑体" w:hAnsi="宋体" w:eastAsia="黑体"/>
                <w:szCs w:val="21"/>
                <w:highlight w:val="none"/>
              </w:rPr>
              <w:t>附《营业执照》（副本）复印件</w:t>
            </w:r>
          </w:p>
        </w:tc>
      </w:tr>
    </w:tbl>
    <w:p w14:paraId="6E2B65F9">
      <w:pPr>
        <w:spacing w:line="480" w:lineRule="exact"/>
        <w:outlineLvl w:val="9"/>
        <w:rPr>
          <w:rFonts w:ascii="黑体" w:eastAsia="黑体"/>
          <w:sz w:val="30"/>
          <w:szCs w:val="30"/>
          <w:highlight w:val="none"/>
        </w:rPr>
      </w:pPr>
    </w:p>
    <w:p w14:paraId="0D2BE5E5">
      <w:pPr>
        <w:spacing w:line="480" w:lineRule="exact"/>
        <w:outlineLvl w:val="2"/>
        <w:rPr>
          <w:rFonts w:ascii="黑体" w:eastAsia="黑体"/>
          <w:sz w:val="30"/>
          <w:szCs w:val="30"/>
          <w:highlight w:val="none"/>
        </w:rPr>
      </w:pPr>
      <w:r>
        <w:rPr>
          <w:rFonts w:hint="eastAsia" w:ascii="黑体" w:eastAsia="黑体"/>
          <w:sz w:val="30"/>
          <w:szCs w:val="30"/>
          <w:highlight w:val="none"/>
        </w:rPr>
        <w:t>附件4      磋商文件规定的基本资格条件证明资料</w:t>
      </w:r>
    </w:p>
    <w:p w14:paraId="2ABC24B5">
      <w:pPr>
        <w:spacing w:line="480" w:lineRule="exact"/>
        <w:outlineLvl w:val="9"/>
        <w:rPr>
          <w:rFonts w:ascii="黑体" w:hAnsi="宋体" w:eastAsia="黑体"/>
          <w:szCs w:val="21"/>
          <w:highlight w:val="none"/>
        </w:rPr>
      </w:pPr>
    </w:p>
    <w:p w14:paraId="0EBC4DC0">
      <w:pPr>
        <w:spacing w:line="360" w:lineRule="auto"/>
        <w:outlineLvl w:val="9"/>
        <w:rPr>
          <w:rFonts w:ascii="黑体" w:hAnsi="宋体" w:eastAsia="黑体"/>
          <w:b/>
          <w:bCs/>
          <w:sz w:val="24"/>
          <w:highlight w:val="none"/>
        </w:rPr>
      </w:pPr>
      <w:r>
        <w:rPr>
          <w:rFonts w:hint="eastAsia" w:ascii="黑体" w:hAnsi="宋体" w:eastAsia="黑体"/>
          <w:b/>
          <w:bCs/>
          <w:sz w:val="24"/>
          <w:highlight w:val="none"/>
        </w:rPr>
        <w:t>备注：</w:t>
      </w:r>
    </w:p>
    <w:p w14:paraId="598ED2F7">
      <w:pPr>
        <w:widowControl/>
        <w:adjustRightInd w:val="0"/>
        <w:snapToGrid w:val="0"/>
        <w:spacing w:line="360" w:lineRule="auto"/>
        <w:outlineLvl w:val="9"/>
        <w:rPr>
          <w:rFonts w:ascii="宋体" w:hAnsi="宋体"/>
          <w:szCs w:val="21"/>
          <w:highlight w:val="none"/>
        </w:rPr>
      </w:pPr>
      <w:r>
        <w:rPr>
          <w:rFonts w:hint="eastAsia"/>
          <w:szCs w:val="21"/>
          <w:highlight w:val="none"/>
        </w:rPr>
        <w:t>符合《中华人民共和国政府采购法》第二十二条规定的供应商条件，</w:t>
      </w:r>
      <w:r>
        <w:rPr>
          <w:rFonts w:hint="eastAsia" w:ascii="宋体" w:hAnsi="宋体"/>
          <w:szCs w:val="21"/>
          <w:highlight w:val="none"/>
        </w:rPr>
        <w:t>并提供以下资格证明文件：</w:t>
      </w:r>
    </w:p>
    <w:p w14:paraId="337CE145">
      <w:pPr>
        <w:adjustRightInd w:val="0"/>
        <w:snapToGrid w:val="0"/>
        <w:spacing w:line="360" w:lineRule="auto"/>
        <w:jc w:val="left"/>
        <w:outlineLvl w:val="9"/>
        <w:rPr>
          <w:rFonts w:ascii="宋体" w:hAnsi="宋体" w:cs="宋体"/>
          <w:szCs w:val="21"/>
          <w:highlight w:val="none"/>
        </w:rPr>
      </w:pPr>
      <w:r>
        <w:rPr>
          <w:rFonts w:hint="eastAsia" w:ascii="宋体" w:hAnsi="宋体" w:cs="宋体"/>
          <w:szCs w:val="21"/>
          <w:highlight w:val="none"/>
        </w:rPr>
        <w:t>（1）法人提交企业法人营业执照副本(或者法人登记证书)以及组织机构代码证副本复印件；</w:t>
      </w:r>
    </w:p>
    <w:p w14:paraId="2D775279">
      <w:pPr>
        <w:adjustRightInd w:val="0"/>
        <w:snapToGrid w:val="0"/>
        <w:spacing w:line="360" w:lineRule="auto"/>
        <w:outlineLvl w:val="9"/>
        <w:rPr>
          <w:rFonts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shd w:val="clear" w:color="auto" w:fill="FEFFFF"/>
        </w:rPr>
        <w:t>法人提交法定代表人身份证明扫描件或者法定代表人授权委托书扫描件以及被授权代表人在</w:t>
      </w:r>
      <w:r>
        <w:rPr>
          <w:rFonts w:hint="eastAsia" w:ascii="宋体" w:hAnsi="宋体" w:cs="宋体"/>
          <w:szCs w:val="21"/>
          <w:highlight w:val="none"/>
          <w:shd w:val="clear" w:color="auto" w:fill="FEFFFF"/>
          <w:lang w:eastAsia="zh-CN"/>
        </w:rPr>
        <w:t>响应</w:t>
      </w:r>
      <w:r>
        <w:rPr>
          <w:rFonts w:hint="eastAsia" w:ascii="宋体" w:hAnsi="宋体" w:cs="宋体"/>
          <w:szCs w:val="21"/>
          <w:highlight w:val="none"/>
          <w:shd w:val="clear" w:color="auto" w:fill="FEFFFF"/>
        </w:rPr>
        <w:t>单位或</w:t>
      </w:r>
      <w:r>
        <w:rPr>
          <w:rFonts w:hint="eastAsia" w:ascii="宋体" w:hAnsi="宋体" w:cs="宋体"/>
          <w:szCs w:val="21"/>
          <w:highlight w:val="none"/>
          <w:shd w:val="clear" w:color="auto" w:fill="FEFFFF"/>
          <w:lang w:eastAsia="zh-CN"/>
        </w:rPr>
        <w:t>响应</w:t>
      </w:r>
      <w:r>
        <w:rPr>
          <w:rFonts w:hint="eastAsia" w:ascii="宋体" w:hAnsi="宋体" w:cs="宋体"/>
          <w:szCs w:val="21"/>
          <w:highlight w:val="none"/>
          <w:shd w:val="clear" w:color="auto" w:fill="FEFFFF"/>
        </w:rPr>
        <w:t>单位依法登记的分支机构</w:t>
      </w:r>
      <w:r>
        <w:rPr>
          <w:rFonts w:hint="eastAsia" w:ascii="宋体" w:hAnsi="宋体" w:cs="宋体"/>
          <w:kern w:val="0"/>
          <w:szCs w:val="21"/>
          <w:highlight w:val="none"/>
          <w:lang w:eastAsia="zh-CN"/>
        </w:rPr>
        <w:t>于响应截止日前</w:t>
      </w:r>
      <w:r>
        <w:rPr>
          <w:rFonts w:hint="eastAsia" w:ascii="宋体" w:hAnsi="宋体" w:cs="宋体"/>
          <w:szCs w:val="21"/>
          <w:highlight w:val="none"/>
          <w:shd w:val="clear" w:color="auto" w:fill="FEFFFF"/>
        </w:rPr>
        <w:t>三个月内任意一个月社保证明并附法定代表人身份证明扫描件，自然人提交身份证扫描件。</w:t>
      </w:r>
      <w:r>
        <w:rPr>
          <w:rFonts w:hint="eastAsia" w:ascii="宋体" w:hAnsi="宋体" w:cs="宋体"/>
          <w:szCs w:val="21"/>
          <w:highlight w:val="none"/>
        </w:rPr>
        <w:t>；</w:t>
      </w:r>
    </w:p>
    <w:p w14:paraId="43CEA852">
      <w:pPr>
        <w:adjustRightInd w:val="0"/>
        <w:snapToGrid w:val="0"/>
        <w:spacing w:line="360" w:lineRule="auto"/>
        <w:outlineLvl w:val="9"/>
        <w:rPr>
          <w:rFonts w:ascii="宋体" w:hAnsi="宋体" w:cs="宋体"/>
          <w:szCs w:val="21"/>
          <w:highlight w:val="none"/>
          <w:shd w:val="clear" w:color="auto" w:fill="FEFFFF"/>
        </w:rPr>
      </w:pPr>
      <w:r>
        <w:rPr>
          <w:rFonts w:hint="eastAsia" w:ascii="宋体" w:hAnsi="宋体" w:cs="宋体"/>
          <w:szCs w:val="21"/>
          <w:highlight w:val="none"/>
          <w:shd w:val="clear" w:color="auto" w:fill="FEFFFF"/>
        </w:rPr>
        <w:t>（3）提供《湖南省政府采购供应商资格承诺函》。</w:t>
      </w:r>
    </w:p>
    <w:p w14:paraId="01616681">
      <w:pPr>
        <w:spacing w:line="480" w:lineRule="exact"/>
        <w:outlineLvl w:val="9"/>
        <w:rPr>
          <w:rFonts w:ascii="宋体" w:hAnsi="宋体"/>
          <w:sz w:val="30"/>
          <w:szCs w:val="30"/>
          <w:highlight w:val="none"/>
        </w:rPr>
      </w:pPr>
    </w:p>
    <w:p w14:paraId="70006E66">
      <w:pPr>
        <w:spacing w:after="120"/>
        <w:ind w:left="420" w:leftChars="200" w:firstLine="600" w:firstLineChars="200"/>
        <w:outlineLvl w:val="9"/>
        <w:rPr>
          <w:rFonts w:ascii="宋体" w:hAnsi="宋体"/>
          <w:sz w:val="30"/>
          <w:szCs w:val="30"/>
          <w:highlight w:val="none"/>
        </w:rPr>
      </w:pPr>
    </w:p>
    <w:p w14:paraId="44C6E789">
      <w:pPr>
        <w:widowControl/>
        <w:ind w:firstLine="420"/>
        <w:jc w:val="left"/>
        <w:outlineLvl w:val="9"/>
        <w:rPr>
          <w:rFonts w:ascii="宋体" w:hAnsi="宋体"/>
          <w:kern w:val="0"/>
          <w:sz w:val="30"/>
          <w:szCs w:val="30"/>
          <w:highlight w:val="none"/>
        </w:rPr>
      </w:pPr>
    </w:p>
    <w:p w14:paraId="135F288B">
      <w:pPr>
        <w:autoSpaceDE w:val="0"/>
        <w:autoSpaceDN w:val="0"/>
        <w:adjustRightInd w:val="0"/>
        <w:jc w:val="left"/>
        <w:outlineLvl w:val="9"/>
        <w:rPr>
          <w:rFonts w:ascii="宋体" w:hAnsi="宋体" w:eastAsia="黑体"/>
          <w:kern w:val="0"/>
          <w:sz w:val="30"/>
          <w:szCs w:val="30"/>
          <w:highlight w:val="none"/>
        </w:rPr>
      </w:pPr>
    </w:p>
    <w:p w14:paraId="19F06B1A">
      <w:pPr>
        <w:autoSpaceDE w:val="0"/>
        <w:autoSpaceDN w:val="0"/>
        <w:adjustRightInd w:val="0"/>
        <w:jc w:val="left"/>
        <w:outlineLvl w:val="9"/>
        <w:rPr>
          <w:rFonts w:ascii="宋体" w:hAnsi="宋体" w:eastAsia="黑体"/>
          <w:kern w:val="0"/>
          <w:sz w:val="30"/>
          <w:szCs w:val="30"/>
          <w:highlight w:val="none"/>
        </w:rPr>
      </w:pPr>
    </w:p>
    <w:p w14:paraId="7873A4F7">
      <w:pPr>
        <w:widowControl/>
        <w:jc w:val="left"/>
        <w:outlineLvl w:val="9"/>
        <w:rPr>
          <w:rFonts w:ascii="宋体" w:hAnsi="宋体" w:eastAsia="黑体"/>
          <w:kern w:val="0"/>
          <w:sz w:val="30"/>
          <w:szCs w:val="30"/>
          <w:highlight w:val="none"/>
        </w:rPr>
      </w:pPr>
      <w:r>
        <w:rPr>
          <w:rFonts w:ascii="宋体" w:hAnsi="宋体" w:eastAsia="黑体"/>
          <w:kern w:val="0"/>
          <w:sz w:val="30"/>
          <w:szCs w:val="30"/>
          <w:highlight w:val="none"/>
        </w:rPr>
        <w:br w:type="page"/>
      </w:r>
    </w:p>
    <w:p w14:paraId="6B97ED4F">
      <w:pPr>
        <w:autoSpaceDE w:val="0"/>
        <w:autoSpaceDN w:val="0"/>
        <w:adjustRightInd w:val="0"/>
        <w:jc w:val="left"/>
        <w:outlineLvl w:val="9"/>
        <w:rPr>
          <w:rFonts w:ascii="宋体" w:hAnsi="宋体" w:eastAsia="黑体"/>
          <w:kern w:val="0"/>
          <w:sz w:val="30"/>
          <w:szCs w:val="30"/>
          <w:highlight w:val="none"/>
        </w:rPr>
      </w:pPr>
    </w:p>
    <w:p w14:paraId="03FB87F4">
      <w:pPr>
        <w:spacing w:line="600" w:lineRule="auto"/>
        <w:jc w:val="center"/>
        <w:outlineLvl w:val="2"/>
        <w:rPr>
          <w:rFonts w:ascii="黑体" w:eastAsia="黑体"/>
          <w:b/>
          <w:sz w:val="30"/>
          <w:szCs w:val="30"/>
          <w:highlight w:val="none"/>
        </w:rPr>
      </w:pPr>
      <w:r>
        <w:rPr>
          <w:rFonts w:hint="eastAsia" w:ascii="黑体" w:eastAsia="黑体"/>
          <w:b/>
          <w:sz w:val="30"/>
          <w:szCs w:val="30"/>
          <w:highlight w:val="none"/>
        </w:rPr>
        <w:t>湖南省政府采购供应商资格承诺函</w:t>
      </w:r>
    </w:p>
    <w:p w14:paraId="7E7254DF">
      <w:pPr>
        <w:spacing w:line="600" w:lineRule="auto"/>
        <w:outlineLvl w:val="9"/>
        <w:rPr>
          <w:rFonts w:ascii="宋体" w:hAnsi="宋体" w:cs="宋体"/>
          <w:szCs w:val="21"/>
          <w:highlight w:val="none"/>
        </w:rPr>
      </w:pPr>
    </w:p>
    <w:p w14:paraId="7F2852DB">
      <w:pPr>
        <w:spacing w:line="600" w:lineRule="auto"/>
        <w:ind w:firstLine="420" w:firstLineChars="200"/>
        <w:outlineLvl w:val="9"/>
        <w:rPr>
          <w:rFonts w:ascii="宋体" w:hAnsi="宋体" w:cs="宋体"/>
          <w:szCs w:val="21"/>
          <w:highlight w:val="none"/>
        </w:rPr>
      </w:pPr>
      <w:r>
        <w:rPr>
          <w:rFonts w:hint="eastAsia" w:ascii="宋体" w:hAnsi="宋体" w:cs="宋体"/>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AC36C8F">
      <w:pPr>
        <w:spacing w:line="600" w:lineRule="auto"/>
        <w:ind w:firstLine="420" w:firstLineChars="200"/>
        <w:outlineLvl w:val="9"/>
        <w:rPr>
          <w:rFonts w:hint="eastAsia" w:ascii="宋体" w:hAnsi="宋体" w:cs="宋体"/>
          <w:szCs w:val="21"/>
          <w:highlight w:val="none"/>
        </w:rPr>
      </w:pPr>
      <w:r>
        <w:rPr>
          <w:rFonts w:hint="eastAsia" w:ascii="宋体" w:hAnsi="宋体" w:cs="宋体"/>
          <w:szCs w:val="21"/>
          <w:highlight w:val="none"/>
        </w:rPr>
        <w:t xml:space="preserve">按照《政府采购促进中小企业发展管理办法》(财库〔2020〕46号)本公司企业规模为:大型 □   中型 □  小型 □   微型 □ </w:t>
      </w:r>
    </w:p>
    <w:p w14:paraId="7E8E31B6">
      <w:pPr>
        <w:spacing w:line="600" w:lineRule="auto"/>
        <w:ind w:firstLine="420" w:firstLineChars="200"/>
        <w:outlineLvl w:val="9"/>
        <w:rPr>
          <w:rFonts w:hint="eastAsia" w:ascii="宋体" w:hAnsi="宋体" w:cs="宋体"/>
          <w:szCs w:val="21"/>
          <w:highlight w:val="none"/>
        </w:rPr>
      </w:pPr>
    </w:p>
    <w:p w14:paraId="4724869E">
      <w:pPr>
        <w:pStyle w:val="19"/>
        <w:spacing w:before="0" w:beforeAutospacing="0" w:after="0" w:afterAutospacing="0" w:line="360" w:lineRule="auto"/>
        <w:ind w:firstLine="420" w:firstLineChars="200"/>
        <w:jc w:val="both"/>
        <w:rPr>
          <w:rFonts w:hint="eastAsia"/>
          <w:color w:val="auto"/>
          <w:sz w:val="21"/>
          <w:szCs w:val="21"/>
        </w:rPr>
      </w:pPr>
      <w:r>
        <w:rPr>
          <w:rFonts w:hint="eastAsia"/>
          <w:color w:val="auto"/>
          <w:sz w:val="21"/>
          <w:szCs w:val="21"/>
        </w:rPr>
        <w:t>机构代码：</w:t>
      </w:r>
      <w:r>
        <w:rPr>
          <w:rFonts w:hint="eastAsia"/>
          <w:color w:val="auto"/>
          <w:sz w:val="21"/>
          <w:szCs w:val="21"/>
          <w:u w:val="single"/>
        </w:rPr>
        <w:t xml:space="preserve">                </w:t>
      </w:r>
      <w:r>
        <w:rPr>
          <w:rFonts w:hint="eastAsia"/>
          <w:color w:val="auto"/>
          <w:sz w:val="21"/>
          <w:szCs w:val="21"/>
        </w:rPr>
        <w:t>；注册登记机构：</w:t>
      </w:r>
      <w:r>
        <w:rPr>
          <w:rFonts w:hint="eastAsia"/>
          <w:color w:val="auto"/>
          <w:sz w:val="21"/>
          <w:szCs w:val="21"/>
          <w:u w:val="single"/>
        </w:rPr>
        <w:t xml:space="preserve">                </w:t>
      </w:r>
      <w:r>
        <w:rPr>
          <w:rFonts w:hint="eastAsia"/>
          <w:color w:val="auto"/>
          <w:sz w:val="21"/>
          <w:szCs w:val="21"/>
        </w:rPr>
        <w:t>；</w:t>
      </w:r>
    </w:p>
    <w:p w14:paraId="608AC15A">
      <w:pPr>
        <w:pStyle w:val="19"/>
        <w:spacing w:before="0" w:beforeAutospacing="0" w:after="0" w:afterAutospacing="0" w:line="360" w:lineRule="auto"/>
        <w:ind w:firstLine="420" w:firstLineChars="200"/>
        <w:jc w:val="both"/>
        <w:rPr>
          <w:rFonts w:hint="eastAsia"/>
          <w:color w:val="auto"/>
          <w:sz w:val="21"/>
          <w:szCs w:val="21"/>
        </w:rPr>
      </w:pPr>
      <w:r>
        <w:rPr>
          <w:rFonts w:hint="eastAsia"/>
          <w:color w:val="auto"/>
          <w:sz w:val="21"/>
          <w:szCs w:val="21"/>
        </w:rPr>
        <w:t>日期：</w:t>
      </w:r>
      <w:r>
        <w:rPr>
          <w:rFonts w:hint="eastAsia"/>
          <w:color w:val="auto"/>
          <w:sz w:val="21"/>
          <w:szCs w:val="21"/>
          <w:u w:val="single"/>
        </w:rPr>
        <w:t xml:space="preserve">              </w:t>
      </w:r>
      <w:r>
        <w:rPr>
          <w:rFonts w:hint="eastAsia"/>
          <w:color w:val="auto"/>
          <w:sz w:val="21"/>
          <w:szCs w:val="21"/>
        </w:rPr>
        <w:t>；有效期：</w:t>
      </w:r>
      <w:r>
        <w:rPr>
          <w:rFonts w:hint="eastAsia"/>
          <w:color w:val="auto"/>
          <w:sz w:val="21"/>
          <w:szCs w:val="21"/>
          <w:u w:val="single"/>
        </w:rPr>
        <w:t xml:space="preserve">              </w:t>
      </w:r>
      <w:r>
        <w:rPr>
          <w:rFonts w:hint="eastAsia"/>
          <w:color w:val="auto"/>
          <w:sz w:val="21"/>
          <w:szCs w:val="21"/>
        </w:rPr>
        <w:t>；</w:t>
      </w:r>
    </w:p>
    <w:p w14:paraId="4C97CA7E">
      <w:pPr>
        <w:pStyle w:val="19"/>
        <w:spacing w:before="0" w:beforeAutospacing="0" w:after="0" w:afterAutospacing="0" w:line="360" w:lineRule="auto"/>
        <w:ind w:firstLine="420" w:firstLineChars="200"/>
        <w:jc w:val="both"/>
        <w:rPr>
          <w:rFonts w:hint="eastAsia"/>
          <w:color w:val="auto"/>
          <w:sz w:val="21"/>
          <w:szCs w:val="21"/>
        </w:rPr>
      </w:pPr>
      <w:r>
        <w:rPr>
          <w:rFonts w:hint="eastAsia"/>
          <w:color w:val="auto"/>
          <w:sz w:val="21"/>
          <w:szCs w:val="21"/>
        </w:rPr>
        <w:t>注册资本：</w:t>
      </w:r>
      <w:r>
        <w:rPr>
          <w:rFonts w:hint="eastAsia"/>
          <w:color w:val="auto"/>
          <w:sz w:val="21"/>
          <w:szCs w:val="21"/>
          <w:u w:val="single"/>
        </w:rPr>
        <w:t xml:space="preserve">                </w:t>
      </w:r>
      <w:r>
        <w:rPr>
          <w:rFonts w:hint="eastAsia"/>
          <w:color w:val="auto"/>
          <w:sz w:val="21"/>
          <w:szCs w:val="21"/>
        </w:rPr>
        <w:t>；地址：</w:t>
      </w:r>
      <w:r>
        <w:rPr>
          <w:rFonts w:hint="eastAsia"/>
          <w:color w:val="auto"/>
          <w:sz w:val="21"/>
          <w:szCs w:val="21"/>
          <w:u w:val="single"/>
        </w:rPr>
        <w:t xml:space="preserve">                 </w:t>
      </w:r>
      <w:r>
        <w:rPr>
          <w:rFonts w:hint="eastAsia"/>
          <w:color w:val="auto"/>
          <w:sz w:val="21"/>
          <w:szCs w:val="21"/>
        </w:rPr>
        <w:t>；</w:t>
      </w:r>
    </w:p>
    <w:p w14:paraId="0B777142">
      <w:pPr>
        <w:pStyle w:val="19"/>
        <w:spacing w:before="0" w:beforeAutospacing="0" w:after="0" w:afterAutospacing="0" w:line="360" w:lineRule="auto"/>
        <w:ind w:firstLine="420" w:firstLineChars="200"/>
        <w:jc w:val="both"/>
        <w:rPr>
          <w:rFonts w:hint="eastAsia"/>
          <w:color w:val="auto"/>
          <w:sz w:val="21"/>
          <w:szCs w:val="21"/>
        </w:rPr>
      </w:pPr>
      <w:r>
        <w:rPr>
          <w:rFonts w:hint="eastAsia"/>
          <w:color w:val="auto"/>
          <w:sz w:val="21"/>
          <w:szCs w:val="21"/>
        </w:rPr>
        <w:t>经济行业：</w:t>
      </w:r>
      <w:r>
        <w:rPr>
          <w:rFonts w:hint="eastAsia"/>
          <w:color w:val="auto"/>
          <w:sz w:val="21"/>
          <w:szCs w:val="21"/>
          <w:u w:val="single"/>
        </w:rPr>
        <w:t xml:space="preserve">              </w:t>
      </w:r>
      <w:r>
        <w:rPr>
          <w:rFonts w:hint="eastAsia"/>
          <w:color w:val="auto"/>
          <w:sz w:val="21"/>
          <w:szCs w:val="21"/>
        </w:rPr>
        <w:t>；经济性质：</w:t>
      </w:r>
      <w:r>
        <w:rPr>
          <w:rFonts w:hint="eastAsia"/>
          <w:color w:val="auto"/>
          <w:sz w:val="21"/>
          <w:szCs w:val="21"/>
          <w:u w:val="single"/>
        </w:rPr>
        <w:t xml:space="preserve">              </w:t>
      </w:r>
      <w:r>
        <w:rPr>
          <w:rFonts w:hint="eastAsia"/>
          <w:color w:val="auto"/>
          <w:sz w:val="21"/>
          <w:szCs w:val="21"/>
        </w:rPr>
        <w:t>；</w:t>
      </w:r>
    </w:p>
    <w:p w14:paraId="488123C5">
      <w:pPr>
        <w:pStyle w:val="19"/>
        <w:spacing w:before="0" w:beforeAutospacing="0" w:after="0" w:afterAutospacing="0" w:line="360" w:lineRule="auto"/>
        <w:ind w:firstLine="420" w:firstLineChars="200"/>
        <w:jc w:val="both"/>
        <w:rPr>
          <w:rFonts w:hint="eastAsia"/>
          <w:color w:val="auto"/>
          <w:sz w:val="21"/>
          <w:szCs w:val="21"/>
        </w:rPr>
      </w:pPr>
      <w:r>
        <w:rPr>
          <w:rFonts w:hint="eastAsia"/>
          <w:color w:val="auto"/>
          <w:sz w:val="21"/>
          <w:szCs w:val="21"/>
        </w:rPr>
        <w:t>法定代表人（负责人）姓名（签字）：</w:t>
      </w:r>
      <w:r>
        <w:rPr>
          <w:rFonts w:hint="eastAsia"/>
          <w:color w:val="auto"/>
          <w:sz w:val="21"/>
          <w:szCs w:val="21"/>
          <w:u w:val="single"/>
        </w:rPr>
        <w:t xml:space="preserve">             </w:t>
      </w:r>
      <w:r>
        <w:rPr>
          <w:rFonts w:hint="eastAsia"/>
          <w:color w:val="auto"/>
          <w:sz w:val="21"/>
          <w:szCs w:val="21"/>
        </w:rPr>
        <w:t>；</w:t>
      </w:r>
    </w:p>
    <w:p w14:paraId="25B07C58">
      <w:pPr>
        <w:pStyle w:val="19"/>
        <w:spacing w:before="0" w:beforeAutospacing="0" w:after="0" w:afterAutospacing="0" w:line="360" w:lineRule="auto"/>
        <w:ind w:firstLine="420" w:firstLineChars="200"/>
        <w:jc w:val="both"/>
        <w:rPr>
          <w:rFonts w:hint="eastAsia"/>
          <w:color w:val="auto"/>
          <w:sz w:val="21"/>
          <w:szCs w:val="21"/>
        </w:rPr>
      </w:pPr>
      <w:r>
        <w:rPr>
          <w:rFonts w:hint="eastAsia"/>
          <w:color w:val="auto"/>
          <w:sz w:val="21"/>
          <w:szCs w:val="21"/>
        </w:rPr>
        <w:t>身份证号：</w:t>
      </w:r>
      <w:r>
        <w:rPr>
          <w:rFonts w:hint="eastAsia"/>
          <w:color w:val="auto"/>
          <w:sz w:val="21"/>
          <w:szCs w:val="21"/>
          <w:u w:val="single"/>
        </w:rPr>
        <w:t xml:space="preserve">                </w:t>
      </w:r>
      <w:r>
        <w:rPr>
          <w:rFonts w:hint="eastAsia"/>
          <w:color w:val="auto"/>
          <w:sz w:val="21"/>
          <w:szCs w:val="21"/>
        </w:rPr>
        <w:t>；手机号：</w:t>
      </w:r>
      <w:r>
        <w:rPr>
          <w:rFonts w:hint="eastAsia"/>
          <w:color w:val="auto"/>
          <w:sz w:val="21"/>
          <w:szCs w:val="21"/>
          <w:u w:val="single"/>
        </w:rPr>
        <w:t xml:space="preserve">                   </w:t>
      </w:r>
      <w:r>
        <w:rPr>
          <w:rFonts w:hint="eastAsia"/>
          <w:color w:val="auto"/>
          <w:sz w:val="21"/>
          <w:szCs w:val="21"/>
        </w:rPr>
        <w:t>；</w:t>
      </w:r>
    </w:p>
    <w:p w14:paraId="5EE7A46E">
      <w:pPr>
        <w:pStyle w:val="19"/>
        <w:spacing w:before="0" w:beforeAutospacing="0" w:after="0" w:afterAutospacing="0" w:line="360" w:lineRule="auto"/>
        <w:ind w:firstLine="420" w:firstLineChars="200"/>
        <w:jc w:val="both"/>
        <w:rPr>
          <w:rFonts w:hint="eastAsia"/>
          <w:color w:val="auto"/>
          <w:sz w:val="21"/>
          <w:szCs w:val="21"/>
        </w:rPr>
      </w:pPr>
      <w:r>
        <w:rPr>
          <w:rFonts w:hint="eastAsia"/>
          <w:color w:val="auto"/>
          <w:sz w:val="21"/>
          <w:szCs w:val="21"/>
        </w:rPr>
        <w:t>授权代表人姓名（签字）：</w:t>
      </w:r>
      <w:r>
        <w:rPr>
          <w:rFonts w:hint="eastAsia"/>
          <w:color w:val="auto"/>
          <w:sz w:val="21"/>
          <w:szCs w:val="21"/>
          <w:u w:val="single"/>
        </w:rPr>
        <w:t xml:space="preserve">                 </w:t>
      </w:r>
      <w:r>
        <w:rPr>
          <w:rFonts w:hint="eastAsia"/>
          <w:color w:val="auto"/>
          <w:sz w:val="21"/>
          <w:szCs w:val="21"/>
        </w:rPr>
        <w:t>；</w:t>
      </w:r>
    </w:p>
    <w:p w14:paraId="3C8A30A5">
      <w:pPr>
        <w:pStyle w:val="19"/>
        <w:spacing w:before="0" w:beforeAutospacing="0" w:after="0" w:afterAutospacing="0" w:line="360" w:lineRule="auto"/>
        <w:ind w:firstLine="420" w:firstLineChars="200"/>
        <w:jc w:val="both"/>
        <w:rPr>
          <w:rFonts w:hint="eastAsia"/>
          <w:color w:val="auto"/>
          <w:sz w:val="21"/>
          <w:szCs w:val="21"/>
        </w:rPr>
      </w:pPr>
      <w:r>
        <w:rPr>
          <w:rFonts w:hint="eastAsia"/>
          <w:color w:val="auto"/>
          <w:sz w:val="21"/>
          <w:szCs w:val="21"/>
        </w:rPr>
        <w:t>身份证号 ：</w:t>
      </w:r>
      <w:r>
        <w:rPr>
          <w:rFonts w:hint="eastAsia"/>
          <w:color w:val="auto"/>
          <w:sz w:val="21"/>
          <w:szCs w:val="21"/>
          <w:u w:val="single"/>
        </w:rPr>
        <w:t xml:space="preserve">                </w:t>
      </w:r>
      <w:r>
        <w:rPr>
          <w:rFonts w:hint="eastAsia"/>
          <w:color w:val="auto"/>
          <w:sz w:val="21"/>
          <w:szCs w:val="21"/>
        </w:rPr>
        <w:t>；手机号：</w:t>
      </w:r>
      <w:r>
        <w:rPr>
          <w:rFonts w:hint="eastAsia"/>
          <w:color w:val="auto"/>
          <w:sz w:val="21"/>
          <w:szCs w:val="21"/>
          <w:u w:val="single"/>
        </w:rPr>
        <w:t xml:space="preserve">                </w:t>
      </w:r>
      <w:r>
        <w:rPr>
          <w:rFonts w:hint="eastAsia"/>
          <w:color w:val="auto"/>
          <w:sz w:val="21"/>
          <w:szCs w:val="21"/>
        </w:rPr>
        <w:t>。</w:t>
      </w:r>
    </w:p>
    <w:p w14:paraId="6A379C7B">
      <w:pPr>
        <w:spacing w:line="600" w:lineRule="auto"/>
        <w:outlineLvl w:val="9"/>
        <w:rPr>
          <w:rFonts w:ascii="宋体" w:hAnsi="宋体" w:cs="宋体"/>
          <w:szCs w:val="21"/>
          <w:highlight w:val="none"/>
        </w:rPr>
      </w:pPr>
    </w:p>
    <w:p w14:paraId="45960C1E">
      <w:pPr>
        <w:spacing w:line="600" w:lineRule="auto"/>
        <w:jc w:val="right"/>
        <w:outlineLvl w:val="9"/>
        <w:rPr>
          <w:rFonts w:ascii="宋体" w:hAnsi="宋体" w:cs="宋体"/>
          <w:szCs w:val="21"/>
          <w:highlight w:val="none"/>
        </w:rPr>
      </w:pPr>
      <w:r>
        <w:rPr>
          <w:rFonts w:hint="eastAsia" w:ascii="宋体" w:hAnsi="宋体" w:cs="宋体"/>
          <w:szCs w:val="21"/>
          <w:highlight w:val="none"/>
        </w:rPr>
        <w:t>公司(单位)名称:(盖章)</w:t>
      </w:r>
    </w:p>
    <w:p w14:paraId="300B91D1">
      <w:pPr>
        <w:spacing w:line="600" w:lineRule="auto"/>
        <w:jc w:val="right"/>
        <w:outlineLvl w:val="9"/>
        <w:rPr>
          <w:rFonts w:ascii="宋体" w:hAnsi="宋体" w:cs="宋体"/>
          <w:szCs w:val="21"/>
          <w:highlight w:val="none"/>
        </w:rPr>
      </w:pPr>
      <w:r>
        <w:rPr>
          <w:rFonts w:hint="eastAsia" w:ascii="宋体" w:hAnsi="宋体" w:cs="宋体"/>
          <w:szCs w:val="21"/>
          <w:highlight w:val="none"/>
        </w:rPr>
        <w:t>年   月   日</w:t>
      </w:r>
    </w:p>
    <w:p w14:paraId="44A80646">
      <w:pPr>
        <w:outlineLvl w:val="9"/>
        <w:rPr>
          <w:rFonts w:ascii="宋体" w:hAnsi="宋体" w:eastAsia="黑体"/>
          <w:kern w:val="0"/>
          <w:sz w:val="30"/>
          <w:szCs w:val="30"/>
          <w:highlight w:val="none"/>
        </w:rPr>
      </w:pPr>
      <w:r>
        <w:rPr>
          <w:rFonts w:ascii="宋体" w:hAnsi="宋体" w:eastAsia="黑体"/>
          <w:kern w:val="0"/>
          <w:sz w:val="30"/>
          <w:szCs w:val="30"/>
          <w:highlight w:val="none"/>
        </w:rPr>
        <w:br w:type="page"/>
      </w:r>
    </w:p>
    <w:p w14:paraId="4E00F734">
      <w:pPr>
        <w:ind w:firstLine="420" w:firstLineChars="200"/>
        <w:rPr>
          <w:rFonts w:ascii="Calibri" w:hAnsi="Calibri"/>
          <w:highlight w:val="none"/>
        </w:rPr>
      </w:pPr>
    </w:p>
    <w:p w14:paraId="6B9D89C2">
      <w:pPr>
        <w:spacing w:line="480" w:lineRule="exact"/>
        <w:outlineLvl w:val="2"/>
        <w:rPr>
          <w:rFonts w:ascii="黑体" w:eastAsia="黑体"/>
          <w:b/>
          <w:bCs/>
          <w:sz w:val="30"/>
          <w:szCs w:val="30"/>
          <w:highlight w:val="none"/>
        </w:rPr>
      </w:pPr>
      <w:r>
        <w:rPr>
          <w:rFonts w:hint="eastAsia" w:ascii="黑体" w:eastAsia="黑体"/>
          <w:b/>
          <w:bCs/>
          <w:sz w:val="30"/>
          <w:szCs w:val="30"/>
          <w:highlight w:val="none"/>
        </w:rPr>
        <w:t>附件5  磋商文件规定的特定资格条件证明资料</w:t>
      </w:r>
    </w:p>
    <w:p w14:paraId="3D745325">
      <w:pPr>
        <w:spacing w:line="480" w:lineRule="exact"/>
        <w:outlineLvl w:val="9"/>
        <w:rPr>
          <w:rFonts w:ascii="宋体" w:hAnsi="宋体"/>
          <w:szCs w:val="21"/>
          <w:highlight w:val="none"/>
        </w:rPr>
      </w:pPr>
    </w:p>
    <w:p w14:paraId="070ABF46">
      <w:pPr>
        <w:spacing w:line="480" w:lineRule="exact"/>
        <w:outlineLvl w:val="9"/>
        <w:rPr>
          <w:rFonts w:ascii="宋体" w:hAnsi="宋体"/>
          <w:szCs w:val="21"/>
          <w:highlight w:val="none"/>
        </w:rPr>
      </w:pPr>
      <w:r>
        <w:rPr>
          <w:rFonts w:hint="eastAsia" w:ascii="宋体" w:hAnsi="宋体"/>
          <w:szCs w:val="21"/>
          <w:highlight w:val="none"/>
        </w:rPr>
        <w:t>备注：提供第二章 磋商须知第3.1款供应商特定资格条件证明资料的复印件。</w:t>
      </w:r>
    </w:p>
    <w:p w14:paraId="29C51660">
      <w:pPr>
        <w:spacing w:line="480" w:lineRule="exact"/>
        <w:outlineLvl w:val="9"/>
        <w:rPr>
          <w:rFonts w:ascii="宋体" w:hAnsi="宋体"/>
          <w:szCs w:val="21"/>
          <w:highlight w:val="none"/>
        </w:rPr>
      </w:pPr>
    </w:p>
    <w:p w14:paraId="085CCDAC">
      <w:pPr>
        <w:adjustRightInd w:val="0"/>
        <w:snapToGrid w:val="0"/>
        <w:spacing w:line="360" w:lineRule="auto"/>
        <w:rPr>
          <w:rFonts w:ascii="黑体" w:eastAsia="黑体"/>
          <w:b/>
          <w:sz w:val="30"/>
          <w:szCs w:val="30"/>
          <w:highlight w:val="none"/>
        </w:rPr>
      </w:pPr>
    </w:p>
    <w:p w14:paraId="5A238C9D">
      <w:pPr>
        <w:adjustRightInd w:val="0"/>
        <w:snapToGrid w:val="0"/>
        <w:spacing w:line="360" w:lineRule="auto"/>
        <w:outlineLvl w:val="2"/>
        <w:rPr>
          <w:rFonts w:ascii="黑体" w:eastAsia="黑体"/>
          <w:b/>
          <w:sz w:val="30"/>
          <w:szCs w:val="30"/>
          <w:highlight w:val="none"/>
        </w:rPr>
      </w:pPr>
      <w:r>
        <w:rPr>
          <w:rFonts w:hint="eastAsia" w:ascii="黑体" w:eastAsia="黑体"/>
          <w:b/>
          <w:sz w:val="30"/>
          <w:szCs w:val="30"/>
          <w:highlight w:val="none"/>
        </w:rPr>
        <w:t>附件6           其他证明资料或说明</w:t>
      </w:r>
    </w:p>
    <w:p w14:paraId="441726DA">
      <w:pPr>
        <w:adjustRightInd w:val="0"/>
        <w:snapToGrid w:val="0"/>
        <w:spacing w:line="360" w:lineRule="auto"/>
        <w:rPr>
          <w:rFonts w:ascii="黑体" w:eastAsia="黑体"/>
          <w:szCs w:val="21"/>
          <w:highlight w:val="none"/>
        </w:rPr>
      </w:pPr>
    </w:p>
    <w:p w14:paraId="244EC616">
      <w:pPr>
        <w:adjustRightInd w:val="0"/>
        <w:snapToGrid w:val="0"/>
        <w:spacing w:line="360" w:lineRule="auto"/>
        <w:rPr>
          <w:rFonts w:ascii="宋体" w:hAnsi="宋体"/>
          <w:szCs w:val="21"/>
          <w:highlight w:val="none"/>
        </w:rPr>
      </w:pPr>
      <w:r>
        <w:rPr>
          <w:rFonts w:hint="eastAsia" w:ascii="宋体" w:hAnsi="宋体"/>
          <w:szCs w:val="21"/>
          <w:highlight w:val="none"/>
        </w:rPr>
        <w:t>提供磋商文件或评分标准需要提供的相关证明文件复印件</w:t>
      </w:r>
    </w:p>
    <w:p w14:paraId="7BF16820">
      <w:pPr>
        <w:adjustRightInd w:val="0"/>
        <w:snapToGrid w:val="0"/>
        <w:spacing w:line="360" w:lineRule="auto"/>
        <w:jc w:val="center"/>
        <w:rPr>
          <w:rFonts w:ascii="黑体" w:eastAsia="黑体"/>
          <w:b/>
          <w:sz w:val="32"/>
          <w:szCs w:val="32"/>
          <w:highlight w:val="none"/>
        </w:rPr>
      </w:pPr>
    </w:p>
    <w:p w14:paraId="49C7B2A9">
      <w:pPr>
        <w:adjustRightInd w:val="0"/>
        <w:snapToGrid w:val="0"/>
        <w:spacing w:line="360" w:lineRule="auto"/>
        <w:jc w:val="center"/>
        <w:rPr>
          <w:rFonts w:ascii="黑体" w:eastAsia="黑体"/>
          <w:b/>
          <w:sz w:val="32"/>
          <w:szCs w:val="32"/>
          <w:highlight w:val="none"/>
        </w:rPr>
      </w:pPr>
    </w:p>
    <w:p w14:paraId="7BD16821">
      <w:pPr>
        <w:adjustRightInd w:val="0"/>
        <w:snapToGrid w:val="0"/>
        <w:spacing w:line="360" w:lineRule="auto"/>
        <w:jc w:val="center"/>
        <w:rPr>
          <w:rFonts w:ascii="黑体" w:eastAsia="黑体"/>
          <w:b/>
          <w:sz w:val="32"/>
          <w:szCs w:val="32"/>
          <w:highlight w:val="none"/>
        </w:rPr>
      </w:pPr>
    </w:p>
    <w:p w14:paraId="0B594D92">
      <w:pPr>
        <w:adjustRightInd w:val="0"/>
        <w:snapToGrid w:val="0"/>
        <w:spacing w:line="360" w:lineRule="auto"/>
        <w:jc w:val="center"/>
        <w:rPr>
          <w:rFonts w:ascii="黑体" w:eastAsia="黑体"/>
          <w:b/>
          <w:sz w:val="32"/>
          <w:szCs w:val="32"/>
          <w:highlight w:val="none"/>
        </w:rPr>
      </w:pPr>
    </w:p>
    <w:p w14:paraId="1655C82A">
      <w:pPr>
        <w:adjustRightInd w:val="0"/>
        <w:snapToGrid w:val="0"/>
        <w:spacing w:line="360" w:lineRule="auto"/>
        <w:jc w:val="center"/>
        <w:rPr>
          <w:rFonts w:ascii="黑体" w:eastAsia="黑体"/>
          <w:b/>
          <w:sz w:val="32"/>
          <w:szCs w:val="32"/>
          <w:highlight w:val="none"/>
        </w:rPr>
      </w:pPr>
    </w:p>
    <w:p w14:paraId="50775E44">
      <w:pPr>
        <w:adjustRightInd w:val="0"/>
        <w:snapToGrid w:val="0"/>
        <w:spacing w:line="360" w:lineRule="auto"/>
        <w:jc w:val="center"/>
        <w:rPr>
          <w:rFonts w:ascii="黑体" w:eastAsia="黑体"/>
          <w:b/>
          <w:sz w:val="32"/>
          <w:szCs w:val="32"/>
          <w:highlight w:val="none"/>
        </w:rPr>
      </w:pPr>
    </w:p>
    <w:p w14:paraId="35EA197F">
      <w:pPr>
        <w:adjustRightInd w:val="0"/>
        <w:snapToGrid w:val="0"/>
        <w:spacing w:line="360" w:lineRule="auto"/>
        <w:jc w:val="center"/>
        <w:rPr>
          <w:rFonts w:ascii="黑体" w:eastAsia="黑体"/>
          <w:b/>
          <w:sz w:val="32"/>
          <w:szCs w:val="32"/>
          <w:highlight w:val="none"/>
        </w:rPr>
      </w:pPr>
    </w:p>
    <w:p w14:paraId="11DFDABD">
      <w:pPr>
        <w:adjustRightInd w:val="0"/>
        <w:snapToGrid w:val="0"/>
        <w:spacing w:line="360" w:lineRule="auto"/>
        <w:jc w:val="center"/>
        <w:rPr>
          <w:rFonts w:ascii="黑体" w:eastAsia="黑体"/>
          <w:b/>
          <w:sz w:val="32"/>
          <w:szCs w:val="32"/>
          <w:highlight w:val="none"/>
        </w:rPr>
      </w:pPr>
    </w:p>
    <w:p w14:paraId="030AA1DB">
      <w:pPr>
        <w:adjustRightInd w:val="0"/>
        <w:snapToGrid w:val="0"/>
        <w:spacing w:line="360" w:lineRule="auto"/>
        <w:jc w:val="center"/>
        <w:rPr>
          <w:rFonts w:ascii="黑体" w:eastAsia="黑体"/>
          <w:b/>
          <w:sz w:val="32"/>
          <w:szCs w:val="32"/>
          <w:highlight w:val="none"/>
        </w:rPr>
      </w:pPr>
    </w:p>
    <w:p w14:paraId="1D7D8FAE">
      <w:pPr>
        <w:adjustRightInd w:val="0"/>
        <w:snapToGrid w:val="0"/>
        <w:spacing w:line="360" w:lineRule="auto"/>
        <w:jc w:val="center"/>
        <w:rPr>
          <w:rFonts w:ascii="黑体" w:eastAsia="黑体"/>
          <w:b/>
          <w:sz w:val="32"/>
          <w:szCs w:val="32"/>
          <w:highlight w:val="none"/>
        </w:rPr>
      </w:pPr>
    </w:p>
    <w:p w14:paraId="239676DE">
      <w:pPr>
        <w:adjustRightInd w:val="0"/>
        <w:snapToGrid w:val="0"/>
        <w:spacing w:line="360" w:lineRule="auto"/>
        <w:jc w:val="center"/>
        <w:rPr>
          <w:rFonts w:ascii="黑体" w:eastAsia="黑体"/>
          <w:b/>
          <w:sz w:val="32"/>
          <w:szCs w:val="32"/>
          <w:highlight w:val="none"/>
        </w:rPr>
      </w:pPr>
    </w:p>
    <w:p w14:paraId="50FE04D5">
      <w:pPr>
        <w:adjustRightInd w:val="0"/>
        <w:snapToGrid w:val="0"/>
        <w:spacing w:line="360" w:lineRule="auto"/>
        <w:jc w:val="center"/>
        <w:rPr>
          <w:rFonts w:ascii="黑体" w:eastAsia="黑体"/>
          <w:b/>
          <w:sz w:val="32"/>
          <w:szCs w:val="32"/>
          <w:highlight w:val="none"/>
        </w:rPr>
      </w:pPr>
    </w:p>
    <w:p w14:paraId="3A1FB61D">
      <w:pPr>
        <w:adjustRightInd w:val="0"/>
        <w:snapToGrid w:val="0"/>
        <w:spacing w:line="360" w:lineRule="auto"/>
        <w:jc w:val="center"/>
        <w:rPr>
          <w:rFonts w:ascii="黑体" w:eastAsia="黑体"/>
          <w:b/>
          <w:sz w:val="32"/>
          <w:szCs w:val="32"/>
          <w:highlight w:val="none"/>
        </w:rPr>
      </w:pPr>
    </w:p>
    <w:p w14:paraId="2230C012">
      <w:pPr>
        <w:adjustRightInd w:val="0"/>
        <w:snapToGrid w:val="0"/>
        <w:spacing w:line="360" w:lineRule="auto"/>
        <w:jc w:val="center"/>
        <w:rPr>
          <w:rFonts w:ascii="黑体" w:eastAsia="黑体"/>
          <w:b/>
          <w:sz w:val="32"/>
          <w:szCs w:val="32"/>
          <w:highlight w:val="none"/>
        </w:rPr>
      </w:pPr>
    </w:p>
    <w:p w14:paraId="1C552960">
      <w:pPr>
        <w:adjustRightInd w:val="0"/>
        <w:snapToGrid w:val="0"/>
        <w:spacing w:line="360" w:lineRule="auto"/>
        <w:jc w:val="center"/>
        <w:rPr>
          <w:rFonts w:ascii="黑体" w:eastAsia="黑体"/>
          <w:b/>
          <w:sz w:val="32"/>
          <w:szCs w:val="32"/>
          <w:highlight w:val="none"/>
        </w:rPr>
      </w:pPr>
    </w:p>
    <w:p w14:paraId="71E00944">
      <w:pPr>
        <w:adjustRightInd w:val="0"/>
        <w:snapToGrid w:val="0"/>
        <w:spacing w:line="360" w:lineRule="auto"/>
        <w:jc w:val="center"/>
        <w:rPr>
          <w:rFonts w:ascii="黑体" w:eastAsia="黑体"/>
          <w:b/>
          <w:sz w:val="32"/>
          <w:szCs w:val="32"/>
          <w:highlight w:val="none"/>
        </w:rPr>
      </w:pPr>
    </w:p>
    <w:p w14:paraId="379A91AA">
      <w:pPr>
        <w:adjustRightInd w:val="0"/>
        <w:snapToGrid w:val="0"/>
        <w:spacing w:line="360" w:lineRule="auto"/>
        <w:jc w:val="both"/>
        <w:rPr>
          <w:rFonts w:ascii="黑体" w:eastAsia="黑体"/>
          <w:b/>
          <w:sz w:val="32"/>
          <w:szCs w:val="32"/>
          <w:highlight w:val="none"/>
        </w:rPr>
      </w:pPr>
    </w:p>
    <w:p w14:paraId="42A53B32">
      <w:pPr>
        <w:adjustRightInd w:val="0"/>
        <w:snapToGrid w:val="0"/>
        <w:spacing w:line="360" w:lineRule="auto"/>
        <w:jc w:val="center"/>
        <w:outlineLvl w:val="1"/>
        <w:rPr>
          <w:rFonts w:ascii="黑体" w:eastAsia="黑体"/>
          <w:b/>
          <w:sz w:val="32"/>
          <w:szCs w:val="32"/>
          <w:highlight w:val="none"/>
        </w:rPr>
      </w:pPr>
      <w:r>
        <w:rPr>
          <w:rFonts w:hint="eastAsia" w:ascii="黑体" w:eastAsia="黑体"/>
          <w:b/>
          <w:sz w:val="32"/>
          <w:szCs w:val="32"/>
          <w:highlight w:val="none"/>
        </w:rPr>
        <w:t>五、服务方案说明</w:t>
      </w:r>
    </w:p>
    <w:p w14:paraId="195D18B7">
      <w:pPr>
        <w:adjustRightInd w:val="0"/>
        <w:snapToGrid w:val="0"/>
        <w:spacing w:line="360" w:lineRule="auto"/>
        <w:rPr>
          <w:rFonts w:ascii="仿宋_GB2312" w:hAnsi="宋体" w:eastAsia="仿宋_GB2312"/>
          <w:bCs/>
          <w:szCs w:val="21"/>
          <w:highlight w:val="none"/>
        </w:rPr>
      </w:pPr>
    </w:p>
    <w:p w14:paraId="02C449CB">
      <w:pPr>
        <w:adjustRightInd w:val="0"/>
        <w:snapToGrid w:val="0"/>
        <w:rPr>
          <w:rFonts w:ascii="黑体" w:eastAsia="黑体"/>
          <w:sz w:val="30"/>
          <w:szCs w:val="30"/>
          <w:highlight w:val="none"/>
        </w:rPr>
      </w:pPr>
      <w:r>
        <w:rPr>
          <w:rFonts w:hint="eastAsia" w:ascii="黑体" w:eastAsia="黑体"/>
          <w:sz w:val="30"/>
          <w:szCs w:val="30"/>
          <w:highlight w:val="none"/>
        </w:rPr>
        <w:t>附件7-1：</w:t>
      </w:r>
    </w:p>
    <w:p w14:paraId="3BC8DD41">
      <w:pPr>
        <w:adjustRightInd w:val="0"/>
        <w:snapToGrid w:val="0"/>
        <w:jc w:val="center"/>
        <w:outlineLvl w:val="2"/>
        <w:rPr>
          <w:rFonts w:ascii="黑体" w:hAnsi="宋体" w:eastAsia="黑体"/>
          <w:b/>
          <w:sz w:val="30"/>
          <w:szCs w:val="30"/>
          <w:highlight w:val="none"/>
        </w:rPr>
      </w:pPr>
      <w:r>
        <w:rPr>
          <w:rFonts w:hint="eastAsia" w:ascii="黑体" w:hAnsi="宋体" w:eastAsia="黑体"/>
          <w:b/>
          <w:sz w:val="30"/>
          <w:szCs w:val="30"/>
          <w:highlight w:val="none"/>
        </w:rPr>
        <w:t>服务方案说明（服务类适用）</w:t>
      </w:r>
    </w:p>
    <w:p w14:paraId="6E42CBD7">
      <w:pPr>
        <w:adjustRightInd w:val="0"/>
        <w:snapToGrid w:val="0"/>
        <w:rPr>
          <w:rFonts w:ascii="宋体" w:hAnsi="宋体"/>
          <w:szCs w:val="21"/>
          <w:highlight w:val="none"/>
        </w:rPr>
      </w:pPr>
    </w:p>
    <w:p w14:paraId="1488BF50">
      <w:pPr>
        <w:adjustRightInd w:val="0"/>
        <w:snapToGrid w:val="0"/>
        <w:spacing w:line="360" w:lineRule="auto"/>
        <w:outlineLvl w:val="9"/>
        <w:rPr>
          <w:rFonts w:ascii="宋体" w:hAnsi="宋体" w:cs="宋体"/>
          <w:szCs w:val="21"/>
          <w:highlight w:val="none"/>
        </w:rPr>
      </w:pPr>
      <w:r>
        <w:rPr>
          <w:rFonts w:hint="eastAsia" w:ascii="宋体" w:hAnsi="宋体" w:cs="宋体"/>
          <w:szCs w:val="21"/>
          <w:highlight w:val="none"/>
        </w:rPr>
        <w:t>服务类项目供应商应根据第四章规定</w:t>
      </w:r>
      <w:r>
        <w:rPr>
          <w:rFonts w:hint="eastAsia" w:ascii="宋体" w:hAnsi="宋体" w:cs="宋体"/>
          <w:szCs w:val="21"/>
          <w:highlight w:val="none"/>
          <w:lang w:val="en-US" w:eastAsia="zh-CN"/>
        </w:rPr>
        <w:t>和评分办法要求</w:t>
      </w:r>
      <w:r>
        <w:rPr>
          <w:rFonts w:hint="eastAsia" w:ascii="宋体" w:hAnsi="宋体" w:cs="宋体"/>
          <w:szCs w:val="21"/>
          <w:highlight w:val="none"/>
        </w:rPr>
        <w:t>编写服务方案或服务大纲。</w:t>
      </w:r>
    </w:p>
    <w:p w14:paraId="08F6A9B8">
      <w:pPr>
        <w:adjustRightInd w:val="0"/>
        <w:snapToGrid w:val="0"/>
        <w:outlineLvl w:val="9"/>
        <w:rPr>
          <w:rFonts w:ascii="宋体" w:hAnsi="宋体"/>
          <w:szCs w:val="21"/>
          <w:highlight w:val="none"/>
        </w:rPr>
      </w:pPr>
    </w:p>
    <w:p w14:paraId="2901B7E1">
      <w:pPr>
        <w:adjustRightInd w:val="0"/>
        <w:snapToGrid w:val="0"/>
        <w:outlineLvl w:val="9"/>
        <w:rPr>
          <w:rFonts w:ascii="宋体" w:hAnsi="宋体"/>
          <w:szCs w:val="21"/>
          <w:highlight w:val="none"/>
        </w:rPr>
      </w:pPr>
    </w:p>
    <w:p w14:paraId="060B1412">
      <w:pPr>
        <w:adjustRightInd w:val="0"/>
        <w:snapToGrid w:val="0"/>
        <w:outlineLvl w:val="9"/>
        <w:rPr>
          <w:rFonts w:ascii="宋体" w:hAnsi="宋体"/>
          <w:szCs w:val="21"/>
          <w:highlight w:val="none"/>
        </w:rPr>
      </w:pPr>
    </w:p>
    <w:p w14:paraId="4FECDCDC">
      <w:pPr>
        <w:adjustRightInd w:val="0"/>
        <w:snapToGrid w:val="0"/>
        <w:outlineLvl w:val="9"/>
        <w:rPr>
          <w:rFonts w:ascii="宋体" w:hAnsi="宋体"/>
          <w:szCs w:val="21"/>
          <w:highlight w:val="none"/>
        </w:rPr>
      </w:pPr>
    </w:p>
    <w:p w14:paraId="01D9A8A2">
      <w:pPr>
        <w:adjustRightInd w:val="0"/>
        <w:snapToGrid w:val="0"/>
        <w:outlineLvl w:val="9"/>
        <w:rPr>
          <w:rFonts w:ascii="宋体" w:hAnsi="宋体"/>
          <w:szCs w:val="21"/>
          <w:highlight w:val="none"/>
        </w:rPr>
      </w:pPr>
    </w:p>
    <w:p w14:paraId="3F81412D">
      <w:pPr>
        <w:adjustRightInd w:val="0"/>
        <w:snapToGrid w:val="0"/>
        <w:outlineLvl w:val="9"/>
        <w:rPr>
          <w:rFonts w:ascii="宋体" w:hAnsi="宋体"/>
          <w:szCs w:val="21"/>
          <w:highlight w:val="none"/>
        </w:rPr>
      </w:pPr>
    </w:p>
    <w:p w14:paraId="033DF20B">
      <w:pPr>
        <w:adjustRightInd w:val="0"/>
        <w:snapToGrid w:val="0"/>
        <w:outlineLvl w:val="9"/>
        <w:rPr>
          <w:rFonts w:ascii="宋体" w:hAnsi="宋体"/>
          <w:szCs w:val="21"/>
          <w:highlight w:val="none"/>
        </w:rPr>
      </w:pPr>
    </w:p>
    <w:p w14:paraId="3718C918">
      <w:pPr>
        <w:adjustRightInd w:val="0"/>
        <w:snapToGrid w:val="0"/>
        <w:outlineLvl w:val="9"/>
        <w:rPr>
          <w:rFonts w:ascii="宋体" w:hAnsi="宋体"/>
          <w:szCs w:val="21"/>
          <w:highlight w:val="none"/>
        </w:rPr>
      </w:pPr>
    </w:p>
    <w:p w14:paraId="2FD25DBC">
      <w:pPr>
        <w:adjustRightInd w:val="0"/>
        <w:snapToGrid w:val="0"/>
        <w:spacing w:line="360" w:lineRule="auto"/>
        <w:outlineLvl w:val="9"/>
        <w:rPr>
          <w:rFonts w:ascii="宋体" w:hAnsi="宋体"/>
          <w:bCs/>
          <w:szCs w:val="21"/>
          <w:highlight w:val="none"/>
        </w:rPr>
      </w:pPr>
      <w:r>
        <w:rPr>
          <w:rFonts w:hint="eastAsia" w:ascii="宋体" w:hAnsi="宋体"/>
          <w:szCs w:val="21"/>
          <w:highlight w:val="none"/>
        </w:rPr>
        <w:t>供应商名称：</w:t>
      </w:r>
      <w:r>
        <w:rPr>
          <w:rFonts w:hint="eastAsia" w:ascii="宋体" w:hAnsi="宋体"/>
          <w:szCs w:val="21"/>
          <w:highlight w:val="none"/>
          <w:u w:val="single"/>
        </w:rPr>
        <w:t xml:space="preserve">                </w:t>
      </w:r>
    </w:p>
    <w:p w14:paraId="725C0BFC">
      <w:pPr>
        <w:adjustRightInd w:val="0"/>
        <w:snapToGrid w:val="0"/>
        <w:spacing w:line="360" w:lineRule="auto"/>
        <w:outlineLvl w:val="9"/>
        <w:rPr>
          <w:rFonts w:ascii="宋体" w:hAnsi="宋体"/>
          <w:szCs w:val="21"/>
          <w:highlight w:val="none"/>
        </w:rPr>
      </w:pPr>
      <w:r>
        <w:rPr>
          <w:rFonts w:hint="eastAsia" w:ascii="宋体" w:hAnsi="宋体"/>
          <w:szCs w:val="21"/>
          <w:highlight w:val="none"/>
        </w:rPr>
        <w:t>法定代表人或其委托代理人(签字)：</w:t>
      </w:r>
      <w:r>
        <w:rPr>
          <w:rFonts w:hint="eastAsia" w:ascii="宋体" w:hAnsi="宋体"/>
          <w:szCs w:val="21"/>
          <w:highlight w:val="none"/>
          <w:u w:val="single"/>
        </w:rPr>
        <w:t xml:space="preserve">              </w:t>
      </w:r>
      <w:r>
        <w:rPr>
          <w:rFonts w:hint="eastAsia" w:ascii="宋体" w:hAnsi="宋体"/>
          <w:szCs w:val="21"/>
          <w:highlight w:val="none"/>
        </w:rPr>
        <w:t>_</w:t>
      </w:r>
    </w:p>
    <w:p w14:paraId="1B2347CC">
      <w:pPr>
        <w:spacing w:line="360" w:lineRule="exact"/>
        <w:outlineLvl w:val="9"/>
        <w:rPr>
          <w:rFonts w:ascii="宋体"/>
          <w:highlight w:val="none"/>
        </w:rPr>
      </w:pPr>
      <w:r>
        <w:rPr>
          <w:rFonts w:hint="eastAsia" w:ascii="宋体" w:hAnsi="宋体"/>
          <w:szCs w:val="21"/>
          <w:highlight w:val="none"/>
        </w:rPr>
        <w:t xml:space="preserve">日期： </w:t>
      </w:r>
      <w:r>
        <w:rPr>
          <w:rFonts w:hint="eastAsia" w:ascii="宋体" w:hAnsi="宋体"/>
          <w:szCs w:val="21"/>
          <w:highlight w:val="none"/>
          <w:u w:val="single"/>
        </w:rPr>
        <w:t xml:space="preserve">     </w:t>
      </w:r>
      <w:r>
        <w:rPr>
          <w:rFonts w:hint="eastAsia" w:ascii="宋体" w:hAnsi="宋体"/>
          <w:szCs w:val="21"/>
          <w:highlight w:val="none"/>
        </w:rPr>
        <w:t xml:space="preserve"> 年 </w:t>
      </w:r>
      <w:r>
        <w:rPr>
          <w:rFonts w:hint="eastAsia" w:ascii="宋体" w:hAnsi="宋体"/>
          <w:szCs w:val="21"/>
          <w:highlight w:val="none"/>
          <w:u w:val="single"/>
        </w:rPr>
        <w:t xml:space="preserve">    </w:t>
      </w:r>
      <w:r>
        <w:rPr>
          <w:rFonts w:hint="eastAsia" w:ascii="宋体" w:hAnsi="宋体"/>
          <w:szCs w:val="21"/>
          <w:highlight w:val="none"/>
        </w:rPr>
        <w:t xml:space="preserve"> 月 </w:t>
      </w:r>
      <w:r>
        <w:rPr>
          <w:rFonts w:hint="eastAsia" w:ascii="宋体" w:hAnsi="宋体"/>
          <w:szCs w:val="21"/>
          <w:highlight w:val="none"/>
          <w:u w:val="single"/>
        </w:rPr>
        <w:t xml:space="preserve">   </w:t>
      </w:r>
      <w:r>
        <w:rPr>
          <w:rFonts w:hint="eastAsia" w:ascii="宋体" w:hAnsi="宋体"/>
          <w:szCs w:val="21"/>
          <w:highlight w:val="none"/>
        </w:rPr>
        <w:t xml:space="preserve"> 日</w:t>
      </w:r>
    </w:p>
    <w:p w14:paraId="656AFCCE">
      <w:pPr>
        <w:adjustRightInd w:val="0"/>
        <w:snapToGrid w:val="0"/>
        <w:spacing w:line="360" w:lineRule="auto"/>
        <w:rPr>
          <w:rFonts w:ascii="宋体" w:hAnsi="宋体"/>
          <w:szCs w:val="21"/>
          <w:highlight w:val="none"/>
        </w:rPr>
      </w:pPr>
    </w:p>
    <w:p w14:paraId="25379E18">
      <w:pPr>
        <w:adjustRightInd w:val="0"/>
        <w:snapToGrid w:val="0"/>
        <w:rPr>
          <w:rFonts w:ascii="宋体" w:hAnsi="宋体"/>
          <w:szCs w:val="21"/>
          <w:highlight w:val="none"/>
        </w:rPr>
      </w:pPr>
    </w:p>
    <w:p w14:paraId="67F488B3">
      <w:pPr>
        <w:adjustRightInd w:val="0"/>
        <w:snapToGrid w:val="0"/>
        <w:rPr>
          <w:rFonts w:ascii="宋体" w:hAnsi="宋体"/>
          <w:szCs w:val="21"/>
          <w:highlight w:val="none"/>
        </w:rPr>
      </w:pPr>
    </w:p>
    <w:p w14:paraId="53AFF9A7">
      <w:pPr>
        <w:adjustRightInd w:val="0"/>
        <w:snapToGrid w:val="0"/>
        <w:rPr>
          <w:rFonts w:ascii="宋体" w:hAnsi="宋体"/>
          <w:szCs w:val="21"/>
          <w:highlight w:val="none"/>
        </w:rPr>
      </w:pPr>
    </w:p>
    <w:p w14:paraId="6D0B4FD2">
      <w:pPr>
        <w:adjustRightInd w:val="0"/>
        <w:snapToGrid w:val="0"/>
        <w:rPr>
          <w:rFonts w:ascii="宋体" w:hAnsi="宋体"/>
          <w:szCs w:val="21"/>
          <w:highlight w:val="none"/>
        </w:rPr>
      </w:pPr>
    </w:p>
    <w:p w14:paraId="3373F1BB">
      <w:pPr>
        <w:adjustRightInd w:val="0"/>
        <w:snapToGrid w:val="0"/>
        <w:rPr>
          <w:rFonts w:ascii="宋体" w:hAnsi="宋体"/>
          <w:szCs w:val="21"/>
          <w:highlight w:val="none"/>
        </w:rPr>
      </w:pPr>
    </w:p>
    <w:p w14:paraId="0FBE95C8">
      <w:pPr>
        <w:adjustRightInd w:val="0"/>
        <w:snapToGrid w:val="0"/>
        <w:rPr>
          <w:rFonts w:ascii="宋体" w:hAnsi="宋体"/>
          <w:szCs w:val="21"/>
          <w:highlight w:val="none"/>
        </w:rPr>
      </w:pPr>
    </w:p>
    <w:p w14:paraId="0B2710C4">
      <w:pPr>
        <w:adjustRightInd w:val="0"/>
        <w:snapToGrid w:val="0"/>
        <w:rPr>
          <w:rFonts w:ascii="宋体" w:hAnsi="宋体"/>
          <w:szCs w:val="21"/>
          <w:highlight w:val="none"/>
        </w:rPr>
      </w:pPr>
    </w:p>
    <w:p w14:paraId="0A3508BD">
      <w:pPr>
        <w:adjustRightInd w:val="0"/>
        <w:snapToGrid w:val="0"/>
        <w:rPr>
          <w:rFonts w:ascii="宋体" w:hAnsi="宋体"/>
          <w:szCs w:val="21"/>
          <w:highlight w:val="none"/>
        </w:rPr>
      </w:pPr>
    </w:p>
    <w:p w14:paraId="1C428F55">
      <w:pPr>
        <w:adjustRightInd w:val="0"/>
        <w:snapToGrid w:val="0"/>
        <w:rPr>
          <w:rFonts w:ascii="宋体" w:hAnsi="宋体"/>
          <w:szCs w:val="21"/>
          <w:highlight w:val="none"/>
        </w:rPr>
      </w:pPr>
    </w:p>
    <w:p w14:paraId="7EE702CB">
      <w:pPr>
        <w:adjustRightInd w:val="0"/>
        <w:snapToGrid w:val="0"/>
        <w:rPr>
          <w:rFonts w:ascii="宋体" w:hAnsi="宋体"/>
          <w:szCs w:val="21"/>
          <w:highlight w:val="none"/>
        </w:rPr>
      </w:pPr>
    </w:p>
    <w:p w14:paraId="75AC5282">
      <w:pPr>
        <w:adjustRightInd w:val="0"/>
        <w:snapToGrid w:val="0"/>
        <w:rPr>
          <w:rFonts w:ascii="宋体" w:hAnsi="宋体"/>
          <w:szCs w:val="21"/>
          <w:highlight w:val="none"/>
        </w:rPr>
      </w:pPr>
    </w:p>
    <w:p w14:paraId="690F6250">
      <w:pPr>
        <w:adjustRightInd w:val="0"/>
        <w:snapToGrid w:val="0"/>
        <w:rPr>
          <w:rFonts w:ascii="宋体" w:hAnsi="宋体"/>
          <w:szCs w:val="21"/>
          <w:highlight w:val="none"/>
        </w:rPr>
      </w:pPr>
    </w:p>
    <w:p w14:paraId="6BA69CD0">
      <w:pPr>
        <w:adjustRightInd w:val="0"/>
        <w:snapToGrid w:val="0"/>
        <w:rPr>
          <w:rFonts w:ascii="宋体" w:hAnsi="宋体"/>
          <w:szCs w:val="21"/>
          <w:highlight w:val="none"/>
        </w:rPr>
      </w:pPr>
    </w:p>
    <w:p w14:paraId="41B034FD">
      <w:pPr>
        <w:adjustRightInd w:val="0"/>
        <w:snapToGrid w:val="0"/>
        <w:rPr>
          <w:rFonts w:ascii="宋体" w:hAnsi="宋体"/>
          <w:szCs w:val="21"/>
          <w:highlight w:val="none"/>
        </w:rPr>
      </w:pPr>
    </w:p>
    <w:p w14:paraId="22D8D734">
      <w:pPr>
        <w:adjustRightInd w:val="0"/>
        <w:snapToGrid w:val="0"/>
        <w:rPr>
          <w:rFonts w:ascii="宋体" w:hAnsi="宋体"/>
          <w:szCs w:val="21"/>
          <w:highlight w:val="none"/>
        </w:rPr>
      </w:pPr>
    </w:p>
    <w:p w14:paraId="34F622D9">
      <w:pPr>
        <w:adjustRightInd w:val="0"/>
        <w:snapToGrid w:val="0"/>
        <w:rPr>
          <w:rFonts w:ascii="宋体" w:hAnsi="宋体"/>
          <w:szCs w:val="21"/>
          <w:highlight w:val="none"/>
        </w:rPr>
      </w:pPr>
    </w:p>
    <w:p w14:paraId="3DBB3956">
      <w:pPr>
        <w:adjustRightInd w:val="0"/>
        <w:snapToGrid w:val="0"/>
        <w:rPr>
          <w:rFonts w:ascii="宋体" w:hAnsi="宋体"/>
          <w:szCs w:val="21"/>
          <w:highlight w:val="none"/>
        </w:rPr>
      </w:pPr>
    </w:p>
    <w:p w14:paraId="0591605A">
      <w:pPr>
        <w:adjustRightInd w:val="0"/>
        <w:snapToGrid w:val="0"/>
        <w:rPr>
          <w:rFonts w:ascii="宋体" w:hAnsi="宋体"/>
          <w:szCs w:val="21"/>
          <w:highlight w:val="none"/>
        </w:rPr>
      </w:pPr>
    </w:p>
    <w:p w14:paraId="04D02F19">
      <w:pPr>
        <w:adjustRightInd w:val="0"/>
        <w:snapToGrid w:val="0"/>
        <w:rPr>
          <w:rFonts w:ascii="宋体" w:hAnsi="宋体"/>
          <w:szCs w:val="21"/>
          <w:highlight w:val="none"/>
        </w:rPr>
      </w:pPr>
    </w:p>
    <w:p w14:paraId="306B9C6B">
      <w:pPr>
        <w:adjustRightInd w:val="0"/>
        <w:snapToGrid w:val="0"/>
        <w:rPr>
          <w:rFonts w:ascii="宋体" w:hAnsi="宋体"/>
          <w:szCs w:val="21"/>
          <w:highlight w:val="none"/>
        </w:rPr>
      </w:pPr>
    </w:p>
    <w:p w14:paraId="327F5FB5">
      <w:pPr>
        <w:adjustRightInd w:val="0"/>
        <w:snapToGrid w:val="0"/>
        <w:rPr>
          <w:rFonts w:ascii="宋体" w:hAnsi="宋体"/>
          <w:szCs w:val="21"/>
          <w:highlight w:val="none"/>
        </w:rPr>
      </w:pPr>
    </w:p>
    <w:p w14:paraId="736A9175">
      <w:pPr>
        <w:adjustRightInd w:val="0"/>
        <w:snapToGrid w:val="0"/>
        <w:rPr>
          <w:rFonts w:hint="eastAsia" w:ascii="黑体" w:eastAsia="黑体"/>
          <w:sz w:val="30"/>
          <w:szCs w:val="30"/>
          <w:highlight w:val="none"/>
        </w:rPr>
      </w:pPr>
      <w:r>
        <w:rPr>
          <w:rFonts w:hint="eastAsia" w:ascii="黑体" w:eastAsia="黑体"/>
          <w:sz w:val="30"/>
          <w:szCs w:val="30"/>
          <w:highlight w:val="none"/>
        </w:rPr>
        <w:br w:type="page"/>
      </w:r>
    </w:p>
    <w:p w14:paraId="34E8B53B">
      <w:pPr>
        <w:adjustRightInd w:val="0"/>
        <w:snapToGrid w:val="0"/>
        <w:rPr>
          <w:rFonts w:ascii="黑体" w:eastAsia="黑体"/>
          <w:sz w:val="30"/>
          <w:szCs w:val="30"/>
          <w:highlight w:val="none"/>
        </w:rPr>
      </w:pPr>
      <w:r>
        <w:rPr>
          <w:rFonts w:hint="eastAsia" w:ascii="黑体" w:eastAsia="黑体"/>
          <w:sz w:val="30"/>
          <w:szCs w:val="30"/>
          <w:highlight w:val="none"/>
        </w:rPr>
        <w:t>附件7-2：</w:t>
      </w:r>
    </w:p>
    <w:p w14:paraId="3D0397E9">
      <w:pPr>
        <w:adjustRightInd w:val="0"/>
        <w:snapToGrid w:val="0"/>
        <w:spacing w:line="360" w:lineRule="auto"/>
        <w:rPr>
          <w:rFonts w:ascii="宋体" w:hAnsi="宋体"/>
          <w:sz w:val="30"/>
          <w:szCs w:val="30"/>
          <w:highlight w:val="none"/>
        </w:rPr>
      </w:pPr>
    </w:p>
    <w:p w14:paraId="4B03C8CF">
      <w:pPr>
        <w:spacing w:line="360" w:lineRule="atLeast"/>
        <w:jc w:val="center"/>
        <w:outlineLvl w:val="2"/>
        <w:rPr>
          <w:rFonts w:ascii="黑体" w:eastAsia="黑体"/>
          <w:sz w:val="30"/>
          <w:szCs w:val="30"/>
          <w:highlight w:val="none"/>
        </w:rPr>
      </w:pPr>
      <w:r>
        <w:rPr>
          <w:rFonts w:hint="eastAsia" w:ascii="黑体" w:eastAsia="黑体"/>
          <w:sz w:val="30"/>
          <w:szCs w:val="30"/>
          <w:highlight w:val="none"/>
        </w:rPr>
        <w:t>主要人员简历表(</w:t>
      </w:r>
      <w:r>
        <w:rPr>
          <w:rFonts w:hint="eastAsia" w:ascii="黑体" w:hAnsi="宋体" w:eastAsia="黑体"/>
          <w:sz w:val="30"/>
          <w:szCs w:val="30"/>
          <w:highlight w:val="none"/>
        </w:rPr>
        <w:t>服务类适用</w:t>
      </w:r>
      <w:r>
        <w:rPr>
          <w:rFonts w:hint="eastAsia" w:ascii="黑体" w:eastAsia="黑体"/>
          <w:sz w:val="30"/>
          <w:szCs w:val="30"/>
          <w:highlight w:val="none"/>
        </w:rPr>
        <w:t>)</w:t>
      </w:r>
    </w:p>
    <w:p w14:paraId="5A5138AF">
      <w:pPr>
        <w:spacing w:line="360" w:lineRule="atLeast"/>
        <w:jc w:val="center"/>
        <w:outlineLvl w:val="9"/>
        <w:rPr>
          <w:rFonts w:ascii="宋体"/>
          <w:sz w:val="28"/>
          <w:szCs w:val="28"/>
          <w:highlight w:val="none"/>
        </w:rPr>
      </w:pPr>
    </w:p>
    <w:tbl>
      <w:tblPr>
        <w:tblStyle w:val="21"/>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1EEB67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vAlign w:val="center"/>
          </w:tcPr>
          <w:p w14:paraId="636596F2">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r>
              <w:rPr>
                <w:rFonts w:hint="eastAsia" w:ascii="宋体"/>
                <w:highlight w:val="none"/>
              </w:rPr>
              <w:t>姓</w:t>
            </w:r>
            <w:r>
              <w:rPr>
                <w:rFonts w:hint="default" w:ascii="宋体"/>
                <w:highlight w:val="none"/>
              </w:rPr>
              <w:t xml:space="preserve">   </w:t>
            </w:r>
            <w:r>
              <w:rPr>
                <w:rFonts w:hint="eastAsia" w:ascii="宋体"/>
                <w:highlight w:val="none"/>
              </w:rPr>
              <w:t>名</w:t>
            </w:r>
          </w:p>
        </w:tc>
        <w:tc>
          <w:tcPr>
            <w:tcW w:w="2468" w:type="dxa"/>
            <w:vAlign w:val="center"/>
          </w:tcPr>
          <w:p w14:paraId="4184F926">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2340" w:type="dxa"/>
            <w:gridSpan w:val="3"/>
            <w:vAlign w:val="center"/>
          </w:tcPr>
          <w:p w14:paraId="6A2F0EC0">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r>
              <w:rPr>
                <w:rFonts w:hint="eastAsia" w:ascii="宋体"/>
                <w:highlight w:val="none"/>
              </w:rPr>
              <w:t>性</w:t>
            </w:r>
            <w:r>
              <w:rPr>
                <w:rFonts w:hint="default" w:ascii="宋体"/>
                <w:highlight w:val="none"/>
              </w:rPr>
              <w:t xml:space="preserve">  </w:t>
            </w:r>
            <w:r>
              <w:rPr>
                <w:rFonts w:hint="eastAsia" w:ascii="宋体"/>
                <w:highlight w:val="none"/>
              </w:rPr>
              <w:t>别</w:t>
            </w:r>
          </w:p>
        </w:tc>
        <w:tc>
          <w:tcPr>
            <w:tcW w:w="1663" w:type="dxa"/>
            <w:vAlign w:val="center"/>
          </w:tcPr>
          <w:p w14:paraId="62CD5FCA">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r>
      <w:tr w14:paraId="03489A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vAlign w:val="center"/>
          </w:tcPr>
          <w:p w14:paraId="3FF81614">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r>
              <w:rPr>
                <w:rFonts w:hint="eastAsia" w:ascii="宋体"/>
                <w:highlight w:val="none"/>
              </w:rPr>
              <w:t>职</w:t>
            </w:r>
            <w:r>
              <w:rPr>
                <w:rFonts w:hint="default" w:ascii="宋体"/>
                <w:highlight w:val="none"/>
              </w:rPr>
              <w:t xml:space="preserve">   </w:t>
            </w:r>
            <w:r>
              <w:rPr>
                <w:rFonts w:hint="eastAsia" w:ascii="宋体"/>
                <w:highlight w:val="none"/>
              </w:rPr>
              <w:t>务</w:t>
            </w:r>
          </w:p>
        </w:tc>
        <w:tc>
          <w:tcPr>
            <w:tcW w:w="2468" w:type="dxa"/>
            <w:vAlign w:val="center"/>
          </w:tcPr>
          <w:p w14:paraId="27BF7C4C">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2340" w:type="dxa"/>
            <w:gridSpan w:val="3"/>
            <w:vAlign w:val="center"/>
          </w:tcPr>
          <w:p w14:paraId="3F3BC08C">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r>
              <w:rPr>
                <w:rFonts w:hint="eastAsia" w:ascii="宋体"/>
                <w:highlight w:val="none"/>
              </w:rPr>
              <w:t>职</w:t>
            </w:r>
            <w:r>
              <w:rPr>
                <w:rFonts w:hint="default" w:ascii="宋体"/>
                <w:highlight w:val="none"/>
              </w:rPr>
              <w:t xml:space="preserve">  </w:t>
            </w:r>
            <w:r>
              <w:rPr>
                <w:rFonts w:hint="eastAsia" w:ascii="宋体"/>
                <w:highlight w:val="none"/>
              </w:rPr>
              <w:t>称</w:t>
            </w:r>
          </w:p>
        </w:tc>
        <w:tc>
          <w:tcPr>
            <w:tcW w:w="1663" w:type="dxa"/>
            <w:vAlign w:val="center"/>
          </w:tcPr>
          <w:p w14:paraId="2838EAB5">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r>
      <w:tr w14:paraId="1148F5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vAlign w:val="center"/>
          </w:tcPr>
          <w:p w14:paraId="215C7915">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r>
              <w:rPr>
                <w:rFonts w:hint="eastAsia" w:ascii="宋体"/>
                <w:highlight w:val="none"/>
              </w:rPr>
              <w:t>毕业学校、专业</w:t>
            </w:r>
          </w:p>
        </w:tc>
        <w:tc>
          <w:tcPr>
            <w:tcW w:w="6471" w:type="dxa"/>
            <w:gridSpan w:val="5"/>
            <w:vAlign w:val="center"/>
          </w:tcPr>
          <w:p w14:paraId="046E2173">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r>
      <w:tr w14:paraId="2AE4A2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54588073">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r>
              <w:rPr>
                <w:rFonts w:hint="eastAsia" w:ascii="宋体"/>
                <w:highlight w:val="none"/>
              </w:rPr>
              <w:t>身份证号</w:t>
            </w:r>
          </w:p>
        </w:tc>
        <w:tc>
          <w:tcPr>
            <w:tcW w:w="2468" w:type="dxa"/>
            <w:vAlign w:val="center"/>
          </w:tcPr>
          <w:p w14:paraId="75167FBA">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2340" w:type="dxa"/>
            <w:gridSpan w:val="3"/>
            <w:vAlign w:val="center"/>
          </w:tcPr>
          <w:p w14:paraId="12DB5782">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r>
              <w:rPr>
                <w:rFonts w:hint="eastAsia" w:ascii="宋体"/>
                <w:highlight w:val="none"/>
              </w:rPr>
              <w:t>拟在本合同任职</w:t>
            </w:r>
          </w:p>
        </w:tc>
        <w:tc>
          <w:tcPr>
            <w:tcW w:w="1663" w:type="dxa"/>
            <w:vAlign w:val="center"/>
          </w:tcPr>
          <w:p w14:paraId="0CCDF890">
            <w:pPr>
              <w:keepNext w:val="0"/>
              <w:keepLines w:val="0"/>
              <w:suppressLineNumbers w:val="0"/>
              <w:spacing w:before="0" w:beforeAutospacing="0" w:after="0" w:afterAutospacing="0" w:line="360" w:lineRule="atLeast"/>
              <w:ind w:left="0" w:right="-105" w:rightChars="-50"/>
              <w:jc w:val="center"/>
              <w:outlineLvl w:val="9"/>
              <w:rPr>
                <w:rFonts w:hint="default" w:ascii="宋体"/>
                <w:highlight w:val="none"/>
              </w:rPr>
            </w:pPr>
          </w:p>
        </w:tc>
      </w:tr>
      <w:tr w14:paraId="3615A1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3EEE47D5">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r>
              <w:rPr>
                <w:rFonts w:hint="eastAsia" w:ascii="宋体"/>
                <w:highlight w:val="none"/>
              </w:rPr>
              <w:t>执业资格证</w:t>
            </w:r>
          </w:p>
        </w:tc>
        <w:tc>
          <w:tcPr>
            <w:tcW w:w="2468" w:type="dxa"/>
            <w:vAlign w:val="center"/>
          </w:tcPr>
          <w:p w14:paraId="16BFAFEB">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2340" w:type="dxa"/>
            <w:gridSpan w:val="3"/>
            <w:vAlign w:val="center"/>
          </w:tcPr>
          <w:p w14:paraId="7A11BBE9">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r>
              <w:rPr>
                <w:rFonts w:hint="eastAsia" w:ascii="宋体"/>
                <w:highlight w:val="none"/>
              </w:rPr>
              <w:t>执业资格证书号</w:t>
            </w:r>
          </w:p>
        </w:tc>
        <w:tc>
          <w:tcPr>
            <w:tcW w:w="1663" w:type="dxa"/>
            <w:vAlign w:val="center"/>
          </w:tcPr>
          <w:p w14:paraId="20456894">
            <w:pPr>
              <w:keepNext w:val="0"/>
              <w:keepLines w:val="0"/>
              <w:suppressLineNumbers w:val="0"/>
              <w:spacing w:before="0" w:beforeAutospacing="0" w:after="0" w:afterAutospacing="0"/>
              <w:ind w:left="0" w:right="0"/>
              <w:outlineLvl w:val="9"/>
              <w:rPr>
                <w:rFonts w:hint="default" w:ascii="宋体"/>
                <w:highlight w:val="none"/>
              </w:rPr>
            </w:pPr>
          </w:p>
        </w:tc>
      </w:tr>
      <w:tr w14:paraId="0F328E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vAlign w:val="center"/>
          </w:tcPr>
          <w:p w14:paraId="3DDCB44E">
            <w:pPr>
              <w:keepNext w:val="0"/>
              <w:keepLines w:val="0"/>
              <w:suppressLineNumbers w:val="0"/>
              <w:spacing w:before="0" w:beforeAutospacing="0" w:after="0" w:afterAutospacing="0" w:line="360" w:lineRule="atLeast"/>
              <w:ind w:left="0" w:right="0"/>
              <w:outlineLvl w:val="9"/>
              <w:rPr>
                <w:rFonts w:hint="default" w:ascii="宋体"/>
                <w:highlight w:val="none"/>
              </w:rPr>
            </w:pPr>
            <w:r>
              <w:rPr>
                <w:rFonts w:hint="eastAsia" w:ascii="宋体"/>
                <w:highlight w:val="none"/>
              </w:rPr>
              <w:t>近三年承担项目情况</w:t>
            </w:r>
          </w:p>
        </w:tc>
      </w:tr>
      <w:tr w14:paraId="754D6D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1E8CC729">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r>
              <w:rPr>
                <w:rFonts w:hint="eastAsia" w:ascii="宋体"/>
                <w:highlight w:val="none"/>
              </w:rPr>
              <w:t>时间</w:t>
            </w:r>
          </w:p>
        </w:tc>
        <w:tc>
          <w:tcPr>
            <w:tcW w:w="3636" w:type="dxa"/>
            <w:gridSpan w:val="3"/>
            <w:vAlign w:val="center"/>
          </w:tcPr>
          <w:p w14:paraId="25696979">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r>
              <w:rPr>
                <w:rFonts w:hint="eastAsia" w:ascii="宋体"/>
                <w:highlight w:val="none"/>
              </w:rPr>
              <w:t>类似项目名称</w:t>
            </w:r>
          </w:p>
        </w:tc>
        <w:tc>
          <w:tcPr>
            <w:tcW w:w="1404" w:type="dxa"/>
            <w:vAlign w:val="center"/>
          </w:tcPr>
          <w:p w14:paraId="21DA6C02">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r>
              <w:rPr>
                <w:rFonts w:hint="eastAsia" w:ascii="宋体"/>
                <w:highlight w:val="none"/>
              </w:rPr>
              <w:t>担任职务</w:t>
            </w:r>
          </w:p>
        </w:tc>
        <w:tc>
          <w:tcPr>
            <w:tcW w:w="2203" w:type="dxa"/>
            <w:gridSpan w:val="2"/>
            <w:vAlign w:val="center"/>
          </w:tcPr>
          <w:p w14:paraId="75D8A010">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r>
              <w:rPr>
                <w:rFonts w:hint="eastAsia" w:ascii="宋体"/>
                <w:highlight w:val="none"/>
              </w:rPr>
              <w:t>项目单位名称及电话</w:t>
            </w:r>
          </w:p>
        </w:tc>
      </w:tr>
      <w:tr w14:paraId="6FCDEA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BF1938C">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3636" w:type="dxa"/>
            <w:gridSpan w:val="3"/>
            <w:vAlign w:val="center"/>
          </w:tcPr>
          <w:p w14:paraId="74BDE62D">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1404" w:type="dxa"/>
            <w:vAlign w:val="center"/>
          </w:tcPr>
          <w:p w14:paraId="0011787B">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2203" w:type="dxa"/>
            <w:gridSpan w:val="2"/>
            <w:vAlign w:val="center"/>
          </w:tcPr>
          <w:p w14:paraId="2643B05E">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r>
      <w:tr w14:paraId="2335A0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05AA569">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3636" w:type="dxa"/>
            <w:gridSpan w:val="3"/>
            <w:vAlign w:val="center"/>
          </w:tcPr>
          <w:p w14:paraId="5C1C1F7A">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1404" w:type="dxa"/>
            <w:vAlign w:val="center"/>
          </w:tcPr>
          <w:p w14:paraId="23768E76">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2203" w:type="dxa"/>
            <w:gridSpan w:val="2"/>
            <w:vAlign w:val="center"/>
          </w:tcPr>
          <w:p w14:paraId="3629A1E8">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r>
      <w:tr w14:paraId="6C679C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37583997">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3636" w:type="dxa"/>
            <w:gridSpan w:val="3"/>
            <w:vAlign w:val="center"/>
          </w:tcPr>
          <w:p w14:paraId="679386C0">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1404" w:type="dxa"/>
            <w:vAlign w:val="center"/>
          </w:tcPr>
          <w:p w14:paraId="7576A07C">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2203" w:type="dxa"/>
            <w:gridSpan w:val="2"/>
            <w:vAlign w:val="center"/>
          </w:tcPr>
          <w:p w14:paraId="5AEB4837">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r>
      <w:tr w14:paraId="2DA0D4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F985879">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3636" w:type="dxa"/>
            <w:gridSpan w:val="3"/>
            <w:vAlign w:val="center"/>
          </w:tcPr>
          <w:p w14:paraId="44E85BEB">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1404" w:type="dxa"/>
            <w:vAlign w:val="center"/>
          </w:tcPr>
          <w:p w14:paraId="58251582">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2203" w:type="dxa"/>
            <w:gridSpan w:val="2"/>
            <w:vAlign w:val="center"/>
          </w:tcPr>
          <w:p w14:paraId="231A8968">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r>
      <w:tr w14:paraId="65F1D2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7D9326F">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3636" w:type="dxa"/>
            <w:gridSpan w:val="3"/>
            <w:vAlign w:val="center"/>
          </w:tcPr>
          <w:p w14:paraId="40079066">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1404" w:type="dxa"/>
            <w:vAlign w:val="center"/>
          </w:tcPr>
          <w:p w14:paraId="38E9521F">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2203" w:type="dxa"/>
            <w:gridSpan w:val="2"/>
            <w:vAlign w:val="center"/>
          </w:tcPr>
          <w:p w14:paraId="14225AE4">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r>
      <w:tr w14:paraId="25E6AE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2EECD08E">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3636" w:type="dxa"/>
            <w:gridSpan w:val="3"/>
            <w:vAlign w:val="center"/>
          </w:tcPr>
          <w:p w14:paraId="0D6BC507">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1404" w:type="dxa"/>
            <w:vAlign w:val="center"/>
          </w:tcPr>
          <w:p w14:paraId="521C8683">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2203" w:type="dxa"/>
            <w:gridSpan w:val="2"/>
            <w:vAlign w:val="center"/>
          </w:tcPr>
          <w:p w14:paraId="08FA83E6">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r>
      <w:tr w14:paraId="0E5CEB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260DD81">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3636" w:type="dxa"/>
            <w:gridSpan w:val="3"/>
            <w:vAlign w:val="center"/>
          </w:tcPr>
          <w:p w14:paraId="19CEA286">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1404" w:type="dxa"/>
            <w:vAlign w:val="center"/>
          </w:tcPr>
          <w:p w14:paraId="4F144E44">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2203" w:type="dxa"/>
            <w:gridSpan w:val="2"/>
            <w:vAlign w:val="center"/>
          </w:tcPr>
          <w:p w14:paraId="2CC81FAF">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r>
      <w:tr w14:paraId="3697EC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615B6111">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3636" w:type="dxa"/>
            <w:gridSpan w:val="3"/>
            <w:vAlign w:val="center"/>
          </w:tcPr>
          <w:p w14:paraId="3902E96D">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1404" w:type="dxa"/>
            <w:vAlign w:val="center"/>
          </w:tcPr>
          <w:p w14:paraId="496DADA9">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2203" w:type="dxa"/>
            <w:gridSpan w:val="2"/>
            <w:vAlign w:val="center"/>
          </w:tcPr>
          <w:p w14:paraId="618B4FEB">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r>
      <w:tr w14:paraId="449159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094FEE2C">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3636" w:type="dxa"/>
            <w:gridSpan w:val="3"/>
            <w:vAlign w:val="center"/>
          </w:tcPr>
          <w:p w14:paraId="450E22C0">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1404" w:type="dxa"/>
            <w:vAlign w:val="center"/>
          </w:tcPr>
          <w:p w14:paraId="6542B239">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c>
          <w:tcPr>
            <w:tcW w:w="2203" w:type="dxa"/>
            <w:gridSpan w:val="2"/>
            <w:vAlign w:val="center"/>
          </w:tcPr>
          <w:p w14:paraId="5513FA4B">
            <w:pPr>
              <w:keepNext w:val="0"/>
              <w:keepLines w:val="0"/>
              <w:suppressLineNumbers w:val="0"/>
              <w:spacing w:before="0" w:beforeAutospacing="0" w:after="0" w:afterAutospacing="0" w:line="360" w:lineRule="atLeast"/>
              <w:ind w:left="0" w:right="0"/>
              <w:jc w:val="center"/>
              <w:outlineLvl w:val="9"/>
              <w:rPr>
                <w:rFonts w:hint="default" w:ascii="宋体"/>
                <w:highlight w:val="none"/>
              </w:rPr>
            </w:pPr>
          </w:p>
        </w:tc>
      </w:tr>
    </w:tbl>
    <w:p w14:paraId="5D5DA1E1">
      <w:pPr>
        <w:spacing w:line="360" w:lineRule="atLeast"/>
        <w:outlineLvl w:val="9"/>
        <w:rPr>
          <w:rFonts w:ascii="宋体" w:hAnsi="宋体" w:cs="宋体"/>
          <w:highlight w:val="none"/>
        </w:rPr>
      </w:pPr>
      <w:r>
        <w:rPr>
          <w:rFonts w:hint="eastAsia" w:ascii="宋体" w:hAnsi="宋体" w:cs="宋体"/>
          <w:szCs w:val="21"/>
          <w:highlight w:val="none"/>
        </w:rPr>
        <w:t>说明</w:t>
      </w:r>
      <w:r>
        <w:rPr>
          <w:rFonts w:hint="eastAsia" w:ascii="宋体" w:hAnsi="宋体" w:cs="宋体"/>
          <w:highlight w:val="none"/>
        </w:rPr>
        <w:t>：</w:t>
      </w:r>
      <w:r>
        <w:rPr>
          <w:rFonts w:hint="eastAsia" w:ascii="宋体" w:hAnsi="宋体" w:cs="宋体"/>
          <w:szCs w:val="21"/>
          <w:highlight w:val="none"/>
        </w:rPr>
        <w:t>主要人员证书、</w:t>
      </w:r>
      <w:r>
        <w:rPr>
          <w:rFonts w:hint="eastAsia" w:ascii="宋体" w:hAnsi="宋体" w:cs="宋体"/>
          <w:highlight w:val="none"/>
        </w:rPr>
        <w:t>类似项目证明资料等按第二章第42.1款或第四章要求提供。</w:t>
      </w:r>
    </w:p>
    <w:p w14:paraId="381C5DFE">
      <w:pPr>
        <w:outlineLvl w:val="9"/>
        <w:rPr>
          <w:rFonts w:ascii="宋体" w:hAnsi="宋体"/>
          <w:szCs w:val="21"/>
          <w:highlight w:val="none"/>
        </w:rPr>
      </w:pPr>
    </w:p>
    <w:p w14:paraId="22489E52">
      <w:pPr>
        <w:adjustRightInd w:val="0"/>
        <w:snapToGrid w:val="0"/>
        <w:spacing w:line="360" w:lineRule="auto"/>
        <w:outlineLvl w:val="9"/>
        <w:rPr>
          <w:rFonts w:ascii="宋体" w:hAnsi="宋体"/>
          <w:bCs/>
          <w:szCs w:val="21"/>
          <w:highlight w:val="none"/>
        </w:rPr>
      </w:pPr>
      <w:r>
        <w:rPr>
          <w:rFonts w:hint="eastAsia" w:ascii="宋体" w:hAnsi="宋体"/>
          <w:szCs w:val="21"/>
          <w:highlight w:val="none"/>
        </w:rPr>
        <w:t>供应商名称：</w:t>
      </w:r>
      <w:r>
        <w:rPr>
          <w:rFonts w:hint="eastAsia" w:ascii="宋体" w:hAnsi="宋体"/>
          <w:szCs w:val="21"/>
          <w:highlight w:val="none"/>
          <w:u w:val="single"/>
        </w:rPr>
        <w:t xml:space="preserve">                </w:t>
      </w:r>
    </w:p>
    <w:p w14:paraId="5206421F">
      <w:pPr>
        <w:adjustRightInd w:val="0"/>
        <w:snapToGrid w:val="0"/>
        <w:spacing w:line="360" w:lineRule="auto"/>
        <w:outlineLvl w:val="9"/>
        <w:rPr>
          <w:rFonts w:ascii="宋体" w:hAnsi="宋体"/>
          <w:szCs w:val="21"/>
          <w:highlight w:val="none"/>
        </w:rPr>
      </w:pPr>
      <w:r>
        <w:rPr>
          <w:rFonts w:hint="eastAsia" w:ascii="宋体" w:hAnsi="宋体"/>
          <w:szCs w:val="21"/>
          <w:highlight w:val="none"/>
        </w:rPr>
        <w:t>法定代表人或其委托代理人(签字)：</w:t>
      </w:r>
      <w:r>
        <w:rPr>
          <w:rFonts w:hint="eastAsia" w:ascii="宋体" w:hAnsi="宋体"/>
          <w:szCs w:val="21"/>
          <w:highlight w:val="none"/>
          <w:u w:val="single"/>
        </w:rPr>
        <w:t xml:space="preserve">              </w:t>
      </w:r>
      <w:r>
        <w:rPr>
          <w:rFonts w:hint="eastAsia" w:ascii="宋体" w:hAnsi="宋体"/>
          <w:szCs w:val="21"/>
          <w:highlight w:val="none"/>
        </w:rPr>
        <w:t>_</w:t>
      </w:r>
    </w:p>
    <w:p w14:paraId="28E0AACB">
      <w:pPr>
        <w:spacing w:line="360" w:lineRule="exact"/>
        <w:outlineLvl w:val="9"/>
        <w:rPr>
          <w:rFonts w:ascii="宋体"/>
          <w:highlight w:val="none"/>
        </w:rPr>
      </w:pPr>
      <w:r>
        <w:rPr>
          <w:rFonts w:hint="eastAsia" w:ascii="宋体" w:hAnsi="宋体"/>
          <w:szCs w:val="21"/>
          <w:highlight w:val="none"/>
        </w:rPr>
        <w:t xml:space="preserve">日期： </w:t>
      </w:r>
      <w:r>
        <w:rPr>
          <w:rFonts w:hint="eastAsia" w:ascii="宋体" w:hAnsi="宋体"/>
          <w:szCs w:val="21"/>
          <w:highlight w:val="none"/>
          <w:u w:val="single"/>
        </w:rPr>
        <w:t xml:space="preserve">     </w:t>
      </w:r>
      <w:r>
        <w:rPr>
          <w:rFonts w:hint="eastAsia" w:ascii="宋体" w:hAnsi="宋体"/>
          <w:szCs w:val="21"/>
          <w:highlight w:val="none"/>
        </w:rPr>
        <w:t xml:space="preserve"> 年 </w:t>
      </w:r>
      <w:r>
        <w:rPr>
          <w:rFonts w:hint="eastAsia" w:ascii="宋体" w:hAnsi="宋体"/>
          <w:szCs w:val="21"/>
          <w:highlight w:val="none"/>
          <w:u w:val="single"/>
        </w:rPr>
        <w:t xml:space="preserve">    </w:t>
      </w:r>
      <w:r>
        <w:rPr>
          <w:rFonts w:hint="eastAsia" w:ascii="宋体" w:hAnsi="宋体"/>
          <w:szCs w:val="21"/>
          <w:highlight w:val="none"/>
        </w:rPr>
        <w:t xml:space="preserve"> 月 </w:t>
      </w:r>
      <w:r>
        <w:rPr>
          <w:rFonts w:hint="eastAsia" w:ascii="宋体" w:hAnsi="宋体"/>
          <w:szCs w:val="21"/>
          <w:highlight w:val="none"/>
          <w:u w:val="single"/>
        </w:rPr>
        <w:t xml:space="preserve">   </w:t>
      </w:r>
      <w:r>
        <w:rPr>
          <w:rFonts w:hint="eastAsia" w:ascii="宋体" w:hAnsi="宋体"/>
          <w:szCs w:val="21"/>
          <w:highlight w:val="none"/>
        </w:rPr>
        <w:t xml:space="preserve"> 日</w:t>
      </w:r>
    </w:p>
    <w:p w14:paraId="66DDDADD">
      <w:pPr>
        <w:rPr>
          <w:rFonts w:hint="eastAsia" w:ascii="黑体" w:eastAsia="黑体"/>
          <w:b/>
          <w:sz w:val="30"/>
          <w:szCs w:val="30"/>
          <w:highlight w:val="none"/>
        </w:rPr>
      </w:pPr>
      <w:r>
        <w:rPr>
          <w:rFonts w:hint="eastAsia" w:ascii="黑体" w:eastAsia="黑体"/>
          <w:b/>
          <w:sz w:val="30"/>
          <w:szCs w:val="30"/>
          <w:highlight w:val="none"/>
        </w:rPr>
        <w:br w:type="page"/>
      </w:r>
    </w:p>
    <w:p w14:paraId="54DB320C">
      <w:pPr>
        <w:keepNext w:val="0"/>
        <w:keepLines w:val="0"/>
        <w:widowControl/>
        <w:suppressLineNumbers w:val="0"/>
        <w:spacing w:before="0" w:beforeAutospacing="0" w:after="0" w:afterAutospacing="0"/>
        <w:ind w:left="0" w:right="0"/>
        <w:jc w:val="left"/>
        <w:outlineLvl w:val="1"/>
        <w:rPr>
          <w:rFonts w:hint="eastAsia" w:ascii="宋体" w:hAnsi="宋体" w:eastAsia="宋体" w:cs="仿宋"/>
          <w:kern w:val="0"/>
          <w:sz w:val="24"/>
          <w:szCs w:val="24"/>
          <w:highlight w:val="none"/>
          <w:lang w:eastAsia="zh-CN"/>
        </w:rPr>
      </w:pPr>
      <w:bookmarkStart w:id="128" w:name="_Toc83249527"/>
      <w:r>
        <w:rPr>
          <w:rFonts w:hint="eastAsia" w:ascii="宋体" w:hAnsi="宋体" w:eastAsia="宋体" w:cs="仿宋"/>
          <w:b/>
          <w:bCs w:val="0"/>
          <w:kern w:val="0"/>
          <w:sz w:val="32"/>
          <w:szCs w:val="24"/>
          <w:highlight w:val="none"/>
          <w:lang w:val="en-US" w:eastAsia="zh-CN"/>
        </w:rPr>
        <w:t>六、享受政府采购政策优惠的证明资料和清单表</w:t>
      </w:r>
      <w:bookmarkEnd w:id="128"/>
    </w:p>
    <w:p w14:paraId="5BDBDF2A">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bCs/>
          <w:spacing w:val="6"/>
          <w:kern w:val="0"/>
          <w:sz w:val="24"/>
          <w:szCs w:val="21"/>
          <w:highlight w:val="none"/>
          <w:lang w:val="en-US"/>
        </w:rPr>
      </w:pPr>
    </w:p>
    <w:p w14:paraId="438823CD">
      <w:pPr>
        <w:keepNext w:val="0"/>
        <w:keepLines w:val="0"/>
        <w:widowControl w:val="0"/>
        <w:suppressLineNumbers w:val="0"/>
        <w:adjustRightInd w:val="0"/>
        <w:snapToGrid w:val="0"/>
        <w:spacing w:before="0" w:beforeAutospacing="0" w:after="0" w:afterAutospacing="0" w:line="360" w:lineRule="auto"/>
        <w:ind w:left="0" w:right="0" w:firstLine="504" w:firstLineChars="200"/>
        <w:jc w:val="both"/>
        <w:outlineLvl w:val="9"/>
        <w:rPr>
          <w:rFonts w:hint="eastAsia" w:ascii="宋体" w:hAnsi="宋体" w:eastAsia="宋体" w:cs="仿宋"/>
          <w:bCs/>
          <w:spacing w:val="6"/>
          <w:kern w:val="0"/>
          <w:sz w:val="24"/>
          <w:szCs w:val="21"/>
          <w:highlight w:val="none"/>
          <w:lang w:val="en-US"/>
        </w:rPr>
      </w:pPr>
      <w:r>
        <w:rPr>
          <w:rFonts w:hint="eastAsia" w:ascii="宋体" w:hAnsi="宋体" w:eastAsia="宋体" w:cs="仿宋"/>
          <w:bCs/>
          <w:spacing w:val="6"/>
          <w:kern w:val="0"/>
          <w:sz w:val="24"/>
          <w:szCs w:val="21"/>
          <w:highlight w:val="none"/>
          <w:lang w:val="en-US" w:eastAsia="zh-CN"/>
        </w:rPr>
        <w:t>备注：</w:t>
      </w:r>
      <w:r>
        <w:rPr>
          <w:rFonts w:hint="eastAsia" w:ascii="宋体" w:hAnsi="宋体" w:cs="仿宋"/>
          <w:bCs/>
          <w:spacing w:val="6"/>
          <w:kern w:val="0"/>
          <w:sz w:val="24"/>
          <w:szCs w:val="21"/>
          <w:highlight w:val="none"/>
          <w:lang w:val="en-US" w:eastAsia="zh-CN"/>
        </w:rPr>
        <w:t>供应商</w:t>
      </w:r>
      <w:r>
        <w:rPr>
          <w:rFonts w:hint="eastAsia" w:ascii="宋体" w:hAnsi="宋体" w:eastAsia="宋体" w:cs="仿宋"/>
          <w:bCs/>
          <w:spacing w:val="6"/>
          <w:kern w:val="0"/>
          <w:sz w:val="24"/>
          <w:szCs w:val="21"/>
          <w:highlight w:val="none"/>
          <w:lang w:val="en-US" w:eastAsia="zh-CN"/>
        </w:rPr>
        <w:t>符合第二章第36条要求的，应提供下列资料，填写相关数据。</w:t>
      </w:r>
    </w:p>
    <w:p w14:paraId="5B497D36">
      <w:pPr>
        <w:keepNext w:val="0"/>
        <w:keepLines w:val="0"/>
        <w:widowControl w:val="0"/>
        <w:suppressLineNumbers w:val="0"/>
        <w:adjustRightInd w:val="0"/>
        <w:snapToGrid w:val="0"/>
        <w:spacing w:before="0" w:beforeAutospacing="0" w:after="0" w:afterAutospacing="0" w:line="360" w:lineRule="auto"/>
        <w:ind w:left="0" w:right="0" w:firstLine="504" w:firstLineChars="200"/>
        <w:jc w:val="both"/>
        <w:outlineLvl w:val="9"/>
        <w:rPr>
          <w:rFonts w:hint="eastAsia" w:ascii="宋体" w:hAnsi="宋体" w:eastAsia="宋体" w:cs="仿宋"/>
          <w:bCs/>
          <w:spacing w:val="6"/>
          <w:kern w:val="0"/>
          <w:sz w:val="24"/>
          <w:szCs w:val="21"/>
          <w:highlight w:val="none"/>
          <w:lang w:val="en-US"/>
        </w:rPr>
      </w:pPr>
    </w:p>
    <w:p w14:paraId="7EA335BD">
      <w:pPr>
        <w:keepNext w:val="0"/>
        <w:keepLines w:val="0"/>
        <w:widowControl w:val="0"/>
        <w:suppressLineNumbers w:val="0"/>
        <w:adjustRightInd w:val="0"/>
        <w:snapToGrid w:val="0"/>
        <w:spacing w:before="0" w:beforeAutospacing="0" w:after="0" w:afterAutospacing="0" w:line="360" w:lineRule="auto"/>
        <w:ind w:left="0" w:right="0"/>
        <w:jc w:val="both"/>
        <w:outlineLvl w:val="9"/>
        <w:rPr>
          <w:rFonts w:hint="eastAsia" w:ascii="宋体" w:hAnsi="宋体" w:eastAsia="宋体" w:cs="仿宋"/>
          <w:bCs/>
          <w:spacing w:val="6"/>
          <w:kern w:val="0"/>
          <w:sz w:val="24"/>
          <w:szCs w:val="21"/>
          <w:highlight w:val="none"/>
          <w:lang w:val="en-US"/>
        </w:rPr>
      </w:pPr>
      <w:r>
        <w:rPr>
          <w:rFonts w:hint="eastAsia" w:ascii="宋体" w:hAnsi="宋体" w:eastAsia="宋体" w:cs="仿宋"/>
          <w:bCs/>
          <w:spacing w:val="6"/>
          <w:kern w:val="0"/>
          <w:sz w:val="24"/>
          <w:szCs w:val="21"/>
          <w:highlight w:val="none"/>
          <w:lang w:val="en-US" w:eastAsia="zh-CN"/>
        </w:rPr>
        <w:t xml:space="preserve">附页6-1 </w:t>
      </w:r>
    </w:p>
    <w:p w14:paraId="2ED8CBD3">
      <w:pPr>
        <w:keepNext w:val="0"/>
        <w:keepLines w:val="0"/>
        <w:widowControl w:val="0"/>
        <w:suppressLineNumbers w:val="0"/>
        <w:adjustRightInd w:val="0"/>
        <w:snapToGrid w:val="0"/>
        <w:spacing w:before="0" w:beforeAutospacing="0" w:after="0" w:afterAutospacing="0" w:line="360" w:lineRule="auto"/>
        <w:ind w:left="0" w:right="0"/>
        <w:jc w:val="center"/>
        <w:outlineLvl w:val="9"/>
        <w:rPr>
          <w:rFonts w:hint="eastAsia" w:ascii="宋体" w:hAnsi="宋体" w:eastAsia="宋体" w:cs="仿宋"/>
          <w:spacing w:val="6"/>
          <w:sz w:val="28"/>
          <w:szCs w:val="28"/>
          <w:highlight w:val="none"/>
          <w:lang w:val="en-US"/>
        </w:rPr>
      </w:pPr>
      <w:r>
        <w:rPr>
          <w:rFonts w:hint="eastAsia" w:ascii="宋体" w:hAnsi="宋体" w:eastAsia="宋体" w:cs="仿宋"/>
          <w:spacing w:val="6"/>
          <w:kern w:val="2"/>
          <w:sz w:val="28"/>
          <w:szCs w:val="28"/>
          <w:highlight w:val="none"/>
          <w:lang w:val="en-US" w:eastAsia="zh-CN"/>
        </w:rPr>
        <w:t>残疾人福利性单位声明函</w:t>
      </w:r>
    </w:p>
    <w:p w14:paraId="196E18DF">
      <w:pPr>
        <w:keepNext w:val="0"/>
        <w:keepLines w:val="0"/>
        <w:widowControl w:val="0"/>
        <w:suppressLineNumbers w:val="0"/>
        <w:adjustRightInd w:val="0"/>
        <w:snapToGrid w:val="0"/>
        <w:spacing w:before="0" w:beforeAutospacing="0" w:after="0" w:afterAutospacing="0" w:line="360" w:lineRule="auto"/>
        <w:ind w:left="0" w:right="0"/>
        <w:jc w:val="center"/>
        <w:outlineLvl w:val="9"/>
        <w:rPr>
          <w:rFonts w:hint="eastAsia" w:ascii="宋体" w:hAnsi="宋体" w:eastAsia="宋体" w:cs="仿宋"/>
          <w:b/>
          <w:bCs w:val="0"/>
          <w:spacing w:val="6"/>
          <w:szCs w:val="21"/>
          <w:highlight w:val="none"/>
          <w:lang w:val="en-US"/>
        </w:rPr>
      </w:pPr>
      <w:r>
        <w:rPr>
          <w:rFonts w:hint="eastAsia" w:ascii="宋体" w:hAnsi="宋体" w:eastAsia="宋体" w:cs="仿宋"/>
          <w:b/>
          <w:bCs w:val="0"/>
          <w:spacing w:val="6"/>
          <w:kern w:val="2"/>
          <w:sz w:val="24"/>
          <w:szCs w:val="21"/>
          <w:highlight w:val="none"/>
          <w:lang w:val="en-US" w:eastAsia="zh-CN"/>
        </w:rPr>
        <w:t>【不属于残疾人福利性单位的无需填写】</w:t>
      </w:r>
    </w:p>
    <w:p w14:paraId="6FEBB529">
      <w:pPr>
        <w:keepNext w:val="0"/>
        <w:keepLines w:val="0"/>
        <w:widowControl w:val="0"/>
        <w:suppressLineNumbers w:val="0"/>
        <w:adjustRightInd w:val="0"/>
        <w:snapToGrid w:val="0"/>
        <w:spacing w:before="0" w:beforeAutospacing="0" w:after="0" w:afterAutospacing="0" w:line="360" w:lineRule="auto"/>
        <w:ind w:left="0" w:right="0" w:firstLine="504" w:firstLineChars="200"/>
        <w:jc w:val="both"/>
        <w:outlineLvl w:val="9"/>
        <w:rPr>
          <w:rFonts w:hint="eastAsia" w:ascii="宋体" w:hAnsi="宋体" w:eastAsia="宋体" w:cs="仿宋"/>
          <w:spacing w:val="6"/>
          <w:sz w:val="24"/>
          <w:szCs w:val="21"/>
          <w:highlight w:val="none"/>
          <w:lang w:val="en-US"/>
        </w:rPr>
      </w:pPr>
    </w:p>
    <w:p w14:paraId="3D17777E">
      <w:pPr>
        <w:keepNext w:val="0"/>
        <w:keepLines w:val="0"/>
        <w:widowControl w:val="0"/>
        <w:suppressLineNumbers w:val="0"/>
        <w:adjustRightInd w:val="0"/>
        <w:snapToGrid w:val="0"/>
        <w:spacing w:before="0" w:beforeAutospacing="0" w:after="0" w:afterAutospacing="0" w:line="360" w:lineRule="auto"/>
        <w:ind w:left="0" w:right="0" w:firstLine="504" w:firstLineChars="200"/>
        <w:jc w:val="both"/>
        <w:outlineLvl w:val="9"/>
        <w:rPr>
          <w:rFonts w:hint="eastAsia" w:ascii="宋体" w:hAnsi="宋体" w:eastAsia="宋体" w:cs="仿宋"/>
          <w:spacing w:val="6"/>
          <w:sz w:val="24"/>
          <w:szCs w:val="21"/>
          <w:highlight w:val="none"/>
          <w:lang w:val="en-US"/>
        </w:rPr>
      </w:pPr>
    </w:p>
    <w:p w14:paraId="16EDEB50">
      <w:pPr>
        <w:keepNext w:val="0"/>
        <w:keepLines w:val="0"/>
        <w:widowControl w:val="0"/>
        <w:suppressLineNumbers w:val="0"/>
        <w:adjustRightInd w:val="0"/>
        <w:snapToGrid w:val="0"/>
        <w:spacing w:before="0" w:beforeAutospacing="0" w:after="0" w:afterAutospacing="0" w:line="360" w:lineRule="auto"/>
        <w:ind w:left="0" w:right="0" w:firstLine="504" w:firstLineChars="200"/>
        <w:jc w:val="both"/>
        <w:outlineLvl w:val="9"/>
        <w:rPr>
          <w:rFonts w:hint="eastAsia" w:ascii="宋体" w:hAnsi="宋体" w:eastAsia="宋体" w:cs="仿宋"/>
          <w:spacing w:val="6"/>
          <w:sz w:val="24"/>
          <w:szCs w:val="21"/>
          <w:highlight w:val="none"/>
          <w:lang w:val="en-US"/>
        </w:rPr>
      </w:pPr>
      <w:r>
        <w:rPr>
          <w:rFonts w:hint="eastAsia" w:ascii="宋体" w:hAnsi="宋体" w:eastAsia="宋体" w:cs="仿宋"/>
          <w:spacing w:val="6"/>
          <w:kern w:val="2"/>
          <w:sz w:val="24"/>
          <w:szCs w:val="21"/>
          <w:highlight w:val="none"/>
          <w:lang w:val="en-US" w:eastAsia="zh-CN"/>
        </w:rPr>
        <w:t>本单位郑重声明，根据《财政部 民政部 中国残疾人联合会关于促进残疾人就业政府采购政策的通知》（财库</w:t>
      </w:r>
      <w:r>
        <w:rPr>
          <w:rFonts w:hint="eastAsia" w:ascii="宋体" w:hAnsi="宋体" w:eastAsia="宋体" w:cs="仿宋"/>
          <w:kern w:val="2"/>
          <w:sz w:val="24"/>
          <w:szCs w:val="21"/>
          <w:highlight w:val="none"/>
          <w:lang w:val="en-US" w:eastAsia="zh-CN"/>
        </w:rPr>
        <w:t>〔2017〕141</w:t>
      </w:r>
      <w:r>
        <w:rPr>
          <w:rFonts w:hint="eastAsia" w:ascii="宋体" w:hAnsi="宋体" w:eastAsia="宋体" w:cs="仿宋"/>
          <w:spacing w:val="6"/>
          <w:kern w:val="2"/>
          <w:sz w:val="24"/>
          <w:szCs w:val="21"/>
          <w:highlight w:val="none"/>
          <w:lang w:val="en-US" w:eastAsia="zh-CN"/>
        </w:rPr>
        <w:t>号）的规定，本单位为符合条件的残疾人福利性单位，且本单位参加______单位的_____项目采购活动提供本单位制造的货物（由本单位承担工程/提供服务），或者提供其他残疾人福利性单位制造的货物（不包括使用非残疾人福利性单位注册商标的货物）。</w:t>
      </w:r>
    </w:p>
    <w:p w14:paraId="7030317E">
      <w:pPr>
        <w:keepNext w:val="0"/>
        <w:keepLines w:val="0"/>
        <w:widowControl w:val="0"/>
        <w:suppressLineNumbers w:val="0"/>
        <w:adjustRightInd w:val="0"/>
        <w:snapToGrid w:val="0"/>
        <w:spacing w:before="0" w:beforeAutospacing="0" w:after="0" w:afterAutospacing="0" w:line="360" w:lineRule="auto"/>
        <w:ind w:left="0" w:right="0" w:firstLine="504" w:firstLineChars="200"/>
        <w:jc w:val="both"/>
        <w:outlineLvl w:val="9"/>
        <w:rPr>
          <w:rFonts w:hint="eastAsia" w:ascii="宋体" w:hAnsi="宋体" w:eastAsia="宋体" w:cs="仿宋"/>
          <w:spacing w:val="6"/>
          <w:sz w:val="24"/>
          <w:szCs w:val="21"/>
          <w:highlight w:val="none"/>
          <w:lang w:val="en-US"/>
        </w:rPr>
      </w:pPr>
      <w:r>
        <w:rPr>
          <w:rFonts w:hint="eastAsia" w:ascii="宋体" w:hAnsi="宋体" w:eastAsia="宋体" w:cs="仿宋"/>
          <w:spacing w:val="6"/>
          <w:kern w:val="2"/>
          <w:sz w:val="24"/>
          <w:szCs w:val="21"/>
          <w:highlight w:val="none"/>
          <w:lang w:val="en-US" w:eastAsia="zh-CN"/>
        </w:rPr>
        <w:t>本单位对上述声明的真实性负责。如有虚假，将依法承担相应责任。</w:t>
      </w:r>
    </w:p>
    <w:p w14:paraId="22483D1B">
      <w:pPr>
        <w:keepNext w:val="0"/>
        <w:keepLines w:val="0"/>
        <w:widowControl w:val="0"/>
        <w:suppressLineNumbers w:val="0"/>
        <w:adjustRightInd w:val="0"/>
        <w:snapToGrid w:val="0"/>
        <w:spacing w:before="0" w:beforeAutospacing="0" w:after="0" w:afterAutospacing="0" w:line="360" w:lineRule="auto"/>
        <w:ind w:left="0" w:right="0" w:firstLine="504" w:firstLineChars="200"/>
        <w:jc w:val="both"/>
        <w:outlineLvl w:val="9"/>
        <w:rPr>
          <w:rFonts w:hint="eastAsia" w:ascii="宋体" w:hAnsi="宋体" w:eastAsia="宋体" w:cs="仿宋"/>
          <w:spacing w:val="6"/>
          <w:sz w:val="24"/>
          <w:szCs w:val="21"/>
          <w:highlight w:val="none"/>
          <w:lang w:val="en-US"/>
        </w:rPr>
      </w:pPr>
    </w:p>
    <w:p w14:paraId="16456E96">
      <w:pPr>
        <w:keepNext w:val="0"/>
        <w:keepLines w:val="0"/>
        <w:widowControl w:val="0"/>
        <w:suppressLineNumbers w:val="0"/>
        <w:adjustRightInd w:val="0"/>
        <w:snapToGrid w:val="0"/>
        <w:spacing w:before="0" w:beforeAutospacing="0" w:after="0" w:afterAutospacing="0" w:line="360" w:lineRule="auto"/>
        <w:ind w:left="0" w:right="0" w:firstLine="504" w:firstLineChars="200"/>
        <w:jc w:val="both"/>
        <w:outlineLvl w:val="9"/>
        <w:rPr>
          <w:rFonts w:hint="eastAsia" w:ascii="宋体" w:hAnsi="宋体" w:eastAsia="宋体" w:cs="仿宋"/>
          <w:spacing w:val="6"/>
          <w:sz w:val="24"/>
          <w:szCs w:val="21"/>
          <w:highlight w:val="none"/>
          <w:lang w:val="en-US"/>
        </w:rPr>
      </w:pPr>
    </w:p>
    <w:p w14:paraId="12F1598B">
      <w:pPr>
        <w:keepNext w:val="0"/>
        <w:keepLines w:val="0"/>
        <w:widowControl w:val="0"/>
        <w:suppressLineNumbers w:val="0"/>
        <w:tabs>
          <w:tab w:val="left" w:pos="4860"/>
        </w:tabs>
        <w:adjustRightInd w:val="0"/>
        <w:snapToGrid w:val="0"/>
        <w:spacing w:before="0" w:beforeAutospacing="0" w:after="0" w:afterAutospacing="0" w:line="360" w:lineRule="auto"/>
        <w:ind w:left="0" w:right="1560" w:firstLine="504" w:firstLineChars="200"/>
        <w:jc w:val="center"/>
        <w:outlineLvl w:val="9"/>
        <w:rPr>
          <w:rFonts w:hint="eastAsia" w:ascii="宋体" w:hAnsi="宋体" w:eastAsia="宋体" w:cs="仿宋"/>
          <w:spacing w:val="6"/>
          <w:sz w:val="24"/>
          <w:szCs w:val="21"/>
          <w:highlight w:val="none"/>
          <w:lang w:val="en-US"/>
        </w:rPr>
      </w:pPr>
      <w:r>
        <w:rPr>
          <w:rFonts w:hint="eastAsia" w:ascii="宋体" w:hAnsi="宋体" w:eastAsia="宋体" w:cs="仿宋"/>
          <w:spacing w:val="6"/>
          <w:kern w:val="2"/>
          <w:sz w:val="24"/>
          <w:szCs w:val="21"/>
          <w:highlight w:val="none"/>
          <w:lang w:val="en-US" w:eastAsia="zh-CN"/>
        </w:rPr>
        <w:t xml:space="preserve">               单位名称（盖章）：</w:t>
      </w:r>
    </w:p>
    <w:p w14:paraId="671A1969">
      <w:pPr>
        <w:keepNext w:val="0"/>
        <w:keepLines w:val="0"/>
        <w:widowControl w:val="0"/>
        <w:suppressLineNumbers w:val="0"/>
        <w:tabs>
          <w:tab w:val="left" w:pos="4860"/>
        </w:tabs>
        <w:adjustRightInd w:val="0"/>
        <w:snapToGrid w:val="0"/>
        <w:spacing w:before="0" w:beforeAutospacing="0" w:after="0" w:afterAutospacing="0" w:line="360" w:lineRule="auto"/>
        <w:ind w:left="0" w:right="1560" w:firstLine="504" w:firstLineChars="200"/>
        <w:jc w:val="center"/>
        <w:outlineLvl w:val="9"/>
        <w:rPr>
          <w:rFonts w:hint="eastAsia" w:ascii="宋体" w:hAnsi="宋体" w:eastAsia="宋体" w:cs="仿宋"/>
          <w:spacing w:val="6"/>
          <w:sz w:val="24"/>
          <w:szCs w:val="21"/>
          <w:highlight w:val="none"/>
          <w:lang w:val="en-US"/>
        </w:rPr>
      </w:pPr>
      <w:r>
        <w:rPr>
          <w:rFonts w:hint="eastAsia" w:ascii="宋体" w:hAnsi="宋体" w:eastAsia="宋体" w:cs="仿宋"/>
          <w:spacing w:val="6"/>
          <w:kern w:val="2"/>
          <w:sz w:val="24"/>
          <w:szCs w:val="21"/>
          <w:highlight w:val="none"/>
          <w:lang w:val="en-US" w:eastAsia="zh-CN"/>
        </w:rPr>
        <w:t xml:space="preserve">                     日  期：___年___月___日</w:t>
      </w:r>
    </w:p>
    <w:p w14:paraId="59A7435B">
      <w:pPr>
        <w:keepNext w:val="0"/>
        <w:keepLines w:val="0"/>
        <w:widowControl/>
        <w:suppressLineNumbers w:val="0"/>
        <w:adjustRightInd w:val="0"/>
        <w:snapToGrid w:val="0"/>
        <w:spacing w:before="0" w:beforeAutospacing="0" w:after="0" w:afterAutospacing="0" w:line="360" w:lineRule="auto"/>
        <w:ind w:left="0" w:right="0"/>
        <w:jc w:val="both"/>
        <w:outlineLvl w:val="9"/>
        <w:rPr>
          <w:rFonts w:hint="eastAsia" w:ascii="宋体" w:hAnsi="宋体" w:eastAsia="宋体" w:cs="仿宋"/>
          <w:kern w:val="0"/>
          <w:szCs w:val="21"/>
          <w:highlight w:val="none"/>
          <w:lang w:val="en-US"/>
        </w:rPr>
      </w:pPr>
      <w:r>
        <w:rPr>
          <w:rFonts w:hint="eastAsia" w:ascii="宋体" w:hAnsi="宋体" w:eastAsia="宋体" w:cs="仿宋"/>
          <w:sz w:val="21"/>
          <w:szCs w:val="21"/>
          <w:highlight w:val="none"/>
          <w:lang w:val="en-US" w:eastAsia="zh-CN"/>
        </w:rPr>
        <w:br w:type="page"/>
      </w:r>
    </w:p>
    <w:p w14:paraId="7E78CD6C">
      <w:pPr>
        <w:keepNext w:val="0"/>
        <w:keepLines w:val="0"/>
        <w:widowControl/>
        <w:suppressLineNumbers w:val="0"/>
        <w:adjustRightInd w:val="0"/>
        <w:snapToGrid w:val="0"/>
        <w:spacing w:before="0" w:beforeAutospacing="0" w:after="0" w:afterAutospacing="0" w:line="360" w:lineRule="auto"/>
        <w:ind w:left="0" w:right="0"/>
        <w:jc w:val="both"/>
        <w:outlineLvl w:val="9"/>
        <w:rPr>
          <w:rFonts w:hint="eastAsia" w:ascii="宋体" w:hAnsi="宋体" w:eastAsia="宋体" w:cs="仿宋"/>
          <w:kern w:val="0"/>
          <w:sz w:val="24"/>
          <w:szCs w:val="21"/>
          <w:highlight w:val="none"/>
          <w:lang w:val="en-US"/>
        </w:rPr>
      </w:pPr>
      <w:r>
        <w:rPr>
          <w:rFonts w:hint="eastAsia" w:ascii="宋体" w:hAnsi="宋体" w:eastAsia="宋体" w:cs="仿宋"/>
          <w:kern w:val="0"/>
          <w:sz w:val="24"/>
          <w:szCs w:val="21"/>
          <w:highlight w:val="none"/>
          <w:lang w:val="en-US" w:eastAsia="zh-CN"/>
        </w:rPr>
        <w:t>附页6-2</w:t>
      </w:r>
    </w:p>
    <w:p w14:paraId="5872A4F2">
      <w:pPr>
        <w:keepNext w:val="0"/>
        <w:keepLines w:val="0"/>
        <w:widowControl w:val="0"/>
        <w:suppressLineNumbers w:val="0"/>
        <w:adjustRightInd w:val="0"/>
        <w:snapToGrid w:val="0"/>
        <w:spacing w:before="0" w:beforeAutospacing="0" w:after="0" w:afterAutospacing="0" w:line="360" w:lineRule="auto"/>
        <w:ind w:left="0" w:right="0"/>
        <w:jc w:val="center"/>
        <w:outlineLvl w:val="9"/>
        <w:rPr>
          <w:rFonts w:hint="eastAsia" w:ascii="宋体" w:hAnsi="宋体" w:eastAsia="宋体" w:cs="仿宋"/>
          <w:sz w:val="28"/>
          <w:szCs w:val="28"/>
          <w:highlight w:val="none"/>
          <w:lang w:val="en-US"/>
        </w:rPr>
      </w:pPr>
      <w:r>
        <w:rPr>
          <w:rFonts w:hint="eastAsia" w:ascii="宋体" w:hAnsi="宋体" w:eastAsia="宋体" w:cs="仿宋"/>
          <w:kern w:val="2"/>
          <w:sz w:val="28"/>
          <w:szCs w:val="28"/>
          <w:highlight w:val="none"/>
          <w:lang w:val="en-US" w:eastAsia="zh-CN"/>
        </w:rPr>
        <w:t>监狱企业证明资料</w:t>
      </w:r>
    </w:p>
    <w:p w14:paraId="500B3653">
      <w:pPr>
        <w:keepNext w:val="0"/>
        <w:keepLines w:val="0"/>
        <w:widowControl w:val="0"/>
        <w:suppressLineNumbers w:val="0"/>
        <w:adjustRightInd w:val="0"/>
        <w:snapToGrid w:val="0"/>
        <w:spacing w:before="0" w:beforeAutospacing="0" w:after="0" w:afterAutospacing="0" w:line="360" w:lineRule="auto"/>
        <w:ind w:left="0" w:right="0"/>
        <w:jc w:val="both"/>
        <w:outlineLvl w:val="9"/>
        <w:rPr>
          <w:rFonts w:hint="eastAsia" w:ascii="宋体" w:hAnsi="宋体" w:eastAsia="宋体" w:cs="仿宋"/>
          <w:szCs w:val="21"/>
          <w:highlight w:val="none"/>
          <w:lang w:val="en-US"/>
        </w:rPr>
      </w:pPr>
    </w:p>
    <w:p w14:paraId="018D18F6">
      <w:pPr>
        <w:keepNext w:val="0"/>
        <w:keepLines w:val="0"/>
        <w:widowControl w:val="0"/>
        <w:suppressLineNumbers w:val="0"/>
        <w:adjustRightInd w:val="0"/>
        <w:snapToGrid w:val="0"/>
        <w:spacing w:before="0" w:beforeAutospacing="0" w:after="0" w:afterAutospacing="0" w:line="360" w:lineRule="auto"/>
        <w:ind w:left="0" w:right="0" w:firstLine="504" w:firstLineChars="200"/>
        <w:jc w:val="both"/>
        <w:outlineLvl w:val="9"/>
        <w:rPr>
          <w:rFonts w:hint="eastAsia" w:ascii="宋体" w:hAnsi="宋体" w:eastAsia="宋体" w:cs="仿宋"/>
          <w:sz w:val="24"/>
          <w:szCs w:val="21"/>
          <w:highlight w:val="none"/>
          <w:lang w:val="en-US"/>
        </w:rPr>
      </w:pPr>
      <w:r>
        <w:rPr>
          <w:rFonts w:hint="eastAsia" w:ascii="宋体" w:hAnsi="宋体" w:eastAsia="宋体" w:cs="仿宋"/>
          <w:bCs/>
          <w:spacing w:val="6"/>
          <w:kern w:val="0"/>
          <w:sz w:val="24"/>
          <w:szCs w:val="21"/>
          <w:highlight w:val="none"/>
          <w:lang w:val="en-US" w:eastAsia="zh-CN"/>
        </w:rPr>
        <w:t>备注：</w:t>
      </w:r>
      <w:r>
        <w:rPr>
          <w:rFonts w:hint="eastAsia" w:ascii="宋体" w:hAnsi="宋体" w:eastAsia="宋体" w:cs="仿宋"/>
          <w:kern w:val="2"/>
          <w:sz w:val="24"/>
          <w:szCs w:val="21"/>
          <w:highlight w:val="none"/>
          <w:lang w:val="en-US" w:eastAsia="zh-CN"/>
        </w:rPr>
        <w:t>按</w:t>
      </w:r>
      <w:r>
        <w:rPr>
          <w:rFonts w:hint="eastAsia" w:ascii="宋体" w:hAnsi="宋体" w:eastAsia="宋体" w:cs="仿宋"/>
          <w:spacing w:val="6"/>
          <w:kern w:val="2"/>
          <w:sz w:val="24"/>
          <w:szCs w:val="21"/>
          <w:highlight w:val="none"/>
          <w:lang w:val="en-US" w:eastAsia="zh-CN"/>
        </w:rPr>
        <w:t>《</w:t>
      </w:r>
      <w:r>
        <w:rPr>
          <w:rFonts w:hint="eastAsia" w:ascii="宋体" w:hAnsi="宋体" w:eastAsia="宋体" w:cs="仿宋"/>
          <w:kern w:val="2"/>
          <w:sz w:val="24"/>
          <w:szCs w:val="21"/>
          <w:highlight w:val="none"/>
          <w:lang w:val="en-US" w:eastAsia="zh-CN"/>
        </w:rPr>
        <w:t>财政部 司法部关于政府采购支持监狱企业发展有关问题的通知</w:t>
      </w:r>
      <w:r>
        <w:rPr>
          <w:rFonts w:hint="eastAsia" w:ascii="宋体" w:hAnsi="宋体" w:eastAsia="宋体" w:cs="仿宋"/>
          <w:spacing w:val="6"/>
          <w:kern w:val="2"/>
          <w:sz w:val="24"/>
          <w:szCs w:val="21"/>
          <w:highlight w:val="none"/>
          <w:lang w:val="en-US" w:eastAsia="zh-CN"/>
        </w:rPr>
        <w:t>》</w:t>
      </w:r>
      <w:r>
        <w:rPr>
          <w:rFonts w:hint="eastAsia" w:ascii="宋体" w:hAnsi="宋体" w:eastAsia="宋体" w:cs="仿宋"/>
          <w:kern w:val="2"/>
          <w:sz w:val="24"/>
          <w:szCs w:val="21"/>
          <w:highlight w:val="none"/>
          <w:lang w:val="en-US" w:eastAsia="zh-CN"/>
        </w:rPr>
        <w:t>(财库〔2014〕68号)文件规定提供证明文件（复印件）。</w:t>
      </w:r>
    </w:p>
    <w:p w14:paraId="2DCE7D42">
      <w:pPr>
        <w:keepNext w:val="0"/>
        <w:keepLines w:val="0"/>
        <w:widowControl/>
        <w:suppressLineNumbers w:val="0"/>
        <w:adjustRightInd w:val="0"/>
        <w:snapToGrid w:val="0"/>
        <w:spacing w:before="0" w:beforeAutospacing="0" w:after="0" w:afterAutospacing="0" w:line="360" w:lineRule="auto"/>
        <w:ind w:left="0" w:right="0"/>
        <w:jc w:val="both"/>
        <w:outlineLvl w:val="9"/>
        <w:rPr>
          <w:rFonts w:hint="eastAsia" w:ascii="宋体" w:hAnsi="宋体" w:eastAsia="宋体" w:cs="仿宋"/>
          <w:kern w:val="0"/>
          <w:sz w:val="24"/>
          <w:szCs w:val="21"/>
          <w:highlight w:val="none"/>
          <w:lang w:val="en-US"/>
        </w:rPr>
      </w:pPr>
      <w:r>
        <w:rPr>
          <w:rFonts w:hint="eastAsia" w:ascii="宋体" w:hAnsi="宋体" w:eastAsia="宋体" w:cs="仿宋"/>
          <w:sz w:val="24"/>
          <w:szCs w:val="21"/>
          <w:highlight w:val="none"/>
          <w:lang w:val="en-US" w:eastAsia="zh-CN"/>
        </w:rPr>
        <w:br w:type="page"/>
      </w:r>
    </w:p>
    <w:p w14:paraId="5B57B757">
      <w:pPr>
        <w:keepNext w:val="0"/>
        <w:keepLines w:val="0"/>
        <w:widowControl w:val="0"/>
        <w:suppressLineNumbers w:val="0"/>
        <w:adjustRightInd w:val="0"/>
        <w:snapToGrid w:val="0"/>
        <w:spacing w:before="50" w:beforeAutospacing="0" w:after="0" w:afterAutospacing="0" w:line="360" w:lineRule="auto"/>
        <w:ind w:left="0" w:right="0"/>
        <w:jc w:val="both"/>
        <w:rPr>
          <w:rFonts w:hint="eastAsia" w:ascii="宋体" w:hAnsi="宋体" w:eastAsia="宋体" w:cs="仿宋"/>
          <w:b/>
          <w:bCs/>
          <w:spacing w:val="6"/>
          <w:kern w:val="0"/>
          <w:sz w:val="24"/>
          <w:szCs w:val="24"/>
          <w:highlight w:val="none"/>
          <w:lang w:val="en-US"/>
        </w:rPr>
      </w:pPr>
    </w:p>
    <w:p w14:paraId="6394523F">
      <w:pPr>
        <w:keepNext w:val="0"/>
        <w:keepLines w:val="0"/>
        <w:widowControl w:val="0"/>
        <w:suppressLineNumbers w:val="0"/>
        <w:adjustRightInd w:val="0"/>
        <w:snapToGrid w:val="0"/>
        <w:spacing w:before="50" w:beforeAutospacing="0" w:after="0" w:afterAutospacing="0" w:line="360" w:lineRule="auto"/>
        <w:ind w:left="0" w:right="0"/>
        <w:jc w:val="both"/>
        <w:rPr>
          <w:rFonts w:hint="eastAsia" w:ascii="宋体" w:hAnsi="宋体" w:eastAsia="宋体" w:cs="仿宋"/>
          <w:bCs/>
          <w:spacing w:val="6"/>
          <w:kern w:val="0"/>
          <w:szCs w:val="21"/>
          <w:highlight w:val="none"/>
          <w:lang w:val="en-US"/>
        </w:rPr>
      </w:pPr>
      <w:r>
        <w:rPr>
          <w:rFonts w:hint="eastAsia" w:ascii="宋体" w:hAnsi="宋体" w:eastAsia="宋体" w:cs="仿宋"/>
          <w:bCs/>
          <w:spacing w:val="6"/>
          <w:kern w:val="0"/>
          <w:sz w:val="24"/>
          <w:szCs w:val="21"/>
          <w:highlight w:val="none"/>
          <w:lang w:val="en-US" w:eastAsia="zh-CN"/>
        </w:rPr>
        <w:t xml:space="preserve">附页6-3  </w:t>
      </w:r>
    </w:p>
    <w:p w14:paraId="4231E7C0">
      <w:pPr>
        <w:keepNext w:val="0"/>
        <w:keepLines w:val="0"/>
        <w:widowControl w:val="0"/>
        <w:suppressLineNumbers w:val="0"/>
        <w:adjustRightInd w:val="0"/>
        <w:snapToGrid w:val="0"/>
        <w:spacing w:before="50" w:beforeAutospacing="0" w:after="0" w:afterAutospacing="0" w:line="360" w:lineRule="auto"/>
        <w:ind w:left="0" w:right="0"/>
        <w:jc w:val="center"/>
        <w:rPr>
          <w:rFonts w:hint="eastAsia" w:ascii="宋体" w:hAnsi="宋体" w:eastAsia="宋体" w:cs="仿宋"/>
          <w:sz w:val="28"/>
          <w:szCs w:val="28"/>
          <w:highlight w:val="none"/>
          <w:lang w:val="en-US"/>
        </w:rPr>
      </w:pPr>
      <w:r>
        <w:rPr>
          <w:rFonts w:hint="eastAsia" w:ascii="宋体" w:hAnsi="宋体" w:eastAsia="宋体" w:cs="仿宋"/>
          <w:kern w:val="2"/>
          <w:sz w:val="28"/>
          <w:szCs w:val="28"/>
          <w:highlight w:val="none"/>
          <w:lang w:val="en-US" w:eastAsia="zh-CN"/>
        </w:rPr>
        <w:t>节能</w:t>
      </w:r>
      <w:r>
        <w:rPr>
          <w:rFonts w:hint="eastAsia" w:ascii="宋体" w:hAnsi="宋体" w:eastAsia="宋体" w:cs="仿宋"/>
          <w:bCs/>
          <w:kern w:val="2"/>
          <w:sz w:val="28"/>
          <w:szCs w:val="28"/>
          <w:highlight w:val="none"/>
          <w:lang w:val="en-US" w:eastAsia="zh-CN"/>
        </w:rPr>
        <w:t>产品</w:t>
      </w:r>
      <w:r>
        <w:rPr>
          <w:rFonts w:hint="eastAsia" w:ascii="宋体" w:hAnsi="宋体" w:eastAsia="宋体" w:cs="仿宋"/>
          <w:kern w:val="2"/>
          <w:sz w:val="28"/>
          <w:szCs w:val="28"/>
          <w:highlight w:val="none"/>
          <w:lang w:val="en-US" w:eastAsia="zh-CN"/>
        </w:rPr>
        <w:t>、环境标志</w:t>
      </w:r>
      <w:r>
        <w:rPr>
          <w:rFonts w:hint="eastAsia" w:ascii="宋体" w:hAnsi="宋体" w:eastAsia="宋体" w:cs="仿宋"/>
          <w:bCs/>
          <w:kern w:val="2"/>
          <w:sz w:val="28"/>
          <w:szCs w:val="28"/>
          <w:highlight w:val="none"/>
          <w:lang w:val="en-US" w:eastAsia="zh-CN"/>
        </w:rPr>
        <w:t>产品的</w:t>
      </w:r>
      <w:r>
        <w:rPr>
          <w:rFonts w:hint="eastAsia" w:ascii="宋体" w:hAnsi="宋体" w:eastAsia="宋体" w:cs="仿宋"/>
          <w:kern w:val="2"/>
          <w:sz w:val="28"/>
          <w:szCs w:val="28"/>
          <w:highlight w:val="none"/>
          <w:lang w:val="en-US" w:eastAsia="zh-CN"/>
        </w:rPr>
        <w:t>证明材料</w:t>
      </w:r>
    </w:p>
    <w:p w14:paraId="393D365C">
      <w:pPr>
        <w:keepNext w:val="0"/>
        <w:keepLines w:val="0"/>
        <w:widowControl w:val="0"/>
        <w:suppressLineNumbers w:val="0"/>
        <w:spacing w:before="0" w:beforeAutospacing="0" w:after="0" w:afterAutospacing="0" w:line="480" w:lineRule="exact"/>
        <w:ind w:left="0" w:right="0"/>
        <w:jc w:val="both"/>
        <w:rPr>
          <w:rFonts w:hint="eastAsia" w:ascii="宋体" w:hAnsi="宋体" w:eastAsia="宋体" w:cs="仿宋"/>
          <w:sz w:val="24"/>
          <w:szCs w:val="24"/>
          <w:highlight w:val="none"/>
          <w:lang w:val="en-US"/>
        </w:rPr>
      </w:pPr>
    </w:p>
    <w:p w14:paraId="04A23FF4">
      <w:pPr>
        <w:keepNext w:val="0"/>
        <w:keepLines w:val="0"/>
        <w:widowControl w:val="0"/>
        <w:suppressLineNumbers w:val="0"/>
        <w:adjustRightInd w:val="0"/>
        <w:snapToGrid w:val="0"/>
        <w:spacing w:before="0" w:beforeAutospacing="0" w:after="0" w:afterAutospacing="0" w:line="360" w:lineRule="auto"/>
        <w:ind w:left="0" w:right="0" w:firstLine="480" w:firstLineChars="200"/>
        <w:jc w:val="left"/>
        <w:rPr>
          <w:rFonts w:hint="eastAsia" w:ascii="宋体" w:hAnsi="宋体" w:eastAsia="宋体" w:cs="仿宋"/>
          <w:szCs w:val="21"/>
          <w:highlight w:val="none"/>
          <w:lang w:val="en-US"/>
        </w:rPr>
      </w:pPr>
      <w:r>
        <w:rPr>
          <w:rFonts w:hint="eastAsia" w:ascii="宋体" w:hAnsi="宋体" w:eastAsia="宋体" w:cs="仿宋"/>
          <w:kern w:val="2"/>
          <w:sz w:val="24"/>
          <w:szCs w:val="21"/>
          <w:highlight w:val="none"/>
          <w:lang w:val="en-US" w:eastAsia="zh-CN"/>
        </w:rPr>
        <w:t>说明：</w:t>
      </w:r>
      <w:r>
        <w:rPr>
          <w:rFonts w:hint="eastAsia" w:ascii="宋体" w:hAnsi="宋体" w:eastAsia="宋体" w:cs="仿宋"/>
          <w:bCs/>
          <w:kern w:val="2"/>
          <w:sz w:val="24"/>
          <w:szCs w:val="21"/>
          <w:highlight w:val="none"/>
          <w:lang w:val="en-US" w:eastAsia="zh-CN"/>
        </w:rPr>
        <w:t>1、</w:t>
      </w:r>
      <w:r>
        <w:rPr>
          <w:rFonts w:hint="eastAsia" w:ascii="宋体" w:hAnsi="宋体" w:cs="仿宋"/>
          <w:bCs/>
          <w:kern w:val="2"/>
          <w:sz w:val="24"/>
          <w:szCs w:val="21"/>
          <w:highlight w:val="none"/>
          <w:lang w:val="en-US" w:eastAsia="zh-CN"/>
        </w:rPr>
        <w:t>供应商</w:t>
      </w:r>
      <w:r>
        <w:rPr>
          <w:rFonts w:hint="eastAsia" w:ascii="宋体" w:hAnsi="宋体" w:eastAsia="宋体" w:cs="仿宋"/>
          <w:bCs/>
          <w:kern w:val="2"/>
          <w:sz w:val="24"/>
          <w:szCs w:val="21"/>
          <w:highlight w:val="none"/>
          <w:lang w:val="en-US" w:eastAsia="zh-CN"/>
        </w:rPr>
        <w:t>提供的产品属于强制采购或者优先采购的，应按第二章第36.2款或者第36.3款规定提供产品列入《节能产品政府采购品目清单》、《环境标志产品政府采购品目清单》所在页或证书复印件（该页包含制造商或企业名称或申请单位名称、规格型号、有效截止日期等内容），并加盖</w:t>
      </w:r>
      <w:r>
        <w:rPr>
          <w:rFonts w:hint="eastAsia" w:ascii="宋体" w:hAnsi="宋体" w:cs="仿宋"/>
          <w:bCs/>
          <w:kern w:val="2"/>
          <w:sz w:val="24"/>
          <w:szCs w:val="21"/>
          <w:highlight w:val="none"/>
          <w:lang w:val="en-US" w:eastAsia="zh-CN"/>
        </w:rPr>
        <w:t>供应商</w:t>
      </w:r>
      <w:r>
        <w:rPr>
          <w:rFonts w:hint="eastAsia" w:ascii="宋体" w:hAnsi="宋体" w:eastAsia="宋体" w:cs="仿宋"/>
          <w:bCs/>
          <w:kern w:val="2"/>
          <w:sz w:val="24"/>
          <w:szCs w:val="21"/>
          <w:highlight w:val="none"/>
          <w:lang w:val="en-US" w:eastAsia="zh-CN"/>
        </w:rPr>
        <w:t>单位章。在本章《附6-6 提供节能产品、环境标志产品》中</w:t>
      </w:r>
      <w:r>
        <w:rPr>
          <w:rFonts w:hint="eastAsia" w:ascii="宋体" w:hAnsi="宋体" w:eastAsia="宋体" w:cs="仿宋"/>
          <w:kern w:val="2"/>
          <w:sz w:val="24"/>
          <w:szCs w:val="21"/>
          <w:highlight w:val="none"/>
          <w:lang w:val="en-US" w:eastAsia="zh-CN"/>
        </w:rPr>
        <w:t>提供相应数据。</w:t>
      </w:r>
    </w:p>
    <w:p w14:paraId="434DADB9">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outlineLvl w:val="2"/>
        <w:rPr>
          <w:rFonts w:hint="eastAsia" w:ascii="宋体" w:hAnsi="宋体" w:eastAsia="宋体" w:cs="仿宋"/>
          <w:bCs/>
          <w:sz w:val="24"/>
          <w:szCs w:val="21"/>
          <w:highlight w:val="none"/>
          <w:lang w:val="en-US"/>
        </w:rPr>
      </w:pPr>
      <w:r>
        <w:rPr>
          <w:rFonts w:hint="eastAsia" w:ascii="宋体" w:hAnsi="宋体" w:eastAsia="宋体" w:cs="仿宋"/>
          <w:bCs/>
          <w:kern w:val="2"/>
          <w:sz w:val="24"/>
          <w:szCs w:val="21"/>
          <w:highlight w:val="none"/>
          <w:lang w:val="en-US" w:eastAsia="zh-CN"/>
        </w:rPr>
        <w:t>2、未按上述要求提供的，评审时不予以考虑。</w:t>
      </w:r>
    </w:p>
    <w:p w14:paraId="74009A70">
      <w:pPr>
        <w:keepNext w:val="0"/>
        <w:keepLines w:val="0"/>
        <w:widowControl w:val="0"/>
        <w:suppressLineNumbers w:val="0"/>
        <w:adjustRightInd w:val="0"/>
        <w:snapToGrid w:val="0"/>
        <w:spacing w:before="50" w:beforeAutospacing="0" w:after="0" w:afterAutospacing="0" w:line="360" w:lineRule="auto"/>
        <w:ind w:left="0" w:right="0"/>
        <w:jc w:val="both"/>
        <w:rPr>
          <w:rFonts w:hint="eastAsia" w:ascii="宋体" w:hAnsi="宋体" w:eastAsia="宋体" w:cs="仿宋"/>
          <w:sz w:val="24"/>
          <w:szCs w:val="21"/>
          <w:highlight w:val="none"/>
          <w:lang w:val="en-US"/>
        </w:rPr>
      </w:pPr>
      <w:r>
        <w:rPr>
          <w:rFonts w:hint="eastAsia" w:ascii="宋体" w:hAnsi="宋体" w:eastAsia="宋体" w:cs="仿宋"/>
          <w:b/>
          <w:bCs w:val="0"/>
          <w:kern w:val="2"/>
          <w:sz w:val="28"/>
          <w:szCs w:val="28"/>
          <w:highlight w:val="none"/>
          <w:lang w:val="en-US" w:eastAsia="zh-CN"/>
        </w:rPr>
        <w:br w:type="page"/>
      </w:r>
      <w:r>
        <w:rPr>
          <w:rFonts w:hint="eastAsia" w:ascii="宋体" w:hAnsi="宋体" w:eastAsia="宋体" w:cs="仿宋"/>
          <w:kern w:val="2"/>
          <w:sz w:val="24"/>
          <w:szCs w:val="21"/>
          <w:highlight w:val="none"/>
          <w:lang w:val="en-US" w:eastAsia="zh-CN"/>
        </w:rPr>
        <w:t>附页6-4</w:t>
      </w:r>
    </w:p>
    <w:p w14:paraId="3F3F4939">
      <w:pPr>
        <w:keepNext w:val="0"/>
        <w:keepLines w:val="0"/>
        <w:widowControl w:val="0"/>
        <w:suppressLineNumbers w:val="0"/>
        <w:adjustRightInd w:val="0"/>
        <w:snapToGrid w:val="0"/>
        <w:spacing w:before="50" w:beforeAutospacing="0" w:after="0" w:afterAutospacing="0" w:line="360" w:lineRule="auto"/>
        <w:ind w:left="0" w:right="0"/>
        <w:jc w:val="center"/>
        <w:outlineLvl w:val="3"/>
        <w:rPr>
          <w:rFonts w:hint="eastAsia" w:ascii="宋体" w:hAnsi="宋体" w:eastAsia="宋体" w:cs="仿宋"/>
          <w:sz w:val="28"/>
          <w:szCs w:val="28"/>
          <w:highlight w:val="none"/>
          <w:lang w:val="en-US"/>
        </w:rPr>
      </w:pPr>
      <w:r>
        <w:rPr>
          <w:rFonts w:hint="eastAsia" w:ascii="宋体" w:hAnsi="宋体" w:eastAsia="宋体" w:cs="仿宋"/>
          <w:kern w:val="2"/>
          <w:sz w:val="28"/>
          <w:szCs w:val="28"/>
          <w:highlight w:val="none"/>
          <w:lang w:val="en-US" w:eastAsia="zh-CN"/>
        </w:rPr>
        <w:t>提供节能</w:t>
      </w:r>
      <w:r>
        <w:rPr>
          <w:rFonts w:hint="eastAsia" w:ascii="宋体" w:hAnsi="宋体" w:eastAsia="宋体" w:cs="仿宋"/>
          <w:bCs/>
          <w:kern w:val="2"/>
          <w:sz w:val="28"/>
          <w:szCs w:val="28"/>
          <w:highlight w:val="none"/>
          <w:lang w:val="en-US" w:eastAsia="zh-CN"/>
        </w:rPr>
        <w:t>产品</w:t>
      </w:r>
      <w:r>
        <w:rPr>
          <w:rFonts w:hint="eastAsia" w:ascii="宋体" w:hAnsi="宋体" w:eastAsia="宋体" w:cs="仿宋"/>
          <w:kern w:val="2"/>
          <w:sz w:val="28"/>
          <w:szCs w:val="28"/>
          <w:highlight w:val="none"/>
          <w:lang w:val="en-US" w:eastAsia="zh-CN"/>
        </w:rPr>
        <w:t>、环境标志</w:t>
      </w:r>
      <w:r>
        <w:rPr>
          <w:rFonts w:hint="eastAsia" w:ascii="宋体" w:hAnsi="宋体" w:eastAsia="宋体" w:cs="仿宋"/>
          <w:bCs/>
          <w:kern w:val="2"/>
          <w:sz w:val="28"/>
          <w:szCs w:val="28"/>
          <w:highlight w:val="none"/>
          <w:lang w:val="en-US" w:eastAsia="zh-CN"/>
        </w:rPr>
        <w:t>产品</w:t>
      </w:r>
      <w:r>
        <w:rPr>
          <w:rFonts w:hint="eastAsia" w:ascii="宋体" w:hAnsi="宋体" w:eastAsia="宋体" w:cs="仿宋"/>
          <w:kern w:val="2"/>
          <w:sz w:val="28"/>
          <w:szCs w:val="28"/>
          <w:highlight w:val="none"/>
          <w:lang w:val="en-US" w:eastAsia="zh-CN"/>
        </w:rPr>
        <w:t>清单</w:t>
      </w:r>
    </w:p>
    <w:p w14:paraId="1EA4BE82">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仿宋"/>
          <w:szCs w:val="21"/>
          <w:highlight w:val="none"/>
          <w:lang w:val="en-US"/>
        </w:rPr>
      </w:pPr>
      <w:r>
        <w:rPr>
          <w:rFonts w:hint="eastAsia" w:ascii="宋体" w:hAnsi="宋体" w:eastAsia="宋体" w:cs="仿宋"/>
          <w:kern w:val="2"/>
          <w:sz w:val="24"/>
          <w:szCs w:val="21"/>
          <w:highlight w:val="none"/>
          <w:lang w:val="en-US" w:eastAsia="zh-CN"/>
        </w:rPr>
        <w:t>采购代理编号：</w:t>
      </w:r>
      <w:r>
        <w:rPr>
          <w:rFonts w:hint="eastAsia" w:ascii="宋体" w:hAnsi="宋体" w:eastAsia="宋体" w:cs="仿宋"/>
          <w:kern w:val="2"/>
          <w:sz w:val="24"/>
          <w:szCs w:val="21"/>
          <w:highlight w:val="none"/>
          <w:u w:val="single"/>
          <w:lang w:val="en-US" w:eastAsia="zh-CN"/>
        </w:rPr>
        <w:t xml:space="preserve">                       </w:t>
      </w:r>
      <w:r>
        <w:rPr>
          <w:rFonts w:hint="eastAsia" w:ascii="宋体" w:hAnsi="宋体" w:eastAsia="宋体" w:cs="仿宋"/>
          <w:kern w:val="2"/>
          <w:sz w:val="24"/>
          <w:szCs w:val="21"/>
          <w:highlight w:val="none"/>
          <w:lang w:val="en-US" w:eastAsia="zh-CN"/>
        </w:rPr>
        <w:t xml:space="preserve">              </w:t>
      </w:r>
    </w:p>
    <w:tbl>
      <w:tblPr>
        <w:tblStyle w:val="21"/>
        <w:tblW w:w="106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815"/>
        <w:gridCol w:w="2112"/>
        <w:gridCol w:w="862"/>
        <w:gridCol w:w="1033"/>
        <w:gridCol w:w="1207"/>
        <w:gridCol w:w="2411"/>
        <w:gridCol w:w="2240"/>
      </w:tblGrid>
      <w:tr w14:paraId="62DB8E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519" w:hRule="atLeast"/>
          <w:jc w:val="center"/>
        </w:trPr>
        <w:tc>
          <w:tcPr>
            <w:tcW w:w="10680" w:type="dxa"/>
            <w:gridSpan w:val="7"/>
            <w:tcBorders>
              <w:top w:val="double" w:color="auto" w:sz="4" w:space="0"/>
              <w:left w:val="double" w:color="auto" w:sz="4" w:space="0"/>
              <w:bottom w:val="single" w:color="auto" w:sz="6" w:space="0"/>
              <w:right w:val="double" w:color="auto" w:sz="4" w:space="0"/>
            </w:tcBorders>
            <w:shd w:val="clear" w:color="auto" w:fill="auto"/>
            <w:vAlign w:val="center"/>
          </w:tcPr>
          <w:p w14:paraId="267DA07C">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eastAsia="宋体" w:cs="仿宋"/>
                <w:kern w:val="0"/>
                <w:szCs w:val="21"/>
                <w:highlight w:val="none"/>
                <w:lang w:val="en-US"/>
              </w:rPr>
            </w:pPr>
            <w:r>
              <w:rPr>
                <w:rFonts w:hint="eastAsia" w:ascii="宋体" w:hAnsi="宋体" w:eastAsia="宋体" w:cs="仿宋"/>
                <w:kern w:val="0"/>
                <w:sz w:val="24"/>
                <w:szCs w:val="21"/>
                <w:highlight w:val="none"/>
                <w:lang w:val="en-US" w:eastAsia="zh-CN"/>
              </w:rPr>
              <w:t>本公司对本表的真实性负责。如有虚假，将依法承担相应责任。</w:t>
            </w:r>
          </w:p>
        </w:tc>
      </w:tr>
      <w:tr w14:paraId="30CFAF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815" w:type="dxa"/>
            <w:tcBorders>
              <w:top w:val="single" w:color="auto" w:sz="6" w:space="0"/>
              <w:left w:val="double" w:color="auto" w:sz="4" w:space="0"/>
              <w:bottom w:val="single" w:color="auto" w:sz="6" w:space="0"/>
              <w:right w:val="single" w:color="auto" w:sz="6" w:space="0"/>
            </w:tcBorders>
            <w:shd w:val="clear" w:color="auto" w:fill="auto"/>
            <w:vAlign w:val="center"/>
          </w:tcPr>
          <w:p w14:paraId="7C6C8952">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eastAsia="宋体" w:cs="仿宋"/>
                <w:kern w:val="0"/>
                <w:szCs w:val="21"/>
                <w:highlight w:val="none"/>
                <w:lang w:val="en-US"/>
              </w:rPr>
            </w:pPr>
            <w:r>
              <w:rPr>
                <w:rFonts w:hint="eastAsia" w:ascii="宋体" w:hAnsi="宋体" w:eastAsia="宋体" w:cs="仿宋"/>
                <w:kern w:val="0"/>
                <w:sz w:val="24"/>
                <w:szCs w:val="21"/>
                <w:highlight w:val="none"/>
                <w:lang w:val="en-US" w:eastAsia="zh-CN"/>
              </w:rPr>
              <w:t>1</w:t>
            </w:r>
          </w:p>
        </w:tc>
        <w:tc>
          <w:tcPr>
            <w:tcW w:w="2112" w:type="dxa"/>
            <w:tcBorders>
              <w:top w:val="single" w:color="auto" w:sz="6" w:space="0"/>
              <w:left w:val="single" w:color="auto" w:sz="6" w:space="0"/>
              <w:bottom w:val="single" w:color="auto" w:sz="6" w:space="0"/>
              <w:right w:val="single" w:color="auto" w:sz="6" w:space="0"/>
            </w:tcBorders>
            <w:shd w:val="clear" w:color="auto" w:fill="auto"/>
            <w:vAlign w:val="center"/>
          </w:tcPr>
          <w:p w14:paraId="24B738F6">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eastAsia="宋体" w:cs="仿宋"/>
                <w:kern w:val="0"/>
                <w:szCs w:val="21"/>
                <w:highlight w:val="none"/>
                <w:lang w:val="en-US"/>
              </w:rPr>
            </w:pPr>
            <w:r>
              <w:rPr>
                <w:rFonts w:hint="eastAsia" w:ascii="宋体" w:hAnsi="宋体" w:eastAsia="宋体" w:cs="仿宋"/>
                <w:kern w:val="0"/>
                <w:sz w:val="24"/>
                <w:szCs w:val="21"/>
                <w:highlight w:val="none"/>
                <w:lang w:val="en-US" w:eastAsia="zh-CN"/>
              </w:rPr>
              <w:t>2</w:t>
            </w:r>
          </w:p>
        </w:tc>
        <w:tc>
          <w:tcPr>
            <w:tcW w:w="862" w:type="dxa"/>
            <w:tcBorders>
              <w:top w:val="single" w:color="auto" w:sz="6" w:space="0"/>
              <w:left w:val="single" w:color="auto" w:sz="6" w:space="0"/>
              <w:bottom w:val="single" w:color="auto" w:sz="6" w:space="0"/>
              <w:right w:val="single" w:color="auto" w:sz="6" w:space="0"/>
            </w:tcBorders>
            <w:shd w:val="clear" w:color="auto" w:fill="auto"/>
            <w:vAlign w:val="center"/>
          </w:tcPr>
          <w:p w14:paraId="31F91A08">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eastAsia="宋体" w:cs="仿宋"/>
                <w:kern w:val="0"/>
                <w:szCs w:val="21"/>
                <w:highlight w:val="none"/>
                <w:lang w:val="en-US"/>
              </w:rPr>
            </w:pPr>
            <w:r>
              <w:rPr>
                <w:rFonts w:hint="eastAsia" w:ascii="宋体" w:hAnsi="宋体" w:eastAsia="宋体" w:cs="仿宋"/>
                <w:kern w:val="0"/>
                <w:sz w:val="24"/>
                <w:szCs w:val="21"/>
                <w:highlight w:val="none"/>
                <w:lang w:val="en-US" w:eastAsia="zh-CN"/>
              </w:rPr>
              <w:t>3</w:t>
            </w:r>
          </w:p>
        </w:tc>
        <w:tc>
          <w:tcPr>
            <w:tcW w:w="1033" w:type="dxa"/>
            <w:tcBorders>
              <w:top w:val="single" w:color="auto" w:sz="6" w:space="0"/>
              <w:left w:val="single" w:color="auto" w:sz="6" w:space="0"/>
              <w:bottom w:val="single" w:color="auto" w:sz="6" w:space="0"/>
              <w:right w:val="single" w:color="auto" w:sz="6" w:space="0"/>
            </w:tcBorders>
            <w:shd w:val="clear" w:color="auto" w:fill="auto"/>
            <w:vAlign w:val="center"/>
          </w:tcPr>
          <w:p w14:paraId="65028DF8">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eastAsia="宋体" w:cs="仿宋"/>
                <w:kern w:val="0"/>
                <w:szCs w:val="21"/>
                <w:highlight w:val="none"/>
                <w:lang w:val="en-US"/>
              </w:rPr>
            </w:pPr>
            <w:r>
              <w:rPr>
                <w:rFonts w:hint="eastAsia" w:ascii="宋体" w:hAnsi="宋体" w:eastAsia="宋体" w:cs="仿宋"/>
                <w:kern w:val="0"/>
                <w:sz w:val="24"/>
                <w:szCs w:val="21"/>
                <w:highlight w:val="none"/>
                <w:lang w:val="en-US" w:eastAsia="zh-CN"/>
              </w:rPr>
              <w:t>4</w:t>
            </w:r>
          </w:p>
        </w:tc>
        <w:tc>
          <w:tcPr>
            <w:tcW w:w="1207" w:type="dxa"/>
            <w:tcBorders>
              <w:top w:val="single" w:color="auto" w:sz="6" w:space="0"/>
              <w:left w:val="single" w:color="auto" w:sz="6" w:space="0"/>
              <w:bottom w:val="single" w:color="auto" w:sz="6" w:space="0"/>
              <w:right w:val="single" w:color="auto" w:sz="6" w:space="0"/>
            </w:tcBorders>
            <w:shd w:val="clear" w:color="auto" w:fill="auto"/>
            <w:vAlign w:val="center"/>
          </w:tcPr>
          <w:p w14:paraId="712A68BC">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eastAsia="宋体" w:cs="仿宋"/>
                <w:kern w:val="0"/>
                <w:szCs w:val="21"/>
                <w:highlight w:val="none"/>
                <w:lang w:val="en-US"/>
              </w:rPr>
            </w:pPr>
            <w:r>
              <w:rPr>
                <w:rFonts w:hint="eastAsia" w:ascii="宋体" w:hAnsi="宋体" w:eastAsia="宋体" w:cs="仿宋"/>
                <w:kern w:val="0"/>
                <w:sz w:val="24"/>
                <w:szCs w:val="21"/>
                <w:highlight w:val="none"/>
                <w:lang w:val="en-US" w:eastAsia="zh-CN"/>
              </w:rPr>
              <w:t>5</w:t>
            </w:r>
          </w:p>
        </w:tc>
        <w:tc>
          <w:tcPr>
            <w:tcW w:w="2411" w:type="dxa"/>
            <w:tcBorders>
              <w:top w:val="single" w:color="auto" w:sz="6" w:space="0"/>
              <w:left w:val="single" w:color="auto" w:sz="6" w:space="0"/>
              <w:bottom w:val="single" w:color="auto" w:sz="6" w:space="0"/>
              <w:right w:val="single" w:color="auto" w:sz="6" w:space="0"/>
            </w:tcBorders>
            <w:shd w:val="clear" w:color="auto" w:fill="auto"/>
            <w:vAlign w:val="center"/>
          </w:tcPr>
          <w:p w14:paraId="3E7C2871">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eastAsia="宋体" w:cs="仿宋"/>
                <w:kern w:val="0"/>
                <w:szCs w:val="21"/>
                <w:highlight w:val="none"/>
                <w:lang w:val="en-US"/>
              </w:rPr>
            </w:pPr>
            <w:r>
              <w:rPr>
                <w:rFonts w:hint="eastAsia" w:ascii="宋体" w:hAnsi="宋体" w:eastAsia="宋体" w:cs="仿宋"/>
                <w:kern w:val="0"/>
                <w:sz w:val="24"/>
                <w:szCs w:val="21"/>
                <w:highlight w:val="none"/>
                <w:lang w:val="en-US" w:eastAsia="zh-CN"/>
              </w:rPr>
              <w:t>6</w:t>
            </w:r>
          </w:p>
        </w:tc>
        <w:tc>
          <w:tcPr>
            <w:tcW w:w="2240" w:type="dxa"/>
            <w:tcBorders>
              <w:top w:val="single" w:color="auto" w:sz="6" w:space="0"/>
              <w:left w:val="single" w:color="auto" w:sz="6" w:space="0"/>
              <w:bottom w:val="single" w:color="auto" w:sz="6" w:space="0"/>
              <w:right w:val="double" w:color="auto" w:sz="4" w:space="0"/>
            </w:tcBorders>
            <w:shd w:val="clear" w:color="auto" w:fill="auto"/>
            <w:vAlign w:val="center"/>
          </w:tcPr>
          <w:p w14:paraId="402872FC">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eastAsia="宋体" w:cs="仿宋"/>
                <w:kern w:val="0"/>
                <w:szCs w:val="21"/>
                <w:highlight w:val="none"/>
                <w:lang w:val="en-US"/>
              </w:rPr>
            </w:pPr>
            <w:r>
              <w:rPr>
                <w:rFonts w:hint="eastAsia" w:ascii="宋体" w:hAnsi="宋体" w:eastAsia="宋体" w:cs="仿宋"/>
                <w:kern w:val="0"/>
                <w:sz w:val="24"/>
                <w:szCs w:val="21"/>
                <w:highlight w:val="none"/>
                <w:lang w:val="en-US" w:eastAsia="zh-CN"/>
              </w:rPr>
              <w:t>7</w:t>
            </w:r>
          </w:p>
        </w:tc>
      </w:tr>
      <w:tr w14:paraId="1DEA88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550" w:hRule="atLeast"/>
          <w:jc w:val="center"/>
        </w:trPr>
        <w:tc>
          <w:tcPr>
            <w:tcW w:w="815" w:type="dxa"/>
            <w:tcBorders>
              <w:top w:val="single" w:color="auto" w:sz="6" w:space="0"/>
              <w:left w:val="double" w:color="auto" w:sz="4" w:space="0"/>
              <w:bottom w:val="single" w:color="auto" w:sz="6" w:space="0"/>
              <w:right w:val="single" w:color="auto" w:sz="6" w:space="0"/>
            </w:tcBorders>
            <w:shd w:val="clear" w:color="auto" w:fill="auto"/>
            <w:vAlign w:val="center"/>
          </w:tcPr>
          <w:p w14:paraId="0E23320A">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eastAsia="宋体" w:cs="仿宋"/>
                <w:kern w:val="0"/>
                <w:szCs w:val="21"/>
                <w:highlight w:val="none"/>
                <w:lang w:val="en-US"/>
              </w:rPr>
            </w:pPr>
            <w:r>
              <w:rPr>
                <w:rFonts w:hint="eastAsia" w:ascii="宋体" w:hAnsi="宋体" w:eastAsia="宋体" w:cs="仿宋"/>
                <w:kern w:val="0"/>
                <w:sz w:val="24"/>
                <w:szCs w:val="21"/>
                <w:highlight w:val="none"/>
                <w:lang w:val="en-US" w:eastAsia="zh-CN"/>
              </w:rPr>
              <w:t>序号</w:t>
            </w:r>
          </w:p>
        </w:tc>
        <w:tc>
          <w:tcPr>
            <w:tcW w:w="2112" w:type="dxa"/>
            <w:tcBorders>
              <w:top w:val="single" w:color="auto" w:sz="6" w:space="0"/>
              <w:left w:val="single" w:color="auto" w:sz="6" w:space="0"/>
              <w:bottom w:val="single" w:color="auto" w:sz="6" w:space="0"/>
              <w:right w:val="single" w:color="auto" w:sz="6" w:space="0"/>
            </w:tcBorders>
            <w:shd w:val="clear" w:color="auto" w:fill="auto"/>
            <w:vAlign w:val="center"/>
          </w:tcPr>
          <w:p w14:paraId="17FF2B2E">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eastAsia="宋体" w:cs="仿宋"/>
                <w:kern w:val="0"/>
                <w:szCs w:val="21"/>
                <w:highlight w:val="none"/>
                <w:lang w:val="en-US"/>
              </w:rPr>
            </w:pPr>
            <w:r>
              <w:rPr>
                <w:rFonts w:hint="eastAsia" w:ascii="宋体" w:hAnsi="宋体" w:eastAsia="宋体" w:cs="仿宋"/>
                <w:kern w:val="0"/>
                <w:sz w:val="24"/>
                <w:szCs w:val="21"/>
                <w:highlight w:val="none"/>
                <w:lang w:val="en-US" w:eastAsia="zh-CN"/>
              </w:rPr>
              <w:t>货物名称</w:t>
            </w:r>
          </w:p>
        </w:tc>
        <w:tc>
          <w:tcPr>
            <w:tcW w:w="862" w:type="dxa"/>
            <w:tcBorders>
              <w:top w:val="single" w:color="auto" w:sz="6" w:space="0"/>
              <w:left w:val="single" w:color="auto" w:sz="6" w:space="0"/>
              <w:bottom w:val="single" w:color="auto" w:sz="6" w:space="0"/>
              <w:right w:val="single" w:color="auto" w:sz="6" w:space="0"/>
            </w:tcBorders>
            <w:shd w:val="clear" w:color="auto" w:fill="auto"/>
            <w:vAlign w:val="center"/>
          </w:tcPr>
          <w:p w14:paraId="58B7C964">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eastAsia="宋体" w:cs="仿宋"/>
                <w:kern w:val="0"/>
                <w:szCs w:val="21"/>
                <w:highlight w:val="none"/>
                <w:lang w:val="en-US"/>
              </w:rPr>
            </w:pPr>
            <w:r>
              <w:rPr>
                <w:rFonts w:hint="eastAsia" w:ascii="宋体" w:hAnsi="宋体" w:eastAsia="宋体" w:cs="仿宋"/>
                <w:kern w:val="0"/>
                <w:sz w:val="24"/>
                <w:szCs w:val="21"/>
                <w:highlight w:val="none"/>
                <w:lang w:val="en-US" w:eastAsia="zh-CN"/>
              </w:rPr>
              <w:t>数量</w:t>
            </w:r>
          </w:p>
        </w:tc>
        <w:tc>
          <w:tcPr>
            <w:tcW w:w="1033" w:type="dxa"/>
            <w:tcBorders>
              <w:top w:val="single" w:color="auto" w:sz="6" w:space="0"/>
              <w:left w:val="single" w:color="auto" w:sz="6" w:space="0"/>
              <w:bottom w:val="single" w:color="auto" w:sz="6" w:space="0"/>
              <w:right w:val="single" w:color="auto" w:sz="6" w:space="0"/>
            </w:tcBorders>
            <w:shd w:val="clear" w:color="auto" w:fill="auto"/>
            <w:vAlign w:val="center"/>
          </w:tcPr>
          <w:p w14:paraId="2F613DAD">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eastAsia="宋体" w:cs="仿宋"/>
                <w:kern w:val="0"/>
                <w:szCs w:val="21"/>
                <w:highlight w:val="none"/>
                <w:lang w:val="en-US"/>
              </w:rPr>
            </w:pPr>
            <w:r>
              <w:rPr>
                <w:rFonts w:hint="eastAsia" w:ascii="宋体" w:hAnsi="宋体" w:eastAsia="宋体" w:cs="仿宋"/>
                <w:kern w:val="0"/>
                <w:sz w:val="24"/>
                <w:szCs w:val="21"/>
                <w:highlight w:val="none"/>
                <w:lang w:val="en-US" w:eastAsia="zh-CN"/>
              </w:rPr>
              <w:t>单价（元）</w:t>
            </w:r>
          </w:p>
        </w:tc>
        <w:tc>
          <w:tcPr>
            <w:tcW w:w="1207" w:type="dxa"/>
            <w:tcBorders>
              <w:top w:val="single" w:color="auto" w:sz="6" w:space="0"/>
              <w:left w:val="single" w:color="auto" w:sz="6" w:space="0"/>
              <w:bottom w:val="single" w:color="auto" w:sz="6" w:space="0"/>
              <w:right w:val="single" w:color="auto" w:sz="6" w:space="0"/>
            </w:tcBorders>
            <w:shd w:val="clear" w:color="auto" w:fill="auto"/>
            <w:vAlign w:val="center"/>
          </w:tcPr>
          <w:p w14:paraId="4F5E5004">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eastAsia="宋体" w:cs="仿宋"/>
                <w:kern w:val="0"/>
                <w:szCs w:val="21"/>
                <w:highlight w:val="none"/>
                <w:lang w:val="en-US"/>
              </w:rPr>
            </w:pPr>
            <w:r>
              <w:rPr>
                <w:rFonts w:hint="eastAsia" w:ascii="宋体" w:hAnsi="宋体" w:eastAsia="宋体" w:cs="仿宋"/>
                <w:kern w:val="0"/>
                <w:sz w:val="24"/>
                <w:szCs w:val="21"/>
                <w:highlight w:val="none"/>
                <w:lang w:val="en-US" w:eastAsia="zh-CN"/>
              </w:rPr>
              <w:t>总额（元）</w:t>
            </w:r>
          </w:p>
        </w:tc>
        <w:tc>
          <w:tcPr>
            <w:tcW w:w="2411" w:type="dxa"/>
            <w:tcBorders>
              <w:top w:val="single" w:color="auto" w:sz="6" w:space="0"/>
              <w:left w:val="single" w:color="auto" w:sz="6" w:space="0"/>
              <w:bottom w:val="single" w:color="auto" w:sz="6" w:space="0"/>
              <w:right w:val="single" w:color="auto" w:sz="6" w:space="0"/>
            </w:tcBorders>
            <w:shd w:val="clear" w:color="auto" w:fill="auto"/>
            <w:vAlign w:val="center"/>
          </w:tcPr>
          <w:p w14:paraId="74859E71">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eastAsia="宋体" w:cs="仿宋"/>
                <w:kern w:val="0"/>
                <w:szCs w:val="21"/>
                <w:highlight w:val="none"/>
                <w:lang w:val="en-US"/>
              </w:rPr>
            </w:pPr>
            <w:r>
              <w:rPr>
                <w:rFonts w:hint="eastAsia" w:ascii="宋体" w:hAnsi="宋体" w:eastAsia="宋体" w:cs="仿宋"/>
                <w:kern w:val="0"/>
                <w:sz w:val="24"/>
                <w:szCs w:val="21"/>
                <w:highlight w:val="none"/>
                <w:lang w:val="en-US" w:eastAsia="zh-CN"/>
              </w:rPr>
              <w:t>货物制造商名称</w:t>
            </w:r>
          </w:p>
        </w:tc>
        <w:tc>
          <w:tcPr>
            <w:tcW w:w="2240" w:type="dxa"/>
            <w:tcBorders>
              <w:top w:val="single" w:color="auto" w:sz="6" w:space="0"/>
              <w:left w:val="single" w:color="auto" w:sz="6" w:space="0"/>
              <w:bottom w:val="single" w:color="auto" w:sz="6" w:space="0"/>
              <w:right w:val="double" w:color="auto" w:sz="4" w:space="0"/>
            </w:tcBorders>
            <w:shd w:val="clear" w:color="auto" w:fill="auto"/>
            <w:vAlign w:val="center"/>
          </w:tcPr>
          <w:p w14:paraId="14EC603D">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eastAsia="宋体" w:cs="仿宋"/>
                <w:kern w:val="0"/>
                <w:szCs w:val="21"/>
                <w:highlight w:val="none"/>
                <w:lang w:val="en-US"/>
              </w:rPr>
            </w:pPr>
            <w:r>
              <w:rPr>
                <w:rFonts w:hint="eastAsia" w:ascii="宋体" w:hAnsi="宋体" w:eastAsia="宋体" w:cs="仿宋"/>
                <w:kern w:val="0"/>
                <w:sz w:val="24"/>
                <w:szCs w:val="21"/>
                <w:highlight w:val="none"/>
                <w:lang w:val="en-US" w:eastAsia="zh-CN"/>
              </w:rPr>
              <w:t>政策功能编码</w:t>
            </w:r>
          </w:p>
        </w:tc>
      </w:tr>
      <w:tr w14:paraId="4EDAB4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442" w:hRule="atLeast"/>
          <w:jc w:val="center"/>
        </w:trPr>
        <w:tc>
          <w:tcPr>
            <w:tcW w:w="10680" w:type="dxa"/>
            <w:gridSpan w:val="7"/>
            <w:tcBorders>
              <w:top w:val="single" w:color="auto" w:sz="6" w:space="0"/>
              <w:left w:val="double" w:color="auto" w:sz="4" w:space="0"/>
              <w:bottom w:val="single" w:color="auto" w:sz="6" w:space="0"/>
              <w:right w:val="double" w:color="auto" w:sz="4" w:space="0"/>
            </w:tcBorders>
            <w:shd w:val="clear" w:color="auto" w:fill="auto"/>
            <w:vAlign w:val="center"/>
          </w:tcPr>
          <w:p w14:paraId="45DB8DEE">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仿宋"/>
                <w:b/>
                <w:bCs w:val="0"/>
                <w:szCs w:val="21"/>
                <w:highlight w:val="none"/>
                <w:lang w:val="en-US"/>
              </w:rPr>
            </w:pPr>
            <w:r>
              <w:rPr>
                <w:rFonts w:hint="eastAsia" w:ascii="宋体" w:hAnsi="宋体" w:eastAsia="宋体" w:cs="仿宋"/>
                <w:b/>
                <w:bCs w:val="0"/>
                <w:kern w:val="2"/>
                <w:sz w:val="24"/>
                <w:szCs w:val="21"/>
                <w:highlight w:val="none"/>
                <w:lang w:val="en-US" w:eastAsia="zh-CN"/>
              </w:rPr>
              <w:t>节能产品</w:t>
            </w:r>
          </w:p>
        </w:tc>
      </w:tr>
      <w:tr w14:paraId="53B085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15" w:type="dxa"/>
            <w:tcBorders>
              <w:top w:val="single" w:color="auto" w:sz="6" w:space="0"/>
              <w:left w:val="double" w:color="auto" w:sz="4" w:space="0"/>
              <w:bottom w:val="single" w:color="auto" w:sz="6" w:space="0"/>
              <w:right w:val="single" w:color="auto" w:sz="6" w:space="0"/>
            </w:tcBorders>
            <w:shd w:val="clear" w:color="auto" w:fill="auto"/>
            <w:vAlign w:val="center"/>
          </w:tcPr>
          <w:p w14:paraId="00156318">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p>
        </w:tc>
        <w:tc>
          <w:tcPr>
            <w:tcW w:w="2112" w:type="dxa"/>
            <w:tcBorders>
              <w:top w:val="single" w:color="auto" w:sz="6" w:space="0"/>
              <w:left w:val="single" w:color="auto" w:sz="6" w:space="0"/>
              <w:bottom w:val="single" w:color="auto" w:sz="6" w:space="0"/>
              <w:right w:val="single" w:color="auto" w:sz="6" w:space="0"/>
            </w:tcBorders>
            <w:shd w:val="clear" w:color="auto" w:fill="auto"/>
            <w:vAlign w:val="center"/>
          </w:tcPr>
          <w:p w14:paraId="66CCAE90">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p>
        </w:tc>
        <w:tc>
          <w:tcPr>
            <w:tcW w:w="862" w:type="dxa"/>
            <w:tcBorders>
              <w:top w:val="single" w:color="auto" w:sz="6" w:space="0"/>
              <w:left w:val="single" w:color="auto" w:sz="6" w:space="0"/>
              <w:bottom w:val="single" w:color="auto" w:sz="6" w:space="0"/>
              <w:right w:val="single" w:color="auto" w:sz="6" w:space="0"/>
            </w:tcBorders>
            <w:shd w:val="clear" w:color="auto" w:fill="auto"/>
            <w:vAlign w:val="center"/>
          </w:tcPr>
          <w:p w14:paraId="3132F2DF">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p>
        </w:tc>
        <w:tc>
          <w:tcPr>
            <w:tcW w:w="1033" w:type="dxa"/>
            <w:tcBorders>
              <w:top w:val="single" w:color="auto" w:sz="6" w:space="0"/>
              <w:left w:val="single" w:color="auto" w:sz="6" w:space="0"/>
              <w:bottom w:val="single" w:color="auto" w:sz="6" w:space="0"/>
              <w:right w:val="single" w:color="auto" w:sz="6" w:space="0"/>
            </w:tcBorders>
            <w:shd w:val="clear" w:color="auto" w:fill="auto"/>
            <w:vAlign w:val="center"/>
          </w:tcPr>
          <w:p w14:paraId="0DB94D5B">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p>
        </w:tc>
        <w:tc>
          <w:tcPr>
            <w:tcW w:w="1207" w:type="dxa"/>
            <w:tcBorders>
              <w:top w:val="single" w:color="auto" w:sz="6" w:space="0"/>
              <w:left w:val="single" w:color="auto" w:sz="6" w:space="0"/>
              <w:bottom w:val="single" w:color="auto" w:sz="6" w:space="0"/>
              <w:right w:val="single" w:color="auto" w:sz="6" w:space="0"/>
            </w:tcBorders>
            <w:shd w:val="clear" w:color="auto" w:fill="auto"/>
            <w:vAlign w:val="center"/>
          </w:tcPr>
          <w:p w14:paraId="4F2A217D">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仿宋"/>
                <w:b/>
                <w:bCs w:val="0"/>
                <w:szCs w:val="21"/>
                <w:highlight w:val="none"/>
                <w:lang w:val="en-US"/>
              </w:rPr>
            </w:pPr>
          </w:p>
        </w:tc>
        <w:tc>
          <w:tcPr>
            <w:tcW w:w="2411" w:type="dxa"/>
            <w:tcBorders>
              <w:top w:val="single" w:color="auto" w:sz="6" w:space="0"/>
              <w:left w:val="single" w:color="auto" w:sz="6" w:space="0"/>
              <w:bottom w:val="single" w:color="auto" w:sz="6" w:space="0"/>
              <w:right w:val="single" w:color="auto" w:sz="6" w:space="0"/>
            </w:tcBorders>
            <w:shd w:val="clear" w:color="auto" w:fill="auto"/>
            <w:vAlign w:val="center"/>
          </w:tcPr>
          <w:p w14:paraId="3BC0F356">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p>
        </w:tc>
        <w:tc>
          <w:tcPr>
            <w:tcW w:w="2240" w:type="dxa"/>
            <w:tcBorders>
              <w:top w:val="single" w:color="auto" w:sz="6" w:space="0"/>
              <w:left w:val="single" w:color="auto" w:sz="6" w:space="0"/>
              <w:bottom w:val="single" w:color="auto" w:sz="6" w:space="0"/>
              <w:right w:val="double" w:color="auto" w:sz="4" w:space="0"/>
            </w:tcBorders>
            <w:shd w:val="clear" w:color="auto" w:fill="auto"/>
          </w:tcPr>
          <w:p w14:paraId="663BF5FE">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p>
        </w:tc>
      </w:tr>
      <w:tr w14:paraId="4D8714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15" w:type="dxa"/>
            <w:tcBorders>
              <w:top w:val="single" w:color="auto" w:sz="6" w:space="0"/>
              <w:left w:val="double" w:color="auto" w:sz="4" w:space="0"/>
              <w:bottom w:val="single" w:color="auto" w:sz="6" w:space="0"/>
              <w:right w:val="single" w:color="auto" w:sz="6" w:space="0"/>
            </w:tcBorders>
            <w:shd w:val="clear" w:color="auto" w:fill="auto"/>
            <w:vAlign w:val="center"/>
          </w:tcPr>
          <w:p w14:paraId="31B808DD">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szCs w:val="21"/>
                <w:highlight w:val="none"/>
                <w:lang w:val="en-US"/>
              </w:rPr>
            </w:pPr>
            <w:r>
              <w:rPr>
                <w:rFonts w:hint="eastAsia" w:ascii="宋体" w:hAnsi="宋体" w:eastAsia="宋体" w:cs="仿宋"/>
                <w:kern w:val="2"/>
                <w:sz w:val="24"/>
                <w:szCs w:val="21"/>
                <w:highlight w:val="none"/>
                <w:lang w:val="en-US" w:eastAsia="zh-CN"/>
              </w:rPr>
              <w:t>小计</w:t>
            </w:r>
          </w:p>
        </w:tc>
        <w:tc>
          <w:tcPr>
            <w:tcW w:w="2112" w:type="dxa"/>
            <w:tcBorders>
              <w:top w:val="single" w:color="auto" w:sz="6" w:space="0"/>
              <w:left w:val="single" w:color="auto" w:sz="6" w:space="0"/>
              <w:bottom w:val="single" w:color="auto" w:sz="6" w:space="0"/>
              <w:right w:val="single" w:color="auto" w:sz="6" w:space="0"/>
            </w:tcBorders>
            <w:shd w:val="clear" w:color="auto" w:fill="auto"/>
            <w:vAlign w:val="center"/>
          </w:tcPr>
          <w:p w14:paraId="480E1660">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r>
              <w:rPr>
                <w:rFonts w:hint="eastAsia" w:ascii="宋体" w:hAnsi="宋体" w:eastAsia="宋体" w:cs="仿宋"/>
                <w:b/>
                <w:bCs w:val="0"/>
                <w:kern w:val="2"/>
                <w:sz w:val="24"/>
                <w:szCs w:val="21"/>
                <w:highlight w:val="none"/>
                <w:lang w:val="en-US" w:eastAsia="zh-CN"/>
              </w:rPr>
              <w:t>/</w:t>
            </w:r>
          </w:p>
        </w:tc>
        <w:tc>
          <w:tcPr>
            <w:tcW w:w="862" w:type="dxa"/>
            <w:tcBorders>
              <w:top w:val="single" w:color="auto" w:sz="6" w:space="0"/>
              <w:left w:val="single" w:color="auto" w:sz="6" w:space="0"/>
              <w:bottom w:val="single" w:color="auto" w:sz="6" w:space="0"/>
              <w:right w:val="single" w:color="auto" w:sz="6" w:space="0"/>
            </w:tcBorders>
            <w:shd w:val="clear" w:color="auto" w:fill="auto"/>
            <w:vAlign w:val="center"/>
          </w:tcPr>
          <w:p w14:paraId="7C2A49C1">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r>
              <w:rPr>
                <w:rFonts w:hint="eastAsia" w:ascii="宋体" w:hAnsi="宋体" w:eastAsia="宋体" w:cs="仿宋"/>
                <w:b/>
                <w:bCs w:val="0"/>
                <w:kern w:val="2"/>
                <w:sz w:val="24"/>
                <w:szCs w:val="21"/>
                <w:highlight w:val="none"/>
                <w:lang w:val="en-US" w:eastAsia="zh-CN"/>
              </w:rPr>
              <w:t>/</w:t>
            </w:r>
          </w:p>
        </w:tc>
        <w:tc>
          <w:tcPr>
            <w:tcW w:w="1033" w:type="dxa"/>
            <w:tcBorders>
              <w:top w:val="single" w:color="auto" w:sz="6" w:space="0"/>
              <w:left w:val="single" w:color="auto" w:sz="6" w:space="0"/>
              <w:bottom w:val="single" w:color="auto" w:sz="6" w:space="0"/>
              <w:right w:val="single" w:color="auto" w:sz="6" w:space="0"/>
            </w:tcBorders>
            <w:shd w:val="clear" w:color="auto" w:fill="auto"/>
            <w:vAlign w:val="center"/>
          </w:tcPr>
          <w:p w14:paraId="0E3E294B">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r>
              <w:rPr>
                <w:rFonts w:hint="eastAsia" w:ascii="宋体" w:hAnsi="宋体" w:eastAsia="宋体" w:cs="仿宋"/>
                <w:b/>
                <w:bCs w:val="0"/>
                <w:kern w:val="2"/>
                <w:sz w:val="24"/>
                <w:szCs w:val="21"/>
                <w:highlight w:val="none"/>
                <w:lang w:val="en-US" w:eastAsia="zh-CN"/>
              </w:rPr>
              <w:t>/</w:t>
            </w:r>
          </w:p>
        </w:tc>
        <w:tc>
          <w:tcPr>
            <w:tcW w:w="1207" w:type="dxa"/>
            <w:tcBorders>
              <w:top w:val="single" w:color="auto" w:sz="6" w:space="0"/>
              <w:left w:val="single" w:color="auto" w:sz="6" w:space="0"/>
              <w:bottom w:val="single" w:color="auto" w:sz="6" w:space="0"/>
              <w:right w:val="single" w:color="auto" w:sz="6" w:space="0"/>
            </w:tcBorders>
            <w:shd w:val="clear" w:color="auto" w:fill="auto"/>
            <w:vAlign w:val="center"/>
          </w:tcPr>
          <w:p w14:paraId="2B7FE141">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仿宋"/>
                <w:b/>
                <w:bCs w:val="0"/>
                <w:szCs w:val="21"/>
                <w:highlight w:val="none"/>
                <w:lang w:val="en-US"/>
              </w:rPr>
            </w:pPr>
          </w:p>
        </w:tc>
        <w:tc>
          <w:tcPr>
            <w:tcW w:w="2411" w:type="dxa"/>
            <w:tcBorders>
              <w:top w:val="single" w:color="auto" w:sz="6" w:space="0"/>
              <w:left w:val="single" w:color="auto" w:sz="6" w:space="0"/>
              <w:bottom w:val="single" w:color="auto" w:sz="6" w:space="0"/>
              <w:right w:val="single" w:color="auto" w:sz="6" w:space="0"/>
            </w:tcBorders>
            <w:shd w:val="clear" w:color="auto" w:fill="auto"/>
            <w:vAlign w:val="center"/>
          </w:tcPr>
          <w:p w14:paraId="027F1C88">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r>
              <w:rPr>
                <w:rFonts w:hint="eastAsia" w:ascii="宋体" w:hAnsi="宋体" w:eastAsia="宋体" w:cs="仿宋"/>
                <w:b/>
                <w:bCs w:val="0"/>
                <w:kern w:val="2"/>
                <w:sz w:val="24"/>
                <w:szCs w:val="21"/>
                <w:highlight w:val="none"/>
                <w:lang w:val="en-US" w:eastAsia="zh-CN"/>
              </w:rPr>
              <w:t>/</w:t>
            </w:r>
          </w:p>
        </w:tc>
        <w:tc>
          <w:tcPr>
            <w:tcW w:w="2240" w:type="dxa"/>
            <w:tcBorders>
              <w:top w:val="single" w:color="auto" w:sz="6" w:space="0"/>
              <w:left w:val="single" w:color="auto" w:sz="6" w:space="0"/>
              <w:bottom w:val="single" w:color="auto" w:sz="6" w:space="0"/>
              <w:right w:val="double" w:color="auto" w:sz="4" w:space="0"/>
            </w:tcBorders>
            <w:shd w:val="clear" w:color="auto" w:fill="auto"/>
          </w:tcPr>
          <w:p w14:paraId="40A13D37">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r>
              <w:rPr>
                <w:rFonts w:hint="eastAsia" w:ascii="宋体" w:hAnsi="宋体" w:eastAsia="宋体" w:cs="仿宋"/>
                <w:b/>
                <w:bCs w:val="0"/>
                <w:kern w:val="2"/>
                <w:sz w:val="24"/>
                <w:szCs w:val="21"/>
                <w:highlight w:val="none"/>
                <w:lang w:val="en-US" w:eastAsia="zh-CN"/>
              </w:rPr>
              <w:t>/</w:t>
            </w:r>
          </w:p>
        </w:tc>
      </w:tr>
      <w:tr w14:paraId="6BD9FB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442" w:hRule="atLeast"/>
          <w:jc w:val="center"/>
        </w:trPr>
        <w:tc>
          <w:tcPr>
            <w:tcW w:w="10680" w:type="dxa"/>
            <w:gridSpan w:val="7"/>
            <w:tcBorders>
              <w:top w:val="single" w:color="auto" w:sz="6" w:space="0"/>
              <w:left w:val="double" w:color="auto" w:sz="4" w:space="0"/>
              <w:bottom w:val="single" w:color="auto" w:sz="6" w:space="0"/>
              <w:right w:val="double" w:color="auto" w:sz="4" w:space="0"/>
            </w:tcBorders>
            <w:shd w:val="clear" w:color="auto" w:fill="auto"/>
            <w:vAlign w:val="center"/>
          </w:tcPr>
          <w:p w14:paraId="265867E6">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仿宋"/>
                <w:b/>
                <w:bCs w:val="0"/>
                <w:szCs w:val="21"/>
                <w:highlight w:val="none"/>
                <w:lang w:val="en-US"/>
              </w:rPr>
            </w:pPr>
            <w:r>
              <w:rPr>
                <w:rFonts w:hint="eastAsia" w:ascii="宋体" w:hAnsi="宋体" w:eastAsia="宋体" w:cs="仿宋"/>
                <w:b/>
                <w:bCs w:val="0"/>
                <w:kern w:val="2"/>
                <w:sz w:val="24"/>
                <w:szCs w:val="21"/>
                <w:highlight w:val="none"/>
                <w:lang w:val="en-US" w:eastAsia="zh-CN"/>
              </w:rPr>
              <w:t>环境标志产品</w:t>
            </w:r>
          </w:p>
        </w:tc>
      </w:tr>
      <w:tr w14:paraId="5EAD84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442" w:hRule="atLeast"/>
          <w:jc w:val="center"/>
        </w:trPr>
        <w:tc>
          <w:tcPr>
            <w:tcW w:w="815" w:type="dxa"/>
            <w:tcBorders>
              <w:top w:val="single" w:color="auto" w:sz="6" w:space="0"/>
              <w:left w:val="double" w:color="auto" w:sz="4" w:space="0"/>
              <w:bottom w:val="single" w:color="auto" w:sz="6" w:space="0"/>
              <w:right w:val="single" w:color="auto" w:sz="6" w:space="0"/>
            </w:tcBorders>
            <w:shd w:val="clear" w:color="auto" w:fill="auto"/>
            <w:vAlign w:val="center"/>
          </w:tcPr>
          <w:p w14:paraId="60307A94">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p>
        </w:tc>
        <w:tc>
          <w:tcPr>
            <w:tcW w:w="2112" w:type="dxa"/>
            <w:tcBorders>
              <w:top w:val="single" w:color="auto" w:sz="6" w:space="0"/>
              <w:left w:val="single" w:color="auto" w:sz="6" w:space="0"/>
              <w:bottom w:val="single" w:color="auto" w:sz="6" w:space="0"/>
              <w:right w:val="single" w:color="auto" w:sz="6" w:space="0"/>
            </w:tcBorders>
            <w:shd w:val="clear" w:color="auto" w:fill="auto"/>
            <w:vAlign w:val="center"/>
          </w:tcPr>
          <w:p w14:paraId="4C71F7BE">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p>
        </w:tc>
        <w:tc>
          <w:tcPr>
            <w:tcW w:w="862" w:type="dxa"/>
            <w:tcBorders>
              <w:top w:val="single" w:color="auto" w:sz="6" w:space="0"/>
              <w:left w:val="single" w:color="auto" w:sz="6" w:space="0"/>
              <w:bottom w:val="single" w:color="auto" w:sz="6" w:space="0"/>
              <w:right w:val="single" w:color="auto" w:sz="6" w:space="0"/>
            </w:tcBorders>
            <w:shd w:val="clear" w:color="auto" w:fill="auto"/>
            <w:vAlign w:val="center"/>
          </w:tcPr>
          <w:p w14:paraId="6769756D">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p>
        </w:tc>
        <w:tc>
          <w:tcPr>
            <w:tcW w:w="1033" w:type="dxa"/>
            <w:tcBorders>
              <w:top w:val="single" w:color="auto" w:sz="6" w:space="0"/>
              <w:left w:val="single" w:color="auto" w:sz="6" w:space="0"/>
              <w:bottom w:val="single" w:color="auto" w:sz="6" w:space="0"/>
              <w:right w:val="single" w:color="auto" w:sz="6" w:space="0"/>
            </w:tcBorders>
            <w:shd w:val="clear" w:color="auto" w:fill="auto"/>
            <w:vAlign w:val="center"/>
          </w:tcPr>
          <w:p w14:paraId="3222E5FA">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p>
        </w:tc>
        <w:tc>
          <w:tcPr>
            <w:tcW w:w="1207" w:type="dxa"/>
            <w:tcBorders>
              <w:top w:val="single" w:color="auto" w:sz="6" w:space="0"/>
              <w:left w:val="single" w:color="auto" w:sz="6" w:space="0"/>
              <w:bottom w:val="single" w:color="auto" w:sz="6" w:space="0"/>
              <w:right w:val="single" w:color="auto" w:sz="6" w:space="0"/>
            </w:tcBorders>
            <w:shd w:val="clear" w:color="auto" w:fill="auto"/>
            <w:vAlign w:val="center"/>
          </w:tcPr>
          <w:p w14:paraId="56A33464">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仿宋"/>
                <w:b/>
                <w:bCs w:val="0"/>
                <w:szCs w:val="21"/>
                <w:highlight w:val="none"/>
                <w:lang w:val="en-US"/>
              </w:rPr>
            </w:pPr>
          </w:p>
        </w:tc>
        <w:tc>
          <w:tcPr>
            <w:tcW w:w="2411" w:type="dxa"/>
            <w:tcBorders>
              <w:top w:val="single" w:color="auto" w:sz="6" w:space="0"/>
              <w:left w:val="single" w:color="auto" w:sz="6" w:space="0"/>
              <w:bottom w:val="single" w:color="auto" w:sz="6" w:space="0"/>
              <w:right w:val="single" w:color="auto" w:sz="6" w:space="0"/>
            </w:tcBorders>
            <w:shd w:val="clear" w:color="auto" w:fill="auto"/>
            <w:vAlign w:val="center"/>
          </w:tcPr>
          <w:p w14:paraId="4031FAF3">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p>
        </w:tc>
        <w:tc>
          <w:tcPr>
            <w:tcW w:w="2240" w:type="dxa"/>
            <w:tcBorders>
              <w:top w:val="single" w:color="auto" w:sz="6" w:space="0"/>
              <w:left w:val="single" w:color="auto" w:sz="6" w:space="0"/>
              <w:bottom w:val="single" w:color="auto" w:sz="6" w:space="0"/>
              <w:right w:val="double" w:color="auto" w:sz="4" w:space="0"/>
            </w:tcBorders>
            <w:shd w:val="clear" w:color="auto" w:fill="auto"/>
          </w:tcPr>
          <w:p w14:paraId="5EAA45C1">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p>
        </w:tc>
      </w:tr>
      <w:tr w14:paraId="7B127F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15" w:type="dxa"/>
            <w:tcBorders>
              <w:top w:val="single" w:color="auto" w:sz="6" w:space="0"/>
              <w:left w:val="double" w:color="auto" w:sz="4" w:space="0"/>
              <w:bottom w:val="single" w:color="auto" w:sz="6" w:space="0"/>
              <w:right w:val="single" w:color="auto" w:sz="6" w:space="0"/>
            </w:tcBorders>
            <w:shd w:val="clear" w:color="auto" w:fill="auto"/>
            <w:vAlign w:val="center"/>
          </w:tcPr>
          <w:p w14:paraId="337CA985">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szCs w:val="21"/>
                <w:highlight w:val="none"/>
                <w:lang w:val="en-US"/>
              </w:rPr>
            </w:pPr>
            <w:r>
              <w:rPr>
                <w:rFonts w:hint="eastAsia" w:ascii="宋体" w:hAnsi="宋体" w:eastAsia="宋体" w:cs="仿宋"/>
                <w:kern w:val="2"/>
                <w:sz w:val="24"/>
                <w:szCs w:val="21"/>
                <w:highlight w:val="none"/>
                <w:lang w:val="en-US" w:eastAsia="zh-CN"/>
              </w:rPr>
              <w:t>小计</w:t>
            </w:r>
          </w:p>
        </w:tc>
        <w:tc>
          <w:tcPr>
            <w:tcW w:w="2112" w:type="dxa"/>
            <w:tcBorders>
              <w:top w:val="single" w:color="auto" w:sz="6" w:space="0"/>
              <w:left w:val="single" w:color="auto" w:sz="6" w:space="0"/>
              <w:bottom w:val="single" w:color="auto" w:sz="6" w:space="0"/>
              <w:right w:val="single" w:color="auto" w:sz="6" w:space="0"/>
            </w:tcBorders>
            <w:shd w:val="clear" w:color="auto" w:fill="auto"/>
            <w:vAlign w:val="center"/>
          </w:tcPr>
          <w:p w14:paraId="6EB6068D">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r>
              <w:rPr>
                <w:rFonts w:hint="eastAsia" w:ascii="宋体" w:hAnsi="宋体" w:eastAsia="宋体" w:cs="仿宋"/>
                <w:b/>
                <w:bCs w:val="0"/>
                <w:kern w:val="2"/>
                <w:sz w:val="24"/>
                <w:szCs w:val="21"/>
                <w:highlight w:val="none"/>
                <w:lang w:val="en-US" w:eastAsia="zh-CN"/>
              </w:rPr>
              <w:t>/</w:t>
            </w:r>
          </w:p>
        </w:tc>
        <w:tc>
          <w:tcPr>
            <w:tcW w:w="862" w:type="dxa"/>
            <w:tcBorders>
              <w:top w:val="single" w:color="auto" w:sz="6" w:space="0"/>
              <w:left w:val="single" w:color="auto" w:sz="6" w:space="0"/>
              <w:bottom w:val="single" w:color="auto" w:sz="6" w:space="0"/>
              <w:right w:val="single" w:color="auto" w:sz="6" w:space="0"/>
            </w:tcBorders>
            <w:shd w:val="clear" w:color="auto" w:fill="auto"/>
            <w:vAlign w:val="center"/>
          </w:tcPr>
          <w:p w14:paraId="285FE261">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r>
              <w:rPr>
                <w:rFonts w:hint="eastAsia" w:ascii="宋体" w:hAnsi="宋体" w:eastAsia="宋体" w:cs="仿宋"/>
                <w:b/>
                <w:bCs w:val="0"/>
                <w:kern w:val="2"/>
                <w:sz w:val="24"/>
                <w:szCs w:val="21"/>
                <w:highlight w:val="none"/>
                <w:lang w:val="en-US" w:eastAsia="zh-CN"/>
              </w:rPr>
              <w:t>/</w:t>
            </w:r>
          </w:p>
        </w:tc>
        <w:tc>
          <w:tcPr>
            <w:tcW w:w="1033" w:type="dxa"/>
            <w:tcBorders>
              <w:top w:val="single" w:color="auto" w:sz="6" w:space="0"/>
              <w:left w:val="single" w:color="auto" w:sz="6" w:space="0"/>
              <w:bottom w:val="single" w:color="auto" w:sz="6" w:space="0"/>
              <w:right w:val="single" w:color="auto" w:sz="6" w:space="0"/>
            </w:tcBorders>
            <w:shd w:val="clear" w:color="auto" w:fill="auto"/>
            <w:vAlign w:val="center"/>
          </w:tcPr>
          <w:p w14:paraId="3756B0D1">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r>
              <w:rPr>
                <w:rFonts w:hint="eastAsia" w:ascii="宋体" w:hAnsi="宋体" w:eastAsia="宋体" w:cs="仿宋"/>
                <w:b/>
                <w:bCs w:val="0"/>
                <w:kern w:val="2"/>
                <w:sz w:val="24"/>
                <w:szCs w:val="21"/>
                <w:highlight w:val="none"/>
                <w:lang w:val="en-US" w:eastAsia="zh-CN"/>
              </w:rPr>
              <w:t>/</w:t>
            </w:r>
          </w:p>
        </w:tc>
        <w:tc>
          <w:tcPr>
            <w:tcW w:w="1207" w:type="dxa"/>
            <w:tcBorders>
              <w:top w:val="single" w:color="auto" w:sz="6" w:space="0"/>
              <w:left w:val="single" w:color="auto" w:sz="6" w:space="0"/>
              <w:bottom w:val="single" w:color="auto" w:sz="6" w:space="0"/>
              <w:right w:val="single" w:color="auto" w:sz="6" w:space="0"/>
            </w:tcBorders>
            <w:shd w:val="clear" w:color="auto" w:fill="auto"/>
            <w:vAlign w:val="center"/>
          </w:tcPr>
          <w:p w14:paraId="098492A2">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仿宋"/>
                <w:b/>
                <w:bCs w:val="0"/>
                <w:szCs w:val="21"/>
                <w:highlight w:val="none"/>
                <w:lang w:val="en-US"/>
              </w:rPr>
            </w:pPr>
          </w:p>
        </w:tc>
        <w:tc>
          <w:tcPr>
            <w:tcW w:w="2411" w:type="dxa"/>
            <w:tcBorders>
              <w:top w:val="single" w:color="auto" w:sz="6" w:space="0"/>
              <w:left w:val="single" w:color="auto" w:sz="6" w:space="0"/>
              <w:bottom w:val="single" w:color="auto" w:sz="6" w:space="0"/>
              <w:right w:val="single" w:color="auto" w:sz="6" w:space="0"/>
            </w:tcBorders>
            <w:shd w:val="clear" w:color="auto" w:fill="auto"/>
            <w:vAlign w:val="center"/>
          </w:tcPr>
          <w:p w14:paraId="5C685F8A">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r>
              <w:rPr>
                <w:rFonts w:hint="eastAsia" w:ascii="宋体" w:hAnsi="宋体" w:eastAsia="宋体" w:cs="仿宋"/>
                <w:b/>
                <w:bCs w:val="0"/>
                <w:kern w:val="2"/>
                <w:sz w:val="24"/>
                <w:szCs w:val="21"/>
                <w:highlight w:val="none"/>
                <w:lang w:val="en-US" w:eastAsia="zh-CN"/>
              </w:rPr>
              <w:t>/</w:t>
            </w:r>
          </w:p>
        </w:tc>
        <w:tc>
          <w:tcPr>
            <w:tcW w:w="2240" w:type="dxa"/>
            <w:tcBorders>
              <w:top w:val="single" w:color="auto" w:sz="6" w:space="0"/>
              <w:left w:val="single" w:color="auto" w:sz="6" w:space="0"/>
              <w:bottom w:val="single" w:color="auto" w:sz="6" w:space="0"/>
              <w:right w:val="double" w:color="auto" w:sz="4" w:space="0"/>
            </w:tcBorders>
            <w:shd w:val="clear" w:color="auto" w:fill="auto"/>
          </w:tcPr>
          <w:p w14:paraId="7F359756">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仿宋"/>
                <w:b/>
                <w:bCs w:val="0"/>
                <w:szCs w:val="21"/>
                <w:highlight w:val="none"/>
                <w:lang w:val="en-US"/>
              </w:rPr>
            </w:pPr>
            <w:r>
              <w:rPr>
                <w:rFonts w:hint="eastAsia" w:ascii="宋体" w:hAnsi="宋体" w:eastAsia="宋体" w:cs="仿宋"/>
                <w:b/>
                <w:bCs w:val="0"/>
                <w:kern w:val="2"/>
                <w:sz w:val="24"/>
                <w:szCs w:val="21"/>
                <w:highlight w:val="none"/>
                <w:lang w:val="en-US" w:eastAsia="zh-CN"/>
              </w:rPr>
              <w:t>/</w:t>
            </w:r>
          </w:p>
        </w:tc>
      </w:tr>
    </w:tbl>
    <w:p w14:paraId="729B3078">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仿宋"/>
          <w:szCs w:val="21"/>
          <w:highlight w:val="none"/>
          <w:lang w:val="en-US"/>
        </w:rPr>
      </w:pPr>
      <w:r>
        <w:rPr>
          <w:rFonts w:hint="eastAsia" w:ascii="宋体" w:hAnsi="宋体" w:eastAsia="宋体" w:cs="仿宋"/>
          <w:kern w:val="2"/>
          <w:sz w:val="24"/>
          <w:szCs w:val="21"/>
          <w:highlight w:val="none"/>
          <w:lang w:val="en-US" w:eastAsia="zh-CN"/>
        </w:rPr>
        <w:t>说明：</w:t>
      </w:r>
      <w:r>
        <w:rPr>
          <w:rFonts w:hint="eastAsia" w:ascii="宋体" w:hAnsi="宋体" w:eastAsia="宋体" w:cs="仿宋"/>
          <w:bCs/>
          <w:kern w:val="2"/>
          <w:sz w:val="24"/>
          <w:szCs w:val="21"/>
          <w:highlight w:val="none"/>
          <w:lang w:val="en-US" w:eastAsia="zh-CN"/>
        </w:rPr>
        <w:t>1、</w:t>
      </w:r>
      <w:r>
        <w:rPr>
          <w:rFonts w:hint="eastAsia" w:ascii="宋体" w:hAnsi="宋体" w:eastAsia="宋体" w:cs="仿宋"/>
          <w:kern w:val="2"/>
          <w:sz w:val="24"/>
          <w:szCs w:val="21"/>
          <w:highlight w:val="none"/>
          <w:lang w:val="en-US" w:eastAsia="zh-CN"/>
        </w:rPr>
        <w:t>本表用于计算节能产品、环境标志产品的政策功能加分或价格扣除。</w:t>
      </w:r>
    </w:p>
    <w:p w14:paraId="65A38FF0">
      <w:pPr>
        <w:keepNext w:val="0"/>
        <w:keepLines w:val="0"/>
        <w:widowControl w:val="0"/>
        <w:suppressLineNumbers w:val="0"/>
        <w:adjustRightInd w:val="0"/>
        <w:snapToGrid w:val="0"/>
        <w:spacing w:before="0" w:beforeAutospacing="0" w:after="0" w:afterAutospacing="0" w:line="360" w:lineRule="auto"/>
        <w:ind w:left="0" w:right="0" w:firstLine="720" w:firstLineChars="300"/>
        <w:jc w:val="left"/>
        <w:rPr>
          <w:rFonts w:hint="eastAsia" w:ascii="宋体" w:hAnsi="宋体" w:eastAsia="宋体" w:cs="仿宋"/>
          <w:sz w:val="24"/>
          <w:szCs w:val="21"/>
          <w:highlight w:val="none"/>
          <w:lang w:val="en-US"/>
        </w:rPr>
      </w:pPr>
      <w:r>
        <w:rPr>
          <w:rFonts w:hint="eastAsia" w:ascii="宋体" w:hAnsi="宋体" w:eastAsia="宋体" w:cs="仿宋"/>
          <w:kern w:val="2"/>
          <w:sz w:val="24"/>
          <w:szCs w:val="21"/>
          <w:highlight w:val="none"/>
          <w:lang w:val="en-US" w:eastAsia="zh-CN"/>
        </w:rPr>
        <w:t>2、栏目7“政策功能编码”是指货物的中国环境标志认证证书编号、节能标志认证证书号（货物同时属于节能产品、环境标志产品的，只填写一种）。</w:t>
      </w:r>
    </w:p>
    <w:p w14:paraId="6ED713BF">
      <w:pPr>
        <w:keepNext w:val="0"/>
        <w:keepLines w:val="0"/>
        <w:widowControl w:val="0"/>
        <w:suppressLineNumbers w:val="0"/>
        <w:adjustRightInd w:val="0"/>
        <w:snapToGrid w:val="0"/>
        <w:spacing w:before="0" w:beforeAutospacing="0" w:after="0" w:afterAutospacing="0" w:line="360" w:lineRule="auto"/>
        <w:ind w:left="0" w:right="0" w:firstLine="720" w:firstLineChars="300"/>
        <w:jc w:val="left"/>
        <w:rPr>
          <w:rFonts w:hint="eastAsia" w:ascii="宋体" w:hAnsi="宋体" w:eastAsia="宋体" w:cs="仿宋"/>
          <w:sz w:val="24"/>
          <w:szCs w:val="21"/>
          <w:highlight w:val="none"/>
          <w:lang w:val="en-US"/>
        </w:rPr>
      </w:pPr>
      <w:r>
        <w:rPr>
          <w:rFonts w:hint="eastAsia" w:ascii="宋体" w:hAnsi="宋体" w:eastAsia="宋体" w:cs="仿宋"/>
          <w:kern w:val="2"/>
          <w:sz w:val="24"/>
          <w:szCs w:val="21"/>
          <w:highlight w:val="none"/>
          <w:lang w:val="en-US" w:eastAsia="zh-CN"/>
        </w:rPr>
        <w:t>3、栏目4“单价”为综合单价，包含货物所有隐含的内容，如运输费、保险费、管理费和利润等。</w:t>
      </w:r>
    </w:p>
    <w:p w14:paraId="53E67AB9">
      <w:pPr>
        <w:keepNext w:val="0"/>
        <w:keepLines w:val="0"/>
        <w:widowControl w:val="0"/>
        <w:suppressLineNumbers w:val="0"/>
        <w:adjustRightInd w:val="0"/>
        <w:snapToGrid w:val="0"/>
        <w:spacing w:before="0" w:beforeAutospacing="0" w:after="0" w:afterAutospacing="0" w:line="360" w:lineRule="auto"/>
        <w:ind w:left="0" w:right="0" w:firstLine="720" w:firstLineChars="300"/>
        <w:jc w:val="both"/>
        <w:outlineLvl w:val="2"/>
        <w:rPr>
          <w:rFonts w:hint="eastAsia" w:ascii="宋体" w:hAnsi="宋体" w:eastAsia="宋体" w:cs="仿宋"/>
          <w:bCs/>
          <w:sz w:val="24"/>
          <w:szCs w:val="21"/>
          <w:highlight w:val="none"/>
          <w:lang w:val="en-US"/>
        </w:rPr>
      </w:pPr>
      <w:r>
        <w:rPr>
          <w:rFonts w:hint="eastAsia" w:ascii="宋体" w:hAnsi="宋体" w:eastAsia="宋体" w:cs="仿宋"/>
          <w:bCs/>
          <w:kern w:val="2"/>
          <w:sz w:val="24"/>
          <w:szCs w:val="21"/>
          <w:highlight w:val="none"/>
          <w:lang w:val="en-US" w:eastAsia="zh-CN"/>
        </w:rPr>
        <w:t>4、未按上述要求提供、</w:t>
      </w:r>
      <w:r>
        <w:rPr>
          <w:rFonts w:hint="eastAsia" w:ascii="宋体" w:hAnsi="宋体" w:eastAsia="宋体" w:cs="仿宋"/>
          <w:kern w:val="2"/>
          <w:sz w:val="24"/>
          <w:szCs w:val="21"/>
          <w:highlight w:val="none"/>
          <w:lang w:val="en-US" w:eastAsia="zh-CN"/>
        </w:rPr>
        <w:t>填写的，</w:t>
      </w:r>
      <w:r>
        <w:rPr>
          <w:rFonts w:hint="eastAsia" w:ascii="宋体" w:hAnsi="宋体" w:eastAsia="宋体" w:cs="仿宋"/>
          <w:bCs/>
          <w:kern w:val="2"/>
          <w:sz w:val="24"/>
          <w:szCs w:val="21"/>
          <w:highlight w:val="none"/>
          <w:lang w:val="en-US" w:eastAsia="zh-CN"/>
        </w:rPr>
        <w:t>评审时本表所有优惠不予以考虑。</w:t>
      </w:r>
    </w:p>
    <w:p w14:paraId="517A9F4F">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1"/>
          <w:highlight w:val="none"/>
          <w:lang w:val="en-US"/>
        </w:rPr>
      </w:pPr>
    </w:p>
    <w:p w14:paraId="4F32EEEE">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1"/>
          <w:highlight w:val="none"/>
          <w:lang w:val="en-US"/>
        </w:rPr>
      </w:pPr>
    </w:p>
    <w:p w14:paraId="43EA03B6">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1"/>
          <w:highlight w:val="none"/>
          <w:lang w:val="en-US"/>
        </w:rPr>
      </w:pPr>
      <w:r>
        <w:rPr>
          <w:rFonts w:hint="eastAsia" w:ascii="宋体" w:hAnsi="宋体" w:cs="仿宋"/>
          <w:kern w:val="2"/>
          <w:sz w:val="24"/>
          <w:szCs w:val="21"/>
          <w:highlight w:val="none"/>
          <w:lang w:val="en-US" w:eastAsia="zh-CN"/>
        </w:rPr>
        <w:t>供应商</w:t>
      </w:r>
      <w:r>
        <w:rPr>
          <w:rFonts w:hint="eastAsia" w:ascii="宋体" w:hAnsi="宋体" w:eastAsia="宋体" w:cs="仿宋"/>
          <w:kern w:val="2"/>
          <w:sz w:val="24"/>
          <w:szCs w:val="21"/>
          <w:highlight w:val="none"/>
          <w:lang w:val="en-US" w:eastAsia="zh-CN"/>
        </w:rPr>
        <w:t>名称（盖单位章）：</w:t>
      </w:r>
    </w:p>
    <w:p w14:paraId="5E32B1A9">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1"/>
          <w:highlight w:val="none"/>
          <w:lang w:val="en-US"/>
        </w:rPr>
      </w:pPr>
      <w:r>
        <w:rPr>
          <w:rFonts w:hint="eastAsia" w:ascii="宋体" w:hAnsi="宋体" w:eastAsia="宋体" w:cs="仿宋"/>
          <w:kern w:val="2"/>
          <w:sz w:val="24"/>
          <w:szCs w:val="21"/>
          <w:highlight w:val="none"/>
          <w:lang w:val="en-US" w:eastAsia="zh-CN"/>
        </w:rPr>
        <w:t>日期：</w:t>
      </w:r>
      <w:r>
        <w:rPr>
          <w:rFonts w:hint="eastAsia" w:ascii="宋体" w:hAnsi="宋体" w:eastAsia="宋体" w:cs="仿宋"/>
          <w:kern w:val="2"/>
          <w:sz w:val="24"/>
          <w:szCs w:val="21"/>
          <w:highlight w:val="none"/>
          <w:u w:val="single"/>
          <w:lang w:val="en-US" w:eastAsia="zh-CN"/>
        </w:rPr>
        <w:t xml:space="preserve">        </w:t>
      </w:r>
      <w:r>
        <w:rPr>
          <w:rFonts w:hint="eastAsia" w:ascii="宋体" w:hAnsi="宋体" w:eastAsia="宋体" w:cs="仿宋"/>
          <w:kern w:val="2"/>
          <w:sz w:val="24"/>
          <w:szCs w:val="21"/>
          <w:highlight w:val="none"/>
          <w:lang w:val="en-US" w:eastAsia="zh-CN"/>
        </w:rPr>
        <w:t>年</w:t>
      </w:r>
      <w:r>
        <w:rPr>
          <w:rFonts w:hint="eastAsia" w:ascii="宋体" w:hAnsi="宋体" w:eastAsia="宋体" w:cs="仿宋"/>
          <w:kern w:val="2"/>
          <w:sz w:val="24"/>
          <w:szCs w:val="21"/>
          <w:highlight w:val="none"/>
          <w:u w:val="single"/>
          <w:lang w:val="en-US" w:eastAsia="zh-CN"/>
        </w:rPr>
        <w:t xml:space="preserve">    </w:t>
      </w:r>
      <w:r>
        <w:rPr>
          <w:rFonts w:hint="eastAsia" w:ascii="宋体" w:hAnsi="宋体" w:eastAsia="宋体" w:cs="仿宋"/>
          <w:kern w:val="2"/>
          <w:sz w:val="24"/>
          <w:szCs w:val="21"/>
          <w:highlight w:val="none"/>
          <w:lang w:val="en-US" w:eastAsia="zh-CN"/>
        </w:rPr>
        <w:t>月</w:t>
      </w:r>
      <w:r>
        <w:rPr>
          <w:rFonts w:hint="eastAsia" w:ascii="宋体" w:hAnsi="宋体" w:eastAsia="宋体" w:cs="仿宋"/>
          <w:kern w:val="2"/>
          <w:sz w:val="24"/>
          <w:szCs w:val="21"/>
          <w:highlight w:val="none"/>
          <w:u w:val="single"/>
          <w:lang w:val="en-US" w:eastAsia="zh-CN"/>
        </w:rPr>
        <w:t xml:space="preserve">   </w:t>
      </w:r>
      <w:r>
        <w:rPr>
          <w:rFonts w:hint="eastAsia" w:ascii="宋体" w:hAnsi="宋体" w:eastAsia="宋体" w:cs="仿宋"/>
          <w:kern w:val="2"/>
          <w:sz w:val="24"/>
          <w:szCs w:val="21"/>
          <w:highlight w:val="none"/>
          <w:lang w:val="en-US" w:eastAsia="zh-CN"/>
        </w:rPr>
        <w:t>日</w:t>
      </w:r>
    </w:p>
    <w:p w14:paraId="7E61905B">
      <w:pPr>
        <w:keepNext w:val="0"/>
        <w:keepLines w:val="0"/>
        <w:widowControl/>
        <w:suppressLineNumbers w:val="0"/>
        <w:spacing w:before="0" w:beforeAutospacing="0" w:after="0" w:afterAutospacing="0"/>
        <w:ind w:left="0" w:right="0"/>
        <w:jc w:val="left"/>
        <w:outlineLvl w:val="1"/>
        <w:rPr>
          <w:rFonts w:hint="eastAsia" w:ascii="仿宋" w:hAnsi="仿宋" w:eastAsia="仿宋" w:cs="仿宋"/>
          <w:kern w:val="0"/>
          <w:sz w:val="24"/>
          <w:szCs w:val="24"/>
          <w:highlight w:val="none"/>
          <w:lang w:eastAsia="zh-CN"/>
        </w:rPr>
      </w:pPr>
      <w:r>
        <w:rPr>
          <w:rFonts w:hint="eastAsia" w:ascii="宋体" w:hAnsi="宋体" w:eastAsia="宋体" w:cs="仿宋"/>
          <w:sz w:val="24"/>
          <w:szCs w:val="24"/>
          <w:highlight w:val="none"/>
          <w:lang w:eastAsia="zh-CN"/>
        </w:rPr>
        <w:br w:type="page"/>
      </w:r>
      <w:bookmarkStart w:id="129" w:name="_Toc83249528"/>
      <w:r>
        <w:rPr>
          <w:rFonts w:hint="eastAsia" w:ascii="仿宋" w:hAnsi="仿宋" w:eastAsia="仿宋" w:cs="仿宋"/>
          <w:b/>
          <w:bCs w:val="0"/>
          <w:kern w:val="0"/>
          <w:sz w:val="32"/>
          <w:szCs w:val="24"/>
          <w:highlight w:val="none"/>
          <w:lang w:val="en-US" w:eastAsia="zh-CN"/>
        </w:rPr>
        <w:t>七、中小企业声明函</w:t>
      </w:r>
      <w:bookmarkEnd w:id="129"/>
    </w:p>
    <w:p w14:paraId="19F5D99D">
      <w:pPr>
        <w:keepNext w:val="0"/>
        <w:keepLines w:val="0"/>
        <w:widowControl w:val="0"/>
        <w:suppressLineNumbers w:val="0"/>
        <w:spacing w:before="440" w:beforeAutospacing="0" w:after="440" w:afterAutospacing="0" w:line="440" w:lineRule="exact"/>
        <w:ind w:left="0" w:right="0"/>
        <w:jc w:val="center"/>
        <w:rPr>
          <w:rFonts w:hint="eastAsia" w:ascii="仿宋" w:hAnsi="仿宋" w:eastAsia="仿宋" w:cs="仿宋"/>
          <w:sz w:val="44"/>
          <w:szCs w:val="44"/>
          <w:highlight w:val="none"/>
          <w:lang w:val="en-US"/>
        </w:rPr>
      </w:pPr>
      <w:r>
        <w:rPr>
          <w:rFonts w:hint="eastAsia" w:ascii="仿宋" w:hAnsi="仿宋" w:eastAsia="仿宋" w:cs="仿宋"/>
          <w:kern w:val="2"/>
          <w:sz w:val="44"/>
          <w:szCs w:val="44"/>
          <w:highlight w:val="none"/>
          <w:lang w:val="en-US" w:eastAsia="zh-CN"/>
        </w:rPr>
        <w:t>中小企业声明函（服务)</w:t>
      </w:r>
    </w:p>
    <w:p w14:paraId="6BAB7277">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eastAsia="宋体" w:cs="宋体"/>
          <w:spacing w:val="6"/>
          <w:kern w:val="0"/>
          <w:szCs w:val="21"/>
          <w:highlight w:val="none"/>
          <w:lang w:val="en-US"/>
        </w:rPr>
      </w:pPr>
      <w:r>
        <w:rPr>
          <w:rFonts w:hint="eastAsia" w:ascii="宋体" w:hAnsi="宋体" w:eastAsia="宋体" w:cs="宋体"/>
          <w:spacing w:val="6"/>
          <w:kern w:val="0"/>
          <w:sz w:val="24"/>
          <w:szCs w:val="21"/>
          <w:highlight w:val="none"/>
          <w:lang w:val="en-US" w:eastAsia="zh-CN"/>
        </w:rPr>
        <w:t>【不属于中小企业的无需填写】</w:t>
      </w:r>
    </w:p>
    <w:p w14:paraId="4EC21874">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kern w:val="2"/>
          <w:sz w:val="24"/>
          <w:szCs w:val="24"/>
          <w:highlight w:val="none"/>
          <w:lang w:val="en-US" w:eastAsia="zh-CN"/>
        </w:rPr>
        <w:t>本公司（联合体）郑重声明，根据《政府采购促进中小企业发展管理办法》（财库﹝2020﹞46 号）的规定，本公司（联合体）参加</w:t>
      </w:r>
      <w:r>
        <w:rPr>
          <w:rFonts w:hint="eastAsia" w:ascii="宋体" w:hAnsi="宋体" w:eastAsia="宋体" w:cs="宋体"/>
          <w:kern w:val="2"/>
          <w:sz w:val="24"/>
          <w:szCs w:val="24"/>
          <w:highlight w:val="none"/>
          <w:u w:val="single"/>
          <w:lang w:val="en-US" w:eastAsia="zh-CN"/>
        </w:rPr>
        <w:t>（单位名称）</w:t>
      </w:r>
      <w:r>
        <w:rPr>
          <w:rFonts w:hint="eastAsia" w:ascii="宋体" w:hAnsi="宋体" w:eastAsia="宋体" w:cs="宋体"/>
          <w:kern w:val="2"/>
          <w:sz w:val="24"/>
          <w:szCs w:val="24"/>
          <w:highlight w:val="none"/>
          <w:lang w:val="en-US" w:eastAsia="zh-CN"/>
        </w:rPr>
        <w:t>的</w:t>
      </w:r>
      <w:r>
        <w:rPr>
          <w:rFonts w:hint="eastAsia" w:ascii="宋体" w:hAnsi="宋体" w:eastAsia="宋体" w:cs="宋体"/>
          <w:kern w:val="2"/>
          <w:sz w:val="24"/>
          <w:szCs w:val="24"/>
          <w:highlight w:val="none"/>
          <w:u w:val="single"/>
          <w:lang w:val="en-US" w:eastAsia="zh-CN"/>
        </w:rPr>
        <w:t>（项目名称）</w:t>
      </w:r>
      <w:r>
        <w:rPr>
          <w:rFonts w:hint="eastAsia" w:ascii="宋体" w:hAnsi="宋体" w:cs="宋体"/>
          <w:kern w:val="2"/>
          <w:sz w:val="24"/>
          <w:szCs w:val="24"/>
          <w:highlight w:val="none"/>
          <w:u w:val="single"/>
          <w:lang w:val="en-US" w:eastAsia="zh-CN"/>
        </w:rPr>
        <w:t>(包号）</w:t>
      </w:r>
      <w:r>
        <w:rPr>
          <w:rFonts w:hint="eastAsia" w:ascii="宋体" w:hAnsi="宋体" w:eastAsia="宋体" w:cs="宋体"/>
          <w:kern w:val="2"/>
          <w:sz w:val="24"/>
          <w:szCs w:val="24"/>
          <w:highlight w:val="none"/>
          <w:lang w:val="en-US" w:eastAsia="zh-CN"/>
        </w:rPr>
        <w:t>采购活动，工程的施工单位全部为符合政策要求的中小企业（或者：服务全部由符合政策要求的中小企业承接）。相关企业（含联合体中的中小企业、签订分包意向协议的中小企业）的具体情况如下：</w:t>
      </w:r>
    </w:p>
    <w:p w14:paraId="46CFA570">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kern w:val="2"/>
          <w:sz w:val="24"/>
          <w:szCs w:val="24"/>
          <w:highlight w:val="none"/>
          <w:lang w:val="en-US" w:eastAsia="zh-CN"/>
        </w:rPr>
        <w:t xml:space="preserve"> </w:t>
      </w:r>
      <w:r>
        <w:rPr>
          <w:rFonts w:hint="eastAsia" w:ascii="宋体" w:hAnsi="宋体" w:eastAsia="宋体" w:cs="宋体"/>
          <w:kern w:val="2"/>
          <w:sz w:val="24"/>
          <w:szCs w:val="24"/>
          <w:highlight w:val="none"/>
          <w:u w:val="single"/>
          <w:lang w:val="en-US" w:eastAsia="zh-CN"/>
        </w:rPr>
        <w:t>（标的名称）</w:t>
      </w:r>
      <w:r>
        <w:rPr>
          <w:rFonts w:hint="eastAsia" w:ascii="宋体" w:hAnsi="宋体" w:eastAsia="宋体" w:cs="宋体"/>
          <w:kern w:val="2"/>
          <w:sz w:val="24"/>
          <w:szCs w:val="24"/>
          <w:highlight w:val="none"/>
          <w:lang w:val="en-US" w:eastAsia="zh-CN"/>
        </w:rPr>
        <w:t xml:space="preserve"> ，属于</w:t>
      </w:r>
      <w:r>
        <w:rPr>
          <w:rFonts w:hint="eastAsia" w:ascii="宋体" w:hAnsi="宋体" w:eastAsia="宋体" w:cs="宋体"/>
          <w:kern w:val="2"/>
          <w:sz w:val="24"/>
          <w:szCs w:val="24"/>
          <w:highlight w:val="none"/>
          <w:u w:val="single"/>
          <w:lang w:val="en-US" w:eastAsia="zh-CN"/>
        </w:rPr>
        <w:t>（采购文件中明确的所属行业）</w:t>
      </w:r>
      <w:r>
        <w:rPr>
          <w:rFonts w:hint="eastAsia" w:ascii="宋体" w:hAnsi="宋体" w:eastAsia="宋体" w:cs="宋体"/>
          <w:kern w:val="2"/>
          <w:sz w:val="24"/>
          <w:szCs w:val="24"/>
          <w:highlight w:val="none"/>
          <w:lang w:val="en-US" w:eastAsia="zh-CN"/>
        </w:rPr>
        <w:t>；承建（承接）企业为</w:t>
      </w:r>
      <w:r>
        <w:rPr>
          <w:rFonts w:hint="eastAsia" w:ascii="宋体" w:hAnsi="宋体" w:eastAsia="宋体" w:cs="宋体"/>
          <w:kern w:val="2"/>
          <w:sz w:val="24"/>
          <w:szCs w:val="24"/>
          <w:highlight w:val="none"/>
          <w:u w:val="single"/>
          <w:lang w:val="en-US" w:eastAsia="zh-CN"/>
        </w:rPr>
        <w:t>（企业名称）</w:t>
      </w:r>
      <w:r>
        <w:rPr>
          <w:rFonts w:hint="eastAsia" w:ascii="宋体" w:hAnsi="宋体" w:eastAsia="宋体" w:cs="宋体"/>
          <w:kern w:val="2"/>
          <w:sz w:val="24"/>
          <w:szCs w:val="24"/>
          <w:highlight w:val="none"/>
          <w:lang w:val="en-US" w:eastAsia="zh-CN"/>
        </w:rPr>
        <w:t>，从业人员</w:t>
      </w:r>
      <w:r>
        <w:rPr>
          <w:rFonts w:hint="eastAsia" w:ascii="宋体" w:hAnsi="宋体" w:eastAsia="宋体" w:cs="宋体"/>
          <w:kern w:val="2"/>
          <w:sz w:val="24"/>
          <w:szCs w:val="24"/>
          <w:highlight w:val="none"/>
          <w:u w:val="single"/>
          <w:lang w:val="en-US" w:eastAsia="zh-CN"/>
        </w:rPr>
        <w:t xml:space="preserve">      </w:t>
      </w:r>
      <w:r>
        <w:rPr>
          <w:rFonts w:hint="eastAsia" w:ascii="宋体" w:hAnsi="宋体" w:eastAsia="宋体" w:cs="宋体"/>
          <w:kern w:val="2"/>
          <w:sz w:val="24"/>
          <w:szCs w:val="24"/>
          <w:highlight w:val="none"/>
          <w:lang w:val="en-US" w:eastAsia="zh-CN"/>
        </w:rPr>
        <w:t>人，营业收入为</w:t>
      </w:r>
      <w:r>
        <w:rPr>
          <w:rFonts w:hint="eastAsia" w:ascii="宋体" w:hAnsi="宋体" w:eastAsia="宋体" w:cs="宋体"/>
          <w:kern w:val="2"/>
          <w:sz w:val="24"/>
          <w:szCs w:val="24"/>
          <w:highlight w:val="none"/>
          <w:u w:val="single"/>
          <w:lang w:val="en-US" w:eastAsia="zh-CN"/>
        </w:rPr>
        <w:t xml:space="preserve">     </w:t>
      </w:r>
      <w:r>
        <w:rPr>
          <w:rFonts w:hint="eastAsia" w:ascii="宋体" w:hAnsi="宋体" w:eastAsia="宋体" w:cs="宋体"/>
          <w:kern w:val="2"/>
          <w:sz w:val="24"/>
          <w:szCs w:val="24"/>
          <w:highlight w:val="none"/>
          <w:lang w:val="en-US" w:eastAsia="zh-CN"/>
        </w:rPr>
        <w:t>万元，资产总额为</w:t>
      </w:r>
      <w:r>
        <w:rPr>
          <w:rFonts w:hint="eastAsia" w:ascii="宋体" w:hAnsi="宋体" w:eastAsia="宋体" w:cs="宋体"/>
          <w:kern w:val="2"/>
          <w:sz w:val="24"/>
          <w:szCs w:val="24"/>
          <w:highlight w:val="none"/>
          <w:u w:val="single"/>
          <w:lang w:val="en-US" w:eastAsia="zh-CN"/>
        </w:rPr>
        <w:t xml:space="preserve">      </w:t>
      </w:r>
      <w:r>
        <w:rPr>
          <w:rFonts w:hint="eastAsia" w:ascii="宋体" w:hAnsi="宋体" w:eastAsia="宋体" w:cs="宋体"/>
          <w:kern w:val="2"/>
          <w:sz w:val="24"/>
          <w:szCs w:val="24"/>
          <w:highlight w:val="none"/>
          <w:lang w:val="en-US" w:eastAsia="zh-CN"/>
        </w:rPr>
        <w:t>万元</w:t>
      </w:r>
      <w:r>
        <w:rPr>
          <w:rFonts w:hint="eastAsia" w:ascii="宋体" w:hAnsi="宋体" w:eastAsia="宋体" w:cs="宋体"/>
          <w:kern w:val="2"/>
          <w:sz w:val="24"/>
          <w:szCs w:val="24"/>
          <w:highlight w:val="none"/>
          <w:vertAlign w:val="superscript"/>
          <w:lang w:val="en-US" w:eastAsia="zh-CN"/>
        </w:rPr>
        <w:t>1</w:t>
      </w:r>
      <w:r>
        <w:rPr>
          <w:rFonts w:hint="eastAsia" w:ascii="宋体" w:hAnsi="宋体" w:eastAsia="宋体" w:cs="宋体"/>
          <w:kern w:val="2"/>
          <w:sz w:val="24"/>
          <w:szCs w:val="24"/>
          <w:highlight w:val="none"/>
          <w:lang w:val="en-US" w:eastAsia="zh-CN"/>
        </w:rPr>
        <w:t>，属于（中型企业、小型企业、微型企业）；</w:t>
      </w:r>
    </w:p>
    <w:p w14:paraId="11CD711A">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kern w:val="2"/>
          <w:sz w:val="24"/>
          <w:szCs w:val="24"/>
          <w:highlight w:val="none"/>
          <w:lang w:val="en-US" w:eastAsia="zh-CN"/>
        </w:rPr>
        <w:t>以上企业，不属于大企业的分支机构，不存在控股股东为大企业的情形，也不存在与大企业的负责人为同一人的情形。</w:t>
      </w:r>
    </w:p>
    <w:p w14:paraId="0AA9CF72">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kern w:val="2"/>
          <w:sz w:val="24"/>
          <w:szCs w:val="24"/>
          <w:highlight w:val="none"/>
          <w:lang w:val="en-US" w:eastAsia="zh-CN"/>
        </w:rPr>
        <w:t>本企业对上述声明内容的真实性负责。如有虚假，将依法承担相应责任。</w:t>
      </w:r>
    </w:p>
    <w:p w14:paraId="1CF85EA1">
      <w:pPr>
        <w:keepNext w:val="0"/>
        <w:keepLines w:val="0"/>
        <w:widowControl/>
        <w:suppressLineNumbers w:val="0"/>
        <w:adjustRightInd w:val="0"/>
        <w:snapToGrid w:val="0"/>
        <w:spacing w:before="0" w:beforeAutospacing="0" w:after="0" w:afterAutospacing="0" w:line="360" w:lineRule="auto"/>
        <w:ind w:left="0" w:right="0" w:firstLine="480" w:firstLineChars="200"/>
        <w:jc w:val="center"/>
        <w:rPr>
          <w:rFonts w:hint="eastAsia" w:ascii="宋体" w:hAnsi="宋体" w:eastAsia="宋体" w:cs="宋体"/>
          <w:kern w:val="0"/>
          <w:sz w:val="24"/>
          <w:szCs w:val="21"/>
          <w:highlight w:val="none"/>
          <w:lang w:val="en-US"/>
        </w:rPr>
      </w:pPr>
    </w:p>
    <w:p w14:paraId="2A4EE30F">
      <w:pPr>
        <w:keepNext w:val="0"/>
        <w:keepLines w:val="0"/>
        <w:widowControl/>
        <w:suppressLineNumbers w:val="0"/>
        <w:adjustRightInd w:val="0"/>
        <w:snapToGrid w:val="0"/>
        <w:spacing w:before="0" w:beforeAutospacing="0" w:after="0" w:afterAutospacing="0" w:line="360" w:lineRule="auto"/>
        <w:ind w:left="0" w:right="0" w:firstLine="504" w:firstLineChars="200"/>
        <w:jc w:val="center"/>
        <w:rPr>
          <w:rFonts w:hint="eastAsia" w:ascii="宋体" w:hAnsi="宋体" w:eastAsia="宋体" w:cs="宋体"/>
          <w:spacing w:val="6"/>
          <w:kern w:val="0"/>
          <w:sz w:val="24"/>
          <w:szCs w:val="21"/>
          <w:highlight w:val="none"/>
          <w:u w:val="single"/>
          <w:lang w:val="en-US"/>
        </w:rPr>
      </w:pPr>
      <w:r>
        <w:rPr>
          <w:rFonts w:hint="eastAsia" w:ascii="宋体" w:hAnsi="宋体" w:eastAsia="宋体" w:cs="宋体"/>
          <w:spacing w:val="6"/>
          <w:kern w:val="0"/>
          <w:sz w:val="24"/>
          <w:szCs w:val="21"/>
          <w:highlight w:val="none"/>
          <w:lang w:val="en-US" w:eastAsia="zh-CN"/>
        </w:rPr>
        <w:t xml:space="preserve">             </w:t>
      </w:r>
      <w:r>
        <w:rPr>
          <w:rFonts w:hint="eastAsia" w:ascii="宋体" w:hAnsi="宋体" w:cs="宋体"/>
          <w:spacing w:val="6"/>
          <w:kern w:val="0"/>
          <w:sz w:val="24"/>
          <w:szCs w:val="21"/>
          <w:highlight w:val="none"/>
          <w:lang w:val="en-US" w:eastAsia="zh-CN"/>
        </w:rPr>
        <w:t>供应商</w:t>
      </w:r>
      <w:r>
        <w:rPr>
          <w:rFonts w:hint="eastAsia" w:ascii="宋体" w:hAnsi="宋体" w:eastAsia="宋体" w:cs="宋体"/>
          <w:spacing w:val="6"/>
          <w:kern w:val="0"/>
          <w:sz w:val="24"/>
          <w:szCs w:val="21"/>
          <w:highlight w:val="none"/>
          <w:lang w:val="en-US" w:eastAsia="zh-CN"/>
        </w:rPr>
        <w:t>名称（盖单位章）：</w:t>
      </w:r>
      <w:r>
        <w:rPr>
          <w:rFonts w:hint="eastAsia" w:ascii="宋体" w:hAnsi="宋体" w:eastAsia="宋体" w:cs="宋体"/>
          <w:spacing w:val="6"/>
          <w:kern w:val="0"/>
          <w:sz w:val="24"/>
          <w:szCs w:val="21"/>
          <w:highlight w:val="none"/>
          <w:u w:val="single"/>
          <w:lang w:val="en-US" w:eastAsia="zh-CN"/>
        </w:rPr>
        <w:t xml:space="preserve">           </w:t>
      </w:r>
    </w:p>
    <w:p w14:paraId="7EB321C9">
      <w:pPr>
        <w:keepNext w:val="0"/>
        <w:keepLines w:val="0"/>
        <w:widowControl/>
        <w:suppressLineNumbers w:val="0"/>
        <w:adjustRightInd w:val="0"/>
        <w:snapToGrid w:val="0"/>
        <w:spacing w:before="0" w:beforeAutospacing="0" w:after="0" w:afterAutospacing="0" w:line="360" w:lineRule="auto"/>
        <w:ind w:left="0" w:right="0" w:firstLine="504" w:firstLineChars="200"/>
        <w:jc w:val="center"/>
        <w:rPr>
          <w:rFonts w:hint="eastAsia" w:ascii="宋体" w:hAnsi="宋体" w:eastAsia="宋体" w:cs="宋体"/>
          <w:spacing w:val="6"/>
          <w:kern w:val="0"/>
          <w:sz w:val="24"/>
          <w:szCs w:val="21"/>
          <w:highlight w:val="none"/>
          <w:lang w:val="en-US"/>
        </w:rPr>
      </w:pPr>
      <w:r>
        <w:rPr>
          <w:rFonts w:hint="eastAsia" w:ascii="宋体" w:hAnsi="宋体" w:eastAsia="宋体" w:cs="宋体"/>
          <w:spacing w:val="6"/>
          <w:kern w:val="0"/>
          <w:sz w:val="24"/>
          <w:szCs w:val="21"/>
          <w:highlight w:val="none"/>
          <w:lang w:val="en-US" w:eastAsia="zh-CN"/>
        </w:rPr>
        <w:t xml:space="preserve">                   日 期：</w:t>
      </w:r>
      <w:r>
        <w:rPr>
          <w:rFonts w:hint="eastAsia" w:ascii="宋体" w:hAnsi="宋体" w:eastAsia="宋体" w:cs="宋体"/>
          <w:spacing w:val="6"/>
          <w:kern w:val="0"/>
          <w:sz w:val="24"/>
          <w:szCs w:val="21"/>
          <w:highlight w:val="none"/>
          <w:u w:val="single"/>
          <w:lang w:val="en-US" w:eastAsia="zh-CN"/>
        </w:rPr>
        <w:t xml:space="preserve">              </w:t>
      </w:r>
    </w:p>
    <w:p w14:paraId="722EBABB">
      <w:pPr>
        <w:rPr>
          <w:rFonts w:hint="eastAsia" w:ascii="黑体" w:eastAsia="黑体"/>
          <w:b/>
          <w:sz w:val="30"/>
          <w:szCs w:val="30"/>
          <w:highlight w:val="none"/>
        </w:rPr>
      </w:pPr>
      <w:r>
        <w:rPr>
          <w:rFonts w:hint="eastAsia" w:ascii="黑体" w:eastAsia="黑体"/>
          <w:b/>
          <w:sz w:val="30"/>
          <w:szCs w:val="30"/>
          <w:highlight w:val="none"/>
        </w:rPr>
        <w:br w:type="page"/>
      </w:r>
    </w:p>
    <w:p w14:paraId="583AB477">
      <w:pPr>
        <w:adjustRightInd w:val="0"/>
        <w:snapToGrid w:val="0"/>
        <w:spacing w:line="360" w:lineRule="auto"/>
        <w:jc w:val="center"/>
        <w:outlineLvl w:val="1"/>
        <w:rPr>
          <w:rFonts w:ascii="黑体" w:hAnsi="宋体" w:eastAsia="黑体"/>
          <w:b/>
          <w:sz w:val="30"/>
          <w:szCs w:val="30"/>
          <w:highlight w:val="none"/>
        </w:rPr>
      </w:pPr>
      <w:r>
        <w:rPr>
          <w:rFonts w:hint="eastAsia" w:ascii="黑体" w:eastAsia="黑体"/>
          <w:b/>
          <w:sz w:val="30"/>
          <w:szCs w:val="30"/>
          <w:highlight w:val="none"/>
          <w:lang w:val="en-US" w:eastAsia="zh-CN"/>
        </w:rPr>
        <w:t>八</w:t>
      </w:r>
      <w:r>
        <w:rPr>
          <w:rFonts w:hint="eastAsia" w:ascii="黑体" w:eastAsia="黑体"/>
          <w:b/>
          <w:sz w:val="30"/>
          <w:szCs w:val="30"/>
          <w:highlight w:val="none"/>
        </w:rPr>
        <w:t>、</w:t>
      </w:r>
      <w:r>
        <w:rPr>
          <w:rFonts w:hint="eastAsia" w:ascii="黑体" w:hAnsi="宋体" w:eastAsia="黑体"/>
          <w:b/>
          <w:sz w:val="30"/>
          <w:szCs w:val="30"/>
          <w:highlight w:val="none"/>
        </w:rPr>
        <w:t>技术/</w:t>
      </w:r>
      <w:r>
        <w:rPr>
          <w:rFonts w:hint="eastAsia" w:ascii="黑体" w:eastAsia="黑体"/>
          <w:b/>
          <w:sz w:val="30"/>
          <w:szCs w:val="30"/>
          <w:highlight w:val="none"/>
        </w:rPr>
        <w:t>商务</w:t>
      </w:r>
      <w:r>
        <w:rPr>
          <w:rFonts w:hint="eastAsia" w:ascii="黑体" w:hAnsi="宋体" w:eastAsia="黑体"/>
          <w:b/>
          <w:sz w:val="30"/>
          <w:szCs w:val="30"/>
          <w:highlight w:val="none"/>
        </w:rPr>
        <w:t>响应与偏离表</w:t>
      </w:r>
    </w:p>
    <w:p w14:paraId="09F1CDE3">
      <w:pPr>
        <w:adjustRightInd w:val="0"/>
        <w:snapToGrid w:val="0"/>
        <w:ind w:left="-88" w:leftChars="-42" w:firstLine="315" w:firstLineChars="150"/>
        <w:rPr>
          <w:rFonts w:ascii="宋体" w:hAnsi="宋体"/>
          <w:szCs w:val="21"/>
          <w:highlight w:val="none"/>
          <w:u w:val="single"/>
        </w:rPr>
      </w:pPr>
    </w:p>
    <w:tbl>
      <w:tblPr>
        <w:tblStyle w:val="21"/>
        <w:tblW w:w="974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1172"/>
        <w:gridCol w:w="2410"/>
        <w:gridCol w:w="1985"/>
        <w:gridCol w:w="2126"/>
        <w:gridCol w:w="2050"/>
      </w:tblGrid>
      <w:tr w14:paraId="4A9547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1172" w:type="dxa"/>
            <w:noWrap w:val="0"/>
            <w:vAlign w:val="center"/>
          </w:tcPr>
          <w:p w14:paraId="38363BA2">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noWrap w:val="0"/>
            <w:vAlign w:val="center"/>
          </w:tcPr>
          <w:p w14:paraId="532D8454">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磋商文件章节</w:t>
            </w:r>
            <w:r>
              <w:rPr>
                <w:rFonts w:hint="eastAsia" w:ascii="宋体" w:hAnsi="宋体"/>
                <w:bCs/>
                <w:color w:val="auto"/>
                <w:szCs w:val="21"/>
              </w:rPr>
              <w:t>条</w:t>
            </w:r>
            <w:r>
              <w:rPr>
                <w:rFonts w:hint="eastAsia" w:ascii="宋体" w:hAnsi="宋体"/>
                <w:color w:val="auto"/>
                <w:szCs w:val="21"/>
              </w:rPr>
              <w:t>款号</w:t>
            </w:r>
          </w:p>
        </w:tc>
        <w:tc>
          <w:tcPr>
            <w:tcW w:w="1985" w:type="dxa"/>
            <w:tcBorders>
              <w:right w:val="single" w:color="auto" w:sz="4" w:space="0"/>
            </w:tcBorders>
            <w:noWrap w:val="0"/>
            <w:vAlign w:val="top"/>
          </w:tcPr>
          <w:p w14:paraId="26A5D841">
            <w:pPr>
              <w:adjustRightInd w:val="0"/>
              <w:snapToGrid w:val="0"/>
              <w:spacing w:before="50" w:line="360" w:lineRule="auto"/>
              <w:jc w:val="center"/>
              <w:rPr>
                <w:color w:val="auto"/>
              </w:rPr>
            </w:pPr>
            <w:r>
              <w:rPr>
                <w:rFonts w:hint="eastAsia" w:ascii="宋体" w:hAnsi="宋体"/>
                <w:color w:val="auto"/>
                <w:szCs w:val="21"/>
              </w:rPr>
              <w:t>磋商</w:t>
            </w:r>
            <w:r>
              <w:rPr>
                <w:rFonts w:hint="eastAsia"/>
                <w:color w:val="auto"/>
              </w:rPr>
              <w:t>文件要求</w:t>
            </w:r>
          </w:p>
        </w:tc>
        <w:tc>
          <w:tcPr>
            <w:tcW w:w="2126" w:type="dxa"/>
            <w:tcBorders>
              <w:left w:val="single" w:color="auto" w:sz="4" w:space="0"/>
            </w:tcBorders>
            <w:noWrap w:val="0"/>
            <w:vAlign w:val="top"/>
          </w:tcPr>
          <w:p w14:paraId="64F20844">
            <w:pPr>
              <w:adjustRightInd w:val="0"/>
              <w:snapToGrid w:val="0"/>
              <w:spacing w:before="50" w:line="360" w:lineRule="auto"/>
              <w:jc w:val="center"/>
              <w:rPr>
                <w:color w:val="auto"/>
              </w:rPr>
            </w:pPr>
            <w:r>
              <w:rPr>
                <w:rFonts w:hint="eastAsia" w:ascii="宋体" w:hAnsi="宋体"/>
                <w:color w:val="auto"/>
                <w:szCs w:val="21"/>
              </w:rPr>
              <w:t>响应</w:t>
            </w:r>
            <w:r>
              <w:rPr>
                <w:rFonts w:hint="eastAsia"/>
                <w:color w:val="auto"/>
              </w:rPr>
              <w:t>文件应答</w:t>
            </w:r>
          </w:p>
        </w:tc>
        <w:tc>
          <w:tcPr>
            <w:tcW w:w="2050" w:type="dxa"/>
            <w:noWrap w:val="0"/>
            <w:vAlign w:val="center"/>
          </w:tcPr>
          <w:p w14:paraId="2BAB0F99">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14:paraId="1FB77B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2" w:type="dxa"/>
            <w:noWrap w:val="0"/>
            <w:vAlign w:val="center"/>
          </w:tcPr>
          <w:p w14:paraId="280CE923">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73FFAB67">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66E3B703">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167A8A82">
            <w:pPr>
              <w:adjustRightInd w:val="0"/>
              <w:snapToGrid w:val="0"/>
              <w:spacing w:before="50" w:line="360" w:lineRule="auto"/>
              <w:ind w:left="-88" w:leftChars="-42"/>
              <w:jc w:val="center"/>
              <w:rPr>
                <w:rFonts w:ascii="宋体" w:hAnsi="宋体"/>
                <w:color w:val="auto"/>
                <w:szCs w:val="21"/>
              </w:rPr>
            </w:pPr>
          </w:p>
        </w:tc>
        <w:tc>
          <w:tcPr>
            <w:tcW w:w="2050" w:type="dxa"/>
            <w:noWrap w:val="0"/>
            <w:vAlign w:val="center"/>
          </w:tcPr>
          <w:p w14:paraId="4BE4FFE4">
            <w:pPr>
              <w:adjustRightInd w:val="0"/>
              <w:snapToGrid w:val="0"/>
              <w:spacing w:before="50" w:line="360" w:lineRule="auto"/>
              <w:ind w:left="-88" w:leftChars="-42"/>
              <w:jc w:val="center"/>
              <w:rPr>
                <w:rFonts w:ascii="宋体" w:hAnsi="宋体"/>
                <w:color w:val="auto"/>
                <w:szCs w:val="21"/>
              </w:rPr>
            </w:pPr>
          </w:p>
        </w:tc>
      </w:tr>
      <w:tr w14:paraId="28E7BE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2" w:type="dxa"/>
            <w:noWrap w:val="0"/>
            <w:vAlign w:val="center"/>
          </w:tcPr>
          <w:p w14:paraId="58DEFC7D">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7426D34C">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6A93B33D">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79EDD7FE">
            <w:pPr>
              <w:adjustRightInd w:val="0"/>
              <w:snapToGrid w:val="0"/>
              <w:spacing w:before="50" w:line="360" w:lineRule="auto"/>
              <w:ind w:left="-88" w:leftChars="-42"/>
              <w:jc w:val="center"/>
              <w:rPr>
                <w:rFonts w:ascii="宋体" w:hAnsi="宋体"/>
                <w:color w:val="auto"/>
                <w:szCs w:val="21"/>
              </w:rPr>
            </w:pPr>
          </w:p>
        </w:tc>
        <w:tc>
          <w:tcPr>
            <w:tcW w:w="2050" w:type="dxa"/>
            <w:noWrap w:val="0"/>
            <w:vAlign w:val="center"/>
          </w:tcPr>
          <w:p w14:paraId="57681350">
            <w:pPr>
              <w:adjustRightInd w:val="0"/>
              <w:snapToGrid w:val="0"/>
              <w:spacing w:before="50" w:line="360" w:lineRule="auto"/>
              <w:ind w:left="-88" w:leftChars="-42"/>
              <w:jc w:val="center"/>
              <w:rPr>
                <w:rFonts w:ascii="宋体" w:hAnsi="宋体"/>
                <w:color w:val="auto"/>
                <w:szCs w:val="21"/>
              </w:rPr>
            </w:pPr>
          </w:p>
        </w:tc>
      </w:tr>
      <w:tr w14:paraId="0F0C2C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2" w:type="dxa"/>
            <w:noWrap w:val="0"/>
            <w:vAlign w:val="center"/>
          </w:tcPr>
          <w:p w14:paraId="01CE9075">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7E1D9DA7">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7F00D48C">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0BF23C53">
            <w:pPr>
              <w:adjustRightInd w:val="0"/>
              <w:snapToGrid w:val="0"/>
              <w:spacing w:before="50" w:line="360" w:lineRule="auto"/>
              <w:ind w:left="-88" w:leftChars="-42"/>
              <w:jc w:val="center"/>
              <w:rPr>
                <w:rFonts w:ascii="宋体" w:hAnsi="宋体"/>
                <w:color w:val="auto"/>
                <w:szCs w:val="21"/>
              </w:rPr>
            </w:pPr>
          </w:p>
        </w:tc>
        <w:tc>
          <w:tcPr>
            <w:tcW w:w="2050" w:type="dxa"/>
            <w:noWrap w:val="0"/>
            <w:vAlign w:val="center"/>
          </w:tcPr>
          <w:p w14:paraId="2E9A2EE9">
            <w:pPr>
              <w:adjustRightInd w:val="0"/>
              <w:snapToGrid w:val="0"/>
              <w:spacing w:before="50" w:line="360" w:lineRule="auto"/>
              <w:ind w:left="-88" w:leftChars="-42"/>
              <w:jc w:val="center"/>
              <w:rPr>
                <w:rFonts w:ascii="宋体" w:hAnsi="宋体"/>
                <w:color w:val="auto"/>
                <w:szCs w:val="21"/>
              </w:rPr>
            </w:pPr>
          </w:p>
        </w:tc>
      </w:tr>
      <w:tr w14:paraId="57645E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2" w:type="dxa"/>
            <w:noWrap w:val="0"/>
            <w:vAlign w:val="center"/>
          </w:tcPr>
          <w:p w14:paraId="3B617EFD">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5A7FAB14">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779841EC">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7F80DE1A">
            <w:pPr>
              <w:adjustRightInd w:val="0"/>
              <w:snapToGrid w:val="0"/>
              <w:spacing w:before="50" w:line="360" w:lineRule="auto"/>
              <w:ind w:left="-88" w:leftChars="-42"/>
              <w:jc w:val="center"/>
              <w:rPr>
                <w:rFonts w:ascii="宋体" w:hAnsi="宋体"/>
                <w:color w:val="auto"/>
                <w:szCs w:val="21"/>
              </w:rPr>
            </w:pPr>
          </w:p>
        </w:tc>
        <w:tc>
          <w:tcPr>
            <w:tcW w:w="2050" w:type="dxa"/>
            <w:noWrap w:val="0"/>
            <w:vAlign w:val="center"/>
          </w:tcPr>
          <w:p w14:paraId="75B254B8">
            <w:pPr>
              <w:adjustRightInd w:val="0"/>
              <w:snapToGrid w:val="0"/>
              <w:spacing w:before="50" w:line="360" w:lineRule="auto"/>
              <w:ind w:left="-88" w:leftChars="-42"/>
              <w:jc w:val="center"/>
              <w:rPr>
                <w:rFonts w:ascii="宋体" w:hAnsi="宋体"/>
                <w:color w:val="auto"/>
                <w:szCs w:val="21"/>
              </w:rPr>
            </w:pPr>
          </w:p>
        </w:tc>
      </w:tr>
      <w:tr w14:paraId="455C5C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2" w:type="dxa"/>
            <w:noWrap w:val="0"/>
            <w:vAlign w:val="center"/>
          </w:tcPr>
          <w:p w14:paraId="793A7A5C">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3DDE045B">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21AFECA3">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4483771F">
            <w:pPr>
              <w:adjustRightInd w:val="0"/>
              <w:snapToGrid w:val="0"/>
              <w:spacing w:before="50" w:line="360" w:lineRule="auto"/>
              <w:ind w:left="-88" w:leftChars="-42"/>
              <w:jc w:val="center"/>
              <w:rPr>
                <w:rFonts w:ascii="宋体" w:hAnsi="宋体"/>
                <w:color w:val="auto"/>
                <w:szCs w:val="21"/>
              </w:rPr>
            </w:pPr>
          </w:p>
        </w:tc>
        <w:tc>
          <w:tcPr>
            <w:tcW w:w="2050" w:type="dxa"/>
            <w:noWrap w:val="0"/>
            <w:vAlign w:val="center"/>
          </w:tcPr>
          <w:p w14:paraId="42C832F9">
            <w:pPr>
              <w:adjustRightInd w:val="0"/>
              <w:snapToGrid w:val="0"/>
              <w:spacing w:before="50" w:line="360" w:lineRule="auto"/>
              <w:ind w:left="-88" w:leftChars="-42"/>
              <w:jc w:val="center"/>
              <w:rPr>
                <w:rFonts w:ascii="宋体" w:hAnsi="宋体"/>
                <w:color w:val="auto"/>
                <w:szCs w:val="21"/>
              </w:rPr>
            </w:pPr>
          </w:p>
        </w:tc>
      </w:tr>
      <w:tr w14:paraId="577A3C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2" w:type="dxa"/>
            <w:noWrap w:val="0"/>
            <w:vAlign w:val="center"/>
          </w:tcPr>
          <w:p w14:paraId="3F435685">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453316D3">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3F6AEF2D">
            <w:pPr>
              <w:adjustRightInd w:val="0"/>
              <w:snapToGrid w:val="0"/>
              <w:spacing w:before="50" w:line="360" w:lineRule="auto"/>
              <w:ind w:left="-88" w:leftChars="-42"/>
              <w:jc w:val="center"/>
              <w:rPr>
                <w:rFonts w:ascii="宋体" w:hAnsi="宋体"/>
                <w:color w:val="auto"/>
                <w:szCs w:val="21"/>
              </w:rPr>
            </w:pPr>
          </w:p>
        </w:tc>
        <w:tc>
          <w:tcPr>
            <w:tcW w:w="4176" w:type="dxa"/>
            <w:gridSpan w:val="2"/>
            <w:tcBorders>
              <w:left w:val="single" w:color="auto" w:sz="4" w:space="0"/>
            </w:tcBorders>
            <w:noWrap w:val="0"/>
            <w:vAlign w:val="center"/>
          </w:tcPr>
          <w:p w14:paraId="1F1C7AE8">
            <w:pPr>
              <w:adjustRightInd w:val="0"/>
              <w:snapToGrid w:val="0"/>
              <w:spacing w:before="50" w:line="360" w:lineRule="auto"/>
              <w:ind w:firstLine="422" w:firstLineChars="200"/>
              <w:rPr>
                <w:rFonts w:ascii="宋体" w:hAnsi="宋体"/>
                <w:color w:val="auto"/>
                <w:szCs w:val="21"/>
              </w:rPr>
            </w:pPr>
            <w:r>
              <w:rPr>
                <w:rFonts w:hint="eastAsia" w:ascii="宋体" w:hAnsi="宋体"/>
                <w:b/>
                <w:color w:val="auto"/>
                <w:szCs w:val="21"/>
              </w:rPr>
              <w:t>供应商保证：除本偏离表列出的偏离外，我单位对磋商文件的其他采购需求条款完全响应，无偏离。</w:t>
            </w:r>
          </w:p>
        </w:tc>
      </w:tr>
    </w:tbl>
    <w:p w14:paraId="291DA7CB">
      <w:pPr>
        <w:adjustRightInd w:val="0"/>
        <w:snapToGrid w:val="0"/>
        <w:spacing w:before="50" w:line="360" w:lineRule="auto"/>
        <w:ind w:left="-88" w:leftChars="-42"/>
        <w:rPr>
          <w:rFonts w:hint="eastAsia" w:ascii="宋体" w:hAnsi="宋体"/>
          <w:color w:val="auto"/>
          <w:szCs w:val="21"/>
        </w:rPr>
      </w:pPr>
      <w:r>
        <w:rPr>
          <w:rFonts w:hint="eastAsia" w:ascii="宋体" w:hAnsi="宋体"/>
          <w:b/>
          <w:color w:val="auto"/>
          <w:szCs w:val="21"/>
        </w:rPr>
        <w:t>备注</w:t>
      </w:r>
      <w:r>
        <w:rPr>
          <w:rFonts w:hint="eastAsia" w:ascii="宋体" w:hAnsi="宋体"/>
          <w:color w:val="auto"/>
          <w:szCs w:val="21"/>
        </w:rPr>
        <w:t>：</w:t>
      </w:r>
    </w:p>
    <w:p w14:paraId="4E060A81">
      <w:pPr>
        <w:adjustRightInd w:val="0"/>
        <w:snapToGrid w:val="0"/>
        <w:spacing w:before="50" w:line="360" w:lineRule="auto"/>
        <w:ind w:left="-88" w:leftChars="-42"/>
        <w:rPr>
          <w:rFonts w:hint="eastAsia" w:ascii="宋体" w:hAnsi="宋体"/>
          <w:color w:val="auto"/>
          <w:szCs w:val="21"/>
        </w:rPr>
      </w:pPr>
      <w:r>
        <w:rPr>
          <w:rFonts w:hint="eastAsia" w:ascii="宋体" w:hAnsi="宋体"/>
          <w:color w:val="auto"/>
          <w:szCs w:val="21"/>
        </w:rPr>
        <w:t>（1）供应商应根据磋商文件第四章“采购需求”填写本表；</w:t>
      </w:r>
    </w:p>
    <w:p w14:paraId="57E60924">
      <w:pPr>
        <w:adjustRightInd w:val="0"/>
        <w:snapToGrid w:val="0"/>
        <w:spacing w:before="50" w:line="360" w:lineRule="auto"/>
        <w:ind w:left="-88" w:leftChars="-42"/>
        <w:rPr>
          <w:rFonts w:hint="eastAsia" w:ascii="宋体" w:hAnsi="宋体"/>
          <w:b/>
          <w:color w:val="auto"/>
          <w:szCs w:val="21"/>
        </w:rPr>
      </w:pPr>
      <w:r>
        <w:rPr>
          <w:rFonts w:hint="eastAsia" w:ascii="宋体" w:hAnsi="宋体"/>
          <w:color w:val="auto"/>
          <w:szCs w:val="21"/>
        </w:rPr>
        <w:t>（2）</w:t>
      </w:r>
      <w:r>
        <w:rPr>
          <w:rFonts w:hint="eastAsia" w:ascii="宋体" w:hAnsi="宋体"/>
          <w:b/>
          <w:color w:val="auto"/>
          <w:szCs w:val="21"/>
        </w:rPr>
        <w:t>供应商如果对磋商文件商务或技术的响应有偏离，应将偏离条款逐条如实应答，并作出说明；</w:t>
      </w:r>
    </w:p>
    <w:p w14:paraId="4C8FFE16">
      <w:pPr>
        <w:adjustRightInd w:val="0"/>
        <w:snapToGrid w:val="0"/>
        <w:spacing w:before="50" w:line="360" w:lineRule="auto"/>
        <w:ind w:left="-88" w:leftChars="-42"/>
        <w:rPr>
          <w:rFonts w:ascii="宋体" w:hAnsi="宋体"/>
          <w:szCs w:val="21"/>
          <w:highlight w:val="none"/>
        </w:rPr>
      </w:pPr>
      <w:r>
        <w:rPr>
          <w:rFonts w:hint="eastAsia" w:ascii="宋体" w:hAnsi="宋体"/>
          <w:color w:val="auto"/>
          <w:szCs w:val="21"/>
        </w:rPr>
        <w:t>（3）如不提供此表，则视为供应商不满足磋商文件第四章的所有条款要求，其</w:t>
      </w:r>
      <w:r>
        <w:rPr>
          <w:rFonts w:hint="eastAsia" w:ascii="宋体" w:hAnsi="宋体"/>
          <w:b/>
          <w:color w:val="auto"/>
          <w:szCs w:val="21"/>
        </w:rPr>
        <w:t>响应无效</w:t>
      </w:r>
      <w:r>
        <w:rPr>
          <w:rFonts w:hint="eastAsia" w:ascii="宋体" w:hAnsi="宋体"/>
          <w:color w:val="auto"/>
          <w:szCs w:val="21"/>
        </w:rPr>
        <w:t>。</w:t>
      </w:r>
    </w:p>
    <w:p w14:paraId="4301B6CF">
      <w:pPr>
        <w:rPr>
          <w:highlight w:val="none"/>
        </w:rPr>
      </w:pPr>
    </w:p>
    <w:p w14:paraId="11FE3480">
      <w:pPr>
        <w:rPr>
          <w:highlight w:val="none"/>
        </w:rPr>
      </w:pPr>
    </w:p>
    <w:p w14:paraId="3F300DC9">
      <w:pPr>
        <w:rPr>
          <w:highlight w:val="none"/>
        </w:rPr>
      </w:pPr>
    </w:p>
    <w:p w14:paraId="6E8E6655">
      <w:pPr>
        <w:rPr>
          <w:highlight w:val="none"/>
        </w:rPr>
      </w:pPr>
    </w:p>
    <w:p w14:paraId="5B05DF0B">
      <w:pPr>
        <w:rPr>
          <w:highlight w:val="none"/>
        </w:rPr>
      </w:pPr>
    </w:p>
    <w:p w14:paraId="09E219D1">
      <w:pPr>
        <w:rPr>
          <w:highlight w:val="none"/>
        </w:rPr>
      </w:pPr>
    </w:p>
    <w:p w14:paraId="6BC7F901">
      <w:pPr>
        <w:adjustRightInd w:val="0"/>
        <w:snapToGrid w:val="0"/>
        <w:spacing w:line="360" w:lineRule="auto"/>
        <w:outlineLvl w:val="9"/>
        <w:rPr>
          <w:rFonts w:ascii="宋体" w:hAnsi="宋体"/>
          <w:bCs/>
          <w:szCs w:val="21"/>
          <w:highlight w:val="none"/>
        </w:rPr>
      </w:pPr>
      <w:r>
        <w:rPr>
          <w:rFonts w:hint="eastAsia" w:ascii="宋体" w:hAnsi="宋体"/>
          <w:szCs w:val="21"/>
          <w:highlight w:val="none"/>
        </w:rPr>
        <w:t>供应商名称：</w:t>
      </w:r>
      <w:r>
        <w:rPr>
          <w:rFonts w:hint="eastAsia" w:ascii="宋体" w:hAnsi="宋体"/>
          <w:szCs w:val="21"/>
          <w:highlight w:val="none"/>
          <w:u w:val="single"/>
        </w:rPr>
        <w:t xml:space="preserve">                   </w:t>
      </w:r>
    </w:p>
    <w:p w14:paraId="6A90F04F">
      <w:pPr>
        <w:adjustRightInd w:val="0"/>
        <w:snapToGrid w:val="0"/>
        <w:spacing w:line="360" w:lineRule="auto"/>
        <w:outlineLvl w:val="9"/>
        <w:rPr>
          <w:rFonts w:ascii="宋体" w:hAnsi="宋体"/>
          <w:szCs w:val="21"/>
          <w:highlight w:val="none"/>
        </w:rPr>
      </w:pPr>
      <w:r>
        <w:rPr>
          <w:rFonts w:hint="eastAsia" w:ascii="宋体" w:hAnsi="宋体"/>
          <w:szCs w:val="21"/>
          <w:highlight w:val="none"/>
        </w:rPr>
        <w:t>法定代表人或其委托代理人(签字)：</w:t>
      </w:r>
      <w:r>
        <w:rPr>
          <w:rFonts w:hint="eastAsia" w:ascii="宋体" w:hAnsi="宋体"/>
          <w:szCs w:val="21"/>
          <w:highlight w:val="none"/>
          <w:u w:val="single"/>
        </w:rPr>
        <w:t xml:space="preserve">                   </w:t>
      </w:r>
    </w:p>
    <w:p w14:paraId="101D8363">
      <w:pPr>
        <w:adjustRightInd w:val="0"/>
        <w:snapToGrid w:val="0"/>
        <w:spacing w:line="360" w:lineRule="auto"/>
        <w:outlineLvl w:val="9"/>
        <w:rPr>
          <w:rFonts w:ascii="宋体" w:hAnsi="宋体"/>
          <w:szCs w:val="21"/>
          <w:highlight w:val="none"/>
        </w:rPr>
      </w:pPr>
      <w:r>
        <w:rPr>
          <w:rFonts w:hint="eastAsia" w:ascii="宋体" w:hAnsi="宋体"/>
          <w:szCs w:val="21"/>
          <w:highlight w:val="none"/>
        </w:rPr>
        <w:t xml:space="preserve">日          期： </w:t>
      </w:r>
      <w:r>
        <w:rPr>
          <w:rFonts w:hint="eastAsia" w:ascii="宋体" w:hAnsi="宋体"/>
          <w:szCs w:val="21"/>
          <w:highlight w:val="none"/>
          <w:u w:val="single"/>
        </w:rPr>
        <w:t xml:space="preserve">     </w:t>
      </w:r>
      <w:r>
        <w:rPr>
          <w:rFonts w:hint="eastAsia" w:ascii="宋体" w:hAnsi="宋体"/>
          <w:szCs w:val="21"/>
          <w:highlight w:val="none"/>
        </w:rPr>
        <w:t xml:space="preserve"> 年 </w:t>
      </w:r>
      <w:r>
        <w:rPr>
          <w:rFonts w:hint="eastAsia" w:ascii="宋体" w:hAnsi="宋体"/>
          <w:szCs w:val="21"/>
          <w:highlight w:val="none"/>
          <w:u w:val="single"/>
        </w:rPr>
        <w:t xml:space="preserve">    </w:t>
      </w:r>
      <w:r>
        <w:rPr>
          <w:rFonts w:hint="eastAsia" w:ascii="宋体" w:hAnsi="宋体"/>
          <w:szCs w:val="21"/>
          <w:highlight w:val="none"/>
        </w:rPr>
        <w:t xml:space="preserve"> 月 </w:t>
      </w:r>
      <w:r>
        <w:rPr>
          <w:rFonts w:hint="eastAsia" w:ascii="宋体" w:hAnsi="宋体"/>
          <w:szCs w:val="21"/>
          <w:highlight w:val="none"/>
          <w:u w:val="single"/>
        </w:rPr>
        <w:t xml:space="preserve">   </w:t>
      </w:r>
      <w:r>
        <w:rPr>
          <w:rFonts w:hint="eastAsia" w:ascii="宋体" w:hAnsi="宋体"/>
          <w:szCs w:val="21"/>
          <w:highlight w:val="none"/>
        </w:rPr>
        <w:t xml:space="preserve"> 日</w:t>
      </w:r>
    </w:p>
    <w:p w14:paraId="4CAC5024">
      <w:pPr>
        <w:adjustRightInd w:val="0"/>
        <w:snapToGrid w:val="0"/>
        <w:spacing w:line="360" w:lineRule="auto"/>
        <w:rPr>
          <w:rFonts w:ascii="宋体" w:hAnsi="宋体"/>
          <w:szCs w:val="21"/>
          <w:highlight w:val="none"/>
        </w:rPr>
      </w:pPr>
    </w:p>
    <w:p w14:paraId="3F06EFB4">
      <w:pPr>
        <w:tabs>
          <w:tab w:val="left" w:pos="3600"/>
        </w:tabs>
        <w:adjustRightInd w:val="0"/>
        <w:snapToGrid w:val="0"/>
        <w:jc w:val="center"/>
        <w:rPr>
          <w:rFonts w:ascii="黑体" w:eastAsia="黑体"/>
          <w:b/>
          <w:sz w:val="32"/>
          <w:szCs w:val="32"/>
          <w:highlight w:val="none"/>
        </w:rPr>
      </w:pPr>
    </w:p>
    <w:p w14:paraId="67425A5D">
      <w:pPr>
        <w:tabs>
          <w:tab w:val="left" w:pos="3600"/>
        </w:tabs>
        <w:adjustRightInd w:val="0"/>
        <w:snapToGrid w:val="0"/>
        <w:jc w:val="center"/>
        <w:rPr>
          <w:rFonts w:ascii="黑体" w:eastAsia="黑体"/>
          <w:b/>
          <w:sz w:val="32"/>
          <w:szCs w:val="32"/>
          <w:highlight w:val="none"/>
        </w:rPr>
      </w:pPr>
    </w:p>
    <w:p w14:paraId="336FEAB3">
      <w:pPr>
        <w:tabs>
          <w:tab w:val="left" w:pos="3600"/>
        </w:tabs>
        <w:adjustRightInd w:val="0"/>
        <w:snapToGrid w:val="0"/>
        <w:jc w:val="center"/>
        <w:rPr>
          <w:rFonts w:ascii="黑体" w:eastAsia="黑体"/>
          <w:b/>
          <w:sz w:val="32"/>
          <w:szCs w:val="32"/>
          <w:highlight w:val="none"/>
        </w:rPr>
      </w:pPr>
    </w:p>
    <w:p w14:paraId="560215D0">
      <w:pPr>
        <w:tabs>
          <w:tab w:val="left" w:pos="3600"/>
        </w:tabs>
        <w:adjustRightInd w:val="0"/>
        <w:snapToGrid w:val="0"/>
        <w:jc w:val="center"/>
        <w:rPr>
          <w:rFonts w:ascii="黑体" w:eastAsia="黑体"/>
          <w:b/>
          <w:sz w:val="32"/>
          <w:szCs w:val="32"/>
          <w:highlight w:val="none"/>
        </w:rPr>
      </w:pPr>
    </w:p>
    <w:p w14:paraId="325DF563">
      <w:pPr>
        <w:tabs>
          <w:tab w:val="left" w:pos="3600"/>
        </w:tabs>
        <w:adjustRightInd w:val="0"/>
        <w:snapToGrid w:val="0"/>
        <w:jc w:val="center"/>
        <w:rPr>
          <w:rFonts w:ascii="黑体" w:eastAsia="黑体"/>
          <w:b/>
          <w:sz w:val="32"/>
          <w:szCs w:val="32"/>
          <w:highlight w:val="none"/>
        </w:rPr>
      </w:pPr>
    </w:p>
    <w:p w14:paraId="57A6D865">
      <w:pPr>
        <w:tabs>
          <w:tab w:val="left" w:pos="3600"/>
        </w:tabs>
        <w:adjustRightInd w:val="0"/>
        <w:snapToGrid w:val="0"/>
        <w:rPr>
          <w:rFonts w:ascii="黑体" w:eastAsia="黑体"/>
          <w:b/>
          <w:sz w:val="30"/>
          <w:szCs w:val="30"/>
          <w:highlight w:val="none"/>
        </w:rPr>
      </w:pPr>
    </w:p>
    <w:p w14:paraId="03AF4B84">
      <w:pPr>
        <w:rPr>
          <w:rFonts w:hint="eastAsia" w:ascii="黑体" w:eastAsia="黑体"/>
          <w:b/>
          <w:bCs/>
          <w:sz w:val="32"/>
          <w:szCs w:val="32"/>
          <w:highlight w:val="none"/>
          <w:lang w:val="en-US" w:eastAsia="zh-CN"/>
        </w:rPr>
      </w:pPr>
      <w:r>
        <w:rPr>
          <w:rFonts w:hint="eastAsia" w:ascii="黑体" w:eastAsia="黑体"/>
          <w:b/>
          <w:bCs/>
          <w:sz w:val="32"/>
          <w:szCs w:val="32"/>
          <w:highlight w:val="none"/>
          <w:lang w:val="en-US" w:eastAsia="zh-CN"/>
        </w:rPr>
        <w:br w:type="page"/>
      </w:r>
    </w:p>
    <w:p w14:paraId="5A0B6893">
      <w:pPr>
        <w:ind w:firstLine="803"/>
        <w:jc w:val="center"/>
        <w:outlineLvl w:val="1"/>
        <w:rPr>
          <w:rFonts w:ascii="黑体" w:hAnsi="宋体" w:eastAsia="黑体"/>
          <w:b/>
          <w:sz w:val="32"/>
          <w:szCs w:val="32"/>
          <w:highlight w:val="none"/>
        </w:rPr>
      </w:pPr>
      <w:r>
        <w:rPr>
          <w:rFonts w:hint="eastAsia" w:ascii="黑体" w:eastAsia="黑体"/>
          <w:b/>
          <w:bCs/>
          <w:sz w:val="32"/>
          <w:szCs w:val="32"/>
          <w:highlight w:val="none"/>
          <w:lang w:val="en-US" w:eastAsia="zh-CN"/>
        </w:rPr>
        <w:t>九</w:t>
      </w:r>
      <w:r>
        <w:rPr>
          <w:rFonts w:hint="eastAsia" w:ascii="黑体" w:eastAsia="黑体"/>
          <w:b/>
          <w:bCs/>
          <w:sz w:val="32"/>
          <w:szCs w:val="32"/>
          <w:highlight w:val="none"/>
        </w:rPr>
        <w:t>、</w:t>
      </w:r>
      <w:r>
        <w:rPr>
          <w:rFonts w:hint="eastAsia" w:ascii="黑体" w:hAnsi="宋体" w:eastAsia="黑体"/>
          <w:b/>
          <w:sz w:val="32"/>
          <w:szCs w:val="32"/>
          <w:highlight w:val="none"/>
        </w:rPr>
        <w:t>报价一览表及报价文件</w:t>
      </w:r>
    </w:p>
    <w:p w14:paraId="5E57B951">
      <w:pPr>
        <w:tabs>
          <w:tab w:val="left" w:pos="1680"/>
        </w:tabs>
        <w:adjustRightInd w:val="0"/>
        <w:snapToGrid w:val="0"/>
        <w:outlineLvl w:val="9"/>
        <w:rPr>
          <w:rFonts w:ascii="黑体" w:hAnsi="宋体" w:eastAsia="黑体"/>
          <w:sz w:val="30"/>
          <w:szCs w:val="30"/>
          <w:highlight w:val="none"/>
        </w:rPr>
      </w:pPr>
      <w:r>
        <w:rPr>
          <w:rFonts w:hint="eastAsia" w:ascii="黑体" w:hAnsi="宋体" w:eastAsia="黑体"/>
          <w:sz w:val="30"/>
          <w:szCs w:val="30"/>
          <w:highlight w:val="none"/>
        </w:rPr>
        <w:t>附件9</w:t>
      </w:r>
      <w:r>
        <w:rPr>
          <w:rFonts w:ascii="黑体" w:hAnsi="宋体" w:eastAsia="黑体"/>
          <w:sz w:val="30"/>
          <w:szCs w:val="30"/>
          <w:highlight w:val="none"/>
        </w:rPr>
        <w:tab/>
      </w:r>
    </w:p>
    <w:p w14:paraId="58B1BDF9">
      <w:pPr>
        <w:spacing w:line="360" w:lineRule="exact"/>
        <w:ind w:firstLine="300" w:firstLineChars="100"/>
        <w:outlineLvl w:val="9"/>
        <w:rPr>
          <w:rFonts w:ascii="楷体_GB2312" w:eastAsia="楷体_GB2312"/>
          <w:sz w:val="30"/>
          <w:szCs w:val="30"/>
          <w:highlight w:val="none"/>
        </w:rPr>
      </w:pPr>
    </w:p>
    <w:p w14:paraId="1E1B4109">
      <w:pPr>
        <w:adjustRightInd w:val="0"/>
        <w:snapToGrid w:val="0"/>
        <w:jc w:val="center"/>
        <w:outlineLvl w:val="9"/>
        <w:rPr>
          <w:rFonts w:ascii="黑体" w:hAnsi="宋体" w:eastAsia="黑体"/>
          <w:bCs/>
          <w:sz w:val="30"/>
          <w:szCs w:val="30"/>
          <w:highlight w:val="none"/>
        </w:rPr>
      </w:pPr>
    </w:p>
    <w:p w14:paraId="50F6A9F9">
      <w:pPr>
        <w:jc w:val="center"/>
        <w:outlineLvl w:val="2"/>
        <w:rPr>
          <w:rFonts w:ascii="黑体" w:hAnsi="宋体" w:eastAsia="黑体"/>
          <w:sz w:val="30"/>
          <w:szCs w:val="30"/>
          <w:highlight w:val="none"/>
        </w:rPr>
      </w:pPr>
      <w:r>
        <w:rPr>
          <w:rFonts w:hint="eastAsia" w:ascii="黑体" w:hAnsi="宋体" w:eastAsia="黑体"/>
          <w:bCs/>
          <w:sz w:val="30"/>
          <w:szCs w:val="30"/>
          <w:highlight w:val="none"/>
        </w:rPr>
        <w:t>报价一览表（服务</w:t>
      </w:r>
      <w:r>
        <w:rPr>
          <w:rFonts w:hint="eastAsia" w:ascii="黑体" w:hAnsi="宋体" w:eastAsia="黑体"/>
          <w:sz w:val="30"/>
          <w:szCs w:val="30"/>
          <w:highlight w:val="none"/>
        </w:rPr>
        <w:t>类适用）</w:t>
      </w:r>
    </w:p>
    <w:p w14:paraId="7021C417">
      <w:pPr>
        <w:adjustRightInd w:val="0"/>
        <w:snapToGrid w:val="0"/>
        <w:rPr>
          <w:rFonts w:ascii="黑体" w:hAnsi="宋体" w:eastAsia="黑体"/>
          <w:sz w:val="24"/>
          <w:highlight w:val="none"/>
        </w:rPr>
      </w:pPr>
    </w:p>
    <w:tbl>
      <w:tblPr>
        <w:tblStyle w:val="21"/>
        <w:tblW w:w="8820"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520"/>
      </w:tblGrid>
      <w:tr w14:paraId="3C09C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620" w:type="dxa"/>
            <w:vMerge w:val="restart"/>
            <w:tcBorders>
              <w:top w:val="double" w:color="auto" w:sz="4" w:space="0"/>
              <w:left w:val="double" w:color="auto" w:sz="4" w:space="0"/>
              <w:right w:val="single" w:color="auto" w:sz="6" w:space="0"/>
            </w:tcBorders>
            <w:vAlign w:val="center"/>
          </w:tcPr>
          <w:p w14:paraId="2E03D529">
            <w:pPr>
              <w:keepNext w:val="0"/>
              <w:keepLines w:val="0"/>
              <w:suppressLineNumbers w:val="0"/>
              <w:tabs>
                <w:tab w:val="left" w:pos="403"/>
                <w:tab w:val="center" w:pos="3781"/>
              </w:tabs>
              <w:spacing w:before="0" w:beforeAutospacing="0" w:after="0" w:afterAutospacing="0" w:line="420" w:lineRule="exact"/>
              <w:ind w:left="0" w:right="-5206" w:rightChars="-2479" w:firstLine="210" w:firstLineChars="100"/>
              <w:rPr>
                <w:rFonts w:hint="default" w:ascii="宋体" w:hAnsi="宋体"/>
                <w:szCs w:val="21"/>
                <w:highlight w:val="none"/>
              </w:rPr>
            </w:pPr>
            <w:r>
              <w:rPr>
                <w:rFonts w:hint="default" w:ascii="宋体" w:hAnsi="宋体"/>
                <w:szCs w:val="21"/>
                <w:highlight w:val="none"/>
              </w:rPr>
              <w:t>项目名称</w:t>
            </w:r>
            <w:r>
              <w:rPr>
                <w:rFonts w:hint="default" w:ascii="宋体" w:hAnsi="宋体"/>
                <w:szCs w:val="21"/>
                <w:highlight w:val="none"/>
              </w:rPr>
              <w:tab/>
            </w:r>
            <w:r>
              <w:rPr>
                <w:rFonts w:hint="default" w:ascii="宋体" w:hAnsi="宋体"/>
                <w:szCs w:val="21"/>
                <w:highlight w:val="none"/>
              </w:rPr>
              <w:t>项目名称</w:t>
            </w:r>
          </w:p>
        </w:tc>
        <w:tc>
          <w:tcPr>
            <w:tcW w:w="3060" w:type="dxa"/>
            <w:vMerge w:val="restart"/>
            <w:tcBorders>
              <w:top w:val="double" w:color="auto" w:sz="4" w:space="0"/>
              <w:left w:val="single" w:color="auto" w:sz="6" w:space="0"/>
              <w:right w:val="single" w:color="auto" w:sz="6" w:space="0"/>
            </w:tcBorders>
            <w:vAlign w:val="center"/>
          </w:tcPr>
          <w:p w14:paraId="550BCFFE">
            <w:pPr>
              <w:keepNext w:val="0"/>
              <w:keepLines w:val="0"/>
              <w:suppressLineNumbers w:val="0"/>
              <w:spacing w:before="0" w:beforeAutospacing="0" w:after="0" w:afterAutospacing="0" w:line="420" w:lineRule="exact"/>
              <w:ind w:left="0" w:right="0"/>
              <w:jc w:val="center"/>
              <w:rPr>
                <w:rFonts w:hint="default" w:ascii="宋体" w:hAnsi="宋体"/>
                <w:szCs w:val="21"/>
                <w:highlight w:val="none"/>
              </w:rPr>
            </w:pPr>
          </w:p>
        </w:tc>
        <w:tc>
          <w:tcPr>
            <w:tcW w:w="1620" w:type="dxa"/>
            <w:tcBorders>
              <w:top w:val="double" w:color="auto" w:sz="4" w:space="0"/>
              <w:left w:val="single" w:color="auto" w:sz="6" w:space="0"/>
              <w:bottom w:val="single" w:color="auto" w:sz="6" w:space="0"/>
              <w:right w:val="single" w:color="auto" w:sz="6" w:space="0"/>
            </w:tcBorders>
            <w:vAlign w:val="center"/>
          </w:tcPr>
          <w:p w14:paraId="39234D2D">
            <w:pPr>
              <w:keepNext w:val="0"/>
              <w:keepLines w:val="0"/>
              <w:suppressLineNumbers w:val="0"/>
              <w:spacing w:before="0" w:beforeAutospacing="0" w:after="0" w:afterAutospacing="0" w:line="420" w:lineRule="exact"/>
              <w:ind w:left="0" w:right="0"/>
              <w:jc w:val="center"/>
              <w:rPr>
                <w:rFonts w:hint="default" w:ascii="宋体" w:hAnsi="宋体"/>
                <w:szCs w:val="21"/>
                <w:highlight w:val="none"/>
              </w:rPr>
            </w:pPr>
            <w:r>
              <w:rPr>
                <w:rFonts w:hint="eastAsia" w:ascii="宋体" w:hAnsi="宋体"/>
                <w:szCs w:val="21"/>
                <w:highlight w:val="none"/>
              </w:rPr>
              <w:t>政府采购</w:t>
            </w:r>
            <w:r>
              <w:rPr>
                <w:rFonts w:hint="default" w:ascii="宋体" w:hAnsi="宋体"/>
                <w:szCs w:val="21"/>
                <w:highlight w:val="none"/>
              </w:rPr>
              <w:t>编号</w:t>
            </w:r>
          </w:p>
        </w:tc>
        <w:tc>
          <w:tcPr>
            <w:tcW w:w="2520" w:type="dxa"/>
            <w:tcBorders>
              <w:top w:val="double" w:color="auto" w:sz="4" w:space="0"/>
              <w:left w:val="single" w:color="auto" w:sz="6" w:space="0"/>
              <w:right w:val="double" w:color="auto" w:sz="4" w:space="0"/>
            </w:tcBorders>
            <w:vAlign w:val="center"/>
          </w:tcPr>
          <w:p w14:paraId="0F76FF66">
            <w:pPr>
              <w:keepNext w:val="0"/>
              <w:keepLines w:val="0"/>
              <w:suppressLineNumbers w:val="0"/>
              <w:spacing w:before="0" w:beforeAutospacing="0" w:after="0" w:afterAutospacing="0" w:line="420" w:lineRule="exact"/>
              <w:ind w:left="0" w:right="0"/>
              <w:jc w:val="center"/>
              <w:rPr>
                <w:rFonts w:hint="eastAsia" w:ascii="宋体" w:hAnsi="宋体" w:eastAsia="宋体"/>
                <w:szCs w:val="21"/>
                <w:highlight w:val="none"/>
                <w:lang w:val="en-US" w:eastAsia="zh-CN"/>
              </w:rPr>
            </w:pPr>
          </w:p>
        </w:tc>
      </w:tr>
      <w:tr w14:paraId="10DB7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620" w:type="dxa"/>
            <w:vMerge w:val="continue"/>
            <w:tcBorders>
              <w:left w:val="double" w:color="auto" w:sz="4" w:space="0"/>
              <w:bottom w:val="single" w:color="auto" w:sz="6" w:space="0"/>
              <w:right w:val="single" w:color="auto" w:sz="6" w:space="0"/>
            </w:tcBorders>
            <w:vAlign w:val="center"/>
          </w:tcPr>
          <w:p w14:paraId="7FB6537A">
            <w:pPr>
              <w:keepNext w:val="0"/>
              <w:keepLines w:val="0"/>
              <w:suppressLineNumbers w:val="0"/>
              <w:tabs>
                <w:tab w:val="left" w:pos="403"/>
                <w:tab w:val="center" w:pos="3781"/>
              </w:tabs>
              <w:spacing w:before="0" w:beforeAutospacing="0" w:after="0" w:afterAutospacing="0" w:line="420" w:lineRule="exact"/>
              <w:ind w:left="0" w:right="-5206" w:rightChars="-2479" w:firstLine="210" w:firstLineChars="100"/>
              <w:rPr>
                <w:rFonts w:hint="default" w:ascii="宋体" w:hAnsi="宋体"/>
                <w:szCs w:val="21"/>
                <w:highlight w:val="none"/>
              </w:rPr>
            </w:pPr>
          </w:p>
        </w:tc>
        <w:tc>
          <w:tcPr>
            <w:tcW w:w="3060" w:type="dxa"/>
            <w:vMerge w:val="continue"/>
            <w:tcBorders>
              <w:left w:val="single" w:color="auto" w:sz="6" w:space="0"/>
              <w:bottom w:val="single" w:color="auto" w:sz="6" w:space="0"/>
              <w:right w:val="single" w:color="auto" w:sz="6" w:space="0"/>
            </w:tcBorders>
            <w:vAlign w:val="center"/>
          </w:tcPr>
          <w:p w14:paraId="5B0B921E">
            <w:pPr>
              <w:keepNext w:val="0"/>
              <w:keepLines w:val="0"/>
              <w:suppressLineNumbers w:val="0"/>
              <w:spacing w:before="0" w:beforeAutospacing="0" w:after="0" w:afterAutospacing="0" w:line="420" w:lineRule="exact"/>
              <w:ind w:left="0" w:right="0"/>
              <w:jc w:val="center"/>
              <w:rPr>
                <w:rFonts w:hint="default" w:ascii="宋体" w:hAnsi="宋体"/>
                <w:szCs w:val="21"/>
                <w:highlight w:val="none"/>
              </w:rPr>
            </w:pPr>
          </w:p>
        </w:tc>
        <w:tc>
          <w:tcPr>
            <w:tcW w:w="1620" w:type="dxa"/>
            <w:tcBorders>
              <w:top w:val="double" w:color="auto" w:sz="4" w:space="0"/>
              <w:left w:val="single" w:color="auto" w:sz="6" w:space="0"/>
              <w:bottom w:val="single" w:color="auto" w:sz="6" w:space="0"/>
              <w:right w:val="single" w:color="auto" w:sz="6" w:space="0"/>
            </w:tcBorders>
            <w:vAlign w:val="center"/>
          </w:tcPr>
          <w:p w14:paraId="59C622B8">
            <w:pPr>
              <w:keepNext w:val="0"/>
              <w:keepLines w:val="0"/>
              <w:suppressLineNumbers w:val="0"/>
              <w:spacing w:before="0" w:beforeAutospacing="0" w:after="0" w:afterAutospacing="0" w:line="420" w:lineRule="exact"/>
              <w:ind w:left="0" w:right="0"/>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委托代理编号</w:t>
            </w:r>
          </w:p>
        </w:tc>
        <w:tc>
          <w:tcPr>
            <w:tcW w:w="2520" w:type="dxa"/>
            <w:tcBorders>
              <w:top w:val="double" w:color="auto" w:sz="4" w:space="0"/>
              <w:left w:val="single" w:color="auto" w:sz="6" w:space="0"/>
              <w:right w:val="double" w:color="auto" w:sz="4" w:space="0"/>
            </w:tcBorders>
            <w:vAlign w:val="center"/>
          </w:tcPr>
          <w:p w14:paraId="05AB5F7A">
            <w:pPr>
              <w:keepNext w:val="0"/>
              <w:keepLines w:val="0"/>
              <w:suppressLineNumbers w:val="0"/>
              <w:spacing w:before="0" w:beforeAutospacing="0" w:after="0" w:afterAutospacing="0" w:line="420" w:lineRule="exact"/>
              <w:ind w:left="0" w:right="0"/>
              <w:jc w:val="center"/>
              <w:rPr>
                <w:rFonts w:hint="eastAsia" w:ascii="宋体" w:hAnsi="宋体" w:eastAsia="宋体"/>
                <w:szCs w:val="21"/>
                <w:highlight w:val="none"/>
                <w:lang w:val="en-US" w:eastAsia="zh-CN"/>
              </w:rPr>
            </w:pPr>
          </w:p>
        </w:tc>
      </w:tr>
      <w:tr w14:paraId="7407AB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20" w:type="dxa"/>
            <w:tcBorders>
              <w:top w:val="single" w:color="auto" w:sz="6" w:space="0"/>
              <w:left w:val="double" w:color="auto" w:sz="4" w:space="0"/>
              <w:right w:val="single" w:color="auto" w:sz="6" w:space="0"/>
            </w:tcBorders>
            <w:vAlign w:val="center"/>
          </w:tcPr>
          <w:p w14:paraId="5473E458">
            <w:pPr>
              <w:keepNext w:val="0"/>
              <w:keepLines w:val="0"/>
              <w:suppressLineNumbers w:val="0"/>
              <w:spacing w:before="0" w:beforeAutospacing="0" w:after="0" w:afterAutospacing="0" w:line="420" w:lineRule="exact"/>
              <w:ind w:left="0" w:right="0"/>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包号</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24D35362">
            <w:pPr>
              <w:keepNext w:val="0"/>
              <w:keepLines w:val="0"/>
              <w:suppressLineNumbers w:val="0"/>
              <w:spacing w:before="0" w:beforeAutospacing="0" w:after="0" w:afterAutospacing="0"/>
              <w:ind w:left="0" w:right="0"/>
              <w:rPr>
                <w:rFonts w:hint="default" w:ascii="宋体" w:hAnsi="宋体"/>
                <w:szCs w:val="21"/>
                <w:highlight w:val="none"/>
              </w:rPr>
            </w:pPr>
          </w:p>
        </w:tc>
      </w:tr>
      <w:tr w14:paraId="5F49D8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20" w:type="dxa"/>
            <w:tcBorders>
              <w:top w:val="single" w:color="auto" w:sz="6" w:space="0"/>
              <w:left w:val="double" w:color="auto" w:sz="4" w:space="0"/>
              <w:right w:val="single" w:color="auto" w:sz="6" w:space="0"/>
            </w:tcBorders>
            <w:vAlign w:val="center"/>
          </w:tcPr>
          <w:p w14:paraId="566EEB97">
            <w:pPr>
              <w:keepNext w:val="0"/>
              <w:keepLines w:val="0"/>
              <w:suppressLineNumbers w:val="0"/>
              <w:spacing w:before="0" w:beforeAutospacing="0" w:after="0" w:afterAutospacing="0" w:line="420" w:lineRule="exact"/>
              <w:ind w:left="0" w:right="0"/>
              <w:jc w:val="center"/>
              <w:rPr>
                <w:rFonts w:hint="default" w:ascii="宋体" w:hAnsi="宋体"/>
                <w:szCs w:val="21"/>
                <w:highlight w:val="none"/>
              </w:rPr>
            </w:pPr>
            <w:r>
              <w:rPr>
                <w:rFonts w:hint="eastAsia" w:ascii="宋体" w:hAnsi="宋体"/>
                <w:szCs w:val="21"/>
                <w:highlight w:val="none"/>
              </w:rPr>
              <w:t>服务内容</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2B761011">
            <w:pPr>
              <w:keepNext w:val="0"/>
              <w:keepLines w:val="0"/>
              <w:suppressLineNumbers w:val="0"/>
              <w:spacing w:before="0" w:beforeAutospacing="0" w:after="0" w:afterAutospacing="0"/>
              <w:ind w:left="0" w:right="0"/>
              <w:rPr>
                <w:rFonts w:hint="default" w:ascii="宋体" w:hAnsi="宋体"/>
                <w:szCs w:val="21"/>
                <w:highlight w:val="none"/>
              </w:rPr>
            </w:pPr>
          </w:p>
        </w:tc>
      </w:tr>
      <w:tr w14:paraId="45A942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20" w:type="dxa"/>
            <w:tcBorders>
              <w:top w:val="single" w:color="auto" w:sz="6" w:space="0"/>
              <w:left w:val="double" w:color="auto" w:sz="4" w:space="0"/>
              <w:right w:val="single" w:color="auto" w:sz="6" w:space="0"/>
            </w:tcBorders>
            <w:vAlign w:val="center"/>
          </w:tcPr>
          <w:p w14:paraId="7192A742">
            <w:pPr>
              <w:keepNext w:val="0"/>
              <w:keepLines w:val="0"/>
              <w:suppressLineNumbers w:val="0"/>
              <w:spacing w:before="0" w:beforeAutospacing="0" w:after="0" w:afterAutospacing="0" w:line="420" w:lineRule="exact"/>
              <w:ind w:left="0" w:right="0"/>
              <w:jc w:val="center"/>
              <w:rPr>
                <w:rFonts w:hint="default" w:ascii="宋体" w:hAnsi="宋体"/>
                <w:szCs w:val="21"/>
                <w:highlight w:val="none"/>
              </w:rPr>
            </w:pPr>
            <w:r>
              <w:rPr>
                <w:rFonts w:hint="default" w:ascii="宋体" w:hAnsi="宋体"/>
                <w:szCs w:val="21"/>
                <w:highlight w:val="none"/>
              </w:rPr>
              <w:t>报价</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6E1DAABC">
            <w:pPr>
              <w:keepNext w:val="0"/>
              <w:keepLines w:val="0"/>
              <w:suppressLineNumbers w:val="0"/>
              <w:spacing w:before="0" w:beforeAutospacing="0" w:after="0" w:afterAutospacing="0"/>
              <w:ind w:left="0" w:right="0"/>
              <w:rPr>
                <w:rFonts w:hint="default" w:ascii="宋体" w:hAnsi="宋体"/>
                <w:szCs w:val="21"/>
                <w:highlight w:val="none"/>
              </w:rPr>
            </w:pP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rPr>
              <w:t>元人民币整</w:t>
            </w:r>
          </w:p>
          <w:p w14:paraId="6AC56C27">
            <w:pPr>
              <w:keepNext w:val="0"/>
              <w:keepLines w:val="0"/>
              <w:suppressLineNumbers w:val="0"/>
              <w:spacing w:before="0" w:beforeAutospacing="0" w:after="0" w:afterAutospacing="0" w:line="420" w:lineRule="exact"/>
              <w:ind w:left="0" w:right="0"/>
              <w:rPr>
                <w:rFonts w:hint="default" w:ascii="宋体" w:hAnsi="宋体"/>
                <w:szCs w:val="21"/>
                <w:highlight w:val="none"/>
              </w:rPr>
            </w:pPr>
            <w:r>
              <w:rPr>
                <w:rFonts w:hint="eastAsia" w:ascii="宋体" w:hAnsi="宋体"/>
                <w:szCs w:val="21"/>
                <w:highlight w:val="none"/>
              </w:rPr>
              <w:t>小写：</w:t>
            </w:r>
            <w:r>
              <w:rPr>
                <w:rFonts w:hint="eastAsia" w:ascii="宋体" w:hAnsi="宋体"/>
                <w:szCs w:val="21"/>
                <w:highlight w:val="none"/>
                <w:u w:val="single"/>
              </w:rPr>
              <w:t xml:space="preserve">                    </w:t>
            </w:r>
            <w:r>
              <w:rPr>
                <w:rFonts w:hint="eastAsia" w:ascii="宋体" w:hAnsi="宋体"/>
                <w:szCs w:val="21"/>
                <w:highlight w:val="none"/>
              </w:rPr>
              <w:t>元人民币整</w:t>
            </w:r>
          </w:p>
        </w:tc>
      </w:tr>
      <w:tr w14:paraId="2B03E6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620" w:type="dxa"/>
            <w:tcBorders>
              <w:top w:val="single" w:color="auto" w:sz="6" w:space="0"/>
              <w:left w:val="double" w:color="auto" w:sz="4" w:space="0"/>
              <w:bottom w:val="single" w:color="auto" w:sz="6" w:space="0"/>
              <w:right w:val="single" w:color="auto" w:sz="6" w:space="0"/>
            </w:tcBorders>
            <w:vAlign w:val="center"/>
          </w:tcPr>
          <w:p w14:paraId="3C92B0BE">
            <w:pPr>
              <w:keepNext w:val="0"/>
              <w:keepLines w:val="0"/>
              <w:suppressLineNumbers w:val="0"/>
              <w:spacing w:before="0" w:beforeAutospacing="0" w:after="0" w:afterAutospacing="0" w:line="420" w:lineRule="exact"/>
              <w:ind w:left="0" w:right="0"/>
              <w:jc w:val="center"/>
              <w:rPr>
                <w:rFonts w:hint="default" w:ascii="宋体" w:hAnsi="宋体"/>
                <w:szCs w:val="21"/>
                <w:highlight w:val="none"/>
              </w:rPr>
            </w:pPr>
            <w:r>
              <w:rPr>
                <w:rFonts w:hint="eastAsia" w:ascii="宋体" w:hAnsi="宋体"/>
                <w:szCs w:val="21"/>
                <w:highlight w:val="none"/>
              </w:rPr>
              <w:t>合同</w:t>
            </w:r>
            <w:r>
              <w:rPr>
                <w:rFonts w:hint="default" w:ascii="宋体" w:hAnsi="宋体"/>
                <w:szCs w:val="21"/>
                <w:highlight w:val="none"/>
              </w:rPr>
              <w:t>周期</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02C199C4">
            <w:pPr>
              <w:keepNext w:val="0"/>
              <w:keepLines w:val="0"/>
              <w:suppressLineNumbers w:val="0"/>
              <w:spacing w:before="0" w:beforeAutospacing="0" w:after="0" w:afterAutospacing="0" w:line="420" w:lineRule="exact"/>
              <w:ind w:left="0" w:right="0"/>
              <w:rPr>
                <w:rFonts w:hint="default" w:ascii="宋体" w:hAnsi="宋体"/>
                <w:iCs/>
                <w:szCs w:val="21"/>
                <w:highlight w:val="none"/>
              </w:rPr>
            </w:pPr>
          </w:p>
        </w:tc>
      </w:tr>
      <w:tr w14:paraId="5F3260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620" w:type="dxa"/>
            <w:tcBorders>
              <w:top w:val="single" w:color="auto" w:sz="6" w:space="0"/>
              <w:left w:val="double" w:color="auto" w:sz="4" w:space="0"/>
              <w:bottom w:val="single" w:color="auto" w:sz="6" w:space="0"/>
              <w:right w:val="single" w:color="auto" w:sz="6" w:space="0"/>
            </w:tcBorders>
            <w:vAlign w:val="center"/>
          </w:tcPr>
          <w:p w14:paraId="6A88A440">
            <w:pPr>
              <w:keepNext w:val="0"/>
              <w:keepLines w:val="0"/>
              <w:suppressLineNumbers w:val="0"/>
              <w:spacing w:before="0" w:beforeAutospacing="0" w:after="0" w:afterAutospacing="0" w:line="420" w:lineRule="exact"/>
              <w:ind w:left="0" w:right="0"/>
              <w:jc w:val="center"/>
              <w:rPr>
                <w:rFonts w:hint="default" w:ascii="宋体" w:hAnsi="宋体"/>
                <w:szCs w:val="21"/>
                <w:highlight w:val="none"/>
              </w:rPr>
            </w:pPr>
            <w:r>
              <w:rPr>
                <w:rFonts w:hint="eastAsia" w:ascii="宋体" w:hAnsi="宋体"/>
                <w:szCs w:val="21"/>
                <w:highlight w:val="none"/>
              </w:rPr>
              <w:t>项目负责人</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7C5CFEE6">
            <w:pPr>
              <w:keepNext w:val="0"/>
              <w:keepLines w:val="0"/>
              <w:suppressLineNumbers w:val="0"/>
              <w:spacing w:before="0" w:beforeAutospacing="0" w:after="0" w:afterAutospacing="0" w:line="420" w:lineRule="exact"/>
              <w:ind w:left="0" w:right="0" w:firstLine="210" w:firstLineChars="100"/>
              <w:rPr>
                <w:rFonts w:hint="default" w:ascii="宋体" w:hAnsi="宋体"/>
                <w:szCs w:val="21"/>
                <w:highlight w:val="none"/>
              </w:rPr>
            </w:pPr>
          </w:p>
        </w:tc>
      </w:tr>
      <w:tr w14:paraId="22CBF7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20" w:type="dxa"/>
            <w:tcBorders>
              <w:top w:val="single" w:color="auto" w:sz="6" w:space="0"/>
              <w:left w:val="double" w:color="auto" w:sz="4" w:space="0"/>
              <w:bottom w:val="double" w:color="auto" w:sz="4" w:space="0"/>
              <w:right w:val="single" w:color="auto" w:sz="6" w:space="0"/>
            </w:tcBorders>
            <w:vAlign w:val="center"/>
          </w:tcPr>
          <w:p w14:paraId="48192AC3">
            <w:pPr>
              <w:keepNext w:val="0"/>
              <w:keepLines w:val="0"/>
              <w:suppressLineNumbers w:val="0"/>
              <w:spacing w:before="0" w:beforeAutospacing="0" w:after="0" w:afterAutospacing="0" w:line="420" w:lineRule="exact"/>
              <w:ind w:left="0" w:right="0"/>
              <w:jc w:val="center"/>
              <w:rPr>
                <w:rFonts w:hint="default" w:ascii="宋体" w:hAnsi="宋体"/>
                <w:szCs w:val="21"/>
                <w:highlight w:val="none"/>
              </w:rPr>
            </w:pPr>
            <w:r>
              <w:rPr>
                <w:rFonts w:hint="default" w:ascii="宋体" w:hAnsi="宋体"/>
                <w:szCs w:val="21"/>
                <w:highlight w:val="none"/>
              </w:rPr>
              <w:t>备  注</w:t>
            </w:r>
          </w:p>
        </w:tc>
        <w:tc>
          <w:tcPr>
            <w:tcW w:w="7200" w:type="dxa"/>
            <w:gridSpan w:val="3"/>
            <w:tcBorders>
              <w:top w:val="single" w:color="auto" w:sz="6" w:space="0"/>
              <w:left w:val="single" w:color="auto" w:sz="6" w:space="0"/>
              <w:bottom w:val="double" w:color="auto" w:sz="4" w:space="0"/>
              <w:right w:val="double" w:color="auto" w:sz="4" w:space="0"/>
            </w:tcBorders>
            <w:vAlign w:val="center"/>
          </w:tcPr>
          <w:p w14:paraId="22045CB8">
            <w:pPr>
              <w:keepNext w:val="0"/>
              <w:keepLines w:val="0"/>
              <w:suppressLineNumbers w:val="0"/>
              <w:spacing w:before="0" w:beforeAutospacing="0" w:after="0" w:afterAutospacing="0" w:line="420" w:lineRule="exact"/>
              <w:ind w:left="0" w:right="0"/>
              <w:rPr>
                <w:rFonts w:hint="default" w:ascii="宋体" w:hAnsi="宋体"/>
                <w:szCs w:val="21"/>
                <w:highlight w:val="none"/>
              </w:rPr>
            </w:pPr>
          </w:p>
        </w:tc>
      </w:tr>
    </w:tbl>
    <w:p w14:paraId="22C0F5DE">
      <w:pPr>
        <w:adjustRightInd w:val="0"/>
        <w:snapToGrid w:val="0"/>
        <w:spacing w:line="360" w:lineRule="auto"/>
        <w:ind w:left="-88" w:leftChars="-42"/>
        <w:rPr>
          <w:rFonts w:ascii="宋体" w:hAnsi="宋体"/>
          <w:szCs w:val="21"/>
          <w:highlight w:val="none"/>
        </w:rPr>
      </w:pPr>
    </w:p>
    <w:p w14:paraId="1C98151F">
      <w:pPr>
        <w:adjustRightInd w:val="0"/>
        <w:snapToGrid w:val="0"/>
        <w:spacing w:line="360" w:lineRule="auto"/>
        <w:rPr>
          <w:rFonts w:ascii="宋体" w:hAnsi="宋体"/>
          <w:szCs w:val="21"/>
          <w:highlight w:val="none"/>
        </w:rPr>
      </w:pPr>
      <w:r>
        <w:rPr>
          <w:rFonts w:hint="eastAsia" w:ascii="宋体" w:hAnsi="宋体"/>
          <w:szCs w:val="21"/>
          <w:highlight w:val="none"/>
        </w:rPr>
        <w:t>供应商（盖单位章）：</w:t>
      </w:r>
    </w:p>
    <w:p w14:paraId="650A6E2E">
      <w:pPr>
        <w:adjustRightInd w:val="0"/>
        <w:snapToGrid w:val="0"/>
        <w:spacing w:line="360" w:lineRule="auto"/>
        <w:rPr>
          <w:rFonts w:ascii="宋体" w:hAnsi="宋体"/>
          <w:szCs w:val="21"/>
          <w:highlight w:val="none"/>
        </w:rPr>
      </w:pPr>
      <w:r>
        <w:rPr>
          <w:rFonts w:hint="eastAsia" w:ascii="宋体" w:hAnsi="宋体"/>
          <w:szCs w:val="21"/>
          <w:highlight w:val="none"/>
        </w:rPr>
        <w:t>法定代表人或其委托代理人签字：</w:t>
      </w:r>
      <w:r>
        <w:rPr>
          <w:rFonts w:hint="eastAsia" w:ascii="宋体" w:hAnsi="宋体"/>
          <w:szCs w:val="21"/>
          <w:highlight w:val="none"/>
          <w:u w:val="single"/>
        </w:rPr>
        <w:t xml:space="preserve">       </w:t>
      </w:r>
    </w:p>
    <w:p w14:paraId="790593E0">
      <w:pPr>
        <w:adjustRightInd w:val="0"/>
        <w:snapToGrid w:val="0"/>
        <w:spacing w:line="360" w:lineRule="auto"/>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6DD985EA">
      <w:pPr>
        <w:adjustRightInd w:val="0"/>
        <w:snapToGrid w:val="0"/>
        <w:rPr>
          <w:rFonts w:ascii="宋体" w:hAnsi="宋体"/>
          <w:szCs w:val="21"/>
          <w:highlight w:val="none"/>
        </w:rPr>
      </w:pPr>
    </w:p>
    <w:p w14:paraId="48F45EBF">
      <w:pPr>
        <w:spacing w:line="360" w:lineRule="exact"/>
        <w:outlineLvl w:val="9"/>
        <w:rPr>
          <w:rFonts w:ascii="宋体"/>
          <w:highlight w:val="none"/>
        </w:rPr>
      </w:pPr>
    </w:p>
    <w:p w14:paraId="6582C9F0">
      <w:pPr>
        <w:adjustRightInd w:val="0"/>
        <w:snapToGrid w:val="0"/>
        <w:spacing w:line="360" w:lineRule="auto"/>
        <w:ind w:left="-88" w:leftChars="-42"/>
        <w:rPr>
          <w:rFonts w:ascii="宋体" w:hAnsi="宋体"/>
          <w:szCs w:val="21"/>
          <w:highlight w:val="none"/>
        </w:rPr>
      </w:pPr>
    </w:p>
    <w:p w14:paraId="71A73201">
      <w:pPr>
        <w:adjustRightInd w:val="0"/>
        <w:snapToGrid w:val="0"/>
        <w:spacing w:line="360" w:lineRule="auto"/>
        <w:ind w:left="-88" w:leftChars="-42"/>
        <w:rPr>
          <w:rFonts w:ascii="宋体" w:hAnsi="宋体"/>
          <w:szCs w:val="21"/>
          <w:highlight w:val="none"/>
        </w:rPr>
      </w:pPr>
    </w:p>
    <w:p w14:paraId="3FB781A4">
      <w:pPr>
        <w:adjustRightInd w:val="0"/>
        <w:snapToGrid w:val="0"/>
        <w:spacing w:line="360" w:lineRule="auto"/>
        <w:ind w:left="-88" w:leftChars="-42"/>
        <w:rPr>
          <w:rFonts w:ascii="宋体" w:hAnsi="宋体"/>
          <w:szCs w:val="21"/>
          <w:highlight w:val="none"/>
        </w:rPr>
      </w:pPr>
    </w:p>
    <w:p w14:paraId="0A779CBD">
      <w:pPr>
        <w:adjustRightInd w:val="0"/>
        <w:snapToGrid w:val="0"/>
        <w:spacing w:line="360" w:lineRule="auto"/>
        <w:ind w:left="-88" w:leftChars="-42"/>
        <w:rPr>
          <w:rFonts w:ascii="宋体" w:hAnsi="宋体"/>
          <w:szCs w:val="21"/>
          <w:highlight w:val="none"/>
        </w:rPr>
      </w:pPr>
    </w:p>
    <w:p w14:paraId="76C456FB">
      <w:pPr>
        <w:adjustRightInd w:val="0"/>
        <w:snapToGrid w:val="0"/>
        <w:spacing w:line="360" w:lineRule="auto"/>
        <w:ind w:left="-88" w:leftChars="-42"/>
        <w:rPr>
          <w:rFonts w:ascii="宋体" w:hAnsi="宋体"/>
          <w:szCs w:val="21"/>
          <w:highlight w:val="none"/>
        </w:rPr>
      </w:pPr>
    </w:p>
    <w:p w14:paraId="19E4C3C0">
      <w:pPr>
        <w:adjustRightInd w:val="0"/>
        <w:snapToGrid w:val="0"/>
        <w:spacing w:line="360" w:lineRule="auto"/>
        <w:ind w:left="-88" w:leftChars="-42"/>
        <w:rPr>
          <w:rFonts w:ascii="宋体" w:hAnsi="宋体"/>
          <w:szCs w:val="21"/>
          <w:highlight w:val="none"/>
        </w:rPr>
      </w:pPr>
    </w:p>
    <w:p w14:paraId="1E4EF0B8">
      <w:pPr>
        <w:adjustRightInd w:val="0"/>
        <w:snapToGrid w:val="0"/>
        <w:spacing w:line="360" w:lineRule="auto"/>
        <w:ind w:left="-88" w:leftChars="-42"/>
        <w:rPr>
          <w:rFonts w:ascii="宋体" w:hAnsi="宋体"/>
          <w:szCs w:val="21"/>
          <w:highlight w:val="none"/>
        </w:rPr>
      </w:pPr>
    </w:p>
    <w:p w14:paraId="464679AD">
      <w:pPr>
        <w:adjustRightInd w:val="0"/>
        <w:snapToGrid w:val="0"/>
        <w:spacing w:line="360" w:lineRule="auto"/>
        <w:ind w:left="-88" w:leftChars="-42"/>
        <w:rPr>
          <w:rFonts w:ascii="宋体" w:hAnsi="宋体"/>
          <w:szCs w:val="21"/>
          <w:highlight w:val="none"/>
        </w:rPr>
      </w:pPr>
    </w:p>
    <w:p w14:paraId="18EEE127">
      <w:pPr>
        <w:adjustRightInd w:val="0"/>
        <w:snapToGrid w:val="0"/>
        <w:spacing w:line="360" w:lineRule="auto"/>
        <w:ind w:left="-88" w:leftChars="-42"/>
        <w:rPr>
          <w:rFonts w:ascii="宋体" w:hAnsi="宋体"/>
          <w:szCs w:val="21"/>
          <w:highlight w:val="none"/>
        </w:rPr>
      </w:pPr>
    </w:p>
    <w:p w14:paraId="46911EC8">
      <w:pPr>
        <w:adjustRightInd w:val="0"/>
        <w:snapToGrid w:val="0"/>
        <w:rPr>
          <w:rFonts w:ascii="黑体" w:hAnsi="宋体" w:eastAsia="黑体"/>
          <w:b/>
          <w:sz w:val="24"/>
          <w:highlight w:val="none"/>
        </w:rPr>
        <w:sectPr>
          <w:headerReference r:id="rId5" w:type="default"/>
          <w:footerReference r:id="rId6" w:type="default"/>
          <w:pgSz w:w="11906" w:h="16838"/>
          <w:pgMar w:top="1474" w:right="1644" w:bottom="232" w:left="1587" w:header="850" w:footer="992" w:gutter="0"/>
          <w:cols w:space="0" w:num="1"/>
          <w:rtlGutter w:val="0"/>
          <w:docGrid w:type="lines" w:linePitch="315" w:charSpace="0"/>
        </w:sectPr>
      </w:pPr>
    </w:p>
    <w:p w14:paraId="407B2062">
      <w:pPr>
        <w:adjustRightInd w:val="0"/>
        <w:snapToGrid w:val="0"/>
        <w:rPr>
          <w:rFonts w:ascii="黑体" w:hAnsi="宋体" w:eastAsia="黑体"/>
          <w:sz w:val="30"/>
          <w:szCs w:val="30"/>
          <w:highlight w:val="none"/>
        </w:rPr>
      </w:pPr>
      <w:r>
        <w:rPr>
          <w:rFonts w:hint="eastAsia" w:ascii="黑体" w:hAnsi="宋体" w:eastAsia="黑体"/>
          <w:sz w:val="30"/>
          <w:szCs w:val="30"/>
          <w:highlight w:val="none"/>
        </w:rPr>
        <w:t>附件9-1</w:t>
      </w:r>
    </w:p>
    <w:p w14:paraId="0F84AA7E">
      <w:pPr>
        <w:keepNext w:val="0"/>
        <w:keepLines w:val="0"/>
        <w:widowControl w:val="0"/>
        <w:suppressLineNumbers w:val="0"/>
        <w:autoSpaceDE w:val="0"/>
        <w:autoSpaceDN w:val="0"/>
        <w:adjustRightInd w:val="0"/>
        <w:snapToGrid w:val="0"/>
        <w:spacing w:before="0" w:beforeAutospacing="0" w:after="0" w:afterAutospacing="0" w:line="360" w:lineRule="auto"/>
        <w:ind w:left="0" w:right="-20"/>
        <w:jc w:val="center"/>
        <w:outlineLvl w:val="2"/>
        <w:rPr>
          <w:rFonts w:hint="eastAsia" w:ascii="宋体" w:hAnsi="宋体" w:eastAsia="宋体" w:cs="宋体"/>
          <w:szCs w:val="24"/>
          <w:highlight w:val="none"/>
          <w:lang w:val="en-US"/>
        </w:rPr>
      </w:pPr>
      <w:r>
        <w:rPr>
          <w:rFonts w:hint="eastAsia" w:ascii="宋体" w:hAnsi="宋体" w:eastAsia="宋体" w:cs="宋体"/>
          <w:kern w:val="2"/>
          <w:sz w:val="21"/>
          <w:szCs w:val="24"/>
          <w:highlight w:val="none"/>
          <w:lang w:val="en-US" w:eastAsia="zh-CN"/>
        </w:rPr>
        <w:t>1、分项报价表说明</w:t>
      </w:r>
    </w:p>
    <w:p w14:paraId="074F306A">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szCs w:val="24"/>
          <w:highlight w:val="none"/>
          <w:lang w:val="en-US"/>
        </w:rPr>
      </w:pPr>
      <w:r>
        <w:rPr>
          <w:rFonts w:hint="eastAsia" w:ascii="宋体" w:hAnsi="宋体" w:eastAsia="宋体" w:cs="宋体"/>
          <w:kern w:val="2"/>
          <w:sz w:val="21"/>
          <w:szCs w:val="24"/>
          <w:highlight w:val="none"/>
          <w:lang w:val="en-US" w:eastAsia="zh-CN"/>
        </w:rPr>
        <w:t>备注：（1）本表应对应“</w:t>
      </w:r>
      <w:r>
        <w:rPr>
          <w:rFonts w:hint="eastAsia" w:ascii="宋体" w:hAnsi="宋体" w:cs="宋体"/>
          <w:kern w:val="2"/>
          <w:sz w:val="21"/>
          <w:szCs w:val="24"/>
          <w:highlight w:val="none"/>
          <w:lang w:val="en-US" w:eastAsia="zh-CN"/>
        </w:rPr>
        <w:t>报价一览表</w:t>
      </w:r>
      <w:r>
        <w:rPr>
          <w:rFonts w:hint="eastAsia" w:ascii="宋体" w:hAnsi="宋体" w:eastAsia="宋体" w:cs="宋体"/>
          <w:kern w:val="2"/>
          <w:sz w:val="21"/>
          <w:szCs w:val="24"/>
          <w:highlight w:val="none"/>
          <w:lang w:val="en-US" w:eastAsia="zh-CN"/>
        </w:rPr>
        <w:t>”</w:t>
      </w:r>
      <w:r>
        <w:rPr>
          <w:rFonts w:hint="eastAsia" w:ascii="宋体" w:hAnsi="宋体" w:cs="宋体"/>
          <w:kern w:val="2"/>
          <w:sz w:val="21"/>
          <w:szCs w:val="24"/>
          <w:highlight w:val="none"/>
          <w:lang w:val="en-US" w:eastAsia="zh-CN"/>
        </w:rPr>
        <w:t>，</w:t>
      </w:r>
      <w:r>
        <w:rPr>
          <w:rFonts w:hint="eastAsia" w:ascii="宋体" w:hAnsi="宋体" w:eastAsia="宋体" w:cs="宋体"/>
          <w:kern w:val="2"/>
          <w:sz w:val="21"/>
          <w:szCs w:val="24"/>
          <w:highlight w:val="none"/>
          <w:lang w:val="en-US" w:eastAsia="zh-CN"/>
        </w:rPr>
        <w:t>供应商如果不提供分项报价明细表，其</w:t>
      </w:r>
      <w:r>
        <w:rPr>
          <w:rFonts w:hint="eastAsia" w:ascii="宋体" w:hAnsi="宋体" w:cs="宋体"/>
          <w:kern w:val="2"/>
          <w:sz w:val="21"/>
          <w:szCs w:val="24"/>
          <w:highlight w:val="none"/>
          <w:lang w:val="en-US" w:eastAsia="zh-CN"/>
        </w:rPr>
        <w:t>响应</w:t>
      </w:r>
      <w:r>
        <w:rPr>
          <w:rFonts w:hint="eastAsia" w:ascii="宋体" w:hAnsi="宋体" w:eastAsia="宋体" w:cs="宋体"/>
          <w:kern w:val="2"/>
          <w:sz w:val="21"/>
          <w:szCs w:val="24"/>
          <w:highlight w:val="none"/>
          <w:lang w:val="en-US" w:eastAsia="zh-CN"/>
        </w:rPr>
        <w:t>无效。</w:t>
      </w:r>
    </w:p>
    <w:p w14:paraId="521C7A87">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4"/>
          <w:highlight w:val="none"/>
          <w:lang w:val="en-US"/>
        </w:rPr>
      </w:pPr>
      <w:r>
        <w:rPr>
          <w:rFonts w:hint="eastAsia" w:ascii="宋体" w:hAnsi="宋体" w:eastAsia="宋体" w:cs="宋体"/>
          <w:kern w:val="2"/>
          <w:sz w:val="21"/>
          <w:szCs w:val="24"/>
          <w:highlight w:val="none"/>
          <w:lang w:val="en-US" w:eastAsia="zh-CN"/>
        </w:rPr>
        <w:t>（2）不得填写“免费”或“赠与”，也不得进行“零”报价，否则</w:t>
      </w:r>
      <w:r>
        <w:rPr>
          <w:rFonts w:hint="eastAsia" w:ascii="宋体" w:hAnsi="宋体" w:cs="宋体"/>
          <w:kern w:val="2"/>
          <w:sz w:val="21"/>
          <w:szCs w:val="24"/>
          <w:highlight w:val="none"/>
          <w:lang w:val="en-US" w:eastAsia="zh-CN"/>
        </w:rPr>
        <w:t>响应</w:t>
      </w:r>
      <w:r>
        <w:rPr>
          <w:rFonts w:hint="eastAsia" w:ascii="宋体" w:hAnsi="宋体" w:eastAsia="宋体" w:cs="宋体"/>
          <w:kern w:val="2"/>
          <w:sz w:val="21"/>
          <w:szCs w:val="24"/>
          <w:highlight w:val="none"/>
          <w:lang w:val="en-US" w:eastAsia="zh-CN"/>
        </w:rPr>
        <w:t>无效。</w:t>
      </w:r>
    </w:p>
    <w:p w14:paraId="00DD446C">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4"/>
          <w:highlight w:val="none"/>
          <w:lang w:val="en-US"/>
        </w:rPr>
      </w:pPr>
      <w:r>
        <w:rPr>
          <w:rFonts w:hint="eastAsia" w:ascii="宋体" w:hAnsi="宋体" w:eastAsia="宋体" w:cs="宋体"/>
          <w:kern w:val="2"/>
          <w:sz w:val="21"/>
          <w:szCs w:val="24"/>
          <w:highlight w:val="none"/>
          <w:lang w:val="en-US" w:eastAsia="zh-CN"/>
        </w:rPr>
        <w:t>（3）供应商在提交</w:t>
      </w:r>
      <w:r>
        <w:rPr>
          <w:rFonts w:hint="eastAsia" w:ascii="宋体" w:hAnsi="宋体" w:cs="宋体"/>
          <w:kern w:val="2"/>
          <w:sz w:val="21"/>
          <w:szCs w:val="24"/>
          <w:highlight w:val="none"/>
          <w:lang w:val="en-US" w:eastAsia="zh-CN"/>
        </w:rPr>
        <w:t>响应</w:t>
      </w:r>
      <w:r>
        <w:rPr>
          <w:rFonts w:hint="eastAsia" w:ascii="宋体" w:hAnsi="宋体" w:eastAsia="宋体" w:cs="宋体"/>
          <w:kern w:val="2"/>
          <w:sz w:val="21"/>
          <w:szCs w:val="24"/>
          <w:highlight w:val="none"/>
          <w:lang w:val="en-US" w:eastAsia="zh-CN"/>
        </w:rPr>
        <w:t>文件的截止时间前修改“</w:t>
      </w:r>
      <w:r>
        <w:rPr>
          <w:rFonts w:hint="eastAsia" w:ascii="宋体" w:hAnsi="宋体" w:cs="宋体"/>
          <w:kern w:val="2"/>
          <w:sz w:val="21"/>
          <w:szCs w:val="24"/>
          <w:highlight w:val="none"/>
          <w:lang w:val="en-US" w:eastAsia="zh-CN"/>
        </w:rPr>
        <w:t>报价一览表</w:t>
      </w:r>
      <w:r>
        <w:rPr>
          <w:rFonts w:hint="eastAsia" w:ascii="宋体" w:hAnsi="宋体" w:eastAsia="宋体" w:cs="宋体"/>
          <w:kern w:val="2"/>
          <w:sz w:val="21"/>
          <w:szCs w:val="24"/>
          <w:highlight w:val="none"/>
          <w:lang w:val="en-US" w:eastAsia="zh-CN"/>
        </w:rPr>
        <w:t>”中的</w:t>
      </w:r>
      <w:r>
        <w:rPr>
          <w:rFonts w:hint="eastAsia" w:ascii="宋体" w:hAnsi="宋体" w:cs="宋体"/>
          <w:kern w:val="2"/>
          <w:sz w:val="21"/>
          <w:szCs w:val="24"/>
          <w:highlight w:val="none"/>
          <w:lang w:val="en-US" w:eastAsia="zh-CN"/>
        </w:rPr>
        <w:t>响应</w:t>
      </w:r>
      <w:r>
        <w:rPr>
          <w:rFonts w:hint="eastAsia" w:ascii="宋体" w:hAnsi="宋体" w:eastAsia="宋体" w:cs="宋体"/>
          <w:kern w:val="2"/>
          <w:sz w:val="21"/>
          <w:szCs w:val="24"/>
          <w:highlight w:val="none"/>
          <w:lang w:val="en-US" w:eastAsia="zh-CN"/>
        </w:rPr>
        <w:t>报价的，本表相应内容应同时修改。否则，分项报价按</w:t>
      </w:r>
      <w:r>
        <w:rPr>
          <w:rFonts w:hint="eastAsia" w:ascii="宋体" w:hAnsi="宋体" w:cs="宋体"/>
          <w:kern w:val="2"/>
          <w:sz w:val="21"/>
          <w:szCs w:val="24"/>
          <w:highlight w:val="none"/>
          <w:lang w:val="en-US" w:eastAsia="zh-CN"/>
        </w:rPr>
        <w:t>响应</w:t>
      </w:r>
      <w:r>
        <w:rPr>
          <w:rFonts w:hint="eastAsia" w:ascii="宋体" w:hAnsi="宋体" w:eastAsia="宋体" w:cs="宋体"/>
          <w:kern w:val="2"/>
          <w:sz w:val="21"/>
          <w:szCs w:val="24"/>
          <w:highlight w:val="none"/>
          <w:lang w:val="en-US" w:eastAsia="zh-CN"/>
        </w:rPr>
        <w:t>报价修改的相同比例进行调整，其风险由供应商自已承担。</w:t>
      </w:r>
    </w:p>
    <w:p w14:paraId="4C242A28">
      <w:pPr>
        <w:keepNext w:val="0"/>
        <w:keepLines w:val="0"/>
        <w:widowControl w:val="0"/>
        <w:suppressLineNumbers w:val="0"/>
        <w:autoSpaceDE w:val="0"/>
        <w:autoSpaceDN w:val="0"/>
        <w:adjustRightInd w:val="0"/>
        <w:snapToGrid w:val="0"/>
        <w:spacing w:before="0" w:beforeAutospacing="0" w:after="0" w:afterAutospacing="0" w:line="360" w:lineRule="auto"/>
        <w:ind w:left="0" w:right="-20"/>
        <w:jc w:val="center"/>
        <w:rPr>
          <w:rFonts w:hint="eastAsia" w:ascii="宋体" w:hAnsi="宋体" w:eastAsia="宋体" w:cs="宋体"/>
          <w:szCs w:val="24"/>
          <w:highlight w:val="none"/>
          <w:lang w:val="en-US"/>
        </w:rPr>
      </w:pPr>
    </w:p>
    <w:p w14:paraId="55F904E3">
      <w:pPr>
        <w:keepNext w:val="0"/>
        <w:keepLines w:val="0"/>
        <w:widowControl w:val="0"/>
        <w:suppressLineNumbers w:val="0"/>
        <w:autoSpaceDE w:val="0"/>
        <w:autoSpaceDN w:val="0"/>
        <w:adjustRightInd w:val="0"/>
        <w:snapToGrid w:val="0"/>
        <w:spacing w:before="0" w:beforeAutospacing="0" w:after="0" w:afterAutospacing="0" w:line="360" w:lineRule="auto"/>
        <w:ind w:left="0" w:right="-20"/>
        <w:jc w:val="center"/>
        <w:outlineLvl w:val="2"/>
        <w:rPr>
          <w:rFonts w:hint="eastAsia" w:ascii="宋体" w:hAnsi="宋体" w:eastAsia="宋体" w:cs="宋体"/>
          <w:szCs w:val="24"/>
          <w:highlight w:val="none"/>
          <w:lang w:val="en-US"/>
        </w:rPr>
      </w:pPr>
      <w:r>
        <w:rPr>
          <w:rFonts w:hint="eastAsia" w:ascii="宋体" w:hAnsi="宋体" w:eastAsia="宋体" w:cs="宋体"/>
          <w:kern w:val="2"/>
          <w:sz w:val="21"/>
          <w:szCs w:val="24"/>
          <w:highlight w:val="none"/>
          <w:lang w:val="en-US" w:eastAsia="zh-CN"/>
        </w:rPr>
        <w:t>2、分项报价表</w:t>
      </w:r>
    </w:p>
    <w:p w14:paraId="7B6E6250">
      <w:pPr>
        <w:keepNext w:val="0"/>
        <w:keepLines w:val="0"/>
        <w:widowControl w:val="0"/>
        <w:suppressLineNumbers w:val="0"/>
        <w:adjustRightInd w:val="0"/>
        <w:snapToGrid w:val="0"/>
        <w:spacing w:before="0" w:beforeAutospacing="0" w:after="0" w:afterAutospacing="0"/>
        <w:ind w:left="-88" w:leftChars="-42" w:right="0"/>
        <w:jc w:val="both"/>
        <w:rPr>
          <w:rFonts w:hint="eastAsia" w:ascii="宋体" w:hAnsi="宋体" w:eastAsia="宋体" w:cs="宋体"/>
          <w:szCs w:val="24"/>
          <w:highlight w:val="none"/>
          <w:lang w:val="en-US"/>
        </w:rPr>
      </w:pPr>
      <w:r>
        <w:rPr>
          <w:rFonts w:hint="eastAsia" w:ascii="宋体" w:hAnsi="宋体" w:eastAsia="宋体" w:cs="宋体"/>
          <w:kern w:val="2"/>
          <w:sz w:val="21"/>
          <w:szCs w:val="24"/>
          <w:highlight w:val="none"/>
          <w:lang w:val="en-US" w:eastAsia="zh-CN"/>
        </w:rPr>
        <w:t>项目编号：                                                    金额单位：人民币元</w:t>
      </w:r>
    </w:p>
    <w:tbl>
      <w:tblPr>
        <w:tblStyle w:val="21"/>
        <w:tblW w:w="8874" w:type="dxa"/>
        <w:tblInd w:w="-5" w:type="dxa"/>
        <w:tblLayout w:type="fixed"/>
        <w:tblCellMar>
          <w:top w:w="0" w:type="dxa"/>
          <w:left w:w="0" w:type="dxa"/>
          <w:bottom w:w="0" w:type="dxa"/>
          <w:right w:w="0" w:type="dxa"/>
        </w:tblCellMar>
      </w:tblPr>
      <w:tblGrid>
        <w:gridCol w:w="582"/>
        <w:gridCol w:w="1134"/>
        <w:gridCol w:w="3326"/>
        <w:gridCol w:w="1092"/>
        <w:gridCol w:w="910"/>
        <w:gridCol w:w="916"/>
        <w:gridCol w:w="914"/>
      </w:tblGrid>
      <w:tr w14:paraId="424B4130">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0B2B8B3A">
            <w:pPr>
              <w:pStyle w:val="43"/>
              <w:widowControl w:val="0"/>
              <w:autoSpaceDE w:val="0"/>
              <w:autoSpaceDN w:val="0"/>
              <w:adjustRightInd w:val="0"/>
              <w:snapToGrid w:val="0"/>
              <w:spacing w:line="360" w:lineRule="auto"/>
              <w:ind w:right="-20"/>
              <w:jc w:val="center"/>
              <w:rPr>
                <w:rStyle w:val="23"/>
                <w:rFonts w:ascii="宋体" w:hAnsi="宋体" w:eastAsia="宋体" w:cs="微软雅黑"/>
                <w:kern w:val="0"/>
                <w:position w:val="-1"/>
                <w:sz w:val="21"/>
                <w:szCs w:val="21"/>
                <w:highlight w:val="none"/>
                <w:lang w:val="en-US" w:eastAsia="zh-CN" w:bidi="ar-SA"/>
              </w:rPr>
            </w:pPr>
            <w:r>
              <w:rPr>
                <w:rStyle w:val="23"/>
                <w:rFonts w:hint="eastAsia" w:ascii="宋体" w:hAnsi="宋体" w:eastAsia="宋体" w:cs="微软雅黑"/>
                <w:kern w:val="0"/>
                <w:position w:val="-1"/>
                <w:sz w:val="21"/>
                <w:szCs w:val="21"/>
                <w:highlight w:val="none"/>
                <w:lang w:val="en-US" w:eastAsia="zh-CN" w:bidi="ar-SA"/>
              </w:rPr>
              <w:t>分项项目名称</w:t>
            </w:r>
          </w:p>
        </w:tc>
        <w:tc>
          <w:tcPr>
            <w:tcW w:w="3326" w:type="dxa"/>
            <w:vMerge w:val="restart"/>
            <w:tcBorders>
              <w:top w:val="double" w:color="auto" w:sz="4" w:space="0"/>
              <w:left w:val="single" w:color="auto" w:sz="6" w:space="0"/>
              <w:right w:val="single" w:color="auto" w:sz="6" w:space="0"/>
            </w:tcBorders>
            <w:vAlign w:val="center"/>
          </w:tcPr>
          <w:p w14:paraId="4AFFF764">
            <w:pPr>
              <w:pStyle w:val="43"/>
              <w:widowControl w:val="0"/>
              <w:autoSpaceDE w:val="0"/>
              <w:autoSpaceDN w:val="0"/>
              <w:adjustRightInd w:val="0"/>
              <w:snapToGrid w:val="0"/>
              <w:spacing w:line="360" w:lineRule="auto"/>
              <w:ind w:right="-20"/>
              <w:jc w:val="center"/>
              <w:rPr>
                <w:rStyle w:val="23"/>
                <w:rFonts w:ascii="宋体" w:hAnsi="宋体" w:eastAsia="宋体" w:cs="Times New Roman"/>
                <w:kern w:val="2"/>
                <w:sz w:val="21"/>
                <w:szCs w:val="21"/>
                <w:highlight w:val="none"/>
                <w:lang w:val="en-US" w:eastAsia="zh-CN" w:bidi="ar-SA"/>
              </w:rPr>
            </w:pPr>
            <w:r>
              <w:rPr>
                <w:rStyle w:val="23"/>
                <w:rFonts w:hint="eastAsia" w:ascii="宋体" w:hAnsi="宋体" w:eastAsia="宋体" w:cs="Times New Roman"/>
                <w:color w:val="000000"/>
                <w:kern w:val="2"/>
                <w:sz w:val="21"/>
                <w:szCs w:val="21"/>
                <w:highlight w:val="none"/>
                <w:lang w:val="en-US" w:eastAsia="zh-CN" w:bidi="ar-SA"/>
              </w:rPr>
              <w:t>服务内容（规格型号）</w:t>
            </w:r>
          </w:p>
        </w:tc>
        <w:tc>
          <w:tcPr>
            <w:tcW w:w="1092" w:type="dxa"/>
            <w:vMerge w:val="restart"/>
            <w:tcBorders>
              <w:top w:val="double" w:color="auto" w:sz="4" w:space="0"/>
              <w:left w:val="single" w:color="auto" w:sz="6" w:space="0"/>
              <w:right w:val="single" w:color="auto" w:sz="4" w:space="0"/>
            </w:tcBorders>
            <w:vAlign w:val="center"/>
          </w:tcPr>
          <w:p w14:paraId="3DE35BE6">
            <w:pPr>
              <w:pStyle w:val="43"/>
              <w:widowControl w:val="0"/>
              <w:autoSpaceDE w:val="0"/>
              <w:autoSpaceDN w:val="0"/>
              <w:adjustRightInd w:val="0"/>
              <w:snapToGrid w:val="0"/>
              <w:spacing w:line="360" w:lineRule="auto"/>
              <w:ind w:right="-20"/>
              <w:jc w:val="center"/>
              <w:rPr>
                <w:rStyle w:val="23"/>
                <w:rFonts w:ascii="宋体" w:hAnsi="宋体" w:eastAsia="宋体" w:cs="微软雅黑"/>
                <w:kern w:val="0"/>
                <w:position w:val="-1"/>
                <w:sz w:val="21"/>
                <w:szCs w:val="21"/>
                <w:highlight w:val="none"/>
                <w:lang w:val="en-US" w:eastAsia="zh-CN" w:bidi="ar-SA"/>
              </w:rPr>
            </w:pPr>
            <w:r>
              <w:rPr>
                <w:rStyle w:val="23"/>
                <w:rFonts w:hint="eastAsia" w:ascii="宋体" w:hAnsi="宋体" w:eastAsia="宋体" w:cs="Times New Roman"/>
                <w:kern w:val="0"/>
                <w:sz w:val="21"/>
                <w:szCs w:val="21"/>
                <w:highlight w:val="none"/>
                <w:lang w:val="en-US" w:eastAsia="zh-CN" w:bidi="ar-SA"/>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5C487B3D">
            <w:pPr>
              <w:pStyle w:val="43"/>
              <w:widowControl w:val="0"/>
              <w:autoSpaceDE w:val="0"/>
              <w:autoSpaceDN w:val="0"/>
              <w:adjustRightInd w:val="0"/>
              <w:snapToGrid w:val="0"/>
              <w:spacing w:line="360" w:lineRule="auto"/>
              <w:ind w:right="-20"/>
              <w:jc w:val="center"/>
              <w:rPr>
                <w:rStyle w:val="23"/>
                <w:rFonts w:ascii="宋体" w:hAnsi="宋体" w:eastAsia="宋体" w:cs="微软雅黑"/>
                <w:kern w:val="0"/>
                <w:position w:val="-1"/>
                <w:sz w:val="21"/>
                <w:szCs w:val="21"/>
                <w:highlight w:val="none"/>
                <w:lang w:val="en-US" w:eastAsia="zh-CN" w:bidi="ar-SA"/>
              </w:rPr>
            </w:pPr>
            <w:r>
              <w:rPr>
                <w:rStyle w:val="23"/>
                <w:rFonts w:hint="eastAsia" w:ascii="宋体" w:hAnsi="宋体" w:eastAsia="宋体" w:cs="微软雅黑"/>
                <w:kern w:val="0"/>
                <w:position w:val="-1"/>
                <w:sz w:val="21"/>
                <w:szCs w:val="21"/>
                <w:highlight w:val="none"/>
                <w:lang w:val="en-US" w:eastAsia="zh-CN" w:bidi="ar-SA"/>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4BE1423D">
            <w:pPr>
              <w:pStyle w:val="43"/>
              <w:widowControl w:val="0"/>
              <w:autoSpaceDE w:val="0"/>
              <w:autoSpaceDN w:val="0"/>
              <w:adjustRightInd w:val="0"/>
              <w:snapToGrid w:val="0"/>
              <w:spacing w:line="360" w:lineRule="auto"/>
              <w:ind w:right="-20"/>
              <w:jc w:val="center"/>
              <w:rPr>
                <w:rStyle w:val="23"/>
                <w:rFonts w:ascii="宋体" w:hAnsi="宋体" w:eastAsia="宋体" w:cs="微软雅黑"/>
                <w:kern w:val="0"/>
                <w:position w:val="-1"/>
                <w:sz w:val="21"/>
                <w:szCs w:val="21"/>
                <w:highlight w:val="none"/>
                <w:lang w:val="en-US" w:eastAsia="zh-CN" w:bidi="ar-SA"/>
              </w:rPr>
            </w:pPr>
            <w:r>
              <w:rPr>
                <w:rStyle w:val="23"/>
                <w:rFonts w:hint="eastAsia" w:ascii="宋体" w:hAnsi="宋体" w:eastAsia="宋体" w:cs="微软雅黑"/>
                <w:kern w:val="0"/>
                <w:position w:val="-1"/>
                <w:sz w:val="21"/>
                <w:szCs w:val="21"/>
                <w:highlight w:val="none"/>
                <w:lang w:val="en-US" w:eastAsia="zh-CN" w:bidi="ar-SA"/>
              </w:rPr>
              <w:t>备注</w:t>
            </w:r>
          </w:p>
        </w:tc>
      </w:tr>
      <w:tr w14:paraId="26B9B4F2">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08E6BDDB">
            <w:pPr>
              <w:pStyle w:val="43"/>
              <w:widowControl w:val="0"/>
              <w:autoSpaceDE w:val="0"/>
              <w:autoSpaceDN w:val="0"/>
              <w:adjustRightInd w:val="0"/>
              <w:snapToGrid w:val="0"/>
              <w:spacing w:line="360" w:lineRule="auto"/>
              <w:ind w:left="352" w:right="-20"/>
              <w:jc w:val="left"/>
              <w:rPr>
                <w:rStyle w:val="23"/>
                <w:rFonts w:ascii="宋体" w:hAnsi="宋体" w:eastAsia="宋体" w:cs="Times New Roman"/>
                <w:kern w:val="0"/>
                <w:sz w:val="21"/>
                <w:szCs w:val="21"/>
                <w:highlight w:val="none"/>
                <w:lang w:val="en-US" w:eastAsia="zh-CN" w:bidi="ar-SA"/>
              </w:rPr>
            </w:pPr>
          </w:p>
        </w:tc>
        <w:tc>
          <w:tcPr>
            <w:tcW w:w="3326" w:type="dxa"/>
            <w:vMerge w:val="continue"/>
            <w:tcBorders>
              <w:left w:val="single" w:color="auto" w:sz="6" w:space="0"/>
              <w:bottom w:val="single" w:color="auto" w:sz="6" w:space="0"/>
              <w:right w:val="single" w:color="auto" w:sz="6" w:space="0"/>
            </w:tcBorders>
            <w:vAlign w:val="center"/>
          </w:tcPr>
          <w:p w14:paraId="47B20117">
            <w:pPr>
              <w:pStyle w:val="43"/>
              <w:widowControl w:val="0"/>
              <w:autoSpaceDE w:val="0"/>
              <w:autoSpaceDN w:val="0"/>
              <w:adjustRightInd w:val="0"/>
              <w:snapToGrid w:val="0"/>
              <w:spacing w:line="360" w:lineRule="auto"/>
              <w:ind w:right="-20"/>
              <w:jc w:val="center"/>
              <w:rPr>
                <w:rStyle w:val="23"/>
                <w:rFonts w:ascii="宋体" w:hAnsi="宋体" w:eastAsia="宋体" w:cs="Times New Roman"/>
                <w:kern w:val="0"/>
                <w:sz w:val="21"/>
                <w:szCs w:val="21"/>
                <w:highlight w:val="none"/>
                <w:lang w:val="en-US" w:eastAsia="zh-CN" w:bidi="ar-SA"/>
              </w:rPr>
            </w:pPr>
          </w:p>
        </w:tc>
        <w:tc>
          <w:tcPr>
            <w:tcW w:w="1092" w:type="dxa"/>
            <w:vMerge w:val="continue"/>
            <w:tcBorders>
              <w:left w:val="single" w:color="auto" w:sz="6" w:space="0"/>
              <w:bottom w:val="single" w:color="auto" w:sz="6" w:space="0"/>
              <w:right w:val="single" w:color="auto" w:sz="4" w:space="0"/>
            </w:tcBorders>
            <w:vAlign w:val="center"/>
          </w:tcPr>
          <w:p w14:paraId="3DA72F21">
            <w:pPr>
              <w:pStyle w:val="43"/>
              <w:widowControl w:val="0"/>
              <w:autoSpaceDE w:val="0"/>
              <w:autoSpaceDN w:val="0"/>
              <w:adjustRightInd w:val="0"/>
              <w:snapToGrid w:val="0"/>
              <w:spacing w:line="360" w:lineRule="auto"/>
              <w:ind w:right="-20"/>
              <w:jc w:val="center"/>
              <w:rPr>
                <w:rStyle w:val="23"/>
                <w:rFonts w:ascii="宋体" w:hAnsi="宋体" w:eastAsia="宋体" w:cs="Times New Roman"/>
                <w:kern w:val="0"/>
                <w:sz w:val="21"/>
                <w:szCs w:val="21"/>
                <w:highlight w:val="none"/>
                <w:lang w:val="en-US" w:eastAsia="zh-CN" w:bidi="ar-SA"/>
              </w:rPr>
            </w:pPr>
          </w:p>
        </w:tc>
        <w:tc>
          <w:tcPr>
            <w:tcW w:w="910" w:type="dxa"/>
            <w:tcBorders>
              <w:top w:val="single" w:color="auto" w:sz="6" w:space="0"/>
              <w:left w:val="single" w:color="auto" w:sz="4" w:space="0"/>
              <w:bottom w:val="single" w:color="auto" w:sz="6" w:space="0"/>
              <w:right w:val="single" w:color="auto" w:sz="4" w:space="0"/>
            </w:tcBorders>
            <w:vAlign w:val="center"/>
          </w:tcPr>
          <w:p w14:paraId="15F479F9">
            <w:pPr>
              <w:pStyle w:val="43"/>
              <w:widowControl w:val="0"/>
              <w:autoSpaceDE w:val="0"/>
              <w:autoSpaceDN w:val="0"/>
              <w:adjustRightInd w:val="0"/>
              <w:snapToGrid w:val="0"/>
              <w:spacing w:line="360" w:lineRule="auto"/>
              <w:ind w:right="-20"/>
              <w:jc w:val="center"/>
              <w:rPr>
                <w:rStyle w:val="23"/>
                <w:rFonts w:ascii="宋体" w:hAnsi="宋体" w:eastAsia="宋体" w:cs="Times New Roman"/>
                <w:kern w:val="0"/>
                <w:sz w:val="21"/>
                <w:szCs w:val="21"/>
                <w:highlight w:val="none"/>
                <w:lang w:val="en-US" w:eastAsia="zh-CN" w:bidi="ar-SA"/>
              </w:rPr>
            </w:pPr>
            <w:r>
              <w:rPr>
                <w:rStyle w:val="23"/>
                <w:rFonts w:hint="eastAsia" w:ascii="宋体" w:hAnsi="宋体" w:eastAsia="宋体" w:cs="微软雅黑"/>
                <w:kern w:val="0"/>
                <w:position w:val="-1"/>
                <w:sz w:val="21"/>
                <w:szCs w:val="21"/>
                <w:highlight w:val="none"/>
                <w:lang w:val="en-US" w:eastAsia="zh-CN" w:bidi="ar-SA"/>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11B3DC89">
            <w:pPr>
              <w:pStyle w:val="43"/>
              <w:widowControl w:val="0"/>
              <w:autoSpaceDE w:val="0"/>
              <w:autoSpaceDN w:val="0"/>
              <w:adjustRightInd w:val="0"/>
              <w:snapToGrid w:val="0"/>
              <w:spacing w:line="360" w:lineRule="auto"/>
              <w:ind w:left="70" w:right="-20"/>
              <w:jc w:val="center"/>
              <w:rPr>
                <w:rStyle w:val="23"/>
                <w:rFonts w:ascii="宋体" w:hAnsi="宋体" w:eastAsia="宋体" w:cs="Times New Roman"/>
                <w:kern w:val="0"/>
                <w:sz w:val="21"/>
                <w:szCs w:val="21"/>
                <w:highlight w:val="none"/>
                <w:lang w:val="en-US" w:eastAsia="zh-CN" w:bidi="ar-SA"/>
              </w:rPr>
            </w:pPr>
            <w:r>
              <w:rPr>
                <w:rStyle w:val="23"/>
                <w:rFonts w:hint="eastAsia" w:ascii="宋体" w:hAnsi="宋体" w:eastAsia="宋体" w:cs="Times New Roman"/>
                <w:kern w:val="0"/>
                <w:sz w:val="21"/>
                <w:szCs w:val="21"/>
                <w:highlight w:val="none"/>
                <w:lang w:val="en-US" w:eastAsia="zh-CN" w:bidi="ar-SA"/>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08B3AFE6">
            <w:pPr>
              <w:pStyle w:val="43"/>
              <w:widowControl w:val="0"/>
              <w:autoSpaceDE w:val="0"/>
              <w:autoSpaceDN w:val="0"/>
              <w:adjustRightInd w:val="0"/>
              <w:snapToGrid w:val="0"/>
              <w:spacing w:line="360" w:lineRule="auto"/>
              <w:ind w:left="422" w:right="-20"/>
              <w:jc w:val="left"/>
              <w:rPr>
                <w:rStyle w:val="23"/>
                <w:rFonts w:ascii="宋体" w:hAnsi="宋体" w:eastAsia="宋体" w:cs="Times New Roman"/>
                <w:kern w:val="0"/>
                <w:sz w:val="21"/>
                <w:szCs w:val="21"/>
                <w:highlight w:val="none"/>
                <w:lang w:val="en-US" w:eastAsia="zh-CN" w:bidi="ar-SA"/>
              </w:rPr>
            </w:pPr>
          </w:p>
        </w:tc>
      </w:tr>
      <w:tr w14:paraId="5DE53A9D">
        <w:tblPrEx>
          <w:tblCellMar>
            <w:top w:w="0" w:type="dxa"/>
            <w:left w:w="0" w:type="dxa"/>
            <w:bottom w:w="0" w:type="dxa"/>
            <w:right w:w="0" w:type="dxa"/>
          </w:tblCellMar>
        </w:tblPrEx>
        <w:trPr>
          <w:trHeight w:val="421" w:hRule="atLeast"/>
        </w:trPr>
        <w:tc>
          <w:tcPr>
            <w:tcW w:w="582" w:type="dxa"/>
            <w:tcBorders>
              <w:top w:val="single" w:color="auto" w:sz="6" w:space="0"/>
              <w:left w:val="double" w:color="auto" w:sz="4" w:space="0"/>
              <w:bottom w:val="single" w:color="auto" w:sz="6" w:space="0"/>
              <w:right w:val="single" w:color="auto" w:sz="6" w:space="0"/>
            </w:tcBorders>
            <w:vAlign w:val="center"/>
          </w:tcPr>
          <w:p w14:paraId="6FB51867">
            <w:pPr>
              <w:pStyle w:val="43"/>
              <w:widowControl w:val="0"/>
              <w:jc w:val="center"/>
              <w:rPr>
                <w:rStyle w:val="23"/>
                <w:rFonts w:hint="default" w:ascii="宋体" w:hAnsi="宋体" w:eastAsia="宋体" w:cs="宋体"/>
                <w:kern w:val="2"/>
                <w:sz w:val="21"/>
                <w:szCs w:val="24"/>
                <w:highlight w:val="none"/>
                <w:lang w:val="en-US" w:eastAsia="zh-CN" w:bidi="ar-SA"/>
              </w:rPr>
            </w:pPr>
            <w:r>
              <w:rPr>
                <w:rStyle w:val="23"/>
                <w:rFonts w:hint="eastAsia" w:ascii="宋体" w:hAnsi="宋体" w:cs="宋体"/>
                <w:kern w:val="2"/>
                <w:sz w:val="21"/>
                <w:szCs w:val="24"/>
                <w:highlight w:val="none"/>
                <w:lang w:val="en-US" w:eastAsia="zh-CN" w:bidi="ar-SA"/>
              </w:rPr>
              <w:t>1</w:t>
            </w:r>
          </w:p>
        </w:tc>
        <w:tc>
          <w:tcPr>
            <w:tcW w:w="1134" w:type="dxa"/>
            <w:tcBorders>
              <w:top w:val="single" w:color="auto" w:sz="6" w:space="0"/>
              <w:left w:val="single" w:color="auto" w:sz="6" w:space="0"/>
              <w:bottom w:val="single" w:color="auto" w:sz="6" w:space="0"/>
              <w:right w:val="single" w:color="auto" w:sz="6" w:space="0"/>
            </w:tcBorders>
            <w:vAlign w:val="center"/>
          </w:tcPr>
          <w:p w14:paraId="7B6E852E">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3326" w:type="dxa"/>
            <w:tcBorders>
              <w:top w:val="single" w:color="auto" w:sz="6" w:space="0"/>
              <w:left w:val="single" w:color="auto" w:sz="6" w:space="0"/>
              <w:bottom w:val="single" w:color="auto" w:sz="6" w:space="0"/>
              <w:right w:val="single" w:color="auto" w:sz="6" w:space="0"/>
            </w:tcBorders>
          </w:tcPr>
          <w:p w14:paraId="6FA75DE5">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1092" w:type="dxa"/>
            <w:tcBorders>
              <w:top w:val="single" w:color="auto" w:sz="6" w:space="0"/>
              <w:left w:val="single" w:color="auto" w:sz="6" w:space="0"/>
              <w:bottom w:val="single" w:color="auto" w:sz="6" w:space="0"/>
              <w:right w:val="single" w:color="auto" w:sz="4" w:space="0"/>
            </w:tcBorders>
          </w:tcPr>
          <w:p w14:paraId="327EAEEC">
            <w:pPr>
              <w:pStyle w:val="43"/>
              <w:widowControl w:val="0"/>
              <w:autoSpaceDE w:val="0"/>
              <w:autoSpaceDN w:val="0"/>
              <w:adjustRightInd w:val="0"/>
              <w:snapToGrid w:val="0"/>
              <w:spacing w:line="360" w:lineRule="auto"/>
              <w:jc w:val="center"/>
              <w:rPr>
                <w:rStyle w:val="23"/>
                <w:rFonts w:hint="default" w:ascii="宋体" w:hAnsi="宋体" w:eastAsia="宋体" w:cs="Times New Roman"/>
                <w:kern w:val="0"/>
                <w:sz w:val="21"/>
                <w:szCs w:val="21"/>
                <w:highlight w:val="none"/>
                <w:lang w:val="en-US" w:eastAsia="zh-CN" w:bidi="ar-SA"/>
              </w:rPr>
            </w:pPr>
          </w:p>
        </w:tc>
        <w:tc>
          <w:tcPr>
            <w:tcW w:w="910" w:type="dxa"/>
            <w:tcBorders>
              <w:top w:val="single" w:color="auto" w:sz="6" w:space="0"/>
              <w:left w:val="single" w:color="auto" w:sz="6" w:space="0"/>
              <w:bottom w:val="single" w:color="auto" w:sz="6" w:space="0"/>
              <w:right w:val="single" w:color="auto" w:sz="6" w:space="0"/>
            </w:tcBorders>
          </w:tcPr>
          <w:p w14:paraId="6CFB0447">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916" w:type="dxa"/>
            <w:tcBorders>
              <w:top w:val="single" w:color="auto" w:sz="6" w:space="0"/>
              <w:left w:val="single" w:color="auto" w:sz="6" w:space="0"/>
              <w:bottom w:val="single" w:color="auto" w:sz="6" w:space="0"/>
              <w:right w:val="single" w:color="auto" w:sz="6" w:space="0"/>
            </w:tcBorders>
          </w:tcPr>
          <w:p w14:paraId="649ADC93">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914" w:type="dxa"/>
            <w:tcBorders>
              <w:top w:val="single" w:color="auto" w:sz="6" w:space="0"/>
              <w:left w:val="single" w:color="auto" w:sz="6" w:space="0"/>
              <w:bottom w:val="single" w:color="auto" w:sz="6" w:space="0"/>
              <w:right w:val="double" w:color="auto" w:sz="4" w:space="0"/>
            </w:tcBorders>
          </w:tcPr>
          <w:p w14:paraId="137FA9A6">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r>
      <w:tr w14:paraId="39F6B42C">
        <w:tblPrEx>
          <w:tblCellMar>
            <w:top w:w="0" w:type="dxa"/>
            <w:left w:w="0" w:type="dxa"/>
            <w:bottom w:w="0" w:type="dxa"/>
            <w:right w:w="0" w:type="dxa"/>
          </w:tblCellMar>
        </w:tblPrEx>
        <w:trPr>
          <w:trHeight w:val="421" w:hRule="atLeast"/>
        </w:trPr>
        <w:tc>
          <w:tcPr>
            <w:tcW w:w="582" w:type="dxa"/>
            <w:tcBorders>
              <w:top w:val="single" w:color="auto" w:sz="6" w:space="0"/>
              <w:left w:val="double" w:color="auto" w:sz="4" w:space="0"/>
              <w:bottom w:val="single" w:color="auto" w:sz="6" w:space="0"/>
              <w:right w:val="single" w:color="auto" w:sz="6" w:space="0"/>
            </w:tcBorders>
            <w:vAlign w:val="center"/>
          </w:tcPr>
          <w:p w14:paraId="2FF5425F">
            <w:pPr>
              <w:pStyle w:val="43"/>
              <w:widowControl w:val="0"/>
              <w:jc w:val="center"/>
              <w:rPr>
                <w:rStyle w:val="23"/>
                <w:rFonts w:hint="default" w:ascii="宋体" w:hAnsi="宋体" w:eastAsia="宋体" w:cs="宋体"/>
                <w:kern w:val="2"/>
                <w:sz w:val="21"/>
                <w:szCs w:val="24"/>
                <w:highlight w:val="none"/>
                <w:lang w:val="en-US" w:eastAsia="zh-CN" w:bidi="ar-SA"/>
              </w:rPr>
            </w:pPr>
            <w:r>
              <w:rPr>
                <w:rStyle w:val="23"/>
                <w:rFonts w:hint="eastAsia" w:ascii="宋体" w:hAnsi="宋体" w:cs="宋体"/>
                <w:kern w:val="2"/>
                <w:sz w:val="21"/>
                <w:szCs w:val="24"/>
                <w:highlight w:val="none"/>
                <w:lang w:val="en-US" w:eastAsia="zh-CN" w:bidi="ar-SA"/>
              </w:rPr>
              <w:t>2</w:t>
            </w:r>
          </w:p>
        </w:tc>
        <w:tc>
          <w:tcPr>
            <w:tcW w:w="1134" w:type="dxa"/>
            <w:tcBorders>
              <w:top w:val="single" w:color="auto" w:sz="6" w:space="0"/>
              <w:left w:val="single" w:color="auto" w:sz="6" w:space="0"/>
              <w:bottom w:val="single" w:color="auto" w:sz="6" w:space="0"/>
              <w:right w:val="single" w:color="auto" w:sz="6" w:space="0"/>
            </w:tcBorders>
            <w:vAlign w:val="center"/>
          </w:tcPr>
          <w:p w14:paraId="612D6AC2">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3326" w:type="dxa"/>
            <w:tcBorders>
              <w:top w:val="single" w:color="auto" w:sz="6" w:space="0"/>
              <w:left w:val="single" w:color="auto" w:sz="6" w:space="0"/>
              <w:bottom w:val="single" w:color="auto" w:sz="6" w:space="0"/>
              <w:right w:val="single" w:color="auto" w:sz="6" w:space="0"/>
            </w:tcBorders>
          </w:tcPr>
          <w:p w14:paraId="5C533C6B">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1092" w:type="dxa"/>
            <w:tcBorders>
              <w:top w:val="single" w:color="auto" w:sz="6" w:space="0"/>
              <w:left w:val="single" w:color="auto" w:sz="6" w:space="0"/>
              <w:bottom w:val="single" w:color="auto" w:sz="6" w:space="0"/>
              <w:right w:val="single" w:color="auto" w:sz="4" w:space="0"/>
            </w:tcBorders>
          </w:tcPr>
          <w:p w14:paraId="00A36E5B">
            <w:pPr>
              <w:pStyle w:val="43"/>
              <w:widowControl w:val="0"/>
              <w:autoSpaceDE w:val="0"/>
              <w:autoSpaceDN w:val="0"/>
              <w:adjustRightInd w:val="0"/>
              <w:snapToGrid w:val="0"/>
              <w:spacing w:line="360" w:lineRule="auto"/>
              <w:jc w:val="center"/>
              <w:rPr>
                <w:rStyle w:val="23"/>
                <w:rFonts w:hint="default" w:ascii="宋体" w:hAnsi="宋体" w:eastAsia="宋体" w:cs="Times New Roman"/>
                <w:kern w:val="0"/>
                <w:sz w:val="21"/>
                <w:szCs w:val="21"/>
                <w:highlight w:val="none"/>
                <w:lang w:val="en-US" w:eastAsia="zh-CN" w:bidi="ar-SA"/>
              </w:rPr>
            </w:pPr>
          </w:p>
        </w:tc>
        <w:tc>
          <w:tcPr>
            <w:tcW w:w="910" w:type="dxa"/>
            <w:tcBorders>
              <w:top w:val="single" w:color="auto" w:sz="6" w:space="0"/>
              <w:left w:val="single" w:color="auto" w:sz="6" w:space="0"/>
              <w:bottom w:val="single" w:color="auto" w:sz="6" w:space="0"/>
              <w:right w:val="single" w:color="auto" w:sz="6" w:space="0"/>
            </w:tcBorders>
          </w:tcPr>
          <w:p w14:paraId="01BE4840">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916" w:type="dxa"/>
            <w:tcBorders>
              <w:top w:val="single" w:color="auto" w:sz="6" w:space="0"/>
              <w:left w:val="single" w:color="auto" w:sz="6" w:space="0"/>
              <w:bottom w:val="single" w:color="auto" w:sz="6" w:space="0"/>
              <w:right w:val="single" w:color="auto" w:sz="6" w:space="0"/>
            </w:tcBorders>
          </w:tcPr>
          <w:p w14:paraId="19192F56">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914" w:type="dxa"/>
            <w:tcBorders>
              <w:top w:val="single" w:color="auto" w:sz="6" w:space="0"/>
              <w:left w:val="single" w:color="auto" w:sz="6" w:space="0"/>
              <w:bottom w:val="single" w:color="auto" w:sz="6" w:space="0"/>
              <w:right w:val="double" w:color="auto" w:sz="4" w:space="0"/>
            </w:tcBorders>
          </w:tcPr>
          <w:p w14:paraId="20BE1979">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r>
      <w:tr w14:paraId="5BB6A4F1">
        <w:tblPrEx>
          <w:tblCellMar>
            <w:top w:w="0" w:type="dxa"/>
            <w:left w:w="0" w:type="dxa"/>
            <w:bottom w:w="0" w:type="dxa"/>
            <w:right w:w="0" w:type="dxa"/>
          </w:tblCellMar>
        </w:tblPrEx>
        <w:trPr>
          <w:trHeight w:val="421" w:hRule="atLeast"/>
        </w:trPr>
        <w:tc>
          <w:tcPr>
            <w:tcW w:w="582" w:type="dxa"/>
            <w:tcBorders>
              <w:top w:val="single" w:color="auto" w:sz="6" w:space="0"/>
              <w:left w:val="double" w:color="auto" w:sz="4" w:space="0"/>
              <w:bottom w:val="single" w:color="auto" w:sz="6" w:space="0"/>
              <w:right w:val="single" w:color="auto" w:sz="6" w:space="0"/>
            </w:tcBorders>
            <w:vAlign w:val="center"/>
          </w:tcPr>
          <w:p w14:paraId="4939E0AA">
            <w:pPr>
              <w:pStyle w:val="43"/>
              <w:widowControl w:val="0"/>
              <w:jc w:val="center"/>
              <w:rPr>
                <w:rStyle w:val="23"/>
                <w:rFonts w:hint="default" w:ascii="宋体" w:hAnsi="宋体" w:eastAsia="宋体" w:cs="宋体"/>
                <w:kern w:val="2"/>
                <w:sz w:val="21"/>
                <w:szCs w:val="24"/>
                <w:highlight w:val="none"/>
                <w:lang w:val="en-US" w:eastAsia="zh-CN" w:bidi="ar-SA"/>
              </w:rPr>
            </w:pPr>
            <w:r>
              <w:rPr>
                <w:rStyle w:val="23"/>
                <w:rFonts w:hint="eastAsia" w:ascii="宋体" w:hAnsi="宋体" w:cs="宋体"/>
                <w:kern w:val="2"/>
                <w:sz w:val="21"/>
                <w:szCs w:val="24"/>
                <w:highlight w:val="none"/>
                <w:lang w:val="en-US" w:eastAsia="zh-CN" w:bidi="ar-SA"/>
              </w:rPr>
              <w:t>3</w:t>
            </w:r>
          </w:p>
        </w:tc>
        <w:tc>
          <w:tcPr>
            <w:tcW w:w="1134" w:type="dxa"/>
            <w:tcBorders>
              <w:top w:val="single" w:color="auto" w:sz="6" w:space="0"/>
              <w:left w:val="single" w:color="auto" w:sz="6" w:space="0"/>
              <w:bottom w:val="single" w:color="auto" w:sz="6" w:space="0"/>
              <w:right w:val="single" w:color="auto" w:sz="6" w:space="0"/>
            </w:tcBorders>
            <w:vAlign w:val="center"/>
          </w:tcPr>
          <w:p w14:paraId="262FE764">
            <w:pPr>
              <w:pStyle w:val="43"/>
              <w:widowControl w:val="0"/>
              <w:autoSpaceDE w:val="0"/>
              <w:autoSpaceDN w:val="0"/>
              <w:adjustRightInd w:val="0"/>
              <w:snapToGrid w:val="0"/>
              <w:spacing w:line="360" w:lineRule="auto"/>
              <w:jc w:val="center"/>
              <w:rPr>
                <w:rStyle w:val="23"/>
                <w:rFonts w:hint="default" w:ascii="宋体" w:hAnsi="宋体" w:eastAsia="宋体" w:cs="Times New Roman"/>
                <w:kern w:val="0"/>
                <w:sz w:val="21"/>
                <w:szCs w:val="21"/>
                <w:highlight w:val="none"/>
                <w:lang w:val="en-US" w:eastAsia="zh-CN" w:bidi="ar-SA"/>
              </w:rPr>
            </w:pPr>
          </w:p>
        </w:tc>
        <w:tc>
          <w:tcPr>
            <w:tcW w:w="3326" w:type="dxa"/>
            <w:tcBorders>
              <w:top w:val="single" w:color="auto" w:sz="6" w:space="0"/>
              <w:left w:val="single" w:color="auto" w:sz="6" w:space="0"/>
              <w:bottom w:val="single" w:color="auto" w:sz="6" w:space="0"/>
              <w:right w:val="single" w:color="auto" w:sz="6" w:space="0"/>
            </w:tcBorders>
          </w:tcPr>
          <w:p w14:paraId="28CDBC00">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1092" w:type="dxa"/>
            <w:tcBorders>
              <w:top w:val="single" w:color="auto" w:sz="6" w:space="0"/>
              <w:left w:val="single" w:color="auto" w:sz="6" w:space="0"/>
              <w:bottom w:val="single" w:color="auto" w:sz="6" w:space="0"/>
              <w:right w:val="single" w:color="auto" w:sz="4" w:space="0"/>
            </w:tcBorders>
          </w:tcPr>
          <w:p w14:paraId="4EC90EA8">
            <w:pPr>
              <w:pStyle w:val="43"/>
              <w:widowControl w:val="0"/>
              <w:autoSpaceDE w:val="0"/>
              <w:autoSpaceDN w:val="0"/>
              <w:adjustRightInd w:val="0"/>
              <w:snapToGrid w:val="0"/>
              <w:spacing w:line="360" w:lineRule="auto"/>
              <w:jc w:val="center"/>
              <w:rPr>
                <w:rStyle w:val="23"/>
                <w:rFonts w:hint="default" w:ascii="宋体" w:hAnsi="宋体" w:eastAsia="宋体" w:cs="Times New Roman"/>
                <w:kern w:val="0"/>
                <w:sz w:val="21"/>
                <w:szCs w:val="21"/>
                <w:highlight w:val="none"/>
                <w:lang w:val="en-US" w:eastAsia="zh-CN" w:bidi="ar-SA"/>
              </w:rPr>
            </w:pPr>
          </w:p>
        </w:tc>
        <w:tc>
          <w:tcPr>
            <w:tcW w:w="910" w:type="dxa"/>
            <w:tcBorders>
              <w:top w:val="single" w:color="auto" w:sz="6" w:space="0"/>
              <w:left w:val="single" w:color="auto" w:sz="6" w:space="0"/>
              <w:bottom w:val="single" w:color="auto" w:sz="6" w:space="0"/>
              <w:right w:val="single" w:color="auto" w:sz="6" w:space="0"/>
            </w:tcBorders>
          </w:tcPr>
          <w:p w14:paraId="50BC241A">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916" w:type="dxa"/>
            <w:tcBorders>
              <w:top w:val="single" w:color="auto" w:sz="6" w:space="0"/>
              <w:left w:val="single" w:color="auto" w:sz="6" w:space="0"/>
              <w:bottom w:val="single" w:color="auto" w:sz="6" w:space="0"/>
              <w:right w:val="single" w:color="auto" w:sz="6" w:space="0"/>
            </w:tcBorders>
          </w:tcPr>
          <w:p w14:paraId="17EC9253">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914" w:type="dxa"/>
            <w:tcBorders>
              <w:top w:val="single" w:color="auto" w:sz="6" w:space="0"/>
              <w:left w:val="single" w:color="auto" w:sz="6" w:space="0"/>
              <w:bottom w:val="single" w:color="auto" w:sz="6" w:space="0"/>
              <w:right w:val="double" w:color="auto" w:sz="4" w:space="0"/>
            </w:tcBorders>
          </w:tcPr>
          <w:p w14:paraId="5743F47E">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r>
      <w:tr w14:paraId="181A7467">
        <w:tblPrEx>
          <w:tblCellMar>
            <w:top w:w="0" w:type="dxa"/>
            <w:left w:w="0" w:type="dxa"/>
            <w:bottom w:w="0" w:type="dxa"/>
            <w:right w:w="0" w:type="dxa"/>
          </w:tblCellMar>
        </w:tblPrEx>
        <w:trPr>
          <w:trHeight w:val="421" w:hRule="atLeast"/>
        </w:trPr>
        <w:tc>
          <w:tcPr>
            <w:tcW w:w="582" w:type="dxa"/>
            <w:tcBorders>
              <w:top w:val="single" w:color="auto" w:sz="6" w:space="0"/>
              <w:left w:val="double" w:color="auto" w:sz="4" w:space="0"/>
              <w:bottom w:val="single" w:color="auto" w:sz="6" w:space="0"/>
              <w:right w:val="single" w:color="auto" w:sz="6" w:space="0"/>
            </w:tcBorders>
            <w:vAlign w:val="center"/>
          </w:tcPr>
          <w:p w14:paraId="2E29455D">
            <w:pPr>
              <w:pStyle w:val="43"/>
              <w:widowControl w:val="0"/>
              <w:jc w:val="center"/>
              <w:rPr>
                <w:rStyle w:val="23"/>
                <w:rFonts w:hint="default" w:ascii="宋体" w:hAnsi="宋体" w:eastAsia="宋体" w:cs="宋体"/>
                <w:kern w:val="2"/>
                <w:sz w:val="21"/>
                <w:szCs w:val="24"/>
                <w:highlight w:val="none"/>
                <w:lang w:val="en-US" w:eastAsia="zh-CN" w:bidi="ar-SA"/>
              </w:rPr>
            </w:pPr>
            <w:r>
              <w:rPr>
                <w:rStyle w:val="23"/>
                <w:rFonts w:hint="eastAsia" w:ascii="宋体" w:hAnsi="宋体" w:cs="宋体"/>
                <w:kern w:val="2"/>
                <w:sz w:val="21"/>
                <w:szCs w:val="24"/>
                <w:highlight w:val="none"/>
                <w:lang w:val="en-US" w:eastAsia="zh-CN" w:bidi="ar-SA"/>
              </w:rPr>
              <w:t>4</w:t>
            </w:r>
          </w:p>
        </w:tc>
        <w:tc>
          <w:tcPr>
            <w:tcW w:w="1134" w:type="dxa"/>
            <w:tcBorders>
              <w:top w:val="single" w:color="auto" w:sz="6" w:space="0"/>
              <w:left w:val="single" w:color="auto" w:sz="6" w:space="0"/>
              <w:bottom w:val="single" w:color="auto" w:sz="6" w:space="0"/>
              <w:right w:val="single" w:color="auto" w:sz="6" w:space="0"/>
            </w:tcBorders>
            <w:vAlign w:val="center"/>
          </w:tcPr>
          <w:p w14:paraId="135ABC77">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3326" w:type="dxa"/>
            <w:tcBorders>
              <w:top w:val="single" w:color="auto" w:sz="6" w:space="0"/>
              <w:left w:val="single" w:color="auto" w:sz="6" w:space="0"/>
              <w:bottom w:val="single" w:color="auto" w:sz="6" w:space="0"/>
              <w:right w:val="single" w:color="auto" w:sz="6" w:space="0"/>
            </w:tcBorders>
          </w:tcPr>
          <w:p w14:paraId="1F2CEBEE">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1092" w:type="dxa"/>
            <w:tcBorders>
              <w:top w:val="single" w:color="auto" w:sz="6" w:space="0"/>
              <w:left w:val="single" w:color="auto" w:sz="6" w:space="0"/>
              <w:bottom w:val="single" w:color="auto" w:sz="6" w:space="0"/>
              <w:right w:val="single" w:color="auto" w:sz="4" w:space="0"/>
            </w:tcBorders>
          </w:tcPr>
          <w:p w14:paraId="772336E1">
            <w:pPr>
              <w:pStyle w:val="43"/>
              <w:widowControl w:val="0"/>
              <w:autoSpaceDE w:val="0"/>
              <w:autoSpaceDN w:val="0"/>
              <w:adjustRightInd w:val="0"/>
              <w:snapToGrid w:val="0"/>
              <w:spacing w:line="360" w:lineRule="auto"/>
              <w:jc w:val="center"/>
              <w:rPr>
                <w:rStyle w:val="23"/>
                <w:rFonts w:hint="default" w:ascii="宋体" w:hAnsi="宋体" w:eastAsia="宋体" w:cs="Times New Roman"/>
                <w:kern w:val="0"/>
                <w:sz w:val="21"/>
                <w:szCs w:val="21"/>
                <w:highlight w:val="none"/>
                <w:lang w:val="en-US" w:eastAsia="zh-CN" w:bidi="ar-SA"/>
              </w:rPr>
            </w:pPr>
          </w:p>
        </w:tc>
        <w:tc>
          <w:tcPr>
            <w:tcW w:w="910" w:type="dxa"/>
            <w:tcBorders>
              <w:top w:val="single" w:color="auto" w:sz="6" w:space="0"/>
              <w:left w:val="single" w:color="auto" w:sz="4" w:space="0"/>
              <w:bottom w:val="single" w:color="auto" w:sz="6" w:space="0"/>
              <w:right w:val="single" w:color="auto" w:sz="6" w:space="0"/>
            </w:tcBorders>
          </w:tcPr>
          <w:p w14:paraId="1181DD08">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916" w:type="dxa"/>
            <w:tcBorders>
              <w:top w:val="single" w:color="auto" w:sz="6" w:space="0"/>
              <w:left w:val="single" w:color="auto" w:sz="6" w:space="0"/>
              <w:bottom w:val="single" w:color="auto" w:sz="6" w:space="0"/>
              <w:right w:val="single" w:color="auto" w:sz="6" w:space="0"/>
            </w:tcBorders>
          </w:tcPr>
          <w:p w14:paraId="1A4E4935">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914" w:type="dxa"/>
            <w:tcBorders>
              <w:top w:val="single" w:color="auto" w:sz="6" w:space="0"/>
              <w:left w:val="single" w:color="auto" w:sz="6" w:space="0"/>
              <w:bottom w:val="single" w:color="auto" w:sz="6" w:space="0"/>
              <w:right w:val="double" w:color="auto" w:sz="4" w:space="0"/>
            </w:tcBorders>
          </w:tcPr>
          <w:p w14:paraId="277DC076">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r>
      <w:tr w14:paraId="53397FF1">
        <w:tblPrEx>
          <w:tblCellMar>
            <w:top w:w="0" w:type="dxa"/>
            <w:left w:w="0" w:type="dxa"/>
            <w:bottom w:w="0" w:type="dxa"/>
            <w:right w:w="0" w:type="dxa"/>
          </w:tblCellMar>
        </w:tblPrEx>
        <w:trPr>
          <w:trHeight w:val="421" w:hRule="atLeast"/>
        </w:trPr>
        <w:tc>
          <w:tcPr>
            <w:tcW w:w="582" w:type="dxa"/>
            <w:tcBorders>
              <w:top w:val="single" w:color="auto" w:sz="6" w:space="0"/>
              <w:left w:val="double" w:color="auto" w:sz="4" w:space="0"/>
              <w:bottom w:val="single" w:color="auto" w:sz="6" w:space="0"/>
              <w:right w:val="single" w:color="auto" w:sz="6" w:space="0"/>
            </w:tcBorders>
            <w:vAlign w:val="center"/>
          </w:tcPr>
          <w:p w14:paraId="1A3B48D0">
            <w:pPr>
              <w:pStyle w:val="43"/>
              <w:widowControl w:val="0"/>
              <w:jc w:val="center"/>
              <w:rPr>
                <w:rStyle w:val="23"/>
                <w:rFonts w:hint="default" w:ascii="宋体" w:hAnsi="宋体" w:eastAsia="宋体" w:cs="宋体"/>
                <w:kern w:val="2"/>
                <w:sz w:val="21"/>
                <w:szCs w:val="24"/>
                <w:highlight w:val="none"/>
                <w:lang w:val="en-US" w:eastAsia="zh-CN" w:bidi="ar-SA"/>
              </w:rPr>
            </w:pPr>
            <w:r>
              <w:rPr>
                <w:rStyle w:val="23"/>
                <w:rFonts w:hint="eastAsia" w:ascii="宋体" w:hAnsi="宋体" w:cs="宋体"/>
                <w:kern w:val="2"/>
                <w:sz w:val="21"/>
                <w:szCs w:val="24"/>
                <w:highlight w:val="none"/>
                <w:lang w:val="en-US" w:eastAsia="zh-CN" w:bidi="ar-SA"/>
              </w:rPr>
              <w:t>5</w:t>
            </w:r>
          </w:p>
        </w:tc>
        <w:tc>
          <w:tcPr>
            <w:tcW w:w="1134" w:type="dxa"/>
            <w:tcBorders>
              <w:top w:val="single" w:color="auto" w:sz="6" w:space="0"/>
              <w:left w:val="single" w:color="auto" w:sz="6" w:space="0"/>
              <w:bottom w:val="single" w:color="auto" w:sz="6" w:space="0"/>
              <w:right w:val="single" w:color="auto" w:sz="6" w:space="0"/>
            </w:tcBorders>
            <w:vAlign w:val="center"/>
          </w:tcPr>
          <w:p w14:paraId="7CD1AFB2">
            <w:pPr>
              <w:pStyle w:val="43"/>
              <w:widowControl w:val="0"/>
              <w:autoSpaceDE w:val="0"/>
              <w:autoSpaceDN w:val="0"/>
              <w:adjustRightInd w:val="0"/>
              <w:snapToGrid w:val="0"/>
              <w:spacing w:line="360" w:lineRule="auto"/>
              <w:jc w:val="center"/>
              <w:rPr>
                <w:rFonts w:ascii="宋体" w:hAnsi="宋体" w:eastAsia="宋体" w:cs="Times New Roman"/>
                <w:kern w:val="0"/>
                <w:sz w:val="21"/>
                <w:szCs w:val="21"/>
                <w:highlight w:val="none"/>
                <w:lang w:val="en-US" w:eastAsia="zh-CN" w:bidi="ar-SA"/>
              </w:rPr>
            </w:pPr>
          </w:p>
        </w:tc>
        <w:tc>
          <w:tcPr>
            <w:tcW w:w="3326" w:type="dxa"/>
            <w:tcBorders>
              <w:top w:val="single" w:color="auto" w:sz="6" w:space="0"/>
              <w:left w:val="single" w:color="auto" w:sz="6" w:space="0"/>
              <w:bottom w:val="single" w:color="auto" w:sz="6" w:space="0"/>
              <w:right w:val="single" w:color="auto" w:sz="6" w:space="0"/>
            </w:tcBorders>
          </w:tcPr>
          <w:p w14:paraId="07644F47">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1092" w:type="dxa"/>
            <w:tcBorders>
              <w:top w:val="single" w:color="auto" w:sz="6" w:space="0"/>
              <w:left w:val="single" w:color="auto" w:sz="6" w:space="0"/>
              <w:bottom w:val="single" w:color="auto" w:sz="6" w:space="0"/>
              <w:right w:val="single" w:color="auto" w:sz="4" w:space="0"/>
            </w:tcBorders>
          </w:tcPr>
          <w:p w14:paraId="1A3C3B0D">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910" w:type="dxa"/>
            <w:tcBorders>
              <w:top w:val="single" w:color="auto" w:sz="6" w:space="0"/>
              <w:left w:val="single" w:color="auto" w:sz="4" w:space="0"/>
              <w:bottom w:val="single" w:color="auto" w:sz="6" w:space="0"/>
              <w:right w:val="single" w:color="auto" w:sz="6" w:space="0"/>
            </w:tcBorders>
          </w:tcPr>
          <w:p w14:paraId="4FB87FF3">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916" w:type="dxa"/>
            <w:tcBorders>
              <w:top w:val="single" w:color="auto" w:sz="6" w:space="0"/>
              <w:left w:val="single" w:color="auto" w:sz="6" w:space="0"/>
              <w:bottom w:val="single" w:color="auto" w:sz="6" w:space="0"/>
              <w:right w:val="single" w:color="auto" w:sz="6" w:space="0"/>
            </w:tcBorders>
          </w:tcPr>
          <w:p w14:paraId="7609A592">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914" w:type="dxa"/>
            <w:tcBorders>
              <w:top w:val="single" w:color="auto" w:sz="6" w:space="0"/>
              <w:left w:val="single" w:color="auto" w:sz="6" w:space="0"/>
              <w:bottom w:val="single" w:color="auto" w:sz="6" w:space="0"/>
              <w:right w:val="double" w:color="auto" w:sz="4" w:space="0"/>
            </w:tcBorders>
          </w:tcPr>
          <w:p w14:paraId="199567B7">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r>
      <w:tr w14:paraId="78E6ED7A">
        <w:tblPrEx>
          <w:tblCellMar>
            <w:top w:w="0" w:type="dxa"/>
            <w:left w:w="0" w:type="dxa"/>
            <w:bottom w:w="0" w:type="dxa"/>
            <w:right w:w="0" w:type="dxa"/>
          </w:tblCellMar>
        </w:tblPrEx>
        <w:trPr>
          <w:trHeight w:val="421" w:hRule="atLeast"/>
        </w:trPr>
        <w:tc>
          <w:tcPr>
            <w:tcW w:w="582" w:type="dxa"/>
            <w:tcBorders>
              <w:top w:val="single" w:color="auto" w:sz="6" w:space="0"/>
              <w:left w:val="double" w:color="auto" w:sz="4" w:space="0"/>
              <w:bottom w:val="single" w:color="auto" w:sz="6" w:space="0"/>
              <w:right w:val="single" w:color="auto" w:sz="6" w:space="0"/>
            </w:tcBorders>
            <w:vAlign w:val="center"/>
          </w:tcPr>
          <w:p w14:paraId="22773720">
            <w:pPr>
              <w:pStyle w:val="43"/>
              <w:widowControl w:val="0"/>
              <w:jc w:val="center"/>
              <w:rPr>
                <w:rFonts w:ascii="宋体" w:hAnsi="宋体" w:eastAsia="宋体" w:cs="宋体"/>
                <w:kern w:val="2"/>
                <w:sz w:val="21"/>
                <w:szCs w:val="24"/>
                <w:highlight w:val="none"/>
                <w:lang w:val="en-US" w:eastAsia="zh-CN" w:bidi="ar-SA"/>
              </w:rPr>
            </w:pPr>
            <w:r>
              <w:rPr>
                <w:rStyle w:val="23"/>
                <w:rFonts w:hint="eastAsia" w:ascii="宋体" w:hAnsi="宋体" w:cs="宋体"/>
                <w:kern w:val="2"/>
                <w:sz w:val="21"/>
                <w:szCs w:val="24"/>
                <w:highlight w:val="none"/>
                <w:lang w:val="en-US" w:eastAsia="zh-CN" w:bidi="ar-SA"/>
              </w:rPr>
              <w:t>……</w:t>
            </w:r>
          </w:p>
        </w:tc>
        <w:tc>
          <w:tcPr>
            <w:tcW w:w="1134" w:type="dxa"/>
            <w:tcBorders>
              <w:top w:val="single" w:color="auto" w:sz="6" w:space="0"/>
              <w:left w:val="single" w:color="auto" w:sz="6" w:space="0"/>
              <w:bottom w:val="single" w:color="auto" w:sz="6" w:space="0"/>
              <w:right w:val="single" w:color="auto" w:sz="6" w:space="0"/>
            </w:tcBorders>
            <w:vAlign w:val="center"/>
          </w:tcPr>
          <w:p w14:paraId="457C7506">
            <w:pPr>
              <w:pStyle w:val="43"/>
              <w:widowControl w:val="0"/>
              <w:autoSpaceDE w:val="0"/>
              <w:autoSpaceDN w:val="0"/>
              <w:adjustRightInd w:val="0"/>
              <w:snapToGrid w:val="0"/>
              <w:spacing w:line="360" w:lineRule="auto"/>
              <w:jc w:val="center"/>
              <w:rPr>
                <w:rFonts w:ascii="宋体" w:hAnsi="宋体" w:eastAsia="宋体" w:cs="Times New Roman"/>
                <w:kern w:val="0"/>
                <w:sz w:val="21"/>
                <w:szCs w:val="21"/>
                <w:highlight w:val="none"/>
                <w:lang w:val="en-US" w:eastAsia="zh-CN" w:bidi="ar-SA"/>
              </w:rPr>
            </w:pPr>
          </w:p>
        </w:tc>
        <w:tc>
          <w:tcPr>
            <w:tcW w:w="3326" w:type="dxa"/>
            <w:tcBorders>
              <w:top w:val="single" w:color="auto" w:sz="6" w:space="0"/>
              <w:left w:val="single" w:color="auto" w:sz="6" w:space="0"/>
              <w:bottom w:val="single" w:color="auto" w:sz="6" w:space="0"/>
              <w:right w:val="single" w:color="auto" w:sz="6" w:space="0"/>
            </w:tcBorders>
          </w:tcPr>
          <w:p w14:paraId="2674793A">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1092" w:type="dxa"/>
            <w:tcBorders>
              <w:top w:val="single" w:color="auto" w:sz="6" w:space="0"/>
              <w:left w:val="single" w:color="auto" w:sz="6" w:space="0"/>
              <w:bottom w:val="single" w:color="auto" w:sz="6" w:space="0"/>
              <w:right w:val="single" w:color="auto" w:sz="4" w:space="0"/>
            </w:tcBorders>
          </w:tcPr>
          <w:p w14:paraId="530CB406">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910" w:type="dxa"/>
            <w:tcBorders>
              <w:top w:val="single" w:color="auto" w:sz="6" w:space="0"/>
              <w:left w:val="single" w:color="auto" w:sz="4" w:space="0"/>
              <w:bottom w:val="single" w:color="auto" w:sz="6" w:space="0"/>
              <w:right w:val="single" w:color="auto" w:sz="6" w:space="0"/>
            </w:tcBorders>
          </w:tcPr>
          <w:p w14:paraId="6FBC325D">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916" w:type="dxa"/>
            <w:tcBorders>
              <w:top w:val="single" w:color="auto" w:sz="6" w:space="0"/>
              <w:left w:val="single" w:color="auto" w:sz="6" w:space="0"/>
              <w:bottom w:val="single" w:color="auto" w:sz="6" w:space="0"/>
              <w:right w:val="single" w:color="auto" w:sz="6" w:space="0"/>
            </w:tcBorders>
          </w:tcPr>
          <w:p w14:paraId="6B5B1D7C">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c>
          <w:tcPr>
            <w:tcW w:w="914" w:type="dxa"/>
            <w:tcBorders>
              <w:top w:val="single" w:color="auto" w:sz="6" w:space="0"/>
              <w:left w:val="single" w:color="auto" w:sz="6" w:space="0"/>
              <w:bottom w:val="single" w:color="auto" w:sz="6" w:space="0"/>
              <w:right w:val="double" w:color="auto" w:sz="4" w:space="0"/>
            </w:tcBorders>
          </w:tcPr>
          <w:p w14:paraId="5BD968B2">
            <w:pPr>
              <w:pStyle w:val="43"/>
              <w:widowControl w:val="0"/>
              <w:autoSpaceDE w:val="0"/>
              <w:autoSpaceDN w:val="0"/>
              <w:adjustRightInd w:val="0"/>
              <w:snapToGrid w:val="0"/>
              <w:spacing w:line="360" w:lineRule="auto"/>
              <w:jc w:val="center"/>
              <w:rPr>
                <w:rStyle w:val="23"/>
                <w:rFonts w:ascii="宋体" w:hAnsi="宋体" w:eastAsia="宋体" w:cs="Times New Roman"/>
                <w:kern w:val="0"/>
                <w:sz w:val="21"/>
                <w:szCs w:val="21"/>
                <w:highlight w:val="none"/>
                <w:lang w:val="en-US" w:eastAsia="zh-CN" w:bidi="ar-SA"/>
              </w:rPr>
            </w:pPr>
          </w:p>
        </w:tc>
      </w:tr>
      <w:tr w14:paraId="44296321">
        <w:tblPrEx>
          <w:tblCellMar>
            <w:top w:w="0" w:type="dxa"/>
            <w:left w:w="0" w:type="dxa"/>
            <w:bottom w:w="0" w:type="dxa"/>
            <w:right w:w="0" w:type="dxa"/>
          </w:tblCellMar>
        </w:tblPrEx>
        <w:trPr>
          <w:trHeight w:val="415" w:hRule="exact"/>
        </w:trPr>
        <w:tc>
          <w:tcPr>
            <w:tcW w:w="7960" w:type="dxa"/>
            <w:gridSpan w:val="6"/>
            <w:tcBorders>
              <w:top w:val="single" w:color="auto" w:sz="6" w:space="0"/>
              <w:left w:val="double" w:color="auto" w:sz="4" w:space="0"/>
              <w:bottom w:val="double" w:color="auto" w:sz="4" w:space="0"/>
              <w:right w:val="single" w:color="auto" w:sz="6" w:space="0"/>
            </w:tcBorders>
            <w:vAlign w:val="center"/>
          </w:tcPr>
          <w:p w14:paraId="4EC3EAEB">
            <w:pPr>
              <w:pStyle w:val="43"/>
              <w:widowControl w:val="0"/>
              <w:autoSpaceDE w:val="0"/>
              <w:autoSpaceDN w:val="0"/>
              <w:adjustRightInd w:val="0"/>
              <w:snapToGrid w:val="0"/>
              <w:spacing w:line="360" w:lineRule="auto"/>
              <w:jc w:val="left"/>
              <w:rPr>
                <w:rStyle w:val="23"/>
                <w:rFonts w:ascii="宋体" w:hAnsi="宋体" w:eastAsia="宋体" w:cs="Times New Roman"/>
                <w:kern w:val="0"/>
                <w:sz w:val="21"/>
                <w:szCs w:val="21"/>
                <w:highlight w:val="none"/>
                <w:lang w:val="en-US" w:eastAsia="zh-CN" w:bidi="ar-SA"/>
              </w:rPr>
            </w:pPr>
            <w:r>
              <w:rPr>
                <w:rStyle w:val="23"/>
                <w:rFonts w:hint="eastAsia" w:ascii="宋体" w:hAnsi="宋体" w:eastAsia="宋体" w:cs="微软雅黑"/>
                <w:kern w:val="0"/>
                <w:position w:val="-1"/>
                <w:sz w:val="21"/>
                <w:szCs w:val="21"/>
                <w:highlight w:val="none"/>
                <w:lang w:val="en-US" w:eastAsia="zh-CN" w:bidi="ar-SA"/>
              </w:rPr>
              <w:t>总价：大写小写（元）：</w:t>
            </w:r>
          </w:p>
        </w:tc>
        <w:tc>
          <w:tcPr>
            <w:tcW w:w="914" w:type="dxa"/>
            <w:tcBorders>
              <w:top w:val="single" w:color="auto" w:sz="6" w:space="0"/>
              <w:left w:val="single" w:color="auto" w:sz="6" w:space="0"/>
              <w:bottom w:val="double" w:color="auto" w:sz="4" w:space="0"/>
              <w:right w:val="double" w:color="auto" w:sz="4" w:space="0"/>
            </w:tcBorders>
          </w:tcPr>
          <w:p w14:paraId="67EA430A">
            <w:pPr>
              <w:pStyle w:val="43"/>
              <w:widowControl w:val="0"/>
              <w:autoSpaceDE w:val="0"/>
              <w:autoSpaceDN w:val="0"/>
              <w:adjustRightInd w:val="0"/>
              <w:snapToGrid w:val="0"/>
              <w:spacing w:line="360" w:lineRule="auto"/>
              <w:jc w:val="left"/>
              <w:rPr>
                <w:rStyle w:val="23"/>
                <w:rFonts w:ascii="宋体" w:hAnsi="宋体" w:eastAsia="宋体" w:cs="Times New Roman"/>
                <w:kern w:val="0"/>
                <w:sz w:val="21"/>
                <w:szCs w:val="21"/>
                <w:highlight w:val="none"/>
                <w:lang w:val="en-US" w:eastAsia="zh-CN" w:bidi="ar-SA"/>
              </w:rPr>
            </w:pPr>
          </w:p>
        </w:tc>
      </w:tr>
    </w:tbl>
    <w:p w14:paraId="6082432F">
      <w:pPr>
        <w:pStyle w:val="43"/>
        <w:adjustRightInd w:val="0"/>
        <w:snapToGrid w:val="0"/>
        <w:spacing w:line="360" w:lineRule="auto"/>
        <w:rPr>
          <w:rStyle w:val="23"/>
          <w:rFonts w:ascii="宋体" w:hAnsi="宋体" w:eastAsia="宋体" w:cs="Times New Roman"/>
          <w:kern w:val="2"/>
          <w:sz w:val="21"/>
          <w:szCs w:val="21"/>
          <w:highlight w:val="none"/>
          <w:lang w:val="en-US" w:eastAsia="zh-CN" w:bidi="ar-SA"/>
        </w:rPr>
      </w:pPr>
      <w:r>
        <w:rPr>
          <w:rStyle w:val="23"/>
          <w:rFonts w:hint="eastAsia" w:ascii="宋体" w:hAnsi="宋体" w:cs="Times New Roman"/>
          <w:kern w:val="2"/>
          <w:sz w:val="21"/>
          <w:szCs w:val="21"/>
          <w:highlight w:val="none"/>
          <w:lang w:val="en-US" w:eastAsia="zh-CN" w:bidi="ar-SA"/>
        </w:rPr>
        <w:t>分项报价至少应包含以上项目；分项报价的总和不得超过总价。</w:t>
      </w:r>
    </w:p>
    <w:p w14:paraId="5D536322">
      <w:pPr>
        <w:keepNext w:val="0"/>
        <w:keepLines w:val="0"/>
        <w:widowControl w:val="0"/>
        <w:suppressLineNumbers w:val="0"/>
        <w:adjustRightInd w:val="0"/>
        <w:snapToGrid w:val="0"/>
        <w:spacing w:before="0" w:beforeAutospacing="0" w:after="0" w:afterAutospacing="0" w:line="360" w:lineRule="auto"/>
        <w:ind w:left="0" w:right="0"/>
        <w:jc w:val="both"/>
        <w:rPr>
          <w:rFonts w:hint="default" w:ascii="宋体" w:hAnsi="宋体" w:eastAsia="宋体" w:cs="宋体"/>
          <w:kern w:val="2"/>
          <w:sz w:val="21"/>
          <w:szCs w:val="24"/>
          <w:highlight w:val="none"/>
          <w:lang w:val="en-US" w:eastAsia="zh-CN"/>
        </w:rPr>
      </w:pPr>
    </w:p>
    <w:p w14:paraId="0356147D">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kern w:val="2"/>
          <w:sz w:val="21"/>
          <w:szCs w:val="24"/>
          <w:highlight w:val="none"/>
          <w:lang w:val="en-US" w:eastAsia="zh-CN"/>
        </w:rPr>
      </w:pPr>
    </w:p>
    <w:p w14:paraId="1219222D">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szCs w:val="24"/>
          <w:highlight w:val="none"/>
          <w:lang w:val="en-US"/>
        </w:rPr>
      </w:pPr>
      <w:r>
        <w:rPr>
          <w:rFonts w:hint="eastAsia" w:ascii="宋体" w:hAnsi="宋体" w:eastAsia="宋体" w:cs="宋体"/>
          <w:kern w:val="2"/>
          <w:sz w:val="21"/>
          <w:szCs w:val="24"/>
          <w:highlight w:val="none"/>
          <w:lang w:val="en-US" w:eastAsia="zh-CN"/>
        </w:rPr>
        <w:t>供应商名称（盖单位章）：</w:t>
      </w:r>
    </w:p>
    <w:p w14:paraId="258A6F5F">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szCs w:val="24"/>
          <w:highlight w:val="none"/>
          <w:lang w:val="en-US"/>
        </w:rPr>
      </w:pPr>
      <w:r>
        <w:rPr>
          <w:rFonts w:hint="eastAsia" w:ascii="宋体" w:hAnsi="宋体" w:eastAsia="宋体" w:cs="宋体"/>
          <w:kern w:val="2"/>
          <w:sz w:val="21"/>
          <w:szCs w:val="24"/>
          <w:highlight w:val="none"/>
          <w:lang w:val="en-US" w:eastAsia="zh-CN"/>
        </w:rPr>
        <w:t>日期： 年  月 日</w:t>
      </w:r>
    </w:p>
    <w:p w14:paraId="7A14182B">
      <w:pPr>
        <w:rPr>
          <w:rFonts w:hint="eastAsia" w:ascii="黑体" w:eastAsia="黑体"/>
          <w:b/>
          <w:sz w:val="32"/>
          <w:szCs w:val="32"/>
          <w:highlight w:val="none"/>
          <w:lang w:val="en-US" w:eastAsia="zh-CN"/>
        </w:rPr>
      </w:pPr>
      <w:r>
        <w:rPr>
          <w:rFonts w:hint="eastAsia" w:ascii="黑体" w:eastAsia="黑体"/>
          <w:b/>
          <w:sz w:val="32"/>
          <w:szCs w:val="32"/>
          <w:highlight w:val="none"/>
          <w:lang w:val="en-US" w:eastAsia="zh-CN"/>
        </w:rPr>
        <w:br w:type="page"/>
      </w:r>
    </w:p>
    <w:p w14:paraId="281D17AB">
      <w:pPr>
        <w:adjustRightInd w:val="0"/>
        <w:snapToGrid w:val="0"/>
        <w:spacing w:line="360" w:lineRule="auto"/>
        <w:ind w:left="-88" w:leftChars="-42"/>
        <w:jc w:val="center"/>
        <w:outlineLvl w:val="1"/>
        <w:rPr>
          <w:rFonts w:hint="eastAsia" w:ascii="黑体" w:eastAsia="黑体"/>
          <w:b/>
          <w:bCs/>
          <w:sz w:val="32"/>
          <w:szCs w:val="32"/>
          <w:highlight w:val="none"/>
        </w:rPr>
      </w:pPr>
      <w:r>
        <w:rPr>
          <w:rFonts w:hint="eastAsia" w:ascii="黑体" w:eastAsia="黑体"/>
          <w:b/>
          <w:sz w:val="32"/>
          <w:szCs w:val="32"/>
          <w:highlight w:val="none"/>
          <w:lang w:val="en-US" w:eastAsia="zh-CN"/>
        </w:rPr>
        <w:t>十</w:t>
      </w:r>
      <w:r>
        <w:rPr>
          <w:rFonts w:hint="eastAsia" w:ascii="黑体" w:eastAsia="黑体"/>
          <w:b/>
          <w:bCs/>
          <w:sz w:val="32"/>
          <w:szCs w:val="32"/>
          <w:highlight w:val="none"/>
        </w:rPr>
        <w:t>、供应商认为需要提供的其它资料</w:t>
      </w:r>
    </w:p>
    <w:p w14:paraId="3862E544">
      <w:pPr>
        <w:adjustRightInd/>
        <w:snapToGrid/>
        <w:spacing w:line="240" w:lineRule="auto"/>
        <w:ind w:left="0" w:leftChars="0"/>
        <w:jc w:val="left"/>
        <w:outlineLvl w:val="9"/>
        <w:rPr>
          <w:rFonts w:hint="eastAsia" w:ascii="黑体" w:eastAsia="黑体"/>
          <w:b/>
          <w:bCs/>
          <w:sz w:val="32"/>
          <w:szCs w:val="32"/>
          <w:highlight w:val="none"/>
        </w:rPr>
      </w:pPr>
      <w:r>
        <w:rPr>
          <w:rFonts w:hint="eastAsia" w:ascii="黑体" w:eastAsia="黑体"/>
          <w:b/>
          <w:bCs/>
          <w:sz w:val="32"/>
          <w:szCs w:val="32"/>
          <w:highlight w:val="none"/>
        </w:rPr>
        <w:br w:type="page"/>
      </w:r>
    </w:p>
    <w:p w14:paraId="04C6AA48">
      <w:pPr>
        <w:numPr>
          <w:ilvl w:val="0"/>
          <w:numId w:val="0"/>
        </w:numPr>
        <w:snapToGrid w:val="0"/>
        <w:spacing w:before="163"/>
        <w:jc w:val="center"/>
        <w:rPr>
          <w:rStyle w:val="38"/>
          <w:rFonts w:hint="eastAsia" w:ascii="黑体" w:hAnsi="黑体" w:eastAsia="黑体" w:cs="黑体"/>
          <w:color w:val="auto"/>
          <w:sz w:val="32"/>
          <w:szCs w:val="32"/>
          <w:highlight w:val="none"/>
          <w:lang w:eastAsia="zh-CN"/>
        </w:rPr>
      </w:pPr>
      <w:r>
        <w:rPr>
          <w:rStyle w:val="38"/>
          <w:rFonts w:ascii="黑体" w:hAnsi="黑体" w:eastAsia="黑体" w:cs="黑体"/>
          <w:color w:val="auto"/>
          <w:sz w:val="32"/>
          <w:szCs w:val="32"/>
          <w:highlight w:val="none"/>
          <w:lang w:eastAsia="zh-CN"/>
        </w:rPr>
        <w:t>十一、</w:t>
      </w:r>
      <w:r>
        <w:rPr>
          <w:rStyle w:val="38"/>
          <w:rFonts w:ascii="黑体" w:hAnsi="黑体" w:eastAsia="黑体" w:cs="黑体"/>
          <w:color w:val="auto"/>
          <w:sz w:val="32"/>
          <w:szCs w:val="32"/>
          <w:highlight w:val="none"/>
        </w:rPr>
        <w:t>廉</w:t>
      </w:r>
      <w:r>
        <w:rPr>
          <w:rStyle w:val="38"/>
          <w:rFonts w:ascii="黑体" w:hAnsi="黑体" w:eastAsia="黑体" w:cs="黑体"/>
          <w:color w:val="auto"/>
          <w:sz w:val="32"/>
          <w:szCs w:val="32"/>
          <w:highlight w:val="none"/>
          <w:lang w:eastAsia="zh-CN"/>
        </w:rPr>
        <w:t>洁</w:t>
      </w:r>
      <w:r>
        <w:rPr>
          <w:rStyle w:val="38"/>
          <w:rFonts w:ascii="黑体" w:hAnsi="黑体" w:eastAsia="黑体" w:cs="黑体"/>
          <w:color w:val="auto"/>
          <w:sz w:val="32"/>
          <w:szCs w:val="32"/>
          <w:highlight w:val="none"/>
        </w:rPr>
        <w:t>承诺书</w:t>
      </w:r>
    </w:p>
    <w:p w14:paraId="08EF1B13">
      <w:pPr>
        <w:keepNext w:val="0"/>
        <w:keepLines w:val="0"/>
        <w:pageBreakBefore w:val="0"/>
        <w:widowControl w:val="0"/>
        <w:numPr>
          <w:ilvl w:val="0"/>
          <w:numId w:val="0"/>
        </w:numPr>
        <w:kinsoku/>
        <w:wordWrap/>
        <w:overflowPunct/>
        <w:topLinePunct w:val="0"/>
        <w:autoSpaceDE/>
        <w:autoSpaceDN/>
        <w:bidi w:val="0"/>
        <w:adjustRightInd/>
        <w:snapToGrid w:val="0"/>
        <w:spacing w:before="163"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w:t>
      </w:r>
      <w:r>
        <w:rPr>
          <w:rFonts w:hint="eastAsia" w:ascii="宋体" w:hAnsi="宋体" w:eastAsia="宋体" w:cs="宋体"/>
          <w:color w:val="auto"/>
          <w:sz w:val="21"/>
          <w:szCs w:val="21"/>
          <w:highlight w:val="none"/>
          <w:lang w:val="en-US" w:eastAsia="zh-CN"/>
        </w:rPr>
        <w:t>及相关工作人员</w:t>
      </w:r>
      <w:r>
        <w:rPr>
          <w:rFonts w:hint="eastAsia" w:ascii="宋体" w:hAnsi="宋体" w:eastAsia="宋体" w:cs="宋体"/>
          <w:color w:val="auto"/>
          <w:sz w:val="21"/>
          <w:szCs w:val="21"/>
          <w:highlight w:val="none"/>
        </w:rPr>
        <w:t>在项目实施过程中，</w:t>
      </w:r>
      <w:r>
        <w:rPr>
          <w:rFonts w:hint="eastAsia" w:ascii="宋体" w:hAnsi="宋体" w:eastAsia="宋体" w:cs="宋体"/>
          <w:color w:val="auto"/>
          <w:sz w:val="21"/>
          <w:szCs w:val="21"/>
          <w:highlight w:val="none"/>
          <w:lang w:eastAsia="zh-CN"/>
        </w:rPr>
        <w:t>严格遵守廉洁自律的相关规定</w:t>
      </w:r>
      <w:r>
        <w:rPr>
          <w:rFonts w:hint="eastAsia" w:ascii="宋体" w:hAnsi="宋体" w:eastAsia="宋体" w:cs="宋体"/>
          <w:color w:val="auto"/>
          <w:sz w:val="21"/>
          <w:szCs w:val="21"/>
          <w:highlight w:val="none"/>
        </w:rPr>
        <w:t>，坚持客观公正，</w:t>
      </w:r>
      <w:r>
        <w:rPr>
          <w:rFonts w:hint="eastAsia" w:ascii="宋体" w:hAnsi="宋体" w:eastAsia="宋体" w:cs="宋体"/>
          <w:color w:val="auto"/>
          <w:sz w:val="21"/>
          <w:szCs w:val="21"/>
          <w:highlight w:val="none"/>
          <w:lang w:eastAsia="zh-CN"/>
        </w:rPr>
        <w:t>实事求是，</w:t>
      </w:r>
      <w:r>
        <w:rPr>
          <w:rFonts w:hint="eastAsia" w:ascii="宋体" w:hAnsi="宋体" w:eastAsia="宋体" w:cs="宋体"/>
          <w:color w:val="auto"/>
          <w:sz w:val="21"/>
          <w:szCs w:val="21"/>
          <w:highlight w:val="none"/>
        </w:rPr>
        <w:t>确保本</w:t>
      </w:r>
      <w:r>
        <w:rPr>
          <w:rFonts w:hint="eastAsia" w:ascii="宋体" w:hAnsi="宋体" w:eastAsia="宋体" w:cs="宋体"/>
          <w:color w:val="auto"/>
          <w:sz w:val="21"/>
          <w:szCs w:val="21"/>
          <w:highlight w:val="none"/>
          <w:lang w:eastAsia="zh-CN"/>
        </w:rPr>
        <w:t>项目目标任务</w:t>
      </w:r>
      <w:r>
        <w:rPr>
          <w:rFonts w:hint="eastAsia" w:ascii="宋体" w:hAnsi="宋体" w:eastAsia="宋体" w:cs="宋体"/>
          <w:color w:val="auto"/>
          <w:sz w:val="21"/>
          <w:szCs w:val="21"/>
          <w:highlight w:val="none"/>
        </w:rPr>
        <w:t>顺利完成</w:t>
      </w:r>
      <w:r>
        <w:rPr>
          <w:rFonts w:hint="eastAsia" w:ascii="宋体" w:hAnsi="宋体" w:eastAsia="宋体" w:cs="宋体"/>
          <w:color w:val="auto"/>
          <w:sz w:val="21"/>
          <w:szCs w:val="21"/>
          <w:highlight w:val="none"/>
          <w:lang w:eastAsia="zh-CN"/>
        </w:rPr>
        <w:t>，并作出</w:t>
      </w:r>
      <w:r>
        <w:rPr>
          <w:rFonts w:hint="eastAsia" w:ascii="宋体" w:hAnsi="宋体" w:eastAsia="宋体" w:cs="宋体"/>
          <w:color w:val="auto"/>
          <w:sz w:val="21"/>
          <w:szCs w:val="21"/>
          <w:highlight w:val="none"/>
        </w:rPr>
        <w:t>以下承诺：</w:t>
      </w:r>
    </w:p>
    <w:p w14:paraId="6FC91CA6">
      <w:pPr>
        <w:keepNext w:val="0"/>
        <w:keepLines w:val="0"/>
        <w:pageBreakBefore w:val="0"/>
        <w:widowControl w:val="0"/>
        <w:numPr>
          <w:ilvl w:val="0"/>
          <w:numId w:val="0"/>
        </w:numPr>
        <w:kinsoku/>
        <w:wordWrap/>
        <w:overflowPunct/>
        <w:topLinePunct w:val="0"/>
        <w:autoSpaceDE/>
        <w:autoSpaceDN/>
        <w:bidi w:val="0"/>
        <w:adjustRightInd/>
        <w:snapToGrid w:val="0"/>
        <w:spacing w:before="163"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严格</w:t>
      </w:r>
      <w:r>
        <w:rPr>
          <w:rFonts w:hint="eastAsia" w:ascii="宋体" w:hAnsi="宋体" w:eastAsia="宋体" w:cs="宋体"/>
          <w:color w:val="auto"/>
          <w:sz w:val="21"/>
          <w:szCs w:val="21"/>
          <w:highlight w:val="none"/>
          <w:lang w:eastAsia="zh-CN"/>
        </w:rPr>
        <w:t>落实</w:t>
      </w:r>
      <w:r>
        <w:rPr>
          <w:rFonts w:hint="eastAsia" w:ascii="宋体" w:hAnsi="宋体" w:eastAsia="宋体" w:cs="宋体"/>
          <w:color w:val="auto"/>
          <w:sz w:val="21"/>
          <w:szCs w:val="21"/>
          <w:highlight w:val="none"/>
        </w:rPr>
        <w:t>党和国家有关法律</w:t>
      </w:r>
      <w:r>
        <w:rPr>
          <w:rFonts w:hint="eastAsia" w:ascii="宋体" w:hAnsi="宋体" w:eastAsia="宋体" w:cs="宋体"/>
          <w:color w:val="auto"/>
          <w:sz w:val="21"/>
          <w:szCs w:val="21"/>
          <w:highlight w:val="none"/>
          <w:lang w:eastAsia="zh-CN"/>
        </w:rPr>
        <w:t>法规，建立并不断完善监督机制，签署</w:t>
      </w:r>
      <w:r>
        <w:rPr>
          <w:rFonts w:hint="eastAsia" w:ascii="宋体" w:hAnsi="宋体" w:eastAsia="宋体" w:cs="宋体"/>
          <w:color w:val="auto"/>
          <w:sz w:val="21"/>
          <w:szCs w:val="21"/>
          <w:highlight w:val="none"/>
        </w:rPr>
        <w:t>廉</w:t>
      </w:r>
      <w:r>
        <w:rPr>
          <w:rFonts w:hint="eastAsia" w:ascii="宋体" w:hAnsi="宋体" w:eastAsia="宋体" w:cs="宋体"/>
          <w:color w:val="auto"/>
          <w:sz w:val="21"/>
          <w:szCs w:val="21"/>
          <w:highlight w:val="none"/>
          <w:lang w:eastAsia="zh-CN"/>
        </w:rPr>
        <w:t>洁</w:t>
      </w:r>
      <w:r>
        <w:rPr>
          <w:rFonts w:hint="eastAsia" w:ascii="宋体" w:hAnsi="宋体" w:eastAsia="宋体" w:cs="宋体"/>
          <w:color w:val="auto"/>
          <w:sz w:val="21"/>
          <w:szCs w:val="21"/>
          <w:highlight w:val="none"/>
        </w:rPr>
        <w:t>责任书，</w:t>
      </w:r>
      <w:r>
        <w:rPr>
          <w:rFonts w:hint="eastAsia" w:ascii="宋体" w:hAnsi="宋体" w:eastAsia="宋体" w:cs="宋体"/>
          <w:color w:val="auto"/>
          <w:sz w:val="21"/>
          <w:szCs w:val="21"/>
          <w:highlight w:val="none"/>
          <w:lang w:eastAsia="zh-CN"/>
        </w:rPr>
        <w:t>落实工作人员监管责任</w:t>
      </w:r>
      <w:r>
        <w:rPr>
          <w:rFonts w:hint="eastAsia" w:ascii="宋体" w:hAnsi="宋体" w:eastAsia="宋体" w:cs="宋体"/>
          <w:color w:val="auto"/>
          <w:sz w:val="21"/>
          <w:szCs w:val="21"/>
          <w:highlight w:val="none"/>
        </w:rPr>
        <w:t>。</w:t>
      </w:r>
    </w:p>
    <w:p w14:paraId="68E00070">
      <w:pPr>
        <w:keepNext w:val="0"/>
        <w:keepLines w:val="0"/>
        <w:pageBreakBefore w:val="0"/>
        <w:widowControl w:val="0"/>
        <w:numPr>
          <w:ilvl w:val="0"/>
          <w:numId w:val="0"/>
        </w:numPr>
        <w:kinsoku/>
        <w:wordWrap/>
        <w:overflowPunct/>
        <w:topLinePunct w:val="0"/>
        <w:autoSpaceDE/>
        <w:autoSpaceDN/>
        <w:bidi w:val="0"/>
        <w:adjustRightInd/>
        <w:snapToGrid w:val="0"/>
        <w:spacing w:before="163"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严格执行合同文件，自觉按合同办事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业务活动坚持公开、公正、诚信、透明的原则（除法律认定的商业秘密和合同文件另有规定之外），不得损害国家利益和</w:t>
      </w:r>
      <w:r>
        <w:rPr>
          <w:rFonts w:hint="eastAsia" w:ascii="宋体" w:hAnsi="宋体" w:eastAsia="宋体" w:cs="宋体"/>
          <w:color w:val="auto"/>
          <w:sz w:val="21"/>
          <w:szCs w:val="21"/>
          <w:highlight w:val="none"/>
          <w:lang w:eastAsia="zh-CN"/>
        </w:rPr>
        <w:t>他人合法权益</w:t>
      </w:r>
      <w:r>
        <w:rPr>
          <w:rFonts w:hint="eastAsia" w:ascii="宋体" w:hAnsi="宋体" w:eastAsia="宋体" w:cs="宋体"/>
          <w:color w:val="auto"/>
          <w:sz w:val="21"/>
          <w:szCs w:val="21"/>
          <w:highlight w:val="none"/>
        </w:rPr>
        <w:t>。</w:t>
      </w:r>
    </w:p>
    <w:p w14:paraId="7AC9FEF0">
      <w:pPr>
        <w:keepNext w:val="0"/>
        <w:keepLines w:val="0"/>
        <w:pageBreakBefore w:val="0"/>
        <w:widowControl w:val="0"/>
        <w:numPr>
          <w:ilvl w:val="0"/>
          <w:numId w:val="0"/>
        </w:numPr>
        <w:kinsoku/>
        <w:wordWrap/>
        <w:overflowPunct/>
        <w:topLinePunct w:val="0"/>
        <w:autoSpaceDE/>
        <w:autoSpaceDN/>
        <w:bidi w:val="0"/>
        <w:adjustRightInd/>
        <w:snapToGrid w:val="0"/>
        <w:spacing w:before="163"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不得</w:t>
      </w:r>
      <w:r>
        <w:rPr>
          <w:rFonts w:hint="eastAsia" w:ascii="宋体" w:hAnsi="宋体" w:eastAsia="宋体" w:cs="宋体"/>
          <w:color w:val="auto"/>
          <w:sz w:val="21"/>
          <w:szCs w:val="21"/>
          <w:highlight w:val="none"/>
          <w:lang w:eastAsia="zh-CN"/>
        </w:rPr>
        <w:t>以任何形式</w:t>
      </w:r>
      <w:r>
        <w:rPr>
          <w:rFonts w:hint="eastAsia" w:ascii="宋体" w:hAnsi="宋体" w:eastAsia="宋体" w:cs="宋体"/>
          <w:color w:val="auto"/>
          <w:sz w:val="21"/>
          <w:szCs w:val="21"/>
          <w:highlight w:val="none"/>
        </w:rPr>
        <w:t>接受</w:t>
      </w:r>
      <w:r>
        <w:rPr>
          <w:rFonts w:hint="eastAsia" w:ascii="宋体" w:hAnsi="宋体" w:eastAsia="宋体" w:cs="宋体"/>
          <w:color w:val="auto"/>
          <w:sz w:val="21"/>
          <w:szCs w:val="21"/>
          <w:highlight w:val="none"/>
          <w:lang w:eastAsia="zh-CN"/>
        </w:rPr>
        <w:t>暗访检查对象</w:t>
      </w:r>
      <w:r>
        <w:rPr>
          <w:rFonts w:hint="eastAsia" w:ascii="宋体" w:hAnsi="宋体" w:eastAsia="宋体" w:cs="宋体"/>
          <w:color w:val="auto"/>
          <w:sz w:val="21"/>
          <w:szCs w:val="21"/>
          <w:highlight w:val="none"/>
        </w:rPr>
        <w:t>的礼金礼品</w:t>
      </w:r>
      <w:r>
        <w:rPr>
          <w:rFonts w:hint="eastAsia" w:ascii="宋体" w:hAnsi="宋体" w:eastAsia="宋体" w:cs="宋体"/>
          <w:color w:val="auto"/>
          <w:sz w:val="21"/>
          <w:szCs w:val="21"/>
          <w:highlight w:val="none"/>
          <w:lang w:eastAsia="zh-CN"/>
        </w:rPr>
        <w:t>及其他</w:t>
      </w:r>
      <w:r>
        <w:rPr>
          <w:rFonts w:hint="eastAsia" w:ascii="宋体" w:hAnsi="宋体" w:eastAsia="宋体" w:cs="宋体"/>
          <w:color w:val="auto"/>
          <w:sz w:val="21"/>
          <w:szCs w:val="21"/>
          <w:highlight w:val="none"/>
        </w:rPr>
        <w:t>有价证券；不得在</w:t>
      </w:r>
      <w:r>
        <w:rPr>
          <w:rFonts w:hint="eastAsia" w:ascii="宋体" w:hAnsi="宋体" w:eastAsia="宋体" w:cs="宋体"/>
          <w:color w:val="auto"/>
          <w:sz w:val="21"/>
          <w:szCs w:val="21"/>
          <w:highlight w:val="none"/>
          <w:lang w:eastAsia="zh-CN"/>
        </w:rPr>
        <w:t>暗访检查对象所在单位</w:t>
      </w:r>
      <w:r>
        <w:rPr>
          <w:rFonts w:hint="eastAsia" w:ascii="宋体" w:hAnsi="宋体" w:eastAsia="宋体" w:cs="宋体"/>
          <w:color w:val="auto"/>
          <w:sz w:val="21"/>
          <w:szCs w:val="21"/>
          <w:highlight w:val="none"/>
        </w:rPr>
        <w:t>报销费用等；不得参加</w:t>
      </w:r>
      <w:r>
        <w:rPr>
          <w:rFonts w:hint="eastAsia" w:ascii="宋体" w:hAnsi="宋体" w:eastAsia="宋体" w:cs="宋体"/>
          <w:color w:val="auto"/>
          <w:sz w:val="21"/>
          <w:szCs w:val="21"/>
          <w:highlight w:val="none"/>
          <w:lang w:eastAsia="zh-CN"/>
        </w:rPr>
        <w:t>暗访检查对象</w:t>
      </w:r>
      <w:r>
        <w:rPr>
          <w:rFonts w:hint="eastAsia" w:ascii="宋体" w:hAnsi="宋体" w:eastAsia="宋体" w:cs="宋体"/>
          <w:color w:val="auto"/>
          <w:sz w:val="21"/>
          <w:szCs w:val="21"/>
          <w:highlight w:val="none"/>
        </w:rPr>
        <w:t>安排的宴请和娱乐活动等。</w:t>
      </w:r>
    </w:p>
    <w:p w14:paraId="20D341B1">
      <w:pPr>
        <w:keepNext w:val="0"/>
        <w:keepLines w:val="0"/>
        <w:pageBreakBefore w:val="0"/>
        <w:widowControl w:val="0"/>
        <w:numPr>
          <w:ilvl w:val="0"/>
          <w:numId w:val="0"/>
        </w:numPr>
        <w:kinsoku/>
        <w:wordWrap/>
        <w:overflowPunct/>
        <w:topLinePunct w:val="0"/>
        <w:autoSpaceDE/>
        <w:autoSpaceDN/>
        <w:bidi w:val="0"/>
        <w:adjustRightInd/>
        <w:snapToGrid w:val="0"/>
        <w:spacing w:before="163"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4.规范开展调查工作，真实客观反馈调查情况，避免任何可能影响调查结果客观性的因素。</w:t>
      </w:r>
    </w:p>
    <w:p w14:paraId="17B96F3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违反</w:t>
      </w:r>
      <w:r>
        <w:rPr>
          <w:rFonts w:hint="eastAsia" w:ascii="宋体" w:hAnsi="宋体" w:eastAsia="宋体" w:cs="宋体"/>
          <w:color w:val="auto"/>
          <w:sz w:val="21"/>
          <w:szCs w:val="21"/>
          <w:highlight w:val="none"/>
          <w:lang w:eastAsia="zh-CN"/>
        </w:rPr>
        <w:t>党纪国法</w:t>
      </w:r>
      <w:r>
        <w:rPr>
          <w:rFonts w:hint="eastAsia" w:ascii="宋体" w:hAnsi="宋体" w:eastAsia="宋体" w:cs="宋体"/>
          <w:color w:val="auto"/>
          <w:sz w:val="21"/>
          <w:szCs w:val="21"/>
          <w:highlight w:val="none"/>
        </w:rPr>
        <w:t>相关</w:t>
      </w:r>
      <w:r>
        <w:rPr>
          <w:rFonts w:hint="eastAsia" w:ascii="宋体" w:hAnsi="宋体" w:eastAsia="宋体" w:cs="宋体"/>
          <w:color w:val="auto"/>
          <w:sz w:val="21"/>
          <w:szCs w:val="21"/>
          <w:highlight w:val="none"/>
          <w:lang w:eastAsia="zh-CN"/>
        </w:rPr>
        <w:t>规定</w:t>
      </w:r>
      <w:r>
        <w:rPr>
          <w:rFonts w:hint="eastAsia" w:ascii="宋体" w:hAnsi="宋体" w:eastAsia="宋体" w:cs="宋体"/>
          <w:color w:val="auto"/>
          <w:sz w:val="21"/>
          <w:szCs w:val="21"/>
          <w:highlight w:val="none"/>
        </w:rPr>
        <w:t>和本承诺的具体</w:t>
      </w:r>
      <w:r>
        <w:rPr>
          <w:rFonts w:hint="eastAsia" w:ascii="宋体" w:hAnsi="宋体" w:eastAsia="宋体" w:cs="宋体"/>
          <w:color w:val="auto"/>
          <w:sz w:val="21"/>
          <w:szCs w:val="21"/>
          <w:highlight w:val="none"/>
          <w:lang w:eastAsia="zh-CN"/>
        </w:rPr>
        <w:t>要求</w:t>
      </w:r>
      <w:r>
        <w:rPr>
          <w:rFonts w:hint="eastAsia" w:ascii="宋体" w:hAnsi="宋体" w:eastAsia="宋体" w:cs="宋体"/>
          <w:color w:val="auto"/>
          <w:sz w:val="21"/>
          <w:szCs w:val="21"/>
          <w:highlight w:val="none"/>
        </w:rPr>
        <w:t>，造成</w:t>
      </w:r>
      <w:r>
        <w:rPr>
          <w:rFonts w:hint="eastAsia" w:ascii="宋体" w:hAnsi="宋体" w:eastAsia="宋体" w:cs="宋体"/>
          <w:color w:val="auto"/>
          <w:sz w:val="21"/>
          <w:szCs w:val="21"/>
          <w:highlight w:val="none"/>
          <w:lang w:eastAsia="zh-CN"/>
        </w:rPr>
        <w:t>不良影响和后果</w:t>
      </w:r>
      <w:r>
        <w:rPr>
          <w:rFonts w:hint="eastAsia" w:ascii="宋体" w:hAnsi="宋体" w:eastAsia="宋体" w:cs="宋体"/>
          <w:color w:val="auto"/>
          <w:sz w:val="21"/>
          <w:szCs w:val="21"/>
          <w:highlight w:val="none"/>
        </w:rPr>
        <w:t>的，我单位承担</w:t>
      </w:r>
      <w:r>
        <w:rPr>
          <w:rFonts w:hint="eastAsia" w:ascii="宋体" w:hAnsi="宋体" w:eastAsia="宋体" w:cs="宋体"/>
          <w:color w:val="auto"/>
          <w:sz w:val="21"/>
          <w:szCs w:val="21"/>
          <w:highlight w:val="none"/>
          <w:lang w:eastAsia="zh-CN"/>
        </w:rPr>
        <w:t>全部</w:t>
      </w:r>
      <w:r>
        <w:rPr>
          <w:rFonts w:hint="eastAsia" w:ascii="宋体" w:hAnsi="宋体" w:eastAsia="宋体" w:cs="宋体"/>
          <w:color w:val="auto"/>
          <w:sz w:val="21"/>
          <w:szCs w:val="21"/>
          <w:highlight w:val="none"/>
        </w:rPr>
        <w:t>责任</w:t>
      </w:r>
      <w:r>
        <w:rPr>
          <w:rFonts w:hint="eastAsia" w:ascii="宋体" w:hAnsi="宋体" w:eastAsia="宋体" w:cs="宋体"/>
          <w:color w:val="auto"/>
          <w:sz w:val="21"/>
          <w:szCs w:val="21"/>
          <w:highlight w:val="none"/>
          <w:lang w:eastAsia="zh-CN"/>
        </w:rPr>
        <w:t>及后果。</w:t>
      </w:r>
    </w:p>
    <w:p w14:paraId="7EE5077C">
      <w:pPr>
        <w:keepNext w:val="0"/>
        <w:keepLines w:val="0"/>
        <w:pageBreakBefore w:val="0"/>
        <w:widowControl w:val="0"/>
        <w:numPr>
          <w:ilvl w:val="0"/>
          <w:numId w:val="0"/>
        </w:numPr>
        <w:kinsoku/>
        <w:wordWrap/>
        <w:overflowPunct/>
        <w:topLinePunct w:val="0"/>
        <w:autoSpaceDE/>
        <w:autoSpaceDN/>
        <w:bidi w:val="0"/>
        <w:adjustRightInd/>
        <w:snapToGrid w:val="0"/>
        <w:spacing w:before="163" w:line="520" w:lineRule="exact"/>
        <w:ind w:firstLine="420" w:firstLineChars="200"/>
        <w:textAlignment w:val="auto"/>
        <w:rPr>
          <w:rFonts w:hint="eastAsia" w:ascii="宋体" w:hAnsi="宋体" w:eastAsia="宋体" w:cs="宋体"/>
          <w:color w:val="auto"/>
          <w:sz w:val="21"/>
          <w:szCs w:val="21"/>
          <w:highlight w:val="none"/>
        </w:rPr>
      </w:pPr>
    </w:p>
    <w:p w14:paraId="7C873A04">
      <w:pPr>
        <w:keepNext w:val="0"/>
        <w:keepLines w:val="0"/>
        <w:pageBreakBefore w:val="0"/>
        <w:widowControl w:val="0"/>
        <w:numPr>
          <w:ilvl w:val="0"/>
          <w:numId w:val="0"/>
        </w:numPr>
        <w:kinsoku/>
        <w:wordWrap/>
        <w:overflowPunct/>
        <w:topLinePunct w:val="0"/>
        <w:autoSpaceDE/>
        <w:autoSpaceDN/>
        <w:bidi w:val="0"/>
        <w:adjustRightInd/>
        <w:spacing w:before="163" w:line="520" w:lineRule="exact"/>
        <w:textAlignment w:val="auto"/>
        <w:rPr>
          <w:rStyle w:val="38"/>
          <w:rFonts w:ascii="宋体" w:hAnsi="宋体" w:eastAsia="宋体" w:cs="宋体"/>
          <w:color w:val="auto"/>
          <w:sz w:val="21"/>
          <w:szCs w:val="21"/>
          <w:highlight w:val="none"/>
          <w:lang w:val="en-US" w:eastAsia="zh-CN"/>
        </w:rPr>
      </w:pPr>
      <w:r>
        <w:rPr>
          <w:rStyle w:val="38"/>
          <w:rFonts w:ascii="宋体" w:hAnsi="宋体" w:eastAsia="宋体" w:cs="宋体"/>
          <w:color w:val="auto"/>
          <w:sz w:val="21"/>
          <w:szCs w:val="21"/>
          <w:highlight w:val="none"/>
        </w:rPr>
        <w:t xml:space="preserve">                       </w:t>
      </w:r>
      <w:r>
        <w:rPr>
          <w:rStyle w:val="38"/>
          <w:rFonts w:hint="eastAsia" w:ascii="宋体" w:hAnsi="宋体" w:cs="宋体"/>
          <w:color w:val="auto"/>
          <w:sz w:val="21"/>
          <w:szCs w:val="21"/>
          <w:highlight w:val="none"/>
          <w:lang w:val="en-US" w:eastAsia="zh-CN"/>
        </w:rPr>
        <w:t xml:space="preserve">                      </w:t>
      </w:r>
      <w:r>
        <w:rPr>
          <w:rStyle w:val="38"/>
          <w:rFonts w:ascii="宋体" w:hAnsi="宋体" w:eastAsia="宋体" w:cs="宋体"/>
          <w:color w:val="auto"/>
          <w:sz w:val="21"/>
          <w:szCs w:val="21"/>
          <w:highlight w:val="none"/>
        </w:rPr>
        <w:t>承诺单位：</w:t>
      </w:r>
    </w:p>
    <w:p w14:paraId="509C0693">
      <w:pPr>
        <w:keepNext w:val="0"/>
        <w:keepLines w:val="0"/>
        <w:pageBreakBefore w:val="0"/>
        <w:widowControl w:val="0"/>
        <w:numPr>
          <w:ilvl w:val="0"/>
          <w:numId w:val="0"/>
        </w:numPr>
        <w:kinsoku/>
        <w:wordWrap/>
        <w:overflowPunct/>
        <w:topLinePunct w:val="0"/>
        <w:autoSpaceDE/>
        <w:autoSpaceDN/>
        <w:bidi w:val="0"/>
        <w:adjustRightInd/>
        <w:spacing w:before="163" w:line="520" w:lineRule="exact"/>
        <w:textAlignment w:val="auto"/>
        <w:rPr>
          <w:rStyle w:val="38"/>
          <w:rFonts w:ascii="宋体" w:hAnsi="宋体" w:eastAsia="宋体" w:cs="宋体"/>
          <w:color w:val="auto"/>
          <w:sz w:val="21"/>
          <w:szCs w:val="21"/>
          <w:highlight w:val="none"/>
        </w:rPr>
        <w:sectPr>
          <w:headerReference r:id="rId7" w:type="default"/>
          <w:footerReference r:id="rId8" w:type="default"/>
          <w:pgSz w:w="11906" w:h="16838"/>
          <w:pgMar w:top="1984" w:right="1474" w:bottom="2098" w:left="1587" w:header="851" w:footer="992" w:gutter="0"/>
          <w:pgNumType w:fmt="numberInDash"/>
          <w:cols w:space="720" w:num="1"/>
          <w:docGrid w:type="lines" w:linePitch="326" w:charSpace="0"/>
        </w:sectPr>
      </w:pPr>
      <w:r>
        <w:rPr>
          <w:rStyle w:val="38"/>
          <w:rFonts w:ascii="宋体" w:hAnsi="宋体" w:eastAsia="宋体" w:cs="宋体"/>
          <w:color w:val="auto"/>
          <w:sz w:val="21"/>
          <w:szCs w:val="21"/>
          <w:highlight w:val="none"/>
        </w:rPr>
        <w:t xml:space="preserve">                                </w:t>
      </w:r>
      <w:r>
        <w:rPr>
          <w:rStyle w:val="38"/>
          <w:rFonts w:hint="eastAsia" w:ascii="宋体" w:hAnsi="宋体" w:cs="宋体"/>
          <w:color w:val="auto"/>
          <w:sz w:val="21"/>
          <w:szCs w:val="21"/>
          <w:highlight w:val="none"/>
          <w:lang w:val="en-US" w:eastAsia="zh-CN"/>
        </w:rPr>
        <w:t xml:space="preserve">           </w:t>
      </w:r>
      <w:r>
        <w:rPr>
          <w:rStyle w:val="38"/>
          <w:rFonts w:ascii="宋体" w:hAnsi="宋体" w:eastAsia="宋体" w:cs="宋体"/>
          <w:color w:val="auto"/>
          <w:sz w:val="21"/>
          <w:szCs w:val="21"/>
          <w:highlight w:val="none"/>
        </w:rPr>
        <w:t xml:space="preserve">  年     月     </w:t>
      </w:r>
    </w:p>
    <w:p w14:paraId="25D73374">
      <w:pPr>
        <w:adjustRightInd w:val="0"/>
        <w:snapToGrid w:val="0"/>
        <w:spacing w:before="161" w:beforeLines="50" w:line="360" w:lineRule="auto"/>
        <w:jc w:val="center"/>
        <w:outlineLvl w:val="1"/>
        <w:rPr>
          <w:rFonts w:ascii="黑体" w:hAnsi="宋体" w:eastAsia="黑体"/>
          <w:b/>
          <w:sz w:val="32"/>
          <w:szCs w:val="32"/>
          <w:highlight w:val="none"/>
        </w:rPr>
      </w:pPr>
      <w:r>
        <w:rPr>
          <w:rFonts w:hint="eastAsia" w:ascii="黑体" w:hAnsi="宋体" w:eastAsia="黑体"/>
          <w:b/>
          <w:sz w:val="32"/>
          <w:szCs w:val="32"/>
          <w:highlight w:val="none"/>
          <w:lang w:val="en-US" w:eastAsia="zh-CN"/>
        </w:rPr>
        <w:t>十二</w:t>
      </w:r>
      <w:r>
        <w:rPr>
          <w:rFonts w:hint="eastAsia" w:ascii="黑体" w:hAnsi="宋体" w:eastAsia="黑体"/>
          <w:b/>
          <w:sz w:val="32"/>
          <w:szCs w:val="32"/>
          <w:highlight w:val="none"/>
        </w:rPr>
        <w:t>、最后报价</w:t>
      </w:r>
    </w:p>
    <w:p w14:paraId="56900CFA">
      <w:pPr>
        <w:adjustRightInd w:val="0"/>
        <w:snapToGrid w:val="0"/>
        <w:ind w:left="-88" w:leftChars="-42"/>
        <w:rPr>
          <w:rFonts w:ascii="宋体" w:hAnsi="宋体"/>
          <w:szCs w:val="21"/>
          <w:highlight w:val="none"/>
        </w:rPr>
      </w:pPr>
    </w:p>
    <w:p w14:paraId="1DC1647A">
      <w:pPr>
        <w:adjustRightInd w:val="0"/>
        <w:snapToGrid w:val="0"/>
        <w:spacing w:line="360" w:lineRule="auto"/>
        <w:rPr>
          <w:rFonts w:ascii="宋体" w:hAnsi="宋体"/>
          <w:szCs w:val="21"/>
          <w:highlight w:val="none"/>
        </w:rPr>
      </w:pPr>
      <w:r>
        <w:rPr>
          <w:rFonts w:hint="eastAsia" w:ascii="宋体" w:hAnsi="宋体"/>
          <w:szCs w:val="21"/>
          <w:highlight w:val="none"/>
        </w:rPr>
        <w:t>说明：</w:t>
      </w:r>
    </w:p>
    <w:p w14:paraId="74A5D8FC">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1、最后报价按第二章磋商须知第30条规定提供，格式按附件9、附件9-1提供。</w:t>
      </w:r>
    </w:p>
    <w:p w14:paraId="13234292">
      <w:pPr>
        <w:ind w:firstLine="420" w:firstLineChars="200"/>
        <w:rPr>
          <w:rFonts w:ascii="宋体" w:hAnsi="宋体"/>
          <w:szCs w:val="21"/>
          <w:highlight w:val="none"/>
        </w:rPr>
      </w:pPr>
    </w:p>
    <w:p w14:paraId="09E410E7">
      <w:pPr>
        <w:adjustRightInd w:val="0"/>
        <w:snapToGrid w:val="0"/>
        <w:spacing w:line="360" w:lineRule="auto"/>
        <w:ind w:firstLine="316" w:firstLineChars="150"/>
        <w:rPr>
          <w:rFonts w:ascii="宋体" w:hAnsi="宋体" w:cs="宋体"/>
          <w:highlight w:val="none"/>
        </w:rPr>
      </w:pPr>
      <w:r>
        <w:rPr>
          <w:rFonts w:hint="eastAsia" w:ascii="宋体" w:hAnsi="宋体" w:cs="仿宋_GB2312"/>
          <w:b/>
          <w:szCs w:val="21"/>
          <w:highlight w:val="none"/>
        </w:rPr>
        <w:t>（</w:t>
      </w:r>
      <w:bookmarkStart w:id="130" w:name="OLE_LINK29"/>
      <w:r>
        <w:rPr>
          <w:rFonts w:hint="eastAsia" w:ascii="宋体" w:hAnsi="宋体" w:cs="仿宋_GB2312"/>
          <w:b/>
          <w:szCs w:val="21"/>
          <w:highlight w:val="none"/>
          <w:lang w:eastAsia="zh-CN"/>
        </w:rPr>
        <w:t>响应</w:t>
      </w:r>
      <w:r>
        <w:rPr>
          <w:rFonts w:hint="eastAsia" w:ascii="宋体" w:hAnsi="宋体" w:cs="仿宋_GB2312"/>
          <w:b/>
          <w:szCs w:val="21"/>
          <w:highlight w:val="none"/>
        </w:rPr>
        <w:t>单位须自行准备好最后报价文件（自行保管，不得与响应文件一起递交，不得封装在</w:t>
      </w:r>
      <w:r>
        <w:rPr>
          <w:rFonts w:hint="eastAsia" w:ascii="宋体" w:hAnsi="宋体" w:cs="仿宋_GB2312"/>
          <w:b/>
          <w:szCs w:val="21"/>
          <w:highlight w:val="none"/>
          <w:lang w:eastAsia="zh-CN"/>
        </w:rPr>
        <w:t>响应</w:t>
      </w:r>
      <w:r>
        <w:rPr>
          <w:rFonts w:hint="eastAsia" w:ascii="宋体" w:hAnsi="宋体" w:cs="仿宋_GB2312"/>
          <w:b/>
          <w:szCs w:val="21"/>
          <w:highlight w:val="none"/>
        </w:rPr>
        <w:t>文件中），进行最后报价时由法定代表人或其委托代理人填写并签字确认。</w:t>
      </w:r>
      <w:bookmarkEnd w:id="130"/>
      <w:r>
        <w:rPr>
          <w:rFonts w:hint="eastAsia" w:ascii="宋体" w:hAnsi="宋体" w:cs="仿宋_GB2312"/>
          <w:b/>
          <w:szCs w:val="21"/>
          <w:highlight w:val="none"/>
        </w:rPr>
        <w:t>）</w:t>
      </w:r>
    </w:p>
    <w:p w14:paraId="5A1A5A95">
      <w:pPr>
        <w:adjustRightInd w:val="0"/>
        <w:snapToGrid w:val="0"/>
        <w:spacing w:line="360" w:lineRule="auto"/>
        <w:ind w:firstLine="315" w:firstLineChars="150"/>
        <w:rPr>
          <w:rFonts w:ascii="宋体" w:hAnsi="宋体" w:cs="宋体"/>
          <w:color w:val="auto"/>
          <w:highlight w:val="none"/>
        </w:rPr>
      </w:pPr>
    </w:p>
    <w:p w14:paraId="69D8F9A9">
      <w:pPr>
        <w:rPr>
          <w:color w:val="auto"/>
          <w:highlight w:val="none"/>
        </w:rPr>
      </w:pPr>
    </w:p>
    <w:p w14:paraId="5612B4D3">
      <w:pPr>
        <w:adjustRightInd w:val="0"/>
        <w:snapToGrid w:val="0"/>
        <w:spacing w:line="360" w:lineRule="auto"/>
        <w:jc w:val="center"/>
        <w:rPr>
          <w:rFonts w:ascii="宋体" w:hAnsi="宋体"/>
          <w:color w:val="auto"/>
          <w:szCs w:val="21"/>
          <w:highlight w:val="none"/>
        </w:rPr>
      </w:pPr>
      <w:r>
        <w:rPr>
          <w:rFonts w:ascii="宋体" w:hAnsi="宋体"/>
          <w:color w:val="auto"/>
          <w:szCs w:val="21"/>
          <w:highlight w:val="none"/>
        </w:rPr>
        <w:t xml:space="preserve"> </w:t>
      </w:r>
    </w:p>
    <w:p w14:paraId="1196AD70">
      <w:pPr>
        <w:rPr>
          <w:color w:val="auto"/>
          <w:highlight w:val="none"/>
        </w:rPr>
      </w:pPr>
    </w:p>
    <w:p w14:paraId="057981D1">
      <w:pPr>
        <w:pStyle w:val="7"/>
        <w:ind w:left="421"/>
        <w:rPr>
          <w:rFonts w:ascii="宋体" w:hAnsi="宋体" w:cs="宋体"/>
          <w:color w:val="auto"/>
          <w:szCs w:val="21"/>
          <w:highlight w:val="none"/>
        </w:rPr>
      </w:pPr>
    </w:p>
    <w:p w14:paraId="5205CFE9">
      <w:pPr>
        <w:rPr>
          <w:color w:val="auto"/>
          <w:highlight w:val="none"/>
        </w:rPr>
      </w:pPr>
    </w:p>
    <w:p w14:paraId="04E15CCE">
      <w:pPr>
        <w:rPr>
          <w:color w:val="auto"/>
          <w:highlight w:val="none"/>
        </w:rPr>
      </w:pPr>
    </w:p>
    <w:p w14:paraId="5FD5FBF0">
      <w:pPr>
        <w:rPr>
          <w:color w:val="auto"/>
          <w:highlight w:val="none"/>
        </w:rPr>
      </w:pPr>
    </w:p>
    <w:p w14:paraId="66F91C9F"/>
    <w:sectPr>
      <w:headerReference r:id="rId11" w:type="first"/>
      <w:headerReference r:id="rId9" w:type="default"/>
      <w:footerReference r:id="rId12" w:type="default"/>
      <w:headerReference r:id="rId10" w:type="even"/>
      <w:footerReference r:id="rId13" w:type="even"/>
      <w:pgSz w:w="11906" w:h="16838"/>
      <w:pgMar w:top="1474" w:right="1474" w:bottom="232" w:left="1587" w:header="850"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汉仪书宋二KW">
    <w:altName w:val="宋体"/>
    <w:panose1 w:val="00020600040101010101"/>
    <w:charset w:val="86"/>
    <w:family w:val="auto"/>
    <w:pitch w:val="default"/>
    <w:sig w:usb0="00000000" w:usb1="00000000" w:usb2="00000016"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宋体-18030">
    <w:altName w:val="微软雅黑"/>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Tahoma">
    <w:panose1 w:val="020B0604030504040204"/>
    <w:charset w:val="00"/>
    <w:family w:val="auto"/>
    <w:pitch w:val="default"/>
    <w:sig w:usb0="E1002EFF" w:usb1="C000605B" w:usb2="00000029" w:usb3="00000000" w:csb0="200101FF" w:csb1="20280000"/>
  </w:font>
  <w:font w:name="MS Mincho">
    <w:altName w:val="Yu Gothic UI"/>
    <w:panose1 w:val="02020609040205080304"/>
    <w:charset w:val="80"/>
    <w:family w:val="modern"/>
    <w:pitch w:val="default"/>
    <w:sig w:usb0="00000000" w:usb1="00000000" w:usb2="00000012" w:usb3="00000000" w:csb0="4002009F" w:csb1="DFD70000"/>
  </w:font>
  <w:font w:name="Hiragino Sans">
    <w:altName w:val="Yu Gothic UI Light"/>
    <w:panose1 w:val="020B0300000000000000"/>
    <w:charset w:val="80"/>
    <w:family w:val="auto"/>
    <w:pitch w:val="default"/>
    <w:sig w:usb0="00000000" w:usb1="00000000" w:usb2="00000012" w:usb3="00000000" w:csb0="0002000D" w:csb1="00000000"/>
  </w:font>
  <w:font w:name="楷体_GB2312">
    <w:altName w:val="楷体"/>
    <w:panose1 w:val="02010609030101010101"/>
    <w:charset w:val="86"/>
    <w:family w:val="modern"/>
    <w:pitch w:val="default"/>
    <w:sig w:usb0="00000000" w:usb1="00000000" w:usb2="00000000" w:usb3="00000000" w:csb0="00040000" w:csb1="00000000"/>
  </w:font>
  <w:font w:name="汉仪楷体简">
    <w:altName w:val="宋体"/>
    <w:panose1 w:val="02010600000101010101"/>
    <w:charset w:val="86"/>
    <w:family w:val="auto"/>
    <w:pitch w:val="default"/>
    <w:sig w:usb0="00000000" w:usb1="00000000" w:usb2="00000002" w:usb3="00000000" w:csb0="00040000" w:csb1="0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Yu Gothic UI">
    <w:panose1 w:val="020B0500000000000000"/>
    <w:charset w:val="80"/>
    <w:family w:val="auto"/>
    <w:pitch w:val="default"/>
    <w:sig w:usb0="E00002FF" w:usb1="2AC7FDFF" w:usb2="00000016" w:usb3="00000000" w:csb0="2002009F" w:csb1="00000000"/>
  </w:font>
  <w:font w:name="楷体">
    <w:panose1 w:val="02010609060101010101"/>
    <w:charset w:val="86"/>
    <w:family w:val="auto"/>
    <w:pitch w:val="default"/>
    <w:sig w:usb0="800002BF" w:usb1="38CF7CFA" w:usb2="00000016" w:usb3="00000000" w:csb0="00040001" w:csb1="00000000"/>
  </w:font>
  <w:font w:name="Yu Gothic UI Light">
    <w:panose1 w:val="020B03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E96C0">
    <w:pPr>
      <w:pStyle w:val="14"/>
      <w:jc w:val="center"/>
    </w:pPr>
    <w:r>
      <w:fldChar w:fldCharType="begin"/>
    </w:r>
    <w:r>
      <w:instrText xml:space="preserve">PAGE   \* MERGEFORMAT</w:instrText>
    </w:r>
    <w:r>
      <w:fldChar w:fldCharType="separate"/>
    </w:r>
    <w:r>
      <w:rPr>
        <w:lang w:val="zh-CN"/>
      </w:rPr>
      <w:t>32</w:t>
    </w:r>
    <w:r>
      <w:fldChar w:fldCharType="end"/>
    </w:r>
  </w:p>
  <w:p w14:paraId="6909E02C">
    <w:pPr>
      <w:pStyle w:val="1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31E89">
    <w:pPr>
      <w:pStyle w:val="14"/>
      <w:framePr w:wrap="around" w:vAnchor="text" w:hAnchor="margin" w:xAlign="right" w:y="1"/>
      <w:rPr>
        <w:rStyle w:val="25"/>
      </w:rPr>
    </w:pPr>
    <w:r>
      <w:fldChar w:fldCharType="begin"/>
    </w:r>
    <w:r>
      <w:rPr>
        <w:rStyle w:val="25"/>
        <w:kern w:val="2"/>
        <w:sz w:val="21"/>
        <w:szCs w:val="24"/>
      </w:rPr>
      <w:instrText xml:space="preserve">PAGE  </w:instrText>
    </w:r>
    <w:r>
      <w:fldChar w:fldCharType="separate"/>
    </w:r>
    <w:r>
      <w:rPr>
        <w:rStyle w:val="25"/>
        <w:kern w:val="2"/>
        <w:sz w:val="21"/>
        <w:szCs w:val="24"/>
      </w:rPr>
      <w:t>29</w:t>
    </w:r>
    <w:r>
      <w:fldChar w:fldCharType="end"/>
    </w:r>
  </w:p>
  <w:p w14:paraId="0065B346">
    <w:pPr>
      <w:pStyle w:val="1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8AC9C">
    <w:pPr>
      <w:pStyle w:val="41"/>
      <w:numPr>
        <w:ilvl w:val="0"/>
        <w:numId w:val="0"/>
      </w:numPr>
      <w:tabs>
        <w:tab w:val="clear" w:pos="4153"/>
        <w:tab w:val="clear" w:pos="8306"/>
      </w:tabs>
      <w:spacing w:before="120"/>
      <w:ind w:firstLine="360"/>
      <w:jc w:val="center"/>
      <w:rPr>
        <w:rFonts w:hint="default" w:eastAsia="宋体"/>
        <w:lang w:val="en-US" w:eastAsia="zh-CN"/>
      </w:rPr>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4"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862437B">
                          <w:pPr>
                            <w:pStyle w:val="14"/>
                            <w:numPr>
                              <w:ilvl w:val="0"/>
                              <w:numId w:val="0"/>
                            </w:numPr>
                            <w:ind w:leftChars="200"/>
                          </w:pPr>
                          <w:r>
                            <w:fldChar w:fldCharType="begin"/>
                          </w:r>
                          <w:r>
                            <w:instrText xml:space="preserve"> PAGE  \* MERGEFORMAT </w:instrText>
                          </w:r>
                          <w:r>
                            <w:fldChar w:fldCharType="separate"/>
                          </w:r>
                          <w:r>
                            <w:t>8</w:t>
                          </w:r>
                          <w:r>
                            <w:fldChar w:fldCharType="end"/>
                          </w:r>
                        </w:p>
                      </w:txbxContent>
                    </wps:txbx>
                    <wps:bodyPr wrap="none" lIns="0" tIns="0" rIns="0" bIns="0" upright="0">
                      <a:spAutoFit/>
                    </wps:bodyPr>
                  </wps:wsp>
                </a:graphicData>
              </a:graphic>
            </wp:anchor>
          </w:drawing>
        </mc:Choice>
        <mc:Fallback>
          <w:pict>
            <v:rect id="文本框 4"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l1uVLQAAAABQEAAA8AAAAAAAAAAQAgAAAAIgAAAGRycy9kb3ducmV2LnhtbFBLAQIU&#10;ABQAAAAIAIdO4kDvD1BdwgEAAIcDAAAOAAAAAAAAAAEAIAAAAB8BAABkcnMvZTJvRG9jLnhtbFBL&#10;BQYAAAAABgAGAFkBAABTBQAAAAA=&#10;">
              <v:fill on="f" focussize="0,0"/>
              <v:stroke on="f"/>
              <v:imagedata o:title=""/>
              <o:lock v:ext="edit" aspectratio="f"/>
              <v:textbox inset="0mm,0mm,0mm,0mm" style="mso-fit-shape-to-text:t;">
                <w:txbxContent>
                  <w:p w14:paraId="6862437B">
                    <w:pPr>
                      <w:pStyle w:val="14"/>
                      <w:numPr>
                        <w:ilvl w:val="0"/>
                        <w:numId w:val="0"/>
                      </w:numPr>
                      <w:ind w:leftChars="200"/>
                    </w:pPr>
                    <w:r>
                      <w:fldChar w:fldCharType="begin"/>
                    </w:r>
                    <w:r>
                      <w:instrText xml:space="preserve"> PAGE  \* MERGEFORMAT </w:instrText>
                    </w:r>
                    <w:r>
                      <w:fldChar w:fldCharType="separate"/>
                    </w:r>
                    <w:r>
                      <w:t>8</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58430">
    <w:pPr>
      <w:pStyle w:val="14"/>
      <w:jc w:val="center"/>
    </w:pPr>
    <w:r>
      <w:fldChar w:fldCharType="begin"/>
    </w:r>
    <w:r>
      <w:instrText xml:space="preserve">PAGE   \* MERGEFORMAT</w:instrText>
    </w:r>
    <w:r>
      <w:fldChar w:fldCharType="separate"/>
    </w:r>
    <w:r>
      <w:rPr>
        <w:lang w:val="zh-CN"/>
      </w:rPr>
      <w:t>58</w:t>
    </w:r>
    <w:r>
      <w:fldChar w:fldCharType="end"/>
    </w:r>
  </w:p>
  <w:p w14:paraId="63DBC8B0">
    <w:pPr>
      <w:pStyle w:val="14"/>
      <w:ind w:right="360"/>
    </w:pPr>
  </w:p>
  <w:p w14:paraId="6C91766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FBFF6">
    <w:pPr>
      <w:pStyle w:val="14"/>
      <w:framePr w:wrap="around" w:vAnchor="text" w:hAnchor="margin" w:xAlign="right" w:y="1"/>
      <w:rPr>
        <w:rStyle w:val="25"/>
      </w:rPr>
    </w:pPr>
    <w:r>
      <w:fldChar w:fldCharType="begin"/>
    </w:r>
    <w:r>
      <w:rPr>
        <w:rStyle w:val="25"/>
      </w:rPr>
      <w:instrText xml:space="preserve">PAGE  </w:instrText>
    </w:r>
    <w:r>
      <w:fldChar w:fldCharType="end"/>
    </w:r>
  </w:p>
  <w:p w14:paraId="74BEEAEB">
    <w:pPr>
      <w:pStyle w:val="14"/>
      <w:ind w:right="360"/>
    </w:pPr>
  </w:p>
  <w:p w14:paraId="08CDF51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89660">
    <w:pPr>
      <w:pStyle w:val="15"/>
      <w:pBdr>
        <w:bottom w:val="single" w:color="auto" w:sz="4" w:space="0"/>
      </w:pBdr>
      <w:jc w:val="left"/>
      <w:rPr>
        <w:sz w:val="21"/>
        <w:szCs w:val="21"/>
      </w:rPr>
    </w:pPr>
    <w:r>
      <w:rPr>
        <w:rFonts w:hint="eastAsia" w:ascii="宋体" w:hAnsi="宋体" w:cs="宋体"/>
        <w:sz w:val="21"/>
        <w:szCs w:val="21"/>
        <w:lang w:eastAsia="zh-CN"/>
      </w:rPr>
      <w:t>2026年湖南省国省干线公路重点桥隧监测项目</w:t>
    </w:r>
    <w:r>
      <w:rPr>
        <w:rFonts w:hint="eastAsia" w:ascii="宋体" w:hAnsi="宋体" w:cs="宋体"/>
        <w:sz w:val="21"/>
        <w:szCs w:val="21"/>
      </w:rPr>
      <w:t xml:space="preserve">                        竞争性磋商文件                                            </w:t>
    </w:r>
    <w:r>
      <w:rPr>
        <w:rFonts w:hint="eastAsia"/>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256BE">
    <w:pPr>
      <w:pStyle w:val="15"/>
      <w:jc w:val="both"/>
      <w:rPr>
        <w:rFonts w:hint="eastAsia"/>
        <w:lang w:eastAsia="zh-CN"/>
      </w:rPr>
    </w:pPr>
    <w:r>
      <w:rPr>
        <w:rFonts w:hint="eastAsia" w:ascii="宋体" w:hAnsi="宋体" w:cs="宋体"/>
        <w:sz w:val="21"/>
        <w:szCs w:val="21"/>
        <w:lang w:eastAsia="zh-CN"/>
      </w:rPr>
      <w:t xml:space="preserve">2026年度公路应急演练项目   </w:t>
    </w:r>
    <w:r>
      <w:rPr>
        <w:rFonts w:hint="eastAsia" w:ascii="宋体" w:hAnsi="宋体" w:cs="宋体"/>
        <w:sz w:val="21"/>
        <w:szCs w:val="21"/>
        <w:lang w:val="en-US" w:eastAsia="zh-CN"/>
      </w:rPr>
      <w:t xml:space="preserve">                         </w:t>
    </w:r>
    <w:r>
      <w:rPr>
        <w:rFonts w:hint="eastAsia" w:ascii="宋体" w:hAnsi="宋体" w:cs="宋体"/>
        <w:sz w:val="21"/>
        <w:szCs w:val="21"/>
      </w:rPr>
      <w:t>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4C161">
    <w:pPr>
      <w:pStyle w:val="39"/>
      <w:numPr>
        <w:ilvl w:val="3"/>
        <w:numId w:val="0"/>
      </w:numPr>
      <w:pBdr>
        <w:bottom w:val="none" w:color="auto" w:sz="0" w:space="0"/>
      </w:pBdr>
      <w:bidi w:val="0"/>
      <w:rPr>
        <w:rFonts w:hint="default"/>
        <w:lang w:val="en-US"/>
      </w:rPr>
    </w:pPr>
    <w:r>
      <w:rPr>
        <w:sz w:val="28"/>
      </w:rPr>
      <mc:AlternateContent>
        <mc:Choice Requires="wps">
          <w:drawing>
            <wp:anchor distT="0" distB="0" distL="0" distR="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410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BC63638">
                          <w:pPr>
                            <w:numPr>
                              <w:ilvl w:val="0"/>
                              <w:numId w:val="0"/>
                            </w:numPr>
                            <w:ind w:leftChars="200"/>
                          </w:pPr>
                        </w:p>
                      </w:txbxContent>
                    </wps:txbx>
                    <wps:bodyPr wrap="none" lIns="0" tIns="0" rIns="0" bIns="0" upright="0">
                      <a:spAutoFit/>
                    </wps:bodyPr>
                  </wps:wsp>
                </a:graphicData>
              </a:graphic>
            </wp:anchor>
          </w:drawing>
        </mc:Choice>
        <mc:Fallback>
          <w:pict>
            <v:rect id="文本框 1" o:spid="_x0000_s1026" o:spt="1"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l1uVLQAAAABQEAAA8AAAAAAAAAAQAgAAAAIgAAAGRycy9kb3ducmV2LnhtbFBLAQIU&#10;ABQAAAAIAIdO4kCmP1QbwgEAAIcDAAAOAAAAAAAAAAEAIAAAAB8BAABkcnMvZTJvRG9jLnhtbFBL&#10;BQYAAAAABgAGAFkBAABTBQAAAAA=&#10;">
              <v:fill on="f" focussize="0,0"/>
              <v:stroke on="f"/>
              <v:imagedata o:title=""/>
              <o:lock v:ext="edit" aspectratio="f"/>
              <v:textbox inset="0mm,0mm,0mm,0mm" style="mso-fit-shape-to-text:t;">
                <w:txbxContent>
                  <w:p w14:paraId="0BC63638">
                    <w:pPr>
                      <w:numPr>
                        <w:ilvl w:val="0"/>
                        <w:numId w:val="0"/>
                      </w:numPr>
                      <w:ind w:leftChars="200"/>
                    </w:pPr>
                  </w:p>
                </w:txbxContent>
              </v:textbox>
            </v:rect>
          </w:pict>
        </mc:Fallback>
      </mc:AlternateContent>
    </w:r>
    <w:r>
      <w:rPr>
        <w:sz w:val="28"/>
      </w:rPr>
      <mc:AlternateContent>
        <mc:Choice Requires="wps">
          <w:drawing>
            <wp:anchor distT="0" distB="0" distL="0" distR="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4102"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D9CEA55">
                          <w:pPr>
                            <w:numPr>
                              <w:ilvl w:val="0"/>
                              <w:numId w:val="0"/>
                            </w:numPr>
                          </w:pPr>
                        </w:p>
                      </w:txbxContent>
                    </wps:txbx>
                    <wps:bodyPr wrap="none" lIns="0" tIns="0" rIns="0" bIns="0" upright="0">
                      <a:spAutoFit/>
                    </wps:bodyPr>
                  </wps:wsp>
                </a:graphicData>
              </a:graphic>
            </wp:anchor>
          </w:drawing>
        </mc:Choice>
        <mc:Fallback>
          <w:pict>
            <v:rect id="文本框 2" o:spid="_x0000_s1026" o:spt="1"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l1uVLQAAAABQEAAA8AAAAAAAAAAQAgAAAAIgAAAGRycy9kb3ducmV2LnhtbFBLAQIU&#10;ABQAAAAIAIdO4kBe0niQwgEAAIcDAAAOAAAAAAAAAAEAIAAAAB8BAABkcnMvZTJvRG9jLnhtbFBL&#10;BQYAAAAABgAGAFkBAABTBQAAAAA=&#10;">
              <v:fill on="f" focussize="0,0"/>
              <v:stroke on="f"/>
              <v:imagedata o:title=""/>
              <o:lock v:ext="edit" aspectratio="f"/>
              <v:textbox inset="0mm,0mm,0mm,0mm" style="mso-fit-shape-to-text:t;">
                <w:txbxContent>
                  <w:p w14:paraId="4D9CEA55">
                    <w:pPr>
                      <w:numPr>
                        <w:ilvl w:val="0"/>
                        <w:numId w:val="0"/>
                      </w:numPr>
                    </w:pPr>
                  </w:p>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margin">
                <wp:posOffset>0</wp:posOffset>
              </wp:positionH>
              <wp:positionV relativeFrom="paragraph">
                <wp:posOffset>523240</wp:posOffset>
              </wp:positionV>
              <wp:extent cx="1476375" cy="1269365"/>
              <wp:effectExtent l="0" t="0" r="0" b="0"/>
              <wp:wrapNone/>
              <wp:docPr id="4103" name="文本框 3"/>
              <wp:cNvGraphicFramePr/>
              <a:graphic xmlns:a="http://schemas.openxmlformats.org/drawingml/2006/main">
                <a:graphicData uri="http://schemas.microsoft.com/office/word/2010/wordprocessingShape">
                  <wps:wsp>
                    <wps:cNvSpPr/>
                    <wps:spPr>
                      <a:xfrm>
                        <a:off x="0" y="0"/>
                        <a:ext cx="1476375" cy="1269365"/>
                      </a:xfrm>
                      <a:prstGeom prst="rect">
                        <a:avLst/>
                      </a:prstGeom>
                      <a:ln>
                        <a:noFill/>
                      </a:ln>
                    </wps:spPr>
                    <wps:txbx>
                      <w:txbxContent>
                        <w:p w14:paraId="10AD2E17">
                          <w:pPr>
                            <w:pStyle w:val="39"/>
                            <w:numPr>
                              <w:ilvl w:val="3"/>
                              <w:numId w:val="0"/>
                            </w:numPr>
                            <w:bidi w:val="0"/>
                            <w:rPr>
                              <w:rFonts w:hint="default"/>
                              <w:lang w:val="en-US" w:eastAsia="zh-CN"/>
                            </w:rPr>
                          </w:pPr>
                        </w:p>
                      </w:txbxContent>
                    </wps:txbx>
                    <wps:bodyPr lIns="0" tIns="0" rIns="0" bIns="0" upright="0"/>
                  </wps:wsp>
                </a:graphicData>
              </a:graphic>
            </wp:anchor>
          </w:drawing>
        </mc:Choice>
        <mc:Fallback>
          <w:pict>
            <v:rect id="文本框 3" o:spid="_x0000_s1026" o:spt="1" style="position:absolute;left:0pt;margin-left:0pt;margin-top:41.2pt;height:99.95pt;width:116.25pt;mso-position-horizontal-relative:margin;z-index:251659264;mso-width-relative:page;mso-height-relative:page;" filled="f" stroked="f" coordsize="21600,21600" o:gfxdata="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zrcO62AAAAAcBAAAPAAAAAAAAAAEAIAAAACIAAABkcnMvZG93bnJldi54bWxQSwECFAAUAAAA&#10;CACHTuJA7DRs8rUBAABhAwAADgAAAAAAAAABACAAAAAnAQAAZHJzL2Uyb0RvYy54bWxQSwUGAAAA&#10;AAYABgBZAQAATgUAAAAA&#10;">
              <v:fill on="f" focussize="0,0"/>
              <v:stroke on="f"/>
              <v:imagedata o:title=""/>
              <o:lock v:ext="edit" aspectratio="f"/>
              <v:textbox inset="0mm,0mm,0mm,0mm">
                <w:txbxContent>
                  <w:p w14:paraId="10AD2E17">
                    <w:pPr>
                      <w:pStyle w:val="39"/>
                      <w:numPr>
                        <w:ilvl w:val="3"/>
                        <w:numId w:val="0"/>
                      </w:numPr>
                      <w:bidi w:val="0"/>
                      <w:rPr>
                        <w:rFonts w:hint="default"/>
                        <w:lang w:val="en-US" w:eastAsia="zh-CN"/>
                      </w:rPr>
                    </w:pPr>
                  </w:p>
                </w:txbxContent>
              </v:textbox>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5C6B6">
    <w:pPr>
      <w:pStyle w:val="15"/>
      <w:rPr>
        <w:rFonts w:ascii="宋体" w:hAnsi="宋体" w:cs="宋体"/>
        <w:sz w:val="21"/>
        <w:szCs w:val="21"/>
      </w:rPr>
    </w:pPr>
    <w:r>
      <w:rPr>
        <w:rFonts w:hint="eastAsia" w:ascii="宋体" w:hAnsi="宋体" w:cs="宋体"/>
        <w:sz w:val="21"/>
        <w:szCs w:val="21"/>
        <w:lang w:eastAsia="zh-CN"/>
      </w:rPr>
      <w:t>2026年湖南省国省干线公路重点桥隧监测项目</w:t>
    </w:r>
    <w:r>
      <w:rPr>
        <w:rFonts w:hint="eastAsia" w:ascii="宋体" w:hAnsi="宋体" w:cs="宋体"/>
        <w:sz w:val="21"/>
        <w:szCs w:val="21"/>
      </w:rPr>
      <w:t xml:space="preserve">                            竞争性磋商文件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14B0C">
    <w:pPr>
      <w:pStyle w:val="15"/>
    </w:pPr>
  </w:p>
  <w:p w14:paraId="0A7FB345"/>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B6816">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0"/>
      <w:numFmt w:val="chineseCounting"/>
      <w:suff w:val="nothing"/>
      <w:lvlText w:val="%1、"/>
      <w:lvlJc w:val="left"/>
      <w:rPr>
        <w:rFonts w:hint="eastAsia"/>
      </w:rPr>
    </w:lvl>
  </w:abstractNum>
  <w:abstractNum w:abstractNumId="1">
    <w:nsid w:val="00000002"/>
    <w:multiLevelType w:val="singleLevel"/>
    <w:tmpl w:val="00000002"/>
    <w:lvl w:ilvl="0" w:tentative="0">
      <w:start w:val="6"/>
      <w:numFmt w:val="chineseCounting"/>
      <w:suff w:val="nothing"/>
      <w:lvlText w:val="%1、"/>
      <w:lvlJc w:val="left"/>
      <w:rPr>
        <w:rFonts w:hint="eastAsia"/>
      </w:rPr>
    </w:lvl>
  </w:abstractNum>
  <w:abstractNum w:abstractNumId="2">
    <w:nsid w:val="00000003"/>
    <w:multiLevelType w:val="multilevel"/>
    <w:tmpl w:val="00000003"/>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0053208E"/>
    <w:multiLevelType w:val="multilevel"/>
    <w:tmpl w:val="0053208E"/>
    <w:lvl w:ilvl="0" w:tentative="0">
      <w:start w:val="1"/>
      <w:numFmt w:val="decimal"/>
      <w:suff w:val="space"/>
      <w:lvlText w:val="%1"/>
      <w:lvlJc w:val="left"/>
      <w:pPr>
        <w:ind w:left="425" w:hanging="425"/>
      </w:pPr>
      <w:rPr>
        <w:rFonts w:hint="eastAsia"/>
      </w:rPr>
    </w:lvl>
    <w:lvl w:ilvl="1" w:tentative="0">
      <w:start w:val="1"/>
      <w:numFmt w:val="decimal"/>
      <w:suff w:val="space"/>
      <w:lvlText w:val="%1.%2"/>
      <w:lvlJc w:val="left"/>
      <w:pPr>
        <w:tabs>
          <w:tab w:val="left" w:pos="0"/>
        </w:tabs>
        <w:ind w:left="425" w:hanging="425"/>
      </w:pPr>
      <w:rPr>
        <w:rFonts w:ascii="宋体" w:hAnsi="宋体" w:eastAsia="宋体"/>
      </w:rPr>
    </w:lvl>
    <w:lvl w:ilvl="2" w:tentative="0">
      <w:start w:val="1"/>
      <w:numFmt w:val="decimal"/>
      <w:suff w:val="space"/>
      <w:lvlText w:val="%1.%2.%3"/>
      <w:lvlJc w:val="left"/>
      <w:pPr>
        <w:ind w:left="852" w:hanging="426"/>
      </w:pPr>
      <w:rPr>
        <w:rFonts w:ascii="宋体" w:hAnsi="宋体" w:eastAsia="宋体"/>
      </w:rPr>
    </w:lvl>
    <w:lvl w:ilvl="3" w:tentative="0">
      <w:start w:val="1"/>
      <w:numFmt w:val="decimal"/>
      <w:pStyle w:val="39"/>
      <w:suff w:val="space"/>
      <w:lvlText w:val="%1.%2.%3.%4"/>
      <w:lvlJc w:val="left"/>
      <w:pPr>
        <w:ind w:left="851" w:hanging="426"/>
      </w:pPr>
      <w:rPr>
        <w:rFonts w:ascii="宋体" w:hAnsi="宋体" w:eastAsia="宋体"/>
      </w:rPr>
    </w:lvl>
    <w:lvl w:ilvl="4" w:tentative="0">
      <w:start w:val="1"/>
      <w:numFmt w:val="decimal"/>
      <w:suff w:val="space"/>
      <w:lvlText w:val="%1.%2.%3.%4.%5"/>
      <w:lvlJc w:val="left"/>
      <w:pPr>
        <w:ind w:left="851" w:hanging="426"/>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6CB39072"/>
    <w:multiLevelType w:val="singleLevel"/>
    <w:tmpl w:val="6CB39072"/>
    <w:lvl w:ilvl="0" w:tentative="0">
      <w:start w:val="1"/>
      <w:numFmt w:val="decimal"/>
      <w:suff w:val="nothing"/>
      <w:lvlText w:val="（%1）"/>
      <w:lvlJc w:val="left"/>
    </w:lvl>
  </w:abstractNum>
  <w:abstractNum w:abstractNumId="5">
    <w:nsid w:val="7C9958A4"/>
    <w:multiLevelType w:val="singleLevel"/>
    <w:tmpl w:val="7C9958A4"/>
    <w:lvl w:ilvl="0" w:tentative="0">
      <w:start w:val="1"/>
      <w:numFmt w:val="decimal"/>
      <w:suff w:val="nothing"/>
      <w:lvlText w:val="（%1）"/>
      <w:lvlJc w:val="left"/>
    </w:lvl>
  </w:abstractNum>
  <w:abstractNum w:abstractNumId="6">
    <w:nsid w:val="7C9958A6"/>
    <w:multiLevelType w:val="multilevel"/>
    <w:tmpl w:val="7C9958A6"/>
    <w:lvl w:ilvl="0" w:tentative="0">
      <w:start w:val="2"/>
      <w:numFmt w:val="bullet"/>
      <w:lvlText w:val="□"/>
      <w:lvlJc w:val="left"/>
      <w:pPr>
        <w:ind w:left="360" w:hanging="360"/>
      </w:pPr>
      <w:rPr>
        <w:rFonts w:hint="eastAsia" w:ascii="宋体" w:hAnsi="宋体" w:eastAsia="宋体" w:cs="宋体"/>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3"/>
  </w:num>
  <w:num w:numId="2">
    <w:abstractNumId w:val="5"/>
  </w:num>
  <w:num w:numId="3">
    <w:abstractNumId w:val="4"/>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wNzk3ZDA5ZjVkYzYyZTM0YjYyNDJiZDQ0MjQxZTIifQ=="/>
  </w:docVars>
  <w:rsids>
    <w:rsidRoot w:val="000B5D81"/>
    <w:rsid w:val="000B5D81"/>
    <w:rsid w:val="000D2FF7"/>
    <w:rsid w:val="00176805"/>
    <w:rsid w:val="006B3BB4"/>
    <w:rsid w:val="00741383"/>
    <w:rsid w:val="009E7FB0"/>
    <w:rsid w:val="00C85F20"/>
    <w:rsid w:val="00F06D0C"/>
    <w:rsid w:val="021A3045"/>
    <w:rsid w:val="026E691A"/>
    <w:rsid w:val="029B1C19"/>
    <w:rsid w:val="05A9690F"/>
    <w:rsid w:val="067D65F3"/>
    <w:rsid w:val="06D12BAD"/>
    <w:rsid w:val="07701B27"/>
    <w:rsid w:val="07E65972"/>
    <w:rsid w:val="086023FE"/>
    <w:rsid w:val="0AC736EC"/>
    <w:rsid w:val="0B016BFE"/>
    <w:rsid w:val="0D2A3ABE"/>
    <w:rsid w:val="0E377879"/>
    <w:rsid w:val="0ECF2FA1"/>
    <w:rsid w:val="0F751B27"/>
    <w:rsid w:val="0FAFD095"/>
    <w:rsid w:val="11052878"/>
    <w:rsid w:val="11843930"/>
    <w:rsid w:val="127B7C1A"/>
    <w:rsid w:val="13392385"/>
    <w:rsid w:val="134536CA"/>
    <w:rsid w:val="15412713"/>
    <w:rsid w:val="15420546"/>
    <w:rsid w:val="157B6031"/>
    <w:rsid w:val="171329AE"/>
    <w:rsid w:val="173C0FBE"/>
    <w:rsid w:val="19774DF5"/>
    <w:rsid w:val="19F3E92F"/>
    <w:rsid w:val="1A677CD4"/>
    <w:rsid w:val="1A86164C"/>
    <w:rsid w:val="1ED8659D"/>
    <w:rsid w:val="1FDC3F0E"/>
    <w:rsid w:val="204131A1"/>
    <w:rsid w:val="21143EF0"/>
    <w:rsid w:val="231C6373"/>
    <w:rsid w:val="24695386"/>
    <w:rsid w:val="251F40F9"/>
    <w:rsid w:val="25496C5F"/>
    <w:rsid w:val="25C75C7C"/>
    <w:rsid w:val="26CC4353"/>
    <w:rsid w:val="29B16019"/>
    <w:rsid w:val="2CAE1881"/>
    <w:rsid w:val="2D4C49AE"/>
    <w:rsid w:val="2FCEBC08"/>
    <w:rsid w:val="31DB7595"/>
    <w:rsid w:val="31E570C2"/>
    <w:rsid w:val="328166F6"/>
    <w:rsid w:val="329037EC"/>
    <w:rsid w:val="33F24A86"/>
    <w:rsid w:val="35A41DB0"/>
    <w:rsid w:val="35E722C4"/>
    <w:rsid w:val="365E7C0A"/>
    <w:rsid w:val="36742126"/>
    <w:rsid w:val="367EF975"/>
    <w:rsid w:val="36A851F2"/>
    <w:rsid w:val="36AB24AD"/>
    <w:rsid w:val="36C941C4"/>
    <w:rsid w:val="37CB3506"/>
    <w:rsid w:val="38F730F2"/>
    <w:rsid w:val="39077559"/>
    <w:rsid w:val="3A717727"/>
    <w:rsid w:val="3B2319C9"/>
    <w:rsid w:val="3D7F1203"/>
    <w:rsid w:val="3DD67217"/>
    <w:rsid w:val="3DF8538F"/>
    <w:rsid w:val="3E7C0706"/>
    <w:rsid w:val="3E93422E"/>
    <w:rsid w:val="3F196BB0"/>
    <w:rsid w:val="3FDD29AC"/>
    <w:rsid w:val="42240501"/>
    <w:rsid w:val="44692680"/>
    <w:rsid w:val="446E31E5"/>
    <w:rsid w:val="44CE233F"/>
    <w:rsid w:val="45FFE3ED"/>
    <w:rsid w:val="486814F4"/>
    <w:rsid w:val="48DF071A"/>
    <w:rsid w:val="490D0DA8"/>
    <w:rsid w:val="4AEF07EE"/>
    <w:rsid w:val="4B831AED"/>
    <w:rsid w:val="4ED7625B"/>
    <w:rsid w:val="50EF7B0B"/>
    <w:rsid w:val="51281690"/>
    <w:rsid w:val="51A27694"/>
    <w:rsid w:val="525555BB"/>
    <w:rsid w:val="52660AF6"/>
    <w:rsid w:val="53723CD6"/>
    <w:rsid w:val="53DC2716"/>
    <w:rsid w:val="540E2DA4"/>
    <w:rsid w:val="5537806B"/>
    <w:rsid w:val="55BA5873"/>
    <w:rsid w:val="56862D5C"/>
    <w:rsid w:val="57DEA545"/>
    <w:rsid w:val="57FF2E99"/>
    <w:rsid w:val="586E2433"/>
    <w:rsid w:val="588427C3"/>
    <w:rsid w:val="59934492"/>
    <w:rsid w:val="5CDD77D2"/>
    <w:rsid w:val="5DFE2E6E"/>
    <w:rsid w:val="5EB553C1"/>
    <w:rsid w:val="5ED014C1"/>
    <w:rsid w:val="5F77649C"/>
    <w:rsid w:val="5FB72ED3"/>
    <w:rsid w:val="5FCACC1E"/>
    <w:rsid w:val="5FD3593C"/>
    <w:rsid w:val="5FF54DB2"/>
    <w:rsid w:val="5FFF3471"/>
    <w:rsid w:val="62173611"/>
    <w:rsid w:val="63A16A99"/>
    <w:rsid w:val="63BE0206"/>
    <w:rsid w:val="65197E07"/>
    <w:rsid w:val="651F792F"/>
    <w:rsid w:val="656A066E"/>
    <w:rsid w:val="656E29F6"/>
    <w:rsid w:val="662008AA"/>
    <w:rsid w:val="68F640D4"/>
    <w:rsid w:val="693B0B84"/>
    <w:rsid w:val="69536ACF"/>
    <w:rsid w:val="69B43B7F"/>
    <w:rsid w:val="6A01397E"/>
    <w:rsid w:val="6ADF6E0B"/>
    <w:rsid w:val="6B53591F"/>
    <w:rsid w:val="6BFD235D"/>
    <w:rsid w:val="6C4E0DA5"/>
    <w:rsid w:val="6F7F6EBB"/>
    <w:rsid w:val="6FFC0485"/>
    <w:rsid w:val="700D71E2"/>
    <w:rsid w:val="70186660"/>
    <w:rsid w:val="70595FE8"/>
    <w:rsid w:val="71BF4918"/>
    <w:rsid w:val="71F38A0F"/>
    <w:rsid w:val="73FF798C"/>
    <w:rsid w:val="75630D65"/>
    <w:rsid w:val="75F570E6"/>
    <w:rsid w:val="75FFE698"/>
    <w:rsid w:val="76D3BD45"/>
    <w:rsid w:val="77EB3293"/>
    <w:rsid w:val="792743E7"/>
    <w:rsid w:val="79392B5B"/>
    <w:rsid w:val="7B297020"/>
    <w:rsid w:val="7B2E5971"/>
    <w:rsid w:val="7BB340C8"/>
    <w:rsid w:val="7C321F43"/>
    <w:rsid w:val="7C5FEB7F"/>
    <w:rsid w:val="7CAA6089"/>
    <w:rsid w:val="7CC85951"/>
    <w:rsid w:val="7D474522"/>
    <w:rsid w:val="7EF73472"/>
    <w:rsid w:val="7F7EDA94"/>
    <w:rsid w:val="7FDF9A29"/>
    <w:rsid w:val="7FEB3530"/>
    <w:rsid w:val="7FFBDF8C"/>
    <w:rsid w:val="7FFFEF14"/>
    <w:rsid w:val="91AFE544"/>
    <w:rsid w:val="9A9D57B7"/>
    <w:rsid w:val="AFDD7351"/>
    <w:rsid w:val="AFED0C36"/>
    <w:rsid w:val="AFFF0BBE"/>
    <w:rsid w:val="B77D7A0B"/>
    <w:rsid w:val="BF2E41E7"/>
    <w:rsid w:val="BF7FAA50"/>
    <w:rsid w:val="CFACB713"/>
    <w:rsid w:val="CFDB3056"/>
    <w:rsid w:val="DE9DC058"/>
    <w:rsid w:val="DFFB7078"/>
    <w:rsid w:val="E6FD3305"/>
    <w:rsid w:val="F39716DC"/>
    <w:rsid w:val="F5F4ED01"/>
    <w:rsid w:val="F92F9FAA"/>
    <w:rsid w:val="F96F677A"/>
    <w:rsid w:val="F97E8CAE"/>
    <w:rsid w:val="FB7FB130"/>
    <w:rsid w:val="FCBEBD45"/>
    <w:rsid w:val="FD8FE951"/>
    <w:rsid w:val="FDBF9238"/>
    <w:rsid w:val="FEFE3C26"/>
    <w:rsid w:val="FEFECD8B"/>
    <w:rsid w:val="FF5EF1E9"/>
    <w:rsid w:val="FF9FB5F2"/>
    <w:rsid w:val="FFFD25B8"/>
    <w:rsid w:val="FFFF9189"/>
    <w:rsid w:val="FFFFD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5"/>
    <w:basedOn w:val="1"/>
    <w:next w:val="1"/>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3">
    <w:name w:val="heading 7"/>
    <w:basedOn w:val="1"/>
    <w:next w:val="1"/>
    <w:qFormat/>
    <w:uiPriority w:val="0"/>
    <w:pPr>
      <w:keepNext/>
      <w:keepLines/>
      <w:adjustRightInd w:val="0"/>
      <w:spacing w:before="240" w:after="64" w:line="320" w:lineRule="atLeast"/>
      <w:jc w:val="left"/>
      <w:textAlignment w:val="baseline"/>
      <w:outlineLvl w:val="6"/>
    </w:pPr>
    <w:rPr>
      <w:b/>
      <w:bCs/>
      <w:kern w:val="0"/>
      <w:sz w:val="24"/>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6">
    <w:name w:val="annotation text"/>
    <w:basedOn w:val="1"/>
    <w:qFormat/>
    <w:uiPriority w:val="0"/>
    <w:pPr>
      <w:jc w:val="left"/>
    </w:pPr>
  </w:style>
  <w:style w:type="paragraph" w:styleId="7">
    <w:name w:val="Body Text"/>
    <w:basedOn w:val="1"/>
    <w:next w:val="5"/>
    <w:qFormat/>
    <w:uiPriority w:val="99"/>
    <w:pPr>
      <w:spacing w:after="120"/>
    </w:pPr>
  </w:style>
  <w:style w:type="paragraph" w:styleId="8">
    <w:name w:val="Body Text Indent"/>
    <w:basedOn w:val="1"/>
    <w:next w:val="9"/>
    <w:qFormat/>
    <w:uiPriority w:val="0"/>
    <w:pPr>
      <w:spacing w:after="120"/>
      <w:ind w:left="420" w:leftChars="200"/>
    </w:pPr>
  </w:style>
  <w:style w:type="paragraph" w:styleId="9">
    <w:name w:val="Body Text Indent 2"/>
    <w:basedOn w:val="1"/>
    <w:next w:val="1"/>
    <w:qFormat/>
    <w:uiPriority w:val="0"/>
    <w:pPr>
      <w:spacing w:after="120" w:line="480" w:lineRule="auto"/>
      <w:ind w:left="420" w:leftChars="200"/>
    </w:pPr>
  </w:style>
  <w:style w:type="paragraph" w:styleId="10">
    <w:name w:val="toc 5"/>
    <w:basedOn w:val="1"/>
    <w:next w:val="1"/>
    <w:qFormat/>
    <w:uiPriority w:val="0"/>
    <w:pPr>
      <w:ind w:left="1680" w:leftChars="800"/>
    </w:pPr>
    <w:rPr>
      <w:rFonts w:ascii="Calibri" w:hAnsi="Calibri"/>
      <w:szCs w:val="22"/>
    </w:rPr>
  </w:style>
  <w:style w:type="paragraph" w:styleId="11">
    <w:name w:val="toc 3"/>
    <w:basedOn w:val="1"/>
    <w:next w:val="1"/>
    <w:qFormat/>
    <w:uiPriority w:val="0"/>
    <w:pPr>
      <w:ind w:left="840" w:leftChars="400"/>
    </w:pPr>
  </w:style>
  <w:style w:type="paragraph" w:styleId="12">
    <w:name w:val="Plain Text"/>
    <w:basedOn w:val="1"/>
    <w:qFormat/>
    <w:uiPriority w:val="0"/>
    <w:rPr>
      <w:rFonts w:ascii="宋体" w:hAnsi="Courier New"/>
      <w:kern w:val="0"/>
      <w:sz w:val="20"/>
      <w:szCs w:val="21"/>
    </w:rPr>
  </w:style>
  <w:style w:type="paragraph" w:styleId="13">
    <w:name w:val="Balloon Text"/>
    <w:basedOn w:val="1"/>
    <w:link w:val="48"/>
    <w:qFormat/>
    <w:uiPriority w:val="0"/>
    <w:rPr>
      <w:sz w:val="18"/>
      <w:szCs w:val="18"/>
    </w:rPr>
  </w:style>
  <w:style w:type="paragraph" w:styleId="14">
    <w:name w:val="footer"/>
    <w:basedOn w:val="1"/>
    <w:qFormat/>
    <w:uiPriority w:val="0"/>
    <w:pPr>
      <w:tabs>
        <w:tab w:val="center" w:pos="4153"/>
        <w:tab w:val="right" w:pos="8306"/>
      </w:tabs>
      <w:snapToGrid w:val="0"/>
      <w:jc w:val="left"/>
    </w:pPr>
    <w:rPr>
      <w:kern w:val="0"/>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0">
    <w:name w:val="Body Text First Indent 2"/>
    <w:basedOn w:val="8"/>
    <w:next w:val="4"/>
    <w:qFormat/>
    <w:uiPriority w:val="99"/>
    <w:pPr>
      <w:autoSpaceDE w:val="0"/>
      <w:autoSpaceDN w:val="0"/>
      <w:adjustRightInd w:val="0"/>
      <w:jc w:val="left"/>
    </w:pPr>
    <w:rPr>
      <w:kern w:val="0"/>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qFormat/>
    <w:uiPriority w:val="0"/>
    <w:rPr>
      <w:b/>
      <w:bCs/>
    </w:rPr>
  </w:style>
  <w:style w:type="character" w:styleId="25">
    <w:name w:val="page number"/>
    <w:qFormat/>
    <w:uiPriority w:val="0"/>
  </w:style>
  <w:style w:type="character" w:styleId="26">
    <w:name w:val="Hyperlink"/>
    <w:qFormat/>
    <w:uiPriority w:val="0"/>
    <w:rPr>
      <w:color w:val="136EC2"/>
      <w:u w:val="single"/>
    </w:rPr>
  </w:style>
  <w:style w:type="paragraph" w:customStyle="1" w:styleId="27">
    <w:name w:val="正文首行缩进1"/>
    <w:basedOn w:val="1"/>
    <w:qFormat/>
    <w:uiPriority w:val="99"/>
    <w:pPr>
      <w:spacing w:after="120"/>
      <w:ind w:firstLine="420" w:firstLineChars="100"/>
    </w:pPr>
  </w:style>
  <w:style w:type="paragraph" w:customStyle="1" w:styleId="28">
    <w:name w:val="Normal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p0"/>
    <w:basedOn w:val="1"/>
    <w:qFormat/>
    <w:uiPriority w:val="0"/>
    <w:pPr>
      <w:widowControl/>
    </w:pPr>
    <w:rPr>
      <w:kern w:val="0"/>
      <w:sz w:val="20"/>
      <w:szCs w:val="21"/>
    </w:rPr>
  </w:style>
  <w:style w:type="paragraph" w:customStyle="1" w:styleId="30">
    <w:name w:val="Body Text Indent_abd91448-d7f0-42d4-9ef1-5c61c9ad00df"/>
    <w:basedOn w:val="28"/>
    <w:qFormat/>
    <w:uiPriority w:val="0"/>
    <w:pPr>
      <w:spacing w:after="120"/>
      <w:ind w:left="420" w:leftChars="200"/>
    </w:pPr>
  </w:style>
  <w:style w:type="paragraph" w:customStyle="1" w:styleId="31">
    <w:name w:val="Normal_1"/>
    <w:qFormat/>
    <w:uiPriority w:val="0"/>
    <w:rPr>
      <w:rFonts w:ascii="Times New Roman" w:hAnsi="Times New Roman" w:eastAsia="宋体" w:cs="Times New Roman"/>
      <w:sz w:val="24"/>
      <w:szCs w:val="24"/>
      <w:lang w:val="en-US" w:eastAsia="zh-CN" w:bidi="ar-SA"/>
    </w:rPr>
  </w:style>
  <w:style w:type="paragraph" w:customStyle="1" w:styleId="32">
    <w:name w:val="Normal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Body Text_68366d96-1bb4-4c64-af0a-9cf0858b067a"/>
    <w:basedOn w:val="32"/>
    <w:qFormat/>
    <w:uiPriority w:val="0"/>
    <w:pPr>
      <w:spacing w:after="120"/>
    </w:pPr>
    <w:rPr>
      <w:kern w:val="0"/>
      <w:sz w:val="20"/>
      <w:szCs w:val="24"/>
    </w:rPr>
  </w:style>
  <w:style w:type="paragraph" w:customStyle="1" w:styleId="34">
    <w:name w:val="Normal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Body Text Indent_0"/>
    <w:basedOn w:val="34"/>
    <w:qFormat/>
    <w:uiPriority w:val="0"/>
    <w:pPr>
      <w:spacing w:after="120"/>
      <w:ind w:left="420" w:leftChars="200"/>
    </w:pPr>
  </w:style>
  <w:style w:type="paragraph" w:customStyle="1" w:styleId="36">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37">
    <w:name w:val="10"/>
    <w:qFormat/>
    <w:uiPriority w:val="0"/>
    <w:rPr>
      <w:rFonts w:hint="default" w:ascii="Times New Roman" w:hAnsi="Times New Roman" w:cs="Times New Roman"/>
    </w:rPr>
  </w:style>
  <w:style w:type="character" w:customStyle="1" w:styleId="38">
    <w:name w:val="font11"/>
    <w:qFormat/>
    <w:uiPriority w:val="0"/>
    <w:rPr>
      <w:rFonts w:hint="eastAsia" w:ascii="宋体" w:hAnsi="宋体" w:eastAsia="宋体"/>
      <w:color w:val="000000"/>
      <w:sz w:val="24"/>
      <w:szCs w:val="21"/>
      <w:u w:val="none"/>
    </w:rPr>
  </w:style>
  <w:style w:type="paragraph" w:customStyle="1" w:styleId="39">
    <w:name w:val="标题 51"/>
    <w:basedOn w:val="1"/>
    <w:qFormat/>
    <w:uiPriority w:val="0"/>
    <w:pPr>
      <w:keepNext/>
      <w:keepLines/>
      <w:numPr>
        <w:ilvl w:val="3"/>
        <w:numId w:val="1"/>
      </w:numPr>
      <w:spacing w:line="372" w:lineRule="auto"/>
      <w:outlineLvl w:val="4"/>
    </w:pPr>
    <w:rPr>
      <w:b/>
      <w:sz w:val="28"/>
    </w:rPr>
  </w:style>
  <w:style w:type="paragraph" w:customStyle="1" w:styleId="40">
    <w:name w:val="页眉1"/>
    <w:qFormat/>
    <w:uiPriority w:val="0"/>
    <w:pPr>
      <w:widowControl w:val="0"/>
      <w:pBdr>
        <w:bottom w:val="single" w:color="000000" w:sz="6" w:space="1"/>
      </w:pBdr>
      <w:tabs>
        <w:tab w:val="center" w:pos="4153"/>
        <w:tab w:val="right" w:pos="8306"/>
      </w:tabs>
      <w:snapToGrid w:val="0"/>
      <w:spacing w:line="360" w:lineRule="auto"/>
      <w:ind w:firstLine="400" w:firstLineChars="200"/>
      <w:jc w:val="center"/>
    </w:pPr>
    <w:rPr>
      <w:rFonts w:ascii="Times New Roman" w:hAnsi="Times New Roman" w:eastAsia="宋体" w:cs="Times New Roman"/>
      <w:kern w:val="2"/>
      <w:sz w:val="18"/>
      <w:szCs w:val="18"/>
      <w:lang w:val="en-US" w:eastAsia="zh-CN" w:bidi="ar-SA"/>
    </w:rPr>
  </w:style>
  <w:style w:type="paragraph" w:customStyle="1" w:styleId="41">
    <w:name w:val="页脚1"/>
    <w:qFormat/>
    <w:uiPriority w:val="0"/>
    <w:pPr>
      <w:widowControl w:val="0"/>
      <w:tabs>
        <w:tab w:val="center" w:pos="4153"/>
        <w:tab w:val="right" w:pos="8306"/>
      </w:tabs>
      <w:snapToGrid w:val="0"/>
      <w:spacing w:line="360" w:lineRule="auto"/>
      <w:ind w:firstLine="400" w:firstLineChars="200"/>
    </w:pPr>
    <w:rPr>
      <w:rFonts w:ascii="Times New Roman" w:hAnsi="Times New Roman" w:eastAsia="宋体" w:cs="Times New Roman"/>
      <w:kern w:val="2"/>
      <w:sz w:val="18"/>
      <w:szCs w:val="18"/>
      <w:lang w:val="en-US" w:eastAsia="zh-CN" w:bidi="ar-SA"/>
    </w:rPr>
  </w:style>
  <w:style w:type="paragraph" w:customStyle="1" w:styleId="42">
    <w:name w:val="普通(网站)1"/>
    <w:basedOn w:val="1"/>
    <w:qFormat/>
    <w:uiPriority w:val="0"/>
    <w:rPr>
      <w:sz w:val="24"/>
    </w:rPr>
  </w:style>
  <w:style w:type="paragraph" w:customStyle="1" w:styleId="43">
    <w:name w:val="Normal_23"/>
    <w:qFormat/>
    <w:uiPriority w:val="0"/>
    <w:pPr>
      <w:widowControl w:val="0"/>
      <w:jc w:val="both"/>
    </w:pPr>
    <w:rPr>
      <w:rFonts w:ascii="Calibri" w:hAnsi="Calibri" w:eastAsia="宋体" w:cs="Times New Roman"/>
      <w:lang w:val="en-US" w:eastAsia="zh-CN" w:bidi="ar-SA"/>
    </w:rPr>
  </w:style>
  <w:style w:type="paragraph" w:customStyle="1" w:styleId="44">
    <w:name w:val="列表段落1"/>
    <w:basedOn w:val="1"/>
    <w:qFormat/>
    <w:uiPriority w:val="34"/>
    <w:pPr>
      <w:ind w:firstLine="420" w:firstLineChars="200"/>
    </w:pPr>
  </w:style>
  <w:style w:type="paragraph" w:customStyle="1" w:styleId="45">
    <w:name w:val="列出段落1"/>
    <w:basedOn w:val="46"/>
    <w:next w:val="3"/>
    <w:qFormat/>
    <w:uiPriority w:val="34"/>
    <w:pPr>
      <w:ind w:firstLine="420" w:firstLineChars="200"/>
    </w:pPr>
  </w:style>
  <w:style w:type="paragraph" w:customStyle="1" w:styleId="46">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正文_2_0"/>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8">
    <w:name w:val="批注框文本 Char"/>
    <w:basedOn w:val="23"/>
    <w:link w:val="13"/>
    <w:qFormat/>
    <w:uiPriority w:val="0"/>
    <w:rPr>
      <w:kern w:val="2"/>
      <w:sz w:val="18"/>
      <w:szCs w:val="18"/>
    </w:rPr>
  </w:style>
  <w:style w:type="paragraph" w:customStyle="1" w:styleId="4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
    <w:name w:val="页脚_0"/>
    <w:basedOn w:val="49"/>
    <w:qFormat/>
    <w:uiPriority w:val="99"/>
    <w:pPr>
      <w:tabs>
        <w:tab w:val="center" w:pos="4153"/>
        <w:tab w:val="right" w:pos="8306"/>
      </w:tabs>
      <w:snapToGrid w:val="0"/>
      <w:jc w:val="left"/>
    </w:pPr>
    <w:rPr>
      <w:rFonts w:ascii="Times New Roman" w:hAnsi="Times New Roman"/>
      <w:sz w:val="18"/>
      <w:szCs w:val="18"/>
    </w:rPr>
  </w:style>
  <w:style w:type="paragraph" w:customStyle="1" w:styleId="52">
    <w:name w:val="Normal_1_0"/>
    <w:qFormat/>
    <w:uiPriority w:val="0"/>
    <w:rPr>
      <w:rFonts w:ascii="Times New Roman" w:hAnsi="Times New Roman" w:eastAsia="Times New Roman" w:cs="Times New Roman"/>
      <w:sz w:val="24"/>
      <w:szCs w:val="24"/>
    </w:rPr>
  </w:style>
  <w:style w:type="paragraph" w:customStyle="1" w:styleId="53">
    <w:name w:val="Normal_0_0"/>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88</Pages>
  <Words>3679</Words>
  <Characters>4062</Characters>
  <Lines>226</Lines>
  <Paragraphs>63</Paragraphs>
  <TotalTime>6</TotalTime>
  <ScaleCrop>false</ScaleCrop>
  <LinksUpToDate>false</LinksUpToDate>
  <CharactersWithSpaces>4181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2025-04-08T16:29:00Z</dcterms:created>
  <dc:creator>Dolce far niente</dc:creator>
  <cp:lastModifiedBy>Administrator</cp:lastModifiedBy>
  <cp:lastPrinted>2025-07-19T10:24:00Z</cp:lastPrinted>
  <dcterms:modified xsi:type="dcterms:W3CDTF">2026-07-16T03:05:50Z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03516A97B3AC17D21044566AE4997C87_43</vt:lpwstr>
  </property>
  <property fmtid="{D5CDD505-2E9C-101B-9397-08002B2CF9AE}" pid="4" name="KSOTemplateDocerSaveRecord">
    <vt:lpwstr>eyJoZGlkIjoiNTc1MWRkMTRjOGRiNTcwYTRlYjEyMGViYTk2OTdiNmQiLCJ1c2VySWQiOiI0NDY1NzI5NzAifQ==</vt:lpwstr>
  </property>
</Properties>
</file>