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F2F70FE">
      <w:pPr>
        <w:rPr>
          <w:color w:val="auto"/>
        </w:rPr>
      </w:pPr>
    </w:p>
    <w:p w14:paraId="2601F1F9">
      <w:pPr>
        <w:rPr>
          <w:color w:val="auto"/>
        </w:rPr>
      </w:pPr>
    </w:p>
    <w:p w14:paraId="0610291F">
      <w:pPr>
        <w:rPr>
          <w:color w:val="auto"/>
        </w:rPr>
      </w:pPr>
    </w:p>
    <w:p w14:paraId="3BADAAEC">
      <w:pPr>
        <w:rPr>
          <w:color w:val="auto"/>
        </w:rPr>
      </w:pPr>
      <w:r>
        <w:rPr>
          <w:rFonts w:hint="eastAsia"/>
          <w:color w:val="auto"/>
        </w:rPr>
        <w:t xml:space="preserve"> </w:t>
      </w:r>
    </w:p>
    <w:p w14:paraId="766E73CF">
      <w:pPr>
        <w:widowControl/>
        <w:shd w:val="clear" w:color="auto" w:fill="FFFFFF"/>
        <w:adjustRightInd w:val="0"/>
        <w:snapToGrid w:val="0"/>
        <w:jc w:val="center"/>
        <w:rPr>
          <w:rFonts w:ascii="华文中宋" w:hAnsi="华文中宋" w:eastAsia="华文中宋" w:cs="华文中宋"/>
          <w:b/>
          <w:color w:val="auto"/>
          <w:kern w:val="0"/>
          <w:sz w:val="84"/>
          <w:szCs w:val="84"/>
        </w:rPr>
      </w:pPr>
      <w:r>
        <w:rPr>
          <w:rFonts w:hint="eastAsia" w:ascii="华文中宋" w:hAnsi="华文中宋" w:eastAsia="华文中宋" w:cs="华文中宋"/>
          <w:b/>
          <w:color w:val="auto"/>
          <w:kern w:val="0"/>
          <w:sz w:val="84"/>
          <w:szCs w:val="84"/>
        </w:rPr>
        <w:t>政府采购</w:t>
      </w:r>
    </w:p>
    <w:p w14:paraId="6EDD5C46">
      <w:pPr>
        <w:widowControl/>
        <w:shd w:val="clear" w:color="auto" w:fill="FFFFFF"/>
        <w:adjustRightInd w:val="0"/>
        <w:snapToGrid w:val="0"/>
        <w:spacing w:line="360" w:lineRule="auto"/>
        <w:jc w:val="center"/>
        <w:rPr>
          <w:rFonts w:ascii="方正大标宋简体" w:hAnsi="宋体" w:eastAsia="华文中宋" w:cs="宋体"/>
          <w:bCs/>
          <w:color w:val="auto"/>
          <w:kern w:val="0"/>
          <w:sz w:val="96"/>
          <w:szCs w:val="96"/>
        </w:rPr>
      </w:pPr>
      <w:r>
        <w:rPr>
          <w:rFonts w:hint="eastAsia" w:ascii="华文中宋" w:hAnsi="华文中宋" w:eastAsia="华文中宋" w:cs="华文中宋"/>
          <w:b/>
          <w:color w:val="auto"/>
          <w:kern w:val="0"/>
          <w:sz w:val="96"/>
          <w:szCs w:val="96"/>
        </w:rPr>
        <w:t>竞争性磋商文件</w:t>
      </w:r>
    </w:p>
    <w:p w14:paraId="0B7B01CF">
      <w:pPr>
        <w:rPr>
          <w:color w:val="auto"/>
        </w:rPr>
      </w:pPr>
    </w:p>
    <w:p w14:paraId="38C4CE31">
      <w:pPr>
        <w:rPr>
          <w:color w:val="auto"/>
        </w:rPr>
      </w:pPr>
    </w:p>
    <w:p w14:paraId="2C783AF2">
      <w:pPr>
        <w:widowControl/>
        <w:shd w:val="clear" w:color="auto" w:fill="FFFFFF"/>
        <w:adjustRightInd w:val="0"/>
        <w:spacing w:line="480" w:lineRule="auto"/>
        <w:ind w:left="2515" w:leftChars="171" w:hanging="2156" w:hangingChars="716"/>
        <w:jc w:val="left"/>
        <w:rPr>
          <w:rFonts w:ascii="宋体" w:hAnsi="宋体" w:cs="宋体"/>
          <w:b/>
          <w:bCs/>
          <w:color w:val="auto"/>
          <w:kern w:val="0"/>
          <w:sz w:val="30"/>
          <w:szCs w:val="30"/>
          <w:u w:val="single"/>
        </w:rPr>
      </w:pPr>
      <w:r>
        <w:rPr>
          <w:rFonts w:hint="eastAsia" w:ascii="宋体" w:hAnsi="宋体" w:cs="宋体"/>
          <w:b/>
          <w:bCs/>
          <w:color w:val="auto"/>
          <w:kern w:val="0"/>
          <w:sz w:val="30"/>
          <w:szCs w:val="30"/>
        </w:rPr>
        <w:t>采购项目名称：</w:t>
      </w:r>
      <w:r>
        <w:rPr>
          <w:rFonts w:hint="eastAsia" w:ascii="宋体" w:hAnsi="宋体" w:cs="宋体"/>
          <w:b/>
          <w:bCs/>
          <w:color w:val="auto"/>
          <w:sz w:val="30"/>
          <w:szCs w:val="30"/>
          <w:u w:val="single"/>
          <w:shd w:val="clear" w:color="auto" w:fill="FFFFFF"/>
          <w:lang w:eastAsia="zh-CN"/>
        </w:rPr>
        <w:t>湖南文理学院儿童发展与游戏、儿童心理与行为分析、儿童科学教育三间实训室建设项目</w:t>
      </w:r>
      <w:r>
        <w:rPr>
          <w:rFonts w:hint="eastAsia" w:ascii="宋体" w:hAnsi="宋体" w:cs="宋体"/>
          <w:b/>
          <w:bCs/>
          <w:color w:val="auto"/>
          <w:kern w:val="0"/>
          <w:sz w:val="30"/>
          <w:szCs w:val="30"/>
          <w:u w:val="single"/>
        </w:rPr>
        <w:t xml:space="preserve">                                          </w:t>
      </w:r>
    </w:p>
    <w:p w14:paraId="4B41A909">
      <w:pPr>
        <w:widowControl/>
        <w:shd w:val="clear" w:color="auto" w:fill="FFFFFF"/>
        <w:adjustRightInd w:val="0"/>
        <w:spacing w:line="480" w:lineRule="auto"/>
        <w:ind w:firstLine="301" w:firstLineChars="100"/>
        <w:jc w:val="left"/>
        <w:rPr>
          <w:rFonts w:hint="default" w:ascii="宋体" w:hAnsi="宋体" w:eastAsia="宋体" w:cs="宋体"/>
          <w:b/>
          <w:bCs/>
          <w:color w:val="auto"/>
          <w:kern w:val="0"/>
          <w:sz w:val="30"/>
          <w:szCs w:val="30"/>
          <w:highlight w:val="red"/>
          <w:u w:val="single"/>
          <w:lang w:val="en-US" w:eastAsia="zh-CN"/>
        </w:rPr>
      </w:pPr>
      <w:r>
        <w:rPr>
          <w:rFonts w:hint="eastAsia" w:ascii="宋体" w:hAnsi="宋体" w:cs="宋体"/>
          <w:b/>
          <w:bCs/>
          <w:color w:val="auto"/>
          <w:kern w:val="0"/>
          <w:sz w:val="30"/>
          <w:szCs w:val="30"/>
          <w:lang w:eastAsia="zh-CN"/>
        </w:rPr>
        <w:t>政府采购编号</w:t>
      </w:r>
      <w:r>
        <w:rPr>
          <w:rFonts w:hint="eastAsia" w:ascii="宋体" w:hAnsi="宋体" w:cs="宋体"/>
          <w:b/>
          <w:bCs/>
          <w:color w:val="auto"/>
          <w:kern w:val="0"/>
          <w:sz w:val="30"/>
          <w:szCs w:val="30"/>
        </w:rPr>
        <w:t>：</w:t>
      </w:r>
      <w:r>
        <w:rPr>
          <w:rFonts w:hint="eastAsia" w:ascii="宋体" w:hAnsi="宋体" w:cs="宋体"/>
          <w:b/>
          <w:bCs/>
          <w:color w:val="auto"/>
          <w:kern w:val="0"/>
          <w:sz w:val="30"/>
          <w:szCs w:val="30"/>
          <w:u w:val="single"/>
          <w:lang w:eastAsia="zh-CN"/>
        </w:rPr>
        <w:t>CGXM2026430000002081</w:t>
      </w:r>
      <w:r>
        <w:rPr>
          <w:rFonts w:hint="eastAsia" w:ascii="宋体" w:hAnsi="宋体" w:cs="宋体"/>
          <w:b/>
          <w:bCs/>
          <w:color w:val="auto"/>
          <w:kern w:val="0"/>
          <w:sz w:val="30"/>
          <w:szCs w:val="30"/>
          <w:u w:val="single"/>
        </w:rPr>
        <w:t xml:space="preserve">               </w:t>
      </w:r>
      <w:r>
        <w:rPr>
          <w:rFonts w:hint="eastAsia" w:ascii="宋体" w:hAnsi="宋体" w:cs="宋体"/>
          <w:b/>
          <w:bCs/>
          <w:color w:val="auto"/>
          <w:kern w:val="0"/>
          <w:sz w:val="30"/>
          <w:szCs w:val="30"/>
          <w:highlight w:val="none"/>
          <w:u w:val="single"/>
        </w:rPr>
        <w:t xml:space="preserve">     </w:t>
      </w:r>
      <w:r>
        <w:rPr>
          <w:rFonts w:hint="eastAsia" w:ascii="宋体" w:hAnsi="宋体" w:cs="宋体"/>
          <w:b/>
          <w:bCs/>
          <w:color w:val="auto"/>
          <w:kern w:val="0"/>
          <w:sz w:val="30"/>
          <w:szCs w:val="30"/>
          <w:highlight w:val="none"/>
          <w:u w:val="single"/>
          <w:lang w:val="en-US" w:eastAsia="zh-CN"/>
        </w:rPr>
        <w:t xml:space="preserve">  </w:t>
      </w:r>
    </w:p>
    <w:p w14:paraId="2D4E3092">
      <w:pPr>
        <w:widowControl/>
        <w:shd w:val="clear" w:color="auto" w:fill="FFFFFF"/>
        <w:adjustRightInd w:val="0"/>
        <w:spacing w:line="480" w:lineRule="auto"/>
        <w:ind w:firstLine="301" w:firstLineChars="100"/>
        <w:jc w:val="left"/>
        <w:rPr>
          <w:rFonts w:ascii="宋体" w:hAnsi="宋体" w:cs="宋体"/>
          <w:b/>
          <w:bCs/>
          <w:color w:val="auto"/>
          <w:kern w:val="0"/>
          <w:sz w:val="30"/>
          <w:szCs w:val="30"/>
          <w:u w:val="single"/>
        </w:rPr>
      </w:pPr>
      <w:r>
        <w:rPr>
          <w:rFonts w:hint="eastAsia" w:ascii="宋体" w:hAnsi="宋体" w:cs="宋体"/>
          <w:b/>
          <w:bCs/>
          <w:color w:val="auto"/>
          <w:kern w:val="0"/>
          <w:sz w:val="30"/>
          <w:szCs w:val="30"/>
        </w:rPr>
        <w:t>委托代理编号：</w:t>
      </w:r>
      <w:r>
        <w:rPr>
          <w:rFonts w:hint="eastAsia" w:ascii="宋体" w:hAnsi="宋体" w:cs="宋体"/>
          <w:b/>
          <w:bCs/>
          <w:color w:val="auto"/>
          <w:kern w:val="0"/>
          <w:sz w:val="30"/>
          <w:szCs w:val="30"/>
          <w:u w:val="single"/>
          <w:lang w:eastAsia="zh-CN"/>
        </w:rPr>
        <w:t>CDZYZB2026-C-88</w:t>
      </w:r>
      <w:r>
        <w:rPr>
          <w:rFonts w:hint="eastAsia" w:ascii="宋体" w:hAnsi="宋体" w:cs="宋体"/>
          <w:b/>
          <w:bCs/>
          <w:color w:val="auto"/>
          <w:kern w:val="0"/>
          <w:sz w:val="30"/>
          <w:szCs w:val="30"/>
          <w:u w:val="single"/>
        </w:rPr>
        <w:t xml:space="preserve">                                  </w:t>
      </w:r>
    </w:p>
    <w:p w14:paraId="1B30FCF1">
      <w:pPr>
        <w:widowControl/>
        <w:shd w:val="clear" w:color="auto" w:fill="FFFFFF"/>
        <w:adjustRightInd w:val="0"/>
        <w:spacing w:line="480" w:lineRule="auto"/>
        <w:ind w:firstLine="301" w:firstLineChars="100"/>
        <w:jc w:val="left"/>
        <w:rPr>
          <w:rFonts w:ascii="微软雅黑" w:hAnsi="微软雅黑" w:eastAsia="微软雅黑" w:cs="微软雅黑"/>
          <w:b/>
          <w:bCs/>
          <w:color w:val="auto"/>
          <w:kern w:val="0"/>
          <w:sz w:val="28"/>
          <w:szCs w:val="28"/>
          <w:u w:val="single"/>
        </w:rPr>
      </w:pPr>
      <w:r>
        <w:rPr>
          <w:rFonts w:hint="eastAsia" w:ascii="宋体" w:hAnsi="宋体" w:cs="宋体"/>
          <w:b/>
          <w:bCs/>
          <w:color w:val="auto"/>
          <w:kern w:val="0"/>
          <w:sz w:val="30"/>
          <w:szCs w:val="30"/>
        </w:rPr>
        <w:t>采    购  人：</w:t>
      </w:r>
      <w:r>
        <w:rPr>
          <w:rFonts w:hint="eastAsia" w:ascii="宋体" w:hAnsi="宋体" w:cs="宋体"/>
          <w:b/>
          <w:bCs/>
          <w:color w:val="auto"/>
          <w:kern w:val="0"/>
          <w:sz w:val="30"/>
          <w:szCs w:val="30"/>
          <w:u w:val="single"/>
        </w:rPr>
        <w:t xml:space="preserve">湖南文理学院                          </w:t>
      </w:r>
      <w:r>
        <w:rPr>
          <w:rFonts w:hint="eastAsia" w:ascii="宋体" w:hAnsi="宋体" w:cs="宋体"/>
          <w:b/>
          <w:bCs/>
          <w:color w:val="auto"/>
          <w:kern w:val="0"/>
          <w:sz w:val="36"/>
          <w:szCs w:val="36"/>
          <w:u w:val="single"/>
        </w:rPr>
        <w:t xml:space="preserve">     </w:t>
      </w:r>
      <w:r>
        <w:rPr>
          <w:rFonts w:hint="eastAsia" w:ascii="宋体" w:hAnsi="宋体" w:cs="宋体"/>
          <w:b/>
          <w:bCs/>
          <w:color w:val="auto"/>
          <w:kern w:val="0"/>
          <w:sz w:val="28"/>
          <w:szCs w:val="28"/>
          <w:u w:val="single"/>
        </w:rPr>
        <w:t xml:space="preserve">     </w:t>
      </w:r>
    </w:p>
    <w:p w14:paraId="16504100">
      <w:pPr>
        <w:rPr>
          <w:color w:val="auto"/>
        </w:rPr>
      </w:pPr>
    </w:p>
    <w:p w14:paraId="68856805">
      <w:pPr>
        <w:rPr>
          <w:color w:val="auto"/>
        </w:rPr>
      </w:pPr>
    </w:p>
    <w:p w14:paraId="0127CB33">
      <w:pPr>
        <w:rPr>
          <w:color w:val="auto"/>
        </w:rPr>
      </w:pPr>
    </w:p>
    <w:p w14:paraId="238F70F2">
      <w:pPr>
        <w:pStyle w:val="67"/>
        <w:rPr>
          <w:color w:val="auto"/>
        </w:rPr>
      </w:pPr>
    </w:p>
    <w:p w14:paraId="4CE3B225">
      <w:pPr>
        <w:pStyle w:val="67"/>
        <w:rPr>
          <w:color w:val="auto"/>
        </w:rPr>
      </w:pPr>
    </w:p>
    <w:p w14:paraId="4580AB2E">
      <w:pPr>
        <w:rPr>
          <w:color w:val="auto"/>
        </w:rPr>
      </w:pPr>
    </w:p>
    <w:p w14:paraId="4C724B0F">
      <w:pPr>
        <w:widowControl/>
        <w:shd w:val="clear" w:color="auto" w:fill="FFFFFF"/>
        <w:adjustRightInd w:val="0"/>
        <w:snapToGrid w:val="0"/>
        <w:jc w:val="center"/>
        <w:rPr>
          <w:rFonts w:ascii="华文中宋" w:hAnsi="华文中宋" w:eastAsia="华文中宋" w:cs="华文中宋"/>
          <w:color w:val="auto"/>
          <w:kern w:val="0"/>
          <w:sz w:val="36"/>
          <w:szCs w:val="36"/>
        </w:rPr>
      </w:pPr>
      <w:r>
        <w:rPr>
          <w:rFonts w:hint="eastAsia"/>
          <w:color w:val="auto"/>
        </w:rPr>
        <w:drawing>
          <wp:inline distT="0" distB="0" distL="114300" distR="114300">
            <wp:extent cx="3799840" cy="1419225"/>
            <wp:effectExtent l="0" t="0" r="10160" b="9525"/>
            <wp:docPr id="1" name="图片 1" descr="5983eae036fa4a235b8c6bcd9892d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983eae036fa4a235b8c6bcd9892d66"/>
                    <pic:cNvPicPr>
                      <a:picLocks noChangeAspect="1"/>
                    </pic:cNvPicPr>
                  </pic:nvPicPr>
                  <pic:blipFill>
                    <a:blip r:embed="rId15" cstate="print"/>
                    <a:stretch>
                      <a:fillRect/>
                    </a:stretch>
                  </pic:blipFill>
                  <pic:spPr>
                    <a:xfrm>
                      <a:off x="0" y="0"/>
                      <a:ext cx="3799840" cy="1419225"/>
                    </a:xfrm>
                    <a:prstGeom prst="rect">
                      <a:avLst/>
                    </a:prstGeom>
                    <a:noFill/>
                    <a:ln>
                      <a:noFill/>
                    </a:ln>
                  </pic:spPr>
                </pic:pic>
              </a:graphicData>
            </a:graphic>
          </wp:inline>
        </w:drawing>
      </w:r>
    </w:p>
    <w:p w14:paraId="162D5419">
      <w:pPr>
        <w:widowControl/>
        <w:shd w:val="clear" w:color="auto" w:fill="FFFFFF"/>
        <w:adjustRightInd w:val="0"/>
        <w:snapToGrid w:val="0"/>
        <w:jc w:val="center"/>
        <w:rPr>
          <w:rFonts w:ascii="黑体" w:hAnsi="黑体" w:eastAsia="黑体" w:cs="黑体"/>
          <w:color w:val="auto"/>
          <w:sz w:val="44"/>
          <w:szCs w:val="44"/>
        </w:rPr>
      </w:pPr>
      <w:r>
        <w:rPr>
          <w:rFonts w:hint="eastAsia" w:ascii="黑体" w:hAnsi="黑体" w:eastAsia="黑体" w:cs="黑体"/>
          <w:color w:val="auto"/>
          <w:kern w:val="0"/>
          <w:sz w:val="40"/>
          <w:szCs w:val="40"/>
        </w:rPr>
        <w:t>2026年</w:t>
      </w:r>
      <w:r>
        <w:rPr>
          <w:rFonts w:hint="eastAsia" w:ascii="黑体" w:hAnsi="黑体" w:eastAsia="黑体" w:cs="黑体"/>
          <w:color w:val="auto"/>
          <w:kern w:val="0"/>
          <w:sz w:val="40"/>
          <w:szCs w:val="40"/>
          <w:lang w:val="en-US" w:eastAsia="zh-CN"/>
        </w:rPr>
        <w:t>9</w:t>
      </w:r>
      <w:r>
        <w:rPr>
          <w:rFonts w:hint="eastAsia" w:ascii="黑体" w:hAnsi="黑体" w:eastAsia="黑体" w:cs="黑体"/>
          <w:color w:val="auto"/>
          <w:kern w:val="0"/>
          <w:sz w:val="40"/>
          <w:szCs w:val="40"/>
        </w:rPr>
        <w:t>月</w:t>
      </w:r>
    </w:p>
    <w:p w14:paraId="4C88D6F6">
      <w:pPr>
        <w:pStyle w:val="28"/>
        <w:adjustRightInd w:val="0"/>
        <w:snapToGrid w:val="0"/>
        <w:spacing w:line="360" w:lineRule="auto"/>
        <w:rPr>
          <w:color w:val="auto"/>
        </w:rPr>
        <w:sectPr>
          <w:headerReference r:id="rId3" w:type="first"/>
          <w:pgSz w:w="11906" w:h="16838"/>
          <w:pgMar w:top="1474" w:right="1531" w:bottom="1474" w:left="1531"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sdt>
      <w:sdtPr>
        <w:rPr>
          <w:rFonts w:hint="eastAsia" w:ascii="宋体" w:hAnsi="宋体" w:eastAsia="华文中宋"/>
          <w:b/>
          <w:color w:val="auto"/>
          <w:sz w:val="36"/>
          <w:szCs w:val="40"/>
        </w:rPr>
        <w:id w:val="147458047"/>
        <w:docPartObj>
          <w:docPartGallery w:val="Table of Contents"/>
          <w:docPartUnique/>
        </w:docPartObj>
      </w:sdtPr>
      <w:sdtEndPr>
        <w:rPr>
          <w:rFonts w:hint="eastAsia" w:ascii="宋体" w:hAnsi="宋体" w:eastAsia="华文中宋"/>
          <w:b/>
          <w:color w:val="auto"/>
          <w:sz w:val="36"/>
          <w:szCs w:val="40"/>
        </w:rPr>
      </w:sdtEndPr>
      <w:sdtContent>
        <w:p w14:paraId="686C5DC8">
          <w:pPr>
            <w:jc w:val="center"/>
            <w:rPr>
              <w:rFonts w:ascii="宋体" w:hAnsi="宋体" w:eastAsia="华文中宋"/>
              <w:b/>
              <w:color w:val="auto"/>
              <w:sz w:val="36"/>
              <w:szCs w:val="40"/>
            </w:rPr>
          </w:pPr>
          <w:r>
            <w:rPr>
              <w:rFonts w:hint="eastAsia" w:ascii="宋体" w:hAnsi="宋体" w:eastAsia="华文中宋"/>
              <w:b/>
              <w:color w:val="auto"/>
              <w:sz w:val="40"/>
              <w:szCs w:val="44"/>
            </w:rPr>
            <w:t>目  录</w:t>
          </w:r>
        </w:p>
        <w:p w14:paraId="01807985">
          <w:pPr>
            <w:rPr>
              <w:color w:val="auto"/>
            </w:rPr>
          </w:pPr>
        </w:p>
        <w:p w14:paraId="65730513">
          <w:pPr>
            <w:pStyle w:val="36"/>
            <w:tabs>
              <w:tab w:val="right" w:leader="dot" w:pos="8844"/>
            </w:tabs>
            <w:rPr>
              <w:color w:val="auto"/>
            </w:rPr>
          </w:pPr>
          <w:r>
            <w:rPr>
              <w:rFonts w:hAnsi="宋体"/>
              <w:color w:val="auto"/>
              <w:sz w:val="36"/>
              <w:szCs w:val="36"/>
            </w:rPr>
            <w:fldChar w:fldCharType="begin"/>
          </w:r>
          <w:r>
            <w:rPr>
              <w:rFonts w:hAnsi="宋体"/>
              <w:color w:val="auto"/>
              <w:sz w:val="36"/>
              <w:szCs w:val="36"/>
            </w:rPr>
            <w:instrText xml:space="preserve">TOC \o "1-3" \h \u </w:instrText>
          </w:r>
          <w:r>
            <w:rPr>
              <w:rFonts w:hAnsi="宋体"/>
              <w:color w:val="auto"/>
              <w:sz w:val="36"/>
              <w:szCs w:val="36"/>
            </w:rPr>
            <w:fldChar w:fldCharType="separate"/>
          </w:r>
          <w:r>
            <w:rPr>
              <w:color w:val="auto"/>
            </w:rPr>
            <w:fldChar w:fldCharType="begin"/>
          </w:r>
          <w:r>
            <w:rPr>
              <w:color w:val="auto"/>
            </w:rPr>
            <w:instrText xml:space="preserve"> HYPERLINK \l "_Toc8068" </w:instrText>
          </w:r>
          <w:r>
            <w:rPr>
              <w:color w:val="auto"/>
            </w:rPr>
            <w:fldChar w:fldCharType="separate"/>
          </w:r>
          <w:r>
            <w:rPr>
              <w:rFonts w:hint="eastAsia" w:ascii="宋体" w:hAnsi="宋体"/>
              <w:color w:val="auto"/>
              <w:szCs w:val="32"/>
            </w:rPr>
            <w:t>第一章 磋商通知</w:t>
          </w:r>
          <w:r>
            <w:rPr>
              <w:color w:val="auto"/>
            </w:rPr>
            <w:tab/>
          </w:r>
          <w:r>
            <w:rPr>
              <w:color w:val="auto"/>
            </w:rPr>
            <w:fldChar w:fldCharType="begin"/>
          </w:r>
          <w:r>
            <w:rPr>
              <w:color w:val="auto"/>
            </w:rPr>
            <w:instrText xml:space="preserve"> PAGEREF _Toc8068 \h </w:instrText>
          </w:r>
          <w:r>
            <w:rPr>
              <w:color w:val="auto"/>
            </w:rPr>
            <w:fldChar w:fldCharType="separate"/>
          </w:r>
          <w:r>
            <w:rPr>
              <w:color w:val="auto"/>
            </w:rPr>
            <w:t>- 2 -</w:t>
          </w:r>
          <w:r>
            <w:rPr>
              <w:color w:val="auto"/>
            </w:rPr>
            <w:fldChar w:fldCharType="end"/>
          </w:r>
          <w:r>
            <w:rPr>
              <w:color w:val="auto"/>
            </w:rPr>
            <w:fldChar w:fldCharType="end"/>
          </w:r>
        </w:p>
        <w:p w14:paraId="32975A1E">
          <w:pPr>
            <w:pStyle w:val="36"/>
            <w:tabs>
              <w:tab w:val="right" w:leader="dot" w:pos="8844"/>
            </w:tabs>
            <w:rPr>
              <w:color w:val="auto"/>
            </w:rPr>
          </w:pPr>
          <w:r>
            <w:rPr>
              <w:color w:val="auto"/>
            </w:rPr>
            <w:fldChar w:fldCharType="begin"/>
          </w:r>
          <w:r>
            <w:rPr>
              <w:color w:val="auto"/>
            </w:rPr>
            <w:instrText xml:space="preserve"> HYPERLINK \l "_Toc14647" </w:instrText>
          </w:r>
          <w:r>
            <w:rPr>
              <w:color w:val="auto"/>
            </w:rPr>
            <w:fldChar w:fldCharType="separate"/>
          </w:r>
          <w:r>
            <w:rPr>
              <w:rFonts w:hint="eastAsia" w:hAnsi="宋体"/>
              <w:color w:val="auto"/>
              <w:szCs w:val="32"/>
            </w:rPr>
            <w:t>第二章</w:t>
          </w:r>
          <w:r>
            <w:rPr>
              <w:rFonts w:hAnsi="宋体"/>
              <w:color w:val="auto"/>
              <w:szCs w:val="32"/>
            </w:rPr>
            <w:t xml:space="preserve"> </w:t>
          </w:r>
          <w:r>
            <w:rPr>
              <w:rFonts w:hint="eastAsia" w:hAnsi="宋体"/>
              <w:color w:val="auto"/>
              <w:szCs w:val="32"/>
            </w:rPr>
            <w:t>磋商须知</w:t>
          </w:r>
          <w:r>
            <w:rPr>
              <w:color w:val="auto"/>
            </w:rPr>
            <w:tab/>
          </w:r>
          <w:r>
            <w:rPr>
              <w:color w:val="auto"/>
            </w:rPr>
            <w:fldChar w:fldCharType="begin"/>
          </w:r>
          <w:r>
            <w:rPr>
              <w:color w:val="auto"/>
            </w:rPr>
            <w:instrText xml:space="preserve"> PAGEREF _Toc14647 \h </w:instrText>
          </w:r>
          <w:r>
            <w:rPr>
              <w:color w:val="auto"/>
            </w:rPr>
            <w:fldChar w:fldCharType="separate"/>
          </w:r>
          <w:r>
            <w:rPr>
              <w:color w:val="auto"/>
            </w:rPr>
            <w:t>- 5 -</w:t>
          </w:r>
          <w:r>
            <w:rPr>
              <w:color w:val="auto"/>
            </w:rPr>
            <w:fldChar w:fldCharType="end"/>
          </w:r>
          <w:r>
            <w:rPr>
              <w:color w:val="auto"/>
            </w:rPr>
            <w:fldChar w:fldCharType="end"/>
          </w:r>
        </w:p>
        <w:p w14:paraId="5E2067D7">
          <w:pPr>
            <w:pStyle w:val="42"/>
            <w:tabs>
              <w:tab w:val="right" w:leader="dot" w:pos="8844"/>
            </w:tabs>
            <w:rPr>
              <w:color w:val="auto"/>
            </w:rPr>
          </w:pPr>
          <w:r>
            <w:rPr>
              <w:color w:val="auto"/>
            </w:rPr>
            <w:fldChar w:fldCharType="begin"/>
          </w:r>
          <w:r>
            <w:rPr>
              <w:color w:val="auto"/>
            </w:rPr>
            <w:instrText xml:space="preserve"> HYPERLINK \l "_Toc581" </w:instrText>
          </w:r>
          <w:r>
            <w:rPr>
              <w:color w:val="auto"/>
            </w:rPr>
            <w:fldChar w:fldCharType="separate"/>
          </w:r>
          <w:r>
            <w:rPr>
              <w:rFonts w:hint="eastAsia" w:hAnsi="宋体"/>
              <w:color w:val="auto"/>
            </w:rPr>
            <w:t>磋商须知前附表</w:t>
          </w:r>
          <w:r>
            <w:rPr>
              <w:color w:val="auto"/>
            </w:rPr>
            <w:tab/>
          </w:r>
          <w:r>
            <w:rPr>
              <w:color w:val="auto"/>
            </w:rPr>
            <w:fldChar w:fldCharType="begin"/>
          </w:r>
          <w:r>
            <w:rPr>
              <w:color w:val="auto"/>
            </w:rPr>
            <w:instrText xml:space="preserve"> PAGEREF _Toc581 \h </w:instrText>
          </w:r>
          <w:r>
            <w:rPr>
              <w:color w:val="auto"/>
            </w:rPr>
            <w:fldChar w:fldCharType="separate"/>
          </w:r>
          <w:r>
            <w:rPr>
              <w:color w:val="auto"/>
            </w:rPr>
            <w:t>- 5 -</w:t>
          </w:r>
          <w:r>
            <w:rPr>
              <w:color w:val="auto"/>
            </w:rPr>
            <w:fldChar w:fldCharType="end"/>
          </w:r>
          <w:r>
            <w:rPr>
              <w:color w:val="auto"/>
            </w:rPr>
            <w:fldChar w:fldCharType="end"/>
          </w:r>
        </w:p>
        <w:p w14:paraId="253F0C20">
          <w:pPr>
            <w:pStyle w:val="42"/>
            <w:tabs>
              <w:tab w:val="right" w:leader="dot" w:pos="8844"/>
            </w:tabs>
            <w:rPr>
              <w:color w:val="auto"/>
            </w:rPr>
          </w:pPr>
          <w:r>
            <w:rPr>
              <w:color w:val="auto"/>
            </w:rPr>
            <w:fldChar w:fldCharType="begin"/>
          </w:r>
          <w:r>
            <w:rPr>
              <w:color w:val="auto"/>
            </w:rPr>
            <w:instrText xml:space="preserve"> HYPERLINK \l "_Toc13851" </w:instrText>
          </w:r>
          <w:r>
            <w:rPr>
              <w:color w:val="auto"/>
            </w:rPr>
            <w:fldChar w:fldCharType="separate"/>
          </w:r>
          <w:r>
            <w:rPr>
              <w:rFonts w:hint="eastAsia" w:ascii="宋体" w:hAnsi="宋体"/>
              <w:color w:val="auto"/>
              <w:szCs w:val="32"/>
            </w:rPr>
            <w:t>磋商须知正文</w:t>
          </w:r>
          <w:r>
            <w:rPr>
              <w:color w:val="auto"/>
            </w:rPr>
            <w:tab/>
          </w:r>
          <w:r>
            <w:rPr>
              <w:color w:val="auto"/>
            </w:rPr>
            <w:fldChar w:fldCharType="begin"/>
          </w:r>
          <w:r>
            <w:rPr>
              <w:color w:val="auto"/>
            </w:rPr>
            <w:instrText xml:space="preserve"> PAGEREF _Toc13851 \h </w:instrText>
          </w:r>
          <w:r>
            <w:rPr>
              <w:color w:val="auto"/>
            </w:rPr>
            <w:fldChar w:fldCharType="separate"/>
          </w:r>
          <w:r>
            <w:rPr>
              <w:color w:val="auto"/>
            </w:rPr>
            <w:t>- 10 -</w:t>
          </w:r>
          <w:r>
            <w:rPr>
              <w:color w:val="auto"/>
            </w:rPr>
            <w:fldChar w:fldCharType="end"/>
          </w:r>
          <w:r>
            <w:rPr>
              <w:color w:val="auto"/>
            </w:rPr>
            <w:fldChar w:fldCharType="end"/>
          </w:r>
        </w:p>
        <w:p w14:paraId="44E0F212">
          <w:pPr>
            <w:pStyle w:val="36"/>
            <w:tabs>
              <w:tab w:val="right" w:leader="dot" w:pos="8844"/>
            </w:tabs>
            <w:rPr>
              <w:color w:val="auto"/>
            </w:rPr>
          </w:pPr>
          <w:r>
            <w:rPr>
              <w:color w:val="auto"/>
            </w:rPr>
            <w:fldChar w:fldCharType="begin"/>
          </w:r>
          <w:r>
            <w:rPr>
              <w:color w:val="auto"/>
            </w:rPr>
            <w:instrText xml:space="preserve"> HYPERLINK \l "_Toc14666" </w:instrText>
          </w:r>
          <w:r>
            <w:rPr>
              <w:color w:val="auto"/>
            </w:rPr>
            <w:fldChar w:fldCharType="separate"/>
          </w:r>
          <w:r>
            <w:rPr>
              <w:rFonts w:hint="eastAsia" w:ascii="宋体" w:hAnsi="宋体"/>
              <w:bCs/>
              <w:color w:val="auto"/>
              <w:szCs w:val="36"/>
            </w:rPr>
            <w:t>第三章 磋商办法</w:t>
          </w:r>
          <w:r>
            <w:rPr>
              <w:color w:val="auto"/>
            </w:rPr>
            <w:tab/>
          </w:r>
          <w:r>
            <w:rPr>
              <w:color w:val="auto"/>
            </w:rPr>
            <w:fldChar w:fldCharType="begin"/>
          </w:r>
          <w:r>
            <w:rPr>
              <w:color w:val="auto"/>
            </w:rPr>
            <w:instrText xml:space="preserve"> PAGEREF _Toc14666 \h </w:instrText>
          </w:r>
          <w:r>
            <w:rPr>
              <w:color w:val="auto"/>
            </w:rPr>
            <w:fldChar w:fldCharType="separate"/>
          </w:r>
          <w:r>
            <w:rPr>
              <w:color w:val="auto"/>
            </w:rPr>
            <w:t>- 22 -</w:t>
          </w:r>
          <w:r>
            <w:rPr>
              <w:color w:val="auto"/>
            </w:rPr>
            <w:fldChar w:fldCharType="end"/>
          </w:r>
          <w:r>
            <w:rPr>
              <w:color w:val="auto"/>
            </w:rPr>
            <w:fldChar w:fldCharType="end"/>
          </w:r>
        </w:p>
        <w:p w14:paraId="121A1EA3">
          <w:pPr>
            <w:pStyle w:val="42"/>
            <w:tabs>
              <w:tab w:val="right" w:leader="dot" w:pos="8844"/>
            </w:tabs>
            <w:rPr>
              <w:color w:val="auto"/>
            </w:rPr>
          </w:pPr>
          <w:r>
            <w:rPr>
              <w:color w:val="auto"/>
            </w:rPr>
            <w:fldChar w:fldCharType="begin"/>
          </w:r>
          <w:r>
            <w:rPr>
              <w:color w:val="auto"/>
            </w:rPr>
            <w:instrText xml:space="preserve"> HYPERLINK \l "_Toc12439" </w:instrText>
          </w:r>
          <w:r>
            <w:rPr>
              <w:color w:val="auto"/>
            </w:rPr>
            <w:fldChar w:fldCharType="separate"/>
          </w:r>
          <w:r>
            <w:rPr>
              <w:rFonts w:hint="eastAsia" w:ascii="宋体" w:hAnsi="宋体" w:cs="宋体"/>
              <w:color w:val="auto"/>
            </w:rPr>
            <w:t>1：</w:t>
          </w:r>
          <w:r>
            <w:rPr>
              <w:rFonts w:hint="eastAsia" w:ascii="宋体" w:hAnsi="宋体" w:cs="宋体"/>
              <w:color w:val="auto"/>
              <w:lang w:val="zh-CN"/>
            </w:rPr>
            <w:t>资格性检查表</w:t>
          </w:r>
          <w:r>
            <w:rPr>
              <w:color w:val="auto"/>
            </w:rPr>
            <w:tab/>
          </w:r>
          <w:r>
            <w:rPr>
              <w:color w:val="auto"/>
            </w:rPr>
            <w:fldChar w:fldCharType="begin"/>
          </w:r>
          <w:r>
            <w:rPr>
              <w:color w:val="auto"/>
            </w:rPr>
            <w:instrText xml:space="preserve"> PAGEREF _Toc12439 \h </w:instrText>
          </w:r>
          <w:r>
            <w:rPr>
              <w:color w:val="auto"/>
            </w:rPr>
            <w:fldChar w:fldCharType="separate"/>
          </w:r>
          <w:r>
            <w:rPr>
              <w:color w:val="auto"/>
            </w:rPr>
            <w:t>- 24 -</w:t>
          </w:r>
          <w:r>
            <w:rPr>
              <w:color w:val="auto"/>
            </w:rPr>
            <w:fldChar w:fldCharType="end"/>
          </w:r>
          <w:r>
            <w:rPr>
              <w:color w:val="auto"/>
            </w:rPr>
            <w:fldChar w:fldCharType="end"/>
          </w:r>
        </w:p>
        <w:p w14:paraId="66B365E2">
          <w:pPr>
            <w:pStyle w:val="42"/>
            <w:tabs>
              <w:tab w:val="right" w:leader="dot" w:pos="8844"/>
            </w:tabs>
            <w:rPr>
              <w:color w:val="auto"/>
            </w:rPr>
          </w:pPr>
          <w:r>
            <w:rPr>
              <w:color w:val="auto"/>
            </w:rPr>
            <w:fldChar w:fldCharType="begin"/>
          </w:r>
          <w:r>
            <w:rPr>
              <w:color w:val="auto"/>
            </w:rPr>
            <w:instrText xml:space="preserve"> HYPERLINK \l "_Toc29013" </w:instrText>
          </w:r>
          <w:r>
            <w:rPr>
              <w:color w:val="auto"/>
            </w:rPr>
            <w:fldChar w:fldCharType="separate"/>
          </w:r>
          <w:r>
            <w:rPr>
              <w:rFonts w:hint="eastAsia" w:ascii="宋体" w:hAnsi="宋体"/>
              <w:color w:val="auto"/>
            </w:rPr>
            <w:t>2：响应文件符合性检查表</w:t>
          </w:r>
          <w:r>
            <w:rPr>
              <w:color w:val="auto"/>
            </w:rPr>
            <w:tab/>
          </w:r>
          <w:r>
            <w:rPr>
              <w:color w:val="auto"/>
            </w:rPr>
            <w:fldChar w:fldCharType="begin"/>
          </w:r>
          <w:r>
            <w:rPr>
              <w:color w:val="auto"/>
            </w:rPr>
            <w:instrText xml:space="preserve"> PAGEREF _Toc29013 \h </w:instrText>
          </w:r>
          <w:r>
            <w:rPr>
              <w:color w:val="auto"/>
            </w:rPr>
            <w:fldChar w:fldCharType="separate"/>
          </w:r>
          <w:r>
            <w:rPr>
              <w:color w:val="auto"/>
            </w:rPr>
            <w:t>- 25 -</w:t>
          </w:r>
          <w:r>
            <w:rPr>
              <w:color w:val="auto"/>
            </w:rPr>
            <w:fldChar w:fldCharType="end"/>
          </w:r>
          <w:r>
            <w:rPr>
              <w:color w:val="auto"/>
            </w:rPr>
            <w:fldChar w:fldCharType="end"/>
          </w:r>
        </w:p>
        <w:p w14:paraId="6A0D39AF">
          <w:pPr>
            <w:pStyle w:val="42"/>
            <w:tabs>
              <w:tab w:val="right" w:leader="dot" w:pos="8844"/>
            </w:tabs>
            <w:rPr>
              <w:color w:val="auto"/>
            </w:rPr>
          </w:pPr>
          <w:r>
            <w:rPr>
              <w:color w:val="auto"/>
            </w:rPr>
            <w:fldChar w:fldCharType="begin"/>
          </w:r>
          <w:r>
            <w:rPr>
              <w:color w:val="auto"/>
            </w:rPr>
            <w:instrText xml:space="preserve"> HYPERLINK \l "_Toc32663" </w:instrText>
          </w:r>
          <w:r>
            <w:rPr>
              <w:color w:val="auto"/>
            </w:rPr>
            <w:fldChar w:fldCharType="separate"/>
          </w:r>
          <w:r>
            <w:rPr>
              <w:rFonts w:hint="eastAsia" w:ascii="宋体" w:cs="宋体"/>
              <w:bCs/>
              <w:color w:val="auto"/>
              <w:kern w:val="0"/>
              <w:lang w:val="zh-CN"/>
            </w:rPr>
            <w:t>3：澄清、说明、补正事项纪要表</w:t>
          </w:r>
          <w:r>
            <w:rPr>
              <w:color w:val="auto"/>
            </w:rPr>
            <w:tab/>
          </w:r>
          <w:r>
            <w:rPr>
              <w:color w:val="auto"/>
            </w:rPr>
            <w:fldChar w:fldCharType="begin"/>
          </w:r>
          <w:r>
            <w:rPr>
              <w:color w:val="auto"/>
            </w:rPr>
            <w:instrText xml:space="preserve"> PAGEREF _Toc32663 \h </w:instrText>
          </w:r>
          <w:r>
            <w:rPr>
              <w:color w:val="auto"/>
            </w:rPr>
            <w:fldChar w:fldCharType="separate"/>
          </w:r>
          <w:r>
            <w:rPr>
              <w:color w:val="auto"/>
            </w:rPr>
            <w:t>- 26 -</w:t>
          </w:r>
          <w:r>
            <w:rPr>
              <w:color w:val="auto"/>
            </w:rPr>
            <w:fldChar w:fldCharType="end"/>
          </w:r>
          <w:r>
            <w:rPr>
              <w:color w:val="auto"/>
            </w:rPr>
            <w:fldChar w:fldCharType="end"/>
          </w:r>
        </w:p>
        <w:p w14:paraId="27CEDF88">
          <w:pPr>
            <w:pStyle w:val="42"/>
            <w:tabs>
              <w:tab w:val="right" w:leader="dot" w:pos="8844"/>
            </w:tabs>
            <w:rPr>
              <w:color w:val="auto"/>
            </w:rPr>
          </w:pPr>
          <w:r>
            <w:rPr>
              <w:color w:val="auto"/>
            </w:rPr>
            <w:fldChar w:fldCharType="begin"/>
          </w:r>
          <w:r>
            <w:rPr>
              <w:color w:val="auto"/>
            </w:rPr>
            <w:instrText xml:space="preserve"> HYPERLINK \l "_Toc22026" </w:instrText>
          </w:r>
          <w:r>
            <w:rPr>
              <w:color w:val="auto"/>
            </w:rPr>
            <w:fldChar w:fldCharType="separate"/>
          </w:r>
          <w:r>
            <w:rPr>
              <w:rFonts w:hint="eastAsia" w:ascii="宋体" w:cs="宋体"/>
              <w:bCs/>
              <w:color w:val="auto"/>
              <w:lang w:val="zh-CN"/>
            </w:rPr>
            <w:t>4：进入详细评审的合格供应商表</w:t>
          </w:r>
          <w:r>
            <w:rPr>
              <w:color w:val="auto"/>
            </w:rPr>
            <w:tab/>
          </w:r>
          <w:r>
            <w:rPr>
              <w:color w:val="auto"/>
            </w:rPr>
            <w:fldChar w:fldCharType="begin"/>
          </w:r>
          <w:r>
            <w:rPr>
              <w:color w:val="auto"/>
            </w:rPr>
            <w:instrText xml:space="preserve"> PAGEREF _Toc22026 \h </w:instrText>
          </w:r>
          <w:r>
            <w:rPr>
              <w:color w:val="auto"/>
            </w:rPr>
            <w:fldChar w:fldCharType="separate"/>
          </w:r>
          <w:r>
            <w:rPr>
              <w:color w:val="auto"/>
            </w:rPr>
            <w:t>- 27 -</w:t>
          </w:r>
          <w:r>
            <w:rPr>
              <w:color w:val="auto"/>
            </w:rPr>
            <w:fldChar w:fldCharType="end"/>
          </w:r>
          <w:r>
            <w:rPr>
              <w:color w:val="auto"/>
            </w:rPr>
            <w:fldChar w:fldCharType="end"/>
          </w:r>
        </w:p>
        <w:p w14:paraId="171B2810">
          <w:pPr>
            <w:pStyle w:val="42"/>
            <w:tabs>
              <w:tab w:val="right" w:leader="dot" w:pos="8844"/>
            </w:tabs>
            <w:rPr>
              <w:color w:val="auto"/>
            </w:rPr>
          </w:pPr>
          <w:r>
            <w:rPr>
              <w:color w:val="auto"/>
            </w:rPr>
            <w:fldChar w:fldCharType="begin"/>
          </w:r>
          <w:r>
            <w:rPr>
              <w:color w:val="auto"/>
            </w:rPr>
            <w:instrText xml:space="preserve"> HYPERLINK \l "_Toc14070" </w:instrText>
          </w:r>
          <w:r>
            <w:rPr>
              <w:color w:val="auto"/>
            </w:rPr>
            <w:fldChar w:fldCharType="separate"/>
          </w:r>
          <w:r>
            <w:rPr>
              <w:rFonts w:hint="eastAsia" w:ascii="宋体" w:cs="宋体"/>
              <w:bCs/>
              <w:color w:val="auto"/>
              <w:lang w:val="zh-CN"/>
            </w:rPr>
            <w:t>5：不合格供应商表</w:t>
          </w:r>
          <w:r>
            <w:rPr>
              <w:color w:val="auto"/>
            </w:rPr>
            <w:tab/>
          </w:r>
          <w:r>
            <w:rPr>
              <w:color w:val="auto"/>
            </w:rPr>
            <w:fldChar w:fldCharType="begin"/>
          </w:r>
          <w:r>
            <w:rPr>
              <w:color w:val="auto"/>
            </w:rPr>
            <w:instrText xml:space="preserve"> PAGEREF _Toc14070 \h </w:instrText>
          </w:r>
          <w:r>
            <w:rPr>
              <w:color w:val="auto"/>
            </w:rPr>
            <w:fldChar w:fldCharType="separate"/>
          </w:r>
          <w:r>
            <w:rPr>
              <w:color w:val="auto"/>
            </w:rPr>
            <w:t>- 28 -</w:t>
          </w:r>
          <w:r>
            <w:rPr>
              <w:color w:val="auto"/>
            </w:rPr>
            <w:fldChar w:fldCharType="end"/>
          </w:r>
          <w:r>
            <w:rPr>
              <w:color w:val="auto"/>
            </w:rPr>
            <w:fldChar w:fldCharType="end"/>
          </w:r>
        </w:p>
        <w:p w14:paraId="7027DA24">
          <w:pPr>
            <w:pStyle w:val="42"/>
            <w:tabs>
              <w:tab w:val="right" w:leader="dot" w:pos="8844"/>
            </w:tabs>
            <w:rPr>
              <w:color w:val="auto"/>
            </w:rPr>
          </w:pPr>
          <w:r>
            <w:rPr>
              <w:color w:val="auto"/>
            </w:rPr>
            <w:fldChar w:fldCharType="begin"/>
          </w:r>
          <w:r>
            <w:rPr>
              <w:color w:val="auto"/>
            </w:rPr>
            <w:instrText xml:space="preserve"> HYPERLINK \l "_Toc28566" </w:instrText>
          </w:r>
          <w:r>
            <w:rPr>
              <w:color w:val="auto"/>
            </w:rPr>
            <w:fldChar w:fldCharType="separate"/>
          </w:r>
          <w:r>
            <w:rPr>
              <w:rFonts w:hint="eastAsia" w:ascii="宋体" w:cs="宋体"/>
              <w:bCs/>
              <w:color w:val="auto"/>
            </w:rPr>
            <w:t>6</w:t>
          </w:r>
          <w:r>
            <w:rPr>
              <w:rFonts w:hint="eastAsia" w:ascii="宋体" w:cs="宋体"/>
              <w:bCs/>
              <w:color w:val="auto"/>
              <w:lang w:val="zh-CN"/>
            </w:rPr>
            <w:t>：磋商标准（100分）</w:t>
          </w:r>
          <w:r>
            <w:rPr>
              <w:color w:val="auto"/>
            </w:rPr>
            <w:tab/>
          </w:r>
          <w:r>
            <w:rPr>
              <w:color w:val="auto"/>
            </w:rPr>
            <w:fldChar w:fldCharType="begin"/>
          </w:r>
          <w:r>
            <w:rPr>
              <w:color w:val="auto"/>
            </w:rPr>
            <w:instrText xml:space="preserve"> PAGEREF _Toc28566 \h </w:instrText>
          </w:r>
          <w:r>
            <w:rPr>
              <w:color w:val="auto"/>
            </w:rPr>
            <w:fldChar w:fldCharType="separate"/>
          </w:r>
          <w:r>
            <w:rPr>
              <w:color w:val="auto"/>
            </w:rPr>
            <w:t>29</w:t>
          </w:r>
          <w:r>
            <w:rPr>
              <w:color w:val="auto"/>
            </w:rPr>
            <w:fldChar w:fldCharType="end"/>
          </w:r>
          <w:r>
            <w:rPr>
              <w:color w:val="auto"/>
            </w:rPr>
            <w:fldChar w:fldCharType="end"/>
          </w:r>
        </w:p>
        <w:p w14:paraId="24CA3CFD">
          <w:pPr>
            <w:pStyle w:val="42"/>
            <w:tabs>
              <w:tab w:val="right" w:leader="dot" w:pos="8844"/>
            </w:tabs>
            <w:rPr>
              <w:color w:val="auto"/>
            </w:rPr>
          </w:pPr>
          <w:r>
            <w:rPr>
              <w:color w:val="auto"/>
            </w:rPr>
            <w:fldChar w:fldCharType="begin"/>
          </w:r>
          <w:r>
            <w:rPr>
              <w:color w:val="auto"/>
            </w:rPr>
            <w:instrText xml:space="preserve"> HYPERLINK \l "_Toc23294" </w:instrText>
          </w:r>
          <w:r>
            <w:rPr>
              <w:color w:val="auto"/>
            </w:rPr>
            <w:fldChar w:fldCharType="separate"/>
          </w:r>
          <w:r>
            <w:rPr>
              <w:rFonts w:hint="eastAsia" w:ascii="宋体" w:hAnsi="宋体"/>
              <w:bCs/>
              <w:color w:val="auto"/>
            </w:rPr>
            <w:t>7：供应商</w:t>
          </w:r>
          <w:r>
            <w:rPr>
              <w:rFonts w:hint="eastAsia"/>
              <w:color w:val="auto"/>
              <w:spacing w:val="26"/>
            </w:rPr>
            <w:t>得分汇总计算表</w:t>
          </w:r>
          <w:r>
            <w:rPr>
              <w:color w:val="auto"/>
            </w:rPr>
            <w:tab/>
          </w:r>
          <w:r>
            <w:rPr>
              <w:color w:val="auto"/>
            </w:rPr>
            <w:fldChar w:fldCharType="begin"/>
          </w:r>
          <w:r>
            <w:rPr>
              <w:color w:val="auto"/>
            </w:rPr>
            <w:instrText xml:space="preserve"> PAGEREF _Toc23294 \h </w:instrText>
          </w:r>
          <w:r>
            <w:rPr>
              <w:color w:val="auto"/>
            </w:rPr>
            <w:fldChar w:fldCharType="separate"/>
          </w:r>
          <w:r>
            <w:rPr>
              <w:color w:val="auto"/>
            </w:rPr>
            <w:t>30</w:t>
          </w:r>
          <w:r>
            <w:rPr>
              <w:color w:val="auto"/>
            </w:rPr>
            <w:fldChar w:fldCharType="end"/>
          </w:r>
          <w:r>
            <w:rPr>
              <w:color w:val="auto"/>
            </w:rPr>
            <w:fldChar w:fldCharType="end"/>
          </w:r>
        </w:p>
        <w:p w14:paraId="2381484B">
          <w:pPr>
            <w:pStyle w:val="42"/>
            <w:tabs>
              <w:tab w:val="right" w:leader="dot" w:pos="8844"/>
            </w:tabs>
            <w:rPr>
              <w:color w:val="auto"/>
            </w:rPr>
          </w:pPr>
          <w:r>
            <w:rPr>
              <w:color w:val="auto"/>
            </w:rPr>
            <w:fldChar w:fldCharType="begin"/>
          </w:r>
          <w:r>
            <w:rPr>
              <w:color w:val="auto"/>
            </w:rPr>
            <w:instrText xml:space="preserve"> HYPERLINK \l "_Toc8865" </w:instrText>
          </w:r>
          <w:r>
            <w:rPr>
              <w:color w:val="auto"/>
            </w:rPr>
            <w:fldChar w:fldCharType="separate"/>
          </w:r>
          <w:r>
            <w:rPr>
              <w:rFonts w:hint="eastAsia" w:ascii="宋体" w:hAnsi="宋体"/>
              <w:bCs/>
              <w:color w:val="auto"/>
              <w:szCs w:val="32"/>
            </w:rPr>
            <w:t>8：</w:t>
          </w:r>
          <w:r>
            <w:rPr>
              <w:rFonts w:hint="eastAsia" w:ascii="宋体" w:hAnsi="宋体"/>
              <w:color w:val="auto"/>
            </w:rPr>
            <w:t>经评审的供应商排序表</w:t>
          </w:r>
          <w:r>
            <w:rPr>
              <w:color w:val="auto"/>
            </w:rPr>
            <w:tab/>
          </w:r>
          <w:r>
            <w:rPr>
              <w:color w:val="auto"/>
            </w:rPr>
            <w:fldChar w:fldCharType="begin"/>
          </w:r>
          <w:r>
            <w:rPr>
              <w:color w:val="auto"/>
            </w:rPr>
            <w:instrText xml:space="preserve"> PAGEREF _Toc8865 \h </w:instrText>
          </w:r>
          <w:r>
            <w:rPr>
              <w:color w:val="auto"/>
            </w:rPr>
            <w:fldChar w:fldCharType="separate"/>
          </w:r>
          <w:r>
            <w:rPr>
              <w:color w:val="auto"/>
            </w:rPr>
            <w:t>31</w:t>
          </w:r>
          <w:r>
            <w:rPr>
              <w:color w:val="auto"/>
            </w:rPr>
            <w:fldChar w:fldCharType="end"/>
          </w:r>
          <w:r>
            <w:rPr>
              <w:color w:val="auto"/>
            </w:rPr>
            <w:fldChar w:fldCharType="end"/>
          </w:r>
        </w:p>
        <w:p w14:paraId="5A5A6626">
          <w:pPr>
            <w:pStyle w:val="42"/>
            <w:tabs>
              <w:tab w:val="right" w:leader="dot" w:pos="8844"/>
            </w:tabs>
            <w:rPr>
              <w:color w:val="auto"/>
            </w:rPr>
          </w:pPr>
          <w:r>
            <w:rPr>
              <w:color w:val="auto"/>
            </w:rPr>
            <w:fldChar w:fldCharType="begin"/>
          </w:r>
          <w:r>
            <w:rPr>
              <w:color w:val="auto"/>
            </w:rPr>
            <w:instrText xml:space="preserve"> HYPERLINK \l "_Toc4373" </w:instrText>
          </w:r>
          <w:r>
            <w:rPr>
              <w:color w:val="auto"/>
            </w:rPr>
            <w:fldChar w:fldCharType="separate"/>
          </w:r>
          <w:r>
            <w:rPr>
              <w:rFonts w:hint="eastAsia" w:ascii="宋体" w:hAnsi="宋体"/>
              <w:color w:val="auto"/>
              <w:szCs w:val="21"/>
            </w:rPr>
            <w:t>9：推荐成交候选供应商名单</w:t>
          </w:r>
          <w:r>
            <w:rPr>
              <w:color w:val="auto"/>
            </w:rPr>
            <w:tab/>
          </w:r>
          <w:r>
            <w:rPr>
              <w:color w:val="auto"/>
            </w:rPr>
            <w:fldChar w:fldCharType="begin"/>
          </w:r>
          <w:r>
            <w:rPr>
              <w:color w:val="auto"/>
            </w:rPr>
            <w:instrText xml:space="preserve"> PAGEREF _Toc4373 \h </w:instrText>
          </w:r>
          <w:r>
            <w:rPr>
              <w:color w:val="auto"/>
            </w:rPr>
            <w:fldChar w:fldCharType="separate"/>
          </w:r>
          <w:r>
            <w:rPr>
              <w:color w:val="auto"/>
            </w:rPr>
            <w:t>32</w:t>
          </w:r>
          <w:r>
            <w:rPr>
              <w:color w:val="auto"/>
            </w:rPr>
            <w:fldChar w:fldCharType="end"/>
          </w:r>
          <w:r>
            <w:rPr>
              <w:color w:val="auto"/>
            </w:rPr>
            <w:fldChar w:fldCharType="end"/>
          </w:r>
        </w:p>
        <w:p w14:paraId="6AE85641">
          <w:pPr>
            <w:pStyle w:val="36"/>
            <w:tabs>
              <w:tab w:val="right" w:leader="dot" w:pos="8844"/>
            </w:tabs>
            <w:rPr>
              <w:color w:val="auto"/>
            </w:rPr>
          </w:pPr>
          <w:r>
            <w:rPr>
              <w:color w:val="auto"/>
            </w:rPr>
            <w:fldChar w:fldCharType="begin"/>
          </w:r>
          <w:r>
            <w:rPr>
              <w:color w:val="auto"/>
            </w:rPr>
            <w:instrText xml:space="preserve"> HYPERLINK \l "_Toc3285" </w:instrText>
          </w:r>
          <w:r>
            <w:rPr>
              <w:color w:val="auto"/>
            </w:rPr>
            <w:fldChar w:fldCharType="separate"/>
          </w:r>
          <w:r>
            <w:rPr>
              <w:rFonts w:hint="eastAsia" w:ascii="宋体" w:hAnsi="宋体"/>
              <w:color w:val="auto"/>
              <w:szCs w:val="32"/>
            </w:rPr>
            <w:t xml:space="preserve">第四章 </w:t>
          </w:r>
          <w:r>
            <w:rPr>
              <w:rFonts w:hint="eastAsia" w:ascii="宋体" w:hAnsi="宋体"/>
              <w:bCs/>
              <w:color w:val="auto"/>
              <w:szCs w:val="32"/>
            </w:rPr>
            <w:t>合同格式条款</w:t>
          </w:r>
          <w:r>
            <w:rPr>
              <w:color w:val="auto"/>
            </w:rPr>
            <w:tab/>
          </w:r>
          <w:r>
            <w:rPr>
              <w:color w:val="auto"/>
            </w:rPr>
            <w:fldChar w:fldCharType="begin"/>
          </w:r>
          <w:r>
            <w:rPr>
              <w:color w:val="auto"/>
            </w:rPr>
            <w:instrText xml:space="preserve"> PAGEREF _Toc3285 \h </w:instrText>
          </w:r>
          <w:r>
            <w:rPr>
              <w:color w:val="auto"/>
            </w:rPr>
            <w:fldChar w:fldCharType="separate"/>
          </w:r>
          <w:r>
            <w:rPr>
              <w:color w:val="auto"/>
            </w:rPr>
            <w:t>33</w:t>
          </w:r>
          <w:r>
            <w:rPr>
              <w:color w:val="auto"/>
            </w:rPr>
            <w:fldChar w:fldCharType="end"/>
          </w:r>
          <w:r>
            <w:rPr>
              <w:color w:val="auto"/>
            </w:rPr>
            <w:fldChar w:fldCharType="end"/>
          </w:r>
        </w:p>
        <w:p w14:paraId="44F58532">
          <w:pPr>
            <w:pStyle w:val="36"/>
            <w:tabs>
              <w:tab w:val="right" w:leader="dot" w:pos="8844"/>
            </w:tabs>
            <w:rPr>
              <w:color w:val="auto"/>
            </w:rPr>
          </w:pPr>
          <w:r>
            <w:rPr>
              <w:color w:val="auto"/>
            </w:rPr>
            <w:fldChar w:fldCharType="begin"/>
          </w:r>
          <w:r>
            <w:rPr>
              <w:color w:val="auto"/>
            </w:rPr>
            <w:instrText xml:space="preserve"> HYPERLINK \l "_Toc21986" </w:instrText>
          </w:r>
          <w:r>
            <w:rPr>
              <w:color w:val="auto"/>
            </w:rPr>
            <w:fldChar w:fldCharType="separate"/>
          </w:r>
          <w:r>
            <w:rPr>
              <w:rFonts w:hint="eastAsia" w:ascii="宋体" w:hAnsi="宋体"/>
              <w:bCs/>
              <w:color w:val="auto"/>
              <w:szCs w:val="32"/>
            </w:rPr>
            <w:t xml:space="preserve">第五章 </w:t>
          </w:r>
          <w:r>
            <w:rPr>
              <w:rFonts w:hint="eastAsia" w:ascii="宋体" w:hAnsi="宋体"/>
              <w:color w:val="auto"/>
              <w:szCs w:val="32"/>
            </w:rPr>
            <w:t>采购需求</w:t>
          </w:r>
          <w:r>
            <w:rPr>
              <w:color w:val="auto"/>
            </w:rPr>
            <w:tab/>
          </w:r>
          <w:r>
            <w:rPr>
              <w:color w:val="auto"/>
            </w:rPr>
            <w:fldChar w:fldCharType="begin"/>
          </w:r>
          <w:r>
            <w:rPr>
              <w:color w:val="auto"/>
            </w:rPr>
            <w:instrText xml:space="preserve"> PAGEREF _Toc21986 \h </w:instrText>
          </w:r>
          <w:r>
            <w:rPr>
              <w:color w:val="auto"/>
            </w:rPr>
            <w:fldChar w:fldCharType="separate"/>
          </w:r>
          <w:r>
            <w:rPr>
              <w:color w:val="auto"/>
            </w:rPr>
            <w:t>- 42 -</w:t>
          </w:r>
          <w:r>
            <w:rPr>
              <w:color w:val="auto"/>
            </w:rPr>
            <w:fldChar w:fldCharType="end"/>
          </w:r>
          <w:r>
            <w:rPr>
              <w:color w:val="auto"/>
            </w:rPr>
            <w:fldChar w:fldCharType="end"/>
          </w:r>
        </w:p>
        <w:p w14:paraId="78CBB203">
          <w:pPr>
            <w:pStyle w:val="42"/>
            <w:tabs>
              <w:tab w:val="right" w:leader="dot" w:pos="8844"/>
            </w:tabs>
            <w:rPr>
              <w:color w:val="auto"/>
            </w:rPr>
          </w:pPr>
          <w:r>
            <w:rPr>
              <w:color w:val="auto"/>
            </w:rPr>
            <w:fldChar w:fldCharType="begin"/>
          </w:r>
          <w:r>
            <w:rPr>
              <w:color w:val="auto"/>
            </w:rPr>
            <w:instrText xml:space="preserve"> HYPERLINK \l "_Toc31507" </w:instrText>
          </w:r>
          <w:r>
            <w:rPr>
              <w:color w:val="auto"/>
            </w:rPr>
            <w:fldChar w:fldCharType="separate"/>
          </w:r>
          <w:r>
            <w:rPr>
              <w:rFonts w:hint="eastAsia" w:ascii="黑体" w:hAnsi="黑体" w:eastAsia="黑体"/>
              <w:color w:val="auto"/>
              <w:szCs w:val="28"/>
            </w:rPr>
            <w:t>第一节 采购清单</w:t>
          </w:r>
          <w:r>
            <w:rPr>
              <w:color w:val="auto"/>
            </w:rPr>
            <w:tab/>
          </w:r>
          <w:r>
            <w:rPr>
              <w:color w:val="auto"/>
            </w:rPr>
            <w:fldChar w:fldCharType="begin"/>
          </w:r>
          <w:r>
            <w:rPr>
              <w:color w:val="auto"/>
            </w:rPr>
            <w:instrText xml:space="preserve"> PAGEREF _Toc31507 \h </w:instrText>
          </w:r>
          <w:r>
            <w:rPr>
              <w:color w:val="auto"/>
            </w:rPr>
            <w:fldChar w:fldCharType="separate"/>
          </w:r>
          <w:r>
            <w:rPr>
              <w:color w:val="auto"/>
            </w:rPr>
            <w:t>- 42 -</w:t>
          </w:r>
          <w:r>
            <w:rPr>
              <w:color w:val="auto"/>
            </w:rPr>
            <w:fldChar w:fldCharType="end"/>
          </w:r>
          <w:r>
            <w:rPr>
              <w:color w:val="auto"/>
            </w:rPr>
            <w:fldChar w:fldCharType="end"/>
          </w:r>
        </w:p>
        <w:p w14:paraId="0EC71866">
          <w:pPr>
            <w:pStyle w:val="42"/>
            <w:tabs>
              <w:tab w:val="right" w:leader="dot" w:pos="8844"/>
            </w:tabs>
            <w:rPr>
              <w:color w:val="auto"/>
            </w:rPr>
          </w:pPr>
          <w:r>
            <w:rPr>
              <w:color w:val="auto"/>
            </w:rPr>
            <w:fldChar w:fldCharType="begin"/>
          </w:r>
          <w:r>
            <w:rPr>
              <w:color w:val="auto"/>
            </w:rPr>
            <w:instrText xml:space="preserve"> HYPERLINK \l "_Toc30709" </w:instrText>
          </w:r>
          <w:r>
            <w:rPr>
              <w:color w:val="auto"/>
            </w:rPr>
            <w:fldChar w:fldCharType="separate"/>
          </w:r>
          <w:r>
            <w:rPr>
              <w:rFonts w:hint="eastAsia" w:ascii="黑体" w:hAnsi="黑体" w:eastAsia="黑体"/>
              <w:color w:val="auto"/>
              <w:szCs w:val="28"/>
            </w:rPr>
            <w:t>第二节 实施</w:t>
          </w:r>
          <w:r>
            <w:rPr>
              <w:rFonts w:ascii="黑体" w:hAnsi="黑体" w:eastAsia="黑体"/>
              <w:color w:val="auto"/>
              <w:szCs w:val="28"/>
            </w:rPr>
            <w:t>要求</w:t>
          </w:r>
          <w:r>
            <w:rPr>
              <w:color w:val="auto"/>
            </w:rPr>
            <w:tab/>
          </w:r>
          <w:r>
            <w:rPr>
              <w:color w:val="auto"/>
            </w:rPr>
            <w:fldChar w:fldCharType="begin"/>
          </w:r>
          <w:r>
            <w:rPr>
              <w:color w:val="auto"/>
            </w:rPr>
            <w:instrText xml:space="preserve"> PAGEREF _Toc30709 \h </w:instrText>
          </w:r>
          <w:r>
            <w:rPr>
              <w:color w:val="auto"/>
            </w:rPr>
            <w:fldChar w:fldCharType="separate"/>
          </w:r>
          <w:r>
            <w:rPr>
              <w:color w:val="auto"/>
            </w:rPr>
            <w:t>- 108 -</w:t>
          </w:r>
          <w:r>
            <w:rPr>
              <w:color w:val="auto"/>
            </w:rPr>
            <w:fldChar w:fldCharType="end"/>
          </w:r>
          <w:r>
            <w:rPr>
              <w:color w:val="auto"/>
            </w:rPr>
            <w:fldChar w:fldCharType="end"/>
          </w:r>
        </w:p>
        <w:p w14:paraId="2C9CA668">
          <w:pPr>
            <w:pStyle w:val="36"/>
            <w:tabs>
              <w:tab w:val="right" w:leader="dot" w:pos="8844"/>
            </w:tabs>
            <w:rPr>
              <w:color w:val="auto"/>
            </w:rPr>
          </w:pPr>
          <w:r>
            <w:rPr>
              <w:color w:val="auto"/>
            </w:rPr>
            <w:fldChar w:fldCharType="begin"/>
          </w:r>
          <w:r>
            <w:rPr>
              <w:color w:val="auto"/>
            </w:rPr>
            <w:instrText xml:space="preserve"> HYPERLINK \l "_Toc25823" </w:instrText>
          </w:r>
          <w:r>
            <w:rPr>
              <w:color w:val="auto"/>
            </w:rPr>
            <w:fldChar w:fldCharType="separate"/>
          </w:r>
          <w:r>
            <w:rPr>
              <w:rFonts w:hint="eastAsia"/>
              <w:color w:val="auto"/>
              <w:szCs w:val="32"/>
            </w:rPr>
            <w:t>第六章 响应文件组成</w:t>
          </w:r>
          <w:r>
            <w:rPr>
              <w:color w:val="auto"/>
            </w:rPr>
            <w:tab/>
          </w:r>
          <w:r>
            <w:rPr>
              <w:color w:val="auto"/>
            </w:rPr>
            <w:fldChar w:fldCharType="begin"/>
          </w:r>
          <w:r>
            <w:rPr>
              <w:color w:val="auto"/>
            </w:rPr>
            <w:instrText xml:space="preserve"> PAGEREF _Toc25823 \h </w:instrText>
          </w:r>
          <w:r>
            <w:rPr>
              <w:color w:val="auto"/>
            </w:rPr>
            <w:fldChar w:fldCharType="separate"/>
          </w:r>
          <w:r>
            <w:rPr>
              <w:color w:val="auto"/>
            </w:rPr>
            <w:t>- 112 -</w:t>
          </w:r>
          <w:r>
            <w:rPr>
              <w:color w:val="auto"/>
            </w:rPr>
            <w:fldChar w:fldCharType="end"/>
          </w:r>
          <w:r>
            <w:rPr>
              <w:color w:val="auto"/>
            </w:rPr>
            <w:fldChar w:fldCharType="end"/>
          </w:r>
        </w:p>
        <w:p w14:paraId="09E5C87E">
          <w:pPr>
            <w:pStyle w:val="42"/>
            <w:tabs>
              <w:tab w:val="right" w:leader="dot" w:pos="8844"/>
            </w:tabs>
            <w:rPr>
              <w:color w:val="auto"/>
            </w:rPr>
          </w:pPr>
          <w:r>
            <w:rPr>
              <w:color w:val="auto"/>
            </w:rPr>
            <w:fldChar w:fldCharType="begin"/>
          </w:r>
          <w:r>
            <w:rPr>
              <w:color w:val="auto"/>
            </w:rPr>
            <w:instrText xml:space="preserve"> HYPERLINK \l "_Toc14497" </w:instrText>
          </w:r>
          <w:r>
            <w:rPr>
              <w:color w:val="auto"/>
            </w:rPr>
            <w:fldChar w:fldCharType="separate"/>
          </w:r>
          <w:r>
            <w:rPr>
              <w:rFonts w:hint="eastAsia" w:ascii="宋体" w:hAnsi="宋体"/>
              <w:color w:val="auto"/>
              <w:szCs w:val="32"/>
            </w:rPr>
            <w:t>一、磋商响应声明</w:t>
          </w:r>
          <w:r>
            <w:rPr>
              <w:color w:val="auto"/>
            </w:rPr>
            <w:tab/>
          </w:r>
          <w:r>
            <w:rPr>
              <w:color w:val="auto"/>
            </w:rPr>
            <w:fldChar w:fldCharType="begin"/>
          </w:r>
          <w:r>
            <w:rPr>
              <w:color w:val="auto"/>
            </w:rPr>
            <w:instrText xml:space="preserve"> PAGEREF _Toc14497 \h </w:instrText>
          </w:r>
          <w:r>
            <w:rPr>
              <w:color w:val="auto"/>
            </w:rPr>
            <w:fldChar w:fldCharType="separate"/>
          </w:r>
          <w:r>
            <w:rPr>
              <w:color w:val="auto"/>
            </w:rPr>
            <w:t>- 113 -</w:t>
          </w:r>
          <w:r>
            <w:rPr>
              <w:color w:val="auto"/>
            </w:rPr>
            <w:fldChar w:fldCharType="end"/>
          </w:r>
          <w:r>
            <w:rPr>
              <w:color w:val="auto"/>
            </w:rPr>
            <w:fldChar w:fldCharType="end"/>
          </w:r>
        </w:p>
        <w:p w14:paraId="08755B00">
          <w:pPr>
            <w:pStyle w:val="42"/>
            <w:tabs>
              <w:tab w:val="right" w:leader="dot" w:pos="8844"/>
            </w:tabs>
            <w:rPr>
              <w:color w:val="auto"/>
            </w:rPr>
          </w:pPr>
          <w:r>
            <w:rPr>
              <w:color w:val="auto"/>
            </w:rPr>
            <w:fldChar w:fldCharType="begin"/>
          </w:r>
          <w:r>
            <w:rPr>
              <w:color w:val="auto"/>
            </w:rPr>
            <w:instrText xml:space="preserve"> HYPERLINK \l "_Toc24136" </w:instrText>
          </w:r>
          <w:r>
            <w:rPr>
              <w:color w:val="auto"/>
            </w:rPr>
            <w:fldChar w:fldCharType="separate"/>
          </w:r>
          <w:r>
            <w:rPr>
              <w:rFonts w:hint="eastAsia" w:ascii="宋体" w:hAnsi="宋体"/>
              <w:color w:val="auto"/>
              <w:szCs w:val="32"/>
            </w:rPr>
            <w:t>二、保证金</w:t>
          </w:r>
          <w:r>
            <w:rPr>
              <w:color w:val="auto"/>
            </w:rPr>
            <w:tab/>
          </w:r>
          <w:r>
            <w:rPr>
              <w:color w:val="auto"/>
            </w:rPr>
            <w:fldChar w:fldCharType="begin"/>
          </w:r>
          <w:r>
            <w:rPr>
              <w:color w:val="auto"/>
            </w:rPr>
            <w:instrText xml:space="preserve"> PAGEREF _Toc24136 \h </w:instrText>
          </w:r>
          <w:r>
            <w:rPr>
              <w:color w:val="auto"/>
            </w:rPr>
            <w:fldChar w:fldCharType="separate"/>
          </w:r>
          <w:r>
            <w:rPr>
              <w:color w:val="auto"/>
            </w:rPr>
            <w:t>- 117 -</w:t>
          </w:r>
          <w:r>
            <w:rPr>
              <w:color w:val="auto"/>
            </w:rPr>
            <w:fldChar w:fldCharType="end"/>
          </w:r>
          <w:r>
            <w:rPr>
              <w:color w:val="auto"/>
            </w:rPr>
            <w:fldChar w:fldCharType="end"/>
          </w:r>
        </w:p>
        <w:p w14:paraId="6E6EB147">
          <w:pPr>
            <w:pStyle w:val="42"/>
            <w:tabs>
              <w:tab w:val="right" w:leader="dot" w:pos="8844"/>
            </w:tabs>
            <w:rPr>
              <w:color w:val="auto"/>
            </w:rPr>
          </w:pPr>
          <w:r>
            <w:rPr>
              <w:color w:val="auto"/>
            </w:rPr>
            <w:fldChar w:fldCharType="begin"/>
          </w:r>
          <w:r>
            <w:rPr>
              <w:color w:val="auto"/>
            </w:rPr>
            <w:instrText xml:space="preserve"> HYPERLINK \l "_Toc31039" </w:instrText>
          </w:r>
          <w:r>
            <w:rPr>
              <w:color w:val="auto"/>
            </w:rPr>
            <w:fldChar w:fldCharType="separate"/>
          </w:r>
          <w:r>
            <w:rPr>
              <w:rFonts w:hint="eastAsia" w:ascii="宋体" w:hAnsi="宋体"/>
              <w:color w:val="auto"/>
              <w:szCs w:val="32"/>
            </w:rPr>
            <w:t>三、供应商</w:t>
          </w:r>
          <w:r>
            <w:rPr>
              <w:rFonts w:hint="eastAsia" w:ascii="宋体" w:hAnsi="宋体"/>
              <w:bCs/>
              <w:color w:val="auto"/>
              <w:szCs w:val="32"/>
            </w:rPr>
            <w:t>的资格证明材料</w:t>
          </w:r>
          <w:r>
            <w:rPr>
              <w:color w:val="auto"/>
            </w:rPr>
            <w:tab/>
          </w:r>
          <w:r>
            <w:rPr>
              <w:color w:val="auto"/>
            </w:rPr>
            <w:fldChar w:fldCharType="begin"/>
          </w:r>
          <w:r>
            <w:rPr>
              <w:color w:val="auto"/>
            </w:rPr>
            <w:instrText xml:space="preserve"> PAGEREF _Toc31039 \h </w:instrText>
          </w:r>
          <w:r>
            <w:rPr>
              <w:color w:val="auto"/>
            </w:rPr>
            <w:fldChar w:fldCharType="separate"/>
          </w:r>
          <w:r>
            <w:rPr>
              <w:color w:val="auto"/>
            </w:rPr>
            <w:t>- 119 -</w:t>
          </w:r>
          <w:r>
            <w:rPr>
              <w:color w:val="auto"/>
            </w:rPr>
            <w:fldChar w:fldCharType="end"/>
          </w:r>
          <w:r>
            <w:rPr>
              <w:color w:val="auto"/>
            </w:rPr>
            <w:fldChar w:fldCharType="end"/>
          </w:r>
        </w:p>
        <w:p w14:paraId="05B84F1E">
          <w:pPr>
            <w:pStyle w:val="42"/>
            <w:tabs>
              <w:tab w:val="right" w:leader="dot" w:pos="8844"/>
            </w:tabs>
            <w:rPr>
              <w:color w:val="auto"/>
            </w:rPr>
          </w:pPr>
          <w:r>
            <w:rPr>
              <w:color w:val="auto"/>
            </w:rPr>
            <w:fldChar w:fldCharType="begin"/>
          </w:r>
          <w:r>
            <w:rPr>
              <w:color w:val="auto"/>
            </w:rPr>
            <w:instrText xml:space="preserve"> HYPERLINK \l "_Toc30854" </w:instrText>
          </w:r>
          <w:r>
            <w:rPr>
              <w:color w:val="auto"/>
            </w:rPr>
            <w:fldChar w:fldCharType="separate"/>
          </w:r>
          <w:r>
            <w:rPr>
              <w:rFonts w:hint="eastAsia" w:ascii="宋体" w:hAnsi="宋体"/>
              <w:color w:val="auto"/>
              <w:szCs w:val="32"/>
            </w:rPr>
            <w:t>四、服务方案</w:t>
          </w:r>
          <w:r>
            <w:rPr>
              <w:color w:val="auto"/>
            </w:rPr>
            <w:tab/>
          </w:r>
          <w:r>
            <w:rPr>
              <w:color w:val="auto"/>
            </w:rPr>
            <w:fldChar w:fldCharType="begin"/>
          </w:r>
          <w:r>
            <w:rPr>
              <w:color w:val="auto"/>
            </w:rPr>
            <w:instrText xml:space="preserve"> PAGEREF _Toc30854 \h </w:instrText>
          </w:r>
          <w:r>
            <w:rPr>
              <w:color w:val="auto"/>
            </w:rPr>
            <w:fldChar w:fldCharType="separate"/>
          </w:r>
          <w:r>
            <w:rPr>
              <w:color w:val="auto"/>
            </w:rPr>
            <w:t>- 124 -</w:t>
          </w:r>
          <w:r>
            <w:rPr>
              <w:color w:val="auto"/>
            </w:rPr>
            <w:fldChar w:fldCharType="end"/>
          </w:r>
          <w:r>
            <w:rPr>
              <w:color w:val="auto"/>
            </w:rPr>
            <w:fldChar w:fldCharType="end"/>
          </w:r>
        </w:p>
        <w:p w14:paraId="6B2AE9EF">
          <w:pPr>
            <w:pStyle w:val="42"/>
            <w:tabs>
              <w:tab w:val="right" w:leader="dot" w:pos="8844"/>
            </w:tabs>
            <w:rPr>
              <w:color w:val="auto"/>
            </w:rPr>
          </w:pPr>
          <w:r>
            <w:rPr>
              <w:color w:val="auto"/>
            </w:rPr>
            <w:fldChar w:fldCharType="begin"/>
          </w:r>
          <w:r>
            <w:rPr>
              <w:color w:val="auto"/>
            </w:rPr>
            <w:instrText xml:space="preserve"> HYPERLINK \l "_Toc28254" </w:instrText>
          </w:r>
          <w:r>
            <w:rPr>
              <w:color w:val="auto"/>
            </w:rPr>
            <w:fldChar w:fldCharType="separate"/>
          </w:r>
          <w:r>
            <w:rPr>
              <w:rFonts w:hint="eastAsia" w:ascii="宋体" w:hAnsi="宋体"/>
              <w:color w:val="auto"/>
              <w:szCs w:val="32"/>
            </w:rPr>
            <w:t>五、技术/商务响应与偏离表</w:t>
          </w:r>
          <w:r>
            <w:rPr>
              <w:color w:val="auto"/>
            </w:rPr>
            <w:tab/>
          </w:r>
          <w:r>
            <w:rPr>
              <w:color w:val="auto"/>
            </w:rPr>
            <w:fldChar w:fldCharType="begin"/>
          </w:r>
          <w:r>
            <w:rPr>
              <w:color w:val="auto"/>
            </w:rPr>
            <w:instrText xml:space="preserve"> PAGEREF _Toc28254 \h </w:instrText>
          </w:r>
          <w:r>
            <w:rPr>
              <w:color w:val="auto"/>
            </w:rPr>
            <w:fldChar w:fldCharType="separate"/>
          </w:r>
          <w:r>
            <w:rPr>
              <w:color w:val="auto"/>
            </w:rPr>
            <w:t>- 125 -</w:t>
          </w:r>
          <w:r>
            <w:rPr>
              <w:color w:val="auto"/>
            </w:rPr>
            <w:fldChar w:fldCharType="end"/>
          </w:r>
          <w:r>
            <w:rPr>
              <w:color w:val="auto"/>
            </w:rPr>
            <w:fldChar w:fldCharType="end"/>
          </w:r>
        </w:p>
        <w:p w14:paraId="12B4697B">
          <w:pPr>
            <w:pStyle w:val="42"/>
            <w:tabs>
              <w:tab w:val="right" w:leader="dot" w:pos="8844"/>
            </w:tabs>
            <w:rPr>
              <w:color w:val="auto"/>
            </w:rPr>
          </w:pPr>
          <w:r>
            <w:rPr>
              <w:color w:val="auto"/>
            </w:rPr>
            <w:fldChar w:fldCharType="begin"/>
          </w:r>
          <w:r>
            <w:rPr>
              <w:color w:val="auto"/>
            </w:rPr>
            <w:instrText xml:space="preserve"> HYPERLINK \l "_Toc17725" </w:instrText>
          </w:r>
          <w:r>
            <w:rPr>
              <w:color w:val="auto"/>
            </w:rPr>
            <w:fldChar w:fldCharType="separate"/>
          </w:r>
          <w:r>
            <w:rPr>
              <w:rFonts w:hint="eastAsia" w:ascii="宋体" w:hAnsi="宋体"/>
              <w:bCs/>
              <w:color w:val="auto"/>
              <w:szCs w:val="32"/>
            </w:rPr>
            <w:t>七、</w:t>
          </w:r>
          <w:r>
            <w:rPr>
              <w:rFonts w:hint="eastAsia" w:ascii="宋体" w:hAnsi="宋体"/>
              <w:color w:val="auto"/>
              <w:szCs w:val="32"/>
            </w:rPr>
            <w:t>报价一览表及报价文件</w:t>
          </w:r>
          <w:r>
            <w:rPr>
              <w:color w:val="auto"/>
            </w:rPr>
            <w:tab/>
          </w:r>
          <w:r>
            <w:rPr>
              <w:color w:val="auto"/>
            </w:rPr>
            <w:fldChar w:fldCharType="begin"/>
          </w:r>
          <w:r>
            <w:rPr>
              <w:color w:val="auto"/>
            </w:rPr>
            <w:instrText xml:space="preserve"> PAGEREF _Toc17725 \h </w:instrText>
          </w:r>
          <w:r>
            <w:rPr>
              <w:color w:val="auto"/>
            </w:rPr>
            <w:fldChar w:fldCharType="separate"/>
          </w:r>
          <w:r>
            <w:rPr>
              <w:color w:val="auto"/>
            </w:rPr>
            <w:t>- 130 -</w:t>
          </w:r>
          <w:r>
            <w:rPr>
              <w:color w:val="auto"/>
            </w:rPr>
            <w:fldChar w:fldCharType="end"/>
          </w:r>
          <w:r>
            <w:rPr>
              <w:color w:val="auto"/>
            </w:rPr>
            <w:fldChar w:fldCharType="end"/>
          </w:r>
        </w:p>
        <w:p w14:paraId="37FF6924">
          <w:pPr>
            <w:pStyle w:val="42"/>
            <w:tabs>
              <w:tab w:val="right" w:leader="dot" w:pos="8844"/>
            </w:tabs>
            <w:rPr>
              <w:color w:val="auto"/>
            </w:rPr>
          </w:pPr>
          <w:r>
            <w:rPr>
              <w:color w:val="auto"/>
            </w:rPr>
            <w:fldChar w:fldCharType="begin"/>
          </w:r>
          <w:r>
            <w:rPr>
              <w:color w:val="auto"/>
            </w:rPr>
            <w:instrText xml:space="preserve"> HYPERLINK \l "_Toc7455" </w:instrText>
          </w:r>
          <w:r>
            <w:rPr>
              <w:color w:val="auto"/>
            </w:rPr>
            <w:fldChar w:fldCharType="separate"/>
          </w:r>
          <w:r>
            <w:rPr>
              <w:rFonts w:hint="eastAsia" w:ascii="宋体" w:hAnsi="宋体"/>
              <w:color w:val="auto"/>
              <w:szCs w:val="32"/>
            </w:rPr>
            <w:t>八</w:t>
          </w:r>
          <w:r>
            <w:rPr>
              <w:rFonts w:hint="eastAsia" w:ascii="宋体" w:hAnsi="宋体"/>
              <w:bCs/>
              <w:color w:val="auto"/>
              <w:szCs w:val="32"/>
            </w:rPr>
            <w:t>、供应商认为需要提供的其它资料</w:t>
          </w:r>
          <w:r>
            <w:rPr>
              <w:color w:val="auto"/>
            </w:rPr>
            <w:tab/>
          </w:r>
          <w:r>
            <w:rPr>
              <w:color w:val="auto"/>
            </w:rPr>
            <w:fldChar w:fldCharType="begin"/>
          </w:r>
          <w:r>
            <w:rPr>
              <w:color w:val="auto"/>
            </w:rPr>
            <w:instrText xml:space="preserve"> PAGEREF _Toc7455 \h </w:instrText>
          </w:r>
          <w:r>
            <w:rPr>
              <w:color w:val="auto"/>
            </w:rPr>
            <w:fldChar w:fldCharType="separate"/>
          </w:r>
          <w:r>
            <w:rPr>
              <w:color w:val="auto"/>
            </w:rPr>
            <w:t>- 132 -</w:t>
          </w:r>
          <w:r>
            <w:rPr>
              <w:color w:val="auto"/>
            </w:rPr>
            <w:fldChar w:fldCharType="end"/>
          </w:r>
          <w:r>
            <w:rPr>
              <w:color w:val="auto"/>
            </w:rPr>
            <w:fldChar w:fldCharType="end"/>
          </w:r>
        </w:p>
        <w:p w14:paraId="038AEAA1">
          <w:pPr>
            <w:pStyle w:val="42"/>
            <w:tabs>
              <w:tab w:val="right" w:leader="dot" w:pos="8844"/>
            </w:tabs>
            <w:rPr>
              <w:color w:val="auto"/>
            </w:rPr>
          </w:pPr>
          <w:r>
            <w:rPr>
              <w:color w:val="auto"/>
            </w:rPr>
            <w:fldChar w:fldCharType="begin"/>
          </w:r>
          <w:r>
            <w:rPr>
              <w:color w:val="auto"/>
            </w:rPr>
            <w:instrText xml:space="preserve"> HYPERLINK \l "_Toc12010" </w:instrText>
          </w:r>
          <w:r>
            <w:rPr>
              <w:color w:val="auto"/>
            </w:rPr>
            <w:fldChar w:fldCharType="separate"/>
          </w:r>
          <w:r>
            <w:rPr>
              <w:rFonts w:hint="eastAsia" w:ascii="宋体" w:hAnsi="宋体"/>
              <w:color w:val="auto"/>
              <w:szCs w:val="32"/>
            </w:rPr>
            <w:t>九、最后报价</w:t>
          </w:r>
          <w:r>
            <w:rPr>
              <w:color w:val="auto"/>
            </w:rPr>
            <w:tab/>
          </w:r>
          <w:r>
            <w:rPr>
              <w:color w:val="auto"/>
            </w:rPr>
            <w:fldChar w:fldCharType="begin"/>
          </w:r>
          <w:r>
            <w:rPr>
              <w:color w:val="auto"/>
            </w:rPr>
            <w:instrText xml:space="preserve"> PAGEREF _Toc12010 \h </w:instrText>
          </w:r>
          <w:r>
            <w:rPr>
              <w:color w:val="auto"/>
            </w:rPr>
            <w:fldChar w:fldCharType="separate"/>
          </w:r>
          <w:r>
            <w:rPr>
              <w:color w:val="auto"/>
            </w:rPr>
            <w:t>- 133 -</w:t>
          </w:r>
          <w:r>
            <w:rPr>
              <w:color w:val="auto"/>
            </w:rPr>
            <w:fldChar w:fldCharType="end"/>
          </w:r>
          <w:r>
            <w:rPr>
              <w:color w:val="auto"/>
            </w:rPr>
            <w:fldChar w:fldCharType="end"/>
          </w:r>
        </w:p>
        <w:p w14:paraId="257F86E2">
          <w:pPr>
            <w:rPr>
              <w:color w:val="auto"/>
            </w:rPr>
          </w:pPr>
          <w:r>
            <w:rPr>
              <w:rFonts w:hAnsi="宋体"/>
              <w:color w:val="auto"/>
              <w:szCs w:val="36"/>
            </w:rPr>
            <w:fldChar w:fldCharType="end"/>
          </w:r>
        </w:p>
      </w:sdtContent>
    </w:sdt>
    <w:p w14:paraId="49F4DC45">
      <w:pPr>
        <w:rPr>
          <w:rFonts w:hAnsi="宋体"/>
          <w:b/>
          <w:color w:val="auto"/>
          <w:szCs w:val="32"/>
        </w:rPr>
      </w:pPr>
      <w:r>
        <w:rPr>
          <w:rFonts w:hint="eastAsia"/>
          <w:color w:val="auto"/>
        </w:rPr>
        <w:br w:type="page"/>
      </w:r>
    </w:p>
    <w:p w14:paraId="2C9ACB68">
      <w:pPr>
        <w:tabs>
          <w:tab w:val="left" w:pos="1380"/>
          <w:tab w:val="center" w:pos="4153"/>
          <w:tab w:val="left" w:pos="6720"/>
        </w:tabs>
        <w:jc w:val="center"/>
        <w:outlineLvl w:val="0"/>
        <w:rPr>
          <w:rFonts w:ascii="宋体" w:hAnsi="宋体"/>
          <w:b/>
          <w:color w:val="auto"/>
          <w:sz w:val="32"/>
          <w:szCs w:val="32"/>
        </w:rPr>
      </w:pPr>
      <w:bookmarkStart w:id="0" w:name="_Toc8068"/>
      <w:r>
        <w:rPr>
          <w:rFonts w:hint="eastAsia" w:ascii="宋体" w:hAnsi="宋体"/>
          <w:b/>
          <w:color w:val="auto"/>
          <w:sz w:val="32"/>
          <w:szCs w:val="32"/>
        </w:rPr>
        <w:t>第一章 磋商通知</w:t>
      </w:r>
      <w:bookmarkEnd w:id="0"/>
    </w:p>
    <w:p w14:paraId="0E15271D">
      <w:pPr>
        <w:tabs>
          <w:tab w:val="center" w:pos="4153"/>
          <w:tab w:val="left" w:pos="6720"/>
        </w:tabs>
        <w:spacing w:line="240" w:lineRule="exact"/>
        <w:jc w:val="left"/>
        <w:rPr>
          <w:rFonts w:ascii="宋体" w:hAnsi="宋体"/>
          <w:b/>
          <w:color w:val="auto"/>
          <w:sz w:val="32"/>
          <w:szCs w:val="32"/>
        </w:rPr>
      </w:pPr>
      <w:r>
        <w:rPr>
          <w:rFonts w:hint="eastAsia" w:ascii="宋体" w:hAnsi="宋体"/>
          <w:b/>
          <w:color w:val="auto"/>
          <w:sz w:val="32"/>
          <w:szCs w:val="32"/>
        </w:rPr>
        <w:tab/>
      </w:r>
    </w:p>
    <w:p w14:paraId="08FBBA49">
      <w:pPr>
        <w:adjustRightInd w:val="0"/>
        <w:snapToGrid w:val="0"/>
        <w:spacing w:line="460" w:lineRule="exact"/>
        <w:ind w:firstLine="480" w:firstLineChars="200"/>
        <w:rPr>
          <w:rFonts w:ascii="宋体" w:hAnsi="宋体"/>
          <w:color w:val="auto"/>
          <w:sz w:val="24"/>
        </w:rPr>
      </w:pPr>
      <w:r>
        <w:rPr>
          <w:rFonts w:hint="eastAsia" w:ascii="宋体" w:hAnsi="宋体"/>
          <w:color w:val="auto"/>
          <w:sz w:val="24"/>
          <w:shd w:val="clear" w:color="auto" w:fill="FFFFFF"/>
        </w:rPr>
        <w:t>受</w:t>
      </w:r>
      <w:r>
        <w:rPr>
          <w:rFonts w:hint="eastAsia" w:ascii="宋体" w:hAnsi="宋体"/>
          <w:color w:val="auto"/>
          <w:sz w:val="24"/>
          <w:u w:val="single"/>
          <w:shd w:val="clear" w:color="auto" w:fill="FFFFFF"/>
        </w:rPr>
        <w:t xml:space="preserve"> </w:t>
      </w:r>
      <w:r>
        <w:rPr>
          <w:rFonts w:hint="eastAsia" w:ascii="宋体" w:hAnsi="宋体"/>
          <w:color w:val="auto"/>
          <w:sz w:val="24"/>
          <w:u w:val="single"/>
        </w:rPr>
        <w:t xml:space="preserve">湖南文理学院 </w:t>
      </w:r>
      <w:r>
        <w:rPr>
          <w:rFonts w:hint="eastAsia" w:ascii="宋体" w:hAnsi="宋体"/>
          <w:color w:val="auto"/>
          <w:sz w:val="24"/>
          <w:shd w:val="clear" w:color="auto" w:fill="FFFFFF"/>
        </w:rPr>
        <w:t>的委托，本代理机构对其所需的</w:t>
      </w:r>
      <w:r>
        <w:rPr>
          <w:rFonts w:hint="eastAsia" w:ascii="宋体" w:hAnsi="宋体"/>
          <w:color w:val="auto"/>
          <w:sz w:val="24"/>
          <w:u w:val="single"/>
          <w:shd w:val="clear" w:color="auto" w:fill="FFFFFF"/>
        </w:rPr>
        <w:t xml:space="preserve"> </w:t>
      </w:r>
      <w:r>
        <w:rPr>
          <w:rFonts w:hint="eastAsia" w:ascii="宋体" w:hAnsi="宋体"/>
          <w:color w:val="auto"/>
          <w:sz w:val="24"/>
          <w:u w:val="single"/>
          <w:shd w:val="clear" w:color="auto" w:fill="FFFFFF"/>
          <w:lang w:eastAsia="zh-CN"/>
        </w:rPr>
        <w:t>湖南文理学院儿童发展与游戏、儿童心理与行为分析、儿童科学教育三间实训室建设项目</w:t>
      </w:r>
      <w:r>
        <w:rPr>
          <w:rFonts w:hint="eastAsia" w:ascii="宋体" w:hAnsi="宋体"/>
          <w:color w:val="auto"/>
          <w:sz w:val="24"/>
          <w:u w:val="single"/>
          <w:shd w:val="clear" w:color="auto" w:fill="FFFFFF"/>
        </w:rPr>
        <w:t xml:space="preserve"> </w:t>
      </w:r>
      <w:r>
        <w:rPr>
          <w:rFonts w:hint="eastAsia" w:ascii="宋体" w:hAnsi="宋体"/>
          <w:color w:val="auto"/>
          <w:sz w:val="24"/>
          <w:shd w:val="clear" w:color="auto" w:fill="FFFFFF"/>
        </w:rPr>
        <w:t>进行</w:t>
      </w:r>
      <w:r>
        <w:rPr>
          <w:rFonts w:hint="eastAsia" w:ascii="宋体" w:hAnsi="宋体"/>
          <w:color w:val="auto"/>
          <w:sz w:val="24"/>
        </w:rPr>
        <w:t>竞争性磋商采购</w:t>
      </w:r>
      <w:r>
        <w:rPr>
          <w:rFonts w:hint="eastAsia" w:ascii="宋体" w:hAnsi="宋体"/>
          <w:color w:val="auto"/>
          <w:sz w:val="24"/>
          <w:shd w:val="clear" w:color="auto" w:fill="FFFFFF"/>
        </w:rPr>
        <w:t>，</w:t>
      </w:r>
      <w:r>
        <w:rPr>
          <w:rFonts w:hint="eastAsia" w:ascii="宋体" w:hAnsi="宋体"/>
          <w:color w:val="auto"/>
          <w:sz w:val="24"/>
        </w:rPr>
        <w:t>现采用发布公告方式，邀请符合资格条件的供应商参与竞争性磋商采购活动。</w:t>
      </w:r>
    </w:p>
    <w:p w14:paraId="0F82929F">
      <w:pPr>
        <w:widowControl/>
        <w:shd w:val="clear" w:color="auto" w:fill="FFFFFF"/>
        <w:adjustRightInd w:val="0"/>
        <w:snapToGrid w:val="0"/>
        <w:spacing w:line="460" w:lineRule="exact"/>
        <w:jc w:val="left"/>
        <w:rPr>
          <w:rFonts w:ascii="宋体" w:hAnsi="宋体" w:cs="宋体"/>
          <w:color w:val="auto"/>
          <w:kern w:val="0"/>
          <w:sz w:val="24"/>
        </w:rPr>
      </w:pPr>
      <w:r>
        <w:rPr>
          <w:rFonts w:hint="eastAsia" w:ascii="宋体" w:hAnsi="宋体" w:cs="宋体"/>
          <w:b/>
          <w:bCs/>
          <w:color w:val="auto"/>
          <w:kern w:val="0"/>
          <w:sz w:val="24"/>
        </w:rPr>
        <w:t>一、项目概况：</w:t>
      </w:r>
    </w:p>
    <w:p w14:paraId="34346658">
      <w:pPr>
        <w:widowControl/>
        <w:shd w:val="clear" w:color="auto" w:fill="FFFFFF"/>
        <w:adjustRightInd w:val="0"/>
        <w:snapToGrid w:val="0"/>
        <w:spacing w:line="460" w:lineRule="exact"/>
        <w:jc w:val="left"/>
        <w:rPr>
          <w:rFonts w:hint="eastAsia" w:ascii="宋体" w:hAnsi="宋体" w:eastAsia="宋体" w:cs="宋体"/>
          <w:color w:val="auto"/>
          <w:kern w:val="0"/>
          <w:sz w:val="24"/>
          <w:lang w:eastAsia="zh-CN"/>
        </w:rPr>
      </w:pPr>
      <w:r>
        <w:rPr>
          <w:rFonts w:hint="eastAsia" w:ascii="宋体" w:hAnsi="宋体" w:cs="宋体"/>
          <w:color w:val="auto"/>
          <w:kern w:val="0"/>
          <w:sz w:val="24"/>
        </w:rPr>
        <w:t>1.采购项目名称：</w:t>
      </w:r>
      <w:r>
        <w:rPr>
          <w:rFonts w:hint="eastAsia" w:ascii="宋体" w:hAnsi="宋体" w:cs="宋体"/>
          <w:color w:val="auto"/>
          <w:kern w:val="0"/>
          <w:sz w:val="24"/>
          <w:lang w:eastAsia="zh-CN"/>
        </w:rPr>
        <w:t>湖南文理学院儿童发展与游戏、儿童心理与行为分析、儿童科学教育三间实训室建设项目</w:t>
      </w:r>
    </w:p>
    <w:p w14:paraId="5642A99A">
      <w:pPr>
        <w:widowControl/>
        <w:shd w:val="clear" w:color="auto" w:fill="FFFFFF"/>
        <w:adjustRightInd w:val="0"/>
        <w:snapToGrid w:val="0"/>
        <w:spacing w:line="460" w:lineRule="exact"/>
        <w:jc w:val="left"/>
        <w:rPr>
          <w:rFonts w:hint="eastAsia" w:ascii="宋体" w:hAnsi="宋体" w:eastAsia="宋体" w:cs="宋体"/>
          <w:color w:val="auto"/>
          <w:kern w:val="0"/>
          <w:sz w:val="24"/>
          <w:lang w:eastAsia="zh-CN"/>
        </w:rPr>
      </w:pPr>
      <w:r>
        <w:rPr>
          <w:rFonts w:hint="eastAsia" w:ascii="宋体" w:hAnsi="宋体" w:cs="宋体"/>
          <w:color w:val="auto"/>
          <w:kern w:val="0"/>
          <w:sz w:val="24"/>
        </w:rPr>
        <w:t>2.</w:t>
      </w:r>
      <w:r>
        <w:rPr>
          <w:rFonts w:hint="eastAsia" w:ascii="宋体" w:hAnsi="宋体" w:cs="宋体"/>
          <w:color w:val="auto"/>
          <w:kern w:val="0"/>
          <w:sz w:val="24"/>
          <w:lang w:eastAsia="zh-CN"/>
        </w:rPr>
        <w:t>政府采购编号</w:t>
      </w:r>
      <w:r>
        <w:rPr>
          <w:rFonts w:hint="eastAsia" w:ascii="宋体" w:hAnsi="宋体" w:cs="宋体"/>
          <w:color w:val="auto"/>
          <w:kern w:val="0"/>
          <w:sz w:val="24"/>
        </w:rPr>
        <w:t>：</w:t>
      </w:r>
      <w:r>
        <w:rPr>
          <w:rFonts w:hint="eastAsia" w:ascii="宋体" w:hAnsi="宋体" w:cs="宋体"/>
          <w:color w:val="auto"/>
          <w:kern w:val="0"/>
          <w:sz w:val="24"/>
          <w:lang w:eastAsia="zh-CN"/>
        </w:rPr>
        <w:t>CGXM2026430000002081</w:t>
      </w:r>
    </w:p>
    <w:p w14:paraId="568A0E34">
      <w:pPr>
        <w:widowControl/>
        <w:shd w:val="clear" w:color="auto" w:fill="FFFFFF"/>
        <w:adjustRightInd w:val="0"/>
        <w:snapToGrid w:val="0"/>
        <w:spacing w:line="460" w:lineRule="exact"/>
        <w:ind w:firstLine="240" w:firstLineChars="100"/>
        <w:jc w:val="left"/>
        <w:rPr>
          <w:rFonts w:hint="eastAsia" w:ascii="宋体" w:hAnsi="宋体" w:eastAsia="宋体" w:cs="宋体"/>
          <w:color w:val="auto"/>
          <w:kern w:val="0"/>
          <w:sz w:val="24"/>
          <w:lang w:eastAsia="zh-CN"/>
        </w:rPr>
      </w:pPr>
      <w:r>
        <w:rPr>
          <w:rFonts w:hint="eastAsia" w:ascii="宋体" w:hAnsi="宋体" w:cs="宋体"/>
          <w:color w:val="auto"/>
          <w:kern w:val="0"/>
          <w:sz w:val="24"/>
        </w:rPr>
        <w:t>委托代理编号：</w:t>
      </w:r>
      <w:r>
        <w:rPr>
          <w:rFonts w:hint="eastAsia" w:ascii="宋体" w:hAnsi="宋体" w:cs="宋体"/>
          <w:color w:val="auto"/>
          <w:kern w:val="0"/>
          <w:sz w:val="24"/>
          <w:lang w:eastAsia="zh-CN"/>
        </w:rPr>
        <w:t>CDZYZB2026-C-88</w:t>
      </w:r>
    </w:p>
    <w:p w14:paraId="46ED56EF">
      <w:pPr>
        <w:widowControl/>
        <w:shd w:val="clear" w:color="auto" w:fill="FFFFFF"/>
        <w:adjustRightInd w:val="0"/>
        <w:snapToGrid w:val="0"/>
        <w:spacing w:line="460" w:lineRule="exact"/>
        <w:jc w:val="left"/>
        <w:rPr>
          <w:rFonts w:ascii="宋体" w:hAnsi="宋体" w:cs="宋体"/>
          <w:color w:val="auto"/>
          <w:kern w:val="0"/>
          <w:sz w:val="24"/>
        </w:rPr>
      </w:pPr>
      <w:r>
        <w:rPr>
          <w:rFonts w:hint="eastAsia" w:ascii="宋体" w:hAnsi="宋体" w:cs="宋体"/>
          <w:color w:val="auto"/>
          <w:kern w:val="0"/>
          <w:sz w:val="24"/>
        </w:rPr>
        <w:t>3.采购项目用途、技术要求、名称及预算：</w:t>
      </w:r>
    </w:p>
    <w:tbl>
      <w:tblPr>
        <w:tblStyle w:val="51"/>
        <w:tblW w:w="4997" w:type="pct"/>
        <w:tblInd w:w="0" w:type="dxa"/>
        <w:shd w:val="clear" w:color="auto" w:fill="FFFFFF"/>
        <w:tblLayout w:type="autofit"/>
        <w:tblCellMar>
          <w:top w:w="15" w:type="dxa"/>
          <w:left w:w="15" w:type="dxa"/>
          <w:bottom w:w="15" w:type="dxa"/>
          <w:right w:w="15" w:type="dxa"/>
        </w:tblCellMar>
      </w:tblPr>
      <w:tblGrid>
        <w:gridCol w:w="785"/>
        <w:gridCol w:w="3159"/>
        <w:gridCol w:w="2552"/>
        <w:gridCol w:w="787"/>
        <w:gridCol w:w="1556"/>
      </w:tblGrid>
      <w:tr w14:paraId="5A5A2432">
        <w:tblPrEx>
          <w:shd w:val="clear" w:color="auto" w:fill="FFFFFF"/>
          <w:tblCellMar>
            <w:top w:w="15" w:type="dxa"/>
            <w:left w:w="15" w:type="dxa"/>
            <w:bottom w:w="15" w:type="dxa"/>
            <w:right w:w="15" w:type="dxa"/>
          </w:tblCellMar>
        </w:tblPrEx>
        <w:trPr>
          <w:trHeight w:val="295" w:hRule="atLeast"/>
        </w:trPr>
        <w:tc>
          <w:tcPr>
            <w:tcW w:w="444" w:type="pct"/>
            <w:tcBorders>
              <w:top w:val="single" w:color="666666" w:sz="6" w:space="0"/>
              <w:left w:val="single" w:color="666666" w:sz="6" w:space="0"/>
              <w:bottom w:val="single" w:color="666666" w:sz="6" w:space="0"/>
              <w:right w:val="single" w:color="666666" w:sz="6" w:space="0"/>
            </w:tcBorders>
            <w:shd w:val="clear" w:color="auto" w:fill="DEDEDE"/>
            <w:tcMar>
              <w:top w:w="120" w:type="dxa"/>
              <w:left w:w="120" w:type="dxa"/>
              <w:bottom w:w="120" w:type="dxa"/>
              <w:right w:w="120" w:type="dxa"/>
            </w:tcMar>
            <w:vAlign w:val="center"/>
          </w:tcPr>
          <w:p w14:paraId="3ED22693">
            <w:pPr>
              <w:widowControl/>
              <w:adjustRightInd w:val="0"/>
              <w:snapToGrid w:val="0"/>
              <w:jc w:val="center"/>
              <w:rPr>
                <w:rFonts w:ascii="宋体" w:hAnsi="宋体" w:cs="宋体"/>
                <w:b/>
                <w:color w:val="auto"/>
                <w:sz w:val="24"/>
              </w:rPr>
            </w:pPr>
            <w:r>
              <w:rPr>
                <w:rFonts w:hint="eastAsia" w:ascii="宋体" w:hAnsi="宋体" w:cs="宋体"/>
                <w:b/>
                <w:color w:val="auto"/>
                <w:kern w:val="0"/>
                <w:sz w:val="24"/>
              </w:rPr>
              <w:t>包号</w:t>
            </w:r>
          </w:p>
        </w:tc>
        <w:tc>
          <w:tcPr>
            <w:tcW w:w="1786" w:type="pct"/>
            <w:tcBorders>
              <w:top w:val="single" w:color="666666" w:sz="6" w:space="0"/>
              <w:left w:val="single" w:color="666666" w:sz="6" w:space="0"/>
              <w:bottom w:val="single" w:color="666666" w:sz="6" w:space="0"/>
              <w:right w:val="single" w:color="auto" w:sz="4" w:space="0"/>
            </w:tcBorders>
            <w:shd w:val="clear" w:color="auto" w:fill="DEDEDE"/>
            <w:tcMar>
              <w:top w:w="120" w:type="dxa"/>
              <w:left w:w="120" w:type="dxa"/>
              <w:bottom w:w="120" w:type="dxa"/>
              <w:right w:w="120" w:type="dxa"/>
            </w:tcMar>
            <w:vAlign w:val="center"/>
          </w:tcPr>
          <w:p w14:paraId="5C9C8EAA">
            <w:pPr>
              <w:widowControl/>
              <w:adjustRightInd w:val="0"/>
              <w:snapToGrid w:val="0"/>
              <w:jc w:val="center"/>
              <w:rPr>
                <w:rFonts w:hint="default" w:ascii="宋体" w:hAnsi="宋体" w:eastAsia="宋体" w:cs="宋体"/>
                <w:b/>
                <w:color w:val="auto"/>
                <w:sz w:val="24"/>
                <w:lang w:val="en-US" w:eastAsia="zh-CN"/>
              </w:rPr>
            </w:pPr>
            <w:r>
              <w:rPr>
                <w:rFonts w:hint="eastAsia" w:ascii="宋体" w:hAnsi="宋体" w:cs="宋体"/>
                <w:b/>
                <w:color w:val="auto"/>
                <w:sz w:val="24"/>
                <w:lang w:val="en-US" w:eastAsia="zh-CN"/>
              </w:rPr>
              <w:t>标段名称</w:t>
            </w:r>
          </w:p>
        </w:tc>
        <w:tc>
          <w:tcPr>
            <w:tcW w:w="1443" w:type="pct"/>
            <w:tcBorders>
              <w:top w:val="single" w:color="666666" w:sz="6" w:space="0"/>
              <w:left w:val="single" w:color="auto" w:sz="4" w:space="0"/>
              <w:bottom w:val="single" w:color="666666" w:sz="6" w:space="0"/>
              <w:right w:val="single" w:color="666666" w:sz="6" w:space="0"/>
            </w:tcBorders>
            <w:shd w:val="clear" w:color="auto" w:fill="DEDEDE"/>
            <w:tcMar>
              <w:top w:w="120" w:type="dxa"/>
              <w:left w:w="120" w:type="dxa"/>
              <w:bottom w:w="120" w:type="dxa"/>
              <w:right w:w="120" w:type="dxa"/>
            </w:tcMar>
            <w:vAlign w:val="center"/>
          </w:tcPr>
          <w:p w14:paraId="636BB31E">
            <w:pPr>
              <w:widowControl/>
              <w:adjustRightInd w:val="0"/>
              <w:snapToGrid w:val="0"/>
              <w:jc w:val="center"/>
              <w:rPr>
                <w:rFonts w:hint="eastAsia" w:ascii="宋体" w:hAnsi="宋体" w:cs="宋体"/>
                <w:b/>
                <w:color w:val="auto"/>
                <w:kern w:val="0"/>
                <w:sz w:val="24"/>
              </w:rPr>
            </w:pPr>
            <w:r>
              <w:rPr>
                <w:rFonts w:hint="eastAsia" w:ascii="宋体" w:hAnsi="宋体" w:cs="宋体"/>
                <w:b/>
                <w:color w:val="auto"/>
                <w:kern w:val="0"/>
                <w:sz w:val="24"/>
              </w:rPr>
              <w:t>品目名称</w:t>
            </w:r>
          </w:p>
        </w:tc>
        <w:tc>
          <w:tcPr>
            <w:tcW w:w="445" w:type="pct"/>
            <w:tcBorders>
              <w:top w:val="single" w:color="666666" w:sz="6" w:space="0"/>
              <w:left w:val="single" w:color="666666" w:sz="6" w:space="0"/>
              <w:bottom w:val="single" w:color="666666" w:sz="6" w:space="0"/>
              <w:right w:val="single" w:color="666666" w:sz="6" w:space="0"/>
            </w:tcBorders>
            <w:shd w:val="clear" w:color="auto" w:fill="DEDEDE"/>
            <w:tcMar>
              <w:top w:w="120" w:type="dxa"/>
              <w:left w:w="120" w:type="dxa"/>
              <w:bottom w:w="120" w:type="dxa"/>
              <w:right w:w="120" w:type="dxa"/>
            </w:tcMar>
            <w:vAlign w:val="center"/>
          </w:tcPr>
          <w:p w14:paraId="6B65E5C6">
            <w:pPr>
              <w:widowControl/>
              <w:adjustRightInd w:val="0"/>
              <w:snapToGrid w:val="0"/>
              <w:jc w:val="center"/>
              <w:rPr>
                <w:rFonts w:ascii="宋体" w:hAnsi="宋体" w:cs="宋体"/>
                <w:b/>
                <w:color w:val="auto"/>
                <w:sz w:val="24"/>
              </w:rPr>
            </w:pPr>
            <w:r>
              <w:rPr>
                <w:rFonts w:hint="eastAsia" w:ascii="宋体" w:hAnsi="宋体" w:cs="宋体"/>
                <w:b/>
                <w:color w:val="auto"/>
                <w:kern w:val="0"/>
                <w:sz w:val="24"/>
              </w:rPr>
              <w:t>单位</w:t>
            </w:r>
          </w:p>
        </w:tc>
        <w:tc>
          <w:tcPr>
            <w:tcW w:w="880" w:type="pct"/>
            <w:tcBorders>
              <w:top w:val="single" w:color="666666" w:sz="6" w:space="0"/>
              <w:left w:val="single" w:color="666666" w:sz="6" w:space="0"/>
              <w:bottom w:val="single" w:color="666666" w:sz="6" w:space="0"/>
              <w:right w:val="single" w:color="666666" w:sz="6" w:space="0"/>
            </w:tcBorders>
            <w:shd w:val="clear" w:color="auto" w:fill="DEDEDE"/>
            <w:tcMar>
              <w:top w:w="120" w:type="dxa"/>
              <w:left w:w="120" w:type="dxa"/>
              <w:bottom w:w="120" w:type="dxa"/>
              <w:right w:w="120" w:type="dxa"/>
            </w:tcMar>
            <w:vAlign w:val="center"/>
          </w:tcPr>
          <w:p w14:paraId="69320756">
            <w:pPr>
              <w:widowControl/>
              <w:adjustRightInd w:val="0"/>
              <w:snapToGrid w:val="0"/>
              <w:jc w:val="center"/>
              <w:rPr>
                <w:rFonts w:ascii="宋体" w:hAnsi="宋体" w:cs="宋体"/>
                <w:b/>
                <w:color w:val="auto"/>
                <w:sz w:val="24"/>
              </w:rPr>
            </w:pPr>
            <w:r>
              <w:rPr>
                <w:rFonts w:hint="eastAsia" w:ascii="宋体" w:hAnsi="宋体" w:cs="宋体"/>
                <w:b/>
                <w:color w:val="auto"/>
                <w:kern w:val="0"/>
                <w:sz w:val="24"/>
              </w:rPr>
              <w:t>预算金额</w:t>
            </w:r>
          </w:p>
        </w:tc>
      </w:tr>
      <w:tr w14:paraId="6E97674E">
        <w:tblPrEx>
          <w:tblCellMar>
            <w:top w:w="15" w:type="dxa"/>
            <w:left w:w="15" w:type="dxa"/>
            <w:bottom w:w="15" w:type="dxa"/>
            <w:right w:w="15" w:type="dxa"/>
          </w:tblCellMar>
        </w:tblPrEx>
        <w:tc>
          <w:tcPr>
            <w:tcW w:w="444" w:type="pct"/>
            <w:tcBorders>
              <w:top w:val="single" w:color="666666" w:sz="6" w:space="0"/>
              <w:left w:val="single" w:color="666666" w:sz="6" w:space="0"/>
              <w:bottom w:val="single" w:color="666666" w:sz="6" w:space="0"/>
              <w:right w:val="single" w:color="666666" w:sz="6" w:space="0"/>
            </w:tcBorders>
            <w:shd w:val="clear" w:color="auto" w:fill="FFFFFF"/>
            <w:tcMar>
              <w:top w:w="120" w:type="dxa"/>
              <w:left w:w="120" w:type="dxa"/>
              <w:bottom w:w="120" w:type="dxa"/>
              <w:right w:w="120" w:type="dxa"/>
            </w:tcMar>
            <w:vAlign w:val="center"/>
          </w:tcPr>
          <w:p w14:paraId="7C871560">
            <w:pPr>
              <w:jc w:val="center"/>
              <w:rPr>
                <w:rFonts w:ascii="宋体" w:hAnsi="宋体" w:cs="宋体"/>
                <w:color w:val="auto"/>
                <w:sz w:val="24"/>
              </w:rPr>
            </w:pPr>
            <w:r>
              <w:rPr>
                <w:rFonts w:hint="eastAsia" w:ascii="宋体" w:hAnsi="宋体" w:cs="宋体"/>
                <w:color w:val="auto"/>
                <w:sz w:val="24"/>
              </w:rPr>
              <w:t>1</w:t>
            </w:r>
          </w:p>
        </w:tc>
        <w:tc>
          <w:tcPr>
            <w:tcW w:w="1786" w:type="pct"/>
            <w:tcBorders>
              <w:top w:val="single" w:color="666666" w:sz="6" w:space="0"/>
              <w:left w:val="single" w:color="666666" w:sz="6" w:space="0"/>
              <w:bottom w:val="single" w:color="666666" w:sz="6" w:space="0"/>
              <w:right w:val="single" w:color="auto" w:sz="4" w:space="0"/>
            </w:tcBorders>
            <w:shd w:val="clear" w:color="auto" w:fill="FFFFFF"/>
            <w:tcMar>
              <w:top w:w="120" w:type="dxa"/>
              <w:left w:w="120" w:type="dxa"/>
              <w:bottom w:w="120" w:type="dxa"/>
              <w:right w:w="120" w:type="dxa"/>
            </w:tcMar>
            <w:vAlign w:val="center"/>
          </w:tcPr>
          <w:p w14:paraId="1786AE8B">
            <w:pPr>
              <w:jc w:val="center"/>
              <w:rPr>
                <w:rFonts w:ascii="宋体" w:hAnsi="宋体" w:cs="宋体"/>
                <w:color w:val="auto"/>
                <w:sz w:val="24"/>
              </w:rPr>
            </w:pPr>
            <w:r>
              <w:rPr>
                <w:rFonts w:hint="eastAsia" w:ascii="宋体" w:hAnsi="宋体" w:cs="宋体"/>
                <w:color w:val="auto"/>
                <w:kern w:val="0"/>
                <w:sz w:val="24"/>
              </w:rPr>
              <w:t>儿童发展与游戏实训室</w:t>
            </w:r>
          </w:p>
        </w:tc>
        <w:tc>
          <w:tcPr>
            <w:tcW w:w="1443" w:type="pct"/>
            <w:tcBorders>
              <w:top w:val="single" w:color="666666" w:sz="6" w:space="0"/>
              <w:left w:val="single" w:color="auto" w:sz="4" w:space="0"/>
              <w:bottom w:val="single" w:color="666666" w:sz="6" w:space="0"/>
              <w:right w:val="single" w:color="666666" w:sz="6" w:space="0"/>
            </w:tcBorders>
            <w:shd w:val="clear" w:color="auto" w:fill="FFFFFF"/>
            <w:tcMar>
              <w:top w:w="120" w:type="dxa"/>
              <w:left w:w="120" w:type="dxa"/>
              <w:bottom w:w="120" w:type="dxa"/>
              <w:right w:w="120" w:type="dxa"/>
            </w:tcMar>
            <w:vAlign w:val="center"/>
          </w:tcPr>
          <w:p w14:paraId="62A55F71">
            <w:pPr>
              <w:widowControl/>
              <w:adjustRightInd w:val="0"/>
              <w:snapToGrid w:val="0"/>
              <w:jc w:val="center"/>
              <w:rPr>
                <w:rFonts w:hint="eastAsia" w:ascii="宋体" w:hAnsi="宋体" w:cs="宋体"/>
                <w:color w:val="auto"/>
                <w:sz w:val="24"/>
              </w:rPr>
            </w:pPr>
            <w:r>
              <w:rPr>
                <w:rFonts w:hint="eastAsia" w:ascii="宋体" w:hAnsi="宋体" w:cs="宋体"/>
                <w:color w:val="auto"/>
                <w:sz w:val="24"/>
              </w:rPr>
              <w:t>A02102100 教学仪器</w:t>
            </w:r>
          </w:p>
        </w:tc>
        <w:tc>
          <w:tcPr>
            <w:tcW w:w="445" w:type="pct"/>
            <w:tcBorders>
              <w:top w:val="single" w:color="666666" w:sz="6" w:space="0"/>
              <w:left w:val="single" w:color="666666" w:sz="6" w:space="0"/>
              <w:bottom w:val="single" w:color="666666" w:sz="6" w:space="0"/>
              <w:right w:val="single" w:color="666666" w:sz="6" w:space="0"/>
            </w:tcBorders>
            <w:shd w:val="clear" w:color="auto" w:fill="FFFFFF"/>
            <w:tcMar>
              <w:top w:w="120" w:type="dxa"/>
              <w:left w:w="120" w:type="dxa"/>
              <w:bottom w:w="120" w:type="dxa"/>
              <w:right w:w="120" w:type="dxa"/>
            </w:tcMar>
            <w:vAlign w:val="center"/>
          </w:tcPr>
          <w:p w14:paraId="2517B058">
            <w:pPr>
              <w:widowControl/>
              <w:adjustRightInd w:val="0"/>
              <w:snapToGrid w:val="0"/>
              <w:jc w:val="center"/>
              <w:rPr>
                <w:rFonts w:ascii="宋体" w:hAnsi="宋体" w:cs="宋体"/>
                <w:color w:val="auto"/>
                <w:sz w:val="24"/>
              </w:rPr>
            </w:pPr>
            <w:r>
              <w:rPr>
                <w:rFonts w:hint="eastAsia" w:ascii="宋体" w:hAnsi="宋体" w:cs="宋体"/>
                <w:color w:val="auto"/>
                <w:sz w:val="24"/>
              </w:rPr>
              <w:t>1批</w:t>
            </w:r>
          </w:p>
        </w:tc>
        <w:tc>
          <w:tcPr>
            <w:tcW w:w="880" w:type="pct"/>
            <w:tcBorders>
              <w:top w:val="single" w:color="666666" w:sz="6" w:space="0"/>
              <w:left w:val="single" w:color="666666" w:sz="6" w:space="0"/>
              <w:bottom w:val="single" w:color="666666" w:sz="6" w:space="0"/>
              <w:right w:val="single" w:color="666666" w:sz="6" w:space="0"/>
            </w:tcBorders>
            <w:shd w:val="clear" w:color="auto" w:fill="FFFFFF"/>
            <w:tcMar>
              <w:top w:w="120" w:type="dxa"/>
              <w:left w:w="120" w:type="dxa"/>
              <w:bottom w:w="120" w:type="dxa"/>
              <w:right w:w="120" w:type="dxa"/>
            </w:tcMar>
            <w:vAlign w:val="center"/>
          </w:tcPr>
          <w:p w14:paraId="5DA0B034">
            <w:pPr>
              <w:jc w:val="center"/>
              <w:rPr>
                <w:rFonts w:hint="eastAsia" w:ascii="宋体" w:hAnsi="宋体" w:eastAsia="宋体" w:cs="宋体"/>
                <w:color w:val="auto"/>
                <w:sz w:val="24"/>
                <w:lang w:eastAsia="zh-CN"/>
              </w:rPr>
            </w:pPr>
            <w:r>
              <w:rPr>
                <w:rFonts w:hint="eastAsia" w:ascii="宋体" w:hAnsi="宋体" w:cs="宋体"/>
                <w:color w:val="auto"/>
                <w:sz w:val="24"/>
                <w:lang w:eastAsia="zh-CN"/>
              </w:rPr>
              <w:t>270148元</w:t>
            </w:r>
          </w:p>
        </w:tc>
      </w:tr>
      <w:tr w14:paraId="53FCC1B4">
        <w:tblPrEx>
          <w:tblCellMar>
            <w:top w:w="15" w:type="dxa"/>
            <w:left w:w="15" w:type="dxa"/>
            <w:bottom w:w="15" w:type="dxa"/>
            <w:right w:w="15" w:type="dxa"/>
          </w:tblCellMar>
        </w:tblPrEx>
        <w:tc>
          <w:tcPr>
            <w:tcW w:w="444" w:type="pct"/>
            <w:tcBorders>
              <w:top w:val="single" w:color="666666" w:sz="6" w:space="0"/>
              <w:left w:val="single" w:color="666666" w:sz="6" w:space="0"/>
              <w:bottom w:val="single" w:color="666666" w:sz="6" w:space="0"/>
              <w:right w:val="single" w:color="666666" w:sz="6" w:space="0"/>
            </w:tcBorders>
            <w:shd w:val="clear" w:color="auto" w:fill="FFFFFF"/>
            <w:tcMar>
              <w:top w:w="120" w:type="dxa"/>
              <w:left w:w="120" w:type="dxa"/>
              <w:bottom w:w="120" w:type="dxa"/>
              <w:right w:w="120" w:type="dxa"/>
            </w:tcMar>
            <w:vAlign w:val="center"/>
          </w:tcPr>
          <w:p w14:paraId="2DCC167B">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2</w:t>
            </w:r>
          </w:p>
        </w:tc>
        <w:tc>
          <w:tcPr>
            <w:tcW w:w="1786" w:type="pct"/>
            <w:tcBorders>
              <w:top w:val="single" w:color="666666" w:sz="6" w:space="0"/>
              <w:left w:val="single" w:color="666666" w:sz="6" w:space="0"/>
              <w:bottom w:val="single" w:color="666666" w:sz="6" w:space="0"/>
              <w:right w:val="single" w:color="auto" w:sz="4" w:space="0"/>
            </w:tcBorders>
            <w:shd w:val="clear" w:color="auto" w:fill="FFFFFF"/>
            <w:tcMar>
              <w:top w:w="120" w:type="dxa"/>
              <w:left w:w="120" w:type="dxa"/>
              <w:bottom w:w="120" w:type="dxa"/>
              <w:right w:w="120" w:type="dxa"/>
            </w:tcMar>
            <w:vAlign w:val="center"/>
          </w:tcPr>
          <w:p w14:paraId="77062C71">
            <w:pPr>
              <w:jc w:val="center"/>
              <w:rPr>
                <w:rFonts w:ascii="宋体" w:hAnsi="宋体" w:cs="宋体"/>
                <w:color w:val="auto"/>
                <w:sz w:val="24"/>
              </w:rPr>
            </w:pPr>
            <w:r>
              <w:rPr>
                <w:rFonts w:hint="eastAsia" w:ascii="宋体" w:hAnsi="宋体" w:cs="宋体"/>
                <w:color w:val="auto"/>
                <w:kern w:val="0"/>
                <w:sz w:val="24"/>
              </w:rPr>
              <w:t>儿童心理与行为分析实训室</w:t>
            </w:r>
          </w:p>
        </w:tc>
        <w:tc>
          <w:tcPr>
            <w:tcW w:w="1443" w:type="pct"/>
            <w:tcBorders>
              <w:top w:val="single" w:color="666666" w:sz="6" w:space="0"/>
              <w:left w:val="single" w:color="auto" w:sz="4" w:space="0"/>
              <w:bottom w:val="single" w:color="666666" w:sz="6" w:space="0"/>
              <w:right w:val="single" w:color="666666" w:sz="6" w:space="0"/>
            </w:tcBorders>
            <w:shd w:val="clear" w:color="auto" w:fill="FFFFFF"/>
            <w:tcMar>
              <w:top w:w="120" w:type="dxa"/>
              <w:left w:w="120" w:type="dxa"/>
              <w:bottom w:w="120" w:type="dxa"/>
              <w:right w:w="120" w:type="dxa"/>
            </w:tcMar>
            <w:vAlign w:val="center"/>
          </w:tcPr>
          <w:p w14:paraId="5EC27A57">
            <w:pPr>
              <w:widowControl/>
              <w:adjustRightInd w:val="0"/>
              <w:snapToGrid w:val="0"/>
              <w:jc w:val="center"/>
              <w:rPr>
                <w:rFonts w:hint="eastAsia" w:ascii="宋体" w:hAnsi="宋体" w:cs="宋体"/>
                <w:color w:val="auto"/>
                <w:sz w:val="24"/>
              </w:rPr>
            </w:pPr>
            <w:r>
              <w:rPr>
                <w:rFonts w:hint="eastAsia" w:ascii="宋体" w:hAnsi="宋体" w:cs="宋体"/>
                <w:color w:val="auto"/>
                <w:sz w:val="24"/>
              </w:rPr>
              <w:t>A02102100 教学仪器</w:t>
            </w:r>
          </w:p>
        </w:tc>
        <w:tc>
          <w:tcPr>
            <w:tcW w:w="445" w:type="pct"/>
            <w:tcBorders>
              <w:top w:val="single" w:color="666666" w:sz="6" w:space="0"/>
              <w:left w:val="single" w:color="666666" w:sz="6" w:space="0"/>
              <w:bottom w:val="single" w:color="666666" w:sz="6" w:space="0"/>
              <w:right w:val="single" w:color="666666" w:sz="6" w:space="0"/>
            </w:tcBorders>
            <w:shd w:val="clear" w:color="auto" w:fill="FFFFFF"/>
            <w:tcMar>
              <w:top w:w="120" w:type="dxa"/>
              <w:left w:w="120" w:type="dxa"/>
              <w:bottom w:w="120" w:type="dxa"/>
              <w:right w:w="120" w:type="dxa"/>
            </w:tcMar>
            <w:vAlign w:val="center"/>
          </w:tcPr>
          <w:p w14:paraId="3D39731F">
            <w:pPr>
              <w:widowControl/>
              <w:adjustRightInd w:val="0"/>
              <w:snapToGrid w:val="0"/>
              <w:jc w:val="center"/>
              <w:rPr>
                <w:rFonts w:hint="eastAsia" w:ascii="宋体" w:hAnsi="宋体" w:cs="宋体"/>
                <w:color w:val="auto"/>
                <w:sz w:val="24"/>
              </w:rPr>
            </w:pPr>
            <w:r>
              <w:rPr>
                <w:rFonts w:hint="eastAsia" w:ascii="宋体" w:hAnsi="宋体" w:cs="宋体"/>
                <w:color w:val="auto"/>
                <w:sz w:val="24"/>
              </w:rPr>
              <w:t>1批</w:t>
            </w:r>
          </w:p>
        </w:tc>
        <w:tc>
          <w:tcPr>
            <w:tcW w:w="880" w:type="pct"/>
            <w:tcBorders>
              <w:top w:val="single" w:color="666666" w:sz="6" w:space="0"/>
              <w:left w:val="single" w:color="666666" w:sz="6" w:space="0"/>
              <w:bottom w:val="single" w:color="666666" w:sz="6" w:space="0"/>
              <w:right w:val="single" w:color="666666" w:sz="6" w:space="0"/>
            </w:tcBorders>
            <w:shd w:val="clear" w:color="auto" w:fill="FFFFFF"/>
            <w:tcMar>
              <w:top w:w="120" w:type="dxa"/>
              <w:left w:w="120" w:type="dxa"/>
              <w:bottom w:w="120" w:type="dxa"/>
              <w:right w:w="120" w:type="dxa"/>
            </w:tcMar>
            <w:vAlign w:val="center"/>
          </w:tcPr>
          <w:p w14:paraId="45CA48DB">
            <w:pPr>
              <w:jc w:val="center"/>
              <w:rPr>
                <w:rFonts w:hint="eastAsia" w:ascii="宋体" w:hAnsi="宋体" w:cs="宋体"/>
                <w:color w:val="auto"/>
                <w:sz w:val="24"/>
                <w:lang w:eastAsia="zh-CN"/>
              </w:rPr>
            </w:pPr>
            <w:r>
              <w:rPr>
                <w:rFonts w:hint="eastAsia" w:ascii="宋体" w:hAnsi="宋体" w:cs="宋体"/>
                <w:color w:val="auto"/>
                <w:sz w:val="24"/>
                <w:lang w:eastAsia="zh-CN"/>
              </w:rPr>
              <w:t>402701.8元</w:t>
            </w:r>
          </w:p>
        </w:tc>
      </w:tr>
      <w:tr w14:paraId="0FA71306">
        <w:tblPrEx>
          <w:shd w:val="clear" w:color="auto" w:fill="FFFFFF"/>
          <w:tblCellMar>
            <w:top w:w="15" w:type="dxa"/>
            <w:left w:w="15" w:type="dxa"/>
            <w:bottom w:w="15" w:type="dxa"/>
            <w:right w:w="15" w:type="dxa"/>
          </w:tblCellMar>
        </w:tblPrEx>
        <w:tc>
          <w:tcPr>
            <w:tcW w:w="444" w:type="pct"/>
            <w:tcBorders>
              <w:top w:val="single" w:color="666666" w:sz="6" w:space="0"/>
              <w:left w:val="single" w:color="666666" w:sz="6" w:space="0"/>
              <w:bottom w:val="single" w:color="666666" w:sz="6" w:space="0"/>
              <w:right w:val="single" w:color="666666" w:sz="6" w:space="0"/>
            </w:tcBorders>
            <w:shd w:val="clear" w:color="auto" w:fill="FFFFFF"/>
            <w:tcMar>
              <w:top w:w="120" w:type="dxa"/>
              <w:left w:w="120" w:type="dxa"/>
              <w:bottom w:w="120" w:type="dxa"/>
              <w:right w:w="120" w:type="dxa"/>
            </w:tcMar>
            <w:vAlign w:val="center"/>
          </w:tcPr>
          <w:p w14:paraId="2BA7B1CA">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3</w:t>
            </w:r>
          </w:p>
        </w:tc>
        <w:tc>
          <w:tcPr>
            <w:tcW w:w="1786" w:type="pct"/>
            <w:tcBorders>
              <w:top w:val="single" w:color="666666" w:sz="6" w:space="0"/>
              <w:left w:val="single" w:color="666666" w:sz="6" w:space="0"/>
              <w:bottom w:val="single" w:color="666666" w:sz="6" w:space="0"/>
              <w:right w:val="single" w:color="auto" w:sz="4" w:space="0"/>
            </w:tcBorders>
            <w:shd w:val="clear" w:color="auto" w:fill="FFFFFF"/>
            <w:tcMar>
              <w:top w:w="120" w:type="dxa"/>
              <w:left w:w="120" w:type="dxa"/>
              <w:bottom w:w="120" w:type="dxa"/>
              <w:right w:w="120" w:type="dxa"/>
            </w:tcMar>
            <w:vAlign w:val="center"/>
          </w:tcPr>
          <w:p w14:paraId="16AD154E">
            <w:pPr>
              <w:jc w:val="center"/>
              <w:rPr>
                <w:rFonts w:ascii="宋体" w:hAnsi="宋体" w:cs="宋体"/>
                <w:color w:val="auto"/>
                <w:sz w:val="24"/>
              </w:rPr>
            </w:pPr>
            <w:r>
              <w:rPr>
                <w:rFonts w:hint="eastAsia" w:ascii="宋体" w:hAnsi="宋体" w:cs="宋体"/>
                <w:color w:val="auto"/>
                <w:kern w:val="0"/>
                <w:sz w:val="24"/>
              </w:rPr>
              <w:t>儿童科学教育实训室</w:t>
            </w:r>
          </w:p>
        </w:tc>
        <w:tc>
          <w:tcPr>
            <w:tcW w:w="1443" w:type="pct"/>
            <w:tcBorders>
              <w:top w:val="single" w:color="666666" w:sz="6" w:space="0"/>
              <w:left w:val="single" w:color="auto" w:sz="4" w:space="0"/>
              <w:bottom w:val="single" w:color="666666" w:sz="6" w:space="0"/>
              <w:right w:val="single" w:color="666666" w:sz="6" w:space="0"/>
            </w:tcBorders>
            <w:shd w:val="clear" w:color="auto" w:fill="FFFFFF"/>
            <w:tcMar>
              <w:top w:w="120" w:type="dxa"/>
              <w:left w:w="120" w:type="dxa"/>
              <w:bottom w:w="120" w:type="dxa"/>
              <w:right w:w="120" w:type="dxa"/>
            </w:tcMar>
            <w:vAlign w:val="center"/>
          </w:tcPr>
          <w:p w14:paraId="5DCCCFF9">
            <w:pPr>
              <w:widowControl/>
              <w:adjustRightInd w:val="0"/>
              <w:snapToGrid w:val="0"/>
              <w:jc w:val="center"/>
              <w:rPr>
                <w:rFonts w:hint="eastAsia" w:ascii="宋体" w:hAnsi="宋体" w:cs="宋体"/>
                <w:color w:val="auto"/>
                <w:sz w:val="24"/>
              </w:rPr>
            </w:pPr>
            <w:r>
              <w:rPr>
                <w:rFonts w:hint="eastAsia" w:ascii="宋体" w:hAnsi="宋体" w:cs="宋体"/>
                <w:color w:val="auto"/>
                <w:sz w:val="24"/>
              </w:rPr>
              <w:t>A02102100 教学仪器</w:t>
            </w:r>
          </w:p>
        </w:tc>
        <w:tc>
          <w:tcPr>
            <w:tcW w:w="445" w:type="pct"/>
            <w:tcBorders>
              <w:top w:val="single" w:color="666666" w:sz="6" w:space="0"/>
              <w:left w:val="single" w:color="666666" w:sz="6" w:space="0"/>
              <w:bottom w:val="single" w:color="666666" w:sz="6" w:space="0"/>
              <w:right w:val="single" w:color="666666" w:sz="6" w:space="0"/>
            </w:tcBorders>
            <w:shd w:val="clear" w:color="auto" w:fill="FFFFFF"/>
            <w:tcMar>
              <w:top w:w="120" w:type="dxa"/>
              <w:left w:w="120" w:type="dxa"/>
              <w:bottom w:w="120" w:type="dxa"/>
              <w:right w:w="120" w:type="dxa"/>
            </w:tcMar>
            <w:vAlign w:val="center"/>
          </w:tcPr>
          <w:p w14:paraId="17692C38">
            <w:pPr>
              <w:widowControl/>
              <w:adjustRightInd w:val="0"/>
              <w:snapToGrid w:val="0"/>
              <w:jc w:val="center"/>
              <w:rPr>
                <w:rFonts w:hint="eastAsia" w:ascii="宋体" w:hAnsi="宋体" w:cs="宋体"/>
                <w:color w:val="auto"/>
                <w:sz w:val="24"/>
              </w:rPr>
            </w:pPr>
            <w:r>
              <w:rPr>
                <w:rFonts w:hint="eastAsia" w:ascii="宋体" w:hAnsi="宋体" w:cs="宋体"/>
                <w:color w:val="auto"/>
                <w:sz w:val="24"/>
              </w:rPr>
              <w:t>1批</w:t>
            </w:r>
          </w:p>
        </w:tc>
        <w:tc>
          <w:tcPr>
            <w:tcW w:w="880" w:type="pct"/>
            <w:tcBorders>
              <w:top w:val="single" w:color="666666" w:sz="6" w:space="0"/>
              <w:left w:val="single" w:color="666666" w:sz="6" w:space="0"/>
              <w:bottom w:val="single" w:color="666666" w:sz="6" w:space="0"/>
              <w:right w:val="single" w:color="666666" w:sz="6" w:space="0"/>
            </w:tcBorders>
            <w:shd w:val="clear" w:color="auto" w:fill="FFFFFF"/>
            <w:tcMar>
              <w:top w:w="120" w:type="dxa"/>
              <w:left w:w="120" w:type="dxa"/>
              <w:bottom w:w="120" w:type="dxa"/>
              <w:right w:w="120" w:type="dxa"/>
            </w:tcMar>
            <w:vAlign w:val="center"/>
          </w:tcPr>
          <w:p w14:paraId="05B01B9C">
            <w:pPr>
              <w:jc w:val="center"/>
              <w:rPr>
                <w:rFonts w:hint="eastAsia" w:ascii="宋体" w:hAnsi="宋体" w:cs="宋体"/>
                <w:color w:val="auto"/>
                <w:sz w:val="24"/>
                <w:lang w:eastAsia="zh-CN"/>
              </w:rPr>
            </w:pPr>
            <w:r>
              <w:rPr>
                <w:rFonts w:hint="eastAsia" w:ascii="宋体" w:hAnsi="宋体" w:cs="宋体"/>
                <w:color w:val="auto"/>
                <w:sz w:val="24"/>
                <w:lang w:eastAsia="zh-CN"/>
              </w:rPr>
              <w:t>412997元</w:t>
            </w:r>
          </w:p>
        </w:tc>
      </w:tr>
    </w:tbl>
    <w:p w14:paraId="1240AEBE">
      <w:pPr>
        <w:widowControl/>
        <w:shd w:val="clear" w:color="auto" w:fill="FFFFFF"/>
        <w:adjustRightInd w:val="0"/>
        <w:snapToGrid w:val="0"/>
        <w:spacing w:line="460" w:lineRule="exact"/>
        <w:ind w:firstLine="240" w:firstLineChars="100"/>
        <w:jc w:val="left"/>
        <w:rPr>
          <w:rFonts w:ascii="宋体" w:hAnsi="宋体" w:cs="宋体"/>
          <w:color w:val="auto"/>
          <w:kern w:val="0"/>
          <w:sz w:val="24"/>
        </w:rPr>
      </w:pPr>
      <w:r>
        <w:rPr>
          <w:rFonts w:hint="eastAsia" w:ascii="宋体" w:hAnsi="宋体" w:cs="宋体"/>
          <w:color w:val="auto"/>
          <w:kern w:val="0"/>
          <w:sz w:val="24"/>
        </w:rPr>
        <w:t>采购项目的主要需求及磋商可能实质性变动内容:</w:t>
      </w:r>
    </w:p>
    <w:tbl>
      <w:tblPr>
        <w:tblStyle w:val="51"/>
        <w:tblW w:w="4997" w:type="pct"/>
        <w:tblInd w:w="0" w:type="dxa"/>
        <w:tblBorders>
          <w:top w:val="single" w:color="7E7E7E" w:sz="6" w:space="0"/>
          <w:left w:val="single" w:color="7E7E7E" w:sz="6" w:space="0"/>
          <w:bottom w:val="single" w:color="7E7E7E" w:sz="6" w:space="0"/>
          <w:right w:val="single" w:color="7E7E7E" w:sz="6" w:space="0"/>
          <w:insideH w:val="single" w:color="7E7E7E" w:sz="6" w:space="0"/>
          <w:insideV w:val="single" w:color="7E7E7E" w:sz="6" w:space="0"/>
        </w:tblBorders>
        <w:tblLayout w:type="autofit"/>
        <w:tblCellMar>
          <w:top w:w="15" w:type="dxa"/>
          <w:left w:w="15" w:type="dxa"/>
          <w:bottom w:w="15" w:type="dxa"/>
          <w:right w:w="15" w:type="dxa"/>
        </w:tblCellMar>
      </w:tblPr>
      <w:tblGrid>
        <w:gridCol w:w="867"/>
        <w:gridCol w:w="4599"/>
        <w:gridCol w:w="1117"/>
        <w:gridCol w:w="1119"/>
        <w:gridCol w:w="1123"/>
      </w:tblGrid>
      <w:tr w14:paraId="6AFA3EBB">
        <w:tblPrEx>
          <w:tblBorders>
            <w:top w:val="single" w:color="7E7E7E" w:sz="6" w:space="0"/>
            <w:left w:val="single" w:color="7E7E7E" w:sz="6" w:space="0"/>
            <w:bottom w:val="single" w:color="7E7E7E" w:sz="6" w:space="0"/>
            <w:right w:val="single" w:color="7E7E7E" w:sz="6" w:space="0"/>
            <w:insideH w:val="single" w:color="7E7E7E" w:sz="6" w:space="0"/>
            <w:insideV w:val="single" w:color="7E7E7E" w:sz="6" w:space="0"/>
          </w:tblBorders>
          <w:tblCellMar>
            <w:top w:w="15" w:type="dxa"/>
            <w:left w:w="15" w:type="dxa"/>
            <w:bottom w:w="15" w:type="dxa"/>
            <w:right w:w="15" w:type="dxa"/>
          </w:tblCellMar>
        </w:tblPrEx>
        <w:trPr>
          <w:trHeight w:val="250" w:hRule="atLeast"/>
        </w:trPr>
        <w:tc>
          <w:tcPr>
            <w:tcW w:w="491" w:type="pct"/>
            <w:vMerge w:val="restart"/>
            <w:shd w:val="clear" w:color="auto" w:fill="E3E3E3"/>
            <w:tcMar>
              <w:top w:w="45" w:type="dxa"/>
              <w:left w:w="45" w:type="dxa"/>
              <w:bottom w:w="45" w:type="dxa"/>
              <w:right w:w="45" w:type="dxa"/>
            </w:tcMar>
            <w:vAlign w:val="center"/>
          </w:tcPr>
          <w:p w14:paraId="0CBD7E29">
            <w:pPr>
              <w:widowControl/>
              <w:adjustRightInd w:val="0"/>
              <w:snapToGrid w:val="0"/>
              <w:spacing w:line="460" w:lineRule="exact"/>
              <w:jc w:val="center"/>
              <w:rPr>
                <w:rFonts w:ascii="宋体" w:hAnsi="宋体" w:cs="宋体"/>
                <w:b/>
                <w:bCs/>
                <w:color w:val="auto"/>
                <w:kern w:val="0"/>
                <w:sz w:val="24"/>
              </w:rPr>
            </w:pPr>
            <w:r>
              <w:rPr>
                <w:rFonts w:ascii="宋体" w:hAnsi="宋体" w:cs="宋体"/>
                <w:b/>
                <w:bCs/>
                <w:color w:val="auto"/>
                <w:kern w:val="0"/>
                <w:sz w:val="24"/>
              </w:rPr>
              <w:t>包</w:t>
            </w:r>
            <w:r>
              <w:rPr>
                <w:rFonts w:hint="eastAsia" w:ascii="宋体" w:hAnsi="宋体" w:cs="宋体"/>
                <w:b/>
                <w:bCs/>
                <w:color w:val="auto"/>
                <w:kern w:val="0"/>
                <w:sz w:val="24"/>
              </w:rPr>
              <w:t>号</w:t>
            </w:r>
          </w:p>
        </w:tc>
        <w:tc>
          <w:tcPr>
            <w:tcW w:w="2605" w:type="pct"/>
            <w:vMerge w:val="restart"/>
            <w:shd w:val="clear" w:color="auto" w:fill="E3E3E3"/>
            <w:tcMar>
              <w:top w:w="45" w:type="dxa"/>
              <w:left w:w="45" w:type="dxa"/>
              <w:bottom w:w="45" w:type="dxa"/>
              <w:right w:w="45" w:type="dxa"/>
            </w:tcMar>
            <w:vAlign w:val="center"/>
          </w:tcPr>
          <w:p w14:paraId="099BB8AD">
            <w:pPr>
              <w:widowControl/>
              <w:adjustRightInd w:val="0"/>
              <w:snapToGrid w:val="0"/>
              <w:spacing w:line="460" w:lineRule="exact"/>
              <w:jc w:val="center"/>
              <w:rPr>
                <w:rFonts w:ascii="宋体" w:hAnsi="宋体" w:cs="宋体"/>
                <w:b/>
                <w:bCs/>
                <w:color w:val="auto"/>
                <w:kern w:val="0"/>
                <w:sz w:val="24"/>
              </w:rPr>
            </w:pPr>
            <w:r>
              <w:rPr>
                <w:rFonts w:ascii="宋体" w:hAnsi="宋体" w:cs="宋体"/>
                <w:b/>
                <w:bCs/>
                <w:color w:val="auto"/>
                <w:kern w:val="0"/>
                <w:sz w:val="24"/>
              </w:rPr>
              <w:t>标的物名称</w:t>
            </w:r>
          </w:p>
        </w:tc>
        <w:tc>
          <w:tcPr>
            <w:tcW w:w="1903" w:type="pct"/>
            <w:gridSpan w:val="3"/>
            <w:shd w:val="clear" w:color="auto" w:fill="E3E3E3"/>
            <w:tcMar>
              <w:top w:w="45" w:type="dxa"/>
              <w:left w:w="45" w:type="dxa"/>
              <w:bottom w:w="45" w:type="dxa"/>
              <w:right w:w="45" w:type="dxa"/>
            </w:tcMar>
            <w:vAlign w:val="center"/>
          </w:tcPr>
          <w:p w14:paraId="6C88B582">
            <w:pPr>
              <w:widowControl/>
              <w:adjustRightInd w:val="0"/>
              <w:snapToGrid w:val="0"/>
              <w:spacing w:line="460" w:lineRule="exact"/>
              <w:jc w:val="center"/>
              <w:rPr>
                <w:rFonts w:ascii="宋体" w:hAnsi="宋体" w:cs="宋体"/>
                <w:b/>
                <w:bCs/>
                <w:color w:val="auto"/>
                <w:kern w:val="0"/>
                <w:sz w:val="24"/>
              </w:rPr>
            </w:pPr>
            <w:r>
              <w:rPr>
                <w:rFonts w:ascii="宋体" w:hAnsi="宋体" w:cs="宋体"/>
                <w:b/>
                <w:bCs/>
                <w:color w:val="auto"/>
                <w:kern w:val="0"/>
                <w:sz w:val="24"/>
              </w:rPr>
              <w:t>标的主要需求</w:t>
            </w:r>
          </w:p>
        </w:tc>
      </w:tr>
      <w:tr w14:paraId="142518F0">
        <w:tblPrEx>
          <w:tblBorders>
            <w:top w:val="single" w:color="7E7E7E" w:sz="6" w:space="0"/>
            <w:left w:val="single" w:color="7E7E7E" w:sz="6" w:space="0"/>
            <w:bottom w:val="single" w:color="7E7E7E" w:sz="6" w:space="0"/>
            <w:right w:val="single" w:color="7E7E7E" w:sz="6" w:space="0"/>
            <w:insideH w:val="single" w:color="7E7E7E" w:sz="6" w:space="0"/>
            <w:insideV w:val="single" w:color="7E7E7E" w:sz="6" w:space="0"/>
          </w:tblBorders>
          <w:tblCellMar>
            <w:top w:w="15" w:type="dxa"/>
            <w:left w:w="15" w:type="dxa"/>
            <w:bottom w:w="15" w:type="dxa"/>
            <w:right w:w="15" w:type="dxa"/>
          </w:tblCellMar>
        </w:tblPrEx>
        <w:trPr>
          <w:trHeight w:val="90" w:hRule="atLeast"/>
        </w:trPr>
        <w:tc>
          <w:tcPr>
            <w:tcW w:w="491" w:type="pct"/>
            <w:vMerge w:val="continue"/>
            <w:shd w:val="clear" w:color="auto" w:fill="E3E3E3"/>
            <w:vAlign w:val="center"/>
          </w:tcPr>
          <w:p w14:paraId="30F51B61">
            <w:pPr>
              <w:widowControl/>
              <w:adjustRightInd w:val="0"/>
              <w:snapToGrid w:val="0"/>
              <w:spacing w:line="460" w:lineRule="exact"/>
              <w:jc w:val="left"/>
              <w:rPr>
                <w:rFonts w:ascii="宋体" w:hAnsi="宋体" w:cs="宋体"/>
                <w:b/>
                <w:bCs/>
                <w:color w:val="auto"/>
                <w:kern w:val="0"/>
                <w:sz w:val="24"/>
              </w:rPr>
            </w:pPr>
          </w:p>
        </w:tc>
        <w:tc>
          <w:tcPr>
            <w:tcW w:w="2605" w:type="pct"/>
            <w:vMerge w:val="continue"/>
            <w:shd w:val="clear" w:color="auto" w:fill="E3E3E3"/>
            <w:vAlign w:val="center"/>
          </w:tcPr>
          <w:p w14:paraId="1AAEBCD6">
            <w:pPr>
              <w:widowControl/>
              <w:adjustRightInd w:val="0"/>
              <w:snapToGrid w:val="0"/>
              <w:spacing w:line="460" w:lineRule="exact"/>
              <w:jc w:val="left"/>
              <w:rPr>
                <w:rFonts w:ascii="宋体" w:hAnsi="宋体" w:cs="宋体"/>
                <w:b/>
                <w:bCs/>
                <w:color w:val="auto"/>
                <w:kern w:val="0"/>
                <w:sz w:val="24"/>
              </w:rPr>
            </w:pPr>
          </w:p>
        </w:tc>
        <w:tc>
          <w:tcPr>
            <w:tcW w:w="633" w:type="pct"/>
            <w:shd w:val="clear" w:color="auto" w:fill="E3E3E3"/>
            <w:tcMar>
              <w:top w:w="45" w:type="dxa"/>
              <w:left w:w="45" w:type="dxa"/>
              <w:bottom w:w="45" w:type="dxa"/>
              <w:right w:w="45" w:type="dxa"/>
            </w:tcMar>
            <w:vAlign w:val="center"/>
          </w:tcPr>
          <w:p w14:paraId="3CB0EF6F">
            <w:pPr>
              <w:widowControl/>
              <w:adjustRightInd w:val="0"/>
              <w:snapToGrid w:val="0"/>
              <w:spacing w:line="460" w:lineRule="exact"/>
              <w:jc w:val="center"/>
              <w:rPr>
                <w:rFonts w:ascii="宋体" w:hAnsi="宋体" w:cs="宋体"/>
                <w:b/>
                <w:bCs/>
                <w:color w:val="auto"/>
                <w:kern w:val="0"/>
                <w:sz w:val="24"/>
              </w:rPr>
            </w:pPr>
            <w:r>
              <w:rPr>
                <w:rFonts w:ascii="宋体" w:hAnsi="宋体" w:cs="宋体"/>
                <w:b/>
                <w:bCs/>
                <w:color w:val="auto"/>
                <w:kern w:val="0"/>
                <w:sz w:val="24"/>
              </w:rPr>
              <w:t>技术</w:t>
            </w:r>
          </w:p>
        </w:tc>
        <w:tc>
          <w:tcPr>
            <w:tcW w:w="633" w:type="pct"/>
            <w:shd w:val="clear" w:color="auto" w:fill="E3E3E3"/>
            <w:tcMar>
              <w:top w:w="45" w:type="dxa"/>
              <w:left w:w="45" w:type="dxa"/>
              <w:bottom w:w="45" w:type="dxa"/>
              <w:right w:w="45" w:type="dxa"/>
            </w:tcMar>
            <w:vAlign w:val="center"/>
          </w:tcPr>
          <w:p w14:paraId="130AD258">
            <w:pPr>
              <w:widowControl/>
              <w:adjustRightInd w:val="0"/>
              <w:snapToGrid w:val="0"/>
              <w:spacing w:line="460" w:lineRule="exact"/>
              <w:jc w:val="center"/>
              <w:rPr>
                <w:rFonts w:ascii="宋体" w:hAnsi="宋体" w:cs="宋体"/>
                <w:b/>
                <w:bCs/>
                <w:color w:val="auto"/>
                <w:kern w:val="0"/>
                <w:sz w:val="24"/>
              </w:rPr>
            </w:pPr>
            <w:r>
              <w:rPr>
                <w:rFonts w:ascii="宋体" w:hAnsi="宋体" w:cs="宋体"/>
                <w:b/>
                <w:bCs/>
                <w:color w:val="auto"/>
                <w:kern w:val="0"/>
                <w:sz w:val="24"/>
              </w:rPr>
              <w:t>服务</w:t>
            </w:r>
          </w:p>
        </w:tc>
        <w:tc>
          <w:tcPr>
            <w:tcW w:w="636" w:type="pct"/>
            <w:shd w:val="clear" w:color="auto" w:fill="E3E3E3"/>
            <w:tcMar>
              <w:top w:w="45" w:type="dxa"/>
              <w:left w:w="45" w:type="dxa"/>
              <w:bottom w:w="45" w:type="dxa"/>
              <w:right w:w="45" w:type="dxa"/>
            </w:tcMar>
            <w:vAlign w:val="center"/>
          </w:tcPr>
          <w:p w14:paraId="0061D8E4">
            <w:pPr>
              <w:widowControl/>
              <w:adjustRightInd w:val="0"/>
              <w:snapToGrid w:val="0"/>
              <w:spacing w:line="460" w:lineRule="exact"/>
              <w:jc w:val="center"/>
              <w:rPr>
                <w:rFonts w:ascii="宋体" w:hAnsi="宋体" w:cs="宋体"/>
                <w:b/>
                <w:bCs/>
                <w:color w:val="auto"/>
                <w:kern w:val="0"/>
                <w:sz w:val="24"/>
              </w:rPr>
            </w:pPr>
            <w:r>
              <w:rPr>
                <w:rFonts w:ascii="宋体" w:hAnsi="宋体" w:cs="宋体"/>
                <w:b/>
                <w:bCs/>
                <w:color w:val="auto"/>
                <w:kern w:val="0"/>
                <w:sz w:val="24"/>
              </w:rPr>
              <w:t>合同条款</w:t>
            </w:r>
          </w:p>
        </w:tc>
      </w:tr>
      <w:tr w14:paraId="73922CD1">
        <w:tblPrEx>
          <w:tblBorders>
            <w:top w:val="single" w:color="7E7E7E" w:sz="6" w:space="0"/>
            <w:left w:val="single" w:color="7E7E7E" w:sz="6" w:space="0"/>
            <w:bottom w:val="single" w:color="7E7E7E" w:sz="6" w:space="0"/>
            <w:right w:val="single" w:color="7E7E7E" w:sz="6" w:space="0"/>
            <w:insideH w:val="single" w:color="7E7E7E" w:sz="6" w:space="0"/>
            <w:insideV w:val="single" w:color="7E7E7E" w:sz="6" w:space="0"/>
          </w:tblBorders>
          <w:tblCellMar>
            <w:top w:w="15" w:type="dxa"/>
            <w:left w:w="15" w:type="dxa"/>
            <w:bottom w:w="15" w:type="dxa"/>
            <w:right w:w="15" w:type="dxa"/>
          </w:tblCellMar>
        </w:tblPrEx>
        <w:trPr>
          <w:trHeight w:val="303" w:hRule="atLeast"/>
        </w:trPr>
        <w:tc>
          <w:tcPr>
            <w:tcW w:w="491" w:type="pct"/>
            <w:tcMar>
              <w:top w:w="45" w:type="dxa"/>
              <w:left w:w="45" w:type="dxa"/>
              <w:bottom w:w="45" w:type="dxa"/>
              <w:right w:w="45" w:type="dxa"/>
            </w:tcMar>
            <w:vAlign w:val="center"/>
          </w:tcPr>
          <w:p w14:paraId="0EF9D753">
            <w:pPr>
              <w:widowControl/>
              <w:adjustRightInd w:val="0"/>
              <w:snapToGrid w:val="0"/>
              <w:spacing w:line="460" w:lineRule="exact"/>
              <w:jc w:val="center"/>
              <w:rPr>
                <w:rFonts w:ascii="宋体" w:hAnsi="宋体" w:cs="宋体"/>
                <w:color w:val="auto"/>
                <w:kern w:val="0"/>
                <w:sz w:val="24"/>
              </w:rPr>
            </w:pPr>
            <w:r>
              <w:rPr>
                <w:rFonts w:hint="eastAsia" w:ascii="宋体" w:hAnsi="宋体" w:cs="宋体"/>
                <w:color w:val="auto"/>
                <w:sz w:val="24"/>
              </w:rPr>
              <w:t>1</w:t>
            </w:r>
          </w:p>
        </w:tc>
        <w:tc>
          <w:tcPr>
            <w:tcW w:w="2605" w:type="pct"/>
            <w:tcMar>
              <w:top w:w="45" w:type="dxa"/>
              <w:left w:w="45" w:type="dxa"/>
              <w:bottom w:w="45" w:type="dxa"/>
              <w:right w:w="45" w:type="dxa"/>
            </w:tcMar>
            <w:vAlign w:val="center"/>
          </w:tcPr>
          <w:p w14:paraId="0485B734">
            <w:pPr>
              <w:jc w:val="center"/>
              <w:rPr>
                <w:rFonts w:ascii="宋体" w:hAnsi="宋体" w:cs="宋体"/>
                <w:color w:val="auto"/>
                <w:kern w:val="0"/>
                <w:sz w:val="24"/>
              </w:rPr>
            </w:pPr>
            <w:r>
              <w:rPr>
                <w:rFonts w:hint="eastAsia" w:ascii="宋体" w:hAnsi="宋体" w:cs="宋体"/>
                <w:color w:val="auto"/>
                <w:kern w:val="0"/>
                <w:sz w:val="24"/>
              </w:rPr>
              <w:t>儿童发展与游戏实训室</w:t>
            </w:r>
          </w:p>
        </w:tc>
        <w:tc>
          <w:tcPr>
            <w:tcW w:w="1903" w:type="pct"/>
            <w:gridSpan w:val="3"/>
            <w:tcMar>
              <w:top w:w="45" w:type="dxa"/>
              <w:left w:w="45" w:type="dxa"/>
              <w:bottom w:w="45" w:type="dxa"/>
              <w:right w:w="45" w:type="dxa"/>
            </w:tcMar>
            <w:vAlign w:val="center"/>
          </w:tcPr>
          <w:p w14:paraId="315A7D14">
            <w:pPr>
              <w:widowControl/>
              <w:adjustRightInd w:val="0"/>
              <w:snapToGrid w:val="0"/>
              <w:spacing w:line="460" w:lineRule="exact"/>
              <w:jc w:val="center"/>
              <w:rPr>
                <w:rFonts w:ascii="宋体" w:hAnsi="宋体" w:cs="宋体"/>
                <w:color w:val="auto"/>
                <w:kern w:val="0"/>
                <w:sz w:val="24"/>
              </w:rPr>
            </w:pPr>
            <w:r>
              <w:rPr>
                <w:rFonts w:hint="eastAsia" w:ascii="宋体" w:hAnsi="宋体" w:cs="宋体"/>
                <w:color w:val="auto"/>
                <w:kern w:val="0"/>
                <w:sz w:val="24"/>
              </w:rPr>
              <w:t>详见磋商文件</w:t>
            </w:r>
          </w:p>
        </w:tc>
      </w:tr>
      <w:tr w14:paraId="11384793">
        <w:tblPrEx>
          <w:tblBorders>
            <w:top w:val="single" w:color="7E7E7E" w:sz="6" w:space="0"/>
            <w:left w:val="single" w:color="7E7E7E" w:sz="6" w:space="0"/>
            <w:bottom w:val="single" w:color="7E7E7E" w:sz="6" w:space="0"/>
            <w:right w:val="single" w:color="7E7E7E" w:sz="6" w:space="0"/>
            <w:insideH w:val="single" w:color="7E7E7E" w:sz="6" w:space="0"/>
            <w:insideV w:val="single" w:color="7E7E7E" w:sz="6" w:space="0"/>
          </w:tblBorders>
          <w:tblCellMar>
            <w:top w:w="15" w:type="dxa"/>
            <w:left w:w="15" w:type="dxa"/>
            <w:bottom w:w="15" w:type="dxa"/>
            <w:right w:w="15" w:type="dxa"/>
          </w:tblCellMar>
        </w:tblPrEx>
        <w:trPr>
          <w:trHeight w:val="303" w:hRule="atLeast"/>
        </w:trPr>
        <w:tc>
          <w:tcPr>
            <w:tcW w:w="491" w:type="pct"/>
            <w:tcMar>
              <w:top w:w="45" w:type="dxa"/>
              <w:left w:w="45" w:type="dxa"/>
              <w:bottom w:w="45" w:type="dxa"/>
              <w:right w:w="45" w:type="dxa"/>
            </w:tcMar>
            <w:vAlign w:val="center"/>
          </w:tcPr>
          <w:p w14:paraId="2C06B152">
            <w:pPr>
              <w:widowControl/>
              <w:adjustRightInd w:val="0"/>
              <w:snapToGrid w:val="0"/>
              <w:spacing w:line="460" w:lineRule="exact"/>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2</w:t>
            </w:r>
          </w:p>
        </w:tc>
        <w:tc>
          <w:tcPr>
            <w:tcW w:w="2605" w:type="pct"/>
            <w:tcMar>
              <w:top w:w="45" w:type="dxa"/>
              <w:left w:w="45" w:type="dxa"/>
              <w:bottom w:w="45" w:type="dxa"/>
              <w:right w:w="45" w:type="dxa"/>
            </w:tcMar>
            <w:vAlign w:val="center"/>
          </w:tcPr>
          <w:p w14:paraId="1D0BE630">
            <w:pPr>
              <w:jc w:val="center"/>
              <w:rPr>
                <w:rFonts w:hint="eastAsia" w:ascii="宋体" w:hAnsi="宋体" w:cs="宋体"/>
                <w:color w:val="auto"/>
                <w:kern w:val="0"/>
                <w:sz w:val="24"/>
              </w:rPr>
            </w:pPr>
            <w:r>
              <w:rPr>
                <w:rFonts w:hint="eastAsia" w:ascii="宋体" w:hAnsi="宋体" w:cs="宋体"/>
                <w:color w:val="auto"/>
                <w:kern w:val="0"/>
                <w:sz w:val="24"/>
              </w:rPr>
              <w:t>儿童心理与行为分析实训室</w:t>
            </w:r>
          </w:p>
        </w:tc>
        <w:tc>
          <w:tcPr>
            <w:tcW w:w="1903" w:type="pct"/>
            <w:gridSpan w:val="3"/>
            <w:tcMar>
              <w:top w:w="45" w:type="dxa"/>
              <w:left w:w="45" w:type="dxa"/>
              <w:bottom w:w="45" w:type="dxa"/>
              <w:right w:w="45" w:type="dxa"/>
            </w:tcMar>
            <w:vAlign w:val="center"/>
          </w:tcPr>
          <w:p w14:paraId="328A83EB">
            <w:pPr>
              <w:widowControl/>
              <w:adjustRightInd w:val="0"/>
              <w:snapToGrid w:val="0"/>
              <w:spacing w:line="460" w:lineRule="exact"/>
              <w:jc w:val="center"/>
              <w:rPr>
                <w:rFonts w:hint="eastAsia" w:ascii="宋体" w:hAnsi="宋体" w:cs="宋体"/>
                <w:color w:val="auto"/>
                <w:kern w:val="0"/>
                <w:sz w:val="24"/>
              </w:rPr>
            </w:pPr>
            <w:r>
              <w:rPr>
                <w:rFonts w:hint="eastAsia" w:ascii="宋体" w:hAnsi="宋体" w:cs="宋体"/>
                <w:color w:val="auto"/>
                <w:kern w:val="0"/>
                <w:sz w:val="24"/>
              </w:rPr>
              <w:t>详见磋商文件</w:t>
            </w:r>
          </w:p>
        </w:tc>
      </w:tr>
      <w:tr w14:paraId="47DFAB8D">
        <w:tblPrEx>
          <w:tblBorders>
            <w:top w:val="single" w:color="7E7E7E" w:sz="6" w:space="0"/>
            <w:left w:val="single" w:color="7E7E7E" w:sz="6" w:space="0"/>
            <w:bottom w:val="single" w:color="7E7E7E" w:sz="6" w:space="0"/>
            <w:right w:val="single" w:color="7E7E7E" w:sz="6" w:space="0"/>
            <w:insideH w:val="single" w:color="7E7E7E" w:sz="6" w:space="0"/>
            <w:insideV w:val="single" w:color="7E7E7E" w:sz="6" w:space="0"/>
          </w:tblBorders>
          <w:tblCellMar>
            <w:top w:w="15" w:type="dxa"/>
            <w:left w:w="15" w:type="dxa"/>
            <w:bottom w:w="15" w:type="dxa"/>
            <w:right w:w="15" w:type="dxa"/>
          </w:tblCellMar>
        </w:tblPrEx>
        <w:trPr>
          <w:trHeight w:val="303" w:hRule="atLeast"/>
        </w:trPr>
        <w:tc>
          <w:tcPr>
            <w:tcW w:w="491" w:type="pct"/>
            <w:tcMar>
              <w:top w:w="45" w:type="dxa"/>
              <w:left w:w="45" w:type="dxa"/>
              <w:bottom w:w="45" w:type="dxa"/>
              <w:right w:w="45" w:type="dxa"/>
            </w:tcMar>
            <w:vAlign w:val="center"/>
          </w:tcPr>
          <w:p w14:paraId="5F0B9BCF">
            <w:pPr>
              <w:widowControl/>
              <w:adjustRightInd w:val="0"/>
              <w:snapToGrid w:val="0"/>
              <w:spacing w:line="460" w:lineRule="exact"/>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3</w:t>
            </w:r>
          </w:p>
        </w:tc>
        <w:tc>
          <w:tcPr>
            <w:tcW w:w="2605" w:type="pct"/>
            <w:tcMar>
              <w:top w:w="45" w:type="dxa"/>
              <w:left w:w="45" w:type="dxa"/>
              <w:bottom w:w="45" w:type="dxa"/>
              <w:right w:w="45" w:type="dxa"/>
            </w:tcMar>
            <w:vAlign w:val="center"/>
          </w:tcPr>
          <w:p w14:paraId="6359F0CC">
            <w:pPr>
              <w:jc w:val="center"/>
              <w:rPr>
                <w:rFonts w:hint="eastAsia" w:ascii="宋体" w:hAnsi="宋体" w:cs="宋体"/>
                <w:color w:val="auto"/>
                <w:kern w:val="0"/>
                <w:sz w:val="24"/>
              </w:rPr>
            </w:pPr>
            <w:r>
              <w:rPr>
                <w:rFonts w:hint="eastAsia" w:ascii="宋体" w:hAnsi="宋体" w:cs="宋体"/>
                <w:color w:val="auto"/>
                <w:kern w:val="0"/>
                <w:sz w:val="24"/>
              </w:rPr>
              <w:t>儿童科学教育实训室</w:t>
            </w:r>
          </w:p>
        </w:tc>
        <w:tc>
          <w:tcPr>
            <w:tcW w:w="1903" w:type="pct"/>
            <w:gridSpan w:val="3"/>
            <w:tcMar>
              <w:top w:w="45" w:type="dxa"/>
              <w:left w:w="45" w:type="dxa"/>
              <w:bottom w:w="45" w:type="dxa"/>
              <w:right w:w="45" w:type="dxa"/>
            </w:tcMar>
            <w:vAlign w:val="center"/>
          </w:tcPr>
          <w:p w14:paraId="0115E8B5">
            <w:pPr>
              <w:widowControl/>
              <w:adjustRightInd w:val="0"/>
              <w:snapToGrid w:val="0"/>
              <w:spacing w:line="460" w:lineRule="exact"/>
              <w:jc w:val="center"/>
              <w:rPr>
                <w:rFonts w:hint="eastAsia" w:ascii="宋体" w:hAnsi="宋体" w:cs="宋体"/>
                <w:color w:val="auto"/>
                <w:kern w:val="0"/>
                <w:sz w:val="24"/>
              </w:rPr>
            </w:pPr>
            <w:r>
              <w:rPr>
                <w:rFonts w:hint="eastAsia" w:ascii="宋体" w:hAnsi="宋体" w:cs="宋体"/>
                <w:color w:val="auto"/>
                <w:kern w:val="0"/>
                <w:sz w:val="24"/>
              </w:rPr>
              <w:t>详见磋商文件</w:t>
            </w:r>
          </w:p>
        </w:tc>
      </w:tr>
      <w:tr w14:paraId="4B4A2173">
        <w:tblPrEx>
          <w:tblBorders>
            <w:top w:val="single" w:color="7E7E7E" w:sz="6" w:space="0"/>
            <w:left w:val="single" w:color="7E7E7E" w:sz="6" w:space="0"/>
            <w:bottom w:val="single" w:color="7E7E7E" w:sz="6" w:space="0"/>
            <w:right w:val="single" w:color="7E7E7E" w:sz="6" w:space="0"/>
            <w:insideH w:val="single" w:color="7E7E7E" w:sz="6" w:space="0"/>
            <w:insideV w:val="single" w:color="7E7E7E" w:sz="6" w:space="0"/>
          </w:tblBorders>
          <w:tblCellMar>
            <w:top w:w="15" w:type="dxa"/>
            <w:left w:w="15" w:type="dxa"/>
            <w:bottom w:w="15" w:type="dxa"/>
            <w:right w:w="15" w:type="dxa"/>
          </w:tblCellMar>
        </w:tblPrEx>
        <w:trPr>
          <w:trHeight w:val="476" w:hRule="atLeast"/>
        </w:trPr>
        <w:tc>
          <w:tcPr>
            <w:tcW w:w="3096" w:type="pct"/>
            <w:gridSpan w:val="2"/>
            <w:vAlign w:val="center"/>
          </w:tcPr>
          <w:p w14:paraId="4F1D1839">
            <w:pPr>
              <w:widowControl/>
              <w:adjustRightInd w:val="0"/>
              <w:snapToGrid w:val="0"/>
              <w:jc w:val="center"/>
              <w:rPr>
                <w:rFonts w:ascii="宋体" w:hAnsi="宋体" w:cs="宋体"/>
                <w:color w:val="auto"/>
                <w:kern w:val="0"/>
                <w:sz w:val="24"/>
              </w:rPr>
            </w:pPr>
            <w:r>
              <w:rPr>
                <w:rFonts w:hint="eastAsia" w:ascii="宋体" w:hAnsi="宋体" w:cs="宋体"/>
                <w:color w:val="auto"/>
                <w:kern w:val="0"/>
                <w:sz w:val="24"/>
              </w:rPr>
              <w:t>竞争性磋商项目可能实质性变动内容</w:t>
            </w:r>
          </w:p>
        </w:tc>
        <w:tc>
          <w:tcPr>
            <w:tcW w:w="633" w:type="pct"/>
            <w:tcMar>
              <w:top w:w="45" w:type="dxa"/>
              <w:left w:w="45" w:type="dxa"/>
              <w:bottom w:w="45" w:type="dxa"/>
              <w:right w:w="45" w:type="dxa"/>
            </w:tcMar>
            <w:vAlign w:val="center"/>
          </w:tcPr>
          <w:p w14:paraId="52EA3647">
            <w:pPr>
              <w:widowControl/>
              <w:adjustRightInd w:val="0"/>
              <w:snapToGrid w:val="0"/>
              <w:jc w:val="center"/>
              <w:rPr>
                <w:rFonts w:ascii="宋体" w:hAnsi="宋体" w:cs="宋体"/>
                <w:color w:val="auto"/>
                <w:kern w:val="0"/>
                <w:sz w:val="24"/>
              </w:rPr>
            </w:pPr>
            <w:r>
              <w:rPr>
                <w:rFonts w:ascii="宋体" w:hAnsi="宋体" w:cs="宋体"/>
                <w:color w:val="auto"/>
                <w:kern w:val="0"/>
                <w:sz w:val="24"/>
              </w:rPr>
              <w:t>否</w:t>
            </w:r>
          </w:p>
        </w:tc>
        <w:tc>
          <w:tcPr>
            <w:tcW w:w="634" w:type="pct"/>
            <w:tcMar>
              <w:top w:w="45" w:type="dxa"/>
              <w:left w:w="45" w:type="dxa"/>
              <w:bottom w:w="45" w:type="dxa"/>
              <w:right w:w="45" w:type="dxa"/>
            </w:tcMar>
            <w:vAlign w:val="center"/>
          </w:tcPr>
          <w:p w14:paraId="1BC462B0">
            <w:pPr>
              <w:widowControl/>
              <w:adjustRightInd w:val="0"/>
              <w:snapToGrid w:val="0"/>
              <w:jc w:val="center"/>
              <w:rPr>
                <w:rFonts w:ascii="宋体" w:hAnsi="宋体" w:cs="宋体"/>
                <w:color w:val="auto"/>
                <w:kern w:val="0"/>
                <w:sz w:val="24"/>
              </w:rPr>
            </w:pPr>
            <w:r>
              <w:rPr>
                <w:rFonts w:ascii="宋体" w:hAnsi="宋体" w:cs="宋体"/>
                <w:color w:val="auto"/>
                <w:kern w:val="0"/>
                <w:sz w:val="24"/>
              </w:rPr>
              <w:t>否</w:t>
            </w:r>
          </w:p>
        </w:tc>
        <w:tc>
          <w:tcPr>
            <w:tcW w:w="635" w:type="pct"/>
            <w:tcMar>
              <w:top w:w="45" w:type="dxa"/>
              <w:left w:w="45" w:type="dxa"/>
              <w:bottom w:w="45" w:type="dxa"/>
              <w:right w:w="45" w:type="dxa"/>
            </w:tcMar>
            <w:vAlign w:val="center"/>
          </w:tcPr>
          <w:p w14:paraId="260CD042">
            <w:pPr>
              <w:widowControl/>
              <w:adjustRightInd w:val="0"/>
              <w:snapToGrid w:val="0"/>
              <w:jc w:val="center"/>
              <w:rPr>
                <w:rFonts w:ascii="宋体" w:hAnsi="宋体" w:cs="宋体"/>
                <w:color w:val="auto"/>
                <w:kern w:val="0"/>
                <w:sz w:val="24"/>
              </w:rPr>
            </w:pPr>
            <w:r>
              <w:rPr>
                <w:rFonts w:ascii="宋体" w:hAnsi="宋体" w:cs="宋体"/>
                <w:color w:val="auto"/>
                <w:kern w:val="0"/>
                <w:sz w:val="24"/>
              </w:rPr>
              <w:t>否</w:t>
            </w:r>
          </w:p>
        </w:tc>
      </w:tr>
    </w:tbl>
    <w:p w14:paraId="7AB07C54">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b/>
          <w:bCs/>
          <w:color w:val="auto"/>
          <w:kern w:val="0"/>
          <w:sz w:val="24"/>
        </w:rPr>
        <w:t>二、供应商资格要求：</w:t>
      </w:r>
    </w:p>
    <w:p w14:paraId="6142E376">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b/>
          <w:bCs/>
          <w:color w:val="auto"/>
          <w:kern w:val="0"/>
          <w:sz w:val="24"/>
        </w:rPr>
        <w:t>2.1供应商基本资格要求：</w:t>
      </w:r>
    </w:p>
    <w:p w14:paraId="00095F19">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1.具有独立承担民事责任的能力；</w:t>
      </w:r>
    </w:p>
    <w:p w14:paraId="3158D0C1">
      <w:pPr>
        <w:widowControl/>
        <w:shd w:val="clear" w:color="auto" w:fill="FFFFFF"/>
        <w:tabs>
          <w:tab w:val="left" w:pos="5250"/>
        </w:tabs>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2.具有良好的商业信誉和健全的财务会计制度；</w:t>
      </w:r>
    </w:p>
    <w:p w14:paraId="3B695C40">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3.具有履行合同所必需的设备和专业技术能力；</w:t>
      </w:r>
    </w:p>
    <w:p w14:paraId="2EF8EC23">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4.有依法缴纳税收和社会保障资金的良好记录；</w:t>
      </w:r>
    </w:p>
    <w:p w14:paraId="749DFCF0">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5.参加政府采购活动前三年内，在经营活动中没有重大违法记录；</w:t>
      </w:r>
    </w:p>
    <w:p w14:paraId="640392B6">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6.法律、行政法规规定的其他条件。</w:t>
      </w:r>
    </w:p>
    <w:p w14:paraId="5EB6C8B9">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b/>
          <w:bCs/>
          <w:color w:val="auto"/>
          <w:kern w:val="0"/>
          <w:sz w:val="24"/>
        </w:rPr>
        <w:t>2.2供应商特定资格要求：</w:t>
      </w:r>
      <w:r>
        <w:rPr>
          <w:rFonts w:hint="eastAsia" w:ascii="宋体" w:hAnsi="宋体" w:cs="宋体"/>
          <w:color w:val="auto"/>
          <w:kern w:val="0"/>
          <w:sz w:val="24"/>
        </w:rPr>
        <w:t>无。</w:t>
      </w:r>
    </w:p>
    <w:p w14:paraId="07971153">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b/>
          <w:bCs/>
          <w:color w:val="auto"/>
          <w:sz w:val="24"/>
          <w:szCs w:val="32"/>
        </w:rPr>
        <w:t>2.3落实政府采购政策需满足的资格要求：</w:t>
      </w:r>
      <w:r>
        <w:rPr>
          <w:rFonts w:hint="eastAsia" w:ascii="宋体" w:hAnsi="宋体" w:cs="宋体"/>
          <w:b w:val="0"/>
          <w:bCs w:val="0"/>
          <w:color w:val="auto"/>
          <w:sz w:val="24"/>
          <w:szCs w:val="32"/>
          <w:lang w:val="en-US" w:eastAsia="zh-CN"/>
        </w:rPr>
        <w:t>本项目专门面向中小企业采购，供应商须按照《政府采购促进中小企业发展管理办法》的规定提供中小企业声明函。</w:t>
      </w:r>
      <w:bookmarkStart w:id="83" w:name="_GoBack"/>
      <w:bookmarkEnd w:id="83"/>
    </w:p>
    <w:p w14:paraId="2C5FC9DD">
      <w:pPr>
        <w:widowControl/>
        <w:shd w:val="clear" w:color="auto" w:fill="FFFFFF"/>
        <w:adjustRightInd w:val="0"/>
        <w:snapToGrid w:val="0"/>
        <w:spacing w:line="360" w:lineRule="auto"/>
        <w:jc w:val="left"/>
        <w:rPr>
          <w:rFonts w:hint="eastAsia" w:ascii="宋体" w:hAnsi="宋体" w:cs="宋体"/>
          <w:color w:val="auto"/>
          <w:kern w:val="0"/>
          <w:sz w:val="24"/>
        </w:rPr>
      </w:pPr>
      <w:r>
        <w:rPr>
          <w:rFonts w:hint="eastAsia" w:ascii="宋体" w:hAnsi="宋体" w:cs="宋体"/>
          <w:b/>
          <w:bCs/>
          <w:color w:val="auto"/>
          <w:kern w:val="0"/>
          <w:sz w:val="24"/>
        </w:rPr>
        <w:t>3.本项目对联合体的要求：</w:t>
      </w:r>
      <w:r>
        <w:rPr>
          <w:rFonts w:hint="eastAsia" w:ascii="宋体" w:hAnsi="宋体" w:cs="宋体"/>
          <w:color w:val="auto"/>
          <w:kern w:val="0"/>
          <w:sz w:val="24"/>
        </w:rPr>
        <w:t>本项目不接受联合体。</w:t>
      </w:r>
    </w:p>
    <w:p w14:paraId="27A2A2C2">
      <w:pPr>
        <w:widowControl/>
        <w:shd w:val="clear" w:color="auto" w:fill="FFFFFF"/>
        <w:adjustRightInd w:val="0"/>
        <w:snapToGrid w:val="0"/>
        <w:spacing w:line="360" w:lineRule="auto"/>
        <w:jc w:val="left"/>
        <w:rPr>
          <w:rFonts w:ascii="宋体" w:hAnsi="宋体" w:cs="宋体"/>
          <w:b/>
          <w:bCs/>
          <w:color w:val="auto"/>
          <w:kern w:val="0"/>
          <w:sz w:val="24"/>
        </w:rPr>
      </w:pPr>
      <w:r>
        <w:rPr>
          <w:rFonts w:hint="eastAsia" w:ascii="宋体" w:hAnsi="宋体" w:cs="宋体"/>
          <w:b/>
          <w:bCs/>
          <w:color w:val="auto"/>
          <w:kern w:val="0"/>
          <w:sz w:val="24"/>
        </w:rPr>
        <w:t>三、竞争性磋商文件发售方式、时间及文件售价：</w:t>
      </w:r>
    </w:p>
    <w:p w14:paraId="0E88FEBA">
      <w:pPr>
        <w:shd w:val="clear" w:color="auto" w:fill="FFFFFF"/>
        <w:adjustRightInd w:val="0"/>
        <w:snapToGrid w:val="0"/>
        <w:spacing w:line="360" w:lineRule="auto"/>
        <w:rPr>
          <w:rFonts w:ascii="宋体" w:hAnsi="宋体" w:cs="仿宋_GB2312"/>
          <w:b/>
          <w:bCs/>
          <w:color w:val="auto"/>
          <w:kern w:val="0"/>
          <w:sz w:val="24"/>
        </w:rPr>
      </w:pPr>
      <w:r>
        <w:rPr>
          <w:rFonts w:hint="eastAsia" w:ascii="宋体" w:hAnsi="宋体" w:cs="仿宋_GB2312"/>
          <w:color w:val="auto"/>
          <w:kern w:val="0"/>
          <w:sz w:val="24"/>
        </w:rPr>
        <w:t>3.1获取磋商文件时间（法定工作时间）：2026年</w:t>
      </w:r>
      <w:r>
        <w:rPr>
          <w:rFonts w:hint="eastAsia" w:ascii="宋体" w:hAnsi="宋体" w:cs="仿宋_GB2312"/>
          <w:color w:val="auto"/>
          <w:kern w:val="0"/>
          <w:sz w:val="24"/>
          <w:lang w:val="en-US" w:eastAsia="zh-CN"/>
        </w:rPr>
        <w:t>9</w:t>
      </w:r>
      <w:r>
        <w:rPr>
          <w:rFonts w:hint="eastAsia" w:ascii="宋体" w:hAnsi="宋体" w:cs="仿宋_GB2312"/>
          <w:color w:val="auto"/>
          <w:kern w:val="0"/>
          <w:sz w:val="24"/>
        </w:rPr>
        <w:t>月</w:t>
      </w:r>
      <w:r>
        <w:rPr>
          <w:rFonts w:hint="eastAsia" w:ascii="宋体" w:hAnsi="宋体" w:cs="仿宋_GB2312"/>
          <w:color w:val="auto"/>
          <w:kern w:val="0"/>
          <w:sz w:val="24"/>
          <w:lang w:val="en-US" w:eastAsia="zh-CN"/>
        </w:rPr>
        <w:t>15</w:t>
      </w:r>
      <w:r>
        <w:rPr>
          <w:rFonts w:hint="eastAsia" w:ascii="宋体" w:hAnsi="宋体" w:cs="仿宋_GB2312"/>
          <w:color w:val="auto"/>
          <w:kern w:val="0"/>
          <w:sz w:val="24"/>
        </w:rPr>
        <w:t>日至2026年</w:t>
      </w:r>
      <w:r>
        <w:rPr>
          <w:rFonts w:hint="eastAsia" w:ascii="宋体" w:hAnsi="宋体" w:cs="仿宋_GB2312"/>
          <w:color w:val="auto"/>
          <w:kern w:val="0"/>
          <w:sz w:val="24"/>
          <w:lang w:val="en-US" w:eastAsia="zh-CN"/>
        </w:rPr>
        <w:t>9</w:t>
      </w:r>
      <w:r>
        <w:rPr>
          <w:rFonts w:hint="eastAsia" w:ascii="宋体" w:hAnsi="宋体" w:cs="仿宋_GB2312"/>
          <w:color w:val="auto"/>
          <w:kern w:val="0"/>
          <w:sz w:val="24"/>
        </w:rPr>
        <w:t>月</w:t>
      </w:r>
      <w:r>
        <w:rPr>
          <w:rFonts w:hint="eastAsia" w:ascii="宋体" w:hAnsi="宋体" w:cs="仿宋_GB2312"/>
          <w:color w:val="auto"/>
          <w:kern w:val="0"/>
          <w:sz w:val="24"/>
          <w:lang w:val="en-US" w:eastAsia="zh-CN"/>
        </w:rPr>
        <w:t>21</w:t>
      </w:r>
      <w:r>
        <w:rPr>
          <w:rFonts w:hint="eastAsia" w:ascii="宋体" w:hAnsi="宋体" w:cs="仿宋_GB2312"/>
          <w:color w:val="auto"/>
          <w:kern w:val="0"/>
          <w:sz w:val="24"/>
        </w:rPr>
        <w:t>日。</w:t>
      </w:r>
    </w:p>
    <w:p w14:paraId="29B2E931">
      <w:pPr>
        <w:tabs>
          <w:tab w:val="left" w:pos="4700"/>
          <w:tab w:val="left" w:pos="6000"/>
          <w:tab w:val="left" w:pos="7160"/>
          <w:tab w:val="left" w:pos="8520"/>
        </w:tabs>
        <w:autoSpaceDE w:val="0"/>
        <w:autoSpaceDN w:val="0"/>
        <w:adjustRightInd w:val="0"/>
        <w:snapToGrid w:val="0"/>
        <w:spacing w:line="360" w:lineRule="auto"/>
        <w:jc w:val="left"/>
        <w:rPr>
          <w:rFonts w:cs="微软雅黑" w:asciiTheme="minorEastAsia" w:hAnsiTheme="minorEastAsia" w:eastAsiaTheme="minorEastAsia"/>
          <w:color w:val="auto"/>
          <w:kern w:val="0"/>
          <w:sz w:val="24"/>
        </w:rPr>
      </w:pPr>
      <w:r>
        <w:rPr>
          <w:rFonts w:hint="eastAsia" w:cs="微软雅黑" w:asciiTheme="minorEastAsia" w:hAnsiTheme="minorEastAsia" w:eastAsiaTheme="minorEastAsia"/>
          <w:color w:val="auto"/>
          <w:kern w:val="0"/>
          <w:sz w:val="24"/>
        </w:rPr>
        <w:t>3.2获取磋商文件方式：凡符合投标资格要求并有意参加投标者请在《中国湖南政府采购网》下载竞争性磋商文件，其下载的磋商文件与书面磋商文件具有同等法律效力。</w:t>
      </w:r>
    </w:p>
    <w:p w14:paraId="1A61FA5F">
      <w:pPr>
        <w:widowControl/>
        <w:shd w:val="clear" w:color="auto" w:fill="FFFFFF"/>
        <w:adjustRightInd w:val="0"/>
        <w:snapToGrid w:val="0"/>
        <w:spacing w:line="360" w:lineRule="auto"/>
        <w:jc w:val="left"/>
        <w:rPr>
          <w:rFonts w:cs="微软雅黑" w:asciiTheme="minorEastAsia" w:hAnsiTheme="minorEastAsia" w:eastAsiaTheme="minorEastAsia"/>
          <w:color w:val="auto"/>
          <w:kern w:val="0"/>
          <w:sz w:val="24"/>
        </w:rPr>
      </w:pPr>
      <w:r>
        <w:rPr>
          <w:rFonts w:hint="eastAsia" w:cs="微软雅黑" w:asciiTheme="minorEastAsia" w:hAnsiTheme="minorEastAsia" w:eastAsiaTheme="minorEastAsia"/>
          <w:color w:val="auto"/>
          <w:kern w:val="0"/>
          <w:sz w:val="24"/>
        </w:rPr>
        <w:t>3.3磋商文件售价：免费</w:t>
      </w:r>
      <w:r>
        <w:rPr>
          <w:rFonts w:hint="eastAsia" w:cs="微软雅黑" w:asciiTheme="minorEastAsia" w:hAnsiTheme="minorEastAsia" w:eastAsiaTheme="minorEastAsia"/>
          <w:color w:val="auto"/>
          <w:kern w:val="0"/>
          <w:sz w:val="24"/>
          <w:lang w:val="en-US" w:eastAsia="zh-CN"/>
        </w:rPr>
        <w:t>下载</w:t>
      </w:r>
      <w:r>
        <w:rPr>
          <w:rFonts w:hint="eastAsia" w:cs="微软雅黑" w:asciiTheme="minorEastAsia" w:hAnsiTheme="minorEastAsia" w:eastAsiaTheme="minorEastAsia"/>
          <w:color w:val="auto"/>
          <w:kern w:val="0"/>
          <w:sz w:val="24"/>
        </w:rPr>
        <w:t>。</w:t>
      </w:r>
    </w:p>
    <w:p w14:paraId="431177F5">
      <w:pPr>
        <w:widowControl/>
        <w:shd w:val="clear" w:color="auto" w:fill="FFFFFF"/>
        <w:adjustRightInd w:val="0"/>
        <w:snapToGrid w:val="0"/>
        <w:spacing w:line="360" w:lineRule="auto"/>
        <w:jc w:val="left"/>
        <w:rPr>
          <w:rFonts w:ascii="宋体" w:hAnsi="宋体" w:cs="宋体"/>
          <w:b/>
          <w:bCs/>
          <w:color w:val="auto"/>
          <w:kern w:val="0"/>
          <w:sz w:val="24"/>
        </w:rPr>
      </w:pPr>
      <w:r>
        <w:rPr>
          <w:rFonts w:hint="eastAsia" w:cs="微软雅黑" w:asciiTheme="minorEastAsia" w:hAnsiTheme="minorEastAsia" w:eastAsiaTheme="minorEastAsia"/>
          <w:color w:val="auto"/>
          <w:kern w:val="0"/>
          <w:sz w:val="24"/>
        </w:rPr>
        <w:t>3.4澄清更正采用“网上澄清更正”方式。采购人或采购代理机构对磋商文件的澄清更正均会在指定公告媒体上发布，请供应商自行获取。其获取的澄清更正内容与书面澄清更正具有同等法律效力。</w:t>
      </w:r>
    </w:p>
    <w:p w14:paraId="6FB81B4C">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b/>
          <w:bCs/>
          <w:color w:val="auto"/>
          <w:kern w:val="0"/>
          <w:sz w:val="24"/>
        </w:rPr>
        <w:t>四、递交响应文件的截止时间和地点：</w:t>
      </w:r>
    </w:p>
    <w:p w14:paraId="5C2672B4">
      <w:pPr>
        <w:shd w:val="clear" w:color="auto" w:fill="FFFFFF"/>
        <w:adjustRightInd w:val="0"/>
        <w:snapToGrid w:val="0"/>
        <w:spacing w:line="360" w:lineRule="auto"/>
        <w:rPr>
          <w:rFonts w:ascii="宋体" w:hAnsi="宋体" w:cs="宋体"/>
          <w:color w:val="auto"/>
          <w:kern w:val="0"/>
          <w:sz w:val="24"/>
        </w:rPr>
      </w:pPr>
      <w:r>
        <w:rPr>
          <w:rFonts w:hint="eastAsia" w:ascii="宋体" w:hAnsi="宋体" w:cs="宋体"/>
          <w:color w:val="auto"/>
          <w:kern w:val="0"/>
          <w:sz w:val="24"/>
        </w:rPr>
        <w:t>4.1竞争性磋商响应截止、开标时间：</w:t>
      </w:r>
      <w:r>
        <w:rPr>
          <w:rFonts w:hint="eastAsia" w:ascii="宋体" w:hAnsi="宋体" w:cs="仿宋_GB2312"/>
          <w:b/>
          <w:bCs/>
          <w:color w:val="auto"/>
          <w:kern w:val="0"/>
          <w:sz w:val="24"/>
          <w:lang w:eastAsia="zh-CN"/>
        </w:rPr>
        <w:t>2026年</w:t>
      </w:r>
      <w:r>
        <w:rPr>
          <w:rFonts w:hint="eastAsia" w:ascii="宋体" w:hAnsi="宋体" w:cs="仿宋_GB2312"/>
          <w:b/>
          <w:bCs/>
          <w:color w:val="auto"/>
          <w:kern w:val="0"/>
          <w:sz w:val="24"/>
          <w:lang w:val="en-US" w:eastAsia="zh-CN"/>
        </w:rPr>
        <w:t>9</w:t>
      </w:r>
      <w:r>
        <w:rPr>
          <w:rFonts w:hint="eastAsia" w:ascii="宋体" w:hAnsi="宋体" w:cs="仿宋_GB2312"/>
          <w:b/>
          <w:bCs/>
          <w:color w:val="auto"/>
          <w:kern w:val="0"/>
          <w:sz w:val="24"/>
          <w:lang w:eastAsia="zh-CN"/>
        </w:rPr>
        <w:t>月</w:t>
      </w:r>
      <w:r>
        <w:rPr>
          <w:rFonts w:hint="eastAsia" w:ascii="宋体" w:hAnsi="宋体" w:cs="仿宋_GB2312"/>
          <w:b/>
          <w:bCs/>
          <w:color w:val="auto"/>
          <w:kern w:val="0"/>
          <w:sz w:val="24"/>
          <w:lang w:val="en-US" w:eastAsia="zh-CN"/>
        </w:rPr>
        <w:t>28</w:t>
      </w:r>
      <w:r>
        <w:rPr>
          <w:rFonts w:hint="eastAsia" w:ascii="宋体" w:hAnsi="宋体" w:cs="仿宋_GB2312"/>
          <w:b/>
          <w:bCs/>
          <w:color w:val="auto"/>
          <w:kern w:val="0"/>
          <w:sz w:val="24"/>
          <w:lang w:eastAsia="zh-CN"/>
        </w:rPr>
        <w:t>日</w:t>
      </w:r>
      <w:r>
        <w:rPr>
          <w:rFonts w:hint="eastAsia" w:ascii="宋体" w:hAnsi="宋体" w:cs="仿宋_GB2312"/>
          <w:b/>
          <w:bCs/>
          <w:color w:val="auto"/>
          <w:kern w:val="0"/>
          <w:sz w:val="24"/>
          <w:lang w:val="en-US" w:eastAsia="zh-CN"/>
        </w:rPr>
        <w:t>09</w:t>
      </w:r>
      <w:r>
        <w:rPr>
          <w:rFonts w:hint="eastAsia" w:ascii="宋体" w:hAnsi="宋体" w:cs="仿宋_GB2312"/>
          <w:b/>
          <w:bCs/>
          <w:color w:val="auto"/>
          <w:kern w:val="0"/>
          <w:sz w:val="24"/>
          <w:lang w:eastAsia="zh-CN"/>
        </w:rPr>
        <w:t>时</w:t>
      </w:r>
      <w:r>
        <w:rPr>
          <w:rFonts w:hint="eastAsia" w:ascii="宋体" w:hAnsi="宋体" w:cs="仿宋_GB2312"/>
          <w:b/>
          <w:bCs/>
          <w:color w:val="auto"/>
          <w:kern w:val="0"/>
          <w:sz w:val="24"/>
          <w:lang w:val="en-US" w:eastAsia="zh-CN"/>
        </w:rPr>
        <w:t>30</w:t>
      </w:r>
      <w:r>
        <w:rPr>
          <w:rFonts w:hint="eastAsia" w:ascii="宋体" w:hAnsi="宋体" w:cs="仿宋_GB2312"/>
          <w:b/>
          <w:bCs/>
          <w:color w:val="auto"/>
          <w:kern w:val="0"/>
          <w:sz w:val="24"/>
          <w:lang w:eastAsia="zh-CN"/>
        </w:rPr>
        <w:t>分</w:t>
      </w:r>
      <w:r>
        <w:rPr>
          <w:rFonts w:hint="eastAsia" w:ascii="宋体" w:hAnsi="宋体" w:cs="仿宋_GB2312"/>
          <w:b/>
          <w:bCs/>
          <w:color w:val="auto"/>
          <w:kern w:val="0"/>
          <w:sz w:val="24"/>
        </w:rPr>
        <w:t>（北京时间）</w:t>
      </w:r>
    </w:p>
    <w:p w14:paraId="038EDAA3">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4.2 竞争性磋商地点：常德众益项目管理咨询有限公司开标室（</w:t>
      </w:r>
      <w:r>
        <w:rPr>
          <w:rFonts w:hint="eastAsia" w:ascii="宋体" w:hAnsi="宋体" w:cs="宋体"/>
          <w:color w:val="auto"/>
          <w:kern w:val="0"/>
          <w:sz w:val="24"/>
          <w:lang w:val="en-US" w:eastAsia="zh-CN"/>
        </w:rPr>
        <w:t>常德市武陵区上川四季酒店13A楼</w:t>
      </w:r>
      <w:r>
        <w:rPr>
          <w:rFonts w:hint="eastAsia" w:ascii="宋体" w:hAnsi="宋体" w:cs="宋体"/>
          <w:color w:val="auto"/>
          <w:kern w:val="0"/>
          <w:sz w:val="24"/>
        </w:rPr>
        <w:t>）</w:t>
      </w:r>
    </w:p>
    <w:p w14:paraId="42F6CDC1">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4.3 响应文件送至常德众益项目管理咨询有限公司开标室（常德市武陵区上川四季酒店6楼）。逾期送达或者不按磋商文件要求密封或者不按磋商文件的要求提供保证金的的响应文件，采购代理机构将拒绝接收。</w:t>
      </w:r>
    </w:p>
    <w:p w14:paraId="149B5DBD">
      <w:pPr>
        <w:widowControl/>
        <w:shd w:val="clear" w:color="auto" w:fill="FFFFFF"/>
        <w:adjustRightInd w:val="0"/>
        <w:snapToGrid w:val="0"/>
        <w:spacing w:line="360" w:lineRule="auto"/>
        <w:jc w:val="left"/>
        <w:rPr>
          <w:rFonts w:ascii="宋体" w:hAnsi="宋体"/>
          <w:b/>
          <w:bCs/>
          <w:color w:val="auto"/>
          <w:kern w:val="0"/>
          <w:sz w:val="24"/>
        </w:rPr>
      </w:pPr>
      <w:r>
        <w:rPr>
          <w:rFonts w:hint="eastAsia" w:ascii="宋体" w:hAnsi="宋体" w:cs="宋体"/>
          <w:b/>
          <w:bCs/>
          <w:color w:val="auto"/>
          <w:kern w:val="0"/>
          <w:sz w:val="24"/>
        </w:rPr>
        <w:t>五、投标保证金：</w:t>
      </w:r>
      <w:r>
        <w:rPr>
          <w:rFonts w:hint="eastAsia" w:ascii="宋体" w:hAnsi="宋体"/>
          <w:color w:val="auto"/>
          <w:kern w:val="0"/>
          <w:sz w:val="24"/>
        </w:rPr>
        <w:t>不要求提供。</w:t>
      </w:r>
    </w:p>
    <w:p w14:paraId="2A2FB018">
      <w:pPr>
        <w:widowControl/>
        <w:adjustRightInd w:val="0"/>
        <w:snapToGrid w:val="0"/>
        <w:spacing w:line="360" w:lineRule="auto"/>
        <w:ind w:right="-153" w:rightChars="-73"/>
        <w:jc w:val="left"/>
        <w:rPr>
          <w:rFonts w:ascii="宋体" w:hAnsi="宋体"/>
          <w:color w:val="auto"/>
          <w:kern w:val="0"/>
          <w:sz w:val="24"/>
        </w:rPr>
      </w:pPr>
      <w:r>
        <w:rPr>
          <w:rFonts w:hint="eastAsia" w:ascii="宋体" w:hAnsi="宋体"/>
          <w:b/>
          <w:bCs/>
          <w:color w:val="auto"/>
          <w:kern w:val="0"/>
          <w:sz w:val="24"/>
        </w:rPr>
        <w:t>六、公告期限：</w:t>
      </w:r>
    </w:p>
    <w:p w14:paraId="62B1BB9B">
      <w:pPr>
        <w:widowControl/>
        <w:adjustRightInd w:val="0"/>
        <w:snapToGrid w:val="0"/>
        <w:spacing w:line="360" w:lineRule="auto"/>
        <w:ind w:right="-153" w:rightChars="-73"/>
        <w:jc w:val="left"/>
        <w:rPr>
          <w:rFonts w:ascii="宋体" w:hAnsi="宋体"/>
          <w:color w:val="auto"/>
          <w:kern w:val="0"/>
          <w:sz w:val="24"/>
        </w:rPr>
      </w:pPr>
      <w:r>
        <w:rPr>
          <w:rFonts w:hint="eastAsia" w:ascii="宋体" w:hAnsi="宋体"/>
          <w:color w:val="auto"/>
          <w:kern w:val="0"/>
          <w:sz w:val="24"/>
        </w:rPr>
        <w:t>6.1公告期限从本磋商公告发布之日起3个工作日。</w:t>
      </w:r>
    </w:p>
    <w:p w14:paraId="50838335">
      <w:pPr>
        <w:widowControl/>
        <w:adjustRightInd w:val="0"/>
        <w:snapToGrid w:val="0"/>
        <w:spacing w:line="360" w:lineRule="auto"/>
        <w:ind w:right="-153" w:rightChars="-73"/>
        <w:jc w:val="left"/>
        <w:rPr>
          <w:rFonts w:ascii="宋体" w:hAnsi="宋体"/>
          <w:color w:val="auto"/>
          <w:kern w:val="0"/>
          <w:sz w:val="24"/>
        </w:rPr>
      </w:pPr>
      <w:r>
        <w:rPr>
          <w:rFonts w:hint="eastAsia" w:ascii="宋体" w:hAnsi="宋体"/>
          <w:color w:val="auto"/>
          <w:kern w:val="0"/>
          <w:sz w:val="24"/>
        </w:rPr>
        <w:t>6.2本项目公告指定在《</w:t>
      </w:r>
      <w:r>
        <w:rPr>
          <w:rFonts w:hint="eastAsia" w:asciiTheme="minorEastAsia" w:hAnsiTheme="minorEastAsia" w:eastAsiaTheme="minorEastAsia"/>
          <w:color w:val="auto"/>
          <w:sz w:val="24"/>
        </w:rPr>
        <w:t>中国湖南政府采购网</w:t>
      </w:r>
      <w:r>
        <w:rPr>
          <w:rFonts w:hint="eastAsia" w:ascii="宋体" w:hAnsi="宋体"/>
          <w:color w:val="auto"/>
          <w:kern w:val="0"/>
          <w:sz w:val="24"/>
        </w:rPr>
        <w:t>》</w:t>
      </w:r>
      <w:r>
        <w:rPr>
          <w:rFonts w:hint="eastAsia" w:asciiTheme="minorEastAsia" w:hAnsiTheme="minorEastAsia" w:eastAsiaTheme="minorEastAsia"/>
          <w:color w:val="auto"/>
          <w:sz w:val="24"/>
        </w:rPr>
        <w:t>(www.ccgp-hunan.gov.cn)</w:t>
      </w:r>
      <w:r>
        <w:rPr>
          <w:rFonts w:hint="eastAsia" w:ascii="宋体" w:hAnsi="宋体"/>
          <w:color w:val="auto"/>
          <w:kern w:val="0"/>
          <w:sz w:val="24"/>
        </w:rPr>
        <w:t>发布，在其他媒体发布的公告，公告内容以指定媒体发布的公告为准；公告期限自指定媒体最先发布之日起算。</w:t>
      </w:r>
    </w:p>
    <w:p w14:paraId="30CA69C9">
      <w:pPr>
        <w:adjustRightInd w:val="0"/>
        <w:snapToGrid w:val="0"/>
        <w:spacing w:line="360" w:lineRule="auto"/>
        <w:rPr>
          <w:rFonts w:asciiTheme="minorEastAsia" w:hAnsiTheme="minorEastAsia" w:eastAsiaTheme="minorEastAsia"/>
          <w:color w:val="auto"/>
          <w:sz w:val="24"/>
        </w:rPr>
      </w:pPr>
      <w:r>
        <w:rPr>
          <w:rFonts w:hint="eastAsia" w:asciiTheme="minorEastAsia" w:hAnsiTheme="minorEastAsia" w:eastAsiaTheme="minorEastAsia"/>
          <w:b/>
          <w:color w:val="auto"/>
          <w:sz w:val="24"/>
        </w:rPr>
        <w:t>七、疑问及质疑</w:t>
      </w:r>
      <w:r>
        <w:rPr>
          <w:rFonts w:hint="eastAsia" w:asciiTheme="minorEastAsia" w:hAnsiTheme="minorEastAsia" w:eastAsiaTheme="minorEastAsia"/>
          <w:color w:val="auto"/>
          <w:sz w:val="24"/>
        </w:rPr>
        <w:t>：</w:t>
      </w:r>
    </w:p>
    <w:p w14:paraId="468FA1D8">
      <w:pPr>
        <w:adjustRightInd w:val="0"/>
        <w:snapToGrid w:val="0"/>
        <w:spacing w:line="360" w:lineRule="auto"/>
        <w:rPr>
          <w:rFonts w:asciiTheme="minorEastAsia" w:hAnsiTheme="minorEastAsia" w:eastAsiaTheme="minorEastAsia"/>
          <w:color w:val="auto"/>
          <w:sz w:val="24"/>
        </w:rPr>
      </w:pPr>
      <w:r>
        <w:rPr>
          <w:rFonts w:hint="eastAsia" w:asciiTheme="minorEastAsia" w:hAnsiTheme="minorEastAsia" w:eastAsiaTheme="minorEastAsia"/>
          <w:color w:val="auto"/>
          <w:sz w:val="24"/>
        </w:rPr>
        <w:t>7.1供应商对政府采购活动事项如有疑问的，可以向采购人、采购代理机构提出书面询问。采购人、采购代理机构将在3个工作日内作出答复。</w:t>
      </w:r>
    </w:p>
    <w:p w14:paraId="79DA1DA8">
      <w:pPr>
        <w:widowControl/>
        <w:shd w:val="clear" w:color="auto" w:fill="FFFFFF"/>
        <w:adjustRightInd w:val="0"/>
        <w:snapToGrid w:val="0"/>
        <w:spacing w:line="360" w:lineRule="auto"/>
        <w:jc w:val="left"/>
        <w:rPr>
          <w:rFonts w:ascii="宋体" w:hAnsi="宋体" w:cs="宋体"/>
          <w:b/>
          <w:bCs/>
          <w:color w:val="auto"/>
          <w:kern w:val="0"/>
          <w:sz w:val="24"/>
        </w:rPr>
      </w:pPr>
      <w:r>
        <w:rPr>
          <w:rFonts w:hint="eastAsia" w:asciiTheme="minorEastAsia" w:hAnsiTheme="minorEastAsia" w:eastAsiaTheme="minorEastAsia"/>
          <w:color w:val="auto"/>
          <w:sz w:val="24"/>
        </w:rPr>
        <w:t>7.2潜在供应商认为磋商文件或磋商公告使自己的合法权益受到损害的，可以在知道或者应知其权益受到损害之日起7个工作日内，按湖南省财政厅关于印发《政府采购质疑答复和投诉处理操作规程》的通知（湘财购〔2024〕67号）规定，以书面形式向采购人、采购代理机构提出质疑。</w:t>
      </w:r>
    </w:p>
    <w:p w14:paraId="2E2A82B0">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b/>
          <w:bCs/>
          <w:color w:val="auto"/>
          <w:kern w:val="0"/>
          <w:sz w:val="24"/>
        </w:rPr>
        <w:t>八、与本次采购相关联系方式：</w:t>
      </w:r>
    </w:p>
    <w:p w14:paraId="096D4C13">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b/>
          <w:bCs/>
          <w:color w:val="auto"/>
          <w:kern w:val="0"/>
          <w:sz w:val="24"/>
        </w:rPr>
        <w:t>采 购 人：</w:t>
      </w:r>
      <w:r>
        <w:rPr>
          <w:rFonts w:hint="eastAsia" w:ascii="宋体" w:hAnsi="宋体" w:cs="宋体"/>
          <w:color w:val="auto"/>
          <w:kern w:val="0"/>
          <w:sz w:val="24"/>
        </w:rPr>
        <w:t>湖南文理学院</w:t>
      </w:r>
    </w:p>
    <w:p w14:paraId="55F4C5CF">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联 系 人：</w:t>
      </w:r>
      <w:r>
        <w:rPr>
          <w:rFonts w:hint="eastAsia" w:ascii="宋体" w:hAnsi="宋体" w:cs="宋体"/>
          <w:color w:val="auto"/>
          <w:kern w:val="0"/>
          <w:sz w:val="24"/>
          <w:lang w:eastAsia="zh-CN"/>
        </w:rPr>
        <w:t>孙老师</w:t>
      </w:r>
      <w:r>
        <w:rPr>
          <w:rFonts w:hint="eastAsia" w:ascii="宋体" w:hAnsi="宋体" w:cs="宋体"/>
          <w:color w:val="auto"/>
          <w:kern w:val="0"/>
          <w:sz w:val="24"/>
        </w:rPr>
        <w:t xml:space="preserve">                  电 话：0736-7186063</w:t>
      </w:r>
    </w:p>
    <w:p w14:paraId="33AF8C62">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地   址：常德市洞庭大道3150号</w:t>
      </w:r>
    </w:p>
    <w:p w14:paraId="39860222">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b/>
          <w:bCs/>
          <w:color w:val="auto"/>
          <w:kern w:val="0"/>
          <w:sz w:val="24"/>
        </w:rPr>
        <w:t>采购代理机构：</w:t>
      </w:r>
      <w:r>
        <w:rPr>
          <w:rFonts w:hint="eastAsia" w:ascii="宋体" w:hAnsi="宋体" w:cs="宋体"/>
          <w:color w:val="auto"/>
          <w:kern w:val="0"/>
          <w:sz w:val="24"/>
        </w:rPr>
        <w:t>常德众益项目管理咨询有限公司</w:t>
      </w:r>
    </w:p>
    <w:p w14:paraId="77454C2E">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联 系 人：王先强/袁巧玲           电 话：0736-7232568</w:t>
      </w:r>
    </w:p>
    <w:p w14:paraId="2FDE5145">
      <w:pPr>
        <w:widowControl/>
        <w:shd w:val="clear" w:color="auto" w:fill="FFFFFF"/>
        <w:adjustRightInd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公司地址：常德市武陵区丹阳路上川四季酒店6楼</w:t>
      </w:r>
    </w:p>
    <w:p w14:paraId="131C8635">
      <w:pPr>
        <w:widowControl/>
        <w:shd w:val="clear" w:color="auto" w:fill="FFFFFF"/>
        <w:spacing w:line="360" w:lineRule="auto"/>
        <w:jc w:val="center"/>
        <w:outlineLvl w:val="0"/>
        <w:rPr>
          <w:rFonts w:hAnsi="宋体"/>
          <w:b/>
          <w:color w:val="auto"/>
          <w:sz w:val="32"/>
          <w:szCs w:val="32"/>
        </w:rPr>
      </w:pPr>
      <w:r>
        <w:rPr>
          <w:rFonts w:hAnsi="宋体"/>
          <w:b/>
          <w:color w:val="auto"/>
          <w:sz w:val="32"/>
          <w:szCs w:val="32"/>
        </w:rPr>
        <w:br w:type="page"/>
      </w:r>
      <w:bookmarkStart w:id="1" w:name="_Toc14647"/>
      <w:r>
        <w:rPr>
          <w:rFonts w:hint="eastAsia" w:hAnsi="宋体"/>
          <w:b/>
          <w:color w:val="auto"/>
          <w:sz w:val="32"/>
          <w:szCs w:val="32"/>
        </w:rPr>
        <w:t>第二章</w:t>
      </w:r>
      <w:r>
        <w:rPr>
          <w:rFonts w:hAnsi="宋体"/>
          <w:b/>
          <w:color w:val="auto"/>
          <w:sz w:val="32"/>
          <w:szCs w:val="32"/>
        </w:rPr>
        <w:t xml:space="preserve"> </w:t>
      </w:r>
      <w:r>
        <w:rPr>
          <w:rFonts w:hint="eastAsia" w:hAnsi="宋体"/>
          <w:b/>
          <w:color w:val="auto"/>
          <w:sz w:val="32"/>
          <w:szCs w:val="32"/>
        </w:rPr>
        <w:t>磋商须知</w:t>
      </w:r>
      <w:bookmarkEnd w:id="1"/>
    </w:p>
    <w:p w14:paraId="3AE0761E">
      <w:pPr>
        <w:pStyle w:val="28"/>
        <w:rPr>
          <w:rFonts w:hAnsi="宋体"/>
          <w:b/>
          <w:color w:val="auto"/>
          <w:sz w:val="24"/>
          <w:szCs w:val="24"/>
        </w:rPr>
      </w:pPr>
    </w:p>
    <w:p w14:paraId="6FA9C2E3">
      <w:pPr>
        <w:pStyle w:val="28"/>
        <w:jc w:val="center"/>
        <w:outlineLvl w:val="1"/>
        <w:rPr>
          <w:rFonts w:hAnsi="宋体"/>
          <w:b/>
          <w:color w:val="auto"/>
          <w:sz w:val="24"/>
          <w:szCs w:val="24"/>
        </w:rPr>
      </w:pPr>
      <w:bookmarkStart w:id="2" w:name="_Toc581"/>
      <w:r>
        <w:rPr>
          <w:rFonts w:hint="eastAsia" w:hAnsi="宋体"/>
          <w:b/>
          <w:color w:val="auto"/>
          <w:sz w:val="24"/>
          <w:szCs w:val="24"/>
        </w:rPr>
        <w:t>磋商须知前附表</w:t>
      </w:r>
      <w:bookmarkEnd w:id="2"/>
    </w:p>
    <w:tbl>
      <w:tblPr>
        <w:tblStyle w:val="51"/>
        <w:tblW w:w="934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52"/>
        <w:gridCol w:w="2130"/>
        <w:gridCol w:w="5466"/>
      </w:tblGrid>
      <w:tr w14:paraId="724D3A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52" w:hRule="atLeast"/>
          <w:tblHeader/>
          <w:jc w:val="center"/>
        </w:trPr>
        <w:tc>
          <w:tcPr>
            <w:tcW w:w="1752" w:type="dxa"/>
            <w:tcBorders>
              <w:top w:val="double" w:color="auto" w:sz="4" w:space="0"/>
              <w:left w:val="double" w:color="auto" w:sz="4" w:space="0"/>
              <w:bottom w:val="single" w:color="auto" w:sz="6" w:space="0"/>
              <w:right w:val="single" w:color="auto" w:sz="6" w:space="0"/>
            </w:tcBorders>
            <w:vAlign w:val="center"/>
          </w:tcPr>
          <w:p w14:paraId="74002D39">
            <w:pPr>
              <w:adjustRightInd w:val="0"/>
              <w:snapToGrid w:val="0"/>
              <w:jc w:val="center"/>
              <w:rPr>
                <w:rFonts w:ascii="宋体" w:hAnsi="宋体"/>
                <w:b/>
                <w:color w:val="auto"/>
                <w:szCs w:val="21"/>
              </w:rPr>
            </w:pPr>
            <w:r>
              <w:rPr>
                <w:rFonts w:hint="eastAsia" w:ascii="宋体" w:hAnsi="宋体"/>
                <w:b/>
                <w:color w:val="auto"/>
                <w:szCs w:val="21"/>
              </w:rPr>
              <w:t>条款号</w:t>
            </w:r>
          </w:p>
        </w:tc>
        <w:tc>
          <w:tcPr>
            <w:tcW w:w="2130" w:type="dxa"/>
            <w:tcBorders>
              <w:top w:val="double" w:color="auto" w:sz="4" w:space="0"/>
              <w:left w:val="single" w:color="auto" w:sz="6" w:space="0"/>
              <w:bottom w:val="single" w:color="auto" w:sz="6" w:space="0"/>
              <w:right w:val="single" w:color="auto" w:sz="6" w:space="0"/>
            </w:tcBorders>
            <w:vAlign w:val="center"/>
          </w:tcPr>
          <w:p w14:paraId="694C6391">
            <w:pPr>
              <w:adjustRightInd w:val="0"/>
              <w:snapToGrid w:val="0"/>
              <w:jc w:val="center"/>
              <w:rPr>
                <w:rFonts w:ascii="宋体" w:hAnsi="宋体"/>
                <w:b/>
                <w:color w:val="auto"/>
                <w:szCs w:val="21"/>
              </w:rPr>
            </w:pPr>
            <w:r>
              <w:rPr>
                <w:rFonts w:hint="eastAsia" w:ascii="宋体" w:hAnsi="宋体"/>
                <w:b/>
                <w:color w:val="auto"/>
                <w:szCs w:val="21"/>
              </w:rPr>
              <w:t>条款名称</w:t>
            </w:r>
          </w:p>
        </w:tc>
        <w:tc>
          <w:tcPr>
            <w:tcW w:w="5466" w:type="dxa"/>
            <w:tcBorders>
              <w:top w:val="double" w:color="auto" w:sz="4" w:space="0"/>
              <w:left w:val="single" w:color="auto" w:sz="6" w:space="0"/>
              <w:bottom w:val="single" w:color="auto" w:sz="6" w:space="0"/>
              <w:right w:val="double" w:color="auto" w:sz="4" w:space="0"/>
            </w:tcBorders>
            <w:vAlign w:val="center"/>
          </w:tcPr>
          <w:p w14:paraId="264DBCE0">
            <w:pPr>
              <w:adjustRightInd w:val="0"/>
              <w:snapToGrid w:val="0"/>
              <w:jc w:val="center"/>
              <w:rPr>
                <w:rFonts w:ascii="宋体" w:hAnsi="宋体"/>
                <w:b/>
                <w:color w:val="auto"/>
                <w:szCs w:val="21"/>
              </w:rPr>
            </w:pPr>
            <w:r>
              <w:rPr>
                <w:rFonts w:hint="eastAsia" w:ascii="宋体" w:hAnsi="宋体"/>
                <w:b/>
                <w:color w:val="auto"/>
                <w:szCs w:val="21"/>
              </w:rPr>
              <w:t>编列内容规定</w:t>
            </w:r>
          </w:p>
        </w:tc>
      </w:tr>
      <w:tr w14:paraId="5823AF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9348" w:type="dxa"/>
            <w:gridSpan w:val="3"/>
            <w:tcBorders>
              <w:top w:val="single" w:color="auto" w:sz="6" w:space="0"/>
              <w:left w:val="double" w:color="auto" w:sz="4" w:space="0"/>
              <w:bottom w:val="single" w:color="auto" w:sz="6" w:space="0"/>
              <w:right w:val="double" w:color="auto" w:sz="4" w:space="0"/>
            </w:tcBorders>
            <w:vAlign w:val="center"/>
          </w:tcPr>
          <w:p w14:paraId="27EA5AB4">
            <w:pPr>
              <w:adjustRightInd w:val="0"/>
              <w:snapToGrid w:val="0"/>
              <w:rPr>
                <w:rFonts w:ascii="宋体" w:hAnsi="宋体"/>
                <w:color w:val="auto"/>
                <w:szCs w:val="21"/>
              </w:rPr>
            </w:pPr>
            <w:r>
              <w:rPr>
                <w:rFonts w:hint="eastAsia" w:ascii="宋体" w:hAnsi="宋体"/>
                <w:b/>
                <w:color w:val="auto"/>
                <w:szCs w:val="21"/>
              </w:rPr>
              <w:t>一、说明</w:t>
            </w:r>
          </w:p>
        </w:tc>
      </w:tr>
      <w:tr w14:paraId="15CC8E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242A0EE1">
            <w:pPr>
              <w:adjustRightInd w:val="0"/>
              <w:snapToGrid w:val="0"/>
              <w:jc w:val="center"/>
              <w:rPr>
                <w:rFonts w:ascii="宋体" w:hAnsi="宋体"/>
                <w:color w:val="auto"/>
                <w:szCs w:val="21"/>
              </w:rPr>
            </w:pPr>
            <w:r>
              <w:rPr>
                <w:rFonts w:hint="eastAsia" w:ascii="宋体" w:hAnsi="宋体"/>
                <w:color w:val="auto"/>
                <w:szCs w:val="21"/>
              </w:rPr>
              <w:t>第二章第1.1款</w:t>
            </w:r>
          </w:p>
        </w:tc>
        <w:tc>
          <w:tcPr>
            <w:tcW w:w="2130" w:type="dxa"/>
            <w:tcBorders>
              <w:top w:val="single" w:color="auto" w:sz="6" w:space="0"/>
              <w:left w:val="single" w:color="auto" w:sz="6" w:space="0"/>
              <w:bottom w:val="single" w:color="auto" w:sz="6" w:space="0"/>
              <w:right w:val="single" w:color="auto" w:sz="6" w:space="0"/>
            </w:tcBorders>
            <w:vAlign w:val="center"/>
          </w:tcPr>
          <w:p w14:paraId="02C7E522">
            <w:pPr>
              <w:adjustRightInd w:val="0"/>
              <w:snapToGrid w:val="0"/>
              <w:jc w:val="center"/>
              <w:rPr>
                <w:rFonts w:ascii="宋体" w:hAnsi="宋体"/>
                <w:color w:val="auto"/>
                <w:szCs w:val="21"/>
              </w:rPr>
            </w:pPr>
            <w:r>
              <w:rPr>
                <w:rFonts w:hint="eastAsia" w:ascii="宋体" w:hAnsi="宋体"/>
                <w:color w:val="auto"/>
                <w:szCs w:val="21"/>
              </w:rPr>
              <w:t>采购项目</w:t>
            </w:r>
          </w:p>
        </w:tc>
        <w:tc>
          <w:tcPr>
            <w:tcW w:w="5466" w:type="dxa"/>
            <w:tcBorders>
              <w:top w:val="single" w:color="auto" w:sz="6" w:space="0"/>
              <w:left w:val="single" w:color="auto" w:sz="6" w:space="0"/>
              <w:bottom w:val="single" w:color="auto" w:sz="6" w:space="0"/>
              <w:right w:val="double" w:color="auto" w:sz="4" w:space="0"/>
            </w:tcBorders>
            <w:vAlign w:val="center"/>
          </w:tcPr>
          <w:p w14:paraId="4579EF91">
            <w:pPr>
              <w:adjustRightInd w:val="0"/>
              <w:snapToGrid w:val="0"/>
              <w:rPr>
                <w:rFonts w:hint="eastAsia" w:ascii="宋体" w:hAnsi="宋体" w:eastAsia="宋体"/>
                <w:color w:val="auto"/>
                <w:szCs w:val="21"/>
                <w:lang w:eastAsia="zh-CN"/>
              </w:rPr>
            </w:pPr>
            <w:r>
              <w:rPr>
                <w:rFonts w:hint="eastAsia" w:ascii="宋体" w:hAnsi="宋体"/>
                <w:bCs/>
                <w:iCs/>
                <w:color w:val="auto"/>
                <w:szCs w:val="21"/>
                <w:lang w:eastAsia="zh-CN"/>
              </w:rPr>
              <w:t>湖南文理学院儿童发展与游戏、儿童心理与行为分析、儿童科学教育三间实训室建设项目</w:t>
            </w:r>
          </w:p>
        </w:tc>
      </w:tr>
      <w:tr w14:paraId="75C7D1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10199432">
            <w:pPr>
              <w:adjustRightInd w:val="0"/>
              <w:snapToGrid w:val="0"/>
              <w:jc w:val="center"/>
              <w:rPr>
                <w:rFonts w:ascii="宋体" w:hAnsi="宋体"/>
                <w:color w:val="auto"/>
                <w:szCs w:val="21"/>
              </w:rPr>
            </w:pPr>
            <w:r>
              <w:rPr>
                <w:rFonts w:hint="eastAsia" w:ascii="宋体" w:hAnsi="宋体"/>
                <w:color w:val="auto"/>
                <w:szCs w:val="21"/>
              </w:rPr>
              <w:t>第二章第2.1款</w:t>
            </w:r>
          </w:p>
        </w:tc>
        <w:tc>
          <w:tcPr>
            <w:tcW w:w="2130" w:type="dxa"/>
            <w:tcBorders>
              <w:top w:val="single" w:color="auto" w:sz="6" w:space="0"/>
              <w:left w:val="single" w:color="auto" w:sz="6" w:space="0"/>
              <w:bottom w:val="single" w:color="auto" w:sz="6" w:space="0"/>
              <w:right w:val="single" w:color="auto" w:sz="6" w:space="0"/>
            </w:tcBorders>
            <w:vAlign w:val="center"/>
          </w:tcPr>
          <w:p w14:paraId="30DD05F8">
            <w:pPr>
              <w:adjustRightInd w:val="0"/>
              <w:snapToGrid w:val="0"/>
              <w:jc w:val="center"/>
              <w:rPr>
                <w:rFonts w:ascii="宋体" w:hAnsi="宋体"/>
                <w:color w:val="auto"/>
                <w:szCs w:val="21"/>
              </w:rPr>
            </w:pPr>
            <w:r>
              <w:rPr>
                <w:rFonts w:hint="eastAsia" w:ascii="宋体" w:hAnsi="宋体"/>
                <w:color w:val="auto"/>
                <w:szCs w:val="21"/>
              </w:rPr>
              <w:t>采购人</w:t>
            </w:r>
          </w:p>
        </w:tc>
        <w:tc>
          <w:tcPr>
            <w:tcW w:w="5466" w:type="dxa"/>
            <w:tcBorders>
              <w:top w:val="single" w:color="auto" w:sz="6" w:space="0"/>
              <w:left w:val="single" w:color="auto" w:sz="6" w:space="0"/>
              <w:bottom w:val="single" w:color="auto" w:sz="6" w:space="0"/>
              <w:right w:val="double" w:color="auto" w:sz="4" w:space="0"/>
            </w:tcBorders>
            <w:vAlign w:val="center"/>
          </w:tcPr>
          <w:p w14:paraId="687CDD38">
            <w:pPr>
              <w:adjustRightInd w:val="0"/>
              <w:snapToGrid w:val="0"/>
              <w:rPr>
                <w:rFonts w:ascii="宋体" w:hAnsi="宋体"/>
                <w:color w:val="auto"/>
                <w:szCs w:val="21"/>
              </w:rPr>
            </w:pPr>
            <w:r>
              <w:rPr>
                <w:rFonts w:hint="eastAsia" w:ascii="宋体" w:hAnsi="宋体"/>
                <w:bCs/>
                <w:iCs/>
                <w:color w:val="auto"/>
                <w:szCs w:val="21"/>
              </w:rPr>
              <w:t>湖南文理学院</w:t>
            </w:r>
          </w:p>
        </w:tc>
      </w:tr>
      <w:tr w14:paraId="3DA4B9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69884146">
            <w:pPr>
              <w:adjustRightInd w:val="0"/>
              <w:snapToGrid w:val="0"/>
              <w:jc w:val="center"/>
              <w:rPr>
                <w:rFonts w:ascii="宋体" w:hAnsi="宋体"/>
                <w:color w:val="auto"/>
                <w:szCs w:val="21"/>
              </w:rPr>
            </w:pPr>
            <w:r>
              <w:rPr>
                <w:rFonts w:hint="eastAsia" w:ascii="宋体" w:hAnsi="宋体"/>
                <w:color w:val="auto"/>
                <w:szCs w:val="21"/>
              </w:rPr>
              <w:t>第二章第2.2款</w:t>
            </w:r>
          </w:p>
        </w:tc>
        <w:tc>
          <w:tcPr>
            <w:tcW w:w="2130" w:type="dxa"/>
            <w:tcBorders>
              <w:top w:val="single" w:color="auto" w:sz="6" w:space="0"/>
              <w:left w:val="single" w:color="auto" w:sz="6" w:space="0"/>
              <w:bottom w:val="single" w:color="auto" w:sz="6" w:space="0"/>
              <w:right w:val="single" w:color="auto" w:sz="6" w:space="0"/>
            </w:tcBorders>
            <w:vAlign w:val="center"/>
          </w:tcPr>
          <w:p w14:paraId="79C8C5AF">
            <w:pPr>
              <w:adjustRightInd w:val="0"/>
              <w:snapToGrid w:val="0"/>
              <w:jc w:val="center"/>
              <w:rPr>
                <w:rFonts w:ascii="宋体" w:hAnsi="宋体"/>
                <w:color w:val="auto"/>
                <w:szCs w:val="21"/>
              </w:rPr>
            </w:pPr>
            <w:r>
              <w:rPr>
                <w:rFonts w:hint="eastAsia" w:ascii="宋体" w:hAnsi="宋体"/>
                <w:color w:val="auto"/>
                <w:szCs w:val="21"/>
              </w:rPr>
              <w:t>采购代理机构</w:t>
            </w:r>
          </w:p>
        </w:tc>
        <w:tc>
          <w:tcPr>
            <w:tcW w:w="5466" w:type="dxa"/>
            <w:tcBorders>
              <w:top w:val="single" w:color="auto" w:sz="6" w:space="0"/>
              <w:left w:val="single" w:color="auto" w:sz="6" w:space="0"/>
              <w:bottom w:val="single" w:color="auto" w:sz="6" w:space="0"/>
              <w:right w:val="double" w:color="auto" w:sz="4" w:space="0"/>
            </w:tcBorders>
            <w:vAlign w:val="center"/>
          </w:tcPr>
          <w:p w14:paraId="62D9FB00">
            <w:pPr>
              <w:adjustRightInd w:val="0"/>
              <w:snapToGrid w:val="0"/>
              <w:rPr>
                <w:rFonts w:ascii="宋体" w:hAnsi="宋体"/>
                <w:color w:val="auto"/>
                <w:szCs w:val="21"/>
              </w:rPr>
            </w:pPr>
            <w:r>
              <w:rPr>
                <w:rFonts w:hint="eastAsia" w:ascii="宋体" w:hAnsi="宋体"/>
                <w:color w:val="auto"/>
                <w:szCs w:val="21"/>
              </w:rPr>
              <w:t>常德众益项目管理咨询有限公司</w:t>
            </w:r>
          </w:p>
        </w:tc>
      </w:tr>
      <w:tr w14:paraId="0503E1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7" w:hRule="atLeast"/>
          <w:jc w:val="center"/>
        </w:trPr>
        <w:tc>
          <w:tcPr>
            <w:tcW w:w="1752" w:type="dxa"/>
            <w:vMerge w:val="restart"/>
            <w:tcBorders>
              <w:top w:val="single" w:color="auto" w:sz="6" w:space="0"/>
              <w:left w:val="double" w:color="auto" w:sz="4" w:space="0"/>
              <w:bottom w:val="single" w:color="auto" w:sz="6" w:space="0"/>
              <w:right w:val="single" w:color="auto" w:sz="6" w:space="0"/>
            </w:tcBorders>
            <w:vAlign w:val="center"/>
          </w:tcPr>
          <w:p w14:paraId="12626F19">
            <w:pPr>
              <w:adjustRightInd w:val="0"/>
              <w:snapToGrid w:val="0"/>
              <w:jc w:val="center"/>
              <w:rPr>
                <w:rFonts w:ascii="宋体" w:hAnsi="宋体"/>
                <w:color w:val="auto"/>
                <w:szCs w:val="21"/>
              </w:rPr>
            </w:pPr>
            <w:r>
              <w:rPr>
                <w:rFonts w:hint="eastAsia" w:ascii="宋体" w:hAnsi="宋体"/>
                <w:color w:val="auto"/>
                <w:szCs w:val="21"/>
              </w:rPr>
              <w:t>第二章第2.3款</w:t>
            </w:r>
          </w:p>
        </w:tc>
        <w:tc>
          <w:tcPr>
            <w:tcW w:w="2130" w:type="dxa"/>
            <w:tcBorders>
              <w:top w:val="single" w:color="auto" w:sz="6" w:space="0"/>
              <w:left w:val="single" w:color="auto" w:sz="6" w:space="0"/>
              <w:bottom w:val="single" w:color="auto" w:sz="6" w:space="0"/>
              <w:right w:val="single" w:color="auto" w:sz="6" w:space="0"/>
            </w:tcBorders>
            <w:vAlign w:val="center"/>
          </w:tcPr>
          <w:p w14:paraId="648D7436">
            <w:pPr>
              <w:adjustRightInd w:val="0"/>
              <w:snapToGrid w:val="0"/>
              <w:jc w:val="center"/>
              <w:rPr>
                <w:rFonts w:ascii="宋体" w:hAnsi="宋体"/>
                <w:bCs/>
                <w:color w:val="auto"/>
                <w:szCs w:val="21"/>
              </w:rPr>
            </w:pPr>
            <w:r>
              <w:rPr>
                <w:rFonts w:hint="eastAsia" w:ascii="宋体" w:hAnsi="宋体" w:cs="宋体"/>
                <w:color w:val="auto"/>
                <w:kern w:val="0"/>
                <w:szCs w:val="21"/>
              </w:rPr>
              <w:t>供应商的</w:t>
            </w:r>
            <w:r>
              <w:rPr>
                <w:rFonts w:hint="eastAsia" w:ascii="宋体" w:hAnsi="宋体"/>
                <w:color w:val="auto"/>
                <w:szCs w:val="21"/>
              </w:rPr>
              <w:t>邀请方式</w:t>
            </w:r>
          </w:p>
        </w:tc>
        <w:tc>
          <w:tcPr>
            <w:tcW w:w="5466" w:type="dxa"/>
            <w:tcBorders>
              <w:top w:val="single" w:color="auto" w:sz="6" w:space="0"/>
              <w:left w:val="single" w:color="auto" w:sz="6" w:space="0"/>
              <w:bottom w:val="single" w:color="auto" w:sz="6" w:space="0"/>
              <w:right w:val="double" w:color="auto" w:sz="4" w:space="0"/>
            </w:tcBorders>
            <w:vAlign w:val="center"/>
          </w:tcPr>
          <w:p w14:paraId="11BC8CA7">
            <w:pPr>
              <w:adjustRightInd w:val="0"/>
              <w:snapToGrid w:val="0"/>
              <w:rPr>
                <w:rFonts w:ascii="宋体" w:hAnsi="宋体"/>
                <w:color w:val="auto"/>
                <w:szCs w:val="21"/>
              </w:rPr>
            </w:pPr>
            <w:r>
              <w:rPr>
                <w:rFonts w:hint="eastAsia" w:ascii="宋体" w:hAnsi="宋体"/>
                <w:iCs/>
                <w:color w:val="auto"/>
                <w:szCs w:val="21"/>
              </w:rPr>
              <w:t>发布邀请公告</w:t>
            </w:r>
          </w:p>
        </w:tc>
      </w:tr>
      <w:tr w14:paraId="02C2F3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4"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2869F5D8">
            <w:pPr>
              <w:widowControl/>
              <w:jc w:val="left"/>
              <w:rPr>
                <w:rFonts w:ascii="宋体" w:hAnsi="宋体"/>
                <w:color w:val="auto"/>
                <w:szCs w:val="21"/>
              </w:rPr>
            </w:pPr>
          </w:p>
        </w:tc>
        <w:tc>
          <w:tcPr>
            <w:tcW w:w="2130" w:type="dxa"/>
            <w:tcBorders>
              <w:top w:val="single" w:color="auto" w:sz="6" w:space="0"/>
              <w:left w:val="single" w:color="auto" w:sz="6" w:space="0"/>
              <w:bottom w:val="single" w:color="auto" w:sz="6" w:space="0"/>
              <w:right w:val="single" w:color="auto" w:sz="6" w:space="0"/>
            </w:tcBorders>
            <w:vAlign w:val="center"/>
          </w:tcPr>
          <w:p w14:paraId="13BEBF84">
            <w:pPr>
              <w:adjustRightInd w:val="0"/>
              <w:snapToGrid w:val="0"/>
              <w:jc w:val="center"/>
              <w:rPr>
                <w:rFonts w:ascii="宋体" w:hAnsi="宋体"/>
                <w:color w:val="auto"/>
                <w:szCs w:val="21"/>
              </w:rPr>
            </w:pPr>
            <w:r>
              <w:rPr>
                <w:rFonts w:hint="eastAsia" w:ascii="宋体" w:hAnsi="宋体"/>
                <w:color w:val="auto"/>
                <w:szCs w:val="21"/>
              </w:rPr>
              <w:t>磋商文件获取方式</w:t>
            </w:r>
          </w:p>
        </w:tc>
        <w:tc>
          <w:tcPr>
            <w:tcW w:w="5466" w:type="dxa"/>
            <w:tcBorders>
              <w:top w:val="single" w:color="auto" w:sz="6" w:space="0"/>
              <w:left w:val="single" w:color="auto" w:sz="6" w:space="0"/>
              <w:bottom w:val="single" w:color="auto" w:sz="6" w:space="0"/>
              <w:right w:val="double" w:color="auto" w:sz="4" w:space="0"/>
            </w:tcBorders>
            <w:vAlign w:val="center"/>
          </w:tcPr>
          <w:p w14:paraId="42D1888E">
            <w:pPr>
              <w:adjustRightInd w:val="0"/>
              <w:snapToGrid w:val="0"/>
              <w:jc w:val="left"/>
              <w:rPr>
                <w:rFonts w:ascii="宋体" w:hAnsi="宋体"/>
                <w:color w:val="auto"/>
                <w:szCs w:val="21"/>
              </w:rPr>
            </w:pPr>
            <w:r>
              <w:rPr>
                <w:rFonts w:hint="eastAsia" w:ascii="宋体" w:hAnsi="宋体"/>
                <w:color w:val="auto"/>
                <w:szCs w:val="21"/>
              </w:rPr>
              <w:t>获取时间、方式及要求：详见磋商公告。</w:t>
            </w:r>
          </w:p>
        </w:tc>
      </w:tr>
      <w:tr w14:paraId="7335E9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43"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4B1F3614">
            <w:pPr>
              <w:adjustRightInd w:val="0"/>
              <w:snapToGrid w:val="0"/>
              <w:jc w:val="center"/>
              <w:rPr>
                <w:rFonts w:ascii="宋体" w:hAnsi="宋体"/>
                <w:color w:val="auto"/>
                <w:szCs w:val="21"/>
              </w:rPr>
            </w:pPr>
            <w:r>
              <w:rPr>
                <w:rFonts w:hint="eastAsia" w:ascii="宋体" w:hAnsi="宋体"/>
                <w:color w:val="auto"/>
                <w:szCs w:val="21"/>
              </w:rPr>
              <w:t>第二章第3.1款</w:t>
            </w:r>
          </w:p>
        </w:tc>
        <w:tc>
          <w:tcPr>
            <w:tcW w:w="2130" w:type="dxa"/>
            <w:tcBorders>
              <w:top w:val="single" w:color="auto" w:sz="6" w:space="0"/>
              <w:left w:val="single" w:color="auto" w:sz="6" w:space="0"/>
              <w:bottom w:val="single" w:color="auto" w:sz="6" w:space="0"/>
              <w:right w:val="single" w:color="auto" w:sz="6" w:space="0"/>
            </w:tcBorders>
            <w:vAlign w:val="center"/>
          </w:tcPr>
          <w:p w14:paraId="7F874951">
            <w:pPr>
              <w:adjustRightInd w:val="0"/>
              <w:snapToGrid w:val="0"/>
              <w:jc w:val="center"/>
              <w:rPr>
                <w:rFonts w:ascii="宋体" w:hAnsi="宋体"/>
                <w:color w:val="auto"/>
                <w:szCs w:val="21"/>
              </w:rPr>
            </w:pPr>
            <w:r>
              <w:rPr>
                <w:rFonts w:hint="eastAsia" w:ascii="宋体" w:hAnsi="宋体"/>
                <w:bCs/>
                <w:color w:val="auto"/>
                <w:szCs w:val="21"/>
              </w:rPr>
              <w:t>供应商</w:t>
            </w:r>
            <w:r>
              <w:rPr>
                <w:rFonts w:hint="eastAsia" w:ascii="宋体" w:hAnsi="宋体"/>
                <w:color w:val="auto"/>
                <w:szCs w:val="21"/>
              </w:rPr>
              <w:t>资格条件</w:t>
            </w:r>
          </w:p>
        </w:tc>
        <w:tc>
          <w:tcPr>
            <w:tcW w:w="5466" w:type="dxa"/>
            <w:tcBorders>
              <w:top w:val="single" w:color="auto" w:sz="6" w:space="0"/>
              <w:left w:val="single" w:color="auto" w:sz="6" w:space="0"/>
              <w:bottom w:val="single" w:color="auto" w:sz="6" w:space="0"/>
              <w:right w:val="double" w:color="auto" w:sz="4" w:space="0"/>
            </w:tcBorders>
            <w:vAlign w:val="center"/>
          </w:tcPr>
          <w:p w14:paraId="0AB7F894">
            <w:pPr>
              <w:pStyle w:val="46"/>
              <w:adjustRightInd w:val="0"/>
              <w:snapToGrid w:val="0"/>
              <w:spacing w:before="0" w:beforeAutospacing="0" w:after="0" w:afterAutospacing="0"/>
              <w:rPr>
                <w:color w:val="auto"/>
                <w:sz w:val="21"/>
                <w:szCs w:val="21"/>
              </w:rPr>
            </w:pPr>
            <w:r>
              <w:rPr>
                <w:rFonts w:hint="eastAsia"/>
                <w:color w:val="auto"/>
                <w:sz w:val="21"/>
                <w:szCs w:val="21"/>
              </w:rPr>
              <w:t xml:space="preserve">1.基本资格条件： </w:t>
            </w:r>
          </w:p>
          <w:p w14:paraId="036970FB">
            <w:pPr>
              <w:adjustRightInd w:val="0"/>
              <w:snapToGrid w:val="0"/>
              <w:rPr>
                <w:rFonts w:ascii="宋体" w:hAnsi="宋体" w:cs="宋体"/>
                <w:color w:val="auto"/>
                <w:szCs w:val="21"/>
              </w:rPr>
            </w:pPr>
            <w:r>
              <w:rPr>
                <w:rFonts w:hint="eastAsia" w:ascii="宋体" w:hAnsi="宋体" w:cs="宋体"/>
                <w:color w:val="auto"/>
                <w:szCs w:val="21"/>
              </w:rPr>
              <w:t>①具有独立承担民事责任的能力；</w:t>
            </w:r>
          </w:p>
          <w:p w14:paraId="4B66284A">
            <w:pPr>
              <w:adjustRightInd w:val="0"/>
              <w:snapToGrid w:val="0"/>
              <w:rPr>
                <w:rFonts w:ascii="宋体" w:hAnsi="宋体" w:cs="宋体"/>
                <w:color w:val="auto"/>
                <w:szCs w:val="21"/>
              </w:rPr>
            </w:pPr>
            <w:r>
              <w:rPr>
                <w:rFonts w:hint="eastAsia" w:ascii="宋体" w:hAnsi="宋体" w:cs="宋体"/>
                <w:color w:val="auto"/>
                <w:szCs w:val="21"/>
              </w:rPr>
              <w:t>②具有良好的商业信誉和健全的财务会计制度；</w:t>
            </w:r>
          </w:p>
          <w:p w14:paraId="24B3B857">
            <w:pPr>
              <w:adjustRightInd w:val="0"/>
              <w:snapToGrid w:val="0"/>
              <w:rPr>
                <w:rFonts w:ascii="宋体" w:hAnsi="宋体" w:cs="宋体"/>
                <w:color w:val="auto"/>
                <w:szCs w:val="21"/>
              </w:rPr>
            </w:pPr>
            <w:r>
              <w:rPr>
                <w:rFonts w:hint="eastAsia" w:ascii="宋体" w:hAnsi="宋体" w:cs="宋体"/>
                <w:color w:val="auto"/>
                <w:szCs w:val="21"/>
              </w:rPr>
              <w:t>③具有履行合同所必需的设备和专业技术能力；</w:t>
            </w:r>
          </w:p>
          <w:p w14:paraId="795B4F63">
            <w:pPr>
              <w:adjustRightInd w:val="0"/>
              <w:snapToGrid w:val="0"/>
              <w:rPr>
                <w:rFonts w:ascii="宋体" w:hAnsi="宋体" w:cs="宋体"/>
                <w:color w:val="auto"/>
                <w:szCs w:val="21"/>
              </w:rPr>
            </w:pPr>
            <w:r>
              <w:rPr>
                <w:rFonts w:hint="eastAsia" w:ascii="宋体" w:hAnsi="宋体" w:cs="宋体"/>
                <w:color w:val="auto"/>
                <w:szCs w:val="21"/>
              </w:rPr>
              <w:t>④有依法缴纳税收和社会保障资金的良好记录；</w:t>
            </w:r>
          </w:p>
          <w:p w14:paraId="3FF16F66">
            <w:pPr>
              <w:adjustRightInd w:val="0"/>
              <w:snapToGrid w:val="0"/>
              <w:rPr>
                <w:rFonts w:ascii="宋体" w:hAnsi="宋体" w:cs="宋体"/>
                <w:color w:val="auto"/>
                <w:szCs w:val="21"/>
              </w:rPr>
            </w:pPr>
            <w:r>
              <w:rPr>
                <w:rFonts w:hint="eastAsia" w:ascii="宋体" w:hAnsi="宋体" w:cs="宋体"/>
                <w:color w:val="auto"/>
                <w:szCs w:val="21"/>
              </w:rPr>
              <w:t>⑤参加政府采购活动前三年内，在经营活动中没有重大违法记录；</w:t>
            </w:r>
          </w:p>
          <w:p w14:paraId="4071996F">
            <w:pPr>
              <w:adjustRightInd w:val="0"/>
              <w:snapToGrid w:val="0"/>
              <w:rPr>
                <w:rFonts w:ascii="宋体" w:hAnsi="宋体" w:cs="宋体"/>
                <w:color w:val="auto"/>
                <w:szCs w:val="21"/>
              </w:rPr>
            </w:pPr>
            <w:r>
              <w:rPr>
                <w:rFonts w:hint="eastAsia" w:ascii="宋体" w:hAnsi="宋体" w:cs="宋体"/>
                <w:color w:val="auto"/>
                <w:szCs w:val="21"/>
              </w:rPr>
              <w:t>⑥法律、行政法规规定的其他条件。</w:t>
            </w:r>
          </w:p>
          <w:p w14:paraId="11CB747E">
            <w:pPr>
              <w:adjustRightInd w:val="0"/>
              <w:snapToGrid w:val="0"/>
              <w:rPr>
                <w:rFonts w:ascii="宋体" w:hAnsi="宋体" w:cs="宋体"/>
                <w:color w:val="auto"/>
                <w:szCs w:val="21"/>
              </w:rPr>
            </w:pPr>
            <w:r>
              <w:rPr>
                <w:rFonts w:hint="eastAsia" w:ascii="宋体" w:hAnsi="宋体" w:cs="宋体"/>
                <w:color w:val="auto"/>
                <w:szCs w:val="21"/>
              </w:rPr>
              <w:t>2.特定资格条件：无。</w:t>
            </w:r>
          </w:p>
          <w:p w14:paraId="4A27EB95">
            <w:pPr>
              <w:adjustRightInd w:val="0"/>
              <w:snapToGrid w:val="0"/>
              <w:rPr>
                <w:rFonts w:hint="eastAsia" w:ascii="宋体" w:hAnsi="宋体" w:cs="宋体"/>
                <w:color w:val="auto"/>
                <w:szCs w:val="21"/>
              </w:rPr>
            </w:pPr>
            <w:r>
              <w:rPr>
                <w:rFonts w:hint="eastAsia" w:ascii="宋体" w:hAnsi="宋体" w:cs="宋体"/>
                <w:color w:val="auto"/>
                <w:szCs w:val="21"/>
              </w:rPr>
              <w:t>3.落实政府采购政策需满足的资格要求：无。</w:t>
            </w:r>
          </w:p>
          <w:p w14:paraId="5BA945F7">
            <w:pPr>
              <w:adjustRightInd w:val="0"/>
              <w:snapToGrid w:val="0"/>
              <w:rPr>
                <w:rFonts w:ascii="宋体" w:hAnsi="宋体"/>
                <w:b/>
                <w:color w:val="auto"/>
                <w:szCs w:val="21"/>
              </w:rPr>
            </w:pPr>
            <w:r>
              <w:rPr>
                <w:rFonts w:hint="eastAsia" w:ascii="宋体" w:hAnsi="宋体" w:cs="宋体"/>
                <w:color w:val="auto"/>
                <w:szCs w:val="21"/>
              </w:rPr>
              <w:t>4.资格特别说明：（1）按照《政府采购法实施条例释义》，法人的分支机构由于其不能独立承担民事责任，不能以分支机构的身份参加政府采购，只能以法人身份参加。但银行、保险、石油石化、电力、电信等有行业特殊情况的，可以分支机构参加政府采购和签订合同。（2）本项目接受银行、保险、石油石化、电力、电信等行业的地级市及以上分支机构参与投标，但需遵循以下条件：①分支机构参与投标的出具总公司的授权文件或制度文件等能够证明总公司授权其参与项目投标及履约，并为分支机构的履约行为承担民事责任；②同一总公司的不同分支机构不得同时参与本项目的投标，总公司自身不得与其下属分支机构同时参与本项目的投标，否则相关投标均无效。③分支机构或其省级分公司或所属的总公司的资格材料均予以认可。</w:t>
            </w:r>
          </w:p>
        </w:tc>
      </w:tr>
      <w:tr w14:paraId="72349D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7"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5B53C372">
            <w:pPr>
              <w:adjustRightInd w:val="0"/>
              <w:snapToGrid w:val="0"/>
              <w:jc w:val="center"/>
              <w:rPr>
                <w:rFonts w:ascii="宋体" w:hAnsi="宋体"/>
                <w:color w:val="auto"/>
                <w:szCs w:val="21"/>
              </w:rPr>
            </w:pPr>
            <w:r>
              <w:rPr>
                <w:rFonts w:hint="eastAsia" w:ascii="宋体" w:hAnsi="宋体"/>
                <w:color w:val="auto"/>
                <w:szCs w:val="21"/>
              </w:rPr>
              <w:t>第二章第6.1款</w:t>
            </w:r>
          </w:p>
        </w:tc>
        <w:tc>
          <w:tcPr>
            <w:tcW w:w="2130" w:type="dxa"/>
            <w:tcBorders>
              <w:top w:val="single" w:color="auto" w:sz="6" w:space="0"/>
              <w:left w:val="single" w:color="auto" w:sz="6" w:space="0"/>
              <w:bottom w:val="single" w:color="auto" w:sz="6" w:space="0"/>
              <w:right w:val="single" w:color="auto" w:sz="6" w:space="0"/>
            </w:tcBorders>
            <w:vAlign w:val="center"/>
          </w:tcPr>
          <w:p w14:paraId="549F0523">
            <w:pPr>
              <w:adjustRightInd w:val="0"/>
              <w:snapToGrid w:val="0"/>
              <w:jc w:val="center"/>
              <w:rPr>
                <w:rFonts w:ascii="宋体" w:hAnsi="宋体"/>
                <w:color w:val="auto"/>
                <w:szCs w:val="21"/>
              </w:rPr>
            </w:pPr>
            <w:r>
              <w:rPr>
                <w:rFonts w:hint="eastAsia" w:ascii="宋体" w:hAnsi="宋体"/>
                <w:color w:val="auto"/>
                <w:szCs w:val="21"/>
              </w:rPr>
              <w:t>联合体形式</w:t>
            </w:r>
          </w:p>
        </w:tc>
        <w:tc>
          <w:tcPr>
            <w:tcW w:w="5466" w:type="dxa"/>
            <w:tcBorders>
              <w:top w:val="single" w:color="auto" w:sz="6" w:space="0"/>
              <w:left w:val="single" w:color="auto" w:sz="6" w:space="0"/>
              <w:bottom w:val="single" w:color="auto" w:sz="6" w:space="0"/>
              <w:right w:val="double" w:color="auto" w:sz="4" w:space="0"/>
            </w:tcBorders>
            <w:vAlign w:val="center"/>
          </w:tcPr>
          <w:p w14:paraId="6EE684B7">
            <w:pPr>
              <w:adjustRightInd w:val="0"/>
              <w:snapToGrid w:val="0"/>
              <w:rPr>
                <w:rFonts w:ascii="宋体" w:hAnsi="宋体"/>
                <w:color w:val="auto"/>
                <w:szCs w:val="21"/>
              </w:rPr>
            </w:pPr>
            <w:r>
              <w:rPr>
                <w:rFonts w:hint="eastAsia" w:ascii="宋体" w:hAnsi="宋体"/>
                <w:color w:val="auto"/>
                <w:szCs w:val="21"/>
              </w:rPr>
              <w:t>本采购项目不接受联合体</w:t>
            </w:r>
          </w:p>
        </w:tc>
      </w:tr>
      <w:tr w14:paraId="00E044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323F1267">
            <w:pPr>
              <w:adjustRightInd w:val="0"/>
              <w:snapToGrid w:val="0"/>
              <w:jc w:val="center"/>
              <w:rPr>
                <w:rFonts w:ascii="宋体" w:hAnsi="宋体"/>
                <w:color w:val="auto"/>
                <w:szCs w:val="21"/>
              </w:rPr>
            </w:pPr>
            <w:r>
              <w:rPr>
                <w:rFonts w:hint="eastAsia" w:ascii="宋体" w:hAnsi="宋体"/>
                <w:color w:val="auto"/>
                <w:szCs w:val="21"/>
              </w:rPr>
              <w:t>第二章第6.2款</w:t>
            </w:r>
          </w:p>
        </w:tc>
        <w:tc>
          <w:tcPr>
            <w:tcW w:w="2130" w:type="dxa"/>
            <w:tcBorders>
              <w:top w:val="single" w:color="auto" w:sz="6" w:space="0"/>
              <w:left w:val="single" w:color="auto" w:sz="6" w:space="0"/>
              <w:bottom w:val="single" w:color="auto" w:sz="6" w:space="0"/>
              <w:right w:val="single" w:color="auto" w:sz="6" w:space="0"/>
            </w:tcBorders>
            <w:vAlign w:val="center"/>
          </w:tcPr>
          <w:p w14:paraId="5F506833">
            <w:pPr>
              <w:jc w:val="center"/>
              <w:rPr>
                <w:rFonts w:ascii="宋体" w:hAnsi="宋体"/>
                <w:color w:val="auto"/>
                <w:szCs w:val="21"/>
              </w:rPr>
            </w:pPr>
            <w:r>
              <w:rPr>
                <w:rFonts w:hint="eastAsia" w:ascii="宋体" w:hAnsi="宋体"/>
                <w:color w:val="auto"/>
                <w:szCs w:val="21"/>
              </w:rPr>
              <w:t>对联合体各方的要求</w:t>
            </w:r>
          </w:p>
        </w:tc>
        <w:tc>
          <w:tcPr>
            <w:tcW w:w="5466" w:type="dxa"/>
            <w:tcBorders>
              <w:top w:val="single" w:color="auto" w:sz="6" w:space="0"/>
              <w:left w:val="single" w:color="auto" w:sz="6" w:space="0"/>
              <w:bottom w:val="single" w:color="auto" w:sz="6" w:space="0"/>
              <w:right w:val="double" w:color="auto" w:sz="4" w:space="0"/>
            </w:tcBorders>
            <w:vAlign w:val="center"/>
          </w:tcPr>
          <w:p w14:paraId="78AC0DF4">
            <w:pPr>
              <w:adjustRightInd w:val="0"/>
              <w:snapToGrid w:val="0"/>
              <w:rPr>
                <w:rFonts w:ascii="宋体" w:hAnsi="宋体"/>
                <w:color w:val="auto"/>
                <w:szCs w:val="21"/>
              </w:rPr>
            </w:pPr>
            <w:r>
              <w:rPr>
                <w:rFonts w:hint="eastAsia" w:ascii="宋体" w:hAnsi="宋体"/>
                <w:color w:val="auto"/>
                <w:szCs w:val="21"/>
              </w:rPr>
              <w:t>本采购项目不接受联合体</w:t>
            </w:r>
          </w:p>
        </w:tc>
      </w:tr>
      <w:tr w14:paraId="4C011C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7"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0E17D679">
            <w:pPr>
              <w:adjustRightInd w:val="0"/>
              <w:snapToGrid w:val="0"/>
              <w:jc w:val="center"/>
              <w:rPr>
                <w:rFonts w:ascii="宋体" w:hAnsi="宋体"/>
                <w:color w:val="auto"/>
                <w:szCs w:val="21"/>
              </w:rPr>
            </w:pPr>
            <w:r>
              <w:rPr>
                <w:rFonts w:hint="eastAsia" w:ascii="宋体" w:hAnsi="宋体"/>
                <w:color w:val="auto"/>
                <w:szCs w:val="21"/>
              </w:rPr>
              <w:t>第二章第7.1款</w:t>
            </w:r>
          </w:p>
        </w:tc>
        <w:tc>
          <w:tcPr>
            <w:tcW w:w="2130" w:type="dxa"/>
            <w:tcBorders>
              <w:top w:val="single" w:color="auto" w:sz="6" w:space="0"/>
              <w:left w:val="single" w:color="auto" w:sz="6" w:space="0"/>
              <w:bottom w:val="single" w:color="auto" w:sz="6" w:space="0"/>
              <w:right w:val="single" w:color="auto" w:sz="6" w:space="0"/>
            </w:tcBorders>
            <w:vAlign w:val="center"/>
          </w:tcPr>
          <w:p w14:paraId="23E7291B">
            <w:pPr>
              <w:adjustRightInd w:val="0"/>
              <w:snapToGrid w:val="0"/>
              <w:jc w:val="center"/>
              <w:rPr>
                <w:rFonts w:ascii="宋体" w:hAnsi="宋体"/>
                <w:color w:val="auto"/>
                <w:szCs w:val="21"/>
              </w:rPr>
            </w:pPr>
            <w:r>
              <w:rPr>
                <w:rFonts w:hint="eastAsia" w:ascii="宋体" w:hAnsi="宋体"/>
                <w:color w:val="auto"/>
                <w:szCs w:val="21"/>
              </w:rPr>
              <w:t>现场勘察</w:t>
            </w:r>
          </w:p>
        </w:tc>
        <w:tc>
          <w:tcPr>
            <w:tcW w:w="5466" w:type="dxa"/>
            <w:tcBorders>
              <w:top w:val="single" w:color="auto" w:sz="6" w:space="0"/>
              <w:left w:val="single" w:color="auto" w:sz="6" w:space="0"/>
              <w:bottom w:val="single" w:color="auto" w:sz="6" w:space="0"/>
              <w:right w:val="double" w:color="auto" w:sz="4" w:space="0"/>
            </w:tcBorders>
            <w:vAlign w:val="center"/>
          </w:tcPr>
          <w:p w14:paraId="389BC318">
            <w:pPr>
              <w:adjustRightInd w:val="0"/>
              <w:snapToGrid w:val="0"/>
              <w:rPr>
                <w:rFonts w:ascii="宋体" w:hAnsi="宋体"/>
                <w:color w:val="auto"/>
                <w:szCs w:val="21"/>
              </w:rPr>
            </w:pPr>
            <w:r>
              <w:rPr>
                <w:rFonts w:hint="eastAsia" w:ascii="宋体" w:hAnsi="宋体"/>
                <w:color w:val="auto"/>
                <w:szCs w:val="21"/>
              </w:rPr>
              <w:t>本次招标不组织统一踏勘现场活动，供应商应根据项目的实际情况自行组织踏勘现场，供应商因没有踏勘现场而给自身带来的损失，供应商自行负责。</w:t>
            </w:r>
          </w:p>
        </w:tc>
      </w:tr>
      <w:tr w14:paraId="6DE3E1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476DF108">
            <w:pPr>
              <w:rPr>
                <w:rFonts w:ascii="宋体" w:hAnsi="宋体"/>
                <w:color w:val="auto"/>
                <w:szCs w:val="21"/>
              </w:rPr>
            </w:pPr>
            <w:r>
              <w:rPr>
                <w:rFonts w:hint="eastAsia" w:ascii="宋体" w:hAnsi="宋体"/>
                <w:color w:val="auto"/>
                <w:szCs w:val="21"/>
              </w:rPr>
              <w:t>第二章第8.1款</w:t>
            </w:r>
          </w:p>
        </w:tc>
        <w:tc>
          <w:tcPr>
            <w:tcW w:w="2130" w:type="dxa"/>
            <w:tcBorders>
              <w:top w:val="single" w:color="auto" w:sz="6" w:space="0"/>
              <w:left w:val="single" w:color="auto" w:sz="6" w:space="0"/>
              <w:bottom w:val="single" w:color="auto" w:sz="6" w:space="0"/>
              <w:right w:val="single" w:color="auto" w:sz="6" w:space="0"/>
            </w:tcBorders>
            <w:vAlign w:val="center"/>
          </w:tcPr>
          <w:p w14:paraId="415FC37B">
            <w:pPr>
              <w:jc w:val="center"/>
              <w:rPr>
                <w:rFonts w:ascii="宋体" w:hAnsi="宋体"/>
                <w:color w:val="auto"/>
                <w:szCs w:val="21"/>
              </w:rPr>
            </w:pPr>
            <w:r>
              <w:rPr>
                <w:rFonts w:hint="eastAsia" w:ascii="宋体" w:hAnsi="宋体"/>
                <w:color w:val="auto"/>
                <w:szCs w:val="21"/>
              </w:rPr>
              <w:t>采购进口产品</w:t>
            </w:r>
          </w:p>
        </w:tc>
        <w:tc>
          <w:tcPr>
            <w:tcW w:w="5466" w:type="dxa"/>
            <w:tcBorders>
              <w:top w:val="single" w:color="auto" w:sz="6" w:space="0"/>
              <w:left w:val="single" w:color="auto" w:sz="6" w:space="0"/>
              <w:bottom w:val="single" w:color="auto" w:sz="6" w:space="0"/>
              <w:right w:val="double" w:color="auto" w:sz="4" w:space="0"/>
            </w:tcBorders>
            <w:vAlign w:val="center"/>
          </w:tcPr>
          <w:p w14:paraId="2F3600FA">
            <w:pPr>
              <w:rPr>
                <w:rFonts w:ascii="宋体" w:hAnsi="宋体"/>
                <w:color w:val="auto"/>
                <w:szCs w:val="21"/>
              </w:rPr>
            </w:pPr>
            <w:r>
              <w:rPr>
                <w:rFonts w:hint="eastAsia" w:ascii="宋体" w:hAnsi="宋体"/>
                <w:color w:val="auto"/>
                <w:szCs w:val="21"/>
              </w:rPr>
              <w:t>拒绝</w:t>
            </w:r>
          </w:p>
        </w:tc>
      </w:tr>
      <w:tr w14:paraId="7F81D6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59" w:hRule="atLeast"/>
          <w:jc w:val="center"/>
        </w:trPr>
        <w:tc>
          <w:tcPr>
            <w:tcW w:w="1752" w:type="dxa"/>
            <w:vMerge w:val="restart"/>
            <w:tcBorders>
              <w:top w:val="single" w:color="auto" w:sz="6" w:space="0"/>
              <w:left w:val="double" w:color="auto" w:sz="4" w:space="0"/>
              <w:bottom w:val="single" w:color="auto" w:sz="6" w:space="0"/>
              <w:right w:val="single" w:color="auto" w:sz="6" w:space="0"/>
            </w:tcBorders>
            <w:vAlign w:val="center"/>
          </w:tcPr>
          <w:p w14:paraId="4C3AA127">
            <w:pPr>
              <w:rPr>
                <w:rFonts w:ascii="宋体" w:hAnsi="宋体"/>
                <w:color w:val="auto"/>
                <w:szCs w:val="21"/>
              </w:rPr>
            </w:pPr>
            <w:r>
              <w:rPr>
                <w:rFonts w:hint="eastAsia" w:ascii="宋体" w:hAnsi="宋体"/>
                <w:color w:val="auto"/>
                <w:szCs w:val="21"/>
              </w:rPr>
              <w:t>第二章第9.1款</w:t>
            </w:r>
          </w:p>
        </w:tc>
        <w:tc>
          <w:tcPr>
            <w:tcW w:w="2130" w:type="dxa"/>
            <w:tcBorders>
              <w:top w:val="single" w:color="auto" w:sz="6" w:space="0"/>
              <w:left w:val="single" w:color="auto" w:sz="6" w:space="0"/>
              <w:bottom w:val="single" w:color="auto" w:sz="6" w:space="0"/>
              <w:right w:val="single" w:color="auto" w:sz="6" w:space="0"/>
            </w:tcBorders>
            <w:vAlign w:val="center"/>
          </w:tcPr>
          <w:p w14:paraId="3918CD77">
            <w:pPr>
              <w:adjustRightInd w:val="0"/>
              <w:snapToGrid w:val="0"/>
              <w:spacing w:before="156" w:beforeLines="50"/>
              <w:jc w:val="center"/>
              <w:rPr>
                <w:rFonts w:ascii="宋体" w:hAnsi="宋体"/>
                <w:color w:val="auto"/>
                <w:szCs w:val="21"/>
              </w:rPr>
            </w:pPr>
            <w:r>
              <w:rPr>
                <w:rFonts w:hint="eastAsia" w:ascii="宋体" w:hAnsi="宋体"/>
                <w:color w:val="auto"/>
                <w:szCs w:val="21"/>
              </w:rPr>
              <w:t>政府采购强制采购节能产品</w:t>
            </w:r>
          </w:p>
        </w:tc>
        <w:tc>
          <w:tcPr>
            <w:tcW w:w="5466" w:type="dxa"/>
            <w:tcBorders>
              <w:top w:val="single" w:color="auto" w:sz="6" w:space="0"/>
              <w:left w:val="single" w:color="auto" w:sz="6" w:space="0"/>
              <w:bottom w:val="single" w:color="auto" w:sz="6" w:space="0"/>
              <w:right w:val="double" w:color="auto" w:sz="4" w:space="0"/>
            </w:tcBorders>
            <w:vAlign w:val="center"/>
          </w:tcPr>
          <w:p w14:paraId="57D8B592">
            <w:pPr>
              <w:adjustRightInd w:val="0"/>
              <w:snapToGrid w:val="0"/>
              <w:spacing w:before="156" w:beforeLines="50"/>
              <w:rPr>
                <w:rFonts w:ascii="宋体" w:hAnsi="宋体"/>
                <w:color w:val="auto"/>
                <w:szCs w:val="21"/>
              </w:rPr>
            </w:pPr>
            <w:r>
              <w:rPr>
                <w:rFonts w:hint="eastAsia" w:ascii="宋体" w:hAnsi="宋体"/>
                <w:color w:val="auto"/>
                <w:szCs w:val="21"/>
              </w:rPr>
              <w:t>■ 否</w:t>
            </w:r>
          </w:p>
          <w:p w14:paraId="5B40240F">
            <w:pPr>
              <w:adjustRightInd w:val="0"/>
              <w:snapToGrid w:val="0"/>
              <w:spacing w:before="156" w:beforeLines="50"/>
              <w:rPr>
                <w:rFonts w:ascii="宋体" w:hAnsi="宋体"/>
                <w:color w:val="auto"/>
                <w:szCs w:val="21"/>
              </w:rPr>
            </w:pPr>
            <w:r>
              <w:rPr>
                <w:rFonts w:hint="eastAsia" w:ascii="宋体" w:hAnsi="宋体"/>
                <w:color w:val="auto"/>
                <w:szCs w:val="21"/>
              </w:rPr>
              <w:t>□ 是，采购《节能产品政府采购品目清单》(第</w:t>
            </w:r>
            <w:r>
              <w:rPr>
                <w:rFonts w:hint="eastAsia" w:ascii="宋体" w:hAnsi="宋体"/>
                <w:color w:val="auto"/>
                <w:szCs w:val="21"/>
                <w:u w:val="single"/>
              </w:rPr>
              <w:t xml:space="preserve"> 最新 </w:t>
            </w:r>
            <w:r>
              <w:rPr>
                <w:rFonts w:hint="eastAsia" w:ascii="宋体" w:hAnsi="宋体"/>
                <w:color w:val="auto"/>
                <w:szCs w:val="21"/>
              </w:rPr>
              <w:t>期) 内的产品（应同时在招标公告中注明）。</w:t>
            </w:r>
          </w:p>
        </w:tc>
      </w:tr>
      <w:tr w14:paraId="7D138A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7"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44215996">
            <w:pPr>
              <w:widowControl/>
              <w:jc w:val="left"/>
              <w:rPr>
                <w:rFonts w:ascii="宋体" w:hAnsi="宋体"/>
                <w:color w:val="auto"/>
                <w:szCs w:val="21"/>
              </w:rPr>
            </w:pPr>
          </w:p>
        </w:tc>
        <w:tc>
          <w:tcPr>
            <w:tcW w:w="2130" w:type="dxa"/>
            <w:tcBorders>
              <w:top w:val="single" w:color="auto" w:sz="6" w:space="0"/>
              <w:left w:val="single" w:color="auto" w:sz="6" w:space="0"/>
              <w:bottom w:val="single" w:color="auto" w:sz="4" w:space="0"/>
              <w:right w:val="single" w:color="auto" w:sz="6" w:space="0"/>
            </w:tcBorders>
            <w:vAlign w:val="center"/>
          </w:tcPr>
          <w:p w14:paraId="14E7B48C">
            <w:pPr>
              <w:adjustRightInd w:val="0"/>
              <w:snapToGrid w:val="0"/>
              <w:jc w:val="center"/>
              <w:rPr>
                <w:rFonts w:ascii="宋体" w:hAnsi="宋体"/>
                <w:color w:val="auto"/>
                <w:szCs w:val="21"/>
              </w:rPr>
            </w:pPr>
            <w:r>
              <w:rPr>
                <w:rFonts w:hint="eastAsia" w:ascii="宋体" w:hAnsi="宋体"/>
                <w:color w:val="auto"/>
                <w:szCs w:val="21"/>
              </w:rPr>
              <w:t>政府采购优先采购非标记★符号的节能产品</w:t>
            </w:r>
          </w:p>
        </w:tc>
        <w:tc>
          <w:tcPr>
            <w:tcW w:w="5466" w:type="dxa"/>
            <w:tcBorders>
              <w:top w:val="single" w:color="auto" w:sz="6" w:space="0"/>
              <w:left w:val="single" w:color="auto" w:sz="6" w:space="0"/>
              <w:bottom w:val="single" w:color="auto" w:sz="4" w:space="0"/>
              <w:right w:val="double" w:color="auto" w:sz="4" w:space="0"/>
            </w:tcBorders>
            <w:vAlign w:val="center"/>
          </w:tcPr>
          <w:p w14:paraId="029AD58B">
            <w:pPr>
              <w:adjustRightInd w:val="0"/>
              <w:snapToGrid w:val="0"/>
              <w:spacing w:before="156" w:beforeLines="50"/>
              <w:rPr>
                <w:rFonts w:ascii="宋体" w:hAnsi="宋体"/>
                <w:color w:val="auto"/>
                <w:szCs w:val="21"/>
              </w:rPr>
            </w:pPr>
            <w:r>
              <w:rPr>
                <w:rFonts w:hint="eastAsia" w:ascii="宋体" w:hAnsi="宋体"/>
                <w:color w:val="auto"/>
                <w:szCs w:val="21"/>
              </w:rPr>
              <w:t>■ 是，采购产品为《节能产品政府采购品目清单》(第</w:t>
            </w:r>
            <w:r>
              <w:rPr>
                <w:rFonts w:hint="eastAsia" w:ascii="宋体" w:hAnsi="宋体"/>
                <w:color w:val="auto"/>
                <w:szCs w:val="21"/>
                <w:u w:val="single"/>
              </w:rPr>
              <w:t xml:space="preserve"> 最新 </w:t>
            </w:r>
            <w:r>
              <w:rPr>
                <w:rFonts w:hint="eastAsia" w:ascii="宋体" w:hAnsi="宋体"/>
                <w:color w:val="auto"/>
                <w:szCs w:val="21"/>
              </w:rPr>
              <w:t>期)内非标记★符号的：</w:t>
            </w:r>
          </w:p>
          <w:p w14:paraId="4D9F3BF4">
            <w:pPr>
              <w:adjustRightInd w:val="0"/>
              <w:snapToGrid w:val="0"/>
              <w:spacing w:before="156" w:beforeLines="50"/>
              <w:rPr>
                <w:rFonts w:ascii="宋体" w:hAnsi="宋体"/>
                <w:color w:val="auto"/>
                <w:szCs w:val="21"/>
              </w:rPr>
            </w:pPr>
            <w:r>
              <w:rPr>
                <w:rFonts w:hint="eastAsia" w:ascii="宋体" w:hAnsi="宋体"/>
                <w:color w:val="auto"/>
                <w:szCs w:val="21"/>
              </w:rPr>
              <w:t>(1)采用最低评标价法时，应给予相应政策比例的价格扣除。本项目具体扣除比例为</w:t>
            </w:r>
            <w:r>
              <w:rPr>
                <w:rFonts w:hint="eastAsia" w:ascii="宋体" w:hAnsi="宋体"/>
                <w:color w:val="auto"/>
                <w:szCs w:val="21"/>
                <w:u w:val="single"/>
              </w:rPr>
              <w:t xml:space="preserve">  6 </w:t>
            </w:r>
            <w:r>
              <w:rPr>
                <w:rFonts w:hint="eastAsia" w:ascii="宋体" w:hAnsi="宋体"/>
                <w:color w:val="auto"/>
                <w:szCs w:val="21"/>
              </w:rPr>
              <w:t>％；</w:t>
            </w:r>
          </w:p>
          <w:p w14:paraId="47125D42">
            <w:pPr>
              <w:adjustRightInd w:val="0"/>
              <w:snapToGrid w:val="0"/>
              <w:spacing w:before="156" w:beforeLines="50"/>
              <w:rPr>
                <w:rFonts w:ascii="宋体" w:hAnsi="宋体"/>
                <w:color w:val="auto"/>
                <w:szCs w:val="21"/>
                <w:highlight w:val="yellow"/>
              </w:rPr>
            </w:pPr>
            <w:r>
              <w:rPr>
                <w:rFonts w:hint="eastAsia" w:ascii="宋体" w:hAnsi="宋体"/>
                <w:color w:val="auto"/>
                <w:szCs w:val="21"/>
              </w:rPr>
              <w:t>(2)采用综合评分法时，对于技术和价格分，应分别给予总分值相应政策比例的加分。本项目具体加分比例分别为 ：技术</w:t>
            </w:r>
            <w:r>
              <w:rPr>
                <w:rFonts w:hint="eastAsia" w:ascii="宋体" w:hAnsi="宋体"/>
                <w:color w:val="auto"/>
                <w:szCs w:val="21"/>
                <w:u w:val="single"/>
              </w:rPr>
              <w:t xml:space="preserve">  6  </w:t>
            </w:r>
            <w:r>
              <w:rPr>
                <w:rFonts w:hint="eastAsia" w:ascii="宋体" w:hAnsi="宋体"/>
                <w:color w:val="auto"/>
                <w:szCs w:val="21"/>
              </w:rPr>
              <w:t>%、价格</w:t>
            </w:r>
            <w:r>
              <w:rPr>
                <w:rFonts w:hint="eastAsia" w:ascii="宋体" w:hAnsi="宋体"/>
                <w:color w:val="auto"/>
                <w:szCs w:val="21"/>
                <w:u w:val="single"/>
              </w:rPr>
              <w:t xml:space="preserve">  6  </w:t>
            </w:r>
            <w:r>
              <w:rPr>
                <w:rFonts w:hint="eastAsia" w:ascii="宋体" w:hAnsi="宋体"/>
                <w:color w:val="auto"/>
                <w:szCs w:val="21"/>
              </w:rPr>
              <w:t>%。</w:t>
            </w:r>
          </w:p>
        </w:tc>
      </w:tr>
      <w:tr w14:paraId="703E16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6"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3CA9FAF8">
            <w:pPr>
              <w:widowControl/>
              <w:jc w:val="left"/>
              <w:rPr>
                <w:rFonts w:ascii="宋体" w:hAnsi="宋体"/>
                <w:color w:val="auto"/>
                <w:szCs w:val="21"/>
              </w:rPr>
            </w:pPr>
          </w:p>
        </w:tc>
        <w:tc>
          <w:tcPr>
            <w:tcW w:w="2130" w:type="dxa"/>
            <w:vMerge w:val="restart"/>
            <w:tcBorders>
              <w:top w:val="single" w:color="auto" w:sz="6" w:space="0"/>
              <w:left w:val="single" w:color="auto" w:sz="6" w:space="0"/>
              <w:right w:val="single" w:color="auto" w:sz="6" w:space="0"/>
            </w:tcBorders>
            <w:vAlign w:val="center"/>
          </w:tcPr>
          <w:p w14:paraId="2DCFDFC7">
            <w:pPr>
              <w:adjustRightInd w:val="0"/>
              <w:snapToGrid w:val="0"/>
              <w:spacing w:before="156" w:beforeLines="50"/>
              <w:jc w:val="center"/>
              <w:rPr>
                <w:rFonts w:ascii="宋体" w:hAnsi="宋体"/>
                <w:color w:val="auto"/>
                <w:szCs w:val="21"/>
              </w:rPr>
            </w:pPr>
            <w:r>
              <w:rPr>
                <w:rFonts w:hint="eastAsia" w:ascii="宋体" w:hAnsi="宋体"/>
                <w:color w:val="auto"/>
                <w:szCs w:val="21"/>
              </w:rPr>
              <w:t>政府采购优先采购环境标志产品</w:t>
            </w:r>
          </w:p>
        </w:tc>
        <w:tc>
          <w:tcPr>
            <w:tcW w:w="5466" w:type="dxa"/>
            <w:tcBorders>
              <w:top w:val="single" w:color="auto" w:sz="6" w:space="0"/>
              <w:left w:val="single" w:color="auto" w:sz="6" w:space="0"/>
              <w:bottom w:val="single" w:color="auto" w:sz="4" w:space="0"/>
              <w:right w:val="double" w:color="auto" w:sz="4" w:space="0"/>
            </w:tcBorders>
            <w:vAlign w:val="center"/>
          </w:tcPr>
          <w:p w14:paraId="71D9F64F">
            <w:pPr>
              <w:adjustRightInd w:val="0"/>
              <w:snapToGrid w:val="0"/>
              <w:spacing w:before="156" w:beforeLines="50"/>
              <w:rPr>
                <w:rFonts w:ascii="宋体" w:hAnsi="宋体"/>
                <w:color w:val="auto"/>
                <w:szCs w:val="21"/>
              </w:rPr>
            </w:pPr>
            <w:r>
              <w:rPr>
                <w:rFonts w:hint="eastAsia" w:ascii="宋体" w:hAnsi="宋体"/>
                <w:color w:val="auto"/>
                <w:szCs w:val="21"/>
              </w:rPr>
              <w:t>■ 是，采购产品为《环境标志产品政府采购品目清单》(第</w:t>
            </w:r>
            <w:r>
              <w:rPr>
                <w:rFonts w:hint="eastAsia" w:ascii="宋体" w:hAnsi="宋体"/>
                <w:color w:val="auto"/>
                <w:szCs w:val="21"/>
                <w:u w:val="single"/>
              </w:rPr>
              <w:t xml:space="preserve"> 最新 </w:t>
            </w:r>
            <w:r>
              <w:rPr>
                <w:rFonts w:hint="eastAsia" w:ascii="宋体" w:hAnsi="宋体"/>
                <w:color w:val="auto"/>
                <w:szCs w:val="21"/>
              </w:rPr>
              <w:t>期)内的：</w:t>
            </w:r>
          </w:p>
          <w:p w14:paraId="6DE3B4C9">
            <w:pPr>
              <w:adjustRightInd w:val="0"/>
              <w:snapToGrid w:val="0"/>
              <w:spacing w:before="156" w:beforeLines="50"/>
              <w:rPr>
                <w:rFonts w:ascii="宋体" w:hAnsi="宋体"/>
                <w:color w:val="auto"/>
                <w:szCs w:val="21"/>
              </w:rPr>
            </w:pPr>
            <w:r>
              <w:rPr>
                <w:rFonts w:hint="eastAsia" w:ascii="宋体" w:hAnsi="宋体"/>
                <w:color w:val="auto"/>
                <w:szCs w:val="21"/>
              </w:rPr>
              <w:t xml:space="preserve">(1)采用最低评标价法时，应给予相应政策比例的价格扣除。本项目具体扣除比例为 </w:t>
            </w:r>
            <w:r>
              <w:rPr>
                <w:rFonts w:hint="eastAsia" w:ascii="宋体" w:hAnsi="宋体"/>
                <w:color w:val="auto"/>
                <w:szCs w:val="21"/>
                <w:u w:val="single"/>
              </w:rPr>
              <w:t xml:space="preserve">  6  </w:t>
            </w:r>
            <w:r>
              <w:rPr>
                <w:rFonts w:hint="eastAsia" w:ascii="宋体" w:hAnsi="宋体"/>
                <w:color w:val="auto"/>
                <w:szCs w:val="21"/>
              </w:rPr>
              <w:t xml:space="preserve"> ％；</w:t>
            </w:r>
          </w:p>
          <w:p w14:paraId="0CE59E9E">
            <w:pPr>
              <w:adjustRightInd w:val="0"/>
              <w:snapToGrid w:val="0"/>
              <w:spacing w:before="156" w:beforeLines="50"/>
              <w:rPr>
                <w:rFonts w:ascii="宋体" w:hAnsi="宋体"/>
                <w:color w:val="auto"/>
                <w:szCs w:val="21"/>
              </w:rPr>
            </w:pPr>
            <w:r>
              <w:rPr>
                <w:rFonts w:hint="eastAsia" w:ascii="宋体" w:hAnsi="宋体"/>
                <w:color w:val="auto"/>
                <w:szCs w:val="21"/>
              </w:rPr>
              <w:t>(2)采用综合评分法时，对于技术和价格分，应分别给予总分值相应政策比例的加分。本项目具体加分比例分别为 ：技术</w:t>
            </w:r>
            <w:r>
              <w:rPr>
                <w:rFonts w:hint="eastAsia" w:ascii="宋体" w:hAnsi="宋体"/>
                <w:color w:val="auto"/>
                <w:szCs w:val="21"/>
                <w:u w:val="single"/>
              </w:rPr>
              <w:t xml:space="preserve">  6  </w:t>
            </w:r>
            <w:r>
              <w:rPr>
                <w:rFonts w:hint="eastAsia" w:ascii="宋体" w:hAnsi="宋体"/>
                <w:color w:val="auto"/>
                <w:szCs w:val="21"/>
              </w:rPr>
              <w:t>%、价格</w:t>
            </w:r>
            <w:r>
              <w:rPr>
                <w:rFonts w:hint="eastAsia" w:ascii="宋体" w:hAnsi="宋体"/>
                <w:color w:val="auto"/>
                <w:szCs w:val="21"/>
                <w:u w:val="single"/>
              </w:rPr>
              <w:t xml:space="preserve">  6  </w:t>
            </w:r>
            <w:r>
              <w:rPr>
                <w:rFonts w:hint="eastAsia" w:ascii="宋体" w:hAnsi="宋体"/>
                <w:color w:val="auto"/>
                <w:szCs w:val="21"/>
              </w:rPr>
              <w:t>%；</w:t>
            </w:r>
          </w:p>
        </w:tc>
      </w:tr>
      <w:tr w14:paraId="7EEB1F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7"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1E472245">
            <w:pPr>
              <w:widowControl/>
              <w:jc w:val="left"/>
              <w:rPr>
                <w:rFonts w:ascii="宋体" w:hAnsi="宋体"/>
                <w:color w:val="auto"/>
                <w:szCs w:val="21"/>
              </w:rPr>
            </w:pPr>
          </w:p>
        </w:tc>
        <w:tc>
          <w:tcPr>
            <w:tcW w:w="2130" w:type="dxa"/>
            <w:vMerge w:val="restart"/>
            <w:tcBorders>
              <w:top w:val="single" w:color="auto" w:sz="4" w:space="0"/>
              <w:left w:val="single" w:color="auto" w:sz="6" w:space="0"/>
              <w:right w:val="single" w:color="auto" w:sz="6" w:space="0"/>
            </w:tcBorders>
            <w:vAlign w:val="center"/>
          </w:tcPr>
          <w:p w14:paraId="0D693841">
            <w:pPr>
              <w:adjustRightInd w:val="0"/>
              <w:snapToGrid w:val="0"/>
              <w:spacing w:before="156" w:beforeLines="50"/>
              <w:jc w:val="center"/>
              <w:rPr>
                <w:rFonts w:ascii="宋体" w:hAnsi="宋体"/>
                <w:color w:val="auto"/>
                <w:szCs w:val="21"/>
              </w:rPr>
            </w:pPr>
            <w:r>
              <w:rPr>
                <w:rFonts w:hint="eastAsia" w:ascii="宋体" w:hAnsi="宋体"/>
                <w:color w:val="auto"/>
                <w:szCs w:val="21"/>
              </w:rPr>
              <w:t>政府采购</w:t>
            </w:r>
            <w:r>
              <w:rPr>
                <w:rFonts w:hint="eastAsia" w:ascii="宋体" w:hAnsi="宋体" w:cs="宋体"/>
                <w:bCs/>
                <w:color w:val="auto"/>
                <w:kern w:val="0"/>
                <w:szCs w:val="21"/>
              </w:rPr>
              <w:t>支持</w:t>
            </w:r>
            <w:r>
              <w:rPr>
                <w:rFonts w:hint="eastAsia" w:ascii="宋体" w:hAnsi="宋体"/>
                <w:color w:val="auto"/>
                <w:szCs w:val="21"/>
              </w:rPr>
              <w:t>中小企业发展</w:t>
            </w:r>
          </w:p>
        </w:tc>
        <w:tc>
          <w:tcPr>
            <w:tcW w:w="5466" w:type="dxa"/>
            <w:tcBorders>
              <w:top w:val="single" w:color="auto" w:sz="4" w:space="0"/>
              <w:left w:val="single" w:color="auto" w:sz="6" w:space="0"/>
              <w:bottom w:val="single" w:color="auto" w:sz="4" w:space="0"/>
              <w:right w:val="double" w:color="auto" w:sz="4" w:space="0"/>
            </w:tcBorders>
            <w:vAlign w:val="center"/>
          </w:tcPr>
          <w:p w14:paraId="25517820">
            <w:pPr>
              <w:adjustRightInd w:val="0"/>
              <w:snapToGrid w:val="0"/>
              <w:rPr>
                <w:rFonts w:ascii="宋体" w:hAnsi="宋体"/>
                <w:color w:val="auto"/>
                <w:szCs w:val="21"/>
              </w:rPr>
            </w:pPr>
            <w:r>
              <w:rPr>
                <w:rFonts w:hint="eastAsia" w:ascii="宋体" w:hAnsi="宋体"/>
                <w:color w:val="auto"/>
                <w:szCs w:val="21"/>
              </w:rPr>
              <w:t>本项目中小企业划分标准所属行业：工业</w:t>
            </w:r>
          </w:p>
        </w:tc>
      </w:tr>
      <w:tr w14:paraId="6AB5F4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7"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5803981D">
            <w:pPr>
              <w:widowControl/>
              <w:jc w:val="left"/>
              <w:rPr>
                <w:rFonts w:ascii="宋体" w:hAnsi="宋体"/>
                <w:color w:val="auto"/>
                <w:szCs w:val="21"/>
              </w:rPr>
            </w:pPr>
          </w:p>
        </w:tc>
        <w:tc>
          <w:tcPr>
            <w:tcW w:w="2130" w:type="dxa"/>
            <w:vMerge w:val="continue"/>
            <w:tcBorders>
              <w:left w:val="single" w:color="auto" w:sz="6" w:space="0"/>
              <w:right w:val="single" w:color="auto" w:sz="6" w:space="0"/>
            </w:tcBorders>
            <w:vAlign w:val="center"/>
          </w:tcPr>
          <w:p w14:paraId="29880FF3">
            <w:pPr>
              <w:adjustRightInd w:val="0"/>
              <w:snapToGrid w:val="0"/>
              <w:spacing w:before="156" w:beforeLines="50"/>
              <w:jc w:val="center"/>
              <w:rPr>
                <w:rFonts w:ascii="宋体" w:hAnsi="宋体"/>
                <w:color w:val="auto"/>
                <w:szCs w:val="21"/>
              </w:rPr>
            </w:pPr>
          </w:p>
        </w:tc>
        <w:tc>
          <w:tcPr>
            <w:tcW w:w="5466" w:type="dxa"/>
            <w:tcBorders>
              <w:top w:val="single" w:color="auto" w:sz="4" w:space="0"/>
              <w:left w:val="single" w:color="auto" w:sz="6" w:space="0"/>
              <w:bottom w:val="single" w:color="auto" w:sz="4" w:space="0"/>
              <w:right w:val="double" w:color="auto" w:sz="4" w:space="0"/>
            </w:tcBorders>
            <w:vAlign w:val="center"/>
          </w:tcPr>
          <w:p w14:paraId="1A3A20DD">
            <w:pPr>
              <w:adjustRightInd w:val="0"/>
              <w:snapToGrid w:val="0"/>
              <w:rPr>
                <w:rFonts w:ascii="宋体" w:hAnsi="宋体"/>
                <w:color w:val="auto"/>
                <w:szCs w:val="21"/>
              </w:rPr>
            </w:pPr>
            <w:r>
              <w:rPr>
                <w:rFonts w:hint="eastAsia" w:ascii="宋体" w:hAnsi="宋体"/>
                <w:color w:val="auto"/>
                <w:szCs w:val="21"/>
              </w:rPr>
              <w:t>■ 专门面向中小企业采购：专门面向中小企业采购的项目包不再进行价格评审优惠。</w:t>
            </w:r>
          </w:p>
        </w:tc>
      </w:tr>
      <w:tr w14:paraId="22012D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79"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4814313A">
            <w:pPr>
              <w:widowControl/>
              <w:jc w:val="left"/>
              <w:rPr>
                <w:rFonts w:ascii="宋体" w:hAnsi="宋体"/>
                <w:color w:val="auto"/>
                <w:szCs w:val="21"/>
              </w:rPr>
            </w:pPr>
          </w:p>
        </w:tc>
        <w:tc>
          <w:tcPr>
            <w:tcW w:w="2130" w:type="dxa"/>
            <w:vMerge w:val="continue"/>
            <w:tcBorders>
              <w:left w:val="single" w:color="auto" w:sz="6" w:space="0"/>
              <w:right w:val="single" w:color="auto" w:sz="6" w:space="0"/>
            </w:tcBorders>
            <w:vAlign w:val="center"/>
          </w:tcPr>
          <w:p w14:paraId="790AB53C">
            <w:pPr>
              <w:adjustRightInd w:val="0"/>
              <w:snapToGrid w:val="0"/>
              <w:spacing w:before="156" w:beforeLines="50"/>
              <w:jc w:val="center"/>
              <w:rPr>
                <w:rFonts w:ascii="宋体" w:hAnsi="宋体"/>
                <w:color w:val="auto"/>
                <w:szCs w:val="21"/>
              </w:rPr>
            </w:pPr>
          </w:p>
        </w:tc>
        <w:tc>
          <w:tcPr>
            <w:tcW w:w="5466" w:type="dxa"/>
            <w:tcBorders>
              <w:top w:val="single" w:color="auto" w:sz="4" w:space="0"/>
              <w:left w:val="single" w:color="auto" w:sz="6" w:space="0"/>
              <w:bottom w:val="single" w:color="auto" w:sz="4" w:space="0"/>
              <w:right w:val="double" w:color="auto" w:sz="4" w:space="0"/>
            </w:tcBorders>
            <w:vAlign w:val="center"/>
          </w:tcPr>
          <w:p w14:paraId="57DF5193">
            <w:pPr>
              <w:adjustRightInd w:val="0"/>
              <w:snapToGrid w:val="0"/>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 xml:space="preserve"> 非专门面向中小企业采购：</w:t>
            </w:r>
          </w:p>
          <w:p w14:paraId="00DCAFBC">
            <w:pPr>
              <w:adjustRightInd w:val="0"/>
              <w:snapToGrid w:val="0"/>
              <w:rPr>
                <w:rFonts w:ascii="宋体" w:hAnsi="宋体"/>
                <w:color w:val="auto"/>
                <w:szCs w:val="21"/>
              </w:rPr>
            </w:pPr>
            <w:r>
              <w:rPr>
                <w:rFonts w:hint="eastAsia" w:ascii="宋体" w:hAnsi="宋体"/>
                <w:color w:val="auto"/>
                <w:szCs w:val="21"/>
              </w:rPr>
              <w:t xml:space="preserve">1、对小型和微型企业产品的价格给予相应政策比例的扣除，用扣除后的价格参与评审，本项目具体扣除比例为 </w:t>
            </w:r>
            <w:r>
              <w:rPr>
                <w:rFonts w:hint="eastAsia" w:ascii="宋体" w:hAnsi="宋体"/>
                <w:color w:val="auto"/>
                <w:szCs w:val="21"/>
                <w:u w:val="single"/>
              </w:rPr>
              <w:t xml:space="preserve">  10  </w:t>
            </w:r>
            <w:r>
              <w:rPr>
                <w:rFonts w:hint="eastAsia" w:ascii="宋体" w:hAnsi="宋体"/>
                <w:color w:val="auto"/>
                <w:szCs w:val="21"/>
              </w:rPr>
              <w:t>％。</w:t>
            </w:r>
          </w:p>
        </w:tc>
      </w:tr>
      <w:tr w14:paraId="49FAF5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83"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7CC0F330">
            <w:pPr>
              <w:widowControl/>
              <w:jc w:val="left"/>
              <w:rPr>
                <w:rFonts w:ascii="宋体" w:hAnsi="宋体"/>
                <w:color w:val="auto"/>
                <w:szCs w:val="21"/>
              </w:rPr>
            </w:pPr>
          </w:p>
        </w:tc>
        <w:tc>
          <w:tcPr>
            <w:tcW w:w="2130" w:type="dxa"/>
            <w:tcBorders>
              <w:top w:val="single" w:color="auto" w:sz="4" w:space="0"/>
              <w:left w:val="single" w:color="auto" w:sz="6" w:space="0"/>
              <w:bottom w:val="single" w:color="auto" w:sz="6" w:space="0"/>
              <w:right w:val="single" w:color="auto" w:sz="6" w:space="0"/>
            </w:tcBorders>
            <w:vAlign w:val="center"/>
          </w:tcPr>
          <w:p w14:paraId="2B46EAB9">
            <w:pPr>
              <w:adjustRightInd w:val="0"/>
              <w:snapToGrid w:val="0"/>
              <w:spacing w:before="156" w:beforeLines="50"/>
              <w:jc w:val="center"/>
              <w:rPr>
                <w:rFonts w:ascii="宋体" w:hAnsi="宋体"/>
                <w:color w:val="auto"/>
                <w:szCs w:val="21"/>
              </w:rPr>
            </w:pPr>
            <w:r>
              <w:rPr>
                <w:rFonts w:hint="eastAsia" w:ascii="宋体" w:hAnsi="宋体"/>
                <w:color w:val="auto"/>
                <w:szCs w:val="21"/>
              </w:rPr>
              <w:t>政府采购</w:t>
            </w:r>
            <w:r>
              <w:rPr>
                <w:rFonts w:hint="eastAsia" w:ascii="宋体" w:hAnsi="宋体" w:cs="宋体"/>
                <w:bCs/>
                <w:color w:val="auto"/>
                <w:kern w:val="0"/>
                <w:szCs w:val="21"/>
              </w:rPr>
              <w:t>支持</w:t>
            </w:r>
            <w:r>
              <w:rPr>
                <w:rFonts w:hint="eastAsia" w:ascii="宋体" w:hAnsi="宋体"/>
                <w:color w:val="auto"/>
                <w:szCs w:val="21"/>
              </w:rPr>
              <w:t>残疾人福利性单位发展</w:t>
            </w:r>
          </w:p>
        </w:tc>
        <w:tc>
          <w:tcPr>
            <w:tcW w:w="5466" w:type="dxa"/>
            <w:tcBorders>
              <w:top w:val="single" w:color="auto" w:sz="4" w:space="0"/>
              <w:left w:val="single" w:color="auto" w:sz="6" w:space="0"/>
              <w:bottom w:val="single" w:color="auto" w:sz="6" w:space="0"/>
              <w:right w:val="double" w:color="auto" w:sz="4" w:space="0"/>
            </w:tcBorders>
            <w:vAlign w:val="center"/>
          </w:tcPr>
          <w:p w14:paraId="326C4156">
            <w:pPr>
              <w:adjustRightInd w:val="0"/>
              <w:snapToGrid w:val="0"/>
              <w:rPr>
                <w:rFonts w:ascii="宋体" w:hAnsi="宋体"/>
                <w:color w:val="auto"/>
                <w:szCs w:val="21"/>
              </w:rPr>
            </w:pPr>
            <w:r>
              <w:rPr>
                <w:rFonts w:hint="eastAsia" w:ascii="宋体" w:hAnsi="宋体"/>
                <w:color w:val="auto"/>
                <w:szCs w:val="21"/>
              </w:rPr>
              <w:t xml:space="preserve">1、对残疾人福利性单位产品的价格给予相应政策比例的扣除，用扣除后的价格参与评审，本项目具体扣除比例为 </w:t>
            </w:r>
            <w:r>
              <w:rPr>
                <w:rFonts w:hint="eastAsia" w:ascii="宋体" w:hAnsi="宋体"/>
                <w:color w:val="auto"/>
                <w:szCs w:val="21"/>
                <w:u w:val="single"/>
              </w:rPr>
              <w:t xml:space="preserve">  10  </w:t>
            </w:r>
            <w:r>
              <w:rPr>
                <w:rFonts w:hint="eastAsia" w:ascii="宋体" w:hAnsi="宋体"/>
                <w:color w:val="auto"/>
                <w:szCs w:val="21"/>
              </w:rPr>
              <w:t>％。</w:t>
            </w:r>
          </w:p>
          <w:p w14:paraId="3A795523">
            <w:pPr>
              <w:adjustRightInd w:val="0"/>
              <w:snapToGrid w:val="0"/>
              <w:spacing w:before="156" w:beforeLines="50"/>
              <w:rPr>
                <w:rFonts w:ascii="宋体" w:hAnsi="宋体"/>
                <w:color w:val="auto"/>
                <w:szCs w:val="21"/>
              </w:rPr>
            </w:pPr>
            <w:r>
              <w:rPr>
                <w:rFonts w:hint="eastAsia" w:ascii="宋体" w:hAnsi="宋体"/>
                <w:color w:val="auto"/>
                <w:szCs w:val="21"/>
              </w:rPr>
              <w:t>2、残疾人福利性单位视同小型、微型企业，不重复享受优惠政策。</w:t>
            </w:r>
          </w:p>
        </w:tc>
      </w:tr>
      <w:tr w14:paraId="3A8A80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78"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71801938">
            <w:pPr>
              <w:widowControl/>
              <w:jc w:val="left"/>
              <w:rPr>
                <w:rFonts w:ascii="宋体" w:hAnsi="宋体"/>
                <w:color w:val="auto"/>
                <w:szCs w:val="21"/>
              </w:rPr>
            </w:pPr>
          </w:p>
        </w:tc>
        <w:tc>
          <w:tcPr>
            <w:tcW w:w="2130" w:type="dxa"/>
            <w:tcBorders>
              <w:top w:val="single" w:color="auto" w:sz="4" w:space="0"/>
              <w:left w:val="single" w:color="auto" w:sz="6" w:space="0"/>
              <w:bottom w:val="single" w:color="auto" w:sz="6" w:space="0"/>
              <w:right w:val="single" w:color="auto" w:sz="6" w:space="0"/>
            </w:tcBorders>
            <w:vAlign w:val="center"/>
          </w:tcPr>
          <w:p w14:paraId="1A887DC2">
            <w:pPr>
              <w:adjustRightInd w:val="0"/>
              <w:snapToGrid w:val="0"/>
              <w:spacing w:before="156" w:beforeLines="50"/>
              <w:jc w:val="center"/>
              <w:rPr>
                <w:rFonts w:ascii="宋体" w:hAnsi="宋体"/>
                <w:color w:val="auto"/>
                <w:szCs w:val="21"/>
              </w:rPr>
            </w:pPr>
            <w:r>
              <w:rPr>
                <w:rFonts w:hint="eastAsia" w:ascii="宋体" w:hAnsi="宋体"/>
                <w:color w:val="auto"/>
                <w:szCs w:val="21"/>
              </w:rPr>
              <w:t>政府采购支持监狱企业发展</w:t>
            </w:r>
          </w:p>
        </w:tc>
        <w:tc>
          <w:tcPr>
            <w:tcW w:w="5466" w:type="dxa"/>
            <w:tcBorders>
              <w:top w:val="single" w:color="auto" w:sz="4" w:space="0"/>
              <w:left w:val="single" w:color="auto" w:sz="6" w:space="0"/>
              <w:bottom w:val="single" w:color="auto" w:sz="6" w:space="0"/>
              <w:right w:val="double" w:color="auto" w:sz="4" w:space="0"/>
            </w:tcBorders>
            <w:vAlign w:val="center"/>
          </w:tcPr>
          <w:p w14:paraId="018B1061">
            <w:pPr>
              <w:adjustRightInd w:val="0"/>
              <w:snapToGrid w:val="0"/>
              <w:rPr>
                <w:rFonts w:ascii="宋体" w:hAnsi="宋体"/>
                <w:color w:val="auto"/>
                <w:szCs w:val="21"/>
              </w:rPr>
            </w:pPr>
            <w:r>
              <w:rPr>
                <w:rFonts w:hint="eastAsia" w:ascii="宋体" w:hAnsi="宋体"/>
                <w:color w:val="auto"/>
                <w:szCs w:val="21"/>
              </w:rPr>
              <w:t xml:space="preserve">1、对监狱企业产品的价格给予相应政策比例的扣除，用扣除后的价格参与评审，本项目具体扣除比例为 </w:t>
            </w:r>
            <w:r>
              <w:rPr>
                <w:rFonts w:hint="eastAsia" w:ascii="宋体" w:hAnsi="宋体"/>
                <w:color w:val="auto"/>
                <w:szCs w:val="21"/>
                <w:u w:val="single"/>
              </w:rPr>
              <w:t xml:space="preserve">  10  </w:t>
            </w:r>
            <w:r>
              <w:rPr>
                <w:rFonts w:hint="eastAsia" w:ascii="宋体" w:hAnsi="宋体"/>
                <w:color w:val="auto"/>
                <w:szCs w:val="21"/>
              </w:rPr>
              <w:t>％。</w:t>
            </w:r>
          </w:p>
          <w:p w14:paraId="19360648">
            <w:pPr>
              <w:adjustRightInd w:val="0"/>
              <w:snapToGrid w:val="0"/>
              <w:spacing w:before="156" w:beforeLines="50"/>
              <w:rPr>
                <w:rFonts w:ascii="宋体" w:hAnsi="宋体"/>
                <w:color w:val="auto"/>
                <w:szCs w:val="21"/>
              </w:rPr>
            </w:pPr>
            <w:r>
              <w:rPr>
                <w:rFonts w:hint="eastAsia" w:ascii="宋体" w:hAnsi="宋体"/>
                <w:color w:val="auto"/>
                <w:szCs w:val="21"/>
              </w:rPr>
              <w:t>2、监狱企业视同小型、微型企业，不重复享受优惠政策。</w:t>
            </w:r>
          </w:p>
        </w:tc>
      </w:tr>
      <w:tr w14:paraId="5614EC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9"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49C241CF">
            <w:pPr>
              <w:widowControl/>
              <w:jc w:val="left"/>
              <w:rPr>
                <w:rFonts w:ascii="宋体" w:hAnsi="宋体"/>
                <w:color w:val="auto"/>
                <w:szCs w:val="21"/>
              </w:rPr>
            </w:pPr>
          </w:p>
        </w:tc>
        <w:tc>
          <w:tcPr>
            <w:tcW w:w="2130" w:type="dxa"/>
            <w:tcBorders>
              <w:top w:val="single" w:color="auto" w:sz="6" w:space="0"/>
              <w:left w:val="single" w:color="auto" w:sz="6" w:space="0"/>
              <w:bottom w:val="single" w:color="auto" w:sz="6" w:space="0"/>
              <w:right w:val="single" w:color="auto" w:sz="6" w:space="0"/>
            </w:tcBorders>
            <w:vAlign w:val="center"/>
          </w:tcPr>
          <w:p w14:paraId="350A5465">
            <w:pPr>
              <w:jc w:val="center"/>
              <w:rPr>
                <w:rFonts w:ascii="宋体" w:hAnsi="宋体"/>
                <w:color w:val="auto"/>
                <w:szCs w:val="21"/>
              </w:rPr>
            </w:pPr>
            <w:r>
              <w:rPr>
                <w:rFonts w:hint="eastAsia" w:ascii="宋体" w:hAnsi="宋体" w:cs="宋体"/>
                <w:bCs/>
                <w:color w:val="auto"/>
                <w:kern w:val="0"/>
                <w:szCs w:val="21"/>
              </w:rPr>
              <w:t>政府采购支持中小企业融资</w:t>
            </w:r>
          </w:p>
        </w:tc>
        <w:tc>
          <w:tcPr>
            <w:tcW w:w="5466" w:type="dxa"/>
            <w:tcBorders>
              <w:top w:val="single" w:color="auto" w:sz="6" w:space="0"/>
              <w:left w:val="single" w:color="auto" w:sz="6" w:space="0"/>
              <w:bottom w:val="single" w:color="auto" w:sz="6" w:space="0"/>
              <w:right w:val="double" w:color="auto" w:sz="4" w:space="0"/>
            </w:tcBorders>
            <w:vAlign w:val="center"/>
          </w:tcPr>
          <w:p w14:paraId="0FC9A48B">
            <w:pPr>
              <w:rPr>
                <w:rFonts w:ascii="宋体" w:hAnsi="宋体"/>
                <w:color w:val="auto"/>
                <w:szCs w:val="21"/>
              </w:rPr>
            </w:pPr>
            <w:r>
              <w:rPr>
                <w:rFonts w:hint="eastAsia" w:ascii="宋体" w:hAnsi="宋体"/>
                <w:color w:val="auto"/>
                <w:szCs w:val="21"/>
              </w:rPr>
              <w:t>有融资需求的，可查询中国湖南政府采购网</w:t>
            </w:r>
            <w:r>
              <w:rPr>
                <w:rFonts w:hint="eastAsia" w:ascii="宋体" w:hAnsi="宋体" w:cs="宋体"/>
                <w:color w:val="auto"/>
                <w:szCs w:val="21"/>
              </w:rPr>
              <w:t>办事指南专栏中相关业务简介。</w:t>
            </w:r>
          </w:p>
        </w:tc>
      </w:tr>
      <w:tr w14:paraId="5AFB24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3866C89C">
            <w:pPr>
              <w:widowControl/>
              <w:jc w:val="left"/>
              <w:rPr>
                <w:rFonts w:ascii="宋体" w:hAnsi="宋体"/>
                <w:color w:val="auto"/>
                <w:szCs w:val="21"/>
              </w:rPr>
            </w:pPr>
          </w:p>
        </w:tc>
        <w:tc>
          <w:tcPr>
            <w:tcW w:w="2130" w:type="dxa"/>
            <w:tcBorders>
              <w:top w:val="single" w:color="auto" w:sz="6" w:space="0"/>
              <w:left w:val="single" w:color="auto" w:sz="6" w:space="0"/>
              <w:bottom w:val="single" w:color="auto" w:sz="6" w:space="0"/>
              <w:right w:val="single" w:color="auto" w:sz="6" w:space="0"/>
            </w:tcBorders>
            <w:vAlign w:val="center"/>
          </w:tcPr>
          <w:p w14:paraId="3F66ED87">
            <w:pPr>
              <w:jc w:val="center"/>
              <w:rPr>
                <w:rFonts w:ascii="宋体" w:hAnsi="宋体"/>
                <w:color w:val="auto"/>
                <w:szCs w:val="21"/>
              </w:rPr>
            </w:pPr>
            <w:r>
              <w:rPr>
                <w:rFonts w:hint="eastAsia" w:ascii="宋体" w:hAnsi="宋体" w:cs="宋体"/>
                <w:bCs/>
                <w:color w:val="auto"/>
                <w:kern w:val="0"/>
                <w:szCs w:val="21"/>
              </w:rPr>
              <w:t>政府采购信用担保</w:t>
            </w:r>
          </w:p>
        </w:tc>
        <w:tc>
          <w:tcPr>
            <w:tcW w:w="5466" w:type="dxa"/>
            <w:tcBorders>
              <w:top w:val="single" w:color="auto" w:sz="6" w:space="0"/>
              <w:left w:val="single" w:color="auto" w:sz="6" w:space="0"/>
              <w:bottom w:val="single" w:color="auto" w:sz="6" w:space="0"/>
              <w:right w:val="double" w:color="auto" w:sz="4" w:space="0"/>
            </w:tcBorders>
            <w:vAlign w:val="center"/>
          </w:tcPr>
          <w:p w14:paraId="5CCA2F91">
            <w:pPr>
              <w:rPr>
                <w:rFonts w:ascii="宋体" w:hAnsi="宋体"/>
                <w:color w:val="auto"/>
                <w:szCs w:val="21"/>
              </w:rPr>
            </w:pPr>
            <w:r>
              <w:rPr>
                <w:rFonts w:hint="eastAsia" w:ascii="宋体" w:hAnsi="宋体"/>
                <w:color w:val="auto"/>
                <w:szCs w:val="21"/>
              </w:rPr>
              <w:t>有担保需求的，可查询中国湖南政府采购网</w:t>
            </w:r>
            <w:r>
              <w:rPr>
                <w:rFonts w:hint="eastAsia" w:ascii="宋体" w:hAnsi="宋体" w:cs="宋体"/>
                <w:color w:val="auto"/>
                <w:szCs w:val="21"/>
              </w:rPr>
              <w:t>办事指南专栏中相关业务简介。</w:t>
            </w:r>
          </w:p>
        </w:tc>
      </w:tr>
      <w:tr w14:paraId="71C23F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52" w:type="dxa"/>
            <w:vMerge w:val="continue"/>
            <w:tcBorders>
              <w:top w:val="single" w:color="auto" w:sz="6" w:space="0"/>
              <w:left w:val="double" w:color="auto" w:sz="4" w:space="0"/>
              <w:bottom w:val="single" w:color="auto" w:sz="6" w:space="0"/>
              <w:right w:val="single" w:color="auto" w:sz="6" w:space="0"/>
            </w:tcBorders>
            <w:vAlign w:val="center"/>
          </w:tcPr>
          <w:p w14:paraId="011CFCFA">
            <w:pPr>
              <w:widowControl/>
              <w:jc w:val="left"/>
              <w:rPr>
                <w:rFonts w:ascii="宋体" w:hAnsi="宋体"/>
                <w:color w:val="auto"/>
                <w:szCs w:val="21"/>
              </w:rPr>
            </w:pPr>
          </w:p>
        </w:tc>
        <w:tc>
          <w:tcPr>
            <w:tcW w:w="2130" w:type="dxa"/>
            <w:tcBorders>
              <w:top w:val="single" w:color="auto" w:sz="6" w:space="0"/>
              <w:left w:val="single" w:color="auto" w:sz="6" w:space="0"/>
              <w:bottom w:val="single" w:color="auto" w:sz="6" w:space="0"/>
              <w:right w:val="single" w:color="auto" w:sz="6" w:space="0"/>
            </w:tcBorders>
            <w:vAlign w:val="center"/>
          </w:tcPr>
          <w:p w14:paraId="1B3B1F5F">
            <w:pPr>
              <w:jc w:val="center"/>
              <w:rPr>
                <w:rFonts w:ascii="宋体" w:hAnsi="宋体"/>
                <w:color w:val="auto"/>
                <w:szCs w:val="21"/>
              </w:rPr>
            </w:pPr>
            <w:r>
              <w:rPr>
                <w:rFonts w:hint="eastAsia" w:ascii="宋体" w:hAnsi="宋体"/>
                <w:color w:val="auto"/>
                <w:szCs w:val="21"/>
              </w:rPr>
              <w:t>法律、法规、规章和省级以上财政部门规定的其他内容</w:t>
            </w:r>
          </w:p>
        </w:tc>
        <w:tc>
          <w:tcPr>
            <w:tcW w:w="5466" w:type="dxa"/>
            <w:tcBorders>
              <w:top w:val="single" w:color="auto" w:sz="6" w:space="0"/>
              <w:left w:val="single" w:color="auto" w:sz="6" w:space="0"/>
              <w:bottom w:val="single" w:color="auto" w:sz="6" w:space="0"/>
              <w:right w:val="double" w:color="auto" w:sz="4" w:space="0"/>
            </w:tcBorders>
            <w:vAlign w:val="center"/>
          </w:tcPr>
          <w:p w14:paraId="463C88BC">
            <w:pPr>
              <w:rPr>
                <w:rFonts w:ascii="宋体" w:hAnsi="宋体"/>
                <w:color w:val="auto"/>
                <w:szCs w:val="21"/>
              </w:rPr>
            </w:pPr>
            <w:r>
              <w:rPr>
                <w:rFonts w:hint="eastAsia" w:ascii="宋体" w:hAnsi="宋体"/>
                <w:color w:val="auto"/>
                <w:szCs w:val="21"/>
              </w:rPr>
              <w:t>/</w:t>
            </w:r>
          </w:p>
        </w:tc>
      </w:tr>
      <w:tr w14:paraId="5853DF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10"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3593F094">
            <w:pPr>
              <w:widowControl/>
              <w:jc w:val="left"/>
              <w:rPr>
                <w:rFonts w:ascii="宋体" w:hAnsi="宋体"/>
                <w:color w:val="auto"/>
                <w:szCs w:val="21"/>
              </w:rPr>
            </w:pPr>
            <w:r>
              <w:rPr>
                <w:rFonts w:hint="eastAsia" w:ascii="宋体" w:hAnsi="宋体"/>
                <w:color w:val="auto"/>
                <w:szCs w:val="21"/>
              </w:rPr>
              <w:t>第二章第30.5款</w:t>
            </w:r>
          </w:p>
        </w:tc>
        <w:tc>
          <w:tcPr>
            <w:tcW w:w="2130" w:type="dxa"/>
            <w:tcBorders>
              <w:top w:val="single" w:color="auto" w:sz="6" w:space="0"/>
              <w:left w:val="single" w:color="auto" w:sz="6" w:space="0"/>
              <w:bottom w:val="single" w:color="auto" w:sz="6" w:space="0"/>
              <w:right w:val="single" w:color="auto" w:sz="6" w:space="0"/>
            </w:tcBorders>
            <w:vAlign w:val="center"/>
          </w:tcPr>
          <w:p w14:paraId="477A0771">
            <w:pPr>
              <w:jc w:val="center"/>
              <w:rPr>
                <w:rFonts w:ascii="宋体" w:hAnsi="宋体"/>
                <w:color w:val="auto"/>
                <w:szCs w:val="21"/>
              </w:rPr>
            </w:pPr>
            <w:r>
              <w:rPr>
                <w:rFonts w:hint="eastAsia" w:ascii="宋体" w:hAnsi="宋体"/>
                <w:color w:val="auto"/>
                <w:szCs w:val="21"/>
              </w:rPr>
              <w:t>政府采购政策优惠调整</w:t>
            </w:r>
          </w:p>
        </w:tc>
        <w:tc>
          <w:tcPr>
            <w:tcW w:w="5466" w:type="dxa"/>
            <w:tcBorders>
              <w:top w:val="single" w:color="auto" w:sz="6" w:space="0"/>
              <w:left w:val="single" w:color="auto" w:sz="6" w:space="0"/>
              <w:bottom w:val="single" w:color="auto" w:sz="6" w:space="0"/>
              <w:right w:val="double" w:color="auto" w:sz="4" w:space="0"/>
            </w:tcBorders>
            <w:vAlign w:val="center"/>
          </w:tcPr>
          <w:p w14:paraId="16C586AD">
            <w:pPr>
              <w:adjustRightInd w:val="0"/>
              <w:snapToGrid w:val="0"/>
              <w:rPr>
                <w:rFonts w:ascii="宋体" w:hAnsi="宋体"/>
                <w:color w:val="auto"/>
                <w:szCs w:val="21"/>
              </w:rPr>
            </w:pPr>
            <w:r>
              <w:rPr>
                <w:rFonts w:hint="eastAsia" w:ascii="宋体" w:hAnsi="宋体"/>
                <w:color w:val="auto"/>
                <w:szCs w:val="21"/>
              </w:rPr>
              <w:t>1、符合政府采购优先采购政策的，产品只能享受节能产品、环境标志产品等产品优惠中的一项(由供应商在响应文件中选择并填报政策功能编码，评审时进行加分) 。</w:t>
            </w:r>
          </w:p>
          <w:p w14:paraId="74DB356B">
            <w:pPr>
              <w:adjustRightInd w:val="0"/>
              <w:snapToGrid w:val="0"/>
              <w:rPr>
                <w:rFonts w:ascii="宋体" w:hAnsi="宋体"/>
                <w:color w:val="auto"/>
                <w:szCs w:val="21"/>
              </w:rPr>
            </w:pPr>
            <w:r>
              <w:rPr>
                <w:rFonts w:hint="eastAsia" w:ascii="宋体" w:hAnsi="宋体"/>
                <w:color w:val="auto"/>
                <w:szCs w:val="21"/>
              </w:rPr>
              <w:t>2、供应商享受支持中小企业发展政策优惠的，可以与同时享受节能产品、环境标志产品等产品优惠中的一项累加。</w:t>
            </w:r>
          </w:p>
          <w:p w14:paraId="47179519">
            <w:pPr>
              <w:adjustRightInd w:val="0"/>
              <w:snapToGrid w:val="0"/>
              <w:rPr>
                <w:rFonts w:ascii="宋体" w:hAnsi="宋体"/>
                <w:color w:val="auto"/>
                <w:szCs w:val="21"/>
              </w:rPr>
            </w:pPr>
            <w:r>
              <w:rPr>
                <w:rFonts w:hint="eastAsia" w:ascii="宋体" w:hAnsi="宋体"/>
                <w:color w:val="auto"/>
                <w:szCs w:val="21"/>
              </w:rPr>
              <w:t>3、残疾人福利性单位、监狱企业视同为小微企业，不重复计算。</w:t>
            </w:r>
          </w:p>
          <w:p w14:paraId="45FDAD0C">
            <w:pPr>
              <w:adjustRightInd w:val="0"/>
              <w:snapToGrid w:val="0"/>
              <w:rPr>
                <w:rFonts w:ascii="宋体" w:hAnsi="宋体"/>
                <w:color w:val="auto"/>
                <w:szCs w:val="21"/>
              </w:rPr>
            </w:pPr>
            <w:r>
              <w:rPr>
                <w:rFonts w:hint="eastAsia" w:ascii="宋体" w:hAnsi="宋体"/>
                <w:color w:val="auto"/>
                <w:szCs w:val="21"/>
              </w:rPr>
              <w:t>4、同一项目中部分产品属于优先采购政策的，评审时只对该部分产品的报价实行加分。</w:t>
            </w:r>
          </w:p>
        </w:tc>
      </w:tr>
      <w:tr w14:paraId="53BBFA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7" w:hRule="atLeast"/>
          <w:jc w:val="center"/>
        </w:trPr>
        <w:tc>
          <w:tcPr>
            <w:tcW w:w="9348" w:type="dxa"/>
            <w:gridSpan w:val="3"/>
            <w:tcBorders>
              <w:top w:val="single" w:color="auto" w:sz="6" w:space="0"/>
              <w:left w:val="double" w:color="auto" w:sz="4" w:space="0"/>
              <w:bottom w:val="single" w:color="auto" w:sz="6" w:space="0"/>
              <w:right w:val="double" w:color="auto" w:sz="4" w:space="0"/>
            </w:tcBorders>
            <w:vAlign w:val="center"/>
          </w:tcPr>
          <w:p w14:paraId="1C3709FB">
            <w:pPr>
              <w:adjustRightInd w:val="0"/>
              <w:snapToGrid w:val="0"/>
              <w:rPr>
                <w:rFonts w:ascii="宋体" w:hAnsi="宋体"/>
                <w:b/>
                <w:color w:val="auto"/>
                <w:szCs w:val="21"/>
              </w:rPr>
            </w:pPr>
            <w:r>
              <w:rPr>
                <w:rFonts w:hint="eastAsia" w:ascii="宋体" w:hAnsi="宋体"/>
                <w:b/>
                <w:color w:val="auto"/>
                <w:szCs w:val="21"/>
              </w:rPr>
              <w:t>二、磋商文件</w:t>
            </w:r>
          </w:p>
        </w:tc>
      </w:tr>
      <w:tr w14:paraId="4FAB94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9"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7B704242">
            <w:pPr>
              <w:adjustRightInd w:val="0"/>
              <w:snapToGrid w:val="0"/>
              <w:jc w:val="center"/>
              <w:rPr>
                <w:rFonts w:ascii="宋体" w:hAnsi="宋体"/>
                <w:color w:val="auto"/>
                <w:szCs w:val="21"/>
              </w:rPr>
            </w:pPr>
            <w:r>
              <w:rPr>
                <w:rFonts w:hint="eastAsia" w:ascii="宋体" w:hAnsi="宋体"/>
                <w:color w:val="auto"/>
                <w:szCs w:val="21"/>
              </w:rPr>
              <w:t>第二章第11.3款</w:t>
            </w:r>
          </w:p>
        </w:tc>
        <w:tc>
          <w:tcPr>
            <w:tcW w:w="2130" w:type="dxa"/>
            <w:tcBorders>
              <w:top w:val="single" w:color="auto" w:sz="6" w:space="0"/>
              <w:left w:val="single" w:color="auto" w:sz="6" w:space="0"/>
              <w:bottom w:val="single" w:color="auto" w:sz="6" w:space="0"/>
              <w:right w:val="single" w:color="auto" w:sz="6" w:space="0"/>
            </w:tcBorders>
            <w:vAlign w:val="center"/>
          </w:tcPr>
          <w:p w14:paraId="0DAE31F5">
            <w:pPr>
              <w:adjustRightInd w:val="0"/>
              <w:snapToGrid w:val="0"/>
              <w:jc w:val="center"/>
              <w:rPr>
                <w:rFonts w:ascii="宋体" w:hAnsi="宋体"/>
                <w:color w:val="auto"/>
                <w:szCs w:val="21"/>
              </w:rPr>
            </w:pPr>
            <w:r>
              <w:rPr>
                <w:rFonts w:hint="eastAsia" w:ascii="宋体" w:hAnsi="宋体"/>
                <w:color w:val="auto"/>
                <w:szCs w:val="21"/>
              </w:rPr>
              <w:t>磋商文件的可能实质性变动内容</w:t>
            </w:r>
          </w:p>
        </w:tc>
        <w:tc>
          <w:tcPr>
            <w:tcW w:w="5466" w:type="dxa"/>
            <w:tcBorders>
              <w:top w:val="single" w:color="auto" w:sz="6" w:space="0"/>
              <w:left w:val="single" w:color="auto" w:sz="6" w:space="0"/>
              <w:bottom w:val="single" w:color="auto" w:sz="6" w:space="0"/>
              <w:right w:val="double" w:color="auto" w:sz="4" w:space="0"/>
            </w:tcBorders>
            <w:vAlign w:val="center"/>
          </w:tcPr>
          <w:p w14:paraId="087CA1EF">
            <w:pPr>
              <w:rPr>
                <w:rFonts w:ascii="宋体" w:hAnsi="宋体"/>
                <w:color w:val="auto"/>
                <w:szCs w:val="21"/>
              </w:rPr>
            </w:pPr>
            <w:r>
              <w:rPr>
                <w:rFonts w:hint="eastAsia" w:ascii="宋体" w:hAnsi="宋体"/>
                <w:color w:val="auto"/>
                <w:szCs w:val="21"/>
              </w:rPr>
              <w:t>无</w:t>
            </w:r>
          </w:p>
        </w:tc>
      </w:tr>
      <w:tr w14:paraId="589B8D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9"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28586CA2">
            <w:pPr>
              <w:adjustRightInd w:val="0"/>
              <w:snapToGrid w:val="0"/>
              <w:jc w:val="center"/>
              <w:rPr>
                <w:rFonts w:ascii="宋体" w:hAnsi="宋体"/>
                <w:color w:val="auto"/>
                <w:szCs w:val="21"/>
              </w:rPr>
            </w:pPr>
            <w:r>
              <w:rPr>
                <w:rFonts w:hint="eastAsia" w:ascii="宋体" w:hAnsi="宋体"/>
                <w:color w:val="auto"/>
                <w:szCs w:val="21"/>
              </w:rPr>
              <w:t>第二章第10.3款</w:t>
            </w:r>
          </w:p>
        </w:tc>
        <w:tc>
          <w:tcPr>
            <w:tcW w:w="2130" w:type="dxa"/>
            <w:tcBorders>
              <w:top w:val="single" w:color="auto" w:sz="6" w:space="0"/>
              <w:left w:val="single" w:color="auto" w:sz="6" w:space="0"/>
              <w:bottom w:val="single" w:color="auto" w:sz="6" w:space="0"/>
              <w:right w:val="single" w:color="auto" w:sz="6" w:space="0"/>
            </w:tcBorders>
            <w:vAlign w:val="center"/>
          </w:tcPr>
          <w:p w14:paraId="3CE2DDC5">
            <w:pPr>
              <w:adjustRightInd w:val="0"/>
              <w:snapToGrid w:val="0"/>
              <w:jc w:val="center"/>
              <w:rPr>
                <w:rFonts w:ascii="宋体" w:hAnsi="宋体"/>
                <w:color w:val="auto"/>
                <w:szCs w:val="21"/>
              </w:rPr>
            </w:pPr>
            <w:r>
              <w:rPr>
                <w:rFonts w:hint="eastAsia" w:ascii="宋体" w:hAnsi="宋体"/>
                <w:color w:val="auto"/>
                <w:szCs w:val="21"/>
              </w:rPr>
              <w:t>最高允许偏离项数</w:t>
            </w:r>
          </w:p>
        </w:tc>
        <w:tc>
          <w:tcPr>
            <w:tcW w:w="5466" w:type="dxa"/>
            <w:tcBorders>
              <w:top w:val="single" w:color="auto" w:sz="6" w:space="0"/>
              <w:left w:val="single" w:color="auto" w:sz="6" w:space="0"/>
              <w:bottom w:val="single" w:color="auto" w:sz="6" w:space="0"/>
              <w:right w:val="double" w:color="auto" w:sz="4" w:space="0"/>
            </w:tcBorders>
          </w:tcPr>
          <w:p w14:paraId="316B6EFF">
            <w:pPr>
              <w:tabs>
                <w:tab w:val="left" w:pos="0"/>
              </w:tabs>
              <w:adjustRightInd w:val="0"/>
              <w:snapToGrid w:val="0"/>
              <w:rPr>
                <w:rFonts w:ascii="宋体" w:hAnsi="宋体"/>
                <w:b/>
                <w:color w:val="auto"/>
                <w:szCs w:val="21"/>
              </w:rPr>
            </w:pPr>
            <w:r>
              <w:rPr>
                <w:rFonts w:hint="eastAsia" w:ascii="宋体" w:hAnsi="宋体"/>
                <w:color w:val="auto"/>
                <w:szCs w:val="21"/>
              </w:rPr>
              <w:t>一般商务和技术条款（参数），偏离项数之和≥</w:t>
            </w:r>
            <w:r>
              <w:rPr>
                <w:rFonts w:hint="eastAsia" w:ascii="宋体" w:hAnsi="宋体"/>
                <w:color w:val="auto"/>
                <w:szCs w:val="21"/>
                <w:u w:val="single"/>
              </w:rPr>
              <w:t>10</w:t>
            </w:r>
            <w:r>
              <w:rPr>
                <w:rFonts w:hint="eastAsia" w:ascii="宋体" w:hAnsi="宋体"/>
                <w:color w:val="auto"/>
                <w:szCs w:val="21"/>
              </w:rPr>
              <w:t>项将导致无效响应。</w:t>
            </w:r>
          </w:p>
        </w:tc>
      </w:tr>
      <w:tr w14:paraId="48254B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9"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598066B7">
            <w:pPr>
              <w:adjustRightInd w:val="0"/>
              <w:snapToGrid w:val="0"/>
              <w:jc w:val="center"/>
              <w:rPr>
                <w:rFonts w:ascii="宋体" w:hAnsi="宋体"/>
                <w:color w:val="auto"/>
                <w:szCs w:val="21"/>
              </w:rPr>
            </w:pPr>
            <w:r>
              <w:rPr>
                <w:rFonts w:hint="eastAsia" w:ascii="宋体" w:hAnsi="宋体"/>
                <w:color w:val="auto"/>
                <w:szCs w:val="21"/>
              </w:rPr>
              <w:t>第二章第12.1款</w:t>
            </w:r>
          </w:p>
        </w:tc>
        <w:tc>
          <w:tcPr>
            <w:tcW w:w="2130" w:type="dxa"/>
            <w:tcBorders>
              <w:top w:val="single" w:color="auto" w:sz="6" w:space="0"/>
              <w:left w:val="single" w:color="auto" w:sz="6" w:space="0"/>
              <w:bottom w:val="single" w:color="auto" w:sz="6" w:space="0"/>
              <w:right w:val="single" w:color="auto" w:sz="4" w:space="0"/>
            </w:tcBorders>
            <w:vAlign w:val="center"/>
          </w:tcPr>
          <w:p w14:paraId="0DEDAD5F">
            <w:pPr>
              <w:adjustRightInd w:val="0"/>
              <w:snapToGrid w:val="0"/>
              <w:jc w:val="center"/>
              <w:rPr>
                <w:rFonts w:ascii="宋体" w:hAnsi="宋体"/>
                <w:color w:val="auto"/>
                <w:szCs w:val="21"/>
              </w:rPr>
            </w:pPr>
            <w:r>
              <w:rPr>
                <w:rFonts w:hint="eastAsia" w:ascii="宋体" w:hAnsi="宋体"/>
                <w:color w:val="auto"/>
                <w:szCs w:val="21"/>
              </w:rPr>
              <w:t>递交响应文件的截止时间</w:t>
            </w:r>
          </w:p>
        </w:tc>
        <w:tc>
          <w:tcPr>
            <w:tcW w:w="5466" w:type="dxa"/>
            <w:tcBorders>
              <w:top w:val="single" w:color="auto" w:sz="6" w:space="0"/>
              <w:left w:val="single" w:color="auto" w:sz="4" w:space="0"/>
              <w:bottom w:val="single" w:color="auto" w:sz="6" w:space="0"/>
              <w:right w:val="double" w:color="auto" w:sz="4" w:space="0"/>
            </w:tcBorders>
            <w:vAlign w:val="center"/>
          </w:tcPr>
          <w:p w14:paraId="372D1DE0">
            <w:pPr>
              <w:adjustRightInd w:val="0"/>
              <w:snapToGrid w:val="0"/>
              <w:jc w:val="left"/>
              <w:rPr>
                <w:rFonts w:ascii="宋体" w:hAnsi="宋体"/>
                <w:color w:val="auto"/>
                <w:szCs w:val="21"/>
              </w:rPr>
            </w:pPr>
            <w:r>
              <w:rPr>
                <w:rFonts w:hint="eastAsia" w:ascii="宋体" w:hAnsi="宋体" w:cs="仿宋_GB2312"/>
                <w:b/>
                <w:bCs/>
                <w:color w:val="auto"/>
                <w:kern w:val="0"/>
                <w:sz w:val="24"/>
                <w:lang w:eastAsia="zh-CN"/>
              </w:rPr>
              <w:t>2026年</w:t>
            </w:r>
            <w:r>
              <w:rPr>
                <w:rFonts w:hint="eastAsia" w:ascii="宋体" w:hAnsi="宋体" w:cs="仿宋_GB2312"/>
                <w:b/>
                <w:bCs/>
                <w:color w:val="auto"/>
                <w:kern w:val="0"/>
                <w:sz w:val="24"/>
                <w:lang w:val="en-US" w:eastAsia="zh-CN"/>
              </w:rPr>
              <w:t>9</w:t>
            </w:r>
            <w:r>
              <w:rPr>
                <w:rFonts w:hint="eastAsia" w:ascii="宋体" w:hAnsi="宋体" w:cs="仿宋_GB2312"/>
                <w:b/>
                <w:bCs/>
                <w:color w:val="auto"/>
                <w:kern w:val="0"/>
                <w:sz w:val="24"/>
                <w:lang w:eastAsia="zh-CN"/>
              </w:rPr>
              <w:t>月</w:t>
            </w:r>
            <w:r>
              <w:rPr>
                <w:rFonts w:hint="eastAsia" w:ascii="宋体" w:hAnsi="宋体" w:cs="仿宋_GB2312"/>
                <w:b/>
                <w:bCs/>
                <w:color w:val="auto"/>
                <w:kern w:val="0"/>
                <w:sz w:val="24"/>
                <w:lang w:val="en-US" w:eastAsia="zh-CN"/>
              </w:rPr>
              <w:t>28</w:t>
            </w:r>
            <w:r>
              <w:rPr>
                <w:rFonts w:hint="eastAsia" w:ascii="宋体" w:hAnsi="宋体" w:cs="仿宋_GB2312"/>
                <w:b/>
                <w:bCs/>
                <w:color w:val="auto"/>
                <w:kern w:val="0"/>
                <w:sz w:val="24"/>
                <w:lang w:eastAsia="zh-CN"/>
              </w:rPr>
              <w:t>日</w:t>
            </w:r>
            <w:r>
              <w:rPr>
                <w:rFonts w:hint="eastAsia" w:ascii="宋体" w:hAnsi="宋体" w:cs="仿宋_GB2312"/>
                <w:b/>
                <w:bCs/>
                <w:color w:val="auto"/>
                <w:kern w:val="0"/>
                <w:sz w:val="24"/>
                <w:lang w:val="en-US" w:eastAsia="zh-CN"/>
              </w:rPr>
              <w:t>09</w:t>
            </w:r>
            <w:r>
              <w:rPr>
                <w:rFonts w:hint="eastAsia" w:ascii="宋体" w:hAnsi="宋体" w:cs="仿宋_GB2312"/>
                <w:b/>
                <w:bCs/>
                <w:color w:val="auto"/>
                <w:kern w:val="0"/>
                <w:sz w:val="24"/>
                <w:lang w:eastAsia="zh-CN"/>
              </w:rPr>
              <w:t>时</w:t>
            </w:r>
            <w:r>
              <w:rPr>
                <w:rFonts w:hint="eastAsia" w:ascii="宋体" w:hAnsi="宋体" w:cs="仿宋_GB2312"/>
                <w:b/>
                <w:bCs/>
                <w:color w:val="auto"/>
                <w:kern w:val="0"/>
                <w:sz w:val="24"/>
                <w:lang w:val="en-US" w:eastAsia="zh-CN"/>
              </w:rPr>
              <w:t>30</w:t>
            </w:r>
            <w:r>
              <w:rPr>
                <w:rFonts w:hint="eastAsia" w:ascii="宋体" w:hAnsi="宋体" w:cs="仿宋_GB2312"/>
                <w:b/>
                <w:bCs/>
                <w:color w:val="auto"/>
                <w:kern w:val="0"/>
                <w:sz w:val="24"/>
                <w:lang w:eastAsia="zh-CN"/>
              </w:rPr>
              <w:t>分</w:t>
            </w:r>
            <w:r>
              <w:rPr>
                <w:rFonts w:hint="eastAsia" w:ascii="宋体" w:hAnsi="宋体"/>
                <w:b/>
                <w:bCs/>
                <w:color w:val="auto"/>
                <w:sz w:val="22"/>
                <w:szCs w:val="22"/>
              </w:rPr>
              <w:t>（北京时间)</w:t>
            </w:r>
          </w:p>
        </w:tc>
      </w:tr>
      <w:tr w14:paraId="2875B6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9348" w:type="dxa"/>
            <w:gridSpan w:val="3"/>
            <w:tcBorders>
              <w:top w:val="single" w:color="auto" w:sz="6" w:space="0"/>
              <w:left w:val="double" w:color="auto" w:sz="4" w:space="0"/>
              <w:bottom w:val="single" w:color="auto" w:sz="6" w:space="0"/>
              <w:right w:val="double" w:color="auto" w:sz="4" w:space="0"/>
            </w:tcBorders>
            <w:vAlign w:val="center"/>
          </w:tcPr>
          <w:p w14:paraId="72B5E4E4">
            <w:pPr>
              <w:adjustRightInd w:val="0"/>
              <w:snapToGrid w:val="0"/>
              <w:rPr>
                <w:rFonts w:ascii="宋体" w:hAnsi="宋体"/>
                <w:b/>
                <w:color w:val="auto"/>
                <w:szCs w:val="21"/>
              </w:rPr>
            </w:pPr>
            <w:r>
              <w:rPr>
                <w:rFonts w:hint="eastAsia" w:ascii="宋体" w:hAnsi="宋体"/>
                <w:b/>
                <w:color w:val="auto"/>
                <w:szCs w:val="21"/>
              </w:rPr>
              <w:t>三、评标办法</w:t>
            </w:r>
          </w:p>
        </w:tc>
      </w:tr>
      <w:tr w14:paraId="7C6A18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05" w:hRule="atLeast"/>
          <w:jc w:val="center"/>
        </w:trPr>
        <w:tc>
          <w:tcPr>
            <w:tcW w:w="1752" w:type="dxa"/>
            <w:tcBorders>
              <w:top w:val="single" w:color="auto" w:sz="6" w:space="0"/>
              <w:left w:val="double" w:color="auto" w:sz="4" w:space="0"/>
              <w:bottom w:val="single" w:color="auto" w:sz="6" w:space="0"/>
              <w:right w:val="single" w:color="auto" w:sz="4" w:space="0"/>
            </w:tcBorders>
            <w:vAlign w:val="center"/>
          </w:tcPr>
          <w:p w14:paraId="243FE6D1">
            <w:pPr>
              <w:adjustRightInd w:val="0"/>
              <w:snapToGrid w:val="0"/>
              <w:rPr>
                <w:rFonts w:ascii="宋体" w:hAnsi="宋体"/>
                <w:b/>
                <w:color w:val="auto"/>
                <w:szCs w:val="21"/>
              </w:rPr>
            </w:pPr>
            <w:r>
              <w:rPr>
                <w:rFonts w:hint="eastAsia" w:ascii="宋体" w:hAnsi="宋体"/>
                <w:bCs/>
                <w:color w:val="auto"/>
                <w:szCs w:val="21"/>
              </w:rPr>
              <w:t>第二章第30.1款</w:t>
            </w:r>
          </w:p>
        </w:tc>
        <w:tc>
          <w:tcPr>
            <w:tcW w:w="2130" w:type="dxa"/>
            <w:tcBorders>
              <w:top w:val="single" w:color="auto" w:sz="6" w:space="0"/>
              <w:left w:val="single" w:color="auto" w:sz="4" w:space="0"/>
              <w:bottom w:val="single" w:color="auto" w:sz="6" w:space="0"/>
              <w:right w:val="single" w:color="auto" w:sz="4" w:space="0"/>
            </w:tcBorders>
            <w:vAlign w:val="center"/>
          </w:tcPr>
          <w:p w14:paraId="12E85270">
            <w:pPr>
              <w:adjustRightInd w:val="0"/>
              <w:snapToGrid w:val="0"/>
              <w:jc w:val="center"/>
              <w:rPr>
                <w:rFonts w:ascii="宋体" w:hAnsi="宋体"/>
                <w:b/>
                <w:color w:val="auto"/>
                <w:szCs w:val="21"/>
              </w:rPr>
            </w:pPr>
            <w:r>
              <w:rPr>
                <w:rFonts w:hint="eastAsia" w:ascii="宋体" w:hAnsi="宋体"/>
                <w:bCs/>
                <w:color w:val="auto"/>
                <w:szCs w:val="21"/>
              </w:rPr>
              <w:t>综合评分法</w:t>
            </w:r>
          </w:p>
        </w:tc>
        <w:tc>
          <w:tcPr>
            <w:tcW w:w="5466" w:type="dxa"/>
            <w:tcBorders>
              <w:top w:val="single" w:color="auto" w:sz="6" w:space="0"/>
              <w:left w:val="single" w:color="auto" w:sz="4" w:space="0"/>
              <w:bottom w:val="single" w:color="auto" w:sz="4" w:space="0"/>
              <w:right w:val="double" w:color="auto" w:sz="4" w:space="0"/>
            </w:tcBorders>
            <w:vAlign w:val="center"/>
          </w:tcPr>
          <w:p w14:paraId="04481D08">
            <w:pPr>
              <w:adjustRightInd w:val="0"/>
              <w:snapToGrid w:val="0"/>
              <w:jc w:val="left"/>
              <w:rPr>
                <w:rFonts w:ascii="宋体" w:hAnsi="宋体"/>
                <w:color w:val="auto"/>
                <w:szCs w:val="21"/>
              </w:rPr>
            </w:pPr>
            <w:r>
              <w:rPr>
                <w:rFonts w:hint="eastAsia" w:ascii="宋体" w:hAnsi="宋体"/>
                <w:color w:val="auto"/>
                <w:szCs w:val="21"/>
              </w:rPr>
              <w:t>响应文件满足磋商文件全部实质性要求且按磋商因素的量化指标评审得分由高到低的前3名供应商为成交候选人的评审方法。本项目确定排名第一的成交候选人为中标人。</w:t>
            </w:r>
          </w:p>
        </w:tc>
      </w:tr>
      <w:tr w14:paraId="656650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9348" w:type="dxa"/>
            <w:gridSpan w:val="3"/>
            <w:tcBorders>
              <w:top w:val="single" w:color="auto" w:sz="6" w:space="0"/>
              <w:left w:val="double" w:color="auto" w:sz="4" w:space="0"/>
              <w:bottom w:val="single" w:color="auto" w:sz="6" w:space="0"/>
              <w:right w:val="double" w:color="auto" w:sz="4" w:space="0"/>
            </w:tcBorders>
            <w:vAlign w:val="center"/>
          </w:tcPr>
          <w:p w14:paraId="64D71442">
            <w:pPr>
              <w:adjustRightInd w:val="0"/>
              <w:snapToGrid w:val="0"/>
              <w:rPr>
                <w:rFonts w:ascii="宋体" w:hAnsi="宋体"/>
                <w:color w:val="auto"/>
                <w:szCs w:val="21"/>
              </w:rPr>
            </w:pPr>
            <w:r>
              <w:rPr>
                <w:rFonts w:hint="eastAsia" w:ascii="宋体" w:hAnsi="宋体"/>
                <w:b/>
                <w:color w:val="auto"/>
                <w:szCs w:val="21"/>
              </w:rPr>
              <w:t>四、响应文件的编写</w:t>
            </w:r>
          </w:p>
        </w:tc>
      </w:tr>
      <w:tr w14:paraId="341A59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5F441553">
            <w:pPr>
              <w:adjustRightInd w:val="0"/>
              <w:snapToGrid w:val="0"/>
              <w:jc w:val="center"/>
              <w:rPr>
                <w:rFonts w:ascii="宋体" w:hAnsi="宋体"/>
                <w:color w:val="auto"/>
                <w:szCs w:val="21"/>
              </w:rPr>
            </w:pPr>
            <w:r>
              <w:rPr>
                <w:rFonts w:hint="eastAsia" w:ascii="宋体" w:hAnsi="宋体"/>
                <w:color w:val="auto"/>
                <w:szCs w:val="21"/>
              </w:rPr>
              <w:t>第二章第16.4款</w:t>
            </w:r>
          </w:p>
        </w:tc>
        <w:tc>
          <w:tcPr>
            <w:tcW w:w="2130" w:type="dxa"/>
            <w:tcBorders>
              <w:top w:val="single" w:color="auto" w:sz="6" w:space="0"/>
              <w:left w:val="single" w:color="auto" w:sz="6" w:space="0"/>
              <w:bottom w:val="single" w:color="auto" w:sz="6" w:space="0"/>
              <w:right w:val="single" w:color="auto" w:sz="6" w:space="0"/>
            </w:tcBorders>
            <w:vAlign w:val="center"/>
          </w:tcPr>
          <w:p w14:paraId="1D5153A7">
            <w:pPr>
              <w:adjustRightInd w:val="0"/>
              <w:snapToGrid w:val="0"/>
              <w:jc w:val="center"/>
              <w:rPr>
                <w:rFonts w:ascii="宋体" w:hAnsi="宋体"/>
                <w:color w:val="auto"/>
                <w:szCs w:val="21"/>
              </w:rPr>
            </w:pPr>
            <w:r>
              <w:rPr>
                <w:rFonts w:hint="eastAsia" w:ascii="宋体" w:hAnsi="宋体"/>
                <w:color w:val="auto"/>
                <w:szCs w:val="21"/>
              </w:rPr>
              <w:t>采购项目预算</w:t>
            </w:r>
          </w:p>
        </w:tc>
        <w:tc>
          <w:tcPr>
            <w:tcW w:w="5466" w:type="dxa"/>
            <w:tcBorders>
              <w:top w:val="single" w:color="auto" w:sz="6" w:space="0"/>
              <w:left w:val="single" w:color="auto" w:sz="6" w:space="0"/>
              <w:bottom w:val="single" w:color="auto" w:sz="6" w:space="0"/>
              <w:right w:val="double" w:color="auto" w:sz="4" w:space="0"/>
            </w:tcBorders>
            <w:vAlign w:val="center"/>
          </w:tcPr>
          <w:p w14:paraId="56D9A46F">
            <w:pPr>
              <w:adjustRightInd w:val="0"/>
              <w:snapToGrid w:val="0"/>
              <w:rPr>
                <w:rFonts w:hint="eastAsia" w:ascii="宋体" w:hAnsi="宋体" w:eastAsiaTheme="minorEastAsia"/>
                <w:color w:val="auto"/>
                <w:szCs w:val="21"/>
                <w:lang w:eastAsia="zh-CN"/>
              </w:rPr>
            </w:pPr>
            <w:r>
              <w:rPr>
                <w:rFonts w:hint="eastAsia" w:ascii="宋体" w:hAnsi="宋体" w:eastAsiaTheme="minorEastAsia"/>
                <w:color w:val="auto"/>
                <w:szCs w:val="21"/>
                <w:lang w:val="en-US" w:eastAsia="zh-CN"/>
              </w:rPr>
              <w:t>第1包：</w:t>
            </w:r>
            <w:r>
              <w:rPr>
                <w:rFonts w:hint="eastAsia" w:ascii="宋体" w:hAnsi="宋体" w:eastAsiaTheme="minorEastAsia"/>
                <w:color w:val="auto"/>
                <w:szCs w:val="21"/>
                <w:lang w:eastAsia="zh-CN"/>
              </w:rPr>
              <w:t>270148元</w:t>
            </w:r>
          </w:p>
          <w:p w14:paraId="1A11F3EC">
            <w:pPr>
              <w:adjustRightInd w:val="0"/>
              <w:snapToGrid w:val="0"/>
              <w:rPr>
                <w:rFonts w:hint="eastAsia" w:ascii="宋体" w:hAnsi="宋体" w:eastAsiaTheme="minorEastAsia"/>
                <w:color w:val="auto"/>
                <w:szCs w:val="21"/>
                <w:lang w:eastAsia="zh-CN"/>
              </w:rPr>
            </w:pPr>
            <w:r>
              <w:rPr>
                <w:rFonts w:hint="eastAsia" w:ascii="宋体" w:hAnsi="宋体" w:eastAsiaTheme="minorEastAsia"/>
                <w:color w:val="auto"/>
                <w:szCs w:val="21"/>
                <w:lang w:val="en-US" w:eastAsia="zh-CN"/>
              </w:rPr>
              <w:t>第2包：</w:t>
            </w:r>
            <w:r>
              <w:rPr>
                <w:rFonts w:hint="eastAsia" w:ascii="宋体" w:hAnsi="宋体" w:eastAsiaTheme="minorEastAsia"/>
                <w:color w:val="auto"/>
                <w:szCs w:val="21"/>
                <w:lang w:eastAsia="zh-CN"/>
              </w:rPr>
              <w:t>402701.8元</w:t>
            </w:r>
          </w:p>
          <w:p w14:paraId="1477622C">
            <w:pPr>
              <w:adjustRightInd w:val="0"/>
              <w:snapToGrid w:val="0"/>
              <w:rPr>
                <w:rFonts w:hint="eastAsia" w:ascii="宋体" w:hAnsi="宋体" w:eastAsiaTheme="minorEastAsia"/>
                <w:color w:val="auto"/>
                <w:szCs w:val="21"/>
                <w:lang w:eastAsia="zh-CN"/>
              </w:rPr>
            </w:pPr>
            <w:r>
              <w:rPr>
                <w:rFonts w:hint="eastAsia" w:ascii="宋体" w:hAnsi="宋体" w:eastAsiaTheme="minorEastAsia"/>
                <w:color w:val="auto"/>
                <w:szCs w:val="21"/>
                <w:lang w:val="en-US" w:eastAsia="zh-CN"/>
              </w:rPr>
              <w:t>第3包：</w:t>
            </w:r>
            <w:r>
              <w:rPr>
                <w:rFonts w:hint="eastAsia" w:ascii="宋体" w:hAnsi="宋体" w:eastAsiaTheme="minorEastAsia"/>
                <w:color w:val="auto"/>
                <w:szCs w:val="21"/>
                <w:lang w:eastAsia="zh-CN"/>
              </w:rPr>
              <w:t>412997元</w:t>
            </w:r>
          </w:p>
        </w:tc>
      </w:tr>
      <w:tr w14:paraId="4186B4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61D11EDE">
            <w:pPr>
              <w:adjustRightInd w:val="0"/>
              <w:snapToGrid w:val="0"/>
              <w:jc w:val="center"/>
              <w:rPr>
                <w:rFonts w:ascii="宋体" w:hAnsi="宋体"/>
                <w:color w:val="auto"/>
                <w:szCs w:val="21"/>
              </w:rPr>
            </w:pPr>
            <w:r>
              <w:rPr>
                <w:rFonts w:hint="eastAsia" w:ascii="宋体" w:hAnsi="宋体"/>
                <w:color w:val="auto"/>
                <w:szCs w:val="21"/>
              </w:rPr>
              <w:t>第二章第18.1款</w:t>
            </w:r>
          </w:p>
        </w:tc>
        <w:tc>
          <w:tcPr>
            <w:tcW w:w="2130" w:type="dxa"/>
            <w:tcBorders>
              <w:top w:val="single" w:color="auto" w:sz="6" w:space="0"/>
              <w:left w:val="single" w:color="auto" w:sz="6" w:space="0"/>
              <w:bottom w:val="single" w:color="auto" w:sz="6" w:space="0"/>
              <w:right w:val="single" w:color="auto" w:sz="6" w:space="0"/>
            </w:tcBorders>
            <w:vAlign w:val="center"/>
          </w:tcPr>
          <w:p w14:paraId="07F4E96E">
            <w:pPr>
              <w:adjustRightInd w:val="0"/>
              <w:snapToGrid w:val="0"/>
              <w:ind w:left="-533" w:leftChars="-254" w:firstLine="533" w:firstLineChars="254"/>
              <w:jc w:val="center"/>
              <w:rPr>
                <w:rFonts w:ascii="宋体" w:hAnsi="宋体"/>
                <w:color w:val="auto"/>
                <w:szCs w:val="21"/>
              </w:rPr>
            </w:pPr>
            <w:r>
              <w:rPr>
                <w:rFonts w:hint="eastAsia" w:ascii="宋体" w:hAnsi="宋体"/>
                <w:color w:val="auto"/>
                <w:szCs w:val="21"/>
              </w:rPr>
              <w:t>保证金</w:t>
            </w:r>
          </w:p>
        </w:tc>
        <w:tc>
          <w:tcPr>
            <w:tcW w:w="5466" w:type="dxa"/>
            <w:tcBorders>
              <w:top w:val="single" w:color="auto" w:sz="6" w:space="0"/>
              <w:left w:val="single" w:color="auto" w:sz="6" w:space="0"/>
              <w:bottom w:val="single" w:color="auto" w:sz="6" w:space="0"/>
              <w:right w:val="double" w:color="auto" w:sz="4" w:space="0"/>
            </w:tcBorders>
            <w:vAlign w:val="center"/>
          </w:tcPr>
          <w:p w14:paraId="1EB4FC7E">
            <w:pPr>
              <w:widowControl/>
              <w:adjustRightInd w:val="0"/>
              <w:snapToGrid w:val="0"/>
              <w:jc w:val="left"/>
              <w:rPr>
                <w:rFonts w:ascii="宋体" w:hAnsi="宋体"/>
                <w:bCs/>
                <w:snapToGrid w:val="0"/>
                <w:color w:val="auto"/>
                <w:kern w:val="0"/>
              </w:rPr>
            </w:pPr>
            <w:r>
              <w:rPr>
                <w:rFonts w:hint="eastAsia" w:asciiTheme="minorEastAsia" w:hAnsiTheme="minorEastAsia" w:eastAsiaTheme="minorEastAsia" w:cstheme="minorEastAsia"/>
                <w:color w:val="auto"/>
                <w:szCs w:val="21"/>
              </w:rPr>
              <w:t>■ 不要求提供</w:t>
            </w:r>
          </w:p>
        </w:tc>
      </w:tr>
      <w:tr w14:paraId="0C86A0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3"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4BE40708">
            <w:pPr>
              <w:adjustRightInd w:val="0"/>
              <w:snapToGrid w:val="0"/>
              <w:jc w:val="center"/>
              <w:rPr>
                <w:rFonts w:ascii="宋体" w:hAnsi="宋体"/>
                <w:color w:val="auto"/>
                <w:szCs w:val="21"/>
              </w:rPr>
            </w:pPr>
            <w:r>
              <w:rPr>
                <w:rFonts w:hint="eastAsia" w:ascii="宋体" w:hAnsi="宋体"/>
                <w:color w:val="auto"/>
                <w:szCs w:val="21"/>
              </w:rPr>
              <w:t>第二章第19.1款</w:t>
            </w:r>
          </w:p>
        </w:tc>
        <w:tc>
          <w:tcPr>
            <w:tcW w:w="2130" w:type="dxa"/>
            <w:tcBorders>
              <w:top w:val="single" w:color="auto" w:sz="6" w:space="0"/>
              <w:left w:val="single" w:color="auto" w:sz="6" w:space="0"/>
              <w:bottom w:val="single" w:color="auto" w:sz="6" w:space="0"/>
              <w:right w:val="single" w:color="auto" w:sz="6" w:space="0"/>
            </w:tcBorders>
            <w:vAlign w:val="center"/>
          </w:tcPr>
          <w:p w14:paraId="7EF369D6">
            <w:pPr>
              <w:adjustRightInd w:val="0"/>
              <w:snapToGrid w:val="0"/>
              <w:jc w:val="center"/>
              <w:rPr>
                <w:rFonts w:ascii="宋体" w:hAnsi="宋体"/>
                <w:bCs/>
                <w:color w:val="auto"/>
                <w:szCs w:val="21"/>
              </w:rPr>
            </w:pPr>
            <w:r>
              <w:rPr>
                <w:rFonts w:hint="eastAsia" w:ascii="宋体" w:hAnsi="宋体"/>
                <w:bCs/>
                <w:color w:val="auto"/>
                <w:szCs w:val="21"/>
              </w:rPr>
              <w:t>响应文件有效期</w:t>
            </w:r>
          </w:p>
        </w:tc>
        <w:tc>
          <w:tcPr>
            <w:tcW w:w="5466" w:type="dxa"/>
            <w:tcBorders>
              <w:top w:val="single" w:color="auto" w:sz="6" w:space="0"/>
              <w:left w:val="single" w:color="auto" w:sz="6" w:space="0"/>
              <w:bottom w:val="single" w:color="auto" w:sz="6" w:space="0"/>
              <w:right w:val="double" w:color="auto" w:sz="4" w:space="0"/>
            </w:tcBorders>
            <w:vAlign w:val="center"/>
          </w:tcPr>
          <w:p w14:paraId="1D5C7D40">
            <w:pPr>
              <w:adjustRightInd w:val="0"/>
              <w:snapToGrid w:val="0"/>
              <w:rPr>
                <w:rFonts w:ascii="宋体" w:hAnsi="宋体"/>
                <w:bCs/>
                <w:color w:val="auto"/>
                <w:szCs w:val="21"/>
              </w:rPr>
            </w:pPr>
            <w:r>
              <w:rPr>
                <w:rFonts w:hint="eastAsia" w:ascii="宋体" w:hAnsi="宋体"/>
                <w:color w:val="auto"/>
                <w:szCs w:val="21"/>
                <w:u w:val="single"/>
              </w:rPr>
              <w:t xml:space="preserve">  60  </w:t>
            </w:r>
            <w:r>
              <w:rPr>
                <w:rFonts w:hint="eastAsia" w:ascii="宋体" w:hAnsi="宋体"/>
                <w:color w:val="auto"/>
                <w:szCs w:val="21"/>
              </w:rPr>
              <w:t>日（日历日）</w:t>
            </w:r>
          </w:p>
        </w:tc>
      </w:tr>
      <w:tr w14:paraId="4DB7F0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4"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271C3AAC">
            <w:pPr>
              <w:adjustRightInd w:val="0"/>
              <w:snapToGrid w:val="0"/>
              <w:jc w:val="center"/>
              <w:rPr>
                <w:rFonts w:ascii="宋体" w:hAnsi="宋体"/>
                <w:color w:val="auto"/>
                <w:szCs w:val="21"/>
              </w:rPr>
            </w:pPr>
            <w:r>
              <w:rPr>
                <w:rFonts w:hint="eastAsia" w:ascii="宋体" w:hAnsi="宋体"/>
                <w:color w:val="auto"/>
                <w:szCs w:val="21"/>
              </w:rPr>
              <w:t>第二章第20.1款</w:t>
            </w:r>
          </w:p>
        </w:tc>
        <w:tc>
          <w:tcPr>
            <w:tcW w:w="2130" w:type="dxa"/>
            <w:tcBorders>
              <w:top w:val="single" w:color="auto" w:sz="6" w:space="0"/>
              <w:left w:val="single" w:color="auto" w:sz="6" w:space="0"/>
              <w:bottom w:val="single" w:color="auto" w:sz="6" w:space="0"/>
              <w:right w:val="single" w:color="auto" w:sz="6" w:space="0"/>
            </w:tcBorders>
            <w:vAlign w:val="center"/>
          </w:tcPr>
          <w:p w14:paraId="6597C4B5">
            <w:pPr>
              <w:adjustRightInd w:val="0"/>
              <w:snapToGrid w:val="0"/>
              <w:jc w:val="center"/>
              <w:rPr>
                <w:rFonts w:ascii="宋体" w:hAnsi="宋体"/>
                <w:color w:val="auto"/>
                <w:szCs w:val="21"/>
              </w:rPr>
            </w:pPr>
            <w:r>
              <w:rPr>
                <w:rFonts w:hint="eastAsia" w:ascii="宋体" w:hAnsi="宋体"/>
                <w:bCs/>
                <w:color w:val="auto"/>
                <w:szCs w:val="21"/>
              </w:rPr>
              <w:t>响应</w:t>
            </w:r>
            <w:r>
              <w:rPr>
                <w:rFonts w:hint="eastAsia" w:ascii="宋体" w:hAnsi="宋体"/>
                <w:color w:val="auto"/>
                <w:szCs w:val="21"/>
              </w:rPr>
              <w:t>文件份数</w:t>
            </w:r>
          </w:p>
        </w:tc>
        <w:tc>
          <w:tcPr>
            <w:tcW w:w="5466" w:type="dxa"/>
            <w:tcBorders>
              <w:top w:val="single" w:color="auto" w:sz="6" w:space="0"/>
              <w:left w:val="single" w:color="auto" w:sz="6" w:space="0"/>
              <w:bottom w:val="single" w:color="auto" w:sz="6" w:space="0"/>
              <w:right w:val="double" w:color="auto" w:sz="4" w:space="0"/>
            </w:tcBorders>
            <w:vAlign w:val="center"/>
          </w:tcPr>
          <w:p w14:paraId="3E9679C2">
            <w:pPr>
              <w:adjustRightInd w:val="0"/>
              <w:snapToGrid w:val="0"/>
              <w:rPr>
                <w:rFonts w:ascii="宋体" w:hAnsi="宋体"/>
                <w:color w:val="auto"/>
                <w:szCs w:val="21"/>
              </w:rPr>
            </w:pPr>
            <w:r>
              <w:rPr>
                <w:rFonts w:hint="eastAsia" w:ascii="宋体" w:hAnsi="宋体"/>
                <w:color w:val="auto"/>
                <w:szCs w:val="21"/>
              </w:rPr>
              <w:t>正本一份；副本贰份；电子文件一份（PDF格式U盘存储，与正本一致）。</w:t>
            </w:r>
          </w:p>
        </w:tc>
      </w:tr>
      <w:tr w14:paraId="7A75FE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9348" w:type="dxa"/>
            <w:gridSpan w:val="3"/>
            <w:tcBorders>
              <w:top w:val="single" w:color="auto" w:sz="6" w:space="0"/>
              <w:left w:val="double" w:color="auto" w:sz="4" w:space="0"/>
              <w:bottom w:val="single" w:color="auto" w:sz="6" w:space="0"/>
              <w:right w:val="double" w:color="auto" w:sz="4" w:space="0"/>
            </w:tcBorders>
            <w:vAlign w:val="center"/>
          </w:tcPr>
          <w:p w14:paraId="4CCF831D">
            <w:pPr>
              <w:adjustRightInd w:val="0"/>
              <w:snapToGrid w:val="0"/>
              <w:rPr>
                <w:rFonts w:ascii="宋体" w:hAnsi="宋体"/>
                <w:b/>
                <w:bCs/>
                <w:color w:val="auto"/>
                <w:szCs w:val="21"/>
              </w:rPr>
            </w:pPr>
            <w:r>
              <w:rPr>
                <w:rFonts w:hint="eastAsia" w:ascii="宋体" w:hAnsi="宋体"/>
                <w:b/>
                <w:color w:val="auto"/>
                <w:szCs w:val="21"/>
              </w:rPr>
              <w:t>五、响应文件的递交</w:t>
            </w:r>
          </w:p>
        </w:tc>
      </w:tr>
      <w:tr w14:paraId="203088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94"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017307CA">
            <w:pPr>
              <w:adjustRightInd w:val="0"/>
              <w:snapToGrid w:val="0"/>
              <w:jc w:val="center"/>
              <w:rPr>
                <w:rFonts w:ascii="宋体" w:hAnsi="宋体"/>
                <w:color w:val="auto"/>
                <w:szCs w:val="21"/>
              </w:rPr>
            </w:pPr>
            <w:r>
              <w:rPr>
                <w:rFonts w:hint="eastAsia" w:ascii="宋体" w:hAnsi="宋体"/>
                <w:color w:val="auto"/>
                <w:szCs w:val="21"/>
              </w:rPr>
              <w:t>第二章第21.3款</w:t>
            </w:r>
          </w:p>
        </w:tc>
        <w:tc>
          <w:tcPr>
            <w:tcW w:w="2130" w:type="dxa"/>
            <w:tcBorders>
              <w:top w:val="single" w:color="auto" w:sz="6" w:space="0"/>
              <w:left w:val="single" w:color="auto" w:sz="6" w:space="0"/>
              <w:bottom w:val="single" w:color="auto" w:sz="6" w:space="0"/>
              <w:right w:val="single" w:color="auto" w:sz="6" w:space="0"/>
            </w:tcBorders>
            <w:vAlign w:val="center"/>
          </w:tcPr>
          <w:p w14:paraId="708692F3">
            <w:pPr>
              <w:adjustRightInd w:val="0"/>
              <w:snapToGrid w:val="0"/>
              <w:rPr>
                <w:rFonts w:ascii="宋体" w:hAnsi="宋体"/>
                <w:color w:val="auto"/>
                <w:szCs w:val="21"/>
              </w:rPr>
            </w:pPr>
            <w:r>
              <w:rPr>
                <w:rFonts w:hint="eastAsia" w:ascii="宋体" w:hAnsi="宋体"/>
                <w:color w:val="auto"/>
                <w:szCs w:val="21"/>
              </w:rPr>
              <w:t>封套上应载明的信息</w:t>
            </w:r>
          </w:p>
        </w:tc>
        <w:tc>
          <w:tcPr>
            <w:tcW w:w="5466" w:type="dxa"/>
            <w:tcBorders>
              <w:top w:val="single" w:color="auto" w:sz="6" w:space="0"/>
              <w:left w:val="single" w:color="auto" w:sz="6" w:space="0"/>
              <w:bottom w:val="single" w:color="auto" w:sz="6" w:space="0"/>
              <w:right w:val="double" w:color="auto" w:sz="4" w:space="0"/>
            </w:tcBorders>
            <w:vAlign w:val="center"/>
          </w:tcPr>
          <w:p w14:paraId="15021FC0">
            <w:pPr>
              <w:adjustRightInd w:val="0"/>
              <w:snapToGrid w:val="0"/>
              <w:rPr>
                <w:rFonts w:ascii="宋体" w:hAnsi="宋体" w:cs="黑体"/>
                <w:color w:val="auto"/>
                <w:szCs w:val="21"/>
              </w:rPr>
            </w:pPr>
            <w:r>
              <w:rPr>
                <w:rFonts w:hint="eastAsia" w:ascii="宋体" w:hAnsi="宋体"/>
                <w:color w:val="auto"/>
                <w:szCs w:val="21"/>
                <w:u w:val="single"/>
                <w:lang w:eastAsia="zh-CN"/>
              </w:rPr>
              <w:t>湖南文理学院儿童发展与游戏、儿童心理与行为分析、儿童科学教育三间实训室建设项目</w:t>
            </w:r>
            <w:r>
              <w:rPr>
                <w:rFonts w:hint="eastAsia" w:ascii="宋体" w:hAnsi="宋体"/>
                <w:color w:val="auto"/>
                <w:szCs w:val="21"/>
              </w:rPr>
              <w:t>响应文件</w:t>
            </w:r>
          </w:p>
          <w:p w14:paraId="38CD3FEA">
            <w:pPr>
              <w:adjustRightInd w:val="0"/>
              <w:snapToGrid w:val="0"/>
              <w:rPr>
                <w:rFonts w:ascii="宋体" w:hAnsi="宋体"/>
                <w:color w:val="auto"/>
                <w:szCs w:val="21"/>
                <w:u w:val="single"/>
              </w:rPr>
            </w:pPr>
            <w:r>
              <w:rPr>
                <w:rFonts w:hint="eastAsia" w:ascii="宋体" w:hAnsi="宋体"/>
                <w:color w:val="auto"/>
                <w:szCs w:val="21"/>
                <w:lang w:eastAsia="zh-CN"/>
              </w:rPr>
              <w:t>政府采购编号</w:t>
            </w:r>
            <w:r>
              <w:rPr>
                <w:rFonts w:hint="eastAsia" w:ascii="宋体" w:hAnsi="宋体"/>
                <w:color w:val="auto"/>
                <w:szCs w:val="21"/>
              </w:rPr>
              <w:t xml:space="preserve">: </w:t>
            </w:r>
            <w:r>
              <w:rPr>
                <w:rFonts w:hint="eastAsia" w:ascii="宋体" w:hAnsi="宋体"/>
                <w:color w:val="auto"/>
                <w:szCs w:val="21"/>
                <w:u w:val="single"/>
              </w:rPr>
              <w:t xml:space="preserve">                     </w:t>
            </w:r>
          </w:p>
          <w:p w14:paraId="75EB7A88">
            <w:pPr>
              <w:adjustRightInd w:val="0"/>
              <w:snapToGrid w:val="0"/>
              <w:rPr>
                <w:rFonts w:hint="eastAsia" w:ascii="宋体" w:hAnsi="宋体"/>
                <w:color w:val="auto"/>
                <w:szCs w:val="21"/>
                <w:u w:val="single"/>
              </w:rPr>
            </w:pPr>
            <w:r>
              <w:rPr>
                <w:rFonts w:hint="eastAsia" w:ascii="宋体" w:hAnsi="宋体"/>
                <w:color w:val="auto"/>
                <w:szCs w:val="21"/>
              </w:rPr>
              <w:t xml:space="preserve">委托代理编号: </w:t>
            </w:r>
            <w:r>
              <w:rPr>
                <w:rFonts w:hint="eastAsia" w:ascii="宋体" w:hAnsi="宋体"/>
                <w:color w:val="auto"/>
                <w:szCs w:val="21"/>
                <w:u w:val="single"/>
              </w:rPr>
              <w:t xml:space="preserve">                     </w:t>
            </w:r>
          </w:p>
          <w:p w14:paraId="7377A712">
            <w:pPr>
              <w:adjustRightInd w:val="0"/>
              <w:snapToGrid w:val="0"/>
              <w:rPr>
                <w:rFonts w:hint="eastAsia" w:ascii="宋体" w:hAnsi="宋体"/>
                <w:color w:val="auto"/>
                <w:szCs w:val="21"/>
                <w:u w:val="single"/>
              </w:rPr>
            </w:pPr>
            <w:r>
              <w:rPr>
                <w:rFonts w:hint="eastAsia" w:ascii="宋体" w:hAnsi="宋体"/>
                <w:color w:val="auto"/>
                <w:szCs w:val="21"/>
                <w:lang w:val="en-US" w:eastAsia="zh-CN"/>
              </w:rPr>
              <w:t xml:space="preserve">包        </w:t>
            </w:r>
            <w:r>
              <w:rPr>
                <w:rFonts w:hint="eastAsia" w:ascii="宋体" w:hAnsi="宋体"/>
                <w:color w:val="auto"/>
                <w:szCs w:val="21"/>
              </w:rPr>
              <w:t xml:space="preserve">号: </w:t>
            </w:r>
            <w:r>
              <w:rPr>
                <w:rFonts w:hint="eastAsia" w:ascii="宋体" w:hAnsi="宋体"/>
                <w:color w:val="auto"/>
                <w:szCs w:val="21"/>
                <w:u w:val="single"/>
              </w:rPr>
              <w:t xml:space="preserve">                     </w:t>
            </w:r>
          </w:p>
          <w:p w14:paraId="6C84A98B">
            <w:pPr>
              <w:adjustRightInd w:val="0"/>
              <w:snapToGrid w:val="0"/>
              <w:rPr>
                <w:rFonts w:ascii="宋体" w:hAnsi="宋体"/>
                <w:color w:val="auto"/>
                <w:szCs w:val="21"/>
              </w:rPr>
            </w:pPr>
            <w:r>
              <w:rPr>
                <w:rFonts w:hint="eastAsia" w:ascii="宋体" w:hAnsi="宋体"/>
                <w:color w:val="auto"/>
                <w:szCs w:val="21"/>
              </w:rPr>
              <w:t>在   年   月  日    时   分之前不得启封</w:t>
            </w:r>
          </w:p>
          <w:p w14:paraId="2FF3CD8E">
            <w:pPr>
              <w:adjustRightInd w:val="0"/>
              <w:snapToGrid w:val="0"/>
              <w:rPr>
                <w:rFonts w:ascii="宋体" w:hAnsi="宋体"/>
                <w:color w:val="auto"/>
                <w:szCs w:val="21"/>
              </w:rPr>
            </w:pPr>
            <w:r>
              <w:rPr>
                <w:rFonts w:hint="eastAsia" w:ascii="宋体" w:hAnsi="宋体"/>
                <w:color w:val="auto"/>
                <w:szCs w:val="21"/>
              </w:rPr>
              <w:t>供应商名称：</w:t>
            </w:r>
            <w:r>
              <w:rPr>
                <w:rFonts w:hint="eastAsia" w:ascii="宋体" w:hAnsi="宋体"/>
                <w:color w:val="auto"/>
                <w:szCs w:val="21"/>
                <w:u w:val="single"/>
              </w:rPr>
              <w:t xml:space="preserve">             </w:t>
            </w:r>
          </w:p>
        </w:tc>
      </w:tr>
      <w:tr w14:paraId="685384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4"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7571C898">
            <w:pPr>
              <w:adjustRightInd w:val="0"/>
              <w:snapToGrid w:val="0"/>
              <w:jc w:val="center"/>
              <w:rPr>
                <w:rFonts w:ascii="宋体" w:hAnsi="宋体"/>
                <w:color w:val="auto"/>
                <w:szCs w:val="21"/>
              </w:rPr>
            </w:pPr>
            <w:r>
              <w:rPr>
                <w:rFonts w:hint="eastAsia" w:ascii="宋体" w:hAnsi="宋体"/>
                <w:color w:val="auto"/>
                <w:szCs w:val="21"/>
              </w:rPr>
              <w:t>第二章第23.1款</w:t>
            </w:r>
          </w:p>
        </w:tc>
        <w:tc>
          <w:tcPr>
            <w:tcW w:w="2130" w:type="dxa"/>
            <w:tcBorders>
              <w:top w:val="single" w:color="auto" w:sz="6" w:space="0"/>
              <w:left w:val="single" w:color="auto" w:sz="6" w:space="0"/>
              <w:bottom w:val="single" w:color="auto" w:sz="6" w:space="0"/>
              <w:right w:val="single" w:color="auto" w:sz="6" w:space="0"/>
            </w:tcBorders>
            <w:vAlign w:val="center"/>
          </w:tcPr>
          <w:p w14:paraId="6334B1C3">
            <w:pPr>
              <w:adjustRightInd w:val="0"/>
              <w:snapToGrid w:val="0"/>
              <w:rPr>
                <w:rFonts w:ascii="宋体" w:hAnsi="宋体"/>
                <w:color w:val="auto"/>
                <w:szCs w:val="21"/>
              </w:rPr>
            </w:pPr>
            <w:r>
              <w:rPr>
                <w:rFonts w:hint="eastAsia" w:ascii="宋体" w:hAnsi="宋体"/>
                <w:color w:val="auto"/>
                <w:szCs w:val="21"/>
              </w:rPr>
              <w:t>响应文件的递交地点</w:t>
            </w:r>
          </w:p>
        </w:tc>
        <w:tc>
          <w:tcPr>
            <w:tcW w:w="5466" w:type="dxa"/>
            <w:tcBorders>
              <w:top w:val="single" w:color="auto" w:sz="6" w:space="0"/>
              <w:left w:val="single" w:color="auto" w:sz="6" w:space="0"/>
              <w:bottom w:val="single" w:color="auto" w:sz="6" w:space="0"/>
              <w:right w:val="double" w:color="auto" w:sz="4" w:space="0"/>
            </w:tcBorders>
            <w:vAlign w:val="center"/>
          </w:tcPr>
          <w:p w14:paraId="25FAEE58">
            <w:pPr>
              <w:adjustRightInd w:val="0"/>
              <w:snapToGrid w:val="0"/>
              <w:rPr>
                <w:rFonts w:ascii="宋体" w:hAnsi="宋体"/>
                <w:bCs/>
                <w:color w:val="auto"/>
                <w:szCs w:val="21"/>
              </w:rPr>
            </w:pPr>
            <w:r>
              <w:rPr>
                <w:rFonts w:hint="eastAsia" w:ascii="宋体" w:hAnsi="宋体"/>
                <w:bCs/>
                <w:color w:val="auto"/>
                <w:szCs w:val="21"/>
              </w:rPr>
              <w:t>常德众益项目管理咨询有限公司开标室（常德市武陵区上川四季酒店6楼）</w:t>
            </w:r>
          </w:p>
        </w:tc>
      </w:tr>
      <w:tr w14:paraId="3D45E1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9348" w:type="dxa"/>
            <w:gridSpan w:val="3"/>
            <w:tcBorders>
              <w:top w:val="single" w:color="auto" w:sz="6" w:space="0"/>
              <w:left w:val="double" w:color="auto" w:sz="4" w:space="0"/>
              <w:bottom w:val="single" w:color="auto" w:sz="6" w:space="0"/>
              <w:right w:val="double" w:color="auto" w:sz="4" w:space="0"/>
            </w:tcBorders>
            <w:vAlign w:val="center"/>
          </w:tcPr>
          <w:p w14:paraId="5FBC8384">
            <w:pPr>
              <w:adjustRightInd w:val="0"/>
              <w:snapToGrid w:val="0"/>
              <w:rPr>
                <w:rFonts w:ascii="宋体" w:hAnsi="宋体"/>
                <w:color w:val="auto"/>
                <w:szCs w:val="21"/>
              </w:rPr>
            </w:pPr>
            <w:r>
              <w:rPr>
                <w:rFonts w:hint="eastAsia" w:ascii="宋体" w:hAnsi="宋体"/>
                <w:b/>
                <w:color w:val="auto"/>
                <w:szCs w:val="21"/>
              </w:rPr>
              <w:t>六、成交结果信息公布与供应商质疑</w:t>
            </w:r>
          </w:p>
        </w:tc>
      </w:tr>
      <w:tr w14:paraId="08E132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4"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18932954">
            <w:pPr>
              <w:adjustRightInd w:val="0"/>
              <w:snapToGrid w:val="0"/>
              <w:jc w:val="center"/>
              <w:rPr>
                <w:rFonts w:ascii="宋体" w:hAnsi="宋体"/>
                <w:color w:val="auto"/>
                <w:szCs w:val="21"/>
              </w:rPr>
            </w:pPr>
            <w:r>
              <w:rPr>
                <w:rFonts w:hint="eastAsia" w:ascii="宋体" w:hAnsi="宋体"/>
                <w:color w:val="auto"/>
                <w:szCs w:val="21"/>
              </w:rPr>
              <w:t>第二章第37.1款</w:t>
            </w:r>
          </w:p>
        </w:tc>
        <w:tc>
          <w:tcPr>
            <w:tcW w:w="2130" w:type="dxa"/>
            <w:tcBorders>
              <w:top w:val="single" w:color="auto" w:sz="6" w:space="0"/>
              <w:left w:val="single" w:color="auto" w:sz="6" w:space="0"/>
              <w:bottom w:val="single" w:color="auto" w:sz="6" w:space="0"/>
              <w:right w:val="single" w:color="auto" w:sz="6" w:space="0"/>
            </w:tcBorders>
            <w:vAlign w:val="center"/>
          </w:tcPr>
          <w:p w14:paraId="693C58F1">
            <w:pPr>
              <w:adjustRightInd w:val="0"/>
              <w:snapToGrid w:val="0"/>
              <w:rPr>
                <w:rFonts w:ascii="宋体" w:hAnsi="宋体"/>
                <w:color w:val="auto"/>
                <w:szCs w:val="21"/>
              </w:rPr>
            </w:pPr>
            <w:r>
              <w:rPr>
                <w:rFonts w:hint="eastAsia" w:ascii="宋体" w:hAnsi="宋体"/>
                <w:color w:val="auto"/>
                <w:szCs w:val="21"/>
              </w:rPr>
              <w:t>指定公告媒体</w:t>
            </w:r>
          </w:p>
        </w:tc>
        <w:tc>
          <w:tcPr>
            <w:tcW w:w="5466" w:type="dxa"/>
            <w:tcBorders>
              <w:top w:val="single" w:color="auto" w:sz="6" w:space="0"/>
              <w:left w:val="single" w:color="auto" w:sz="6" w:space="0"/>
              <w:bottom w:val="single" w:color="auto" w:sz="6" w:space="0"/>
              <w:right w:val="double" w:color="auto" w:sz="4" w:space="0"/>
            </w:tcBorders>
            <w:vAlign w:val="center"/>
          </w:tcPr>
          <w:p w14:paraId="07F02108">
            <w:pPr>
              <w:adjustRightInd w:val="0"/>
              <w:snapToGrid w:val="0"/>
              <w:jc w:val="left"/>
              <w:rPr>
                <w:rFonts w:ascii="宋体" w:hAnsi="宋体" w:cs="黑体"/>
                <w:color w:val="auto"/>
                <w:szCs w:val="21"/>
                <w:u w:val="single"/>
              </w:rPr>
            </w:pPr>
            <w:r>
              <w:rPr>
                <w:rFonts w:hint="eastAsia" w:ascii="宋体" w:hAnsi="宋体" w:cs="黑体"/>
                <w:color w:val="auto"/>
                <w:szCs w:val="21"/>
              </w:rPr>
              <w:t>中国湖南政府采购网(www.ccgp-hunan.gov.cn)</w:t>
            </w:r>
          </w:p>
        </w:tc>
      </w:tr>
      <w:tr w14:paraId="6CCC75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64AB7F04">
            <w:pPr>
              <w:adjustRightInd w:val="0"/>
              <w:snapToGrid w:val="0"/>
              <w:jc w:val="center"/>
              <w:rPr>
                <w:rFonts w:ascii="宋体" w:hAnsi="宋体"/>
                <w:color w:val="auto"/>
                <w:szCs w:val="21"/>
              </w:rPr>
            </w:pPr>
            <w:r>
              <w:rPr>
                <w:rFonts w:hint="eastAsia" w:ascii="宋体" w:hAnsi="宋体"/>
                <w:color w:val="auto"/>
                <w:szCs w:val="21"/>
              </w:rPr>
              <w:t>第二章第39.3款</w:t>
            </w:r>
          </w:p>
        </w:tc>
        <w:tc>
          <w:tcPr>
            <w:tcW w:w="2130" w:type="dxa"/>
            <w:tcBorders>
              <w:top w:val="single" w:color="auto" w:sz="6" w:space="0"/>
              <w:left w:val="single" w:color="auto" w:sz="6" w:space="0"/>
              <w:bottom w:val="single" w:color="auto" w:sz="6" w:space="0"/>
              <w:right w:val="single" w:color="auto" w:sz="6" w:space="0"/>
            </w:tcBorders>
            <w:vAlign w:val="center"/>
          </w:tcPr>
          <w:p w14:paraId="70F96026">
            <w:pPr>
              <w:adjustRightInd w:val="0"/>
              <w:snapToGrid w:val="0"/>
              <w:rPr>
                <w:rFonts w:ascii="宋体" w:hAnsi="宋体"/>
                <w:color w:val="auto"/>
                <w:szCs w:val="21"/>
              </w:rPr>
            </w:pPr>
            <w:r>
              <w:rPr>
                <w:rFonts w:hint="eastAsia" w:ascii="宋体" w:hAnsi="宋体"/>
                <w:color w:val="auto"/>
                <w:szCs w:val="21"/>
              </w:rPr>
              <w:t>履约担保</w:t>
            </w:r>
          </w:p>
        </w:tc>
        <w:tc>
          <w:tcPr>
            <w:tcW w:w="5466" w:type="dxa"/>
            <w:tcBorders>
              <w:top w:val="single" w:color="auto" w:sz="6" w:space="0"/>
              <w:left w:val="single" w:color="auto" w:sz="6" w:space="0"/>
              <w:bottom w:val="single" w:color="auto" w:sz="6" w:space="0"/>
              <w:right w:val="double" w:color="auto" w:sz="4" w:space="0"/>
            </w:tcBorders>
            <w:vAlign w:val="center"/>
          </w:tcPr>
          <w:p w14:paraId="2BEA44DE">
            <w:pPr>
              <w:adjustRightInd w:val="0"/>
              <w:snapToGrid w:val="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☑不要求提供</w:t>
            </w:r>
          </w:p>
          <w:p w14:paraId="7D73F0C2">
            <w:pPr>
              <w:adjustRightInd w:val="0"/>
              <w:snapToGrid w:val="0"/>
              <w:rPr>
                <w:rFonts w:ascii="宋体" w:hAnsi="宋体"/>
                <w:color w:val="auto"/>
                <w:szCs w:val="21"/>
              </w:rPr>
            </w:pPr>
            <w:r>
              <w:rPr>
                <w:rFonts w:hint="eastAsia" w:asciiTheme="minorEastAsia" w:hAnsiTheme="minorEastAsia" w:eastAsiaTheme="minorEastAsia" w:cstheme="minorEastAsia"/>
                <w:color w:val="auto"/>
                <w:szCs w:val="21"/>
              </w:rPr>
              <w:t>□ 要求提供，履约担保的金额为：</w:t>
            </w:r>
          </w:p>
        </w:tc>
      </w:tr>
      <w:tr w14:paraId="084D66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9348" w:type="dxa"/>
            <w:gridSpan w:val="3"/>
            <w:tcBorders>
              <w:top w:val="single" w:color="auto" w:sz="6" w:space="0"/>
              <w:left w:val="double" w:color="auto" w:sz="4" w:space="0"/>
              <w:bottom w:val="single" w:color="auto" w:sz="6" w:space="0"/>
              <w:right w:val="double" w:color="auto" w:sz="4" w:space="0"/>
            </w:tcBorders>
            <w:vAlign w:val="center"/>
          </w:tcPr>
          <w:p w14:paraId="2A015CDD">
            <w:pPr>
              <w:adjustRightInd w:val="0"/>
              <w:snapToGrid w:val="0"/>
              <w:rPr>
                <w:rFonts w:ascii="宋体" w:hAnsi="宋体"/>
                <w:b/>
                <w:color w:val="auto"/>
                <w:szCs w:val="21"/>
              </w:rPr>
            </w:pPr>
            <w:r>
              <w:rPr>
                <w:rFonts w:hint="eastAsia" w:ascii="宋体" w:hAnsi="宋体"/>
                <w:b/>
                <w:color w:val="auto"/>
                <w:szCs w:val="21"/>
              </w:rPr>
              <w:t>七、其他规定</w:t>
            </w:r>
          </w:p>
        </w:tc>
      </w:tr>
      <w:tr w14:paraId="0AA57A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21"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693DB1F5">
            <w:pPr>
              <w:adjustRightInd w:val="0"/>
              <w:snapToGrid w:val="0"/>
              <w:jc w:val="center"/>
              <w:rPr>
                <w:rFonts w:ascii="宋体" w:hAnsi="宋体"/>
                <w:color w:val="auto"/>
                <w:szCs w:val="21"/>
              </w:rPr>
            </w:pPr>
            <w:r>
              <w:rPr>
                <w:rFonts w:hint="eastAsia" w:ascii="宋体" w:hAnsi="宋体"/>
                <w:color w:val="auto"/>
                <w:szCs w:val="21"/>
              </w:rPr>
              <w:t>第二章第41.1款</w:t>
            </w:r>
          </w:p>
        </w:tc>
        <w:tc>
          <w:tcPr>
            <w:tcW w:w="2130" w:type="dxa"/>
            <w:tcBorders>
              <w:top w:val="single" w:color="auto" w:sz="6" w:space="0"/>
              <w:left w:val="single" w:color="auto" w:sz="6" w:space="0"/>
              <w:bottom w:val="single" w:color="auto" w:sz="6" w:space="0"/>
              <w:right w:val="single" w:color="auto" w:sz="6" w:space="0"/>
            </w:tcBorders>
            <w:vAlign w:val="center"/>
          </w:tcPr>
          <w:p w14:paraId="52158B63">
            <w:pPr>
              <w:adjustRightInd w:val="0"/>
              <w:snapToGrid w:val="0"/>
              <w:jc w:val="center"/>
              <w:rPr>
                <w:rFonts w:ascii="宋体" w:hAnsi="宋体" w:cs="宋体"/>
                <w:color w:val="auto"/>
                <w:szCs w:val="21"/>
              </w:rPr>
            </w:pPr>
            <w:r>
              <w:rPr>
                <w:rFonts w:hint="eastAsia" w:ascii="宋体" w:hAnsi="宋体" w:cs="宋体"/>
                <w:color w:val="auto"/>
                <w:szCs w:val="21"/>
              </w:rPr>
              <w:t>采购代理服务费</w:t>
            </w:r>
          </w:p>
        </w:tc>
        <w:tc>
          <w:tcPr>
            <w:tcW w:w="5466" w:type="dxa"/>
            <w:tcBorders>
              <w:top w:val="single" w:color="auto" w:sz="6" w:space="0"/>
              <w:left w:val="single" w:color="auto" w:sz="6" w:space="0"/>
              <w:bottom w:val="single" w:color="auto" w:sz="6" w:space="0"/>
              <w:right w:val="double" w:color="auto" w:sz="4" w:space="0"/>
            </w:tcBorders>
            <w:vAlign w:val="center"/>
          </w:tcPr>
          <w:p w14:paraId="376051DB">
            <w:pPr>
              <w:adjustRightInd w:val="0"/>
              <w:snapToGrid w:val="0"/>
              <w:rPr>
                <w:rFonts w:ascii="宋体" w:hAnsi="宋体" w:cs="宋体"/>
                <w:color w:val="auto"/>
                <w:szCs w:val="21"/>
              </w:rPr>
            </w:pPr>
            <w:r>
              <w:rPr>
                <w:rFonts w:hint="eastAsia" w:ascii="宋体" w:hAnsi="宋体" w:cs="宋体"/>
                <w:color w:val="auto"/>
                <w:szCs w:val="21"/>
              </w:rPr>
              <w:t>根据采购代理机构与采购人的协议，本项目采购代理服务费由采购人支付，采购代理服务费收费标准（以项目的中标额为基础，按照《湖南省招标采购行业规范收取代理服务费倡议书》取费标准×66.67%进行收取），自中标（成交）公告之日起10个工作日内按程序向代理机构支付。</w:t>
            </w:r>
          </w:p>
        </w:tc>
      </w:tr>
      <w:tr w14:paraId="55F9C8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7A56ACF6">
            <w:pPr>
              <w:adjustRightInd w:val="0"/>
              <w:snapToGrid w:val="0"/>
              <w:jc w:val="center"/>
              <w:rPr>
                <w:rFonts w:ascii="宋体" w:hAnsi="宋体"/>
                <w:color w:val="auto"/>
                <w:szCs w:val="21"/>
              </w:rPr>
            </w:pPr>
            <w:r>
              <w:rPr>
                <w:rFonts w:hint="eastAsia" w:ascii="宋体" w:hAnsi="宋体"/>
                <w:color w:val="auto"/>
                <w:szCs w:val="21"/>
              </w:rPr>
              <w:t>第二章第42.1款</w:t>
            </w:r>
          </w:p>
        </w:tc>
        <w:tc>
          <w:tcPr>
            <w:tcW w:w="2130" w:type="dxa"/>
            <w:tcBorders>
              <w:top w:val="single" w:color="auto" w:sz="6" w:space="0"/>
              <w:left w:val="single" w:color="auto" w:sz="6" w:space="0"/>
              <w:bottom w:val="single" w:color="auto" w:sz="6" w:space="0"/>
              <w:right w:val="single" w:color="auto" w:sz="6" w:space="0"/>
            </w:tcBorders>
            <w:vAlign w:val="center"/>
          </w:tcPr>
          <w:p w14:paraId="4116E1D3">
            <w:pPr>
              <w:adjustRightInd w:val="0"/>
              <w:snapToGrid w:val="0"/>
              <w:jc w:val="center"/>
              <w:rPr>
                <w:rFonts w:ascii="宋体" w:hAnsi="宋体" w:cs="宋体"/>
                <w:color w:val="auto"/>
                <w:szCs w:val="21"/>
              </w:rPr>
            </w:pPr>
            <w:r>
              <w:rPr>
                <w:rFonts w:hint="eastAsia" w:ascii="宋体" w:hAnsi="宋体" w:cs="宋体"/>
                <w:color w:val="auto"/>
                <w:szCs w:val="21"/>
              </w:rPr>
              <w:t>样品提供的规定</w:t>
            </w:r>
          </w:p>
        </w:tc>
        <w:tc>
          <w:tcPr>
            <w:tcW w:w="5466" w:type="dxa"/>
            <w:tcBorders>
              <w:top w:val="single" w:color="auto" w:sz="6" w:space="0"/>
              <w:left w:val="single" w:color="auto" w:sz="6" w:space="0"/>
              <w:bottom w:val="single" w:color="auto" w:sz="6" w:space="0"/>
              <w:right w:val="double" w:color="auto" w:sz="4" w:space="0"/>
            </w:tcBorders>
            <w:vAlign w:val="center"/>
          </w:tcPr>
          <w:p w14:paraId="30685001">
            <w:pPr>
              <w:adjustRightInd w:val="0"/>
              <w:snapToGrid w:val="0"/>
              <w:rPr>
                <w:rFonts w:ascii="宋体" w:hAnsi="宋体" w:cs="宋体"/>
                <w:color w:val="auto"/>
                <w:szCs w:val="21"/>
              </w:rPr>
            </w:pPr>
            <w:r>
              <w:rPr>
                <w:rFonts w:hint="eastAsia" w:ascii="宋体" w:hAnsi="宋体" w:cs="宋体"/>
                <w:color w:val="auto"/>
              </w:rPr>
              <w:t>■ 不要求提供</w:t>
            </w:r>
          </w:p>
        </w:tc>
      </w:tr>
      <w:tr w14:paraId="72C17D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93" w:hRule="atLeast"/>
          <w:jc w:val="center"/>
        </w:trPr>
        <w:tc>
          <w:tcPr>
            <w:tcW w:w="1752" w:type="dxa"/>
            <w:tcBorders>
              <w:top w:val="single" w:color="auto" w:sz="6" w:space="0"/>
              <w:left w:val="double" w:color="auto" w:sz="4" w:space="0"/>
              <w:bottom w:val="single" w:color="auto" w:sz="6" w:space="0"/>
              <w:right w:val="single" w:color="auto" w:sz="6" w:space="0"/>
            </w:tcBorders>
            <w:vAlign w:val="center"/>
          </w:tcPr>
          <w:p w14:paraId="7B3E094B">
            <w:pPr>
              <w:adjustRightInd w:val="0"/>
              <w:snapToGrid w:val="0"/>
              <w:jc w:val="center"/>
              <w:rPr>
                <w:rFonts w:ascii="宋体" w:hAnsi="宋体"/>
                <w:color w:val="auto"/>
                <w:szCs w:val="21"/>
              </w:rPr>
            </w:pPr>
            <w:r>
              <w:rPr>
                <w:rFonts w:hint="eastAsia" w:ascii="宋体" w:hAnsi="宋体"/>
                <w:color w:val="auto"/>
                <w:szCs w:val="21"/>
              </w:rPr>
              <w:t>第二章第42.2款</w:t>
            </w:r>
          </w:p>
        </w:tc>
        <w:tc>
          <w:tcPr>
            <w:tcW w:w="2130" w:type="dxa"/>
            <w:tcBorders>
              <w:top w:val="single" w:color="auto" w:sz="6" w:space="0"/>
              <w:left w:val="single" w:color="auto" w:sz="6" w:space="0"/>
              <w:bottom w:val="single" w:color="auto" w:sz="6" w:space="0"/>
              <w:right w:val="single" w:color="auto" w:sz="6" w:space="0"/>
            </w:tcBorders>
            <w:vAlign w:val="center"/>
          </w:tcPr>
          <w:p w14:paraId="7DB09CCE">
            <w:pPr>
              <w:jc w:val="center"/>
              <w:rPr>
                <w:rFonts w:ascii="宋体" w:hAnsi="宋体" w:cs="宋体"/>
                <w:color w:val="auto"/>
              </w:rPr>
            </w:pPr>
            <w:r>
              <w:rPr>
                <w:rFonts w:hint="eastAsia" w:ascii="宋体" w:hAnsi="宋体" w:cs="宋体"/>
                <w:color w:val="auto"/>
              </w:rPr>
              <w:t>供应商</w:t>
            </w:r>
          </w:p>
          <w:p w14:paraId="2527BA90">
            <w:pPr>
              <w:jc w:val="center"/>
              <w:rPr>
                <w:rFonts w:ascii="宋体" w:hAnsi="宋体" w:cs="宋体"/>
                <w:color w:val="auto"/>
                <w:szCs w:val="21"/>
              </w:rPr>
            </w:pPr>
            <w:r>
              <w:rPr>
                <w:rFonts w:hint="eastAsia" w:ascii="宋体" w:hAnsi="宋体" w:cs="宋体"/>
                <w:color w:val="auto"/>
              </w:rPr>
              <w:t>信用信息查询</w:t>
            </w:r>
          </w:p>
        </w:tc>
        <w:tc>
          <w:tcPr>
            <w:tcW w:w="5466" w:type="dxa"/>
            <w:tcBorders>
              <w:top w:val="single" w:color="auto" w:sz="6" w:space="0"/>
              <w:left w:val="single" w:color="auto" w:sz="6" w:space="0"/>
              <w:bottom w:val="single" w:color="auto" w:sz="6" w:space="0"/>
              <w:right w:val="double" w:color="auto" w:sz="4" w:space="0"/>
            </w:tcBorders>
            <w:vAlign w:val="center"/>
          </w:tcPr>
          <w:p w14:paraId="07F63CB2">
            <w:pPr>
              <w:rPr>
                <w:rFonts w:ascii="宋体" w:hAnsi="宋体" w:cs="宋体"/>
                <w:color w:val="auto"/>
              </w:rPr>
            </w:pPr>
            <w:r>
              <w:rPr>
                <w:rFonts w:hint="eastAsia" w:ascii="宋体" w:hAnsi="宋体" w:cs="宋体"/>
                <w:color w:val="auto"/>
                <w:szCs w:val="21"/>
                <w:shd w:val="clear" w:color="auto" w:fill="FFFFFF"/>
              </w:rPr>
              <w:t>1、按照《财政部关于在政府采购活动中查询及使用信用记录有关问题的通知》（财库〔2016〕125号）的要求。</w:t>
            </w:r>
            <w:r>
              <w:rPr>
                <w:rFonts w:hint="eastAsia" w:ascii="宋体" w:hAnsi="宋体" w:cs="宋体"/>
                <w:color w:val="auto"/>
              </w:rPr>
              <w:t>采购人、采购代理机构通过信用中国网站（www.creditchina.gov.cn）和中国政府采购网（www.ccgp.gov.cn）查询相关主体信用记录，并采取网页打印方式做好信用信息查询记录和证据留存，信用信息查询记录及相关证据应当与其他磋商文件一并保存。采购人或者采购代理机构应当对供应商信用记录进行甄别，对列入失信被执行人、重大税收违法案件当事人名单、严重违法失信行为记录名单及其他不符合相关法律法规规定条件的供应商，应当拒绝其参与投标活动。</w:t>
            </w:r>
          </w:p>
          <w:p w14:paraId="483F3629">
            <w:pPr>
              <w:rPr>
                <w:rFonts w:ascii="宋体" w:hAnsi="宋体" w:cs="宋体"/>
                <w:color w:val="auto"/>
              </w:rPr>
            </w:pPr>
            <w:r>
              <w:rPr>
                <w:rFonts w:hint="eastAsia" w:ascii="宋体" w:hAnsi="宋体" w:cs="宋体"/>
                <w:color w:val="auto"/>
              </w:rPr>
              <w:t>2、信用信息查询截止时间：投标截止时间。</w:t>
            </w:r>
          </w:p>
          <w:p w14:paraId="2DA243C6">
            <w:pPr>
              <w:adjustRightInd w:val="0"/>
              <w:snapToGrid w:val="0"/>
              <w:spacing w:before="156" w:beforeLines="50"/>
              <w:rPr>
                <w:rFonts w:ascii="宋体" w:hAnsi="宋体" w:cs="宋体"/>
                <w:color w:val="auto"/>
              </w:rPr>
            </w:pPr>
            <w:r>
              <w:rPr>
                <w:rFonts w:hint="eastAsia" w:ascii="宋体" w:hAnsi="宋体" w:cs="宋体"/>
                <w:color w:val="auto"/>
              </w:rPr>
              <w:t>3、供应商需按要求提供信用中国网站（www.creditchina.gov.cn）未被列入失信被执行人和重大税收违法案件当事人名单查询清单和中国政府采购网（www.ccgp.gov.cn）未被列入有效期的政府采购严重违法失信行为记录查询清单。</w:t>
            </w:r>
          </w:p>
        </w:tc>
      </w:tr>
      <w:tr w14:paraId="7783A9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49" w:hRule="atLeast"/>
          <w:jc w:val="center"/>
        </w:trPr>
        <w:tc>
          <w:tcPr>
            <w:tcW w:w="1752" w:type="dxa"/>
            <w:tcBorders>
              <w:top w:val="single" w:color="auto" w:sz="6" w:space="0"/>
              <w:left w:val="double" w:color="auto" w:sz="4" w:space="0"/>
              <w:right w:val="single" w:color="auto" w:sz="6" w:space="0"/>
            </w:tcBorders>
            <w:vAlign w:val="center"/>
          </w:tcPr>
          <w:p w14:paraId="51FCBD75">
            <w:pPr>
              <w:adjustRightInd w:val="0"/>
              <w:snapToGrid w:val="0"/>
              <w:jc w:val="center"/>
              <w:rPr>
                <w:rFonts w:ascii="宋体" w:hAnsi="宋体"/>
                <w:color w:val="auto"/>
                <w:szCs w:val="21"/>
              </w:rPr>
            </w:pPr>
            <w:r>
              <w:rPr>
                <w:rFonts w:hint="eastAsia" w:ascii="宋体" w:hAnsi="宋体"/>
                <w:color w:val="auto"/>
                <w:szCs w:val="21"/>
              </w:rPr>
              <w:t>第二章第42.2款</w:t>
            </w:r>
          </w:p>
        </w:tc>
        <w:tc>
          <w:tcPr>
            <w:tcW w:w="2130" w:type="dxa"/>
            <w:tcBorders>
              <w:top w:val="single" w:color="auto" w:sz="6" w:space="0"/>
              <w:left w:val="single" w:color="auto" w:sz="6" w:space="0"/>
              <w:right w:val="single" w:color="auto" w:sz="6" w:space="0"/>
            </w:tcBorders>
            <w:vAlign w:val="center"/>
          </w:tcPr>
          <w:p w14:paraId="4CA3E968">
            <w:pPr>
              <w:jc w:val="center"/>
              <w:rPr>
                <w:rFonts w:ascii="宋体" w:hAnsi="宋体"/>
                <w:color w:val="auto"/>
                <w:szCs w:val="21"/>
              </w:rPr>
            </w:pPr>
            <w:r>
              <w:rPr>
                <w:rFonts w:hint="eastAsia" w:ascii="宋体" w:hAnsi="宋体"/>
                <w:color w:val="auto"/>
                <w:szCs w:val="21"/>
              </w:rPr>
              <w:t>其他要求</w:t>
            </w:r>
          </w:p>
        </w:tc>
        <w:tc>
          <w:tcPr>
            <w:tcW w:w="5466" w:type="dxa"/>
            <w:tcBorders>
              <w:top w:val="single" w:color="auto" w:sz="6" w:space="0"/>
              <w:left w:val="single" w:color="auto" w:sz="6" w:space="0"/>
              <w:bottom w:val="double" w:color="auto" w:sz="4" w:space="0"/>
              <w:right w:val="double" w:color="auto" w:sz="4" w:space="0"/>
            </w:tcBorders>
            <w:vAlign w:val="center"/>
          </w:tcPr>
          <w:p w14:paraId="56AEF600">
            <w:pPr>
              <w:adjustRightInd w:val="0"/>
              <w:snapToGrid w:val="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一、供应商投标代表递交响应文件的，须持下列资料：</w:t>
            </w:r>
          </w:p>
          <w:p w14:paraId="3FAF2766">
            <w:pPr>
              <w:adjustRightInd w:val="0"/>
              <w:snapToGrid w:val="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（1）法定代表人(或负责人)递交的，持法定代表人(或负责人)身份证明及本人身份证原件；</w:t>
            </w:r>
          </w:p>
          <w:p w14:paraId="5FF1A21A">
            <w:pPr>
              <w:adjustRightInd w:val="0"/>
              <w:snapToGrid w:val="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（2）委托代理人递交的，持附法定代表人(或负责人)身份证明的授权委托书原件和本人身份证原件。</w:t>
            </w:r>
          </w:p>
          <w:p w14:paraId="17A98A28">
            <w:pPr>
              <w:adjustRightInd w:val="0"/>
              <w:snapToGrid w:val="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以上资料仅做身份验证使用，供应商因没有按要求提供而给自身带来的损失由供应商自己负责。</w:t>
            </w:r>
          </w:p>
          <w:p w14:paraId="4AA357FC">
            <w:pPr>
              <w:adjustRightInd w:val="0"/>
              <w:snapToGrid w:val="0"/>
              <w:spacing w:before="156" w:beforeLines="50"/>
              <w:rPr>
                <w:rFonts w:ascii="宋体" w:hAnsi="宋体" w:eastAsiaTheme="minorEastAsia"/>
                <w:color w:val="auto"/>
                <w:szCs w:val="21"/>
              </w:rPr>
            </w:pPr>
            <w:r>
              <w:rPr>
                <w:rFonts w:hint="eastAsia" w:asciiTheme="minorEastAsia" w:hAnsiTheme="minorEastAsia" w:eastAsiaTheme="minorEastAsia" w:cstheme="minorEastAsia"/>
                <w:color w:val="auto"/>
                <w:szCs w:val="21"/>
              </w:rPr>
              <w:t>二、磋商文件中所涉及要求提供的原件，应与响应文件同时递交，供应商因没有按要求提供而给自身带来的损失由供应商自己负责。</w:t>
            </w:r>
          </w:p>
        </w:tc>
      </w:tr>
    </w:tbl>
    <w:p w14:paraId="6FFC9DA4">
      <w:pPr>
        <w:jc w:val="center"/>
        <w:outlineLvl w:val="1"/>
        <w:rPr>
          <w:rFonts w:ascii="宋体" w:hAnsi="宋体"/>
          <w:b/>
          <w:color w:val="auto"/>
          <w:sz w:val="32"/>
          <w:szCs w:val="32"/>
        </w:rPr>
      </w:pPr>
      <w:r>
        <w:rPr>
          <w:rFonts w:hint="eastAsia" w:ascii="宋体" w:hAnsi="宋体"/>
          <w:b/>
          <w:color w:val="auto"/>
          <w:sz w:val="32"/>
          <w:szCs w:val="32"/>
        </w:rPr>
        <w:br w:type="page"/>
      </w:r>
      <w:bookmarkStart w:id="3" w:name="_Toc13851"/>
      <w:r>
        <w:rPr>
          <w:rFonts w:hint="eastAsia" w:ascii="宋体" w:hAnsi="宋体"/>
          <w:b/>
          <w:color w:val="auto"/>
          <w:sz w:val="32"/>
          <w:szCs w:val="32"/>
        </w:rPr>
        <w:t>磋商须知正文</w:t>
      </w:r>
      <w:bookmarkEnd w:id="3"/>
    </w:p>
    <w:p w14:paraId="496FD2E7">
      <w:pPr>
        <w:adjustRightInd w:val="0"/>
        <w:snapToGrid w:val="0"/>
        <w:spacing w:line="360" w:lineRule="auto"/>
        <w:rPr>
          <w:rFonts w:ascii="宋体" w:hAnsi="宋体"/>
          <w:b/>
          <w:color w:val="auto"/>
          <w:sz w:val="24"/>
        </w:rPr>
      </w:pPr>
      <w:r>
        <w:rPr>
          <w:rFonts w:hint="eastAsia" w:ascii="宋体" w:hAnsi="宋体"/>
          <w:b/>
          <w:color w:val="auto"/>
          <w:sz w:val="24"/>
        </w:rPr>
        <w:t>一、说明</w:t>
      </w:r>
    </w:p>
    <w:p w14:paraId="17DF769B">
      <w:pPr>
        <w:adjustRightInd w:val="0"/>
        <w:snapToGrid w:val="0"/>
        <w:spacing w:line="360" w:lineRule="auto"/>
        <w:rPr>
          <w:rFonts w:ascii="宋体" w:hAnsi="宋体"/>
          <w:b/>
          <w:bCs/>
          <w:color w:val="auto"/>
          <w:szCs w:val="21"/>
        </w:rPr>
      </w:pPr>
      <w:r>
        <w:rPr>
          <w:rFonts w:hint="eastAsia" w:ascii="宋体" w:hAnsi="宋体"/>
          <w:b/>
          <w:bCs/>
          <w:color w:val="auto"/>
          <w:szCs w:val="21"/>
        </w:rPr>
        <w:t>1.适用范围</w:t>
      </w:r>
    </w:p>
    <w:p w14:paraId="3ADA668B">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1.1 本磋商文件仅适用于磋商须知前附表(以下简称</w:t>
      </w:r>
      <w:r>
        <w:rPr>
          <w:rFonts w:hint="eastAsia" w:ascii="宋体" w:hAnsi="宋体"/>
          <w:b/>
          <w:color w:val="auto"/>
          <w:szCs w:val="21"/>
        </w:rPr>
        <w:t>磋商须知前附表)</w:t>
      </w:r>
      <w:r>
        <w:rPr>
          <w:rFonts w:hint="eastAsia" w:ascii="宋体" w:hAnsi="宋体"/>
          <w:color w:val="auto"/>
          <w:szCs w:val="21"/>
        </w:rPr>
        <w:t>中所叙述的采购项目。</w:t>
      </w:r>
    </w:p>
    <w:p w14:paraId="700D8AAA">
      <w:pPr>
        <w:adjustRightInd w:val="0"/>
        <w:snapToGrid w:val="0"/>
        <w:spacing w:line="360" w:lineRule="auto"/>
        <w:rPr>
          <w:rFonts w:ascii="宋体" w:hAnsi="宋体"/>
          <w:b/>
          <w:bCs/>
          <w:color w:val="auto"/>
          <w:szCs w:val="21"/>
        </w:rPr>
      </w:pPr>
      <w:r>
        <w:rPr>
          <w:rFonts w:hint="eastAsia" w:ascii="宋体" w:hAnsi="宋体"/>
          <w:b/>
          <w:bCs/>
          <w:color w:val="auto"/>
          <w:szCs w:val="21"/>
        </w:rPr>
        <w:t>2.定义</w:t>
      </w:r>
    </w:p>
    <w:p w14:paraId="4D2B62E8">
      <w:pPr>
        <w:adjustRightInd w:val="0"/>
        <w:snapToGrid w:val="0"/>
        <w:spacing w:line="360" w:lineRule="auto"/>
        <w:ind w:firstLine="420" w:firstLineChars="200"/>
        <w:rPr>
          <w:rFonts w:ascii="宋体" w:hAnsi="宋体"/>
          <w:b/>
          <w:color w:val="auto"/>
          <w:szCs w:val="21"/>
        </w:rPr>
      </w:pPr>
      <w:r>
        <w:rPr>
          <w:rFonts w:hint="eastAsia" w:ascii="宋体" w:hAnsi="宋体"/>
          <w:color w:val="auto"/>
          <w:szCs w:val="21"/>
        </w:rPr>
        <w:t>2.1 “采购人”是指依法进行政府采购的国家机关、事业单位、团体组织。本次政府采购的采购人名称、地址、电话、联系人见</w:t>
      </w:r>
      <w:r>
        <w:rPr>
          <w:rFonts w:hint="eastAsia" w:ascii="宋体" w:hAnsi="宋体"/>
          <w:b/>
          <w:color w:val="auto"/>
          <w:szCs w:val="21"/>
        </w:rPr>
        <w:t>磋商须知前附表</w:t>
      </w:r>
      <w:r>
        <w:rPr>
          <w:rFonts w:hint="eastAsia" w:ascii="宋体" w:hAnsi="宋体"/>
          <w:color w:val="auto"/>
          <w:szCs w:val="21"/>
        </w:rPr>
        <w:t>。</w:t>
      </w:r>
    </w:p>
    <w:p w14:paraId="7274B9B5">
      <w:pPr>
        <w:adjustRightInd w:val="0"/>
        <w:snapToGrid w:val="0"/>
        <w:spacing w:line="360" w:lineRule="auto"/>
        <w:ind w:firstLine="420" w:firstLineChars="200"/>
        <w:rPr>
          <w:rFonts w:ascii="宋体" w:hAnsi="宋体"/>
          <w:b/>
          <w:color w:val="auto"/>
          <w:szCs w:val="21"/>
        </w:rPr>
      </w:pPr>
      <w:r>
        <w:rPr>
          <w:rFonts w:hint="eastAsia" w:ascii="宋体" w:hAnsi="宋体"/>
          <w:color w:val="auto"/>
          <w:szCs w:val="21"/>
        </w:rPr>
        <w:t>2.2 “采购代理机构”是指接受采购人委托，代理采购项目的集中采购机构和其他采购代理机构。本次政府采购的采购代理机构名称、地址、电话、联系人见</w:t>
      </w:r>
      <w:r>
        <w:rPr>
          <w:rFonts w:hint="eastAsia" w:ascii="宋体" w:hAnsi="宋体"/>
          <w:b/>
          <w:color w:val="auto"/>
          <w:szCs w:val="21"/>
        </w:rPr>
        <w:t>磋商须知前附表。</w:t>
      </w:r>
    </w:p>
    <w:p w14:paraId="7A2836FC">
      <w:pPr>
        <w:adjustRightInd w:val="0"/>
        <w:snapToGrid w:val="0"/>
        <w:spacing w:line="360" w:lineRule="auto"/>
        <w:ind w:firstLine="420" w:firstLineChars="200"/>
        <w:rPr>
          <w:rFonts w:ascii="宋体" w:hAnsi="宋体" w:cs="宋体"/>
          <w:bCs/>
          <w:color w:val="auto"/>
          <w:kern w:val="36"/>
          <w:szCs w:val="21"/>
        </w:rPr>
      </w:pPr>
      <w:r>
        <w:rPr>
          <w:rFonts w:hint="eastAsia" w:ascii="宋体" w:hAnsi="宋体"/>
          <w:color w:val="auto"/>
          <w:szCs w:val="21"/>
        </w:rPr>
        <w:t>2.3 “供应商”是指响应磋商文件要求、参加竞争性磋商采购的法人、其他组织或者自然人。</w:t>
      </w:r>
    </w:p>
    <w:p w14:paraId="390CD583">
      <w:pPr>
        <w:adjustRightInd w:val="0"/>
        <w:snapToGrid w:val="0"/>
        <w:spacing w:line="360" w:lineRule="auto"/>
        <w:ind w:firstLine="420" w:firstLineChars="200"/>
        <w:rPr>
          <w:rFonts w:ascii="宋体" w:hAnsi="宋体" w:cs="宋体"/>
          <w:color w:val="auto"/>
          <w:kern w:val="0"/>
          <w:szCs w:val="21"/>
        </w:rPr>
      </w:pPr>
      <w:r>
        <w:rPr>
          <w:rFonts w:hint="eastAsia" w:ascii="宋体" w:hAnsi="宋体"/>
          <w:color w:val="auto"/>
          <w:szCs w:val="21"/>
        </w:rPr>
        <w:t>2.4 “磋商小组”是指</w:t>
      </w:r>
      <w:r>
        <w:rPr>
          <w:rFonts w:hint="eastAsia" w:ascii="宋体" w:hAnsi="宋体" w:cs="宋体"/>
          <w:color w:val="auto"/>
          <w:kern w:val="0"/>
          <w:szCs w:val="21"/>
        </w:rPr>
        <w:t>依据《中华人民共和国政府采购法》和财政部</w:t>
      </w:r>
      <w:r>
        <w:rPr>
          <w:rFonts w:hint="eastAsia" w:ascii="宋体" w:hAnsi="宋体" w:cs="宋体"/>
          <w:bCs/>
          <w:color w:val="auto"/>
          <w:kern w:val="36"/>
          <w:szCs w:val="21"/>
        </w:rPr>
        <w:t>《政府采购非招标采购方式管理办法》有关规定组建，依法依规</w:t>
      </w:r>
      <w:r>
        <w:rPr>
          <w:rFonts w:hint="eastAsia" w:ascii="宋体" w:hAnsi="宋体" w:cs="宋体"/>
          <w:color w:val="auto"/>
          <w:kern w:val="0"/>
          <w:szCs w:val="21"/>
        </w:rPr>
        <w:t>履行其职责和义务的机构。</w:t>
      </w:r>
    </w:p>
    <w:p w14:paraId="2E011F56">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2.5 “货物”是指各种形态和种类的物品，包括原材料、燃料、设备、产品等，详见《政府采购品目分类目录》(</w:t>
      </w:r>
      <w:r>
        <w:rPr>
          <w:rStyle w:val="54"/>
          <w:rFonts w:hint="eastAsia" w:ascii="宋体" w:hAnsi="宋体"/>
          <w:b w:val="0"/>
          <w:color w:val="auto"/>
        </w:rPr>
        <w:t>财库[2013]189号</w:t>
      </w:r>
      <w:r>
        <w:rPr>
          <w:rFonts w:hint="eastAsia" w:ascii="宋体" w:hAnsi="宋体"/>
          <w:color w:val="auto"/>
          <w:szCs w:val="21"/>
        </w:rPr>
        <w:t>)。</w:t>
      </w:r>
    </w:p>
    <w:p w14:paraId="6F819AD2">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2.6 “工程”是指建设工程，包括建筑物和构筑物的新建、改建、扩建、装修、拆除、修缮等，详见《政府采购品目分类目录》(</w:t>
      </w:r>
      <w:r>
        <w:rPr>
          <w:rStyle w:val="54"/>
          <w:rFonts w:hint="eastAsia" w:ascii="宋体" w:hAnsi="宋体"/>
          <w:b w:val="0"/>
          <w:color w:val="auto"/>
        </w:rPr>
        <w:t>财库[2013]189号</w:t>
      </w:r>
      <w:r>
        <w:rPr>
          <w:rFonts w:hint="eastAsia" w:ascii="宋体" w:hAnsi="宋体"/>
          <w:color w:val="auto"/>
          <w:szCs w:val="21"/>
        </w:rPr>
        <w:t>)。</w:t>
      </w:r>
    </w:p>
    <w:p w14:paraId="60E97F26">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2.7 “服务”是指除货物和工程以外的其他政府采购对象，详见《政府采购品目分类目录》(</w:t>
      </w:r>
      <w:r>
        <w:rPr>
          <w:rStyle w:val="54"/>
          <w:rFonts w:hint="eastAsia" w:ascii="宋体" w:hAnsi="宋体"/>
          <w:b w:val="0"/>
          <w:color w:val="auto"/>
        </w:rPr>
        <w:t>财库[2013]189号</w:t>
      </w:r>
      <w:r>
        <w:rPr>
          <w:rFonts w:hint="eastAsia" w:ascii="宋体" w:hAnsi="宋体"/>
          <w:color w:val="auto"/>
          <w:szCs w:val="21"/>
        </w:rPr>
        <w:t>)。</w:t>
      </w:r>
    </w:p>
    <w:p w14:paraId="5056460C">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2.8 “节能产品”或者“环保产品”是指财政部发布的《节能产品政府采购品目清单》或者《环境标志产品政府采购品目清单》的产品。</w:t>
      </w:r>
    </w:p>
    <w:p w14:paraId="6C843E4D">
      <w:pPr>
        <w:adjustRightInd w:val="0"/>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2.9 “进口产品”是指通过中国海关报关验放进入中国境内且产自关境外的产品，详见《关于政府采购进口产品管理有关问题的通知》(财库[2007]119号)。</w:t>
      </w:r>
    </w:p>
    <w:p w14:paraId="63439F67">
      <w:pPr>
        <w:adjustRightInd w:val="0"/>
        <w:snapToGrid w:val="0"/>
        <w:spacing w:line="360" w:lineRule="auto"/>
        <w:rPr>
          <w:rFonts w:ascii="宋体" w:hAnsi="宋体"/>
          <w:b/>
          <w:bCs/>
          <w:color w:val="auto"/>
          <w:szCs w:val="21"/>
        </w:rPr>
      </w:pPr>
      <w:r>
        <w:rPr>
          <w:rFonts w:hint="eastAsia" w:ascii="宋体" w:hAnsi="宋体"/>
          <w:b/>
          <w:bCs/>
          <w:color w:val="auto"/>
          <w:szCs w:val="21"/>
        </w:rPr>
        <w:t>3.供应商的资格要求</w:t>
      </w:r>
    </w:p>
    <w:p w14:paraId="7785477E">
      <w:pPr>
        <w:tabs>
          <w:tab w:val="left" w:pos="726"/>
        </w:tabs>
        <w:adjustRightInd w:val="0"/>
        <w:snapToGrid w:val="0"/>
        <w:spacing w:line="360" w:lineRule="auto"/>
        <w:ind w:firstLine="413" w:firstLineChars="196"/>
        <w:rPr>
          <w:rFonts w:ascii="宋体" w:hAnsi="宋体"/>
          <w:b/>
          <w:color w:val="auto"/>
          <w:szCs w:val="21"/>
        </w:rPr>
      </w:pPr>
      <w:r>
        <w:rPr>
          <w:rFonts w:hint="eastAsia" w:ascii="宋体" w:hAnsi="宋体"/>
          <w:b/>
          <w:color w:val="auto"/>
          <w:szCs w:val="21"/>
        </w:rPr>
        <w:t xml:space="preserve">3.1供应商基本资质要求： </w:t>
      </w:r>
    </w:p>
    <w:p w14:paraId="68512033">
      <w:pPr>
        <w:adjustRightInd w:val="0"/>
        <w:snapToGrid w:val="0"/>
        <w:spacing w:line="360" w:lineRule="auto"/>
        <w:ind w:firstLine="450"/>
        <w:rPr>
          <w:rFonts w:ascii="宋体" w:hAnsi="宋体"/>
          <w:color w:val="auto"/>
          <w:szCs w:val="21"/>
        </w:rPr>
      </w:pPr>
      <w:r>
        <w:rPr>
          <w:rFonts w:hint="eastAsia" w:ascii="宋体" w:hAnsi="宋体"/>
          <w:color w:val="auto"/>
          <w:szCs w:val="21"/>
        </w:rPr>
        <w:t>3.1.1具有独立承担民事责任的能力；</w:t>
      </w:r>
    </w:p>
    <w:p w14:paraId="45502390">
      <w:pPr>
        <w:adjustRightInd w:val="0"/>
        <w:snapToGrid w:val="0"/>
        <w:spacing w:line="360" w:lineRule="auto"/>
        <w:ind w:firstLine="450"/>
        <w:rPr>
          <w:rFonts w:ascii="宋体" w:hAnsi="宋体"/>
          <w:color w:val="auto"/>
          <w:szCs w:val="21"/>
        </w:rPr>
      </w:pPr>
      <w:r>
        <w:rPr>
          <w:rFonts w:hint="eastAsia" w:ascii="宋体" w:hAnsi="宋体"/>
          <w:color w:val="auto"/>
          <w:szCs w:val="21"/>
        </w:rPr>
        <w:t>3.1.2具有良好的商业信誉和健全的财务会计制度；</w:t>
      </w:r>
    </w:p>
    <w:p w14:paraId="3AA3968B">
      <w:pPr>
        <w:adjustRightInd w:val="0"/>
        <w:snapToGrid w:val="0"/>
        <w:spacing w:line="360" w:lineRule="auto"/>
        <w:ind w:firstLine="450"/>
        <w:rPr>
          <w:rFonts w:ascii="宋体" w:hAnsi="宋体"/>
          <w:color w:val="auto"/>
          <w:szCs w:val="21"/>
        </w:rPr>
      </w:pPr>
      <w:r>
        <w:rPr>
          <w:rFonts w:hint="eastAsia" w:ascii="宋体" w:hAnsi="宋体"/>
          <w:color w:val="auto"/>
          <w:szCs w:val="21"/>
        </w:rPr>
        <w:t>3.1.3具有履行合同所必需的设备和专业技术能力；</w:t>
      </w:r>
    </w:p>
    <w:p w14:paraId="434172E5">
      <w:pPr>
        <w:adjustRightInd w:val="0"/>
        <w:snapToGrid w:val="0"/>
        <w:spacing w:line="360" w:lineRule="auto"/>
        <w:ind w:firstLine="450"/>
        <w:rPr>
          <w:rFonts w:ascii="宋体" w:hAnsi="宋体"/>
          <w:color w:val="auto"/>
          <w:szCs w:val="21"/>
        </w:rPr>
      </w:pPr>
      <w:r>
        <w:rPr>
          <w:rFonts w:hint="eastAsia" w:ascii="宋体" w:hAnsi="宋体"/>
          <w:color w:val="auto"/>
          <w:szCs w:val="21"/>
        </w:rPr>
        <w:t>3.1.4有依法缴纳税收和社会保障资金的良好记录；</w:t>
      </w:r>
    </w:p>
    <w:p w14:paraId="00ED7F93">
      <w:pPr>
        <w:adjustRightInd w:val="0"/>
        <w:snapToGrid w:val="0"/>
        <w:spacing w:line="360" w:lineRule="auto"/>
        <w:ind w:firstLine="450"/>
        <w:rPr>
          <w:rFonts w:ascii="宋体" w:hAnsi="宋体"/>
          <w:color w:val="auto"/>
          <w:szCs w:val="21"/>
        </w:rPr>
      </w:pPr>
      <w:r>
        <w:rPr>
          <w:rFonts w:hint="eastAsia" w:ascii="宋体" w:hAnsi="宋体"/>
          <w:color w:val="auto"/>
          <w:szCs w:val="21"/>
        </w:rPr>
        <w:t>3.1.5参加政府采购活动前三年内，在经营活动中没有重大违法记录；</w:t>
      </w:r>
    </w:p>
    <w:p w14:paraId="5D15D58E">
      <w:pPr>
        <w:adjustRightInd w:val="0"/>
        <w:snapToGrid w:val="0"/>
        <w:spacing w:line="360" w:lineRule="auto"/>
        <w:ind w:firstLine="450"/>
        <w:rPr>
          <w:rFonts w:ascii="宋体" w:hAnsi="宋体"/>
          <w:color w:val="auto"/>
          <w:szCs w:val="21"/>
        </w:rPr>
      </w:pPr>
      <w:r>
        <w:rPr>
          <w:rFonts w:hint="eastAsia" w:ascii="宋体" w:hAnsi="宋体"/>
          <w:color w:val="auto"/>
          <w:szCs w:val="21"/>
        </w:rPr>
        <w:t>3.1.6法律、行政法规规定的其他条件。</w:t>
      </w:r>
    </w:p>
    <w:p w14:paraId="5EBBCF7A">
      <w:pPr>
        <w:adjustRightInd w:val="0"/>
        <w:snapToGrid w:val="0"/>
        <w:spacing w:line="360" w:lineRule="auto"/>
        <w:ind w:firstLine="450"/>
        <w:rPr>
          <w:b/>
          <w:color w:val="auto"/>
          <w:szCs w:val="21"/>
        </w:rPr>
      </w:pPr>
      <w:r>
        <w:rPr>
          <w:rFonts w:hint="eastAsia" w:ascii="宋体" w:hAnsi="宋体"/>
          <w:b/>
          <w:color w:val="auto"/>
          <w:szCs w:val="21"/>
        </w:rPr>
        <w:t>3.2供应商特定资格要求：见磋商须知前附表</w:t>
      </w:r>
      <w:r>
        <w:rPr>
          <w:rFonts w:hint="eastAsia"/>
          <w:b/>
          <w:color w:val="auto"/>
          <w:szCs w:val="21"/>
        </w:rPr>
        <w:t>。</w:t>
      </w:r>
    </w:p>
    <w:p w14:paraId="796C422D">
      <w:pPr>
        <w:adjustRightInd w:val="0"/>
        <w:snapToGrid w:val="0"/>
        <w:spacing w:line="360" w:lineRule="auto"/>
        <w:ind w:firstLine="450"/>
        <w:rPr>
          <w:rFonts w:ascii="宋体" w:hAnsi="宋体"/>
          <w:b/>
          <w:color w:val="auto"/>
          <w:szCs w:val="21"/>
        </w:rPr>
      </w:pPr>
      <w:r>
        <w:rPr>
          <w:rFonts w:hint="eastAsia" w:ascii="宋体" w:hAnsi="宋体"/>
          <w:b/>
          <w:color w:val="auto"/>
          <w:szCs w:val="21"/>
        </w:rPr>
        <w:t>3.3落实政府采购政策需满足的资格要求：见磋商须知前附表。</w:t>
      </w:r>
    </w:p>
    <w:p w14:paraId="3FA0B2FD">
      <w:pPr>
        <w:adjustRightInd w:val="0"/>
        <w:snapToGrid w:val="0"/>
        <w:spacing w:line="360" w:lineRule="auto"/>
        <w:ind w:firstLine="450"/>
        <w:rPr>
          <w:rFonts w:ascii="宋体" w:hAnsi="宋体"/>
          <w:b/>
          <w:bCs/>
          <w:color w:val="auto"/>
          <w:szCs w:val="21"/>
        </w:rPr>
      </w:pPr>
      <w:r>
        <w:rPr>
          <w:rFonts w:hint="eastAsia" w:ascii="宋体" w:hAnsi="宋体"/>
          <w:b/>
          <w:bCs/>
          <w:color w:val="auto"/>
          <w:szCs w:val="21"/>
        </w:rPr>
        <w:t xml:space="preserve">4.参与竞争性磋商采购活动的费用 </w:t>
      </w:r>
    </w:p>
    <w:p w14:paraId="6C74A2A2">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4.1 无论</w:t>
      </w:r>
      <w:r>
        <w:rPr>
          <w:rFonts w:hint="eastAsia" w:ascii="宋体" w:hAnsi="宋体"/>
          <w:bCs/>
          <w:color w:val="auto"/>
          <w:szCs w:val="21"/>
        </w:rPr>
        <w:t>竞争性磋商采购活动</w:t>
      </w:r>
      <w:r>
        <w:rPr>
          <w:rFonts w:hint="eastAsia" w:ascii="宋体" w:hAnsi="宋体"/>
          <w:color w:val="auto"/>
          <w:szCs w:val="21"/>
        </w:rPr>
        <w:t>的结果如何，供应商应自行承担所有与本次竞争性磋商采购活动有关的全部费用。</w:t>
      </w:r>
    </w:p>
    <w:p w14:paraId="384E83B5">
      <w:pPr>
        <w:pStyle w:val="28"/>
        <w:adjustRightInd w:val="0"/>
        <w:snapToGrid w:val="0"/>
        <w:spacing w:line="360" w:lineRule="auto"/>
        <w:rPr>
          <w:rFonts w:hAnsi="宋体"/>
          <w:b/>
          <w:bCs/>
          <w:color w:val="auto"/>
        </w:rPr>
      </w:pPr>
      <w:r>
        <w:rPr>
          <w:rFonts w:hint="eastAsia" w:hAnsi="宋体"/>
          <w:b/>
          <w:color w:val="auto"/>
        </w:rPr>
        <w:t>5．</w:t>
      </w:r>
      <w:r>
        <w:rPr>
          <w:rFonts w:hint="eastAsia" w:hAnsi="宋体"/>
          <w:b/>
          <w:bCs/>
          <w:color w:val="auto"/>
        </w:rPr>
        <w:t>授权委托</w:t>
      </w:r>
    </w:p>
    <w:p w14:paraId="1C9392EF">
      <w:pPr>
        <w:pStyle w:val="28"/>
        <w:adjustRightInd w:val="0"/>
        <w:snapToGrid w:val="0"/>
        <w:spacing w:line="360" w:lineRule="auto"/>
        <w:ind w:firstLine="420" w:firstLineChars="200"/>
        <w:rPr>
          <w:rFonts w:hAnsi="宋体"/>
          <w:color w:val="auto"/>
        </w:rPr>
      </w:pPr>
      <w:r>
        <w:rPr>
          <w:rFonts w:hint="eastAsia" w:hAnsi="宋体"/>
          <w:color w:val="auto"/>
        </w:rPr>
        <w:t>5.1供应商代表不是供应商的法定代表人，应持有授权委托书，并附法定代表人身份证明。请供应商的法人代表（或授权代表）凭法人证明（或授权委托书原件）及身份证原件准时参加磋商会议，否则，其投标将被拒绝。</w:t>
      </w:r>
    </w:p>
    <w:p w14:paraId="627ADDA7">
      <w:pPr>
        <w:pStyle w:val="28"/>
        <w:adjustRightInd w:val="0"/>
        <w:snapToGrid w:val="0"/>
        <w:spacing w:line="360" w:lineRule="auto"/>
        <w:ind w:firstLine="420" w:firstLineChars="200"/>
        <w:rPr>
          <w:rFonts w:hAnsi="宋体"/>
          <w:color w:val="auto"/>
        </w:rPr>
      </w:pPr>
      <w:r>
        <w:rPr>
          <w:rFonts w:hint="eastAsia" w:hAnsi="宋体"/>
          <w:color w:val="auto"/>
        </w:rPr>
        <w:t>5.2符合政府采购法第22条规定或磋商文件特别规定的其它组织机构投标的，上述法定代表人可以为该组织主体证件上登记的负责人，响应文件中法定代表人签字处由负责人签字。</w:t>
      </w:r>
    </w:p>
    <w:p w14:paraId="36E1D03D">
      <w:pPr>
        <w:pStyle w:val="28"/>
        <w:adjustRightInd w:val="0"/>
        <w:snapToGrid w:val="0"/>
        <w:spacing w:line="360" w:lineRule="auto"/>
        <w:rPr>
          <w:rFonts w:hAnsi="宋体"/>
          <w:b/>
          <w:color w:val="auto"/>
        </w:rPr>
      </w:pPr>
      <w:r>
        <w:rPr>
          <w:rFonts w:hint="eastAsia" w:hAnsi="宋体"/>
          <w:b/>
          <w:color w:val="auto"/>
        </w:rPr>
        <w:t>6．联合体形式</w:t>
      </w:r>
    </w:p>
    <w:p w14:paraId="5DD9CB6F">
      <w:pPr>
        <w:pStyle w:val="28"/>
        <w:adjustRightInd w:val="0"/>
        <w:snapToGrid w:val="0"/>
        <w:spacing w:line="360" w:lineRule="auto"/>
        <w:ind w:firstLine="420" w:firstLineChars="200"/>
        <w:rPr>
          <w:rFonts w:hAnsi="宋体"/>
          <w:color w:val="auto"/>
        </w:rPr>
      </w:pPr>
      <w:r>
        <w:rPr>
          <w:rFonts w:hint="eastAsia" w:hAnsi="宋体"/>
          <w:color w:val="auto"/>
        </w:rPr>
        <w:t>6.1除</w:t>
      </w:r>
      <w:r>
        <w:rPr>
          <w:rFonts w:hint="eastAsia" w:hAnsi="宋体"/>
          <w:b/>
          <w:color w:val="auto"/>
        </w:rPr>
        <w:t>磋商须知前附表</w:t>
      </w:r>
      <w:r>
        <w:rPr>
          <w:rFonts w:hint="eastAsia" w:hAnsi="宋体"/>
          <w:color w:val="auto"/>
        </w:rPr>
        <w:t>中另有规定，本次磋商采购活动不接受为联合体形式的供应商。</w:t>
      </w:r>
    </w:p>
    <w:p w14:paraId="4765FDBF">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6.2供应商</w:t>
      </w:r>
      <w:r>
        <w:rPr>
          <w:rFonts w:hint="eastAsia" w:ascii="宋体" w:hAnsi="宋体"/>
          <w:color w:val="auto"/>
        </w:rPr>
        <w:t>为联合体形式的</w:t>
      </w:r>
      <w:r>
        <w:rPr>
          <w:rFonts w:hint="eastAsia" w:ascii="宋体" w:hAnsi="宋体"/>
          <w:color w:val="auto"/>
          <w:szCs w:val="21"/>
        </w:rPr>
        <w:t>，除应符合本章第3条规定外，还应遵守以下规定：</w:t>
      </w:r>
    </w:p>
    <w:p w14:paraId="3C6EB7F9">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（l）联合体各方必须签订联合体协议书，明确联合体牵头人和各方的义务、工作、合同工作量比例；</w:t>
      </w:r>
    </w:p>
    <w:p w14:paraId="2F272A18">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（2）联合体各方均应当符合本章第3.1</w:t>
      </w:r>
      <w:r>
        <w:rPr>
          <w:rFonts w:hint="eastAsia" w:ascii="宋体" w:hAnsi="宋体" w:cs="宋体"/>
          <w:color w:val="auto"/>
          <w:kern w:val="0"/>
          <w:szCs w:val="21"/>
          <w:lang w:val="zh-CN"/>
        </w:rPr>
        <w:t>款</w:t>
      </w:r>
      <w:r>
        <w:rPr>
          <w:rFonts w:hint="eastAsia" w:ascii="宋体" w:hAnsi="宋体"/>
          <w:color w:val="auto"/>
          <w:szCs w:val="21"/>
        </w:rPr>
        <w:t>规定的供应商基本资格条件；</w:t>
      </w:r>
    </w:p>
    <w:p w14:paraId="31C23AD1">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（3）</w:t>
      </w:r>
      <w:r>
        <w:rPr>
          <w:rFonts w:hint="eastAsia" w:ascii="宋体" w:hAnsi="宋体"/>
          <w:color w:val="auto"/>
        </w:rPr>
        <w:t>除</w:t>
      </w:r>
      <w:r>
        <w:rPr>
          <w:rFonts w:hint="eastAsia" w:ascii="宋体" w:hAnsi="宋体"/>
          <w:b/>
          <w:color w:val="auto"/>
        </w:rPr>
        <w:t>磋商须知前附表</w:t>
      </w:r>
      <w:r>
        <w:rPr>
          <w:rFonts w:hint="eastAsia" w:ascii="宋体" w:hAnsi="宋体"/>
          <w:color w:val="auto"/>
        </w:rPr>
        <w:t>中另有规定，</w:t>
      </w:r>
      <w:r>
        <w:rPr>
          <w:rFonts w:hint="eastAsia" w:ascii="宋体" w:hAnsi="宋体"/>
          <w:color w:val="auto"/>
          <w:szCs w:val="21"/>
        </w:rPr>
        <w:t>联合体各方中至少有一方应当符合本章第3.1</w:t>
      </w:r>
      <w:r>
        <w:rPr>
          <w:rFonts w:hint="eastAsia" w:ascii="宋体" w:hAnsi="宋体" w:cs="宋体"/>
          <w:color w:val="auto"/>
          <w:kern w:val="0"/>
          <w:szCs w:val="21"/>
          <w:lang w:val="zh-CN"/>
        </w:rPr>
        <w:t>款</w:t>
      </w:r>
      <w:r>
        <w:rPr>
          <w:rFonts w:hint="eastAsia" w:ascii="宋体" w:hAnsi="宋体"/>
          <w:color w:val="auto"/>
          <w:szCs w:val="21"/>
        </w:rPr>
        <w:t>规定的供应商特定资格条件；</w:t>
      </w:r>
    </w:p>
    <w:p w14:paraId="28394EC5">
      <w:pPr>
        <w:adjustRightInd w:val="0"/>
        <w:snapToGrid w:val="0"/>
        <w:spacing w:line="360" w:lineRule="auto"/>
        <w:ind w:firstLine="420" w:firstLineChars="200"/>
        <w:jc w:val="left"/>
        <w:rPr>
          <w:rFonts w:ascii="宋体" w:hAnsi="宋体" w:cs="宋体"/>
          <w:color w:val="auto"/>
          <w:kern w:val="0"/>
          <w:szCs w:val="21"/>
          <w:lang w:val="zh-CN"/>
        </w:rPr>
      </w:pPr>
      <w:r>
        <w:rPr>
          <w:rFonts w:hint="eastAsia" w:ascii="宋体" w:hAnsi="宋体"/>
          <w:color w:val="auto"/>
          <w:szCs w:val="21"/>
        </w:rPr>
        <w:t>（4）</w:t>
      </w:r>
      <w:r>
        <w:rPr>
          <w:rFonts w:hint="eastAsia" w:ascii="宋体" w:hAnsi="宋体" w:cs="宋体"/>
          <w:color w:val="auto"/>
          <w:kern w:val="0"/>
          <w:szCs w:val="21"/>
          <w:lang w:val="zh-CN"/>
        </w:rPr>
        <w:t>联合体各方不得再单独或与其他供应商组成新的联合体参加同一项目的采购活动。</w:t>
      </w:r>
    </w:p>
    <w:p w14:paraId="6A845CF6">
      <w:pPr>
        <w:adjustRightInd w:val="0"/>
        <w:snapToGrid w:val="0"/>
        <w:spacing w:line="360" w:lineRule="auto"/>
        <w:rPr>
          <w:rFonts w:ascii="宋体" w:hAnsi="宋体"/>
          <w:b/>
          <w:color w:val="auto"/>
          <w:szCs w:val="21"/>
        </w:rPr>
      </w:pPr>
      <w:r>
        <w:rPr>
          <w:rFonts w:hint="eastAsia" w:ascii="宋体" w:hAnsi="宋体"/>
          <w:b/>
          <w:color w:val="auto"/>
          <w:szCs w:val="21"/>
        </w:rPr>
        <w:t>7.现场勘察</w:t>
      </w:r>
    </w:p>
    <w:p w14:paraId="4F415F45">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7.1供应商应按</w:t>
      </w:r>
      <w:r>
        <w:rPr>
          <w:rFonts w:hint="eastAsia" w:ascii="宋体" w:hAnsi="宋体"/>
          <w:b/>
          <w:color w:val="auto"/>
        </w:rPr>
        <w:t>磋商须知前附表</w:t>
      </w:r>
      <w:r>
        <w:rPr>
          <w:rFonts w:hint="eastAsia" w:ascii="宋体" w:hAnsi="宋体"/>
          <w:color w:val="auto"/>
        </w:rPr>
        <w:t>中规定</w:t>
      </w:r>
      <w:r>
        <w:rPr>
          <w:rFonts w:hint="eastAsia" w:ascii="宋体" w:hAnsi="宋体"/>
          <w:color w:val="auto"/>
          <w:szCs w:val="21"/>
        </w:rPr>
        <w:t>对采购项目现场和周围环境的现场考察。</w:t>
      </w:r>
    </w:p>
    <w:p w14:paraId="72E9B89C">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7.2勘察现场的费用由供应商自己承担，勘察期间所发生的人身伤害及财产损失由供应商自己负责。</w:t>
      </w:r>
    </w:p>
    <w:p w14:paraId="1EFA142B">
      <w:pPr>
        <w:adjustRightInd w:val="0"/>
        <w:snapToGrid w:val="0"/>
        <w:spacing w:line="360" w:lineRule="auto"/>
        <w:ind w:firstLine="420" w:firstLineChars="200"/>
        <w:jc w:val="left"/>
        <w:rPr>
          <w:rFonts w:ascii="宋体" w:hAnsi="宋体"/>
          <w:b/>
          <w:color w:val="auto"/>
          <w:szCs w:val="21"/>
        </w:rPr>
      </w:pPr>
      <w:r>
        <w:rPr>
          <w:rFonts w:hint="eastAsia" w:ascii="宋体" w:hAnsi="宋体"/>
          <w:color w:val="auto"/>
          <w:szCs w:val="21"/>
        </w:rPr>
        <w:t>7.3采购人不对供应商据此而做出的推论、理解和结论负责。一旦成交，供应商不得以任何借口，提出额外补偿，或延长合同期限的要求。</w:t>
      </w:r>
    </w:p>
    <w:p w14:paraId="26A88FD9">
      <w:pPr>
        <w:adjustRightInd w:val="0"/>
        <w:snapToGrid w:val="0"/>
        <w:spacing w:line="360" w:lineRule="auto"/>
        <w:jc w:val="left"/>
        <w:rPr>
          <w:rFonts w:ascii="宋体" w:hAnsi="宋体"/>
          <w:b/>
          <w:color w:val="auto"/>
          <w:szCs w:val="21"/>
        </w:rPr>
      </w:pPr>
      <w:r>
        <w:rPr>
          <w:rFonts w:hint="eastAsia" w:ascii="宋体" w:hAnsi="宋体"/>
          <w:b/>
          <w:color w:val="auto"/>
          <w:szCs w:val="21"/>
        </w:rPr>
        <w:t>8.采购进口产品</w:t>
      </w:r>
    </w:p>
    <w:p w14:paraId="1B30F0D0">
      <w:pPr>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olor w:val="auto"/>
          <w:szCs w:val="21"/>
        </w:rPr>
        <w:t>8.1除</w:t>
      </w:r>
      <w:r>
        <w:rPr>
          <w:rFonts w:hint="eastAsia" w:ascii="宋体" w:hAnsi="宋体"/>
          <w:b/>
          <w:color w:val="auto"/>
          <w:szCs w:val="21"/>
        </w:rPr>
        <w:t>磋商文件前附表</w:t>
      </w:r>
      <w:r>
        <w:rPr>
          <w:rFonts w:hint="eastAsia" w:ascii="宋体" w:hAnsi="宋体"/>
          <w:color w:val="auto"/>
          <w:szCs w:val="21"/>
        </w:rPr>
        <w:t>另有规定外，本项目</w:t>
      </w:r>
      <w:r>
        <w:rPr>
          <w:rFonts w:hint="eastAsia" w:ascii="宋体" w:hAnsi="宋体" w:cs="宋体"/>
          <w:color w:val="auto"/>
          <w:kern w:val="0"/>
          <w:szCs w:val="21"/>
        </w:rPr>
        <w:t>拒绝进口产品参加</w:t>
      </w:r>
      <w:r>
        <w:rPr>
          <w:rFonts w:hint="eastAsia" w:ascii="宋体" w:hAnsi="宋体"/>
          <w:color w:val="auto"/>
          <w:szCs w:val="21"/>
        </w:rPr>
        <w:t>竞争性磋商采购活动</w:t>
      </w:r>
      <w:r>
        <w:rPr>
          <w:rFonts w:hint="eastAsia" w:ascii="宋体" w:hAnsi="宋体" w:cs="宋体"/>
          <w:color w:val="auto"/>
          <w:kern w:val="0"/>
          <w:szCs w:val="21"/>
        </w:rPr>
        <w:t>。</w:t>
      </w:r>
    </w:p>
    <w:p w14:paraId="74693B95">
      <w:pPr>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8.2</w:t>
      </w:r>
      <w:r>
        <w:rPr>
          <w:rFonts w:hint="eastAsia" w:ascii="宋体" w:hAnsi="宋体"/>
          <w:color w:val="auto"/>
          <w:szCs w:val="21"/>
        </w:rPr>
        <w:t>本章第8.1</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同意购买进口产品的，</w:t>
      </w:r>
      <w:r>
        <w:rPr>
          <w:rFonts w:hint="eastAsia" w:ascii="宋体" w:hAnsi="宋体"/>
          <w:color w:val="auto"/>
          <w:szCs w:val="21"/>
        </w:rPr>
        <w:t>本项目</w:t>
      </w:r>
      <w:r>
        <w:rPr>
          <w:rFonts w:hint="eastAsia" w:ascii="宋体" w:hAnsi="宋体" w:cs="宋体"/>
          <w:color w:val="auto"/>
          <w:kern w:val="0"/>
          <w:szCs w:val="21"/>
          <w:lang w:val="zh-CN"/>
        </w:rPr>
        <w:t>采购活动</w:t>
      </w:r>
      <w:r>
        <w:rPr>
          <w:rFonts w:hint="eastAsia" w:ascii="宋体" w:hAnsi="宋体" w:cs="宋体"/>
          <w:color w:val="auto"/>
          <w:kern w:val="0"/>
          <w:szCs w:val="21"/>
        </w:rPr>
        <w:t>不限制满足</w:t>
      </w:r>
      <w:r>
        <w:rPr>
          <w:rFonts w:hint="eastAsia" w:ascii="宋体" w:hAnsi="宋体"/>
          <w:color w:val="auto"/>
          <w:szCs w:val="21"/>
        </w:rPr>
        <w:t>磋商文件要求</w:t>
      </w:r>
      <w:r>
        <w:rPr>
          <w:rFonts w:hint="eastAsia" w:ascii="宋体" w:hAnsi="宋体" w:cs="宋体"/>
          <w:color w:val="auto"/>
          <w:kern w:val="0"/>
          <w:szCs w:val="21"/>
        </w:rPr>
        <w:t>的国内产品参与</w:t>
      </w:r>
      <w:r>
        <w:rPr>
          <w:rFonts w:hint="eastAsia" w:ascii="宋体" w:hAnsi="宋体"/>
          <w:color w:val="auto"/>
          <w:szCs w:val="21"/>
        </w:rPr>
        <w:t>竞争性磋商采购活动</w:t>
      </w:r>
      <w:r>
        <w:rPr>
          <w:rFonts w:hint="eastAsia" w:ascii="宋体" w:hAnsi="宋体" w:cs="宋体"/>
          <w:color w:val="auto"/>
          <w:kern w:val="0"/>
          <w:szCs w:val="21"/>
        </w:rPr>
        <w:t>。</w:t>
      </w:r>
    </w:p>
    <w:p w14:paraId="2F8CE3A4">
      <w:pPr>
        <w:adjustRightInd w:val="0"/>
        <w:snapToGrid w:val="0"/>
        <w:spacing w:line="360" w:lineRule="auto"/>
        <w:jc w:val="left"/>
        <w:rPr>
          <w:rFonts w:ascii="宋体" w:hAnsi="宋体"/>
          <w:b/>
          <w:color w:val="auto"/>
          <w:szCs w:val="21"/>
        </w:rPr>
      </w:pPr>
      <w:r>
        <w:rPr>
          <w:rFonts w:hint="eastAsia" w:ascii="宋体" w:hAnsi="宋体"/>
          <w:b/>
          <w:bCs/>
          <w:color w:val="auto"/>
          <w:szCs w:val="21"/>
        </w:rPr>
        <w:t>9.</w:t>
      </w:r>
      <w:r>
        <w:rPr>
          <w:rFonts w:hint="eastAsia" w:ascii="宋体" w:hAnsi="宋体"/>
          <w:b/>
          <w:color w:val="auto"/>
          <w:szCs w:val="21"/>
        </w:rPr>
        <w:t xml:space="preserve"> 政府采购政策支持</w:t>
      </w:r>
    </w:p>
    <w:p w14:paraId="2B1B14DE">
      <w:pPr>
        <w:pStyle w:val="28"/>
        <w:adjustRightInd w:val="0"/>
        <w:snapToGrid w:val="0"/>
        <w:spacing w:line="360" w:lineRule="auto"/>
        <w:ind w:firstLine="420" w:firstLineChars="200"/>
        <w:rPr>
          <w:rFonts w:hAnsi="宋体"/>
          <w:color w:val="auto"/>
        </w:rPr>
      </w:pPr>
      <w:r>
        <w:rPr>
          <w:rFonts w:hint="eastAsia" w:hAnsi="宋体"/>
          <w:color w:val="auto"/>
        </w:rPr>
        <w:t>9.1产品符合政府采购强制采购政策的，实行强制采购；符合政府采购优先采购政策的，产品只能享受节能产品、环境标志产品等产品优惠中的一项(由供应商在报价文件中选择并填报政策功能编码，评审时进行</w:t>
      </w:r>
      <w:r>
        <w:rPr>
          <w:rFonts w:hint="eastAsia" w:hAnsi="宋体" w:cs="宋体"/>
          <w:color w:val="auto"/>
          <w:kern w:val="0"/>
        </w:rPr>
        <w:t>价格扣除</w:t>
      </w:r>
      <w:r>
        <w:rPr>
          <w:rFonts w:hint="eastAsia" w:hAnsi="宋体"/>
          <w:color w:val="auto"/>
        </w:rPr>
        <w:t>)；供应商享受</w:t>
      </w:r>
      <w:r>
        <w:rPr>
          <w:rFonts w:hint="eastAsia" w:hAnsi="宋体" w:cs="宋体"/>
          <w:bCs/>
          <w:color w:val="auto"/>
          <w:kern w:val="0"/>
        </w:rPr>
        <w:t>支持</w:t>
      </w:r>
      <w:r>
        <w:rPr>
          <w:rFonts w:hint="eastAsia" w:hAnsi="宋体"/>
          <w:color w:val="auto"/>
        </w:rPr>
        <w:t>中小企业发展政策优惠的，可以与同时享受节能产品、环境标志产品等产品优惠中的一项累加扣除。省级以上财政部门关于政府采购强制采购、优先采购的政策规定可在指定的公告媒体和中国政府采购网(www.ccgp.gov.cn)查询。本项目价格扣除比例见</w:t>
      </w:r>
      <w:r>
        <w:rPr>
          <w:rFonts w:hint="eastAsia" w:hAnsi="宋体"/>
          <w:b/>
          <w:color w:val="auto"/>
        </w:rPr>
        <w:t>磋商须知前附表</w:t>
      </w:r>
      <w:r>
        <w:rPr>
          <w:rFonts w:hint="eastAsia" w:hAnsi="宋体"/>
          <w:color w:val="auto"/>
        </w:rPr>
        <w:t>。</w:t>
      </w:r>
    </w:p>
    <w:p w14:paraId="3D3E9415">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9.2同一项目中部分产品属于优先采购政策的，评审时只对该部分产品的报价实行价格扣除。</w:t>
      </w:r>
    </w:p>
    <w:p w14:paraId="22A324C3">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9.3为</w:t>
      </w:r>
      <w:r>
        <w:rPr>
          <w:rFonts w:hint="eastAsia" w:ascii="宋体" w:hAnsi="宋体" w:cs="宋体"/>
          <w:color w:val="auto"/>
          <w:szCs w:val="21"/>
        </w:rPr>
        <w:t>推进政府采购诚信体系建设，</w:t>
      </w:r>
      <w:r>
        <w:rPr>
          <w:rFonts w:hint="eastAsia" w:ascii="宋体" w:hAnsi="宋体"/>
          <w:color w:val="auto"/>
          <w:szCs w:val="21"/>
        </w:rPr>
        <w:t>供应商在签署相关承诺，提供相关信息前，应认真阅读省级以上财政部门相关政策规定。符合本章第9.1</w:t>
      </w:r>
      <w:r>
        <w:rPr>
          <w:rFonts w:hint="eastAsia" w:ascii="宋体" w:hAnsi="宋体" w:cs="宋体"/>
          <w:color w:val="auto"/>
          <w:kern w:val="0"/>
          <w:szCs w:val="21"/>
          <w:lang w:val="zh-CN"/>
        </w:rPr>
        <w:t>款、</w:t>
      </w:r>
      <w:r>
        <w:rPr>
          <w:rFonts w:hint="eastAsia" w:ascii="宋体" w:hAnsi="宋体"/>
          <w:color w:val="auto"/>
          <w:szCs w:val="21"/>
        </w:rPr>
        <w:t>第9.2</w:t>
      </w:r>
      <w:r>
        <w:rPr>
          <w:rFonts w:hint="eastAsia" w:ascii="宋体" w:hAnsi="宋体" w:cs="宋体"/>
          <w:color w:val="auto"/>
          <w:kern w:val="0"/>
          <w:szCs w:val="21"/>
          <w:lang w:val="zh-CN"/>
        </w:rPr>
        <w:t>款</w:t>
      </w:r>
      <w:r>
        <w:rPr>
          <w:rFonts w:hint="eastAsia" w:ascii="宋体" w:hAnsi="宋体"/>
          <w:color w:val="auto"/>
          <w:szCs w:val="21"/>
        </w:rPr>
        <w:t>规定的，应提供相关证明材料。否则，在评审时不予以扣除。</w:t>
      </w:r>
    </w:p>
    <w:p w14:paraId="236C604E">
      <w:pPr>
        <w:pStyle w:val="28"/>
        <w:adjustRightInd w:val="0"/>
        <w:snapToGrid w:val="0"/>
        <w:spacing w:before="156" w:beforeLines="50" w:line="360" w:lineRule="auto"/>
        <w:rPr>
          <w:rFonts w:hAnsi="宋体"/>
          <w:b/>
          <w:color w:val="auto"/>
        </w:rPr>
      </w:pPr>
      <w:r>
        <w:rPr>
          <w:rFonts w:hint="eastAsia" w:hAnsi="宋体"/>
          <w:b/>
          <w:color w:val="auto"/>
        </w:rPr>
        <w:t>10. 偏离</w:t>
      </w:r>
    </w:p>
    <w:p w14:paraId="407E6527">
      <w:pPr>
        <w:pStyle w:val="46"/>
        <w:adjustRightInd w:val="0"/>
        <w:snapToGrid w:val="0"/>
        <w:spacing w:before="0" w:beforeAutospacing="0" w:after="0" w:afterAutospacing="0" w:line="360" w:lineRule="auto"/>
        <w:ind w:right="97" w:rightChars="46" w:firstLine="420" w:firstLineChars="200"/>
        <w:jc w:val="both"/>
        <w:rPr>
          <w:color w:val="auto"/>
          <w:sz w:val="21"/>
          <w:szCs w:val="21"/>
        </w:rPr>
      </w:pPr>
      <w:r>
        <w:rPr>
          <w:rFonts w:hint="eastAsia"/>
          <w:bCs/>
          <w:color w:val="auto"/>
          <w:sz w:val="21"/>
          <w:szCs w:val="21"/>
        </w:rPr>
        <w:t>10.1本条所称</w:t>
      </w:r>
      <w:r>
        <w:rPr>
          <w:rFonts w:hint="eastAsia"/>
          <w:color w:val="auto"/>
          <w:sz w:val="21"/>
          <w:szCs w:val="21"/>
        </w:rPr>
        <w:t>偏离为响应</w:t>
      </w:r>
      <w:r>
        <w:rPr>
          <w:rFonts w:hint="eastAsia"/>
          <w:bCs/>
          <w:color w:val="auto"/>
          <w:sz w:val="21"/>
          <w:szCs w:val="21"/>
        </w:rPr>
        <w:t>文件</w:t>
      </w:r>
      <w:r>
        <w:rPr>
          <w:rFonts w:hint="eastAsia"/>
          <w:color w:val="auto"/>
          <w:sz w:val="21"/>
          <w:szCs w:val="21"/>
        </w:rPr>
        <w:t>对</w:t>
      </w:r>
      <w:r>
        <w:rPr>
          <w:rFonts w:hint="eastAsia"/>
          <w:bCs/>
          <w:color w:val="auto"/>
          <w:sz w:val="21"/>
          <w:szCs w:val="21"/>
        </w:rPr>
        <w:t>磋商文件</w:t>
      </w:r>
      <w:r>
        <w:rPr>
          <w:rFonts w:hint="eastAsia"/>
          <w:color w:val="auto"/>
          <w:sz w:val="21"/>
          <w:szCs w:val="21"/>
        </w:rPr>
        <w:t>的偏离，即不满足、或不响应</w:t>
      </w:r>
      <w:r>
        <w:rPr>
          <w:rFonts w:hint="eastAsia"/>
          <w:bCs/>
          <w:color w:val="auto"/>
          <w:sz w:val="21"/>
          <w:szCs w:val="21"/>
        </w:rPr>
        <w:t>磋商文件</w:t>
      </w:r>
      <w:r>
        <w:rPr>
          <w:rFonts w:hint="eastAsia"/>
          <w:color w:val="auto"/>
          <w:sz w:val="21"/>
          <w:szCs w:val="21"/>
        </w:rPr>
        <w:t>的要求。偏离分为对</w:t>
      </w:r>
      <w:r>
        <w:rPr>
          <w:rFonts w:hint="eastAsia"/>
          <w:bCs/>
          <w:color w:val="auto"/>
          <w:sz w:val="21"/>
          <w:szCs w:val="21"/>
        </w:rPr>
        <w:t>磋商文件</w:t>
      </w:r>
      <w:r>
        <w:rPr>
          <w:rFonts w:hint="eastAsia"/>
          <w:color w:val="auto"/>
          <w:sz w:val="21"/>
          <w:szCs w:val="21"/>
        </w:rPr>
        <w:t>的实质性要求条款偏离和对</w:t>
      </w:r>
      <w:r>
        <w:rPr>
          <w:rFonts w:hint="eastAsia"/>
          <w:bCs/>
          <w:color w:val="auto"/>
          <w:sz w:val="21"/>
          <w:szCs w:val="21"/>
        </w:rPr>
        <w:t>磋商文件</w:t>
      </w:r>
      <w:r>
        <w:rPr>
          <w:rFonts w:hint="eastAsia"/>
          <w:color w:val="auto"/>
          <w:sz w:val="21"/>
          <w:szCs w:val="21"/>
        </w:rPr>
        <w:t>的一般商务和技术条款（参数）偏离。</w:t>
      </w:r>
    </w:p>
    <w:p w14:paraId="6672610F">
      <w:pPr>
        <w:tabs>
          <w:tab w:val="left" w:pos="0"/>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10.2</w:t>
      </w:r>
      <w:r>
        <w:rPr>
          <w:rFonts w:hint="eastAsia" w:ascii="宋体" w:hAnsi="宋体"/>
          <w:bCs/>
          <w:color w:val="auto"/>
          <w:szCs w:val="21"/>
        </w:rPr>
        <w:t>除法律、法规和规章规定外，磋商文件</w:t>
      </w:r>
      <w:r>
        <w:rPr>
          <w:rFonts w:hint="eastAsia" w:ascii="宋体" w:hAnsi="宋体"/>
          <w:color w:val="auto"/>
          <w:szCs w:val="21"/>
        </w:rPr>
        <w:t>中用“拒绝”、“不接受”、“无效”、“不得”等文字规定或标注“★”符号的条款为实质性要求条款（即重要条款），对其中任何一条的偏离(即不满足、或不响应)，在评审时将其视为无效响应。未用上述文字规定或符号标注的条款为非实质性要求条款(即一般条款)。</w:t>
      </w:r>
    </w:p>
    <w:p w14:paraId="192ADB85">
      <w:pPr>
        <w:tabs>
          <w:tab w:val="left" w:pos="0"/>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10.3一般商务和技术条款（参数），偏离项数之和超过</w:t>
      </w:r>
      <w:r>
        <w:rPr>
          <w:rFonts w:hint="eastAsia" w:hAnsi="宋体"/>
          <w:b/>
          <w:color w:val="auto"/>
        </w:rPr>
        <w:t>磋商须知前附表</w:t>
      </w:r>
      <w:r>
        <w:rPr>
          <w:rFonts w:hint="eastAsia" w:hAnsi="宋体"/>
          <w:bCs/>
          <w:color w:val="auto"/>
        </w:rPr>
        <w:t>规定</w:t>
      </w:r>
      <w:r>
        <w:rPr>
          <w:rFonts w:hint="eastAsia" w:ascii="宋体" w:hAnsi="宋体"/>
          <w:color w:val="auto"/>
          <w:szCs w:val="21"/>
        </w:rPr>
        <w:t>将导致无效响应。</w:t>
      </w:r>
    </w:p>
    <w:p w14:paraId="5356E6C7">
      <w:pPr>
        <w:adjustRightInd w:val="0"/>
        <w:snapToGrid w:val="0"/>
        <w:spacing w:line="360" w:lineRule="auto"/>
        <w:ind w:left="906" w:hanging="906" w:hangingChars="376"/>
        <w:rPr>
          <w:rFonts w:ascii="宋体" w:hAnsi="宋体"/>
          <w:b/>
          <w:color w:val="auto"/>
          <w:sz w:val="24"/>
        </w:rPr>
      </w:pPr>
      <w:r>
        <w:rPr>
          <w:rFonts w:hint="eastAsia" w:ascii="宋体" w:hAnsi="宋体"/>
          <w:b/>
          <w:color w:val="auto"/>
          <w:sz w:val="24"/>
        </w:rPr>
        <w:t>二、磋商文件</w:t>
      </w:r>
    </w:p>
    <w:p w14:paraId="46719C41">
      <w:pPr>
        <w:adjustRightInd w:val="0"/>
        <w:snapToGrid w:val="0"/>
        <w:spacing w:line="360" w:lineRule="auto"/>
        <w:rPr>
          <w:rFonts w:ascii="宋体" w:hAnsi="宋体"/>
          <w:b/>
          <w:bCs/>
          <w:color w:val="auto"/>
          <w:szCs w:val="21"/>
        </w:rPr>
      </w:pPr>
      <w:r>
        <w:rPr>
          <w:rFonts w:hint="eastAsia" w:ascii="宋体" w:hAnsi="宋体"/>
          <w:b/>
          <w:bCs/>
          <w:color w:val="auto"/>
          <w:szCs w:val="21"/>
        </w:rPr>
        <w:t>11．磋商文件的组成</w:t>
      </w:r>
    </w:p>
    <w:p w14:paraId="25A85AEB">
      <w:pPr>
        <w:pStyle w:val="28"/>
        <w:adjustRightInd w:val="0"/>
        <w:snapToGrid w:val="0"/>
        <w:spacing w:line="360" w:lineRule="auto"/>
        <w:ind w:firstLine="420" w:firstLineChars="200"/>
        <w:rPr>
          <w:rFonts w:hAnsi="宋体"/>
          <w:color w:val="auto"/>
        </w:rPr>
      </w:pPr>
      <w:r>
        <w:rPr>
          <w:rFonts w:hint="eastAsia" w:hAnsi="宋体"/>
          <w:color w:val="auto"/>
        </w:rPr>
        <w:t>11.1 磋商文件由下列文件组成：</w:t>
      </w:r>
    </w:p>
    <w:p w14:paraId="2552A0F8">
      <w:pPr>
        <w:pStyle w:val="28"/>
        <w:adjustRightInd w:val="0"/>
        <w:snapToGrid w:val="0"/>
        <w:spacing w:line="360" w:lineRule="auto"/>
        <w:ind w:firstLine="420" w:firstLineChars="200"/>
        <w:rPr>
          <w:rFonts w:hAnsi="宋体"/>
          <w:color w:val="auto"/>
        </w:rPr>
      </w:pPr>
      <w:r>
        <w:rPr>
          <w:rFonts w:hint="eastAsia" w:hAnsi="宋体"/>
          <w:color w:val="auto"/>
        </w:rPr>
        <w:t>第一章 磋商通知</w:t>
      </w:r>
    </w:p>
    <w:p w14:paraId="793BA319">
      <w:pPr>
        <w:pStyle w:val="28"/>
        <w:adjustRightInd w:val="0"/>
        <w:snapToGrid w:val="0"/>
        <w:spacing w:line="360" w:lineRule="auto"/>
        <w:ind w:firstLine="420" w:firstLineChars="200"/>
        <w:rPr>
          <w:rFonts w:hAnsi="宋体"/>
          <w:color w:val="auto"/>
        </w:rPr>
      </w:pPr>
      <w:r>
        <w:rPr>
          <w:rFonts w:hint="eastAsia" w:hAnsi="宋体"/>
          <w:color w:val="auto"/>
        </w:rPr>
        <w:t>第二章 磋商须知</w:t>
      </w:r>
    </w:p>
    <w:p w14:paraId="48DBD6E7">
      <w:pPr>
        <w:pStyle w:val="28"/>
        <w:adjustRightInd w:val="0"/>
        <w:snapToGrid w:val="0"/>
        <w:spacing w:line="360" w:lineRule="auto"/>
        <w:ind w:firstLine="420" w:firstLineChars="200"/>
        <w:rPr>
          <w:rFonts w:hAnsi="宋体"/>
          <w:color w:val="auto"/>
        </w:rPr>
      </w:pPr>
      <w:r>
        <w:rPr>
          <w:rFonts w:hint="eastAsia" w:hAnsi="宋体"/>
          <w:color w:val="auto"/>
        </w:rPr>
        <w:t>第三章 磋商办法</w:t>
      </w:r>
    </w:p>
    <w:p w14:paraId="76D1B82F">
      <w:pPr>
        <w:pStyle w:val="28"/>
        <w:adjustRightInd w:val="0"/>
        <w:snapToGrid w:val="0"/>
        <w:spacing w:line="360" w:lineRule="auto"/>
        <w:ind w:firstLine="420" w:firstLineChars="200"/>
        <w:rPr>
          <w:rFonts w:hAnsi="宋体"/>
          <w:color w:val="auto"/>
        </w:rPr>
      </w:pPr>
      <w:r>
        <w:rPr>
          <w:rFonts w:hint="eastAsia" w:hAnsi="宋体"/>
          <w:color w:val="auto"/>
        </w:rPr>
        <w:t>第四章 政府采购合同格式条款</w:t>
      </w:r>
    </w:p>
    <w:p w14:paraId="21F6AB02">
      <w:pPr>
        <w:pStyle w:val="28"/>
        <w:adjustRightInd w:val="0"/>
        <w:snapToGrid w:val="0"/>
        <w:spacing w:line="360" w:lineRule="auto"/>
        <w:ind w:firstLine="420" w:firstLineChars="200"/>
        <w:rPr>
          <w:rFonts w:hAnsi="宋体"/>
          <w:color w:val="auto"/>
        </w:rPr>
      </w:pPr>
      <w:r>
        <w:rPr>
          <w:rFonts w:hint="eastAsia" w:hAnsi="宋体"/>
          <w:color w:val="auto"/>
        </w:rPr>
        <w:t>第五章 采购需求</w:t>
      </w:r>
    </w:p>
    <w:p w14:paraId="675D6C46">
      <w:pPr>
        <w:pStyle w:val="28"/>
        <w:adjustRightInd w:val="0"/>
        <w:snapToGrid w:val="0"/>
        <w:spacing w:line="360" w:lineRule="auto"/>
        <w:ind w:firstLine="420" w:firstLineChars="200"/>
        <w:rPr>
          <w:rFonts w:hAnsi="宋体"/>
          <w:color w:val="auto"/>
        </w:rPr>
      </w:pPr>
      <w:r>
        <w:rPr>
          <w:rFonts w:hint="eastAsia" w:hAnsi="宋体"/>
          <w:color w:val="auto"/>
        </w:rPr>
        <w:t>第六章 响应文件组成</w:t>
      </w:r>
    </w:p>
    <w:p w14:paraId="7B9B3A18">
      <w:pPr>
        <w:pStyle w:val="28"/>
        <w:adjustRightInd w:val="0"/>
        <w:snapToGrid w:val="0"/>
        <w:spacing w:line="360" w:lineRule="auto"/>
        <w:ind w:firstLine="420" w:firstLineChars="200"/>
        <w:rPr>
          <w:rFonts w:hAnsi="宋体"/>
          <w:color w:val="auto"/>
        </w:rPr>
      </w:pPr>
      <w:r>
        <w:rPr>
          <w:rFonts w:hint="eastAsia" w:hAnsi="宋体"/>
          <w:color w:val="auto"/>
        </w:rPr>
        <w:t>11.2</w:t>
      </w:r>
      <w:r>
        <w:rPr>
          <w:rFonts w:hint="eastAsia" w:hAnsi="宋体"/>
          <w:bCs/>
          <w:color w:val="auto"/>
        </w:rPr>
        <w:t>本章第12.1</w:t>
      </w:r>
      <w:r>
        <w:rPr>
          <w:rFonts w:hint="eastAsia" w:hAnsi="宋体" w:cs="宋体"/>
          <w:color w:val="auto"/>
          <w:kern w:val="0"/>
          <w:lang w:val="zh-CN"/>
        </w:rPr>
        <w:t>款</w:t>
      </w:r>
      <w:r>
        <w:rPr>
          <w:rFonts w:hint="eastAsia" w:hAnsi="宋体"/>
          <w:bCs/>
          <w:color w:val="auto"/>
        </w:rPr>
        <w:t>规定的</w:t>
      </w:r>
      <w:r>
        <w:rPr>
          <w:rFonts w:hint="eastAsia" w:hAnsi="宋体" w:cs="宋体"/>
          <w:color w:val="auto"/>
          <w:kern w:val="0"/>
        </w:rPr>
        <w:t>提交首次响应文件截止时间前对磋商文件澄清或者修改内容，为磋商文件的组成部分。</w:t>
      </w:r>
    </w:p>
    <w:p w14:paraId="37BEFF3A">
      <w:pPr>
        <w:pStyle w:val="28"/>
        <w:adjustRightInd w:val="0"/>
        <w:snapToGrid w:val="0"/>
        <w:spacing w:line="360" w:lineRule="auto"/>
        <w:ind w:firstLine="420" w:firstLineChars="200"/>
        <w:rPr>
          <w:rFonts w:hAnsi="宋体" w:cs="宋体"/>
          <w:color w:val="auto"/>
          <w:kern w:val="0"/>
        </w:rPr>
      </w:pPr>
      <w:r>
        <w:rPr>
          <w:rFonts w:hint="eastAsia" w:hAnsi="宋体"/>
          <w:color w:val="auto"/>
        </w:rPr>
        <w:t>11.3</w:t>
      </w:r>
      <w:r>
        <w:rPr>
          <w:rFonts w:hint="eastAsia" w:hAnsi="宋体" w:cs="宋体"/>
          <w:color w:val="auto"/>
          <w:kern w:val="0"/>
        </w:rPr>
        <w:t>磋商小组根据与供应商磋商情况可能实质性变动的内容，包括采购需求中的技术、服务要求以及合同条款，</w:t>
      </w:r>
      <w:r>
        <w:rPr>
          <w:rFonts w:hint="eastAsia" w:hAnsi="宋体"/>
          <w:color w:val="auto"/>
        </w:rPr>
        <w:t>在</w:t>
      </w:r>
      <w:r>
        <w:rPr>
          <w:rFonts w:hint="eastAsia" w:hAnsi="宋体"/>
          <w:b/>
          <w:color w:val="auto"/>
        </w:rPr>
        <w:t>磋商须知前附表</w:t>
      </w:r>
      <w:r>
        <w:rPr>
          <w:rFonts w:hint="eastAsia" w:hAnsi="宋体"/>
          <w:color w:val="auto"/>
        </w:rPr>
        <w:t>中明确。</w:t>
      </w:r>
    </w:p>
    <w:p w14:paraId="2E24F965">
      <w:pPr>
        <w:adjustRightInd w:val="0"/>
        <w:snapToGrid w:val="0"/>
        <w:spacing w:line="360" w:lineRule="auto"/>
        <w:ind w:firstLine="420" w:firstLineChars="200"/>
        <w:rPr>
          <w:rFonts w:ascii="宋体" w:hAnsi="宋体"/>
          <w:color w:val="auto"/>
          <w:szCs w:val="21"/>
        </w:rPr>
      </w:pPr>
      <w:r>
        <w:rPr>
          <w:rFonts w:hint="eastAsia" w:ascii="宋体" w:hAnsi="宋体"/>
          <w:color w:val="auto"/>
        </w:rPr>
        <w:t>11.4</w:t>
      </w:r>
      <w:r>
        <w:rPr>
          <w:rFonts w:hint="eastAsia" w:ascii="宋体" w:hAnsi="宋体"/>
          <w:color w:val="auto"/>
          <w:szCs w:val="21"/>
        </w:rPr>
        <w:t>供应商应仔细阅读</w:t>
      </w:r>
      <w:r>
        <w:rPr>
          <w:rFonts w:hint="eastAsia" w:ascii="宋体" w:hAnsi="宋体"/>
          <w:bCs/>
          <w:color w:val="auto"/>
          <w:szCs w:val="21"/>
        </w:rPr>
        <w:t>磋商文件</w:t>
      </w:r>
      <w:r>
        <w:rPr>
          <w:rFonts w:hint="eastAsia" w:ascii="宋体" w:hAnsi="宋体"/>
          <w:color w:val="auto"/>
          <w:szCs w:val="21"/>
        </w:rPr>
        <w:t>的全部内容，按照</w:t>
      </w:r>
      <w:r>
        <w:rPr>
          <w:rFonts w:hint="eastAsia" w:ascii="宋体" w:hAnsi="宋体"/>
          <w:bCs/>
          <w:color w:val="auto"/>
          <w:szCs w:val="21"/>
        </w:rPr>
        <w:t>磋商文件</w:t>
      </w:r>
      <w:r>
        <w:rPr>
          <w:rFonts w:hint="eastAsia" w:ascii="宋体" w:hAnsi="宋体"/>
          <w:color w:val="auto"/>
          <w:szCs w:val="21"/>
        </w:rPr>
        <w:t>要求编制响应文件。任何对</w:t>
      </w:r>
      <w:r>
        <w:rPr>
          <w:rFonts w:hint="eastAsia" w:ascii="宋体" w:hAnsi="宋体"/>
          <w:bCs/>
          <w:color w:val="auto"/>
          <w:szCs w:val="21"/>
        </w:rPr>
        <w:t>磋商文件</w:t>
      </w:r>
      <w:r>
        <w:rPr>
          <w:rFonts w:hint="eastAsia" w:ascii="宋体" w:hAnsi="宋体"/>
          <w:color w:val="auto"/>
          <w:szCs w:val="21"/>
        </w:rPr>
        <w:t>的忽略或误解不能作为响应文件存在缺陷或瑕疵的理由，其风险由供应商承担。</w:t>
      </w:r>
    </w:p>
    <w:p w14:paraId="34E1A304">
      <w:pPr>
        <w:pStyle w:val="28"/>
        <w:adjustRightInd w:val="0"/>
        <w:snapToGrid w:val="0"/>
        <w:spacing w:line="360" w:lineRule="auto"/>
        <w:rPr>
          <w:rFonts w:hAnsi="宋体"/>
          <w:color w:val="auto"/>
        </w:rPr>
      </w:pPr>
      <w:r>
        <w:rPr>
          <w:rFonts w:hint="eastAsia" w:hAnsi="宋体"/>
          <w:b/>
          <w:color w:val="auto"/>
        </w:rPr>
        <w:t>12.递</w:t>
      </w:r>
      <w:r>
        <w:rPr>
          <w:rFonts w:hint="eastAsia" w:hAnsi="宋体" w:cs="宋体"/>
          <w:b/>
          <w:color w:val="auto"/>
          <w:kern w:val="0"/>
        </w:rPr>
        <w:t>交响应文件</w:t>
      </w:r>
      <w:r>
        <w:rPr>
          <w:rFonts w:hint="eastAsia" w:hAnsi="宋体"/>
          <w:b/>
          <w:color w:val="auto"/>
        </w:rPr>
        <w:t>的</w:t>
      </w:r>
      <w:r>
        <w:rPr>
          <w:rFonts w:hint="eastAsia" w:hAnsi="宋体" w:cs="宋体"/>
          <w:b/>
          <w:color w:val="auto"/>
          <w:kern w:val="0"/>
        </w:rPr>
        <w:t>截止</w:t>
      </w:r>
      <w:r>
        <w:rPr>
          <w:rFonts w:hint="eastAsia" w:hAnsi="宋体"/>
          <w:b/>
          <w:color w:val="auto"/>
        </w:rPr>
        <w:t>时间</w:t>
      </w:r>
    </w:p>
    <w:p w14:paraId="3F158433">
      <w:pPr>
        <w:pStyle w:val="28"/>
        <w:adjustRightInd w:val="0"/>
        <w:snapToGrid w:val="0"/>
        <w:spacing w:line="360" w:lineRule="auto"/>
        <w:ind w:firstLine="420" w:firstLineChars="200"/>
        <w:rPr>
          <w:rFonts w:hAnsi="宋体"/>
          <w:color w:val="auto"/>
        </w:rPr>
      </w:pPr>
      <w:r>
        <w:rPr>
          <w:rFonts w:hint="eastAsia" w:hAnsi="宋体"/>
          <w:color w:val="auto"/>
        </w:rPr>
        <w:t>12.1</w:t>
      </w:r>
      <w:r>
        <w:rPr>
          <w:rFonts w:hint="eastAsia" w:hAnsi="宋体" w:cs="宋体"/>
          <w:color w:val="auto"/>
          <w:kern w:val="0"/>
        </w:rPr>
        <w:t>供应商递交响应文件截止</w:t>
      </w:r>
      <w:r>
        <w:rPr>
          <w:rFonts w:hint="eastAsia" w:hAnsi="宋体"/>
          <w:color w:val="auto"/>
        </w:rPr>
        <w:t>时间见</w:t>
      </w:r>
      <w:r>
        <w:rPr>
          <w:rFonts w:hint="eastAsia" w:hAnsi="宋体"/>
          <w:b/>
          <w:color w:val="auto"/>
        </w:rPr>
        <w:t>磋商须知前附表</w:t>
      </w:r>
      <w:r>
        <w:rPr>
          <w:rFonts w:hint="eastAsia" w:hAnsi="宋体"/>
          <w:color w:val="auto"/>
        </w:rPr>
        <w:t>。</w:t>
      </w:r>
    </w:p>
    <w:p w14:paraId="3F1BE749">
      <w:pPr>
        <w:adjustRightInd w:val="0"/>
        <w:snapToGrid w:val="0"/>
        <w:spacing w:line="360" w:lineRule="auto"/>
        <w:rPr>
          <w:rFonts w:ascii="宋体" w:hAnsi="宋体"/>
          <w:b/>
          <w:bCs/>
          <w:color w:val="auto"/>
          <w:szCs w:val="21"/>
        </w:rPr>
      </w:pPr>
      <w:r>
        <w:rPr>
          <w:rFonts w:hint="eastAsia" w:ascii="宋体" w:hAnsi="宋体"/>
          <w:b/>
          <w:bCs/>
          <w:color w:val="auto"/>
          <w:szCs w:val="21"/>
        </w:rPr>
        <w:t>13.磋商文件的澄清</w:t>
      </w:r>
      <w:r>
        <w:rPr>
          <w:rFonts w:hint="eastAsia" w:ascii="宋体" w:hAnsi="宋体"/>
          <w:b/>
          <w:color w:val="auto"/>
          <w:kern w:val="0"/>
          <w:szCs w:val="21"/>
          <w:lang w:val="zh-CN"/>
        </w:rPr>
        <w:t>或者</w:t>
      </w:r>
      <w:r>
        <w:rPr>
          <w:rFonts w:hint="eastAsia" w:ascii="宋体" w:hAnsi="宋体"/>
          <w:b/>
          <w:bCs/>
          <w:color w:val="auto"/>
          <w:szCs w:val="21"/>
        </w:rPr>
        <w:t>修改</w:t>
      </w:r>
    </w:p>
    <w:p w14:paraId="705F07C4">
      <w:pPr>
        <w:adjustRightInd w:val="0"/>
        <w:snapToGrid w:val="0"/>
        <w:spacing w:line="360" w:lineRule="auto"/>
        <w:ind w:right="-105" w:rightChars="-50" w:firstLine="420" w:firstLineChars="200"/>
        <w:rPr>
          <w:rFonts w:ascii="宋体" w:hAnsi="宋体" w:cs="宋体"/>
          <w:color w:val="auto"/>
          <w:kern w:val="0"/>
          <w:szCs w:val="21"/>
        </w:rPr>
      </w:pPr>
      <w:r>
        <w:rPr>
          <w:rFonts w:hint="eastAsia" w:ascii="宋体" w:hAnsi="宋体"/>
          <w:color w:val="auto"/>
          <w:szCs w:val="21"/>
        </w:rPr>
        <w:t>13.1在</w:t>
      </w:r>
      <w:r>
        <w:rPr>
          <w:rFonts w:hint="eastAsia" w:ascii="宋体" w:hAnsi="宋体"/>
          <w:bCs/>
          <w:color w:val="auto"/>
          <w:szCs w:val="21"/>
        </w:rPr>
        <w:t>本章第12.1</w:t>
      </w:r>
      <w:r>
        <w:rPr>
          <w:rFonts w:hint="eastAsia" w:ascii="宋体" w:hAnsi="宋体" w:cs="宋体"/>
          <w:color w:val="auto"/>
          <w:kern w:val="0"/>
          <w:szCs w:val="21"/>
          <w:lang w:val="zh-CN"/>
        </w:rPr>
        <w:t>款</w:t>
      </w:r>
      <w:r>
        <w:rPr>
          <w:rFonts w:hint="eastAsia" w:ascii="宋体" w:hAnsi="宋体"/>
          <w:bCs/>
          <w:color w:val="auto"/>
          <w:szCs w:val="21"/>
        </w:rPr>
        <w:t>规定的递</w:t>
      </w:r>
      <w:r>
        <w:rPr>
          <w:rFonts w:hint="eastAsia" w:ascii="宋体" w:hAnsi="宋体" w:cs="宋体"/>
          <w:color w:val="auto"/>
          <w:kern w:val="0"/>
          <w:szCs w:val="21"/>
        </w:rPr>
        <w:t xml:space="preserve">交响应文件截止之日前，采购人、采购代理机构或者磋商小组可以对已发出的磋商文件进行必要的澄清或者修改。 </w:t>
      </w:r>
    </w:p>
    <w:p w14:paraId="2F9534BE">
      <w:pPr>
        <w:autoSpaceDE w:val="0"/>
        <w:autoSpaceDN w:val="0"/>
        <w:adjustRightInd w:val="0"/>
        <w:snapToGrid w:val="0"/>
        <w:spacing w:before="156" w:beforeLines="50" w:line="360" w:lineRule="auto"/>
        <w:ind w:firstLine="420" w:firstLineChars="200"/>
        <w:rPr>
          <w:rFonts w:ascii="宋体" w:hAnsi="宋体" w:cs="宋体"/>
          <w:color w:val="auto"/>
          <w:kern w:val="0"/>
          <w:szCs w:val="21"/>
        </w:rPr>
      </w:pPr>
      <w:r>
        <w:rPr>
          <w:rFonts w:hint="eastAsia" w:ascii="宋体" w:hAnsi="宋体"/>
          <w:color w:val="auto"/>
          <w:szCs w:val="21"/>
        </w:rPr>
        <w:t>13.2</w:t>
      </w:r>
      <w:r>
        <w:rPr>
          <w:rFonts w:hint="eastAsia" w:ascii="宋体" w:hAnsi="宋体" w:cs="宋体"/>
          <w:color w:val="auto"/>
          <w:kern w:val="0"/>
          <w:szCs w:val="21"/>
        </w:rPr>
        <w:t>澄清或者修改的内容可能影响响应文件编制的，采购人、采购代理机构或者磋商小组应当在</w:t>
      </w:r>
      <w:r>
        <w:rPr>
          <w:rFonts w:hint="eastAsia" w:ascii="宋体" w:hAnsi="宋体"/>
          <w:bCs/>
          <w:color w:val="auto"/>
          <w:szCs w:val="21"/>
        </w:rPr>
        <w:t>本章第12.1</w:t>
      </w:r>
      <w:r>
        <w:rPr>
          <w:rFonts w:hint="eastAsia" w:ascii="宋体" w:hAnsi="宋体" w:cs="宋体"/>
          <w:color w:val="auto"/>
          <w:kern w:val="0"/>
          <w:szCs w:val="21"/>
          <w:lang w:val="zh-CN"/>
        </w:rPr>
        <w:t>款</w:t>
      </w:r>
      <w:r>
        <w:rPr>
          <w:rFonts w:hint="eastAsia" w:ascii="宋体" w:hAnsi="宋体"/>
          <w:bCs/>
          <w:color w:val="auto"/>
          <w:szCs w:val="21"/>
        </w:rPr>
        <w:t>规定的</w:t>
      </w:r>
      <w:r>
        <w:rPr>
          <w:rFonts w:hint="eastAsia" w:ascii="宋体" w:hAnsi="宋体" w:cs="宋体"/>
          <w:color w:val="auto"/>
          <w:kern w:val="0"/>
          <w:szCs w:val="21"/>
        </w:rPr>
        <w:t>提交首次响应文件截止之日3个工作日前，以书面形式通知所有接收磋商文件的供应商，不足3个工作日的，顺延供应商提交响应文件截止时间。</w:t>
      </w:r>
      <w:r>
        <w:rPr>
          <w:rFonts w:hint="eastAsia" w:ascii="ˎ̥" w:hAnsi="ˎ̥"/>
          <w:color w:val="auto"/>
        </w:rPr>
        <w:t>澄清更正采用</w:t>
      </w:r>
      <w:r>
        <w:rPr>
          <w:rFonts w:ascii="ˎ̥" w:hAnsi="ˎ̥"/>
          <w:color w:val="auto"/>
        </w:rPr>
        <w:t>“</w:t>
      </w:r>
      <w:r>
        <w:rPr>
          <w:rFonts w:hint="eastAsia" w:ascii="ˎ̥" w:hAnsi="ˎ̥"/>
          <w:color w:val="auto"/>
        </w:rPr>
        <w:t>网上澄清更正</w:t>
      </w:r>
      <w:r>
        <w:rPr>
          <w:rFonts w:ascii="ˎ̥" w:hAnsi="ˎ̥"/>
          <w:color w:val="auto"/>
          <w:sz w:val="18"/>
          <w:szCs w:val="18"/>
        </w:rPr>
        <w:t> </w:t>
      </w:r>
      <w:r>
        <w:rPr>
          <w:rFonts w:ascii="ˎ̥" w:hAnsi="ˎ̥"/>
          <w:color w:val="auto"/>
        </w:rPr>
        <w:t>”</w:t>
      </w:r>
      <w:r>
        <w:rPr>
          <w:rFonts w:hint="eastAsia" w:ascii="ˎ̥" w:hAnsi="ˎ̥"/>
          <w:color w:val="auto"/>
        </w:rPr>
        <w:t>方式。采购代理机构对磋商文件的澄清更正将在</w:t>
      </w:r>
      <w:r>
        <w:rPr>
          <w:rFonts w:hint="eastAsia" w:hAnsi="宋体"/>
          <w:b/>
          <w:color w:val="auto"/>
        </w:rPr>
        <w:t>磋商须知前附表</w:t>
      </w:r>
      <w:r>
        <w:rPr>
          <w:rFonts w:hint="eastAsia" w:ascii="ˎ̥" w:hAnsi="ˎ̥"/>
          <w:color w:val="auto"/>
        </w:rPr>
        <w:t>指定公告媒体上发布，</w:t>
      </w:r>
      <w:r>
        <w:rPr>
          <w:rFonts w:hint="eastAsia" w:ascii="宋体" w:hAnsi="宋体"/>
          <w:color w:val="auto"/>
        </w:rPr>
        <w:t>请各供应商关注</w:t>
      </w:r>
      <w:r>
        <w:rPr>
          <w:rFonts w:hint="eastAsia" w:ascii="ˎ̥" w:hAnsi="ˎ̥"/>
          <w:color w:val="auto"/>
        </w:rPr>
        <w:t>指定公告媒体</w:t>
      </w:r>
      <w:r>
        <w:rPr>
          <w:rFonts w:hint="eastAsia" w:ascii="宋体" w:hAnsi="宋体"/>
          <w:color w:val="auto"/>
        </w:rPr>
        <w:t>上发布的</w:t>
      </w:r>
      <w:r>
        <w:rPr>
          <w:rFonts w:hint="eastAsia"/>
          <w:color w:val="auto"/>
        </w:rPr>
        <w:t>磋商文件的澄清或修改、递交响应文件截止时间的变更等相关信息，恕不另行通知。</w:t>
      </w:r>
    </w:p>
    <w:p w14:paraId="00AD9C17">
      <w:pPr>
        <w:adjustRightInd w:val="0"/>
        <w:snapToGrid w:val="0"/>
        <w:spacing w:line="360" w:lineRule="auto"/>
        <w:ind w:left="906" w:hanging="906" w:hangingChars="376"/>
        <w:rPr>
          <w:rFonts w:ascii="宋体" w:hAnsi="宋体"/>
          <w:b/>
          <w:color w:val="auto"/>
          <w:sz w:val="24"/>
        </w:rPr>
      </w:pPr>
      <w:r>
        <w:rPr>
          <w:rFonts w:hint="eastAsia" w:ascii="宋体" w:hAnsi="宋体"/>
          <w:b/>
          <w:color w:val="auto"/>
          <w:sz w:val="24"/>
        </w:rPr>
        <w:t>三、响应文件</w:t>
      </w:r>
    </w:p>
    <w:p w14:paraId="5CCBC697">
      <w:pPr>
        <w:adjustRightInd w:val="0"/>
        <w:snapToGrid w:val="0"/>
        <w:spacing w:line="360" w:lineRule="auto"/>
        <w:rPr>
          <w:rFonts w:ascii="宋体" w:hAnsi="宋体"/>
          <w:b/>
          <w:bCs/>
          <w:color w:val="auto"/>
          <w:szCs w:val="21"/>
        </w:rPr>
      </w:pPr>
      <w:r>
        <w:rPr>
          <w:rFonts w:hint="eastAsia" w:ascii="宋体" w:hAnsi="宋体"/>
          <w:b/>
          <w:bCs/>
          <w:color w:val="auto"/>
          <w:szCs w:val="21"/>
        </w:rPr>
        <w:t>14.一般要求</w:t>
      </w:r>
    </w:p>
    <w:p w14:paraId="569DD512">
      <w:pPr>
        <w:adjustRightInd w:val="0"/>
        <w:snapToGrid w:val="0"/>
        <w:spacing w:line="360" w:lineRule="auto"/>
        <w:ind w:firstLine="420" w:firstLineChars="200"/>
        <w:rPr>
          <w:rFonts w:ascii="宋体" w:hAnsi="宋体"/>
          <w:bCs/>
          <w:color w:val="auto"/>
          <w:szCs w:val="21"/>
        </w:rPr>
      </w:pPr>
      <w:r>
        <w:rPr>
          <w:rFonts w:hint="eastAsia" w:ascii="宋体" w:hAnsi="宋体"/>
          <w:bCs/>
          <w:color w:val="auto"/>
          <w:szCs w:val="21"/>
        </w:rPr>
        <w:t>14.1 供应商应仔细阅读磋商文件的所有内容，按磋商文件的要求编制响应文件，并保证所提供的全部资料的真实性，以使其响应文件对磋商文件做出实质性的响应。</w:t>
      </w:r>
    </w:p>
    <w:p w14:paraId="2348E2B3">
      <w:pPr>
        <w:adjustRightInd w:val="0"/>
        <w:snapToGrid w:val="0"/>
        <w:spacing w:line="360" w:lineRule="auto"/>
        <w:ind w:firstLine="420" w:firstLineChars="200"/>
        <w:rPr>
          <w:rFonts w:ascii="宋体" w:hAnsi="宋体"/>
          <w:bCs/>
          <w:color w:val="auto"/>
          <w:szCs w:val="21"/>
        </w:rPr>
      </w:pPr>
      <w:r>
        <w:rPr>
          <w:rFonts w:hint="eastAsia" w:ascii="宋体" w:hAnsi="宋体"/>
          <w:bCs/>
          <w:color w:val="auto"/>
          <w:szCs w:val="21"/>
        </w:rPr>
        <w:t xml:space="preserve">14.2 </w:t>
      </w:r>
      <w:r>
        <w:rPr>
          <w:rFonts w:hint="eastAsia" w:ascii="宋体" w:hAnsi="宋体"/>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59A4C60C">
      <w:pPr>
        <w:pStyle w:val="28"/>
        <w:adjustRightInd w:val="0"/>
        <w:snapToGrid w:val="0"/>
        <w:spacing w:line="360" w:lineRule="auto"/>
        <w:ind w:firstLine="420" w:firstLineChars="200"/>
        <w:rPr>
          <w:rFonts w:hAnsi="宋体"/>
          <w:color w:val="auto"/>
        </w:rPr>
      </w:pPr>
      <w:r>
        <w:rPr>
          <w:rFonts w:hint="eastAsia" w:hAnsi="宋体"/>
          <w:bCs/>
          <w:color w:val="auto"/>
        </w:rPr>
        <w:t xml:space="preserve">14.3 </w:t>
      </w:r>
      <w:r>
        <w:rPr>
          <w:rFonts w:hint="eastAsia" w:hAnsi="宋体"/>
          <w:color w:val="auto"/>
        </w:rPr>
        <w:t>计量单位应使用我国法定计量单位，未列明时应默认为我国法定计量单位。</w:t>
      </w:r>
    </w:p>
    <w:p w14:paraId="38DCBDC3">
      <w:pPr>
        <w:pStyle w:val="28"/>
        <w:adjustRightInd w:val="0"/>
        <w:snapToGrid w:val="0"/>
        <w:spacing w:line="360" w:lineRule="auto"/>
        <w:ind w:firstLine="420" w:firstLineChars="200"/>
        <w:rPr>
          <w:rFonts w:hAnsi="宋体"/>
          <w:color w:val="auto"/>
        </w:rPr>
      </w:pPr>
      <w:r>
        <w:rPr>
          <w:rFonts w:hint="eastAsia" w:hAnsi="宋体"/>
          <w:color w:val="auto"/>
        </w:rPr>
        <w:t>14.4 响应文件应采用书面形式，电报、传真、电子邮件形式的响应文件概不接受。</w:t>
      </w:r>
    </w:p>
    <w:p w14:paraId="72535D0F">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14.5 供应商应按磋商文件中提供的响应文件格式填写。</w:t>
      </w:r>
    </w:p>
    <w:p w14:paraId="5423AF49">
      <w:pPr>
        <w:adjustRightInd w:val="0"/>
        <w:snapToGrid w:val="0"/>
        <w:spacing w:line="360" w:lineRule="auto"/>
        <w:rPr>
          <w:rFonts w:ascii="宋体" w:hAnsi="宋体"/>
          <w:b/>
          <w:bCs/>
          <w:color w:val="auto"/>
          <w:szCs w:val="21"/>
        </w:rPr>
      </w:pPr>
      <w:r>
        <w:rPr>
          <w:rFonts w:hint="eastAsia" w:ascii="宋体" w:hAnsi="宋体"/>
          <w:b/>
          <w:bCs/>
          <w:color w:val="auto"/>
          <w:szCs w:val="21"/>
        </w:rPr>
        <w:t>15.</w:t>
      </w:r>
      <w:r>
        <w:rPr>
          <w:rFonts w:hint="eastAsia" w:ascii="宋体" w:hAnsi="宋体"/>
          <w:b/>
          <w:color w:val="auto"/>
          <w:szCs w:val="21"/>
        </w:rPr>
        <w:t>响应文件</w:t>
      </w:r>
      <w:r>
        <w:rPr>
          <w:rFonts w:hint="eastAsia" w:ascii="宋体" w:hAnsi="宋体"/>
          <w:b/>
          <w:bCs/>
          <w:color w:val="auto"/>
          <w:szCs w:val="21"/>
        </w:rPr>
        <w:t>的组成</w:t>
      </w:r>
    </w:p>
    <w:p w14:paraId="4F877182">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rPr>
        <w:t>15.1 响应文件包括下列内容：</w:t>
      </w:r>
      <w:r>
        <w:rPr>
          <w:rFonts w:hint="eastAsia" w:ascii="宋体" w:hAnsi="宋体"/>
          <w:color w:val="auto"/>
          <w:szCs w:val="21"/>
        </w:rPr>
        <w:t xml:space="preserve"> </w:t>
      </w:r>
    </w:p>
    <w:p w14:paraId="6930E7B8">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（1）磋商响应声明</w:t>
      </w:r>
    </w:p>
    <w:p w14:paraId="5CE81490">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（2）保证金</w:t>
      </w:r>
    </w:p>
    <w:p w14:paraId="3F4BD5CE">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（3）供应商的资格证明材料</w:t>
      </w:r>
    </w:p>
    <w:p w14:paraId="3B502D35">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（4）服务方案</w:t>
      </w:r>
    </w:p>
    <w:p w14:paraId="42B6AA8F">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（5）技术/商务响应与偏离表</w:t>
      </w:r>
    </w:p>
    <w:p w14:paraId="337424CF">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（6）享受政府采购政策优惠的证明资料</w:t>
      </w:r>
    </w:p>
    <w:p w14:paraId="7FCCB643">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（7）报价一览表及报价文件</w:t>
      </w:r>
    </w:p>
    <w:p w14:paraId="13B6BC5E">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（8）供应商认为需提供的其它资料</w:t>
      </w:r>
    </w:p>
    <w:p w14:paraId="50FD5F24">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（9）最后报价</w:t>
      </w:r>
    </w:p>
    <w:p w14:paraId="1D932DF1">
      <w:pPr>
        <w:adjustRightInd w:val="0"/>
        <w:snapToGrid w:val="0"/>
        <w:spacing w:line="360" w:lineRule="auto"/>
        <w:ind w:firstLine="420" w:firstLineChars="200"/>
        <w:rPr>
          <w:rFonts w:ascii="宋体" w:hAnsi="宋体"/>
          <w:color w:val="auto"/>
        </w:rPr>
      </w:pPr>
      <w:r>
        <w:rPr>
          <w:rFonts w:hint="eastAsia" w:ascii="宋体" w:hAnsi="宋体"/>
          <w:color w:val="auto"/>
        </w:rPr>
        <w:t>15.2在磋商过程中，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磋商小组</w:t>
      </w:r>
      <w:r>
        <w:rPr>
          <w:rFonts w:hint="eastAsia" w:ascii="宋体" w:hAnsi="宋体"/>
          <w:bCs/>
          <w:color w:val="auto"/>
          <w:szCs w:val="21"/>
        </w:rPr>
        <w:t>书面形式要求</w:t>
      </w:r>
      <w:r>
        <w:rPr>
          <w:rFonts w:hint="eastAsia" w:ascii="宋体" w:hAnsi="宋体" w:cs="宋体"/>
          <w:color w:val="auto"/>
          <w:kern w:val="0"/>
          <w:szCs w:val="21"/>
        </w:rPr>
        <w:t>提交的</w:t>
      </w:r>
      <w:r>
        <w:rPr>
          <w:rFonts w:hint="eastAsia" w:ascii="宋体" w:hAnsi="宋体"/>
          <w:color w:val="auto"/>
        </w:rPr>
        <w:t>最后报价(或者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ascii="宋体" w:hAnsi="宋体"/>
          <w:color w:val="auto"/>
        </w:rPr>
        <w:t>最后报价)是</w:t>
      </w:r>
      <w:r>
        <w:rPr>
          <w:rFonts w:hint="eastAsia" w:ascii="宋体" w:hAnsi="宋体"/>
          <w:color w:val="auto"/>
          <w:szCs w:val="21"/>
        </w:rPr>
        <w:t>响应文件</w:t>
      </w:r>
      <w:r>
        <w:rPr>
          <w:rFonts w:hint="eastAsia" w:ascii="宋体" w:hAnsi="宋体"/>
          <w:color w:val="auto"/>
        </w:rPr>
        <w:t>的有效组成部分。</w:t>
      </w:r>
    </w:p>
    <w:p w14:paraId="2A24004F">
      <w:pPr>
        <w:adjustRightInd w:val="0"/>
        <w:snapToGrid w:val="0"/>
        <w:spacing w:line="360" w:lineRule="auto"/>
        <w:ind w:firstLine="420" w:firstLineChars="200"/>
        <w:rPr>
          <w:rFonts w:ascii="宋体" w:hAnsi="宋体"/>
          <w:b/>
          <w:color w:val="auto"/>
        </w:rPr>
      </w:pPr>
      <w:r>
        <w:rPr>
          <w:rFonts w:hint="eastAsia" w:ascii="宋体" w:hAnsi="宋体"/>
          <w:color w:val="auto"/>
        </w:rPr>
        <w:t>15.3</w:t>
      </w:r>
      <w:r>
        <w:rPr>
          <w:rFonts w:hint="eastAsia" w:ascii="宋体" w:hAnsi="宋体" w:cs="宋体"/>
          <w:color w:val="auto"/>
          <w:kern w:val="0"/>
          <w:szCs w:val="21"/>
        </w:rPr>
        <w:t>磋商文件规定可能发生实质性变动的，供应商应当在</w:t>
      </w:r>
      <w:r>
        <w:rPr>
          <w:rFonts w:hint="eastAsia" w:ascii="宋体" w:hAnsi="宋体"/>
          <w:color w:val="auto"/>
        </w:rPr>
        <w:t>《技术/商务响应与偏离表》中对应内容注明。</w:t>
      </w:r>
    </w:p>
    <w:p w14:paraId="2433D86A">
      <w:pPr>
        <w:adjustRightInd w:val="0"/>
        <w:snapToGrid w:val="0"/>
        <w:spacing w:line="360" w:lineRule="auto"/>
        <w:ind w:firstLine="420" w:firstLineChars="200"/>
        <w:rPr>
          <w:rFonts w:ascii="宋体" w:hAnsi="宋体"/>
          <w:color w:val="auto"/>
          <w:szCs w:val="21"/>
        </w:rPr>
      </w:pPr>
      <w:r>
        <w:rPr>
          <w:rFonts w:hint="eastAsia" w:ascii="宋体" w:hAnsi="宋体"/>
          <w:color w:val="auto"/>
        </w:rPr>
        <w:t>15.4</w:t>
      </w:r>
      <w:r>
        <w:rPr>
          <w:rFonts w:hint="eastAsia" w:ascii="宋体" w:hAnsi="宋体"/>
          <w:color w:val="auto"/>
          <w:szCs w:val="21"/>
        </w:rPr>
        <w:t>根据《中华人民共和国政府采购法》相关规定，供应商无论成交与否，其响应文件不予退还。</w:t>
      </w:r>
    </w:p>
    <w:p w14:paraId="7A5250DA">
      <w:pPr>
        <w:adjustRightInd w:val="0"/>
        <w:snapToGrid w:val="0"/>
        <w:spacing w:line="360" w:lineRule="auto"/>
        <w:rPr>
          <w:rFonts w:ascii="宋体" w:hAnsi="宋体"/>
          <w:b/>
          <w:bCs/>
          <w:color w:val="auto"/>
          <w:szCs w:val="21"/>
        </w:rPr>
      </w:pPr>
    </w:p>
    <w:p w14:paraId="18CF203C">
      <w:pPr>
        <w:adjustRightInd w:val="0"/>
        <w:snapToGrid w:val="0"/>
        <w:spacing w:line="360" w:lineRule="auto"/>
        <w:rPr>
          <w:rFonts w:ascii="宋体" w:hAnsi="宋体"/>
          <w:b/>
          <w:bCs/>
          <w:color w:val="auto"/>
          <w:szCs w:val="21"/>
        </w:rPr>
      </w:pPr>
      <w:r>
        <w:rPr>
          <w:rFonts w:hint="eastAsia" w:ascii="宋体" w:hAnsi="宋体"/>
          <w:b/>
          <w:bCs/>
          <w:color w:val="auto"/>
          <w:szCs w:val="21"/>
        </w:rPr>
        <w:t>16.报价</w:t>
      </w:r>
    </w:p>
    <w:p w14:paraId="5693781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16.1供应商应当根据磋商文件要求和范围，以</w:t>
      </w:r>
      <w:r>
        <w:rPr>
          <w:rFonts w:hint="eastAsia" w:ascii="宋体" w:hAnsi="宋体"/>
          <w:bCs/>
          <w:color w:val="auto"/>
          <w:szCs w:val="21"/>
        </w:rPr>
        <w:t>人民币</w:t>
      </w:r>
      <w:r>
        <w:rPr>
          <w:rFonts w:hint="eastAsia" w:ascii="宋体" w:hAnsi="宋体"/>
          <w:color w:val="auto"/>
          <w:szCs w:val="21"/>
        </w:rPr>
        <w:t>报价，以元为单位，保留小数点后两位。</w:t>
      </w:r>
    </w:p>
    <w:p w14:paraId="131B2966">
      <w:pPr>
        <w:pStyle w:val="131"/>
        <w:adjustRightInd w:val="0"/>
        <w:snapToGrid w:val="0"/>
        <w:spacing w:line="360" w:lineRule="auto"/>
        <w:ind w:firstLine="420" w:firstLineChars="200"/>
        <w:rPr>
          <w:rFonts w:ascii="宋体" w:hAnsi="宋体"/>
          <w:color w:val="auto"/>
        </w:rPr>
      </w:pPr>
      <w:r>
        <w:rPr>
          <w:rFonts w:hint="eastAsia" w:ascii="宋体" w:hAnsi="宋体"/>
          <w:color w:val="auto"/>
        </w:rPr>
        <w:t>16.2供应商应按第四章“采购需求”要求及第五章“响应文件组成”格式填写。供应商在</w:t>
      </w:r>
      <w:r>
        <w:rPr>
          <w:rFonts w:hint="eastAsia" w:ascii="宋体" w:hAnsi="宋体"/>
          <w:bCs/>
          <w:color w:val="auto"/>
        </w:rPr>
        <w:t>本章第12.1</w:t>
      </w:r>
      <w:r>
        <w:rPr>
          <w:rFonts w:hint="eastAsia" w:ascii="宋体" w:hAnsi="宋体" w:cs="宋体"/>
          <w:color w:val="auto"/>
          <w:lang w:val="zh-CN"/>
        </w:rPr>
        <w:t>款</w:t>
      </w:r>
      <w:r>
        <w:rPr>
          <w:rFonts w:hint="eastAsia" w:ascii="宋体" w:hAnsi="宋体"/>
          <w:bCs/>
          <w:color w:val="auto"/>
        </w:rPr>
        <w:t>规定的</w:t>
      </w:r>
      <w:r>
        <w:rPr>
          <w:rFonts w:hint="eastAsia" w:ascii="宋体" w:hAnsi="宋体" w:cs="宋体"/>
          <w:color w:val="auto"/>
        </w:rPr>
        <w:t>提交首次响应文件截止之日前</w:t>
      </w:r>
      <w:r>
        <w:rPr>
          <w:rFonts w:hint="eastAsia" w:ascii="宋体" w:hAnsi="宋体"/>
          <w:color w:val="auto"/>
        </w:rPr>
        <w:t>修改报价一览表中的报价，应同时修改其按第五章要求填写的相应表格中的报价。此修改须符合本章第21.1款的有关要求。</w:t>
      </w:r>
    </w:p>
    <w:p w14:paraId="562580A1">
      <w:pPr>
        <w:pStyle w:val="28"/>
        <w:adjustRightInd w:val="0"/>
        <w:snapToGrid w:val="0"/>
        <w:spacing w:line="360" w:lineRule="auto"/>
        <w:ind w:firstLine="422" w:firstLineChars="200"/>
        <w:rPr>
          <w:rFonts w:hAnsi="宋体"/>
          <w:b/>
          <w:color w:val="auto"/>
        </w:rPr>
      </w:pPr>
      <w:r>
        <w:rPr>
          <w:rFonts w:hint="eastAsia" w:hAnsi="宋体"/>
          <w:b/>
          <w:color w:val="auto"/>
        </w:rPr>
        <w:t>16.3响应文件中标明的价格在合同执行过程中是固定不变的，不得以任何理由予以变更。以可变动价格提交的报价将被认为是非实质响应而被拒绝。</w:t>
      </w:r>
    </w:p>
    <w:p w14:paraId="6E5EE356">
      <w:pPr>
        <w:pStyle w:val="28"/>
        <w:adjustRightInd w:val="0"/>
        <w:snapToGrid w:val="0"/>
        <w:spacing w:line="360" w:lineRule="auto"/>
        <w:ind w:firstLine="420" w:firstLineChars="200"/>
        <w:rPr>
          <w:rFonts w:hAnsi="宋体"/>
          <w:color w:val="auto"/>
        </w:rPr>
      </w:pPr>
      <w:r>
        <w:rPr>
          <w:rFonts w:hint="eastAsia" w:hAnsi="宋体"/>
          <w:color w:val="auto"/>
        </w:rPr>
        <w:t>16.4</w:t>
      </w:r>
      <w:r>
        <w:rPr>
          <w:rFonts w:hint="eastAsia" w:hAnsi="宋体" w:cs="宋体"/>
          <w:color w:val="auto"/>
          <w:kern w:val="0"/>
          <w:lang w:val="zh-CN"/>
        </w:rPr>
        <w:t>供应商</w:t>
      </w:r>
      <w:r>
        <w:rPr>
          <w:rFonts w:hint="eastAsia" w:hAnsi="宋体"/>
          <w:color w:val="auto"/>
        </w:rPr>
        <w:t>的报价不得超过采购项目预算，超过采购预算价为无效响应。本项目采购预算见</w:t>
      </w:r>
      <w:r>
        <w:rPr>
          <w:rFonts w:hint="eastAsia" w:hAnsi="宋体"/>
          <w:b/>
          <w:color w:val="auto"/>
        </w:rPr>
        <w:t>磋商须知前附表</w:t>
      </w:r>
    </w:p>
    <w:p w14:paraId="47208ADA">
      <w:pPr>
        <w:pStyle w:val="28"/>
        <w:adjustRightInd w:val="0"/>
        <w:snapToGrid w:val="0"/>
        <w:spacing w:line="360" w:lineRule="auto"/>
        <w:rPr>
          <w:rFonts w:hAnsi="宋体"/>
          <w:b/>
          <w:color w:val="auto"/>
        </w:rPr>
      </w:pPr>
      <w:r>
        <w:rPr>
          <w:rFonts w:hint="eastAsia" w:hAnsi="宋体"/>
          <w:b/>
          <w:color w:val="auto"/>
        </w:rPr>
        <w:t>17.供应商符合磋商文件规定的证明文件</w:t>
      </w:r>
    </w:p>
    <w:p w14:paraId="028C4B9D">
      <w:pPr>
        <w:adjustRightInd w:val="0"/>
        <w:snapToGrid w:val="0"/>
        <w:spacing w:line="360" w:lineRule="auto"/>
        <w:ind w:firstLine="420" w:firstLineChars="200"/>
        <w:rPr>
          <w:rFonts w:ascii="宋体" w:hAnsi="宋体"/>
          <w:color w:val="auto"/>
          <w:szCs w:val="21"/>
        </w:rPr>
      </w:pPr>
      <w:r>
        <w:rPr>
          <w:rFonts w:hint="eastAsia" w:ascii="宋体" w:hAnsi="宋体" w:cs="宋体"/>
          <w:color w:val="auto"/>
          <w:kern w:val="0"/>
          <w:lang w:val="zh-CN"/>
        </w:rPr>
        <w:t>17.1</w:t>
      </w:r>
      <w:r>
        <w:rPr>
          <w:rFonts w:hint="eastAsia" w:ascii="宋体" w:hAnsi="宋体"/>
          <w:color w:val="auto"/>
          <w:szCs w:val="21"/>
        </w:rPr>
        <w:t>供应商提供资格证明材料，以证实其各项条件满足本章第3.1</w:t>
      </w:r>
      <w:r>
        <w:rPr>
          <w:rFonts w:hint="eastAsia" w:ascii="宋体" w:hAnsi="宋体" w:cs="宋体"/>
          <w:color w:val="auto"/>
          <w:kern w:val="0"/>
          <w:szCs w:val="21"/>
          <w:lang w:val="zh-CN"/>
        </w:rPr>
        <w:t>款</w:t>
      </w:r>
      <w:r>
        <w:rPr>
          <w:rFonts w:hint="eastAsia" w:ascii="宋体" w:hAnsi="宋体"/>
          <w:color w:val="auto"/>
          <w:szCs w:val="21"/>
        </w:rPr>
        <w:t>规定的供应商资格条件要求。</w:t>
      </w:r>
    </w:p>
    <w:p w14:paraId="1C03A240">
      <w:pPr>
        <w:adjustRightInd w:val="0"/>
        <w:snapToGrid w:val="0"/>
        <w:spacing w:line="360" w:lineRule="auto"/>
        <w:ind w:firstLine="420" w:firstLineChars="200"/>
        <w:jc w:val="left"/>
        <w:rPr>
          <w:rFonts w:ascii="宋体" w:hAnsi="宋体" w:cs="宋体"/>
          <w:color w:val="auto"/>
          <w:kern w:val="0"/>
          <w:szCs w:val="21"/>
          <w:lang w:val="zh-CN"/>
        </w:rPr>
      </w:pPr>
      <w:r>
        <w:rPr>
          <w:rFonts w:hint="eastAsia" w:ascii="宋体" w:hAnsi="宋体"/>
          <w:color w:val="auto"/>
          <w:szCs w:val="21"/>
        </w:rPr>
        <w:t>17.2</w:t>
      </w:r>
      <w:r>
        <w:rPr>
          <w:rFonts w:hint="eastAsia" w:ascii="宋体" w:hAnsi="宋体" w:cs="宋体"/>
          <w:color w:val="auto"/>
          <w:kern w:val="0"/>
          <w:lang w:val="zh-CN"/>
        </w:rPr>
        <w:t>供应商</w:t>
      </w:r>
      <w:r>
        <w:rPr>
          <w:rFonts w:hint="eastAsia" w:ascii="宋体" w:hAnsi="宋体"/>
          <w:color w:val="auto"/>
        </w:rPr>
        <w:t>为联合体形式的，则应提交联合体各方资格文件、联合体协议，否则将视为非实质响应而被拒绝。</w:t>
      </w:r>
    </w:p>
    <w:p w14:paraId="1DF60E10">
      <w:pPr>
        <w:adjustRightInd w:val="0"/>
        <w:snapToGrid w:val="0"/>
        <w:spacing w:line="360" w:lineRule="auto"/>
        <w:rPr>
          <w:rFonts w:ascii="宋体" w:hAnsi="宋体"/>
          <w:b/>
          <w:bCs/>
          <w:color w:val="auto"/>
          <w:szCs w:val="21"/>
        </w:rPr>
      </w:pPr>
      <w:r>
        <w:rPr>
          <w:rFonts w:hint="eastAsia" w:ascii="宋体" w:hAnsi="宋体"/>
          <w:b/>
          <w:bCs/>
          <w:color w:val="auto"/>
          <w:szCs w:val="21"/>
        </w:rPr>
        <w:t>18.保证金</w:t>
      </w:r>
    </w:p>
    <w:p w14:paraId="40B6A297">
      <w:pPr>
        <w:pStyle w:val="28"/>
        <w:adjustRightInd w:val="0"/>
        <w:snapToGrid w:val="0"/>
        <w:spacing w:line="360" w:lineRule="auto"/>
        <w:ind w:firstLine="420" w:firstLineChars="200"/>
        <w:rPr>
          <w:rFonts w:hAnsi="宋体"/>
          <w:bCs/>
          <w:color w:val="auto"/>
        </w:rPr>
      </w:pPr>
      <w:r>
        <w:rPr>
          <w:rFonts w:hint="eastAsia" w:hAnsi="宋体"/>
          <w:color w:val="auto"/>
        </w:rPr>
        <w:t>18.1</w:t>
      </w:r>
      <w:r>
        <w:rPr>
          <w:rFonts w:hint="eastAsia" w:hAnsi="宋体"/>
          <w:b/>
          <w:color w:val="auto"/>
        </w:rPr>
        <w:t>磋商须知前附表</w:t>
      </w:r>
      <w:r>
        <w:rPr>
          <w:rFonts w:hint="eastAsia" w:hAnsi="宋体"/>
          <w:color w:val="auto"/>
        </w:rPr>
        <w:t>规定交纳</w:t>
      </w:r>
      <w:r>
        <w:rPr>
          <w:rFonts w:hint="eastAsia" w:hAnsi="宋体"/>
          <w:bCs/>
          <w:color w:val="auto"/>
        </w:rPr>
        <w:t>保证金的</w:t>
      </w:r>
      <w:r>
        <w:rPr>
          <w:rFonts w:hint="eastAsia" w:hAnsi="宋体"/>
          <w:color w:val="auto"/>
        </w:rPr>
        <w:t>，应按</w:t>
      </w:r>
      <w:r>
        <w:rPr>
          <w:rFonts w:hint="eastAsia" w:hAnsi="宋体"/>
          <w:b/>
          <w:color w:val="auto"/>
        </w:rPr>
        <w:t>磋商须知前附表</w:t>
      </w:r>
      <w:r>
        <w:rPr>
          <w:rFonts w:hint="eastAsia" w:hAnsi="宋体"/>
          <w:color w:val="auto"/>
        </w:rPr>
        <w:t>规定的</w:t>
      </w:r>
      <w:r>
        <w:rPr>
          <w:rFonts w:hint="eastAsia" w:hAnsi="宋体"/>
          <w:bCs/>
          <w:color w:val="auto"/>
        </w:rPr>
        <w:t>保证金形式交纳，不得以现金方式交纳</w:t>
      </w:r>
      <w:r>
        <w:rPr>
          <w:rFonts w:hint="eastAsia" w:hAnsi="宋体"/>
          <w:color w:val="auto"/>
        </w:rPr>
        <w:t>，在本章第12.1</w:t>
      </w:r>
      <w:r>
        <w:rPr>
          <w:rFonts w:hint="eastAsia" w:hAnsi="宋体" w:cs="宋体"/>
          <w:color w:val="auto"/>
          <w:kern w:val="0"/>
          <w:lang w:val="zh-CN"/>
        </w:rPr>
        <w:t>款</w:t>
      </w:r>
      <w:r>
        <w:rPr>
          <w:rFonts w:hint="eastAsia" w:hAnsi="宋体"/>
          <w:color w:val="auto"/>
        </w:rPr>
        <w:t>规定的</w:t>
      </w:r>
      <w:r>
        <w:rPr>
          <w:rFonts w:hint="eastAsia" w:hAnsi="宋体" w:cs="宋体"/>
          <w:color w:val="auto"/>
          <w:kern w:val="0"/>
        </w:rPr>
        <w:t>提交首次响应文件截止时间</w:t>
      </w:r>
      <w:r>
        <w:rPr>
          <w:rFonts w:hint="eastAsia" w:hAnsi="宋体"/>
          <w:color w:val="auto"/>
        </w:rPr>
        <w:t>前，按本磋商文件第一章第8款规定交纳</w:t>
      </w:r>
      <w:r>
        <w:rPr>
          <w:rFonts w:hint="eastAsia" w:hAnsi="宋体"/>
          <w:bCs/>
          <w:color w:val="auto"/>
        </w:rPr>
        <w:t>保证金(数额采用四舍五入，计算至元)</w:t>
      </w:r>
      <w:r>
        <w:rPr>
          <w:rFonts w:hint="eastAsia" w:hAnsi="宋体"/>
          <w:color w:val="auto"/>
        </w:rPr>
        <w:t>。</w:t>
      </w:r>
      <w:r>
        <w:rPr>
          <w:rFonts w:hint="eastAsia" w:hAnsi="宋体"/>
          <w:bCs/>
          <w:color w:val="auto"/>
        </w:rPr>
        <w:t>保证金有效期应当与</w:t>
      </w:r>
      <w:r>
        <w:rPr>
          <w:rFonts w:hint="eastAsia" w:hAnsi="宋体"/>
          <w:color w:val="auto"/>
        </w:rPr>
        <w:t>本章第19.1</w:t>
      </w:r>
      <w:r>
        <w:rPr>
          <w:rFonts w:hint="eastAsia" w:hAnsi="宋体" w:cs="宋体"/>
          <w:color w:val="auto"/>
          <w:kern w:val="0"/>
          <w:lang w:val="zh-CN"/>
        </w:rPr>
        <w:t>款</w:t>
      </w:r>
      <w:r>
        <w:rPr>
          <w:rFonts w:hint="eastAsia" w:hAnsi="宋体"/>
          <w:color w:val="auto"/>
        </w:rPr>
        <w:t>规定的</w:t>
      </w:r>
      <w:r>
        <w:rPr>
          <w:rFonts w:hint="eastAsia" w:hAnsi="宋体"/>
          <w:bCs/>
          <w:color w:val="auto"/>
        </w:rPr>
        <w:t>响应文件有效期一致。</w:t>
      </w:r>
    </w:p>
    <w:p w14:paraId="58352086">
      <w:pPr>
        <w:adjustRightInd w:val="0"/>
        <w:snapToGrid w:val="0"/>
        <w:spacing w:line="360" w:lineRule="auto"/>
        <w:ind w:firstLine="420" w:firstLineChars="200"/>
        <w:rPr>
          <w:rFonts w:ascii="宋体" w:hAnsi="宋体"/>
          <w:b/>
          <w:color w:val="auto"/>
          <w:szCs w:val="21"/>
        </w:rPr>
      </w:pPr>
      <w:r>
        <w:rPr>
          <w:rFonts w:hint="eastAsia" w:ascii="宋体" w:hAnsi="宋体"/>
          <w:color w:val="auto"/>
          <w:szCs w:val="21"/>
        </w:rPr>
        <w:t>18.2</w:t>
      </w:r>
      <w:r>
        <w:rPr>
          <w:rFonts w:hint="eastAsia" w:ascii="宋体" w:hAnsi="宋体" w:cs="宋体"/>
          <w:color w:val="auto"/>
          <w:kern w:val="0"/>
          <w:szCs w:val="21"/>
          <w:lang w:val="zh-CN"/>
        </w:rPr>
        <w:t>供应商为联合体的，可以由联合体中的一方或者共同交纳保证金，其交纳的保证金，对联合体各方均具有约束力。</w:t>
      </w:r>
    </w:p>
    <w:p w14:paraId="4CBE70C6">
      <w:pPr>
        <w:pStyle w:val="28"/>
        <w:adjustRightInd w:val="0"/>
        <w:snapToGrid w:val="0"/>
        <w:spacing w:line="360" w:lineRule="auto"/>
        <w:ind w:firstLine="420" w:firstLineChars="200"/>
        <w:rPr>
          <w:rFonts w:hAnsi="宋体"/>
          <w:color w:val="auto"/>
        </w:rPr>
      </w:pPr>
      <w:r>
        <w:rPr>
          <w:rFonts w:hint="eastAsia" w:hAnsi="宋体"/>
          <w:color w:val="auto"/>
        </w:rPr>
        <w:t>18.3 未按磋商文件规定提交保证金的，</w:t>
      </w:r>
      <w:r>
        <w:rPr>
          <w:rFonts w:hint="eastAsia" w:hAnsi="宋体"/>
          <w:bCs/>
          <w:color w:val="auto"/>
        </w:rPr>
        <w:t>采购人或采购代理机构应当拒绝接收供应商的响应文件</w:t>
      </w:r>
      <w:r>
        <w:rPr>
          <w:rFonts w:hint="eastAsia" w:hAnsi="宋体"/>
          <w:color w:val="auto"/>
        </w:rPr>
        <w:t>。</w:t>
      </w:r>
    </w:p>
    <w:p w14:paraId="61E79882">
      <w:pPr>
        <w:pStyle w:val="28"/>
        <w:tabs>
          <w:tab w:val="left" w:pos="6300"/>
        </w:tabs>
        <w:adjustRightInd w:val="0"/>
        <w:snapToGrid w:val="0"/>
        <w:spacing w:line="360" w:lineRule="auto"/>
        <w:ind w:firstLine="420" w:firstLineChars="200"/>
        <w:rPr>
          <w:rFonts w:hAnsi="宋体"/>
          <w:color w:val="auto"/>
        </w:rPr>
      </w:pPr>
      <w:r>
        <w:rPr>
          <w:rFonts w:hint="eastAsia" w:hAnsi="宋体"/>
          <w:color w:val="auto"/>
        </w:rPr>
        <w:t>18.4采购代理机构在成交通知书发出后5个工作日内退还未成交供应商的保证金；在采购合同签定后5个工作日内退还成交供应商的保证金，但因供应商自身原因导致无法及时退还的除外。</w:t>
      </w:r>
    </w:p>
    <w:p w14:paraId="7774C2FF">
      <w:pPr>
        <w:pStyle w:val="28"/>
        <w:adjustRightInd w:val="0"/>
        <w:snapToGrid w:val="0"/>
        <w:spacing w:line="360" w:lineRule="auto"/>
        <w:ind w:firstLine="420" w:firstLineChars="200"/>
        <w:rPr>
          <w:rFonts w:hAnsi="宋体"/>
          <w:color w:val="auto"/>
          <w:kern w:val="0"/>
        </w:rPr>
      </w:pPr>
      <w:r>
        <w:rPr>
          <w:rFonts w:hint="eastAsia" w:hAnsi="宋体"/>
          <w:color w:val="auto"/>
        </w:rPr>
        <w:t xml:space="preserve">18.5 </w:t>
      </w:r>
      <w:r>
        <w:rPr>
          <w:rFonts w:hint="eastAsia" w:hAnsi="宋体"/>
          <w:color w:val="auto"/>
          <w:kern w:val="0"/>
        </w:rPr>
        <w:t>有下列情形之一的，保证金不予退还，并上缴本级财政国库：</w:t>
      </w:r>
    </w:p>
    <w:p w14:paraId="748848CB">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（1）供应商在</w:t>
      </w:r>
      <w:r>
        <w:rPr>
          <w:rFonts w:hint="eastAsia" w:ascii="宋体" w:hAnsi="宋体"/>
          <w:bCs/>
          <w:color w:val="auto"/>
          <w:szCs w:val="21"/>
        </w:rPr>
        <w:t>本章第12.1</w:t>
      </w:r>
      <w:r>
        <w:rPr>
          <w:rFonts w:hint="eastAsia" w:ascii="宋体" w:hAnsi="宋体" w:cs="宋体"/>
          <w:color w:val="auto"/>
          <w:kern w:val="0"/>
          <w:szCs w:val="21"/>
          <w:lang w:val="zh-CN"/>
        </w:rPr>
        <w:t>款</w:t>
      </w:r>
      <w:r>
        <w:rPr>
          <w:rFonts w:hint="eastAsia" w:ascii="宋体" w:hAnsi="宋体"/>
          <w:bCs/>
          <w:color w:val="auto"/>
          <w:szCs w:val="21"/>
        </w:rPr>
        <w:t>规定的</w:t>
      </w:r>
      <w:r>
        <w:rPr>
          <w:rFonts w:hint="eastAsia" w:ascii="宋体" w:hAnsi="宋体" w:cs="宋体"/>
          <w:color w:val="auto"/>
          <w:kern w:val="0"/>
          <w:szCs w:val="21"/>
        </w:rPr>
        <w:t>提交首次响应文件截止时间后撤回响应文件或未按本章第29.5款规定退出磋商的；</w:t>
      </w:r>
    </w:p>
    <w:p w14:paraId="2B4B817E">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（2）供应商在响应文件中提供虚假材料的；</w:t>
      </w:r>
    </w:p>
    <w:p w14:paraId="007141AF">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（3）除因不可抗力或磋商文件认可的情形以外，成交供应商不与采购人签订合同的；</w:t>
      </w:r>
    </w:p>
    <w:p w14:paraId="25EE0938">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（4）供应商与采购人、其他供应商或者采购代理机构恶意串通的；</w:t>
      </w:r>
    </w:p>
    <w:p w14:paraId="2BBC09C5">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（5）磋商文件及法律法规规定的其他情形。</w:t>
      </w:r>
    </w:p>
    <w:p w14:paraId="6787E90E">
      <w:pPr>
        <w:adjustRightInd w:val="0"/>
        <w:snapToGrid w:val="0"/>
        <w:spacing w:line="360" w:lineRule="auto"/>
        <w:rPr>
          <w:rFonts w:ascii="宋体" w:hAnsi="宋体"/>
          <w:b/>
          <w:bCs/>
          <w:color w:val="auto"/>
          <w:szCs w:val="21"/>
        </w:rPr>
      </w:pPr>
      <w:r>
        <w:rPr>
          <w:rFonts w:hint="eastAsia" w:ascii="宋体" w:hAnsi="宋体"/>
          <w:b/>
          <w:bCs/>
          <w:color w:val="auto"/>
          <w:szCs w:val="21"/>
        </w:rPr>
        <w:t>19.</w:t>
      </w:r>
      <w:r>
        <w:rPr>
          <w:rFonts w:hint="eastAsia" w:ascii="宋体" w:hAnsi="宋体"/>
          <w:color w:val="auto"/>
          <w:szCs w:val="21"/>
        </w:rPr>
        <w:t xml:space="preserve"> </w:t>
      </w:r>
      <w:r>
        <w:rPr>
          <w:rFonts w:hint="eastAsia" w:ascii="宋体" w:hAnsi="宋体"/>
          <w:b/>
          <w:color w:val="auto"/>
        </w:rPr>
        <w:t>响应文件</w:t>
      </w:r>
      <w:r>
        <w:rPr>
          <w:rFonts w:hint="eastAsia" w:ascii="宋体" w:hAnsi="宋体"/>
          <w:b/>
          <w:color w:val="auto"/>
          <w:szCs w:val="21"/>
        </w:rPr>
        <w:t>有效期</w:t>
      </w:r>
    </w:p>
    <w:p w14:paraId="74A01F9C">
      <w:pPr>
        <w:adjustRightInd w:val="0"/>
        <w:snapToGrid w:val="0"/>
        <w:spacing w:line="360" w:lineRule="auto"/>
        <w:ind w:firstLine="420" w:firstLineChars="200"/>
        <w:jc w:val="left"/>
        <w:rPr>
          <w:rFonts w:ascii="宋体" w:hAnsi="宋体"/>
          <w:color w:val="auto"/>
        </w:rPr>
      </w:pPr>
      <w:r>
        <w:rPr>
          <w:rFonts w:hint="eastAsia" w:ascii="宋体" w:hAnsi="宋体"/>
          <w:color w:val="auto"/>
        </w:rPr>
        <w:t>19.1响应文件</w:t>
      </w:r>
      <w:r>
        <w:rPr>
          <w:rFonts w:hint="eastAsia" w:ascii="宋体" w:hAnsi="宋体"/>
          <w:color w:val="auto"/>
          <w:szCs w:val="21"/>
        </w:rPr>
        <w:t>有效期见</w:t>
      </w:r>
      <w:r>
        <w:rPr>
          <w:rFonts w:hint="eastAsia" w:ascii="宋体" w:hAnsi="宋体"/>
          <w:b/>
          <w:color w:val="auto"/>
        </w:rPr>
        <w:t>磋商须知前附表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olor w:val="auto"/>
        </w:rPr>
        <w:t>本章第12.1</w:t>
      </w:r>
      <w:r>
        <w:rPr>
          <w:rFonts w:hint="eastAsia" w:ascii="宋体" w:hAnsi="宋体" w:cs="宋体"/>
          <w:color w:val="auto"/>
          <w:kern w:val="0"/>
          <w:szCs w:val="21"/>
          <w:lang w:val="zh-CN"/>
        </w:rPr>
        <w:t>款</w:t>
      </w:r>
      <w:r>
        <w:rPr>
          <w:rFonts w:hint="eastAsia" w:ascii="宋体" w:hAnsi="宋体"/>
          <w:color w:val="auto"/>
        </w:rPr>
        <w:t>规定的</w:t>
      </w:r>
      <w:r>
        <w:rPr>
          <w:rFonts w:hint="eastAsia" w:ascii="宋体" w:hAnsi="宋体" w:cs="宋体"/>
          <w:color w:val="auto"/>
          <w:kern w:val="0"/>
          <w:szCs w:val="21"/>
        </w:rPr>
        <w:t>提交首次响应文件截止时间</w:t>
      </w:r>
      <w:r>
        <w:rPr>
          <w:rFonts w:hint="eastAsia" w:ascii="宋体" w:hAnsi="宋体"/>
          <w:color w:val="auto"/>
        </w:rPr>
        <w:t>之日</w:t>
      </w:r>
      <w:r>
        <w:rPr>
          <w:rFonts w:hint="eastAsia" w:ascii="宋体" w:hAnsi="宋体" w:cs="Arial"/>
          <w:color w:val="auto"/>
        </w:rPr>
        <w:t>起计算。</w:t>
      </w:r>
      <w:r>
        <w:rPr>
          <w:rFonts w:hint="eastAsia" w:ascii="宋体" w:hAnsi="宋体"/>
          <w:color w:val="auto"/>
        </w:rPr>
        <w:t>响应文件有效期不足的将被视为无效响应。</w:t>
      </w:r>
    </w:p>
    <w:p w14:paraId="7FB0B358">
      <w:pPr>
        <w:adjustRightInd w:val="0"/>
        <w:snapToGrid w:val="0"/>
        <w:spacing w:line="360" w:lineRule="auto"/>
        <w:rPr>
          <w:rFonts w:ascii="宋体" w:hAnsi="宋体"/>
          <w:b/>
          <w:bCs/>
          <w:color w:val="auto"/>
          <w:szCs w:val="21"/>
        </w:rPr>
      </w:pPr>
      <w:r>
        <w:rPr>
          <w:rFonts w:hint="eastAsia" w:ascii="宋体" w:hAnsi="宋体"/>
          <w:b/>
          <w:bCs/>
          <w:color w:val="auto"/>
          <w:szCs w:val="21"/>
        </w:rPr>
        <w:t>20.响应文件的签署及规定</w:t>
      </w:r>
    </w:p>
    <w:p w14:paraId="6E887B57">
      <w:pPr>
        <w:pStyle w:val="28"/>
        <w:adjustRightInd w:val="0"/>
        <w:snapToGrid w:val="0"/>
        <w:spacing w:line="360" w:lineRule="auto"/>
        <w:ind w:firstLine="420" w:firstLineChars="200"/>
        <w:rPr>
          <w:rFonts w:hAnsi="宋体"/>
          <w:color w:val="auto"/>
        </w:rPr>
      </w:pPr>
      <w:r>
        <w:rPr>
          <w:rFonts w:hint="eastAsia" w:hAnsi="宋体"/>
          <w:color w:val="auto"/>
        </w:rPr>
        <w:t>20.1响应文件的正本、副本须分别装订成册，正本一份，副本贰份，电子文件一份。正本和副本的封面上应标记“正本”或“副本”的字样，当正本和副本有差异时，以正本为准。具体份数以</w:t>
      </w:r>
      <w:r>
        <w:rPr>
          <w:rFonts w:hint="eastAsia" w:hAnsi="宋体"/>
          <w:b/>
          <w:color w:val="auto"/>
        </w:rPr>
        <w:t>磋商须知前附表</w:t>
      </w:r>
      <w:r>
        <w:rPr>
          <w:rFonts w:hint="eastAsia" w:hAnsi="宋体"/>
          <w:bCs/>
          <w:color w:val="auto"/>
        </w:rPr>
        <w:t>要求为准。</w:t>
      </w:r>
    </w:p>
    <w:p w14:paraId="0D5E2615">
      <w:pPr>
        <w:pStyle w:val="28"/>
        <w:adjustRightInd w:val="0"/>
        <w:snapToGrid w:val="0"/>
        <w:spacing w:line="360" w:lineRule="auto"/>
        <w:ind w:firstLine="420" w:firstLineChars="200"/>
        <w:rPr>
          <w:rFonts w:hAnsi="宋体"/>
          <w:color w:val="auto"/>
        </w:rPr>
      </w:pPr>
      <w:r>
        <w:rPr>
          <w:rFonts w:hint="eastAsia" w:hAnsi="宋体"/>
          <w:color w:val="auto"/>
        </w:rPr>
        <w:t>20.2 响应文件正本和副本应按磋商文件要求签章处盖单位章和由法定代表人或其委托代理人签字；任何加行、涂改、增删，应有法定代表人或其委托代理人在旁边签字。否则，将导致响应文件无效。</w:t>
      </w:r>
    </w:p>
    <w:p w14:paraId="49B46A0B">
      <w:pPr>
        <w:pStyle w:val="28"/>
        <w:adjustRightInd w:val="0"/>
        <w:snapToGrid w:val="0"/>
        <w:spacing w:line="360" w:lineRule="auto"/>
        <w:ind w:firstLine="420" w:firstLineChars="200"/>
        <w:rPr>
          <w:rFonts w:hAnsi="宋体"/>
          <w:color w:val="auto"/>
        </w:rPr>
      </w:pPr>
      <w:r>
        <w:rPr>
          <w:rFonts w:hint="eastAsia" w:hAnsi="宋体"/>
          <w:color w:val="auto"/>
        </w:rPr>
        <w:t>20.3 在磋商过程中，供应商按磋商文件规定和磋商小组要求</w:t>
      </w:r>
      <w:r>
        <w:rPr>
          <w:rFonts w:hint="eastAsia" w:hAnsi="宋体" w:cs="宋体"/>
          <w:color w:val="auto"/>
          <w:kern w:val="0"/>
        </w:rPr>
        <w:t>提交的</w:t>
      </w:r>
      <w:r>
        <w:rPr>
          <w:rFonts w:hint="eastAsia" w:hAnsi="宋体"/>
          <w:color w:val="auto"/>
        </w:rPr>
        <w:t>最后报价(或者</w:t>
      </w:r>
      <w:r>
        <w:rPr>
          <w:rFonts w:hint="eastAsia" w:hAnsi="宋体"/>
          <w:bCs/>
          <w:color w:val="auto"/>
        </w:rPr>
        <w:t>重</w:t>
      </w:r>
      <w:r>
        <w:rPr>
          <w:rFonts w:hint="eastAsia" w:hAnsi="宋体" w:cs="宋体"/>
          <w:color w:val="auto"/>
          <w:kern w:val="0"/>
        </w:rPr>
        <w:t>新提交的响应文件和</w:t>
      </w:r>
      <w:r>
        <w:rPr>
          <w:rFonts w:hint="eastAsia" w:hAnsi="宋体"/>
          <w:color w:val="auto"/>
        </w:rPr>
        <w:t>最后报价)，一式两份，可打印或用不退色墨水书写，但需经法定代表人或其委托代理人签字，</w:t>
      </w:r>
      <w:r>
        <w:rPr>
          <w:rFonts w:hint="eastAsia" w:hAnsi="宋体" w:cs="宋体"/>
          <w:color w:val="auto"/>
          <w:kern w:val="0"/>
        </w:rPr>
        <w:t>或者加盖供应商单位章</w:t>
      </w:r>
      <w:r>
        <w:rPr>
          <w:rFonts w:hint="eastAsia" w:hAnsi="宋体"/>
          <w:color w:val="auto"/>
        </w:rPr>
        <w:t>。否则，将导致响应文件无效。</w:t>
      </w:r>
    </w:p>
    <w:p w14:paraId="5535E958">
      <w:pPr>
        <w:pStyle w:val="28"/>
        <w:adjustRightInd w:val="0"/>
        <w:snapToGrid w:val="0"/>
        <w:spacing w:line="360" w:lineRule="auto"/>
        <w:ind w:firstLine="420" w:firstLineChars="200"/>
        <w:rPr>
          <w:rFonts w:hAnsi="宋体"/>
          <w:b/>
          <w:color w:val="auto"/>
        </w:rPr>
      </w:pPr>
      <w:r>
        <w:rPr>
          <w:rFonts w:hint="eastAsia" w:hAnsi="宋体"/>
          <w:bCs/>
          <w:color w:val="auto"/>
        </w:rPr>
        <w:t>20.4</w:t>
      </w:r>
      <w:r>
        <w:rPr>
          <w:rFonts w:hint="eastAsia" w:hAnsi="宋体"/>
          <w:bCs/>
          <w:color w:val="auto"/>
          <w:lang w:val="en-GB"/>
        </w:rPr>
        <w:t>供应商在递交响应文件的同时须提交与响应文件正本（盖章签字）一致的电子文件一份（</w:t>
      </w:r>
      <w:r>
        <w:rPr>
          <w:rFonts w:hint="eastAsia" w:hAnsi="宋体"/>
          <w:bCs/>
          <w:color w:val="auto"/>
        </w:rPr>
        <w:t>PDF格式</w:t>
      </w:r>
      <w:r>
        <w:rPr>
          <w:rFonts w:hint="eastAsia" w:hAnsi="宋体"/>
          <w:bCs/>
          <w:color w:val="auto"/>
          <w:lang w:val="en-GB"/>
        </w:rPr>
        <w:t>U盘存储）</w:t>
      </w:r>
      <w:r>
        <w:rPr>
          <w:rFonts w:hint="eastAsia" w:hAnsi="宋体"/>
          <w:bCs/>
          <w:color w:val="auto"/>
        </w:rPr>
        <w:t>，并能正常读取、拷贝，否则将按不合格供应商处理。</w:t>
      </w:r>
    </w:p>
    <w:p w14:paraId="471677DB">
      <w:pPr>
        <w:adjustRightInd w:val="0"/>
        <w:snapToGrid w:val="0"/>
        <w:spacing w:line="360" w:lineRule="auto"/>
        <w:rPr>
          <w:rFonts w:ascii="宋体" w:hAnsi="宋体"/>
          <w:b/>
          <w:color w:val="auto"/>
          <w:sz w:val="24"/>
        </w:rPr>
      </w:pPr>
      <w:r>
        <w:rPr>
          <w:rFonts w:hint="eastAsia" w:ascii="宋体" w:hAnsi="宋体"/>
          <w:b/>
          <w:color w:val="auto"/>
          <w:sz w:val="24"/>
        </w:rPr>
        <w:t>四、响应文件的递交</w:t>
      </w:r>
    </w:p>
    <w:p w14:paraId="652A2792">
      <w:pPr>
        <w:adjustRightInd w:val="0"/>
        <w:snapToGrid w:val="0"/>
        <w:spacing w:line="360" w:lineRule="auto"/>
        <w:rPr>
          <w:rFonts w:ascii="宋体" w:hAnsi="宋体" w:cs="宋体"/>
          <w:bCs/>
          <w:color w:val="auto"/>
          <w:szCs w:val="21"/>
        </w:rPr>
      </w:pPr>
      <w:r>
        <w:rPr>
          <w:rFonts w:hint="eastAsia" w:ascii="宋体" w:hAnsi="宋体" w:cs="宋体"/>
          <w:bCs/>
          <w:color w:val="auto"/>
          <w:szCs w:val="21"/>
        </w:rPr>
        <w:t>21.响应文件的密封和标记</w:t>
      </w:r>
    </w:p>
    <w:p w14:paraId="06B1FF39">
      <w:pPr>
        <w:pStyle w:val="28"/>
        <w:adjustRightInd w:val="0"/>
        <w:snapToGrid w:val="0"/>
        <w:spacing w:line="360" w:lineRule="auto"/>
        <w:ind w:firstLine="420" w:firstLineChars="200"/>
        <w:rPr>
          <w:rFonts w:hAnsi="宋体" w:cs="宋体"/>
          <w:bCs/>
          <w:color w:val="auto"/>
        </w:rPr>
      </w:pPr>
      <w:r>
        <w:rPr>
          <w:rFonts w:hint="eastAsia" w:hAnsi="宋体" w:cs="宋体"/>
          <w:bCs/>
          <w:color w:val="auto"/>
        </w:rPr>
        <w:t>21.1各供应商必须将响应文件正本、副本、电子文件，各自单独密封、加贴封条，并在封套的封口处盖供应商单位公章或由法定代表人或其委托代理人签字，一并递交，不得混装。</w:t>
      </w:r>
    </w:p>
    <w:p w14:paraId="1C7A5A38">
      <w:pPr>
        <w:adjustRightInd w:val="0"/>
        <w:snapToGrid w:val="0"/>
        <w:spacing w:line="440" w:lineRule="exact"/>
        <w:ind w:firstLine="420" w:firstLineChars="200"/>
        <w:rPr>
          <w:rFonts w:ascii="宋体" w:hAnsi="宋体"/>
          <w:b/>
          <w:color w:val="auto"/>
          <w:szCs w:val="21"/>
        </w:rPr>
      </w:pPr>
      <w:r>
        <w:rPr>
          <w:rFonts w:hint="eastAsia" w:ascii="宋体" w:hAnsi="宋体" w:cs="宋体"/>
          <w:color w:val="auto"/>
        </w:rPr>
        <w:t>21.2</w:t>
      </w:r>
      <w:r>
        <w:rPr>
          <w:rFonts w:hint="eastAsia" w:hAnsi="宋体"/>
          <w:color w:val="auto"/>
        </w:rPr>
        <w:t>最后报价是磋商文件的一部分，由各供应商先行加盖公章，但</w:t>
      </w:r>
      <w:r>
        <w:rPr>
          <w:rFonts w:hint="eastAsia" w:ascii="宋体" w:hAnsi="宋体"/>
          <w:color w:val="auto"/>
          <w:szCs w:val="21"/>
        </w:rPr>
        <w:t>不得装订入响应文件中，由各供应商参加磋商的授权代表带至磋商现场，磋商后填写，</w:t>
      </w:r>
      <w:r>
        <w:rPr>
          <w:rFonts w:hint="eastAsia" w:hAnsi="宋体"/>
          <w:bCs/>
          <w:color w:val="auto"/>
        </w:rPr>
        <w:t>否则将按不合格供应商处理。</w:t>
      </w:r>
    </w:p>
    <w:p w14:paraId="661D96A9">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21.3响应文件封套上应写明的内容见</w:t>
      </w:r>
      <w:r>
        <w:rPr>
          <w:rFonts w:hint="eastAsia" w:ascii="宋体" w:hAnsi="宋体"/>
          <w:b/>
          <w:color w:val="auto"/>
          <w:szCs w:val="21"/>
        </w:rPr>
        <w:t>磋商须知前附表。</w:t>
      </w:r>
    </w:p>
    <w:p w14:paraId="6CBAEC48">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21.4响应文件如果未按上述规定密封和加写标记或混装的，采购人或采购代理机构将拒绝接收。</w:t>
      </w:r>
    </w:p>
    <w:p w14:paraId="7332C16A">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21.5响应文件递交地点：见磋商须知前附表之规定。</w:t>
      </w:r>
    </w:p>
    <w:p w14:paraId="20ED25C0">
      <w:pPr>
        <w:adjustRightInd w:val="0"/>
        <w:snapToGrid w:val="0"/>
        <w:spacing w:line="360" w:lineRule="auto"/>
        <w:rPr>
          <w:rFonts w:ascii="宋体" w:hAnsi="宋体"/>
          <w:b/>
          <w:bCs/>
          <w:color w:val="auto"/>
          <w:szCs w:val="21"/>
        </w:rPr>
      </w:pPr>
      <w:r>
        <w:rPr>
          <w:rFonts w:hint="eastAsia" w:ascii="宋体" w:hAnsi="宋体"/>
          <w:b/>
          <w:bCs/>
          <w:color w:val="auto"/>
          <w:szCs w:val="21"/>
        </w:rPr>
        <w:t>22.响应文件的</w:t>
      </w:r>
      <w:r>
        <w:rPr>
          <w:rFonts w:hint="eastAsia" w:ascii="宋体" w:hAnsi="宋体" w:cs="宋体"/>
          <w:b/>
          <w:color w:val="auto"/>
          <w:kern w:val="0"/>
          <w:szCs w:val="21"/>
          <w:lang w:val="zh-CN"/>
        </w:rPr>
        <w:t>补充、修改或者撤回</w:t>
      </w:r>
    </w:p>
    <w:p w14:paraId="77026754">
      <w:pPr>
        <w:pStyle w:val="28"/>
        <w:adjustRightInd w:val="0"/>
        <w:snapToGrid w:val="0"/>
        <w:spacing w:line="360" w:lineRule="auto"/>
        <w:ind w:firstLine="420" w:firstLineChars="200"/>
        <w:rPr>
          <w:rFonts w:hAnsi="宋体"/>
          <w:color w:val="auto"/>
        </w:rPr>
      </w:pPr>
      <w:r>
        <w:rPr>
          <w:rFonts w:hint="eastAsia" w:hAnsi="宋体"/>
          <w:color w:val="auto"/>
        </w:rPr>
        <w:t>22.1</w:t>
      </w:r>
      <w:r>
        <w:rPr>
          <w:rFonts w:hint="eastAsia" w:hAnsi="宋体" w:cs="宋体"/>
          <w:color w:val="auto"/>
          <w:kern w:val="0"/>
        </w:rPr>
        <w:t>供应商在</w:t>
      </w:r>
      <w:r>
        <w:rPr>
          <w:rFonts w:hint="eastAsia" w:hAnsi="宋体"/>
          <w:color w:val="auto"/>
        </w:rPr>
        <w:t>本章第12.1</w:t>
      </w:r>
      <w:r>
        <w:rPr>
          <w:rFonts w:hint="eastAsia" w:hAnsi="宋体" w:cs="宋体"/>
          <w:color w:val="auto"/>
          <w:kern w:val="0"/>
          <w:lang w:val="zh-CN"/>
        </w:rPr>
        <w:t>款</w:t>
      </w:r>
      <w:r>
        <w:rPr>
          <w:rFonts w:hint="eastAsia" w:hAnsi="宋体"/>
          <w:color w:val="auto"/>
        </w:rPr>
        <w:t>规定的</w:t>
      </w:r>
      <w:r>
        <w:rPr>
          <w:rFonts w:hint="eastAsia" w:hAnsi="宋体" w:cs="宋体"/>
          <w:color w:val="auto"/>
          <w:kern w:val="0"/>
        </w:rPr>
        <w:t>提交首次响应文件截止时间前，可以对所提交的首次响应文件进行补充、修改或者撤回，并书面通知采购人、采购代理机构。</w:t>
      </w:r>
      <w:r>
        <w:rPr>
          <w:rFonts w:hint="eastAsia" w:hAnsi="宋体"/>
          <w:color w:val="auto"/>
        </w:rPr>
        <w:t>该通知应有供应商法定代表人或其委托代理人签字。</w:t>
      </w:r>
    </w:p>
    <w:p w14:paraId="64AD9663">
      <w:pPr>
        <w:pStyle w:val="28"/>
        <w:adjustRightInd w:val="0"/>
        <w:snapToGrid w:val="0"/>
        <w:spacing w:line="360" w:lineRule="auto"/>
        <w:ind w:firstLine="420" w:firstLineChars="200"/>
        <w:rPr>
          <w:rFonts w:hAnsi="宋体"/>
          <w:color w:val="auto"/>
        </w:rPr>
      </w:pPr>
      <w:r>
        <w:rPr>
          <w:rFonts w:hint="eastAsia" w:hAnsi="宋体"/>
          <w:color w:val="auto"/>
        </w:rPr>
        <w:t>22.2</w:t>
      </w:r>
      <w:r>
        <w:rPr>
          <w:rFonts w:hint="eastAsia" w:hAnsi="宋体" w:cs="宋体"/>
          <w:color w:val="auto"/>
          <w:kern w:val="0"/>
          <w:lang w:val="zh-CN"/>
        </w:rPr>
        <w:t>补充、修改的内容与响应文件不一致时，以补充、修改的内容为准。</w:t>
      </w:r>
    </w:p>
    <w:p w14:paraId="154F24BF">
      <w:pPr>
        <w:adjustRightInd w:val="0"/>
        <w:snapToGrid w:val="0"/>
        <w:spacing w:line="360" w:lineRule="auto"/>
        <w:rPr>
          <w:rFonts w:ascii="宋体" w:hAnsi="宋体"/>
          <w:b/>
          <w:bCs/>
          <w:color w:val="auto"/>
          <w:szCs w:val="21"/>
        </w:rPr>
      </w:pPr>
      <w:r>
        <w:rPr>
          <w:rFonts w:hint="eastAsia" w:ascii="宋体" w:hAnsi="宋体"/>
          <w:b/>
          <w:bCs/>
          <w:color w:val="auto"/>
          <w:szCs w:val="21"/>
        </w:rPr>
        <w:t>23.响应文件的递交与接收</w:t>
      </w:r>
    </w:p>
    <w:p w14:paraId="3189CE0F">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23.1 供应商应在</w:t>
      </w:r>
      <w:r>
        <w:rPr>
          <w:rFonts w:hint="eastAsia" w:ascii="宋体" w:hAnsi="宋体"/>
          <w:color w:val="auto"/>
        </w:rPr>
        <w:t>本章第12.1</w:t>
      </w:r>
      <w:r>
        <w:rPr>
          <w:rFonts w:hint="eastAsia" w:ascii="宋体" w:hAnsi="宋体" w:cs="宋体"/>
          <w:color w:val="auto"/>
          <w:kern w:val="0"/>
          <w:szCs w:val="21"/>
          <w:lang w:val="zh-CN"/>
        </w:rPr>
        <w:t>款</w:t>
      </w:r>
      <w:r>
        <w:rPr>
          <w:rFonts w:hint="eastAsia" w:ascii="宋体" w:hAnsi="宋体"/>
          <w:color w:val="auto"/>
        </w:rPr>
        <w:t>规定的</w:t>
      </w:r>
      <w:r>
        <w:rPr>
          <w:rFonts w:hint="eastAsia" w:ascii="宋体" w:hAnsi="宋体" w:cs="宋体"/>
          <w:color w:val="auto"/>
          <w:kern w:val="0"/>
          <w:szCs w:val="21"/>
        </w:rPr>
        <w:t>提交首次响应文件截止时间</w:t>
      </w:r>
      <w:r>
        <w:rPr>
          <w:rFonts w:hint="eastAsia" w:ascii="宋体" w:hAnsi="宋体"/>
          <w:color w:val="auto"/>
          <w:szCs w:val="21"/>
        </w:rPr>
        <w:t>前，将响应文件送</w:t>
      </w:r>
      <w:r>
        <w:rPr>
          <w:rFonts w:hint="eastAsia" w:ascii="宋体" w:hAnsi="宋体" w:cs="Arial"/>
          <w:color w:val="auto"/>
          <w:szCs w:val="21"/>
        </w:rPr>
        <w:t>达</w:t>
      </w:r>
      <w:r>
        <w:rPr>
          <w:rFonts w:hint="eastAsia" w:ascii="宋体" w:hAnsi="宋体"/>
          <w:b/>
          <w:color w:val="auto"/>
          <w:szCs w:val="21"/>
        </w:rPr>
        <w:t>磋商须知前附表</w:t>
      </w:r>
      <w:r>
        <w:rPr>
          <w:rFonts w:hint="eastAsia" w:ascii="宋体" w:hAnsi="宋体"/>
          <w:color w:val="auto"/>
          <w:szCs w:val="21"/>
        </w:rPr>
        <w:t>中指定的地点。</w:t>
      </w:r>
      <w:r>
        <w:rPr>
          <w:rFonts w:hint="eastAsia" w:ascii="宋体" w:hAnsi="宋体" w:cs="宋体"/>
          <w:color w:val="auto"/>
          <w:kern w:val="0"/>
        </w:rPr>
        <w:t>在截止时间后送达的响应文件，采购人、采购代理机构或者磋商小组应当拒收。</w:t>
      </w:r>
    </w:p>
    <w:p w14:paraId="56CEC496">
      <w:pPr>
        <w:pStyle w:val="28"/>
        <w:adjustRightInd w:val="0"/>
        <w:snapToGrid w:val="0"/>
        <w:spacing w:line="360" w:lineRule="auto"/>
        <w:ind w:firstLine="420" w:firstLineChars="200"/>
        <w:rPr>
          <w:rFonts w:hAnsi="宋体"/>
          <w:color w:val="auto"/>
        </w:rPr>
      </w:pPr>
      <w:r>
        <w:rPr>
          <w:rFonts w:hint="eastAsia" w:hAnsi="宋体"/>
          <w:color w:val="auto"/>
        </w:rPr>
        <w:t>23.2</w:t>
      </w:r>
      <w:r>
        <w:rPr>
          <w:rFonts w:hint="eastAsia" w:hAnsi="宋体" w:cs="宋体"/>
          <w:color w:val="auto"/>
          <w:kern w:val="0"/>
        </w:rPr>
        <w:t>在</w:t>
      </w:r>
      <w:r>
        <w:rPr>
          <w:rFonts w:hint="eastAsia" w:hAnsi="宋体"/>
          <w:color w:val="auto"/>
        </w:rPr>
        <w:t>本章第12.1</w:t>
      </w:r>
      <w:r>
        <w:rPr>
          <w:rFonts w:hint="eastAsia" w:hAnsi="宋体" w:cs="宋体"/>
          <w:color w:val="auto"/>
          <w:kern w:val="0"/>
          <w:lang w:val="zh-CN"/>
        </w:rPr>
        <w:t>款</w:t>
      </w:r>
      <w:r>
        <w:rPr>
          <w:rFonts w:hint="eastAsia" w:hAnsi="宋体"/>
          <w:color w:val="auto"/>
        </w:rPr>
        <w:t>规定的</w:t>
      </w:r>
      <w:r>
        <w:rPr>
          <w:rFonts w:hint="eastAsia" w:hAnsi="宋体" w:cs="宋体"/>
          <w:color w:val="auto"/>
          <w:kern w:val="0"/>
        </w:rPr>
        <w:t>提交首次响应文件截止时间后，</w:t>
      </w:r>
      <w:r>
        <w:rPr>
          <w:rFonts w:hint="eastAsia" w:hAnsi="宋体"/>
          <w:color w:val="auto"/>
        </w:rPr>
        <w:t>由</w:t>
      </w:r>
      <w:r>
        <w:rPr>
          <w:rFonts w:hint="eastAsia" w:hAnsi="宋体"/>
          <w:bCs/>
          <w:color w:val="auto"/>
        </w:rPr>
        <w:t>供应商代表</w:t>
      </w:r>
      <w:r>
        <w:rPr>
          <w:rFonts w:hint="eastAsia" w:hAnsi="宋体"/>
          <w:color w:val="auto"/>
        </w:rPr>
        <w:t>当场查验</w:t>
      </w:r>
      <w:r>
        <w:rPr>
          <w:rFonts w:hint="eastAsia" w:hAnsi="宋体"/>
          <w:bCs/>
          <w:color w:val="auto"/>
        </w:rPr>
        <w:t>响应文件</w:t>
      </w:r>
      <w:r>
        <w:rPr>
          <w:rFonts w:hint="eastAsia" w:hAnsi="宋体"/>
          <w:color w:val="auto"/>
        </w:rPr>
        <w:t>的密封状况，采购人或</w:t>
      </w:r>
      <w:r>
        <w:rPr>
          <w:rFonts w:hint="eastAsia" w:hAnsi="宋体"/>
          <w:bCs/>
          <w:color w:val="auto"/>
        </w:rPr>
        <w:t>采购代理机构</w:t>
      </w:r>
      <w:r>
        <w:rPr>
          <w:rFonts w:hint="eastAsia" w:hAnsi="宋体"/>
          <w:color w:val="auto"/>
        </w:rPr>
        <w:t>不当场拆封</w:t>
      </w:r>
      <w:r>
        <w:rPr>
          <w:rFonts w:hint="eastAsia" w:hAnsi="宋体"/>
          <w:bCs/>
          <w:color w:val="auto"/>
        </w:rPr>
        <w:t>响应文件</w:t>
      </w:r>
      <w:r>
        <w:rPr>
          <w:rFonts w:hint="eastAsia" w:hAnsi="宋体"/>
          <w:color w:val="auto"/>
        </w:rPr>
        <w:t>。</w:t>
      </w:r>
    </w:p>
    <w:p w14:paraId="5A678479">
      <w:pPr>
        <w:adjustRightInd w:val="0"/>
        <w:snapToGrid w:val="0"/>
        <w:spacing w:line="360" w:lineRule="auto"/>
        <w:rPr>
          <w:rFonts w:ascii="宋体" w:hAnsi="宋体"/>
          <w:b/>
          <w:color w:val="auto"/>
          <w:sz w:val="24"/>
        </w:rPr>
      </w:pPr>
      <w:r>
        <w:rPr>
          <w:rFonts w:hint="eastAsia" w:ascii="宋体" w:hAnsi="宋体"/>
          <w:b/>
          <w:color w:val="auto"/>
          <w:sz w:val="24"/>
        </w:rPr>
        <w:t>五、响应文件的评审与磋商</w:t>
      </w:r>
    </w:p>
    <w:p w14:paraId="1C99D64C">
      <w:pPr>
        <w:tabs>
          <w:tab w:val="left" w:pos="0"/>
        </w:tabs>
        <w:adjustRightInd w:val="0"/>
        <w:snapToGrid w:val="0"/>
        <w:spacing w:line="360" w:lineRule="auto"/>
        <w:rPr>
          <w:rFonts w:ascii="宋体" w:hAnsi="宋体"/>
          <w:b/>
          <w:bCs/>
          <w:color w:val="auto"/>
          <w:szCs w:val="21"/>
        </w:rPr>
      </w:pPr>
      <w:r>
        <w:rPr>
          <w:rFonts w:hint="eastAsia" w:ascii="宋体" w:hAnsi="宋体"/>
          <w:b/>
          <w:bCs/>
          <w:color w:val="auto"/>
          <w:szCs w:val="21"/>
        </w:rPr>
        <w:t>24、磋商程序</w:t>
      </w:r>
    </w:p>
    <w:p w14:paraId="6B14A83B">
      <w:pPr>
        <w:tabs>
          <w:tab w:val="left" w:pos="0"/>
        </w:tabs>
        <w:adjustRightInd w:val="0"/>
        <w:snapToGrid w:val="0"/>
        <w:spacing w:line="360" w:lineRule="auto"/>
        <w:ind w:firstLine="308" w:firstLineChars="147"/>
        <w:rPr>
          <w:rFonts w:ascii="宋体" w:hAnsi="宋体"/>
          <w:b/>
          <w:bCs/>
          <w:color w:val="auto"/>
          <w:szCs w:val="21"/>
        </w:rPr>
      </w:pPr>
      <w:r>
        <w:rPr>
          <w:rFonts w:hint="eastAsia" w:ascii="宋体" w:hAnsi="宋体" w:cs="宋体"/>
          <w:color w:val="auto"/>
          <w:kern w:val="0"/>
          <w:szCs w:val="21"/>
        </w:rPr>
        <w:t>供应商资格审查、磋商（包括澄清、符合性评审查）、最后报价、综合评分、</w:t>
      </w:r>
      <w:r>
        <w:rPr>
          <w:rFonts w:hint="eastAsia" w:ascii="宋体" w:hAnsi="宋体"/>
          <w:bCs/>
          <w:color w:val="auto"/>
          <w:szCs w:val="21"/>
        </w:rPr>
        <w:t>提出成交候选供应商名单。其中，</w:t>
      </w:r>
      <w:r>
        <w:rPr>
          <w:rFonts w:hint="eastAsia" w:ascii="宋体" w:hAnsi="宋体" w:cs="宋体"/>
          <w:color w:val="auto"/>
          <w:kern w:val="0"/>
          <w:szCs w:val="21"/>
        </w:rPr>
        <w:t>磋商按</w:t>
      </w:r>
      <w:r>
        <w:rPr>
          <w:rFonts w:hint="eastAsia" w:ascii="宋体" w:hAnsi="宋体"/>
          <w:color w:val="auto"/>
          <w:szCs w:val="21"/>
        </w:rPr>
        <w:t>本章第29.1</w:t>
      </w:r>
      <w:r>
        <w:rPr>
          <w:rFonts w:hint="eastAsia" w:ascii="宋体" w:hAnsi="宋体" w:cs="宋体"/>
          <w:color w:val="auto"/>
          <w:kern w:val="0"/>
          <w:szCs w:val="21"/>
          <w:lang w:val="zh-CN"/>
        </w:rPr>
        <w:t>款或者</w:t>
      </w:r>
      <w:r>
        <w:rPr>
          <w:rFonts w:hint="eastAsia" w:ascii="宋体" w:hAnsi="宋体"/>
          <w:color w:val="auto"/>
          <w:szCs w:val="21"/>
        </w:rPr>
        <w:t>第29.2</w:t>
      </w:r>
      <w:r>
        <w:rPr>
          <w:rFonts w:hint="eastAsia" w:ascii="宋体" w:hAnsi="宋体" w:cs="宋体"/>
          <w:color w:val="auto"/>
          <w:kern w:val="0"/>
          <w:szCs w:val="21"/>
          <w:lang w:val="zh-CN"/>
        </w:rPr>
        <w:t>款</w:t>
      </w:r>
      <w:r>
        <w:rPr>
          <w:rFonts w:hint="eastAsia" w:ascii="宋体" w:hAnsi="宋体"/>
          <w:color w:val="auto"/>
          <w:szCs w:val="21"/>
        </w:rPr>
        <w:t>情形</w:t>
      </w:r>
      <w:r>
        <w:rPr>
          <w:rFonts w:hint="eastAsia" w:ascii="宋体" w:hAnsi="宋体"/>
          <w:bCs/>
          <w:color w:val="auto"/>
          <w:szCs w:val="21"/>
        </w:rPr>
        <w:t>进行。</w:t>
      </w:r>
    </w:p>
    <w:p w14:paraId="14FFCF00">
      <w:pPr>
        <w:adjustRightInd w:val="0"/>
        <w:snapToGrid w:val="0"/>
        <w:spacing w:before="156" w:beforeLines="50" w:line="360" w:lineRule="auto"/>
        <w:rPr>
          <w:rFonts w:ascii="宋体" w:hAnsi="宋体"/>
          <w:b/>
          <w:bCs/>
          <w:color w:val="auto"/>
          <w:szCs w:val="21"/>
        </w:rPr>
      </w:pPr>
      <w:r>
        <w:rPr>
          <w:rFonts w:hint="eastAsia" w:ascii="宋体" w:hAnsi="宋体"/>
          <w:b/>
          <w:bCs/>
          <w:color w:val="auto"/>
          <w:szCs w:val="21"/>
        </w:rPr>
        <w:t>25.磋商小组</w:t>
      </w:r>
    </w:p>
    <w:p w14:paraId="642034AE">
      <w:pPr>
        <w:adjustRightInd w:val="0"/>
        <w:snapToGrid w:val="0"/>
        <w:spacing w:before="156" w:beforeLines="50" w:line="360" w:lineRule="auto"/>
        <w:ind w:firstLine="420" w:firstLineChars="200"/>
        <w:jc w:val="left"/>
        <w:rPr>
          <w:rFonts w:ascii="宋体" w:hAnsi="宋体"/>
          <w:color w:val="auto"/>
          <w:szCs w:val="21"/>
        </w:rPr>
      </w:pPr>
      <w:r>
        <w:rPr>
          <w:rFonts w:hint="eastAsia" w:ascii="宋体" w:hAnsi="宋体"/>
          <w:bCs/>
          <w:color w:val="auto"/>
          <w:szCs w:val="21"/>
        </w:rPr>
        <w:t>25.1 采购人与采购代理机构将根据采购项目的特点依法组建磋商小组，其成员由评审</w:t>
      </w:r>
      <w:r>
        <w:rPr>
          <w:rFonts w:hint="eastAsia" w:ascii="宋体" w:hAnsi="宋体"/>
          <w:color w:val="auto"/>
          <w:szCs w:val="21"/>
        </w:rPr>
        <w:t>专家和采购人的代表组成。磋商小组负责对供应商资格进行核查；对响应文件进行审查；与供应商进行磋商、对报价进行评价、根据综合评分法对提交最后报价的供应商的响应文件和最后报价进行综合评分、推荐成交供应商。</w:t>
      </w:r>
    </w:p>
    <w:p w14:paraId="6B3AAC0A">
      <w:pPr>
        <w:tabs>
          <w:tab w:val="left" w:pos="0"/>
        </w:tabs>
        <w:adjustRightInd w:val="0"/>
        <w:snapToGrid w:val="0"/>
        <w:spacing w:before="156" w:beforeLines="50" w:line="360" w:lineRule="auto"/>
        <w:rPr>
          <w:rFonts w:ascii="宋体" w:hAnsi="宋体"/>
          <w:b/>
          <w:color w:val="auto"/>
          <w:szCs w:val="21"/>
        </w:rPr>
      </w:pPr>
      <w:r>
        <w:rPr>
          <w:rFonts w:hint="eastAsia" w:ascii="宋体" w:hAnsi="宋体"/>
          <w:b/>
          <w:color w:val="auto"/>
          <w:szCs w:val="21"/>
        </w:rPr>
        <w:t>26.供应商的</w:t>
      </w:r>
      <w:r>
        <w:rPr>
          <w:rFonts w:hint="eastAsia" w:ascii="宋体" w:hAnsi="宋体"/>
          <w:b/>
          <w:bCs/>
          <w:color w:val="auto"/>
          <w:szCs w:val="21"/>
        </w:rPr>
        <w:t>资格</w:t>
      </w:r>
      <w:r>
        <w:rPr>
          <w:rFonts w:hint="eastAsia" w:ascii="宋体" w:hAnsi="宋体"/>
          <w:b/>
          <w:color w:val="auto"/>
          <w:szCs w:val="21"/>
        </w:rPr>
        <w:t>核查</w:t>
      </w:r>
    </w:p>
    <w:p w14:paraId="550FBE6B">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26.1 磋商小组根据磋商文件规定的供应商资格条件要求，对</w:t>
      </w:r>
      <w:r>
        <w:rPr>
          <w:rFonts w:hint="eastAsia" w:ascii="宋体" w:hAnsi="宋体"/>
          <w:color w:val="auto"/>
        </w:rPr>
        <w:t>响应</w:t>
      </w:r>
      <w:r>
        <w:rPr>
          <w:rFonts w:hint="eastAsia" w:ascii="宋体" w:hAnsi="宋体"/>
          <w:color w:val="auto"/>
          <w:szCs w:val="21"/>
        </w:rPr>
        <w:t>文件进行资格核查。供应商不满足资格条件的，在评审时将其视为无效响应。</w:t>
      </w:r>
    </w:p>
    <w:p w14:paraId="597A8951">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26.2磋商小组可以要求供应商提交有关证明和证件的原件以便核验。</w:t>
      </w:r>
    </w:p>
    <w:p w14:paraId="4E9A4B0A">
      <w:pPr>
        <w:widowControl/>
        <w:adjustRightInd w:val="0"/>
        <w:snapToGrid w:val="0"/>
        <w:spacing w:line="360" w:lineRule="auto"/>
        <w:jc w:val="left"/>
        <w:rPr>
          <w:rFonts w:ascii="宋体" w:hAnsi="宋体" w:cs="宋体"/>
          <w:b/>
          <w:color w:val="auto"/>
          <w:kern w:val="0"/>
          <w:szCs w:val="21"/>
        </w:rPr>
      </w:pPr>
      <w:r>
        <w:rPr>
          <w:rFonts w:hint="eastAsia" w:ascii="宋体" w:hAnsi="宋体" w:cs="宋体"/>
          <w:b/>
          <w:color w:val="auto"/>
          <w:kern w:val="0"/>
          <w:szCs w:val="21"/>
        </w:rPr>
        <w:t>27.澄清</w:t>
      </w:r>
    </w:p>
    <w:p w14:paraId="668AFE33">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27.1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供应商的澄清、说明或者更正不得超出磋商文件的范围或者改变响应文件的实质性内容。</w:t>
      </w:r>
    </w:p>
    <w:p w14:paraId="47FC551A">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27.2 最后报价计算错误修正的原则：最后报价</w:t>
      </w:r>
      <w:r>
        <w:rPr>
          <w:rFonts w:hint="eastAsia" w:ascii="宋体" w:hAnsi="宋体" w:cs="Arial"/>
          <w:color w:val="auto"/>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2BA2F1C0">
      <w:pPr>
        <w:widowControl/>
        <w:adjustRightInd w:val="0"/>
        <w:snapToGrid w:val="0"/>
        <w:spacing w:line="360" w:lineRule="auto"/>
        <w:jc w:val="left"/>
        <w:rPr>
          <w:rFonts w:ascii="宋体" w:hAnsi="宋体" w:cs="宋体"/>
          <w:b/>
          <w:color w:val="auto"/>
          <w:kern w:val="0"/>
          <w:szCs w:val="21"/>
        </w:rPr>
      </w:pPr>
      <w:r>
        <w:rPr>
          <w:rFonts w:hint="eastAsia" w:ascii="宋体" w:hAnsi="宋体" w:cs="宋体"/>
          <w:b/>
          <w:color w:val="auto"/>
          <w:kern w:val="0"/>
          <w:szCs w:val="21"/>
        </w:rPr>
        <w:t>28.符合性审查</w:t>
      </w:r>
    </w:p>
    <w:p w14:paraId="3A75C039">
      <w:pPr>
        <w:adjustRightInd w:val="0"/>
        <w:snapToGrid w:val="0"/>
        <w:spacing w:before="156" w:beforeLines="50" w:line="360" w:lineRule="auto"/>
        <w:ind w:firstLine="420" w:firstLineChars="200"/>
        <w:rPr>
          <w:rFonts w:ascii="宋体" w:hAnsi="宋体"/>
          <w:color w:val="auto"/>
          <w:szCs w:val="21"/>
        </w:rPr>
      </w:pPr>
      <w:r>
        <w:rPr>
          <w:rFonts w:hint="eastAsia" w:ascii="宋体" w:hAnsi="宋体" w:cs="宋体"/>
          <w:color w:val="auto"/>
          <w:kern w:val="0"/>
          <w:szCs w:val="21"/>
        </w:rPr>
        <w:t>28.1磋商小组按照磋商文件的规定，</w:t>
      </w:r>
      <w:r>
        <w:rPr>
          <w:rFonts w:hint="eastAsia" w:ascii="宋体" w:hAnsi="宋体"/>
          <w:bCs/>
          <w:color w:val="auto"/>
          <w:szCs w:val="21"/>
        </w:rPr>
        <w:t>对</w:t>
      </w:r>
      <w:r>
        <w:rPr>
          <w:rFonts w:hint="eastAsia" w:ascii="宋体" w:hAnsi="宋体" w:cs="宋体"/>
          <w:color w:val="auto"/>
          <w:kern w:val="0"/>
          <w:szCs w:val="21"/>
          <w:lang w:val="zh-CN"/>
        </w:rPr>
        <w:t>供应商</w:t>
      </w:r>
      <w:r>
        <w:rPr>
          <w:rFonts w:hint="eastAsia" w:ascii="宋体" w:hAnsi="宋体"/>
          <w:bCs/>
          <w:color w:val="auto"/>
          <w:szCs w:val="21"/>
        </w:rPr>
        <w:t>响应文件进行符合性审查</w:t>
      </w:r>
      <w:r>
        <w:rPr>
          <w:rFonts w:hint="eastAsia" w:ascii="宋体" w:hAnsi="宋体" w:cs="宋体"/>
          <w:color w:val="auto"/>
          <w:kern w:val="0"/>
          <w:szCs w:val="21"/>
        </w:rPr>
        <w:t>。</w:t>
      </w:r>
    </w:p>
    <w:p w14:paraId="563581B0">
      <w:pPr>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28.2</w:t>
      </w:r>
      <w:r>
        <w:rPr>
          <w:rFonts w:hint="eastAsia" w:ascii="宋体" w:hAnsi="宋体" w:cs="宋体"/>
          <w:color w:val="auto"/>
          <w:kern w:val="0"/>
          <w:szCs w:val="21"/>
          <w:lang w:val="zh-CN"/>
        </w:rPr>
        <w:t>供应商</w:t>
      </w:r>
      <w:r>
        <w:rPr>
          <w:rFonts w:hint="eastAsia" w:ascii="宋体" w:hAnsi="宋体"/>
          <w:bCs/>
          <w:color w:val="auto"/>
          <w:szCs w:val="21"/>
        </w:rPr>
        <w:t>响应文件有下列情况之一，</w:t>
      </w:r>
      <w:r>
        <w:rPr>
          <w:rFonts w:hint="eastAsia" w:ascii="宋体" w:hAnsi="宋体" w:cs="宋体"/>
          <w:color w:val="auto"/>
          <w:kern w:val="0"/>
          <w:szCs w:val="21"/>
          <w:lang w:val="zh-CN"/>
        </w:rPr>
        <w:t>其响应文件无效</w:t>
      </w:r>
      <w:r>
        <w:rPr>
          <w:rFonts w:hint="eastAsia" w:ascii="宋体" w:hAnsi="宋体"/>
          <w:bCs/>
          <w:color w:val="auto"/>
          <w:szCs w:val="21"/>
        </w:rPr>
        <w:t>：</w:t>
      </w:r>
    </w:p>
    <w:p w14:paraId="76400A47">
      <w:pPr>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（1）</w:t>
      </w:r>
      <w:r>
        <w:rPr>
          <w:rFonts w:hint="eastAsia" w:ascii="宋体" w:hAnsi="宋体"/>
          <w:color w:val="auto"/>
          <w:szCs w:val="21"/>
        </w:rPr>
        <w:t>应交未交保证金或金额不足、保函有效期不足、保证金形式或保函出证机构不符合磋商文件要求或未按磋商文件要求交纳保证金的；</w:t>
      </w:r>
    </w:p>
    <w:p w14:paraId="656C960C">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color w:val="auto"/>
          <w:szCs w:val="21"/>
        </w:rPr>
      </w:pPr>
      <w:r>
        <w:rPr>
          <w:rFonts w:hint="eastAsia" w:ascii="宋体" w:hAnsi="宋体"/>
          <w:color w:val="auto"/>
          <w:szCs w:val="21"/>
        </w:rPr>
        <w:t>（2）未按照磋商文件规定要求密封、签署、盖章的；</w:t>
      </w:r>
    </w:p>
    <w:p w14:paraId="271D2557">
      <w:pPr>
        <w:adjustRightInd w:val="0"/>
        <w:snapToGrid w:val="0"/>
        <w:spacing w:before="156" w:beforeLines="50" w:line="360" w:lineRule="auto"/>
        <w:ind w:right="-109" w:rightChars="-52" w:firstLine="420" w:firstLineChars="200"/>
        <w:rPr>
          <w:rFonts w:ascii="宋体" w:hAnsi="宋体"/>
          <w:color w:val="auto"/>
          <w:szCs w:val="21"/>
        </w:rPr>
      </w:pPr>
      <w:r>
        <w:rPr>
          <w:rFonts w:hint="eastAsia" w:ascii="宋体" w:hAnsi="宋体"/>
          <w:color w:val="auto"/>
          <w:szCs w:val="21"/>
        </w:rPr>
        <w:t>（3）响应文件有效期不足的；</w:t>
      </w:r>
    </w:p>
    <w:p w14:paraId="085BA069">
      <w:pPr>
        <w:adjustRightInd w:val="0"/>
        <w:snapToGrid w:val="0"/>
        <w:spacing w:before="156" w:beforeLines="50" w:line="360" w:lineRule="auto"/>
        <w:ind w:right="-109" w:rightChars="-52" w:firstLine="420" w:firstLineChars="200"/>
        <w:rPr>
          <w:rFonts w:ascii="宋体" w:hAnsi="宋体"/>
          <w:color w:val="auto"/>
          <w:szCs w:val="21"/>
        </w:rPr>
      </w:pPr>
      <w:r>
        <w:rPr>
          <w:rFonts w:hint="eastAsia" w:ascii="宋体" w:hAnsi="宋体"/>
          <w:color w:val="auto"/>
          <w:szCs w:val="21"/>
        </w:rPr>
        <w:t>（4）报价超过采购预算价的；</w:t>
      </w:r>
    </w:p>
    <w:p w14:paraId="658E7A61">
      <w:pPr>
        <w:adjustRightInd w:val="0"/>
        <w:snapToGrid w:val="0"/>
        <w:spacing w:before="156" w:beforeLines="50" w:line="360" w:lineRule="auto"/>
        <w:ind w:right="-109" w:rightChars="-52" w:firstLine="420" w:firstLineChars="200"/>
        <w:rPr>
          <w:rFonts w:ascii="宋体" w:hAnsi="宋体"/>
          <w:color w:val="auto"/>
          <w:szCs w:val="21"/>
        </w:rPr>
      </w:pPr>
      <w:r>
        <w:rPr>
          <w:rFonts w:hint="eastAsia" w:ascii="宋体" w:hAnsi="宋体"/>
          <w:color w:val="auto"/>
          <w:szCs w:val="21"/>
        </w:rPr>
        <w:t>（5）供应商递交的电子档不符合本磋商文件20.4规定的；</w:t>
      </w:r>
    </w:p>
    <w:p w14:paraId="5CC4A0E9">
      <w:pPr>
        <w:adjustRightInd w:val="0"/>
        <w:snapToGrid w:val="0"/>
        <w:spacing w:before="156" w:beforeLines="50" w:line="360" w:lineRule="auto"/>
        <w:ind w:right="-109" w:rightChars="-52" w:firstLine="420" w:firstLineChars="200"/>
        <w:rPr>
          <w:rFonts w:ascii="宋体" w:hAnsi="宋体"/>
          <w:color w:val="auto"/>
          <w:szCs w:val="21"/>
        </w:rPr>
      </w:pPr>
      <w:r>
        <w:rPr>
          <w:rFonts w:hint="eastAsia" w:ascii="宋体" w:hAnsi="宋体"/>
          <w:color w:val="auto"/>
          <w:szCs w:val="21"/>
        </w:rPr>
        <w:t>（6）不符合磋商文件★条款的；</w:t>
      </w:r>
    </w:p>
    <w:p w14:paraId="02001474">
      <w:pPr>
        <w:adjustRightInd w:val="0"/>
        <w:snapToGrid w:val="0"/>
        <w:spacing w:before="156" w:beforeLines="50" w:line="360" w:lineRule="auto"/>
        <w:ind w:right="-109" w:rightChars="-52" w:firstLine="420" w:firstLineChars="200"/>
        <w:rPr>
          <w:rFonts w:ascii="宋体" w:hAnsi="宋体"/>
          <w:color w:val="auto"/>
          <w:szCs w:val="21"/>
        </w:rPr>
      </w:pPr>
      <w:r>
        <w:rPr>
          <w:rFonts w:hint="eastAsia" w:ascii="宋体" w:hAnsi="宋体"/>
          <w:color w:val="auto"/>
          <w:szCs w:val="21"/>
        </w:rPr>
        <w:t>（7）不符合法律、法规和磋商文件规定或符合本磋商文件其他无效响应条款规定的。</w:t>
      </w:r>
    </w:p>
    <w:p w14:paraId="037AEA6B">
      <w:pPr>
        <w:adjustRightInd w:val="0"/>
        <w:snapToGrid w:val="0"/>
        <w:spacing w:before="156" w:beforeLines="50" w:line="360" w:lineRule="auto"/>
        <w:ind w:right="-109" w:rightChars="-52" w:firstLine="420" w:firstLineChars="200"/>
        <w:rPr>
          <w:rFonts w:ascii="宋体" w:hAnsi="宋体"/>
          <w:color w:val="auto"/>
          <w:szCs w:val="21"/>
        </w:rPr>
      </w:pPr>
      <w:r>
        <w:rPr>
          <w:rFonts w:hint="eastAsia" w:ascii="宋体" w:hAnsi="宋体"/>
          <w:color w:val="auto"/>
          <w:szCs w:val="21"/>
        </w:rPr>
        <w:t>28.3符合性审查结束后，磋商小组所有成员集中与单一供应商分别进行磋商，并给予所有参加磋商采购活动的供应商平等的磋商机会。供应商应派其法定代表人或委托代理人参加磋商。</w:t>
      </w:r>
    </w:p>
    <w:p w14:paraId="70DEB704">
      <w:pPr>
        <w:widowControl/>
        <w:adjustRightInd w:val="0"/>
        <w:snapToGrid w:val="0"/>
        <w:spacing w:line="360" w:lineRule="auto"/>
        <w:jc w:val="left"/>
        <w:rPr>
          <w:rFonts w:ascii="宋体" w:hAnsi="宋体" w:cs="宋体"/>
          <w:b/>
          <w:color w:val="auto"/>
          <w:kern w:val="0"/>
          <w:szCs w:val="21"/>
        </w:rPr>
      </w:pPr>
      <w:r>
        <w:rPr>
          <w:rFonts w:hint="eastAsia" w:ascii="宋体" w:hAnsi="宋体" w:cs="宋体"/>
          <w:b/>
          <w:color w:val="auto"/>
          <w:kern w:val="0"/>
          <w:szCs w:val="21"/>
        </w:rPr>
        <w:t>29.磋商</w:t>
      </w:r>
    </w:p>
    <w:p w14:paraId="29867001">
      <w:pPr>
        <w:widowControl/>
        <w:adjustRightInd w:val="0"/>
        <w:snapToGrid w:val="0"/>
        <w:spacing w:line="360" w:lineRule="auto"/>
        <w:ind w:firstLine="420"/>
        <w:jc w:val="left"/>
        <w:rPr>
          <w:rFonts w:ascii="宋体" w:hAnsi="宋体" w:cs="宋体"/>
          <w:color w:val="auto"/>
          <w:kern w:val="0"/>
          <w:szCs w:val="21"/>
          <w:lang w:val="zh-CN"/>
        </w:rPr>
      </w:pPr>
      <w:r>
        <w:rPr>
          <w:rFonts w:hint="eastAsia" w:ascii="宋体" w:hAnsi="宋体" w:cs="宋体"/>
          <w:color w:val="auto"/>
          <w:kern w:val="0"/>
          <w:szCs w:val="21"/>
        </w:rPr>
        <w:t>29.1对于</w:t>
      </w:r>
      <w:r>
        <w:rPr>
          <w:rFonts w:hint="eastAsia" w:ascii="宋体" w:hAnsi="宋体"/>
          <w:color w:val="auto"/>
        </w:rPr>
        <w:t>本章</w:t>
      </w:r>
      <w:r>
        <w:rPr>
          <w:rFonts w:hint="eastAsia" w:ascii="宋体" w:hAnsi="宋体" w:cs="宋体"/>
          <w:color w:val="auto"/>
          <w:kern w:val="0"/>
          <w:szCs w:val="21"/>
        </w:rPr>
        <w:t>未明确磋商文件实质性变动内容，或者磋商文件明确了可能发生实质性变动内容，但在磋商过程中，</w:t>
      </w:r>
      <w:r>
        <w:rPr>
          <w:rFonts w:hint="eastAsia" w:ascii="宋体" w:hAnsi="宋体"/>
          <w:bCs/>
          <w:color w:val="auto"/>
          <w:szCs w:val="21"/>
        </w:rPr>
        <w:t>磋商小组</w:t>
      </w:r>
      <w:r>
        <w:rPr>
          <w:rFonts w:hint="eastAsia" w:ascii="宋体" w:hAnsi="宋体" w:cs="Arial"/>
          <w:color w:val="auto"/>
          <w:kern w:val="0"/>
          <w:szCs w:val="21"/>
        </w:rPr>
        <w:t>根据磋商</w:t>
      </w:r>
      <w:r>
        <w:rPr>
          <w:rFonts w:hint="eastAsia" w:ascii="宋体" w:hAnsi="宋体" w:cs="宋体"/>
          <w:color w:val="auto"/>
          <w:kern w:val="0"/>
          <w:szCs w:val="21"/>
        </w:rPr>
        <w:t>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磋商文件无需发生实质性变动的，磋商小组应当</w:t>
      </w:r>
      <w:r>
        <w:rPr>
          <w:rFonts w:hint="eastAsia" w:ascii="宋体" w:hAnsi="宋体"/>
          <w:color w:val="auto"/>
          <w:szCs w:val="21"/>
        </w:rPr>
        <w:t>根据本章第26款、第28</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对供应商提交的响应文件进行资格性、符合性审查，直接与实质性响应磋商文件要求的供应商就价格组织多轮磋商。</w:t>
      </w:r>
    </w:p>
    <w:p w14:paraId="1FB1CC3B">
      <w:pPr>
        <w:widowControl/>
        <w:tabs>
          <w:tab w:val="left" w:pos="1080"/>
          <w:tab w:val="left" w:pos="1260"/>
        </w:tabs>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（1）磋商结束后，磋商小组应当要求所有继续参加磋商的供应商在磋商小组规定时间内提交最后报价。</w:t>
      </w:r>
    </w:p>
    <w:p w14:paraId="35744B0D">
      <w:pPr>
        <w:widowControl/>
        <w:tabs>
          <w:tab w:val="left" w:pos="1080"/>
          <w:tab w:val="left" w:pos="1260"/>
        </w:tabs>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（2）磋商文件明确可能发生实质性变动，但在磋商过程中</w:t>
      </w:r>
      <w:r>
        <w:rPr>
          <w:rFonts w:hint="eastAsia" w:ascii="宋体" w:hAnsi="宋体"/>
          <w:bCs/>
          <w:color w:val="auto"/>
          <w:szCs w:val="21"/>
        </w:rPr>
        <w:t>磋商小组</w:t>
      </w:r>
      <w:r>
        <w:rPr>
          <w:rFonts w:hint="eastAsia" w:ascii="宋体" w:hAnsi="宋体" w:cs="Arial"/>
          <w:color w:val="auto"/>
          <w:kern w:val="0"/>
          <w:szCs w:val="21"/>
        </w:rPr>
        <w:t>根据磋内</w:t>
      </w:r>
      <w:r>
        <w:rPr>
          <w:rFonts w:hint="eastAsia" w:ascii="宋体" w:hAnsi="宋体" w:cs="宋体"/>
          <w:color w:val="auto"/>
          <w:kern w:val="0"/>
          <w:szCs w:val="21"/>
        </w:rPr>
        <w:t>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磋商文件无需发生实质性变动的，磋商小组不另行通知。</w:t>
      </w:r>
    </w:p>
    <w:p w14:paraId="224C5875">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29.2对于</w:t>
      </w:r>
      <w:r>
        <w:rPr>
          <w:rFonts w:hint="eastAsia" w:ascii="宋体" w:hAnsi="宋体"/>
          <w:color w:val="auto"/>
        </w:rPr>
        <w:t>本章</w:t>
      </w:r>
      <w:r>
        <w:rPr>
          <w:rFonts w:hint="eastAsia" w:ascii="宋体" w:hAnsi="宋体" w:cs="宋体"/>
          <w:color w:val="auto"/>
          <w:kern w:val="0"/>
          <w:szCs w:val="21"/>
        </w:rPr>
        <w:t>明确磋商文件实质性变动内容，且在磋商过程中磋商文件实质性内容发生变动的，</w:t>
      </w:r>
      <w:r>
        <w:rPr>
          <w:rFonts w:hint="eastAsia" w:ascii="宋体" w:hAnsi="宋体"/>
          <w:bCs/>
          <w:color w:val="auto"/>
          <w:szCs w:val="21"/>
        </w:rPr>
        <w:t>磋商小组</w:t>
      </w:r>
      <w:r>
        <w:rPr>
          <w:rFonts w:hint="eastAsia" w:ascii="宋体" w:hAnsi="宋体" w:cs="宋体"/>
          <w:color w:val="auto"/>
          <w:kern w:val="0"/>
          <w:szCs w:val="21"/>
        </w:rPr>
        <w:t>可以组织多轮磋商。</w:t>
      </w:r>
      <w:r>
        <w:rPr>
          <w:rFonts w:hint="eastAsia" w:ascii="宋体" w:hAnsi="宋体"/>
          <w:bCs/>
          <w:color w:val="auto"/>
          <w:szCs w:val="21"/>
        </w:rPr>
        <w:t>在每一轮磋商中，磋商小组</w:t>
      </w:r>
      <w:r>
        <w:rPr>
          <w:rFonts w:hint="eastAsia" w:ascii="宋体" w:hAnsi="宋体" w:cs="宋体"/>
          <w:color w:val="auto"/>
          <w:kern w:val="0"/>
          <w:szCs w:val="21"/>
        </w:rPr>
        <w:t>可以</w:t>
      </w:r>
      <w:r>
        <w:rPr>
          <w:rFonts w:hint="eastAsia" w:ascii="宋体" w:hAnsi="宋体" w:cs="Arial"/>
          <w:color w:val="auto"/>
          <w:kern w:val="0"/>
          <w:szCs w:val="21"/>
        </w:rPr>
        <w:t>根据</w:t>
      </w:r>
      <w:r>
        <w:rPr>
          <w:rFonts w:hint="eastAsia" w:ascii="宋体" w:hAnsi="宋体" w:cs="宋体"/>
          <w:color w:val="auto"/>
          <w:kern w:val="0"/>
          <w:szCs w:val="21"/>
        </w:rPr>
        <w:t>磋商文件规定和磋商情况，</w:t>
      </w:r>
      <w:r>
        <w:rPr>
          <w:rFonts w:hint="eastAsia" w:ascii="宋体" w:hAnsi="宋体"/>
          <w:bCs/>
          <w:color w:val="auto"/>
          <w:szCs w:val="21"/>
        </w:rPr>
        <w:t>对磋商文件的</w:t>
      </w:r>
      <w:r>
        <w:rPr>
          <w:rFonts w:hint="eastAsia" w:ascii="宋体" w:hAnsi="宋体" w:cs="宋体"/>
          <w:color w:val="auto"/>
          <w:kern w:val="0"/>
          <w:szCs w:val="21"/>
        </w:rPr>
        <w:t>采购需求中的技术、服务要求以及合同草案条款</w:t>
      </w:r>
      <w:r>
        <w:rPr>
          <w:rFonts w:hint="eastAsia" w:ascii="宋体" w:hAnsi="宋体"/>
          <w:bCs/>
          <w:color w:val="auto"/>
          <w:szCs w:val="21"/>
        </w:rPr>
        <w:t>作实质性变动(磋商文件的实质性变动内容为磋商文件的组成部分)，并以书面形式要求</w:t>
      </w:r>
      <w:r>
        <w:rPr>
          <w:rFonts w:hint="eastAsia" w:ascii="宋体" w:hAnsi="宋体" w:cs="宋体"/>
          <w:color w:val="auto"/>
          <w:kern w:val="0"/>
          <w:szCs w:val="21"/>
        </w:rPr>
        <w:t>符合性审查合格</w:t>
      </w:r>
      <w:r>
        <w:rPr>
          <w:rFonts w:hint="eastAsia" w:ascii="宋体" w:hAnsi="宋体"/>
          <w:bCs/>
          <w:color w:val="auto"/>
          <w:szCs w:val="21"/>
        </w:rPr>
        <w:t>的供应商，在规定的</w:t>
      </w:r>
      <w:r>
        <w:rPr>
          <w:rFonts w:hint="eastAsia" w:ascii="宋体" w:hAnsi="宋体" w:cs="宋体"/>
          <w:color w:val="auto"/>
          <w:kern w:val="0"/>
          <w:szCs w:val="21"/>
        </w:rPr>
        <w:t>截止时间前</w:t>
      </w:r>
      <w:r>
        <w:rPr>
          <w:rFonts w:hint="eastAsia" w:ascii="宋体" w:hAnsi="宋体"/>
          <w:bCs/>
          <w:color w:val="auto"/>
          <w:szCs w:val="21"/>
        </w:rPr>
        <w:t>重</w:t>
      </w:r>
      <w:r>
        <w:rPr>
          <w:rFonts w:hint="eastAsia" w:ascii="宋体" w:hAnsi="宋体" w:cs="宋体"/>
          <w:color w:val="auto"/>
          <w:kern w:val="0"/>
          <w:szCs w:val="21"/>
        </w:rPr>
        <w:t>新提交响应文件</w:t>
      </w:r>
      <w:r>
        <w:rPr>
          <w:rFonts w:hint="eastAsia" w:ascii="宋体" w:hAnsi="宋体"/>
          <w:bCs/>
          <w:color w:val="auto"/>
          <w:szCs w:val="21"/>
        </w:rPr>
        <w:t>。</w:t>
      </w:r>
      <w:r>
        <w:rPr>
          <w:rFonts w:hint="eastAsia" w:ascii="宋体" w:hAnsi="宋体" w:cs="宋体"/>
          <w:color w:val="auto"/>
          <w:kern w:val="0"/>
          <w:szCs w:val="21"/>
        </w:rPr>
        <w:t>磋商小组应当</w:t>
      </w:r>
      <w:r>
        <w:rPr>
          <w:rFonts w:hint="eastAsia" w:ascii="宋体" w:hAnsi="宋体"/>
          <w:color w:val="auto"/>
          <w:szCs w:val="21"/>
        </w:rPr>
        <w:t>根据本章第28.1、28.2</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对供应商重新提交的响应文件进行符合性审查。供应商重新提交的响应文件未通过符合性审查的，不得进入下一轮磋商，也不得要求提交最后报价。</w:t>
      </w:r>
    </w:p>
    <w:p w14:paraId="6D441761">
      <w:pPr>
        <w:adjustRightInd w:val="0"/>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（1）磋商文件能够详细列明采购需求的技术、服务要求的，磋商结束后，磋商小组应当要求所有继续参加磋商的供应商在规定时间内提交最后报价。</w:t>
      </w:r>
    </w:p>
    <w:p w14:paraId="15A4C22F">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12FD70C">
      <w:pPr>
        <w:widowControl/>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29.3</w:t>
      </w:r>
      <w:r>
        <w:rPr>
          <w:rFonts w:hint="eastAsia" w:ascii="宋体" w:hAnsi="宋体"/>
          <w:color w:val="auto"/>
        </w:rPr>
        <w:t xml:space="preserve"> </w:t>
      </w:r>
      <w:r>
        <w:rPr>
          <w:rFonts w:hint="eastAsia" w:ascii="宋体" w:hAnsi="宋体"/>
          <w:bCs/>
          <w:color w:val="auto"/>
        </w:rPr>
        <w:t>重</w:t>
      </w:r>
      <w:r>
        <w:rPr>
          <w:rFonts w:hint="eastAsia" w:ascii="宋体" w:hAnsi="宋体" w:cs="宋体"/>
          <w:color w:val="auto"/>
          <w:kern w:val="0"/>
        </w:rPr>
        <w:t>新提交的响应文件</w:t>
      </w:r>
      <w:r>
        <w:rPr>
          <w:rFonts w:hint="eastAsia" w:ascii="宋体" w:hAnsi="宋体"/>
          <w:color w:val="auto"/>
        </w:rPr>
        <w:t>或者最后报价应按</w:t>
      </w:r>
      <w:r>
        <w:rPr>
          <w:rFonts w:hint="eastAsia" w:ascii="宋体" w:hAnsi="宋体" w:cs="宋体"/>
          <w:color w:val="auto"/>
          <w:kern w:val="0"/>
          <w:szCs w:val="21"/>
        </w:rPr>
        <w:t>本章第20</w:t>
      </w:r>
      <w:r>
        <w:rPr>
          <w:rFonts w:hint="eastAsia" w:ascii="宋体" w:hAnsi="宋体"/>
          <w:color w:val="auto"/>
        </w:rPr>
        <w:t>.3</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由其法定代表人或其委托代理人签字或者加盖</w:t>
      </w:r>
      <w:r>
        <w:rPr>
          <w:rFonts w:hint="eastAsia" w:ascii="宋体" w:hAnsi="宋体" w:cs="宋体"/>
          <w:color w:val="auto"/>
          <w:kern w:val="0"/>
        </w:rPr>
        <w:t>供应商单位</w:t>
      </w:r>
      <w:r>
        <w:rPr>
          <w:rFonts w:hint="eastAsia" w:ascii="宋体" w:hAnsi="宋体" w:cs="宋体"/>
          <w:color w:val="auto"/>
          <w:kern w:val="0"/>
          <w:szCs w:val="21"/>
        </w:rPr>
        <w:t>章，在规定时间内密封递交给磋商小组</w:t>
      </w:r>
      <w:r>
        <w:rPr>
          <w:rFonts w:hint="eastAsia" w:ascii="宋体" w:hAnsi="宋体"/>
          <w:bCs/>
          <w:color w:val="auto"/>
          <w:szCs w:val="21"/>
        </w:rPr>
        <w:t>。</w:t>
      </w:r>
    </w:p>
    <w:p w14:paraId="1EC4A705">
      <w:pPr>
        <w:widowControl/>
        <w:adjustRightInd w:val="0"/>
        <w:snapToGrid w:val="0"/>
        <w:spacing w:line="360" w:lineRule="auto"/>
        <w:ind w:firstLine="420"/>
        <w:jc w:val="left"/>
        <w:rPr>
          <w:rFonts w:ascii="宋体" w:hAnsi="宋体"/>
          <w:bCs/>
          <w:color w:val="auto"/>
          <w:szCs w:val="21"/>
        </w:rPr>
      </w:pPr>
      <w:r>
        <w:rPr>
          <w:rFonts w:hint="eastAsia" w:ascii="宋体" w:hAnsi="宋体" w:cs="宋体"/>
          <w:color w:val="auto"/>
          <w:kern w:val="0"/>
          <w:szCs w:val="21"/>
        </w:rPr>
        <w:t>29.4最后报价。</w:t>
      </w:r>
      <w:r>
        <w:rPr>
          <w:rFonts w:hint="eastAsia" w:ascii="宋体" w:hAnsi="宋体"/>
          <w:bCs/>
          <w:color w:val="auto"/>
          <w:szCs w:val="21"/>
        </w:rPr>
        <w:t>最后报价是供应商响应文件的有效组成部分。磋商文件能够详细列明采购标的的技术、服务要求的，磋商结束后，磋商小组应当要求所有实质性响应的供应商在规定时间内提交最后报价，提交最后报价的供应商不得少于3家。市场竞争不充分的科研项目，以及需要扶持的科技成果转化项目，提交最后报价的供应商可以为2家。</w:t>
      </w:r>
      <w:r>
        <w:rPr>
          <w:rFonts w:hint="eastAsia" w:ascii="宋体" w:hAnsi="宋体" w:cs="宋体"/>
          <w:color w:val="auto"/>
          <w:kern w:val="0"/>
          <w:szCs w:val="21"/>
          <w:lang w:val="zh-CN"/>
        </w:rPr>
        <w:t>供应商的</w:t>
      </w:r>
      <w:r>
        <w:rPr>
          <w:rFonts w:hint="eastAsia" w:ascii="宋体" w:hAnsi="宋体"/>
          <w:bCs/>
          <w:color w:val="auto"/>
          <w:szCs w:val="21"/>
        </w:rPr>
        <w:t>最</w:t>
      </w:r>
      <w:r>
        <w:rPr>
          <w:rFonts w:hint="eastAsia" w:ascii="宋体" w:hAnsi="宋体" w:cs="宋体"/>
          <w:color w:val="auto"/>
          <w:kern w:val="0"/>
          <w:szCs w:val="21"/>
          <w:lang w:val="zh-CN"/>
        </w:rPr>
        <w:t>后</w:t>
      </w:r>
      <w:r>
        <w:rPr>
          <w:rFonts w:hint="eastAsia" w:ascii="宋体" w:hAnsi="宋体"/>
          <w:bCs/>
          <w:color w:val="auto"/>
          <w:szCs w:val="21"/>
        </w:rPr>
        <w:t>报价</w:t>
      </w:r>
      <w:r>
        <w:rPr>
          <w:rFonts w:hint="eastAsia" w:ascii="宋体" w:hAnsi="宋体" w:cs="宋体"/>
          <w:color w:val="auto"/>
          <w:kern w:val="0"/>
          <w:szCs w:val="21"/>
        </w:rPr>
        <w:t>，磋商小组应召集所有参加最后报价的供应商当场开封</w:t>
      </w:r>
      <w:r>
        <w:rPr>
          <w:rFonts w:hint="eastAsia" w:ascii="宋体" w:hAnsi="宋体"/>
          <w:bCs/>
          <w:color w:val="auto"/>
          <w:szCs w:val="21"/>
        </w:rPr>
        <w:t>公布，并由供应商代表签字确认。</w:t>
      </w:r>
    </w:p>
    <w:p w14:paraId="5CFCC3B0">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29.5提交响应文件的供应商，在提交最后报价之前，可以根据磋商情况退出磋商，</w:t>
      </w:r>
      <w:r>
        <w:rPr>
          <w:rFonts w:hint="eastAsia" w:ascii="宋体" w:hAnsi="宋体" w:cs="宋体"/>
          <w:color w:val="auto"/>
          <w:kern w:val="0"/>
        </w:rPr>
        <w:t>并</w:t>
      </w:r>
      <w:r>
        <w:rPr>
          <w:rFonts w:hint="eastAsia" w:ascii="宋体" w:hAnsi="宋体" w:cs="宋体"/>
          <w:bCs/>
          <w:color w:val="auto"/>
          <w:kern w:val="0"/>
        </w:rPr>
        <w:t>书面通知采购代理机构或者磋商小组。</w:t>
      </w:r>
      <w:r>
        <w:rPr>
          <w:rFonts w:hint="eastAsia" w:ascii="宋体" w:hAnsi="宋体"/>
          <w:bCs/>
          <w:color w:val="auto"/>
        </w:rPr>
        <w:t>该通知由供应商法定代表人或其委托代理人签字。</w:t>
      </w:r>
      <w:r>
        <w:rPr>
          <w:rFonts w:hint="eastAsia" w:ascii="宋体" w:hAnsi="宋体" w:cs="宋体"/>
          <w:bCs/>
          <w:color w:val="auto"/>
          <w:kern w:val="0"/>
          <w:szCs w:val="21"/>
        </w:rPr>
        <w:t>采购代</w:t>
      </w:r>
      <w:r>
        <w:rPr>
          <w:rFonts w:hint="eastAsia" w:ascii="宋体" w:hAnsi="宋体" w:cs="宋体"/>
          <w:color w:val="auto"/>
          <w:kern w:val="0"/>
          <w:szCs w:val="21"/>
        </w:rPr>
        <w:t>理机构</w:t>
      </w:r>
      <w:r>
        <w:rPr>
          <w:rFonts w:hint="eastAsia" w:ascii="宋体" w:hAnsi="宋体" w:cs="宋体"/>
          <w:color w:val="auto"/>
          <w:kern w:val="0"/>
        </w:rPr>
        <w:t>按</w:t>
      </w:r>
      <w:r>
        <w:rPr>
          <w:rFonts w:hint="eastAsia" w:ascii="宋体" w:hAnsi="宋体" w:cs="宋体"/>
          <w:color w:val="auto"/>
          <w:kern w:val="0"/>
          <w:szCs w:val="21"/>
        </w:rPr>
        <w:t>本章第</w:t>
      </w:r>
      <w:r>
        <w:rPr>
          <w:rFonts w:hint="eastAsia" w:ascii="宋体" w:hAnsi="宋体"/>
          <w:color w:val="auto"/>
        </w:rPr>
        <w:t>18.4</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退还退出磋商的供应商的保证金。</w:t>
      </w:r>
    </w:p>
    <w:p w14:paraId="6F8E8EF7">
      <w:pPr>
        <w:adjustRightInd w:val="0"/>
        <w:snapToGrid w:val="0"/>
        <w:spacing w:line="360" w:lineRule="auto"/>
        <w:ind w:firstLine="420" w:firstLineChars="200"/>
        <w:rPr>
          <w:rFonts w:ascii="宋体" w:hAnsi="宋体" w:cs="宋体"/>
          <w:color w:val="auto"/>
          <w:kern w:val="0"/>
          <w:szCs w:val="21"/>
        </w:rPr>
      </w:pPr>
      <w:r>
        <w:rPr>
          <w:rFonts w:hint="eastAsia" w:ascii="宋体" w:hAnsi="宋体"/>
          <w:bCs/>
          <w:color w:val="auto"/>
          <w:szCs w:val="21"/>
        </w:rPr>
        <w:t>29.6</w:t>
      </w:r>
      <w:r>
        <w:rPr>
          <w:rFonts w:hint="eastAsia" w:ascii="宋体" w:hAnsi="宋体" w:cs="宋体"/>
          <w:color w:val="auto"/>
          <w:kern w:val="0"/>
          <w:szCs w:val="21"/>
        </w:rPr>
        <w:t>提交首次响应文件的供应商，未按磋商文件规定及磋商小组要求提交最后报价(或者</w:t>
      </w:r>
      <w:r>
        <w:rPr>
          <w:rFonts w:hint="eastAsia" w:ascii="宋体" w:hAnsi="宋体"/>
          <w:bCs/>
          <w:color w:val="auto"/>
          <w:szCs w:val="21"/>
        </w:rPr>
        <w:t>重</w:t>
      </w:r>
      <w:r>
        <w:rPr>
          <w:rFonts w:hint="eastAsia" w:ascii="宋体" w:hAnsi="宋体" w:cs="宋体"/>
          <w:color w:val="auto"/>
          <w:kern w:val="0"/>
          <w:szCs w:val="21"/>
        </w:rPr>
        <w:t>新提交的响应文件和最后报价)，且又</w:t>
      </w:r>
      <w:r>
        <w:rPr>
          <w:rFonts w:hint="eastAsia" w:ascii="宋体" w:hAnsi="宋体" w:cs="宋体"/>
          <w:color w:val="auto"/>
          <w:kern w:val="0"/>
        </w:rPr>
        <w:t>未按</w:t>
      </w:r>
      <w:r>
        <w:rPr>
          <w:rFonts w:hint="eastAsia" w:ascii="宋体" w:hAnsi="宋体" w:cs="宋体"/>
          <w:color w:val="auto"/>
          <w:kern w:val="0"/>
          <w:szCs w:val="21"/>
        </w:rPr>
        <w:t>本章第</w:t>
      </w:r>
      <w:r>
        <w:rPr>
          <w:rFonts w:hint="eastAsia" w:ascii="宋体" w:hAnsi="宋体"/>
          <w:color w:val="auto"/>
        </w:rPr>
        <w:t>29.5</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退出磋商的，供应商的保证金不予退还。</w:t>
      </w:r>
    </w:p>
    <w:p w14:paraId="02D1825D">
      <w:pPr>
        <w:adjustRightInd w:val="0"/>
        <w:snapToGrid w:val="0"/>
        <w:spacing w:line="360" w:lineRule="auto"/>
        <w:rPr>
          <w:rFonts w:ascii="宋体" w:hAnsi="宋体" w:cs="宋体"/>
          <w:color w:val="auto"/>
          <w:kern w:val="0"/>
          <w:szCs w:val="21"/>
        </w:rPr>
      </w:pPr>
      <w:r>
        <w:rPr>
          <w:rFonts w:hint="eastAsia" w:ascii="宋体" w:hAnsi="宋体" w:cs="宋体"/>
          <w:color w:val="auto"/>
          <w:kern w:val="0"/>
          <w:szCs w:val="21"/>
        </w:rPr>
        <w:t>30．</w:t>
      </w:r>
      <w:r>
        <w:rPr>
          <w:rFonts w:hint="eastAsia" w:ascii="宋体" w:hAnsi="宋体"/>
          <w:b/>
          <w:bCs/>
          <w:color w:val="auto"/>
          <w:szCs w:val="21"/>
        </w:rPr>
        <w:t>磋商方法</w:t>
      </w:r>
    </w:p>
    <w:p w14:paraId="50A1A19F">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30.1本项目采取综合评分法，即磋商小组按照磋商文件中规定的磋商方法、</w:t>
      </w:r>
      <w:r>
        <w:rPr>
          <w:rFonts w:hint="eastAsia" w:ascii="宋体" w:hAnsi="宋体"/>
          <w:color w:val="auto"/>
          <w:szCs w:val="21"/>
        </w:rPr>
        <w:t>标准和磋商因素，由经磋商确定最终采购需求，资格性、符合性检查合格的供应商提交最后报价，磋商小组采用综合评分法对提交最后报价的供应商的响应文件和最后报价进行</w:t>
      </w:r>
      <w:r>
        <w:rPr>
          <w:rFonts w:hint="eastAsia" w:ascii="宋体" w:hAnsi="宋体"/>
          <w:bCs/>
          <w:color w:val="auto"/>
          <w:szCs w:val="21"/>
        </w:rPr>
        <w:t>综合比较与评价，</w:t>
      </w:r>
      <w:r>
        <w:rPr>
          <w:rFonts w:hint="eastAsia" w:ascii="宋体" w:hAnsi="宋体"/>
          <w:color w:val="auto"/>
          <w:szCs w:val="21"/>
        </w:rPr>
        <w:t>响应文件能够最大限度的满足磋商文件规定的各项综合评价标准且经评审得分最高的供应商为成交候选供应商的评标方法。</w:t>
      </w:r>
    </w:p>
    <w:p w14:paraId="7B28DFE7">
      <w:pPr>
        <w:tabs>
          <w:tab w:val="left" w:pos="0"/>
        </w:tabs>
        <w:adjustRightInd w:val="0"/>
        <w:snapToGrid w:val="0"/>
        <w:spacing w:before="156" w:beforeLines="50" w:line="360" w:lineRule="auto"/>
        <w:ind w:firstLine="420" w:firstLineChars="200"/>
        <w:rPr>
          <w:rFonts w:ascii="宋体" w:hAnsi="宋体"/>
          <w:color w:val="auto"/>
          <w:szCs w:val="21"/>
        </w:rPr>
      </w:pPr>
      <w:r>
        <w:rPr>
          <w:rFonts w:hint="eastAsia" w:ascii="宋体" w:hAnsi="宋体"/>
          <w:bCs/>
          <w:color w:val="auto"/>
          <w:szCs w:val="21"/>
        </w:rPr>
        <w:t>30.2</w:t>
      </w:r>
      <w:r>
        <w:rPr>
          <w:rFonts w:hint="eastAsia" w:ascii="宋体" w:hAnsi="宋体"/>
          <w:color w:val="auto"/>
          <w:szCs w:val="21"/>
        </w:rPr>
        <w:t>磋商因素：详见磋商标准评分表，但不包括供应商资格条件。</w:t>
      </w:r>
    </w:p>
    <w:p w14:paraId="2E2F4078">
      <w:pPr>
        <w:widowControl/>
        <w:adjustRightInd w:val="0"/>
        <w:snapToGrid w:val="0"/>
        <w:spacing w:before="156" w:beforeLines="50" w:line="360" w:lineRule="auto"/>
        <w:ind w:firstLine="420" w:firstLineChars="200"/>
        <w:jc w:val="left"/>
        <w:rPr>
          <w:rFonts w:ascii="宋体" w:hAnsi="宋体"/>
          <w:bCs/>
          <w:color w:val="auto"/>
          <w:szCs w:val="21"/>
        </w:rPr>
      </w:pPr>
      <w:r>
        <w:rPr>
          <w:rFonts w:hint="eastAsia" w:ascii="宋体" w:hAnsi="宋体"/>
          <w:bCs/>
          <w:color w:val="auto"/>
          <w:szCs w:val="21"/>
        </w:rPr>
        <w:t>30.3磋商</w:t>
      </w:r>
      <w:r>
        <w:rPr>
          <w:rFonts w:hint="eastAsia" w:ascii="宋体" w:hAnsi="宋体"/>
          <w:color w:val="auto"/>
          <w:szCs w:val="21"/>
        </w:rPr>
        <w:t>报价评价。磋商小组以经磋商确定最终采购需求，资格性、符合性检查合格的供应商提交的最后报价为基础，</w:t>
      </w:r>
      <w:r>
        <w:rPr>
          <w:rFonts w:hint="eastAsia" w:ascii="宋体" w:hAnsi="宋体" w:cs="宋体"/>
          <w:color w:val="auto"/>
          <w:kern w:val="0"/>
          <w:szCs w:val="21"/>
        </w:rPr>
        <w:t>依次</w:t>
      </w:r>
      <w:r>
        <w:rPr>
          <w:rFonts w:hint="eastAsia" w:ascii="宋体" w:hAnsi="宋体"/>
          <w:color w:val="auto"/>
          <w:szCs w:val="21"/>
        </w:rPr>
        <w:t>对磋商报价进行</w:t>
      </w:r>
      <w:r>
        <w:rPr>
          <w:rFonts w:hint="eastAsia" w:ascii="宋体" w:hAnsi="宋体" w:cs="宋体"/>
          <w:color w:val="auto"/>
          <w:kern w:val="0"/>
          <w:szCs w:val="21"/>
        </w:rPr>
        <w:t>算术</w:t>
      </w:r>
      <w:r>
        <w:rPr>
          <w:rFonts w:hint="eastAsia" w:ascii="宋体" w:hAnsi="宋体"/>
          <w:color w:val="auto"/>
          <w:szCs w:val="21"/>
        </w:rPr>
        <w:t>修正和政府采购政策优惠价格扣除计算。</w:t>
      </w:r>
    </w:p>
    <w:p w14:paraId="30B85A88">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bCs/>
          <w:color w:val="auto"/>
          <w:szCs w:val="21"/>
        </w:rPr>
        <w:t>30.4</w:t>
      </w:r>
      <w:r>
        <w:rPr>
          <w:rFonts w:hint="eastAsia" w:ascii="宋体" w:hAnsi="宋体" w:cs="宋体"/>
          <w:color w:val="auto"/>
          <w:kern w:val="0"/>
          <w:szCs w:val="21"/>
        </w:rPr>
        <w:t>价格分采用低价优先法计算，即满足磋商文件要求且磋商报价最低的磋商报价为磋商基准价，其价格分为满分，其他</w:t>
      </w:r>
      <w:r>
        <w:rPr>
          <w:rFonts w:hint="eastAsia" w:ascii="宋体" w:hAnsi="宋体"/>
          <w:color w:val="auto"/>
          <w:szCs w:val="21"/>
        </w:rPr>
        <w:t>有效供应商</w:t>
      </w:r>
      <w:r>
        <w:rPr>
          <w:rFonts w:hint="eastAsia" w:ascii="宋体" w:hAnsi="宋体" w:cs="宋体"/>
          <w:color w:val="auto"/>
          <w:kern w:val="0"/>
          <w:szCs w:val="21"/>
        </w:rPr>
        <w:t>的价格分按照下列公式计算：</w:t>
      </w:r>
    </w:p>
    <w:p w14:paraId="67C41F2A">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磋商报价得分=(磋商基准价／最后磋商报价)×价格分值</w:t>
      </w:r>
    </w:p>
    <w:p w14:paraId="0CA62A37">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磋商报价高于采购人预算价为无效响应。</w:t>
      </w:r>
    </w:p>
    <w:p w14:paraId="5DC46C3A">
      <w:pPr>
        <w:widowControl/>
        <w:adjustRightInd w:val="0"/>
        <w:snapToGrid w:val="0"/>
        <w:spacing w:before="156" w:beforeLines="50" w:line="360" w:lineRule="auto"/>
        <w:ind w:firstLine="420" w:firstLineChars="200"/>
        <w:jc w:val="left"/>
        <w:rPr>
          <w:rFonts w:ascii="宋体" w:hAnsi="宋体"/>
          <w:color w:val="auto"/>
          <w:szCs w:val="21"/>
        </w:rPr>
      </w:pPr>
      <w:r>
        <w:rPr>
          <w:rFonts w:hint="eastAsia" w:ascii="宋体" w:hAnsi="宋体" w:cs="宋体"/>
          <w:color w:val="auto"/>
          <w:kern w:val="0"/>
          <w:szCs w:val="21"/>
        </w:rPr>
        <w:t>本项所称磋商报价为按</w:t>
      </w:r>
      <w:r>
        <w:rPr>
          <w:rFonts w:hint="eastAsia" w:ascii="宋体" w:hAnsi="宋体"/>
          <w:bCs/>
          <w:color w:val="auto"/>
          <w:szCs w:val="21"/>
        </w:rPr>
        <w:t>本章第30.2</w:t>
      </w:r>
      <w:r>
        <w:rPr>
          <w:rFonts w:hint="eastAsia" w:ascii="宋体" w:hAnsi="宋体" w:cs="宋体"/>
          <w:color w:val="auto"/>
          <w:kern w:val="0"/>
          <w:szCs w:val="21"/>
          <w:lang w:val="zh-CN"/>
        </w:rPr>
        <w:t>款</w:t>
      </w:r>
      <w:r>
        <w:rPr>
          <w:rFonts w:hint="eastAsia" w:ascii="宋体" w:hAnsi="宋体"/>
          <w:bCs/>
          <w:color w:val="auto"/>
          <w:szCs w:val="21"/>
        </w:rPr>
        <w:t>规定</w:t>
      </w:r>
      <w:r>
        <w:rPr>
          <w:rFonts w:hint="eastAsia" w:ascii="宋体" w:hAnsi="宋体"/>
          <w:color w:val="auto"/>
          <w:szCs w:val="21"/>
        </w:rPr>
        <w:t>评价后的磋商报价。</w:t>
      </w:r>
    </w:p>
    <w:p w14:paraId="48E648F4">
      <w:pPr>
        <w:widowControl/>
        <w:adjustRightInd w:val="0"/>
        <w:snapToGrid w:val="0"/>
        <w:spacing w:before="156" w:beforeLines="50" w:line="360" w:lineRule="auto"/>
        <w:ind w:firstLine="420" w:firstLineChars="200"/>
        <w:jc w:val="left"/>
        <w:rPr>
          <w:rFonts w:ascii="宋体" w:hAnsi="宋体"/>
          <w:color w:val="auto"/>
          <w:szCs w:val="21"/>
        </w:rPr>
      </w:pPr>
      <w:r>
        <w:rPr>
          <w:rFonts w:hint="eastAsia" w:ascii="宋体" w:hAnsi="宋体"/>
          <w:bCs/>
          <w:color w:val="auto"/>
          <w:szCs w:val="21"/>
        </w:rPr>
        <w:t>30.5</w:t>
      </w:r>
      <w:r>
        <w:rPr>
          <w:rFonts w:hint="eastAsia" w:ascii="宋体" w:hAnsi="宋体"/>
          <w:color w:val="auto"/>
          <w:szCs w:val="21"/>
        </w:rPr>
        <w:t>涉及政府采购政策优惠的，</w:t>
      </w:r>
      <w:r>
        <w:rPr>
          <w:rFonts w:hint="eastAsia" w:ascii="宋体" w:hAnsi="宋体"/>
          <w:bCs/>
          <w:color w:val="auto"/>
          <w:szCs w:val="21"/>
        </w:rPr>
        <w:t>按</w:t>
      </w:r>
      <w:r>
        <w:rPr>
          <w:rFonts w:hint="eastAsia" w:ascii="宋体" w:hAnsi="宋体"/>
          <w:b/>
          <w:color w:val="auto"/>
          <w:szCs w:val="21"/>
        </w:rPr>
        <w:t>磋商须知前附表</w:t>
      </w:r>
      <w:r>
        <w:rPr>
          <w:rFonts w:hint="eastAsia" w:ascii="宋体" w:hAnsi="宋体"/>
          <w:bCs/>
          <w:color w:val="auto"/>
          <w:szCs w:val="21"/>
        </w:rPr>
        <w:t>规定</w:t>
      </w:r>
      <w:r>
        <w:rPr>
          <w:rFonts w:hint="eastAsia" w:ascii="宋体" w:hAnsi="宋体"/>
          <w:color w:val="auto"/>
          <w:szCs w:val="21"/>
        </w:rPr>
        <w:t>调整。</w:t>
      </w:r>
    </w:p>
    <w:p w14:paraId="03F62B5B">
      <w:pPr>
        <w:widowControl/>
        <w:adjustRightInd w:val="0"/>
        <w:snapToGrid w:val="0"/>
        <w:spacing w:before="156" w:beforeLines="50" w:line="360" w:lineRule="auto"/>
        <w:ind w:firstLine="420" w:firstLineChars="200"/>
        <w:jc w:val="left"/>
        <w:rPr>
          <w:rFonts w:ascii="宋体" w:hAnsi="宋体"/>
          <w:color w:val="auto"/>
          <w:szCs w:val="21"/>
        </w:rPr>
      </w:pPr>
      <w:r>
        <w:rPr>
          <w:rFonts w:hint="eastAsia" w:ascii="宋体" w:hAnsi="宋体" w:cs="宋体"/>
          <w:color w:val="auto"/>
          <w:kern w:val="0"/>
          <w:szCs w:val="21"/>
        </w:rPr>
        <w:t>30.6</w:t>
      </w:r>
      <w:r>
        <w:rPr>
          <w:rFonts w:hint="eastAsia" w:ascii="宋体" w:hAnsi="宋体"/>
          <w:color w:val="auto"/>
          <w:szCs w:val="21"/>
        </w:rPr>
        <w:t>评审时，磋商小组各成员应当独立对每个供应商的响应</w:t>
      </w:r>
      <w:r>
        <w:rPr>
          <w:rFonts w:hint="eastAsia" w:ascii="宋体" w:hAnsi="宋体"/>
          <w:bCs/>
          <w:color w:val="auto"/>
          <w:szCs w:val="21"/>
        </w:rPr>
        <w:t>文件</w:t>
      </w:r>
      <w:r>
        <w:rPr>
          <w:rFonts w:hint="eastAsia" w:ascii="宋体" w:hAnsi="宋体"/>
          <w:color w:val="auto"/>
          <w:szCs w:val="21"/>
        </w:rPr>
        <w:t>进行评价、评分。</w:t>
      </w:r>
    </w:p>
    <w:p w14:paraId="0E871827">
      <w:pPr>
        <w:tabs>
          <w:tab w:val="left" w:pos="0"/>
        </w:tabs>
        <w:adjustRightInd w:val="0"/>
        <w:snapToGrid w:val="0"/>
        <w:spacing w:before="156" w:beforeLines="50" w:line="360" w:lineRule="auto"/>
        <w:rPr>
          <w:rFonts w:ascii="宋体" w:hAnsi="宋体"/>
          <w:b/>
          <w:color w:val="auto"/>
          <w:szCs w:val="21"/>
        </w:rPr>
      </w:pPr>
      <w:r>
        <w:rPr>
          <w:rFonts w:hint="eastAsia" w:ascii="宋体" w:hAnsi="宋体"/>
          <w:b/>
          <w:color w:val="auto"/>
          <w:szCs w:val="21"/>
        </w:rPr>
        <w:t>31.推荐成交候选供应商</w:t>
      </w:r>
    </w:p>
    <w:p w14:paraId="32E6838D">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color w:val="auto"/>
          <w:szCs w:val="21"/>
        </w:rPr>
        <w:t>31.1磋商小组推荐响应文件满足磋商文件全部实质性要求且按评审因素的量化指标评审得分最高的供应商为成交候选供应商的评审方法，根据综合评分情况，</w:t>
      </w:r>
      <w:r>
        <w:rPr>
          <w:rFonts w:hint="eastAsia" w:ascii="宋体" w:hAnsi="宋体"/>
          <w:bCs/>
          <w:color w:val="auto"/>
          <w:szCs w:val="21"/>
        </w:rPr>
        <w:t>按得分由高到低顺序推荐不少于3名成交候选供应商，并编写评审报告。评审得分相同的，按最后报价由低到高顺序排列。总得分且报价相同的，按“第三章 磋商办法”规定顺序推荐排列。</w:t>
      </w:r>
    </w:p>
    <w:p w14:paraId="749DC9D3">
      <w:pPr>
        <w:tabs>
          <w:tab w:val="left" w:pos="0"/>
        </w:tabs>
        <w:adjustRightInd w:val="0"/>
        <w:snapToGrid w:val="0"/>
        <w:spacing w:line="360" w:lineRule="auto"/>
        <w:rPr>
          <w:rFonts w:ascii="宋体" w:hAnsi="宋体"/>
          <w:b/>
          <w:bCs/>
          <w:color w:val="auto"/>
          <w:szCs w:val="21"/>
        </w:rPr>
      </w:pPr>
      <w:r>
        <w:rPr>
          <w:rFonts w:hint="eastAsia" w:ascii="宋体" w:hAnsi="宋体"/>
          <w:b/>
          <w:bCs/>
          <w:color w:val="auto"/>
          <w:szCs w:val="21"/>
        </w:rPr>
        <w:t>32.确定成交供应商</w:t>
      </w:r>
    </w:p>
    <w:p w14:paraId="42A51115">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32.1采购代理机构应当在磋商结束后2个工作日内将评审报告送采购人确认。</w:t>
      </w:r>
    </w:p>
    <w:p w14:paraId="3E28FAF7">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 xml:space="preserve">32.2 </w:t>
      </w:r>
      <w:r>
        <w:rPr>
          <w:rFonts w:hint="eastAsia" w:ascii="ˎ̥" w:hAnsi="ˎ̥"/>
          <w:color w:val="auto"/>
        </w:rPr>
        <w:t>采购人应当在收到评审报告后</w:t>
      </w:r>
      <w:r>
        <w:rPr>
          <w:rFonts w:ascii="ˎ̥" w:hAnsi="ˎ̥"/>
          <w:color w:val="auto"/>
        </w:rPr>
        <w:t>5</w:t>
      </w:r>
      <w:r>
        <w:rPr>
          <w:rFonts w:hint="eastAsia" w:ascii="ˎ̥" w:hAnsi="ˎ̥"/>
          <w:color w:val="auto"/>
        </w:rPr>
        <w:t>个工作日内，从评审报告提出的成交候选供应商中，按照排序由高到低的原则确定成交供应商，也可以书面授权磋商小组直接确定成交供应商。采购人逾期未确定成交供应商且不提出异议的，视为确定评审报告提出的供应商为成交供应商。</w:t>
      </w:r>
    </w:p>
    <w:p w14:paraId="731A0E59">
      <w:pPr>
        <w:widowControl/>
        <w:adjustRightInd w:val="0"/>
        <w:snapToGrid w:val="0"/>
        <w:spacing w:line="360" w:lineRule="auto"/>
        <w:ind w:firstLine="420"/>
        <w:jc w:val="left"/>
        <w:rPr>
          <w:rFonts w:ascii="宋体" w:hAnsi="宋体"/>
          <w:bCs/>
          <w:color w:val="auto"/>
          <w:szCs w:val="21"/>
        </w:rPr>
      </w:pPr>
      <w:r>
        <w:rPr>
          <w:rFonts w:hint="eastAsia" w:ascii="宋体" w:hAnsi="宋体" w:cs="宋体"/>
          <w:color w:val="auto"/>
          <w:kern w:val="0"/>
          <w:szCs w:val="21"/>
        </w:rPr>
        <w:t>32.3最后报价确定遵守本章第</w:t>
      </w:r>
      <w:r>
        <w:rPr>
          <w:rFonts w:hint="eastAsia" w:ascii="宋体" w:hAnsi="宋体"/>
          <w:bCs/>
          <w:color w:val="auto"/>
          <w:szCs w:val="21"/>
        </w:rPr>
        <w:t>30条</w:t>
      </w:r>
      <w:r>
        <w:rPr>
          <w:rFonts w:hint="eastAsia" w:ascii="宋体" w:hAnsi="宋体" w:cs="宋体"/>
          <w:color w:val="auto"/>
          <w:kern w:val="0"/>
          <w:szCs w:val="21"/>
        </w:rPr>
        <w:t>的</w:t>
      </w:r>
      <w:r>
        <w:rPr>
          <w:rFonts w:hint="eastAsia" w:ascii="宋体" w:hAnsi="宋体"/>
          <w:bCs/>
          <w:color w:val="auto"/>
          <w:szCs w:val="21"/>
        </w:rPr>
        <w:t>规定。</w:t>
      </w:r>
    </w:p>
    <w:p w14:paraId="23819394">
      <w:pPr>
        <w:pStyle w:val="28"/>
        <w:adjustRightInd w:val="0"/>
        <w:snapToGrid w:val="0"/>
        <w:spacing w:line="360" w:lineRule="auto"/>
        <w:ind w:left="632" w:hanging="632" w:hangingChars="300"/>
        <w:rPr>
          <w:rFonts w:hAnsi="宋体"/>
          <w:b/>
          <w:color w:val="auto"/>
        </w:rPr>
      </w:pPr>
      <w:r>
        <w:rPr>
          <w:rFonts w:hint="eastAsia" w:hAnsi="宋体"/>
          <w:b/>
          <w:color w:val="auto"/>
        </w:rPr>
        <w:t>33.磋商的特殊情形</w:t>
      </w:r>
    </w:p>
    <w:p w14:paraId="43EAD865">
      <w:pPr>
        <w:adjustRightInd w:val="0"/>
        <w:snapToGrid w:val="0"/>
        <w:spacing w:line="360" w:lineRule="auto"/>
        <w:ind w:firstLine="420" w:firstLineChars="200"/>
        <w:rPr>
          <w:rFonts w:ascii="宋体" w:hAnsi="宋体" w:cs="宋体"/>
          <w:color w:val="auto"/>
          <w:kern w:val="0"/>
          <w:szCs w:val="21"/>
        </w:rPr>
      </w:pPr>
      <w:r>
        <w:rPr>
          <w:rFonts w:hint="eastAsia" w:ascii="宋体" w:hAnsi="宋体"/>
          <w:color w:val="auto"/>
          <w:kern w:val="0"/>
          <w:lang w:val="zh-CN"/>
        </w:rPr>
        <w:t>33.1</w:t>
      </w:r>
      <w:r>
        <w:rPr>
          <w:rFonts w:hint="eastAsia" w:ascii="宋体" w:hAnsi="宋体"/>
          <w:bCs/>
          <w:color w:val="auto"/>
          <w:szCs w:val="21"/>
        </w:rPr>
        <w:t>市场竞争不充分的科研项目，以及需要扶持的科技成果转化项目，</w:t>
      </w:r>
      <w:r>
        <w:rPr>
          <w:rFonts w:hint="eastAsia" w:ascii="宋体" w:hAnsi="宋体" w:cs="宋体"/>
          <w:color w:val="auto"/>
          <w:kern w:val="0"/>
          <w:szCs w:val="21"/>
        </w:rPr>
        <w:t>磋商过程中提交响应文件或者经评审实质性响应磋商文件要求提交最后报价的供应商只有两家时，供应商最低数量可以为两家。</w:t>
      </w:r>
    </w:p>
    <w:p w14:paraId="0FF3908E">
      <w:pPr>
        <w:pStyle w:val="28"/>
        <w:adjustRightInd w:val="0"/>
        <w:snapToGrid w:val="0"/>
        <w:spacing w:line="360" w:lineRule="auto"/>
        <w:ind w:left="632" w:hanging="632" w:hangingChars="300"/>
        <w:rPr>
          <w:rFonts w:hAnsi="宋体"/>
          <w:b/>
          <w:color w:val="auto"/>
        </w:rPr>
      </w:pPr>
      <w:r>
        <w:rPr>
          <w:rFonts w:hint="eastAsia" w:hAnsi="宋体"/>
          <w:b/>
          <w:color w:val="auto"/>
        </w:rPr>
        <w:t>34.竞争性磋商采购活动终止</w:t>
      </w:r>
    </w:p>
    <w:p w14:paraId="50CB5B5E">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bCs/>
          <w:color w:val="auto"/>
          <w:szCs w:val="21"/>
        </w:rPr>
        <w:t>34.1</w:t>
      </w:r>
      <w:r>
        <w:rPr>
          <w:rFonts w:hint="eastAsia" w:ascii="宋体" w:hAnsi="宋体" w:cs="宋体"/>
          <w:color w:val="auto"/>
          <w:kern w:val="0"/>
          <w:szCs w:val="21"/>
        </w:rPr>
        <w:t>出现下列情形之一的，采购人或者采购代理机构应当终止竞争性磋商采购活动，</w:t>
      </w:r>
      <w:r>
        <w:rPr>
          <w:rFonts w:hint="eastAsia" w:ascii="宋体" w:hAnsi="宋体"/>
          <w:color w:val="auto"/>
        </w:rPr>
        <w:t>在</w:t>
      </w:r>
      <w:r>
        <w:rPr>
          <w:rFonts w:hint="eastAsia" w:ascii="宋体" w:hAnsi="宋体"/>
          <w:color w:val="auto"/>
          <w:szCs w:val="21"/>
        </w:rPr>
        <w:t>省级以上财政部门</w:t>
      </w:r>
      <w:r>
        <w:rPr>
          <w:rFonts w:hint="eastAsia" w:ascii="宋体" w:hAnsi="宋体"/>
          <w:color w:val="auto"/>
        </w:rPr>
        <w:t>指定的媒体上</w:t>
      </w:r>
      <w:r>
        <w:rPr>
          <w:rFonts w:hint="eastAsia" w:ascii="宋体" w:hAnsi="宋体" w:cs="宋体"/>
          <w:color w:val="auto"/>
          <w:kern w:val="0"/>
          <w:szCs w:val="21"/>
        </w:rPr>
        <w:t xml:space="preserve">发布项目终止公告并说明原因，重新开展采购活动： </w:t>
      </w:r>
    </w:p>
    <w:p w14:paraId="2DA925FD">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（1）因情况变化，不再符合规定的竞争性磋商采购方式适用情形的；</w:t>
      </w:r>
    </w:p>
    <w:p w14:paraId="63F9BDB7">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（2）出现影响采购公正的违法、违规行为的；</w:t>
      </w:r>
    </w:p>
    <w:p w14:paraId="46BE0DDA">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（3）除本章33.1款规定情形外，在采购过程中符合竞争要求的供应商或者报价未超过采购预算的供应商不足3家的，或者提交最后报价的供应商少于3家的；</w:t>
      </w:r>
    </w:p>
    <w:p w14:paraId="687D2151">
      <w:pPr>
        <w:widowControl/>
        <w:adjustRightInd w:val="0"/>
        <w:snapToGrid w:val="0"/>
        <w:spacing w:line="360" w:lineRule="auto"/>
        <w:ind w:firstLine="420"/>
        <w:jc w:val="left"/>
        <w:rPr>
          <w:rFonts w:ascii="宋体" w:hAnsi="宋体"/>
          <w:b/>
          <w:bCs/>
          <w:color w:val="auto"/>
          <w:szCs w:val="21"/>
        </w:rPr>
      </w:pPr>
      <w:r>
        <w:rPr>
          <w:rFonts w:hint="eastAsia" w:ascii="宋体" w:hAnsi="宋体" w:cs="宋体"/>
          <w:color w:val="auto"/>
          <w:kern w:val="0"/>
          <w:szCs w:val="21"/>
        </w:rPr>
        <w:t>（4）</w:t>
      </w:r>
      <w:r>
        <w:rPr>
          <w:rFonts w:hint="eastAsia" w:ascii="宋体" w:hAnsi="宋体"/>
          <w:bCs/>
          <w:color w:val="auto"/>
          <w:szCs w:val="21"/>
        </w:rPr>
        <w:t>因重大变故，采购任务取消的。</w:t>
      </w:r>
    </w:p>
    <w:p w14:paraId="3C5EC7D2">
      <w:pPr>
        <w:widowControl/>
        <w:adjustRightInd w:val="0"/>
        <w:snapToGrid w:val="0"/>
        <w:spacing w:line="360" w:lineRule="auto"/>
        <w:jc w:val="left"/>
        <w:rPr>
          <w:rFonts w:ascii="宋体" w:hAnsi="宋体" w:cs="宋体"/>
          <w:b/>
          <w:color w:val="auto"/>
          <w:kern w:val="0"/>
          <w:szCs w:val="21"/>
        </w:rPr>
      </w:pPr>
      <w:r>
        <w:rPr>
          <w:rFonts w:hint="eastAsia" w:ascii="宋体" w:hAnsi="宋体" w:cs="宋体"/>
          <w:b/>
          <w:color w:val="auto"/>
          <w:kern w:val="0"/>
          <w:szCs w:val="21"/>
        </w:rPr>
        <w:t>35．重新评审</w:t>
      </w:r>
    </w:p>
    <w:p w14:paraId="0E36A410">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35.1除资格性审查认定错误、分值汇总计算错误、分项评分超出评分标准范围、客观分评分不一致、经磋商小组一致认定评分畸高或畸低的情形外，采购人或者采购代理机构不以任何理由组织重新评审。采购人、采购代理机构发现磋商小组未按照磋商文件规定的评定成交的标准进行评审的，应当重新开展采购活动，并同时书面报告本级财政部门。</w:t>
      </w:r>
    </w:p>
    <w:p w14:paraId="764B63E3">
      <w:pPr>
        <w:adjustRightInd w:val="0"/>
        <w:snapToGrid w:val="0"/>
        <w:spacing w:line="360" w:lineRule="auto"/>
        <w:rPr>
          <w:rFonts w:ascii="宋体" w:hAnsi="宋体"/>
          <w:b/>
          <w:bCs/>
          <w:color w:val="auto"/>
          <w:szCs w:val="21"/>
        </w:rPr>
      </w:pPr>
      <w:r>
        <w:rPr>
          <w:rFonts w:hint="eastAsia" w:ascii="宋体" w:hAnsi="宋体"/>
          <w:b/>
          <w:bCs/>
          <w:color w:val="auto"/>
          <w:szCs w:val="21"/>
        </w:rPr>
        <w:t>36.保密及串通行为</w:t>
      </w:r>
    </w:p>
    <w:p w14:paraId="30969C5E">
      <w:pPr>
        <w:adjustRightInd w:val="0"/>
        <w:snapToGrid w:val="0"/>
        <w:spacing w:line="360" w:lineRule="auto"/>
        <w:ind w:firstLine="420" w:firstLineChars="200"/>
        <w:rPr>
          <w:rFonts w:ascii="宋体" w:hAnsi="宋体"/>
          <w:color w:val="auto"/>
        </w:rPr>
      </w:pPr>
      <w:r>
        <w:rPr>
          <w:rFonts w:hint="eastAsia" w:ascii="宋体" w:hAnsi="宋体"/>
          <w:color w:val="auto"/>
        </w:rPr>
        <w:t>36.1磋商小组成员以及与评审工作有关的人员不得泄露评审情况以及评审过程中获悉的国家秘密、商业秘密。</w:t>
      </w:r>
    </w:p>
    <w:p w14:paraId="3AC92891">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36.2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或者磋商小组成员行贿或者提供其他不正当利益；不得提供虚假材料谋取成交；不得以任何方式干扰、影响采购工作。</w:t>
      </w:r>
    </w:p>
    <w:p w14:paraId="147388B6">
      <w:pPr>
        <w:pStyle w:val="46"/>
        <w:adjustRightInd w:val="0"/>
        <w:snapToGrid w:val="0"/>
        <w:spacing w:before="0" w:beforeAutospacing="0" w:after="0" w:afterAutospacing="0" w:line="360" w:lineRule="auto"/>
        <w:ind w:firstLine="420" w:firstLineChars="200"/>
        <w:rPr>
          <w:color w:val="auto"/>
          <w:sz w:val="21"/>
          <w:szCs w:val="21"/>
          <w:lang w:val="zh-CN"/>
        </w:rPr>
      </w:pPr>
      <w:r>
        <w:rPr>
          <w:rFonts w:hint="eastAsia" w:cs="Arial"/>
          <w:color w:val="auto"/>
          <w:sz w:val="21"/>
          <w:szCs w:val="21"/>
        </w:rPr>
        <w:t>36.3有下列情形之一的，</w:t>
      </w:r>
      <w:r>
        <w:rPr>
          <w:rFonts w:hint="eastAsia"/>
          <w:color w:val="auto"/>
          <w:sz w:val="21"/>
          <w:szCs w:val="21"/>
          <w:lang w:val="zh-CN"/>
        </w:rPr>
        <w:t>属于恶意串通，</w:t>
      </w:r>
      <w:r>
        <w:rPr>
          <w:rFonts w:hint="eastAsia"/>
          <w:color w:val="auto"/>
          <w:sz w:val="21"/>
          <w:szCs w:val="21"/>
        </w:rPr>
        <w:t>成交无效，并</w:t>
      </w:r>
      <w:r>
        <w:rPr>
          <w:rFonts w:hint="eastAsia"/>
          <w:color w:val="auto"/>
          <w:sz w:val="21"/>
          <w:szCs w:val="21"/>
          <w:lang w:val="zh-CN"/>
        </w:rPr>
        <w:t>依照《政府采购法》第七十七条的规定追究法律责任：</w:t>
      </w:r>
    </w:p>
    <w:p w14:paraId="20C6A9F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（1）供应商直接或者间接从</w:t>
      </w:r>
      <w:r>
        <w:rPr>
          <w:rFonts w:hint="eastAsia" w:ascii="宋体" w:hAnsi="宋体"/>
          <w:bCs/>
          <w:color w:val="auto"/>
          <w:szCs w:val="21"/>
        </w:rPr>
        <w:t>采购人、采购代理机构</w:t>
      </w:r>
      <w:r>
        <w:rPr>
          <w:rFonts w:hint="eastAsia" w:ascii="宋体" w:hAnsi="宋体"/>
          <w:color w:val="auto"/>
          <w:szCs w:val="21"/>
        </w:rPr>
        <w:t>获得其他供应商的响应情况，并修改其响应文件</w:t>
      </w:r>
      <w:r>
        <w:rPr>
          <w:rFonts w:hint="eastAsia" w:ascii="宋体" w:hAnsi="宋体"/>
          <w:color w:val="auto"/>
        </w:rPr>
        <w:t>的</w:t>
      </w:r>
      <w:r>
        <w:rPr>
          <w:rFonts w:hint="eastAsia" w:ascii="宋体" w:hAnsi="宋体"/>
          <w:color w:val="auto"/>
          <w:szCs w:val="21"/>
        </w:rPr>
        <w:t>；</w:t>
      </w:r>
    </w:p>
    <w:p w14:paraId="24B39A1D">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w:t>
      </w:r>
      <w:r>
        <w:rPr>
          <w:rFonts w:hint="eastAsia" w:ascii="宋体" w:hAnsi="宋体"/>
          <w:bCs/>
          <w:color w:val="auto"/>
          <w:szCs w:val="21"/>
        </w:rPr>
        <w:t>采购人、采购代理机构</w:t>
      </w:r>
      <w:r>
        <w:rPr>
          <w:rFonts w:hint="eastAsia" w:ascii="宋体" w:hAnsi="宋体"/>
          <w:color w:val="auto"/>
          <w:szCs w:val="21"/>
        </w:rPr>
        <w:t>授意供应商撤换、修改响应文件</w:t>
      </w:r>
      <w:r>
        <w:rPr>
          <w:rFonts w:hint="eastAsia" w:ascii="宋体" w:hAnsi="宋体"/>
          <w:color w:val="auto"/>
        </w:rPr>
        <w:t>的</w:t>
      </w:r>
      <w:r>
        <w:rPr>
          <w:rFonts w:hint="eastAsia" w:ascii="宋体" w:hAnsi="宋体"/>
          <w:color w:val="auto"/>
          <w:szCs w:val="21"/>
        </w:rPr>
        <w:t>；</w:t>
      </w:r>
    </w:p>
    <w:p w14:paraId="7A48A058">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（3）供应商之间协商技术方案、合同条款以及报价等响应文件实质性内容</w:t>
      </w:r>
      <w:r>
        <w:rPr>
          <w:rFonts w:hint="eastAsia" w:ascii="宋体" w:hAnsi="宋体"/>
          <w:color w:val="auto"/>
        </w:rPr>
        <w:t>的</w:t>
      </w:r>
      <w:r>
        <w:rPr>
          <w:rFonts w:hint="eastAsia" w:ascii="宋体" w:hAnsi="宋体"/>
          <w:color w:val="auto"/>
          <w:szCs w:val="21"/>
        </w:rPr>
        <w:t>；</w:t>
      </w:r>
    </w:p>
    <w:p w14:paraId="539CC76A">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（4）属于同一集团、协会、商会等组织成员的供应商按照该组织要求协同参加竞争性磋商政府采购活动</w:t>
      </w:r>
      <w:r>
        <w:rPr>
          <w:rFonts w:hint="eastAsia" w:ascii="宋体" w:hAnsi="宋体"/>
          <w:color w:val="auto"/>
        </w:rPr>
        <w:t>的</w:t>
      </w:r>
      <w:r>
        <w:rPr>
          <w:rFonts w:hint="eastAsia" w:ascii="宋体" w:hAnsi="宋体"/>
          <w:color w:val="auto"/>
          <w:szCs w:val="21"/>
        </w:rPr>
        <w:t>；</w:t>
      </w:r>
    </w:p>
    <w:p w14:paraId="3EAE561A">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（5）供应商之间事先约定由某一特定供应商成交</w:t>
      </w:r>
      <w:r>
        <w:rPr>
          <w:rFonts w:hint="eastAsia" w:ascii="宋体" w:hAnsi="宋体"/>
          <w:color w:val="auto"/>
        </w:rPr>
        <w:t>的</w:t>
      </w:r>
      <w:r>
        <w:rPr>
          <w:rFonts w:hint="eastAsia" w:ascii="宋体" w:hAnsi="宋体"/>
          <w:color w:val="auto"/>
          <w:szCs w:val="21"/>
        </w:rPr>
        <w:t>；</w:t>
      </w:r>
    </w:p>
    <w:p w14:paraId="29906A13">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（6）供应商之间商定部分供应商放弃</w:t>
      </w:r>
      <w:r>
        <w:rPr>
          <w:rFonts w:hint="eastAsia" w:ascii="宋体" w:hAnsi="宋体"/>
          <w:color w:val="auto"/>
        </w:rPr>
        <w:t>提</w:t>
      </w:r>
      <w:r>
        <w:rPr>
          <w:rFonts w:hint="eastAsia" w:ascii="宋体" w:hAnsi="宋体"/>
          <w:color w:val="auto"/>
          <w:szCs w:val="21"/>
        </w:rPr>
        <w:t>交响应文件或者退出磋商或者放弃成交</w:t>
      </w:r>
      <w:r>
        <w:rPr>
          <w:rFonts w:hint="eastAsia" w:ascii="宋体" w:hAnsi="宋体"/>
          <w:color w:val="auto"/>
        </w:rPr>
        <w:t>的</w:t>
      </w:r>
      <w:r>
        <w:rPr>
          <w:rFonts w:hint="eastAsia" w:ascii="宋体" w:hAnsi="宋体"/>
          <w:color w:val="auto"/>
          <w:szCs w:val="21"/>
        </w:rPr>
        <w:t>；</w:t>
      </w:r>
    </w:p>
    <w:p w14:paraId="161DBAA0">
      <w:pPr>
        <w:adjustRightInd w:val="0"/>
        <w:snapToGrid w:val="0"/>
        <w:spacing w:line="360" w:lineRule="auto"/>
        <w:ind w:firstLine="420" w:firstLineChars="200"/>
        <w:rPr>
          <w:rFonts w:ascii="宋体" w:hAnsi="宋体"/>
          <w:b/>
          <w:color w:val="auto"/>
          <w:szCs w:val="21"/>
        </w:rPr>
      </w:pPr>
      <w:r>
        <w:rPr>
          <w:rFonts w:hint="eastAsia" w:ascii="宋体" w:hAnsi="宋体"/>
          <w:color w:val="auto"/>
          <w:szCs w:val="21"/>
        </w:rPr>
        <w:t>（7）供应商与</w:t>
      </w:r>
      <w:r>
        <w:rPr>
          <w:rFonts w:hint="eastAsia" w:ascii="宋体" w:hAnsi="宋体"/>
          <w:bCs/>
          <w:color w:val="auto"/>
          <w:szCs w:val="21"/>
        </w:rPr>
        <w:t>采购人、采购代理机构以及</w:t>
      </w:r>
      <w:r>
        <w:rPr>
          <w:rFonts w:hint="eastAsia" w:ascii="宋体" w:hAnsi="宋体"/>
          <w:color w:val="auto"/>
          <w:szCs w:val="21"/>
        </w:rPr>
        <w:t>磋商小组成员之间、供应商相互之间，为谋求特定供应商成交或者排斥其他供应商的其他串通行为</w:t>
      </w:r>
      <w:r>
        <w:rPr>
          <w:rFonts w:hint="eastAsia" w:ascii="宋体" w:hAnsi="宋体"/>
          <w:color w:val="auto"/>
        </w:rPr>
        <w:t>的</w:t>
      </w:r>
      <w:r>
        <w:rPr>
          <w:rFonts w:hint="eastAsia" w:ascii="宋体" w:hAnsi="宋体"/>
          <w:color w:val="auto"/>
          <w:szCs w:val="21"/>
        </w:rPr>
        <w:t>。</w:t>
      </w:r>
    </w:p>
    <w:p w14:paraId="1E0D5B98">
      <w:pPr>
        <w:adjustRightInd w:val="0"/>
        <w:snapToGrid w:val="0"/>
        <w:spacing w:line="360" w:lineRule="auto"/>
        <w:ind w:firstLine="420" w:firstLineChars="200"/>
        <w:rPr>
          <w:rFonts w:ascii="宋体" w:hAnsi="宋体"/>
          <w:color w:val="auto"/>
          <w:szCs w:val="21"/>
        </w:rPr>
      </w:pPr>
      <w:r>
        <w:rPr>
          <w:rFonts w:hint="eastAsia" w:ascii="宋体" w:hAnsi="宋体" w:cs="Arial"/>
          <w:color w:val="auto"/>
          <w:szCs w:val="21"/>
        </w:rPr>
        <w:t>（8）</w:t>
      </w:r>
      <w:r>
        <w:rPr>
          <w:rFonts w:hint="eastAsia" w:ascii="宋体" w:hAnsi="宋体"/>
          <w:color w:val="auto"/>
          <w:szCs w:val="21"/>
        </w:rPr>
        <w:t>法律、行政法规或规章规定的其他串通行为。</w:t>
      </w:r>
    </w:p>
    <w:p w14:paraId="43A18C9C">
      <w:pPr>
        <w:adjustRightInd w:val="0"/>
        <w:snapToGrid w:val="0"/>
        <w:spacing w:line="360" w:lineRule="auto"/>
        <w:rPr>
          <w:rFonts w:ascii="宋体" w:hAnsi="宋体"/>
          <w:b/>
          <w:color w:val="auto"/>
          <w:sz w:val="24"/>
        </w:rPr>
      </w:pPr>
      <w:r>
        <w:rPr>
          <w:rFonts w:hint="eastAsia" w:ascii="宋体" w:hAnsi="宋体"/>
          <w:b/>
          <w:color w:val="auto"/>
          <w:sz w:val="24"/>
        </w:rPr>
        <w:t>六、成交结果信息公布与授予合同</w:t>
      </w:r>
    </w:p>
    <w:p w14:paraId="2ABD8762">
      <w:pPr>
        <w:adjustRightInd w:val="0"/>
        <w:snapToGrid w:val="0"/>
        <w:spacing w:line="360" w:lineRule="auto"/>
        <w:rPr>
          <w:rFonts w:ascii="宋体" w:hAnsi="宋体"/>
          <w:b/>
          <w:bCs/>
          <w:color w:val="auto"/>
          <w:szCs w:val="21"/>
        </w:rPr>
      </w:pPr>
      <w:r>
        <w:rPr>
          <w:rFonts w:hint="eastAsia" w:ascii="宋体" w:hAnsi="宋体"/>
          <w:b/>
          <w:bCs/>
          <w:color w:val="auto"/>
          <w:szCs w:val="21"/>
        </w:rPr>
        <w:t>37.成交信息的公布</w:t>
      </w:r>
    </w:p>
    <w:p w14:paraId="35B6549D">
      <w:pPr>
        <w:pStyle w:val="28"/>
        <w:adjustRightInd w:val="0"/>
        <w:snapToGrid w:val="0"/>
        <w:spacing w:line="360" w:lineRule="auto"/>
        <w:ind w:firstLine="420" w:firstLineChars="200"/>
        <w:rPr>
          <w:rFonts w:hAnsi="宋体"/>
          <w:color w:val="auto"/>
        </w:rPr>
      </w:pPr>
      <w:r>
        <w:rPr>
          <w:rFonts w:hint="eastAsia" w:hAnsi="宋体"/>
          <w:color w:val="auto"/>
        </w:rPr>
        <w:t>37.1成交供应商确定后2个工作日内，采购人或者采购代理机构应将成交结果信息在</w:t>
      </w:r>
      <w:r>
        <w:rPr>
          <w:rFonts w:hint="eastAsia" w:hAnsi="宋体"/>
          <w:b/>
          <w:color w:val="auto"/>
        </w:rPr>
        <w:t>磋商须知前附表</w:t>
      </w:r>
      <w:r>
        <w:rPr>
          <w:rFonts w:hint="eastAsia" w:hAnsi="宋体"/>
          <w:color w:val="auto"/>
        </w:rPr>
        <w:t>指定的媒体上公布。</w:t>
      </w:r>
    </w:p>
    <w:p w14:paraId="4A267CD4">
      <w:pPr>
        <w:adjustRightInd w:val="0"/>
        <w:snapToGrid w:val="0"/>
        <w:spacing w:line="360" w:lineRule="auto"/>
        <w:rPr>
          <w:rFonts w:ascii="宋体" w:hAnsi="宋体"/>
          <w:b/>
          <w:bCs/>
          <w:color w:val="auto"/>
          <w:szCs w:val="21"/>
        </w:rPr>
      </w:pPr>
      <w:r>
        <w:rPr>
          <w:rFonts w:hint="eastAsia" w:ascii="宋体" w:hAnsi="宋体"/>
          <w:b/>
          <w:bCs/>
          <w:color w:val="auto"/>
          <w:szCs w:val="21"/>
        </w:rPr>
        <w:t>38.询问及质疑</w:t>
      </w:r>
    </w:p>
    <w:p w14:paraId="4C065DFD">
      <w:pPr>
        <w:adjustRightInd w:val="0"/>
        <w:snapToGrid w:val="0"/>
        <w:spacing w:line="360" w:lineRule="auto"/>
        <w:ind w:firstLine="420" w:firstLineChars="200"/>
        <w:jc w:val="left"/>
        <w:rPr>
          <w:rFonts w:ascii="宋体" w:hAnsi="宋体"/>
          <w:color w:val="auto"/>
        </w:rPr>
      </w:pPr>
      <w:r>
        <w:rPr>
          <w:rFonts w:hint="eastAsia" w:ascii="宋体" w:hAnsi="宋体"/>
          <w:color w:val="auto"/>
          <w:szCs w:val="21"/>
        </w:rPr>
        <w:t>38.1供应商对政府采购活动事项有疑问的，可以向采购人或采购代理机构提出询问。</w:t>
      </w:r>
    </w:p>
    <w:p w14:paraId="3D2D85E3">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38.2供应商若认为磋商文件、采购过程和成交结果使自己的权益受到损害，可以按法律、规章及湖南省财政厅规范性文件规定向采购人或采购代理机构提出质疑。</w:t>
      </w:r>
    </w:p>
    <w:p w14:paraId="64B945B3">
      <w:pPr>
        <w:adjustRightInd w:val="0"/>
        <w:snapToGrid w:val="0"/>
        <w:spacing w:line="360" w:lineRule="auto"/>
        <w:rPr>
          <w:rFonts w:ascii="宋体" w:hAnsi="宋体"/>
          <w:b/>
          <w:bCs/>
          <w:color w:val="auto"/>
          <w:szCs w:val="21"/>
        </w:rPr>
      </w:pPr>
      <w:r>
        <w:rPr>
          <w:rFonts w:hint="eastAsia" w:ascii="宋体" w:hAnsi="宋体"/>
          <w:b/>
          <w:bCs/>
          <w:color w:val="auto"/>
          <w:szCs w:val="21"/>
        </w:rPr>
        <w:t>39.成交通知</w:t>
      </w:r>
    </w:p>
    <w:p w14:paraId="57E1D440">
      <w:pPr>
        <w:pStyle w:val="28"/>
        <w:adjustRightInd w:val="0"/>
        <w:snapToGrid w:val="0"/>
        <w:spacing w:line="360" w:lineRule="auto"/>
        <w:ind w:firstLine="420" w:firstLineChars="200"/>
        <w:rPr>
          <w:rFonts w:hAnsi="宋体"/>
          <w:color w:val="auto"/>
        </w:rPr>
      </w:pPr>
      <w:r>
        <w:rPr>
          <w:rFonts w:hint="eastAsia" w:hAnsi="宋体"/>
          <w:color w:val="auto"/>
        </w:rPr>
        <w:t>39.1成交供应商确定后，采购人或采购代理机构将以书面形式向成交供应商发出成交通知书。成交通知书对采购人和成交供应商具有同等法律效力。</w:t>
      </w:r>
    </w:p>
    <w:p w14:paraId="6F8C6753">
      <w:pPr>
        <w:pStyle w:val="28"/>
        <w:adjustRightInd w:val="0"/>
        <w:snapToGrid w:val="0"/>
        <w:spacing w:line="360" w:lineRule="auto"/>
        <w:ind w:firstLine="420" w:firstLineChars="200"/>
        <w:rPr>
          <w:rFonts w:hAnsi="宋体"/>
          <w:color w:val="auto"/>
        </w:rPr>
      </w:pPr>
      <w:r>
        <w:rPr>
          <w:rFonts w:hint="eastAsia" w:hAnsi="宋体"/>
          <w:color w:val="auto"/>
        </w:rPr>
        <w:t>39.2 成交通知书是合同文件的组成部分。</w:t>
      </w:r>
    </w:p>
    <w:p w14:paraId="7AD9ED35">
      <w:pPr>
        <w:tabs>
          <w:tab w:val="left" w:pos="7560"/>
          <w:tab w:val="left" w:pos="7740"/>
          <w:tab w:val="left" w:pos="7920"/>
        </w:tabs>
        <w:autoSpaceDN w:val="0"/>
        <w:adjustRightInd w:val="0"/>
        <w:snapToGrid w:val="0"/>
        <w:spacing w:line="360" w:lineRule="auto"/>
        <w:ind w:firstLine="420" w:firstLineChars="200"/>
        <w:rPr>
          <w:rFonts w:ascii="宋体" w:hAnsi="宋体"/>
          <w:color w:val="auto"/>
          <w:szCs w:val="21"/>
        </w:rPr>
      </w:pPr>
      <w:r>
        <w:rPr>
          <w:rFonts w:hint="eastAsia" w:ascii="宋体" w:hAnsi="宋体" w:cs="宋体"/>
          <w:color w:val="auto"/>
          <w:kern w:val="0"/>
          <w:szCs w:val="21"/>
        </w:rPr>
        <w:t xml:space="preserve">39.3 </w:t>
      </w:r>
      <w:r>
        <w:rPr>
          <w:rFonts w:hint="eastAsia" w:ascii="宋体" w:hAnsi="宋体"/>
          <w:color w:val="auto"/>
          <w:szCs w:val="21"/>
        </w:rPr>
        <w:t>成交供应商在收到采购代理机构的成交通知书后10日内，应按照</w:t>
      </w:r>
      <w:r>
        <w:rPr>
          <w:rFonts w:hint="eastAsia" w:ascii="宋体" w:hAnsi="宋体"/>
          <w:b/>
          <w:color w:val="auto"/>
          <w:szCs w:val="21"/>
        </w:rPr>
        <w:t>磋商须知前附表</w:t>
      </w:r>
      <w:r>
        <w:rPr>
          <w:rFonts w:hint="eastAsia" w:ascii="宋体" w:hAnsi="宋体"/>
          <w:color w:val="auto"/>
          <w:szCs w:val="21"/>
        </w:rPr>
        <w:t>的规定，向采购人提交履约担保，履约担保的形式为采购人认可的形式。联合体成交的，履约担保由联合体各方或联合体中牵头人的名义提交。</w:t>
      </w:r>
    </w:p>
    <w:p w14:paraId="247D3D68">
      <w:pPr>
        <w:pStyle w:val="28"/>
        <w:adjustRightInd w:val="0"/>
        <w:snapToGrid w:val="0"/>
        <w:spacing w:line="360" w:lineRule="auto"/>
        <w:ind w:firstLine="420" w:firstLineChars="200"/>
        <w:rPr>
          <w:rFonts w:hAnsi="宋体"/>
          <w:color w:val="auto"/>
        </w:rPr>
      </w:pPr>
      <w:r>
        <w:rPr>
          <w:rFonts w:hint="eastAsia" w:hAnsi="宋体"/>
          <w:color w:val="auto"/>
        </w:rPr>
        <w:t>39.4 成交供应商</w:t>
      </w:r>
      <w:r>
        <w:rPr>
          <w:rFonts w:hint="eastAsia" w:hAnsi="宋体"/>
          <w:color w:val="auto"/>
          <w:spacing w:val="4"/>
        </w:rPr>
        <w:t>没有按照本章第38.3</w:t>
      </w:r>
      <w:r>
        <w:rPr>
          <w:rFonts w:hint="eastAsia" w:hAnsi="宋体" w:cs="宋体"/>
          <w:color w:val="auto"/>
          <w:kern w:val="0"/>
          <w:lang w:val="zh-CN"/>
        </w:rPr>
        <w:t>款</w:t>
      </w:r>
      <w:r>
        <w:rPr>
          <w:rFonts w:hint="eastAsia" w:hAnsi="宋体"/>
          <w:color w:val="auto"/>
          <w:spacing w:val="4"/>
        </w:rPr>
        <w:t>规定</w:t>
      </w:r>
      <w:r>
        <w:rPr>
          <w:rFonts w:hint="eastAsia" w:hAnsi="宋体"/>
          <w:color w:val="auto"/>
        </w:rPr>
        <w:t>提交履约担保的</w:t>
      </w:r>
      <w:r>
        <w:rPr>
          <w:rFonts w:hint="eastAsia" w:hAnsi="宋体"/>
          <w:color w:val="auto"/>
          <w:spacing w:val="4"/>
        </w:rPr>
        <w:t>，视为放弃</w:t>
      </w:r>
      <w:r>
        <w:rPr>
          <w:rFonts w:hint="eastAsia" w:hAnsi="宋体"/>
          <w:color w:val="auto"/>
        </w:rPr>
        <w:t>成交资格</w:t>
      </w:r>
      <w:r>
        <w:rPr>
          <w:rFonts w:hint="eastAsia" w:hAnsi="宋体"/>
          <w:color w:val="auto"/>
          <w:spacing w:val="4"/>
        </w:rPr>
        <w:t>，</w:t>
      </w:r>
      <w:r>
        <w:rPr>
          <w:rFonts w:hint="eastAsia" w:hAnsi="宋体"/>
          <w:color w:val="auto"/>
          <w:spacing w:val="2"/>
        </w:rPr>
        <w:t>其保证金不予退还。</w:t>
      </w:r>
    </w:p>
    <w:p w14:paraId="3AD77DFF">
      <w:pPr>
        <w:adjustRightInd w:val="0"/>
        <w:snapToGrid w:val="0"/>
        <w:spacing w:line="360" w:lineRule="auto"/>
        <w:rPr>
          <w:rFonts w:ascii="宋体" w:hAnsi="宋体"/>
          <w:b/>
          <w:bCs/>
          <w:color w:val="auto"/>
          <w:szCs w:val="21"/>
        </w:rPr>
      </w:pPr>
      <w:r>
        <w:rPr>
          <w:rFonts w:hint="eastAsia" w:ascii="宋体" w:hAnsi="宋体"/>
          <w:b/>
          <w:bCs/>
          <w:color w:val="auto"/>
          <w:szCs w:val="21"/>
        </w:rPr>
        <w:t>40.签订合同</w:t>
      </w:r>
    </w:p>
    <w:p w14:paraId="781D7943">
      <w:pPr>
        <w:pStyle w:val="28"/>
        <w:adjustRightInd w:val="0"/>
        <w:snapToGrid w:val="0"/>
        <w:spacing w:line="360" w:lineRule="auto"/>
        <w:ind w:firstLine="420" w:firstLineChars="200"/>
        <w:rPr>
          <w:rFonts w:hAnsi="宋体"/>
          <w:color w:val="auto"/>
        </w:rPr>
      </w:pPr>
      <w:r>
        <w:rPr>
          <w:rFonts w:hint="eastAsia" w:hAnsi="宋体"/>
          <w:color w:val="auto"/>
        </w:rPr>
        <w:t>40.1 磋商文件、成交供应商的响应文件及其补充的响应文件等均为签订政府采购合同的依据。</w:t>
      </w:r>
    </w:p>
    <w:p w14:paraId="3B7C2B1E">
      <w:pPr>
        <w:pStyle w:val="28"/>
        <w:adjustRightInd w:val="0"/>
        <w:snapToGrid w:val="0"/>
        <w:spacing w:line="360" w:lineRule="auto"/>
        <w:ind w:firstLine="420" w:firstLineChars="200"/>
        <w:rPr>
          <w:rFonts w:hAnsi="宋体"/>
          <w:color w:val="auto"/>
        </w:rPr>
      </w:pPr>
      <w:r>
        <w:rPr>
          <w:rFonts w:hint="eastAsia" w:hAnsi="宋体"/>
          <w:color w:val="auto"/>
        </w:rPr>
        <w:t>40.2 成交供应商应当在成交通知书发出之日起30日内与采购人签订政府采购合同。</w:t>
      </w:r>
    </w:p>
    <w:p w14:paraId="1EA343FD">
      <w:pPr>
        <w:pStyle w:val="28"/>
        <w:adjustRightInd w:val="0"/>
        <w:snapToGrid w:val="0"/>
        <w:spacing w:line="360" w:lineRule="auto"/>
        <w:ind w:firstLine="420" w:firstLineChars="200"/>
        <w:rPr>
          <w:rFonts w:hAnsi="宋体"/>
          <w:color w:val="auto"/>
        </w:rPr>
      </w:pPr>
      <w:r>
        <w:rPr>
          <w:rFonts w:hint="eastAsia" w:hAnsi="宋体"/>
          <w:color w:val="auto"/>
        </w:rPr>
        <w:t>40.3 成交供应商应当按照合同约定履行义务。成交供应商不得向他人转让成交项目，也不得将成交项目分包后分别向他人转让。</w:t>
      </w:r>
    </w:p>
    <w:p w14:paraId="412CB253">
      <w:pPr>
        <w:pStyle w:val="28"/>
        <w:adjustRightInd w:val="0"/>
        <w:snapToGrid w:val="0"/>
        <w:spacing w:line="360" w:lineRule="auto"/>
        <w:ind w:firstLine="420" w:firstLineChars="200"/>
        <w:rPr>
          <w:rFonts w:hAnsi="宋体"/>
          <w:color w:val="auto"/>
        </w:rPr>
      </w:pPr>
      <w:r>
        <w:rPr>
          <w:rFonts w:hint="eastAsia" w:hAnsi="宋体"/>
          <w:color w:val="auto"/>
        </w:rPr>
        <w:t>40.4 成交供应商有下列情形之一的，责令限期改正，情节严重的，列入不良行为记录名单，在1至3年内禁止参加政府采购活动，并予以通报：</w:t>
      </w:r>
    </w:p>
    <w:p w14:paraId="047FE71B">
      <w:pPr>
        <w:pStyle w:val="28"/>
        <w:adjustRightInd w:val="0"/>
        <w:snapToGrid w:val="0"/>
        <w:spacing w:line="360" w:lineRule="auto"/>
        <w:ind w:firstLine="420" w:firstLineChars="200"/>
        <w:rPr>
          <w:rFonts w:hAnsi="宋体"/>
          <w:color w:val="auto"/>
        </w:rPr>
      </w:pPr>
      <w:r>
        <w:rPr>
          <w:rFonts w:hint="eastAsia" w:hAnsi="宋体"/>
          <w:color w:val="auto"/>
        </w:rPr>
        <w:t>（一）成交后无正当理由不与采购人签订合同的；</w:t>
      </w:r>
    </w:p>
    <w:p w14:paraId="347636F5">
      <w:pPr>
        <w:pStyle w:val="28"/>
        <w:adjustRightInd w:val="0"/>
        <w:snapToGrid w:val="0"/>
        <w:spacing w:line="360" w:lineRule="auto"/>
        <w:ind w:firstLine="420" w:firstLineChars="200"/>
        <w:rPr>
          <w:rFonts w:hAnsi="宋体"/>
          <w:color w:val="auto"/>
        </w:rPr>
      </w:pPr>
      <w:r>
        <w:rPr>
          <w:rFonts w:hint="eastAsia" w:hAnsi="宋体"/>
          <w:color w:val="auto"/>
        </w:rPr>
        <w:t>（二）未按照采购文件确定的事项签订政府采购合同，或者与采购人另行订立背离合同实质性内容的协议的；</w:t>
      </w:r>
    </w:p>
    <w:p w14:paraId="3A629109">
      <w:pPr>
        <w:pStyle w:val="28"/>
        <w:adjustRightInd w:val="0"/>
        <w:snapToGrid w:val="0"/>
        <w:spacing w:line="360" w:lineRule="auto"/>
        <w:ind w:firstLine="420" w:firstLineChars="200"/>
        <w:rPr>
          <w:rFonts w:hAnsi="宋体"/>
          <w:color w:val="auto"/>
        </w:rPr>
      </w:pPr>
      <w:r>
        <w:rPr>
          <w:rFonts w:hint="eastAsia" w:hAnsi="宋体"/>
          <w:color w:val="auto"/>
        </w:rPr>
        <w:t>（三）拒绝履行合同义务的；</w:t>
      </w:r>
    </w:p>
    <w:p w14:paraId="16F2B7FF">
      <w:pPr>
        <w:pStyle w:val="28"/>
        <w:adjustRightInd w:val="0"/>
        <w:snapToGrid w:val="0"/>
        <w:spacing w:line="360" w:lineRule="auto"/>
        <w:ind w:firstLine="420" w:firstLineChars="200"/>
        <w:rPr>
          <w:rFonts w:hAnsi="宋体"/>
          <w:color w:val="auto"/>
        </w:rPr>
      </w:pPr>
      <w:r>
        <w:rPr>
          <w:rFonts w:hint="eastAsia" w:hAnsi="宋体"/>
          <w:color w:val="auto"/>
        </w:rPr>
        <w:t>（四）</w:t>
      </w:r>
      <w:r>
        <w:rPr>
          <w:rFonts w:hint="eastAsia" w:hAnsi="宋体" w:cs="宋体"/>
          <w:color w:val="auto"/>
          <w:kern w:val="0"/>
        </w:rPr>
        <w:t>违反法律、规章、规范性文件规定的。</w:t>
      </w:r>
    </w:p>
    <w:p w14:paraId="53F9C6A0">
      <w:pPr>
        <w:adjustRightInd w:val="0"/>
        <w:snapToGrid w:val="0"/>
        <w:spacing w:line="360" w:lineRule="auto"/>
        <w:rPr>
          <w:rFonts w:ascii="宋体" w:hAnsi="宋体"/>
          <w:b/>
          <w:color w:val="auto"/>
          <w:sz w:val="24"/>
        </w:rPr>
      </w:pPr>
      <w:r>
        <w:rPr>
          <w:rFonts w:hint="eastAsia" w:ascii="宋体" w:hAnsi="宋体"/>
          <w:b/>
          <w:color w:val="auto"/>
          <w:sz w:val="24"/>
        </w:rPr>
        <w:t>七、其他规定</w:t>
      </w:r>
    </w:p>
    <w:p w14:paraId="4BC70EAB">
      <w:pPr>
        <w:adjustRightInd w:val="0"/>
        <w:snapToGrid w:val="0"/>
        <w:spacing w:line="360" w:lineRule="auto"/>
        <w:ind w:firstLine="422" w:firstLineChars="200"/>
        <w:jc w:val="left"/>
        <w:rPr>
          <w:rFonts w:ascii="宋体" w:hAnsi="宋体"/>
          <w:b/>
          <w:color w:val="auto"/>
          <w:szCs w:val="21"/>
        </w:rPr>
      </w:pPr>
      <w:r>
        <w:rPr>
          <w:rFonts w:hint="eastAsia" w:ascii="宋体" w:hAnsi="宋体"/>
          <w:b/>
          <w:color w:val="auto"/>
          <w:szCs w:val="21"/>
        </w:rPr>
        <w:t>41.采购代理服务费及其他费用</w:t>
      </w:r>
    </w:p>
    <w:p w14:paraId="384DD063">
      <w:pPr>
        <w:adjustRightInd w:val="0"/>
        <w:snapToGrid w:val="0"/>
        <w:spacing w:before="156" w:beforeLines="50" w:line="360" w:lineRule="auto"/>
        <w:ind w:firstLine="420" w:firstLineChars="200"/>
        <w:rPr>
          <w:rFonts w:ascii="宋体" w:hAnsi="宋体" w:cs="仿宋_GB2312"/>
          <w:color w:val="auto"/>
          <w:szCs w:val="21"/>
          <w:lang w:val="zh-CN"/>
        </w:rPr>
      </w:pPr>
      <w:r>
        <w:rPr>
          <w:rFonts w:hint="eastAsia" w:ascii="宋体" w:hAnsi="宋体"/>
          <w:color w:val="auto"/>
          <w:szCs w:val="21"/>
        </w:rPr>
        <w:t>41.1代理服务费由中标供应商支付的，供应商应按</w:t>
      </w:r>
      <w:r>
        <w:rPr>
          <w:rFonts w:hint="eastAsia" w:ascii="宋体" w:hAnsi="宋体"/>
          <w:b/>
          <w:color w:val="auto"/>
          <w:szCs w:val="21"/>
        </w:rPr>
        <w:t>【磋商须知前附表】</w:t>
      </w:r>
      <w:r>
        <w:rPr>
          <w:rFonts w:hint="eastAsia" w:ascii="宋体" w:hAnsi="宋体"/>
          <w:color w:val="auto"/>
          <w:szCs w:val="21"/>
        </w:rPr>
        <w:t>规定向采购代理机构交纳代理服务费相关费用，</w:t>
      </w:r>
      <w:r>
        <w:rPr>
          <w:rFonts w:hint="eastAsia" w:ascii="宋体" w:hAnsi="宋体" w:cs="仿宋_GB2312"/>
          <w:color w:val="auto"/>
          <w:szCs w:val="21"/>
          <w:lang w:val="zh-CN"/>
        </w:rPr>
        <w:t>否则，由此产生的一切法律后果和责任由中标(成交)供应商承担。</w:t>
      </w:r>
    </w:p>
    <w:p w14:paraId="5330042A">
      <w:pPr>
        <w:adjustRightInd w:val="0"/>
        <w:snapToGrid w:val="0"/>
        <w:spacing w:before="156" w:beforeLines="50" w:line="360" w:lineRule="auto"/>
        <w:ind w:firstLine="422" w:firstLineChars="200"/>
        <w:rPr>
          <w:rFonts w:ascii="宋体" w:hAnsi="宋体"/>
          <w:b/>
          <w:color w:val="auto"/>
        </w:rPr>
      </w:pPr>
      <w:r>
        <w:rPr>
          <w:rFonts w:hint="eastAsia" w:ascii="宋体" w:hAnsi="宋体"/>
          <w:b/>
          <w:color w:val="auto"/>
          <w:szCs w:val="21"/>
        </w:rPr>
        <w:t>42.</w:t>
      </w:r>
      <w:r>
        <w:rPr>
          <w:rFonts w:hint="eastAsia" w:ascii="宋体" w:hAnsi="宋体"/>
          <w:b/>
          <w:color w:val="auto"/>
        </w:rPr>
        <w:t xml:space="preserve"> 其他规定</w:t>
      </w:r>
    </w:p>
    <w:p w14:paraId="3DDD9A06">
      <w:pPr>
        <w:tabs>
          <w:tab w:val="left" w:pos="420"/>
          <w:tab w:val="left" w:pos="7560"/>
          <w:tab w:val="left" w:pos="7740"/>
          <w:tab w:val="left" w:pos="7920"/>
        </w:tabs>
        <w:adjustRightInd w:val="0"/>
        <w:snapToGrid w:val="0"/>
        <w:spacing w:line="360" w:lineRule="auto"/>
        <w:ind w:firstLine="420" w:firstLineChars="200"/>
        <w:rPr>
          <w:rFonts w:ascii="宋体" w:hAnsi="宋体"/>
          <w:color w:val="auto"/>
        </w:rPr>
      </w:pPr>
      <w:r>
        <w:rPr>
          <w:rFonts w:hint="eastAsia" w:ascii="宋体" w:hAnsi="宋体"/>
          <w:color w:val="auto"/>
        </w:rPr>
        <w:t>42.1</w:t>
      </w:r>
      <w:r>
        <w:rPr>
          <w:rFonts w:hint="eastAsia" w:ascii="宋体" w:hAnsi="宋体"/>
          <w:b/>
          <w:bCs/>
          <w:color w:val="auto"/>
        </w:rPr>
        <w:t>磋商须知前附表</w:t>
      </w:r>
      <w:r>
        <w:rPr>
          <w:rFonts w:hint="eastAsia" w:ascii="宋体" w:hAnsi="宋体"/>
          <w:color w:val="auto"/>
        </w:rPr>
        <w:t>规定供应商提供样品的，供应商有以下情形之一的，其响应无效。</w:t>
      </w:r>
    </w:p>
    <w:p w14:paraId="07E2A769">
      <w:pPr>
        <w:tabs>
          <w:tab w:val="left" w:pos="420"/>
          <w:tab w:val="left" w:pos="7560"/>
          <w:tab w:val="left" w:pos="7740"/>
          <w:tab w:val="left" w:pos="7920"/>
        </w:tabs>
        <w:adjustRightInd w:val="0"/>
        <w:snapToGrid w:val="0"/>
        <w:spacing w:line="360" w:lineRule="auto"/>
        <w:ind w:firstLine="420" w:firstLineChars="200"/>
        <w:rPr>
          <w:rFonts w:ascii="宋体" w:hAnsi="宋体"/>
          <w:color w:val="auto"/>
        </w:rPr>
      </w:pPr>
      <w:r>
        <w:rPr>
          <w:rFonts w:hint="eastAsia" w:ascii="宋体" w:hAnsi="宋体"/>
          <w:color w:val="auto"/>
        </w:rPr>
        <w:t>（1）未在</w:t>
      </w:r>
      <w:r>
        <w:rPr>
          <w:rFonts w:hint="eastAsia" w:ascii="宋体" w:hAnsi="宋体"/>
          <w:b/>
          <w:color w:val="auto"/>
          <w:szCs w:val="21"/>
        </w:rPr>
        <w:t>磋商须知前附表</w:t>
      </w:r>
      <w:r>
        <w:rPr>
          <w:rFonts w:hint="eastAsia" w:ascii="宋体" w:hAnsi="宋体"/>
          <w:color w:val="auto"/>
        </w:rPr>
        <w:t>规定的提交时间、地点提交的；</w:t>
      </w:r>
    </w:p>
    <w:p w14:paraId="26C9241B">
      <w:pPr>
        <w:tabs>
          <w:tab w:val="left" w:pos="420"/>
          <w:tab w:val="left" w:pos="7560"/>
          <w:tab w:val="left" w:pos="7740"/>
          <w:tab w:val="left" w:pos="7920"/>
        </w:tabs>
        <w:adjustRightInd w:val="0"/>
        <w:snapToGrid w:val="0"/>
        <w:spacing w:line="360" w:lineRule="auto"/>
        <w:ind w:firstLine="420" w:firstLineChars="200"/>
        <w:rPr>
          <w:rFonts w:ascii="宋体" w:hAnsi="宋体"/>
          <w:color w:val="auto"/>
        </w:rPr>
      </w:pPr>
      <w:r>
        <w:rPr>
          <w:rFonts w:hint="eastAsia" w:ascii="宋体" w:hAnsi="宋体"/>
          <w:color w:val="auto"/>
        </w:rPr>
        <w:t>（2）供应商提供的样品与磋商文件中型号、规格不一致的。</w:t>
      </w:r>
    </w:p>
    <w:p w14:paraId="12D0E376">
      <w:pPr>
        <w:tabs>
          <w:tab w:val="left" w:pos="420"/>
          <w:tab w:val="left" w:pos="7560"/>
          <w:tab w:val="left" w:pos="7740"/>
          <w:tab w:val="left" w:pos="7920"/>
        </w:tabs>
        <w:adjustRightInd w:val="0"/>
        <w:snapToGrid w:val="0"/>
        <w:spacing w:line="360" w:lineRule="auto"/>
        <w:ind w:firstLine="420" w:firstLineChars="200"/>
        <w:rPr>
          <w:rFonts w:ascii="宋体" w:hAnsi="宋体"/>
          <w:color w:val="auto"/>
          <w:szCs w:val="21"/>
        </w:rPr>
      </w:pPr>
      <w:r>
        <w:rPr>
          <w:rFonts w:hint="eastAsia" w:ascii="宋体" w:hAnsi="宋体"/>
          <w:color w:val="auto"/>
        </w:rPr>
        <w:t>42.2</w:t>
      </w:r>
      <w:r>
        <w:rPr>
          <w:rFonts w:hint="eastAsia" w:ascii="宋体" w:hAnsi="宋体"/>
          <w:color w:val="auto"/>
          <w:szCs w:val="21"/>
        </w:rPr>
        <w:t>磋商文件</w:t>
      </w:r>
      <w:r>
        <w:rPr>
          <w:rFonts w:hint="eastAsia" w:ascii="宋体" w:hAnsi="宋体"/>
          <w:color w:val="auto"/>
        </w:rPr>
        <w:t>的其他规定</w:t>
      </w:r>
      <w:r>
        <w:rPr>
          <w:rFonts w:hint="eastAsia" w:ascii="宋体" w:hAnsi="宋体"/>
          <w:color w:val="auto"/>
          <w:szCs w:val="21"/>
        </w:rPr>
        <w:t>见</w:t>
      </w:r>
      <w:r>
        <w:rPr>
          <w:rFonts w:hint="eastAsia" w:ascii="宋体" w:hAnsi="宋体"/>
          <w:b/>
          <w:color w:val="auto"/>
          <w:szCs w:val="21"/>
        </w:rPr>
        <w:t>磋商须知前附表</w:t>
      </w:r>
      <w:r>
        <w:rPr>
          <w:rFonts w:hint="eastAsia" w:ascii="宋体" w:hAnsi="宋体"/>
          <w:color w:val="auto"/>
          <w:szCs w:val="21"/>
        </w:rPr>
        <w:t>。</w:t>
      </w:r>
    </w:p>
    <w:p w14:paraId="5BB50CB3">
      <w:pPr>
        <w:tabs>
          <w:tab w:val="left" w:pos="0"/>
        </w:tabs>
        <w:adjustRightInd w:val="0"/>
        <w:snapToGrid w:val="0"/>
        <w:spacing w:before="156" w:beforeLines="50" w:line="360" w:lineRule="auto"/>
        <w:rPr>
          <w:rFonts w:ascii="宋体" w:hAnsi="宋体"/>
          <w:b/>
          <w:bCs/>
          <w:color w:val="auto"/>
          <w:sz w:val="24"/>
        </w:rPr>
      </w:pPr>
    </w:p>
    <w:p w14:paraId="607161C1">
      <w:pPr>
        <w:tabs>
          <w:tab w:val="left" w:pos="0"/>
        </w:tabs>
        <w:adjustRightInd w:val="0"/>
        <w:snapToGrid w:val="0"/>
        <w:spacing w:before="156" w:beforeLines="50" w:line="360" w:lineRule="auto"/>
        <w:rPr>
          <w:rFonts w:ascii="宋体" w:hAnsi="宋体"/>
          <w:b/>
          <w:bCs/>
          <w:color w:val="auto"/>
          <w:sz w:val="24"/>
        </w:rPr>
      </w:pPr>
    </w:p>
    <w:p w14:paraId="65B89855">
      <w:pPr>
        <w:tabs>
          <w:tab w:val="left" w:pos="0"/>
        </w:tabs>
        <w:adjustRightInd w:val="0"/>
        <w:snapToGrid w:val="0"/>
        <w:jc w:val="center"/>
        <w:outlineLvl w:val="0"/>
        <w:rPr>
          <w:rFonts w:ascii="宋体" w:hAnsi="宋体"/>
          <w:b/>
          <w:bCs/>
          <w:color w:val="auto"/>
          <w:sz w:val="36"/>
          <w:szCs w:val="36"/>
        </w:rPr>
      </w:pPr>
      <w:r>
        <w:rPr>
          <w:rFonts w:hint="eastAsia" w:ascii="宋体" w:hAnsi="宋体"/>
          <w:b/>
          <w:bCs/>
          <w:color w:val="auto"/>
          <w:sz w:val="36"/>
          <w:szCs w:val="36"/>
        </w:rPr>
        <w:br w:type="page"/>
      </w:r>
      <w:bookmarkStart w:id="4" w:name="_Toc14666"/>
      <w:r>
        <w:rPr>
          <w:rFonts w:hint="eastAsia" w:ascii="宋体" w:hAnsi="宋体"/>
          <w:b/>
          <w:bCs/>
          <w:color w:val="auto"/>
          <w:sz w:val="36"/>
          <w:szCs w:val="36"/>
        </w:rPr>
        <w:t>第三章 磋商办法</w:t>
      </w:r>
      <w:bookmarkEnd w:id="4"/>
    </w:p>
    <w:p w14:paraId="0A131D18">
      <w:pPr>
        <w:rPr>
          <w:color w:val="auto"/>
        </w:rPr>
      </w:pPr>
    </w:p>
    <w:p w14:paraId="18661B58">
      <w:pPr>
        <w:rPr>
          <w:b/>
          <w:color w:val="auto"/>
        </w:rPr>
      </w:pPr>
      <w:r>
        <w:rPr>
          <w:rFonts w:hint="eastAsia"/>
          <w:b/>
          <w:color w:val="auto"/>
        </w:rPr>
        <w:t>一、磋商方法</w:t>
      </w:r>
    </w:p>
    <w:p w14:paraId="12542679">
      <w:pPr>
        <w:tabs>
          <w:tab w:val="left" w:pos="0"/>
        </w:tabs>
        <w:adjustRightInd w:val="0"/>
        <w:snapToGrid w:val="0"/>
        <w:spacing w:before="156" w:beforeLines="50" w:line="360" w:lineRule="auto"/>
        <w:ind w:firstLine="420" w:firstLineChars="200"/>
        <w:rPr>
          <w:rFonts w:ascii="宋体" w:hAnsi="宋体"/>
          <w:color w:val="auto"/>
          <w:szCs w:val="21"/>
        </w:rPr>
      </w:pPr>
      <w:r>
        <w:rPr>
          <w:rFonts w:hint="eastAsia" w:ascii="宋体" w:hAnsi="宋体"/>
          <w:bCs/>
          <w:color w:val="auto"/>
          <w:szCs w:val="21"/>
        </w:rPr>
        <w:t>本项目采取综合评分法，即</w:t>
      </w:r>
      <w:r>
        <w:rPr>
          <w:rFonts w:hint="eastAsia" w:ascii="宋体" w:hAnsi="宋体"/>
          <w:color w:val="auto"/>
          <w:szCs w:val="21"/>
        </w:rPr>
        <w:t>响应文件满足磋商文件全部实质性要求且按磋商因素的量化指标评审得分最高的供应商为成交候选人的评审方法。</w:t>
      </w:r>
    </w:p>
    <w:p w14:paraId="1C1D8726">
      <w:pPr>
        <w:tabs>
          <w:tab w:val="left" w:pos="0"/>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磋商因素：详见磋商标准评分表，但不包括供应商资格条件。</w:t>
      </w:r>
    </w:p>
    <w:p w14:paraId="1B59BF73">
      <w:pPr>
        <w:widowControl/>
        <w:adjustRightInd w:val="0"/>
        <w:snapToGrid w:val="0"/>
        <w:spacing w:before="156" w:beforeLines="50" w:line="360" w:lineRule="auto"/>
        <w:ind w:firstLine="420" w:firstLineChars="200"/>
        <w:jc w:val="left"/>
        <w:rPr>
          <w:rFonts w:ascii="宋体" w:hAnsi="宋体"/>
          <w:bCs/>
          <w:color w:val="auto"/>
          <w:szCs w:val="21"/>
        </w:rPr>
      </w:pPr>
      <w:r>
        <w:rPr>
          <w:rFonts w:hint="eastAsia" w:ascii="宋体" w:hAnsi="宋体"/>
          <w:bCs/>
          <w:color w:val="auto"/>
          <w:szCs w:val="21"/>
        </w:rPr>
        <w:t>磋商</w:t>
      </w:r>
      <w:r>
        <w:rPr>
          <w:rFonts w:hint="eastAsia" w:ascii="宋体" w:hAnsi="宋体"/>
          <w:color w:val="auto"/>
          <w:szCs w:val="21"/>
        </w:rPr>
        <w:t>报价评价。磋商小组以经磋商确定最终采购需求，资格性、符合性检查合格的供应商提交的最后报价为基础，</w:t>
      </w:r>
      <w:r>
        <w:rPr>
          <w:rFonts w:hint="eastAsia" w:ascii="宋体" w:hAnsi="宋体" w:cs="宋体"/>
          <w:color w:val="auto"/>
          <w:kern w:val="0"/>
          <w:szCs w:val="21"/>
        </w:rPr>
        <w:t>依次</w:t>
      </w:r>
      <w:r>
        <w:rPr>
          <w:rFonts w:hint="eastAsia" w:ascii="宋体" w:hAnsi="宋体"/>
          <w:color w:val="auto"/>
          <w:szCs w:val="21"/>
        </w:rPr>
        <w:t>对磋商报价进行</w:t>
      </w:r>
      <w:r>
        <w:rPr>
          <w:rFonts w:hint="eastAsia" w:ascii="宋体" w:hAnsi="宋体" w:cs="宋体"/>
          <w:color w:val="auto"/>
          <w:kern w:val="0"/>
          <w:szCs w:val="21"/>
        </w:rPr>
        <w:t>算术</w:t>
      </w:r>
      <w:r>
        <w:rPr>
          <w:rFonts w:hint="eastAsia" w:ascii="宋体" w:hAnsi="宋体"/>
          <w:color w:val="auto"/>
          <w:szCs w:val="21"/>
        </w:rPr>
        <w:t>修正和政府采购政策优惠价格扣除计算。</w:t>
      </w:r>
    </w:p>
    <w:p w14:paraId="34684788">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价格分采用低价优先法计算，即满足磋商文件要求且磋商报价最低的磋商报价为磋商基准价，其价格分为满分，其他</w:t>
      </w:r>
      <w:r>
        <w:rPr>
          <w:rFonts w:hint="eastAsia" w:ascii="宋体" w:hAnsi="宋体"/>
          <w:color w:val="auto"/>
          <w:szCs w:val="21"/>
        </w:rPr>
        <w:t>有效供应商</w:t>
      </w:r>
      <w:r>
        <w:rPr>
          <w:rFonts w:hint="eastAsia" w:ascii="宋体" w:hAnsi="宋体" w:cs="宋体"/>
          <w:color w:val="auto"/>
          <w:kern w:val="0"/>
          <w:szCs w:val="21"/>
        </w:rPr>
        <w:t>的价格分按照下列公式计算：</w:t>
      </w:r>
    </w:p>
    <w:p w14:paraId="051F230C">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磋商报价得分=(磋商基准价／最后磋商报价)×价格分值</w:t>
      </w:r>
    </w:p>
    <w:p w14:paraId="5EF4BDA4">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磋商报价高于采购人预算价为无效响应。</w:t>
      </w:r>
    </w:p>
    <w:p w14:paraId="04C48A82">
      <w:pPr>
        <w:widowControl/>
        <w:adjustRightInd w:val="0"/>
        <w:snapToGrid w:val="0"/>
        <w:spacing w:before="156" w:beforeLines="50" w:line="360" w:lineRule="auto"/>
        <w:ind w:firstLine="420" w:firstLineChars="200"/>
        <w:jc w:val="left"/>
        <w:rPr>
          <w:rFonts w:ascii="宋体" w:hAnsi="宋体"/>
          <w:color w:val="auto"/>
          <w:szCs w:val="21"/>
        </w:rPr>
      </w:pPr>
      <w:r>
        <w:rPr>
          <w:rFonts w:hint="eastAsia" w:ascii="宋体" w:hAnsi="宋体" w:cs="宋体"/>
          <w:color w:val="auto"/>
          <w:kern w:val="0"/>
          <w:szCs w:val="21"/>
        </w:rPr>
        <w:t>本项所称磋商报价为按</w:t>
      </w:r>
      <w:r>
        <w:rPr>
          <w:rFonts w:hint="eastAsia" w:ascii="宋体" w:hAnsi="宋体"/>
          <w:bCs/>
          <w:color w:val="auto"/>
          <w:szCs w:val="21"/>
        </w:rPr>
        <w:t>第二章第30.3</w:t>
      </w:r>
      <w:r>
        <w:rPr>
          <w:rFonts w:hint="eastAsia" w:ascii="宋体" w:hAnsi="宋体" w:cs="宋体"/>
          <w:color w:val="auto"/>
          <w:kern w:val="0"/>
          <w:szCs w:val="21"/>
          <w:lang w:val="zh-CN"/>
        </w:rPr>
        <w:t>款</w:t>
      </w:r>
      <w:r>
        <w:rPr>
          <w:rFonts w:hint="eastAsia" w:ascii="宋体" w:hAnsi="宋体"/>
          <w:bCs/>
          <w:color w:val="auto"/>
          <w:szCs w:val="21"/>
        </w:rPr>
        <w:t>规定</w:t>
      </w:r>
      <w:r>
        <w:rPr>
          <w:rFonts w:hint="eastAsia" w:ascii="宋体" w:hAnsi="宋体"/>
          <w:color w:val="auto"/>
          <w:szCs w:val="21"/>
        </w:rPr>
        <w:t>评价后的磋商报价。</w:t>
      </w:r>
    </w:p>
    <w:p w14:paraId="71214B88">
      <w:pPr>
        <w:widowControl/>
        <w:adjustRightInd w:val="0"/>
        <w:snapToGrid w:val="0"/>
        <w:spacing w:before="156" w:beforeLines="50" w:line="360" w:lineRule="auto"/>
        <w:ind w:firstLine="420" w:firstLineChars="200"/>
        <w:jc w:val="left"/>
        <w:rPr>
          <w:rFonts w:ascii="宋体" w:hAnsi="宋体"/>
          <w:color w:val="auto"/>
          <w:szCs w:val="21"/>
        </w:rPr>
      </w:pPr>
      <w:r>
        <w:rPr>
          <w:rFonts w:hint="eastAsia" w:ascii="宋体" w:hAnsi="宋体"/>
          <w:color w:val="auto"/>
          <w:szCs w:val="21"/>
        </w:rPr>
        <w:t>涉及政府采购政策优惠的，</w:t>
      </w:r>
      <w:r>
        <w:rPr>
          <w:rFonts w:hint="eastAsia" w:ascii="宋体" w:hAnsi="宋体"/>
          <w:bCs/>
          <w:color w:val="auto"/>
          <w:szCs w:val="21"/>
        </w:rPr>
        <w:t>按</w:t>
      </w:r>
      <w:r>
        <w:rPr>
          <w:rFonts w:hint="eastAsia" w:ascii="宋体" w:hAnsi="宋体"/>
          <w:b/>
          <w:color w:val="auto"/>
          <w:szCs w:val="21"/>
        </w:rPr>
        <w:t>磋商须知前附表</w:t>
      </w:r>
      <w:r>
        <w:rPr>
          <w:rFonts w:hint="eastAsia" w:ascii="宋体" w:hAnsi="宋体"/>
          <w:bCs/>
          <w:color w:val="auto"/>
          <w:szCs w:val="21"/>
        </w:rPr>
        <w:t>规定</w:t>
      </w:r>
      <w:r>
        <w:rPr>
          <w:rFonts w:hint="eastAsia" w:ascii="宋体" w:hAnsi="宋体"/>
          <w:color w:val="auto"/>
          <w:szCs w:val="21"/>
        </w:rPr>
        <w:t>调整。</w:t>
      </w:r>
    </w:p>
    <w:p w14:paraId="261BFC73">
      <w:pPr>
        <w:widowControl/>
        <w:adjustRightInd w:val="0"/>
        <w:snapToGrid w:val="0"/>
        <w:spacing w:before="156" w:beforeLines="50" w:line="360" w:lineRule="auto"/>
        <w:ind w:firstLine="420" w:firstLineChars="200"/>
        <w:jc w:val="left"/>
        <w:rPr>
          <w:rFonts w:ascii="宋体" w:hAnsi="宋体"/>
          <w:color w:val="auto"/>
          <w:szCs w:val="21"/>
        </w:rPr>
      </w:pPr>
      <w:r>
        <w:rPr>
          <w:rFonts w:hint="eastAsia" w:ascii="宋体" w:hAnsi="宋体"/>
          <w:color w:val="auto"/>
          <w:szCs w:val="21"/>
        </w:rPr>
        <w:t>评审时，磋商小组各成员应当独立对每个供应商的响应</w:t>
      </w:r>
      <w:r>
        <w:rPr>
          <w:rFonts w:hint="eastAsia" w:ascii="宋体" w:hAnsi="宋体"/>
          <w:bCs/>
          <w:color w:val="auto"/>
          <w:szCs w:val="21"/>
        </w:rPr>
        <w:t>文件</w:t>
      </w:r>
      <w:r>
        <w:rPr>
          <w:rFonts w:hint="eastAsia" w:ascii="宋体" w:hAnsi="宋体"/>
          <w:color w:val="auto"/>
          <w:szCs w:val="21"/>
        </w:rPr>
        <w:t>进行评价、评分。</w:t>
      </w:r>
    </w:p>
    <w:p w14:paraId="2245D315">
      <w:pPr>
        <w:widowControl/>
        <w:adjustRightInd w:val="0"/>
        <w:snapToGrid w:val="0"/>
        <w:spacing w:before="156" w:beforeLines="50" w:line="360" w:lineRule="auto"/>
        <w:ind w:firstLine="420" w:firstLineChars="200"/>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接受分支机构投标的项目，评分标准中的商务资料（资质、证书、业绩），对分支机构提供的其上级分公司或所属的独立法人公司的材料予以认可。</w:t>
      </w:r>
    </w:p>
    <w:p w14:paraId="001B824C">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Theme="minorEastAsia" w:hAnsiTheme="minorEastAsia" w:eastAsiaTheme="minorEastAsia"/>
          <w:color w:val="auto"/>
          <w:szCs w:val="21"/>
        </w:rPr>
        <w:t>非单一产品采购项目：</w:t>
      </w:r>
      <w:r>
        <w:rPr>
          <w:rFonts w:hint="eastAsia" w:ascii="宋体" w:hAnsi="宋体" w:cs="宋体"/>
          <w:color w:val="auto"/>
          <w:kern w:val="0"/>
          <w:szCs w:val="21"/>
        </w:rPr>
        <w:t>多家供应商提供的核心产品品牌相同的，视为相同品牌，提供相同品牌产品的不同供应商参加同一合同项下投标的，按一家供应商计算。评审后得分最高的同品牌供应商获得中标人推荐资格；评审得分相同的，按照规定的方式确定一个供应商获得中标人推荐资格，磋商文件未规定的采取随机抽取方式确定，其他同品牌供应商不作为中标候选人。</w:t>
      </w:r>
    </w:p>
    <w:p w14:paraId="55A0B5FB">
      <w:pPr>
        <w:tabs>
          <w:tab w:val="left" w:pos="0"/>
        </w:tabs>
        <w:adjustRightInd w:val="0"/>
        <w:snapToGrid w:val="0"/>
        <w:spacing w:before="156" w:beforeLines="50" w:line="360" w:lineRule="auto"/>
        <w:ind w:firstLine="422" w:firstLineChars="200"/>
        <w:rPr>
          <w:rFonts w:ascii="宋体" w:hAnsi="宋体"/>
          <w:b/>
          <w:color w:val="auto"/>
          <w:szCs w:val="21"/>
        </w:rPr>
      </w:pPr>
      <w:r>
        <w:rPr>
          <w:rFonts w:hint="eastAsia" w:ascii="宋体" w:hAnsi="宋体"/>
          <w:b/>
          <w:color w:val="auto"/>
          <w:szCs w:val="21"/>
        </w:rPr>
        <w:t>异常低价响应程序：</w:t>
      </w:r>
    </w:p>
    <w:p w14:paraId="0F958D18">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评标评委会应当在符合性审查完成后，根据财政部《关于推动解决政府采购异常低价问题的通知》（财库〔2026〕2号）文件，按以下要求启动异常低价投标（响应）审查程序：</w:t>
      </w:r>
    </w:p>
    <w:p w14:paraId="23E17687">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（一）本项目评审中出现下列情形之一的，评审委员会应当启动异常低价投标（响应）审查程序：</w:t>
      </w:r>
    </w:p>
    <w:p w14:paraId="38917C24">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1.投标（响应）报价低于全部通过符合性审查供应商投标（响应）报价平均值65%的，即投标（响应）报价&lt;全部通过符合性审查供应商投标（响应）报价平均值×65%；</w:t>
      </w:r>
    </w:p>
    <w:p w14:paraId="02680B6B">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2.投标（响应）报价低于通过符合性审查的次低报价供应商投标（响应）报价65%的，即投标（响应）报价&lt;通过符合性审查的次低报价供应商投标（响应）报价×65%；</w:t>
      </w:r>
    </w:p>
    <w:p w14:paraId="310DB586">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3.投标（响应）报价低于采购项目最高限价65%的，即投标（响应）报价&lt;采购项目最高限价×65%；</w:t>
      </w:r>
    </w:p>
    <w:p w14:paraId="68148DCE">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4.评审委员会基于专业判断，认为供应商报价过低，有可能影响产品质量或者不能诚信履约的其他情形。</w:t>
      </w:r>
    </w:p>
    <w:p w14:paraId="1ECAD1EB">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bCs/>
          <w:color w:val="auto"/>
          <w:szCs w:val="21"/>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为不少30分钟。其中，属于第3项情形，供应商已随投标（响应）文件一并提交相关书面说明及必要的证明材料的，在评审现场可不再重复提交。</w:t>
      </w:r>
    </w:p>
    <w:p w14:paraId="365A9F8F">
      <w:pPr>
        <w:widowControl/>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bCs/>
          <w:color w:val="auto"/>
          <w:szCs w:val="21"/>
        </w:rPr>
        <w:t>（三）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C6359BF">
      <w:pPr>
        <w:tabs>
          <w:tab w:val="left" w:pos="0"/>
        </w:tabs>
        <w:adjustRightInd w:val="0"/>
        <w:snapToGrid w:val="0"/>
        <w:spacing w:before="156" w:beforeLines="50" w:line="360" w:lineRule="auto"/>
        <w:rPr>
          <w:rFonts w:ascii="宋体" w:hAnsi="宋体"/>
          <w:b/>
          <w:color w:val="auto"/>
          <w:szCs w:val="21"/>
        </w:rPr>
      </w:pPr>
      <w:r>
        <w:rPr>
          <w:rFonts w:hint="eastAsia" w:ascii="宋体" w:hAnsi="宋体"/>
          <w:b/>
          <w:color w:val="auto"/>
          <w:szCs w:val="21"/>
        </w:rPr>
        <w:t>二.推荐成交候选供应商</w:t>
      </w:r>
    </w:p>
    <w:p w14:paraId="6B77503C">
      <w:pPr>
        <w:tabs>
          <w:tab w:val="left" w:pos="0"/>
        </w:tabs>
        <w:adjustRightInd w:val="0"/>
        <w:snapToGrid w:val="0"/>
        <w:spacing w:before="156" w:beforeLines="50" w:line="360" w:lineRule="auto"/>
        <w:ind w:firstLine="420" w:firstLineChars="200"/>
        <w:rPr>
          <w:rFonts w:ascii="宋体" w:hAnsi="宋体"/>
          <w:bCs/>
          <w:color w:val="auto"/>
          <w:szCs w:val="21"/>
        </w:rPr>
      </w:pPr>
      <w:r>
        <w:rPr>
          <w:rFonts w:hint="eastAsia" w:ascii="宋体" w:hAnsi="宋体"/>
          <w:color w:val="auto"/>
          <w:szCs w:val="21"/>
        </w:rPr>
        <w:t>1、磋商小组应当根据综合评分情况，</w:t>
      </w:r>
      <w:r>
        <w:rPr>
          <w:rFonts w:hint="eastAsia" w:ascii="宋体" w:hAnsi="宋体"/>
          <w:bCs/>
          <w:color w:val="auto"/>
          <w:szCs w:val="21"/>
        </w:rPr>
        <w:t>按评审得分由高到低顺序每包推荐</w:t>
      </w:r>
      <w:r>
        <w:rPr>
          <w:rFonts w:hint="eastAsia" w:ascii="宋体" w:hAnsi="宋体"/>
          <w:bCs/>
          <w:color w:val="auto"/>
          <w:szCs w:val="21"/>
          <w:lang w:val="en-US" w:eastAsia="zh-CN"/>
        </w:rPr>
        <w:t>3</w:t>
      </w:r>
      <w:r>
        <w:rPr>
          <w:rFonts w:hint="eastAsia" w:ascii="宋体" w:hAnsi="宋体"/>
          <w:bCs/>
          <w:color w:val="auto"/>
          <w:szCs w:val="21"/>
        </w:rPr>
        <w:t>名</w:t>
      </w:r>
      <w:r>
        <w:rPr>
          <w:rFonts w:hint="eastAsia" w:ascii="宋体" w:hAnsi="宋体"/>
          <w:bCs/>
          <w:color w:val="auto"/>
          <w:szCs w:val="21"/>
          <w:lang w:val="en-US" w:eastAsia="zh-CN"/>
        </w:rPr>
        <w:t>及</w:t>
      </w:r>
      <w:r>
        <w:rPr>
          <w:rFonts w:hint="eastAsia" w:ascii="宋体" w:hAnsi="宋体"/>
          <w:bCs/>
          <w:color w:val="auto"/>
          <w:szCs w:val="21"/>
        </w:rPr>
        <w:t>以上成交候选供应商，并编写评审报告。评审得分相同的，按最后报价由低到高顺序排列。总得分且报价相同的，按产品品质得分由高到低排名顺序排列，再次相同的采取随机抽取方式确定。</w:t>
      </w:r>
    </w:p>
    <w:p w14:paraId="61873F10">
      <w:pPr>
        <w:tabs>
          <w:tab w:val="left" w:pos="0"/>
        </w:tabs>
        <w:adjustRightInd w:val="0"/>
        <w:snapToGrid w:val="0"/>
        <w:spacing w:line="360" w:lineRule="auto"/>
        <w:rPr>
          <w:rFonts w:ascii="宋体" w:hAnsi="宋体"/>
          <w:b/>
          <w:bCs/>
          <w:color w:val="auto"/>
          <w:szCs w:val="21"/>
        </w:rPr>
      </w:pPr>
      <w:r>
        <w:rPr>
          <w:rFonts w:hint="eastAsia" w:ascii="宋体" w:hAnsi="宋体"/>
          <w:b/>
          <w:bCs/>
          <w:color w:val="auto"/>
          <w:szCs w:val="21"/>
        </w:rPr>
        <w:t>三.确定成交供应商</w:t>
      </w:r>
    </w:p>
    <w:p w14:paraId="2580BE24">
      <w:pPr>
        <w:widowControl/>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1、采购代理机构应当在评审结束后2个工作日内将评审报告送采购人确认。</w:t>
      </w:r>
    </w:p>
    <w:p w14:paraId="3AC48B6F">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采购人应当在收到评审报告后5个工作日内，从评审报告提出的成交候选人中，根据质量和服务均能满足采购文件实质性响应要求且评审得分最高的原则确定成交供应商，也可以书面授权磋商小组直接确定成交供应商。采购人逾期未确定成交供应商且不提出异议的，视为确定评审报告提出的排序第一的供应商为成交供应商。</w:t>
      </w:r>
    </w:p>
    <w:p w14:paraId="02483F6A">
      <w:pPr>
        <w:widowControl/>
        <w:adjustRightInd w:val="0"/>
        <w:snapToGrid w:val="0"/>
        <w:spacing w:line="360" w:lineRule="auto"/>
        <w:ind w:firstLine="420"/>
        <w:jc w:val="left"/>
        <w:rPr>
          <w:color w:val="auto"/>
        </w:rPr>
      </w:pPr>
      <w:r>
        <w:rPr>
          <w:rFonts w:hint="eastAsia" w:ascii="宋体" w:hAnsi="宋体" w:cs="宋体"/>
          <w:color w:val="auto"/>
          <w:kern w:val="0"/>
          <w:szCs w:val="21"/>
        </w:rPr>
        <w:t>3、最后报价确定遵守第二章第</w:t>
      </w:r>
      <w:r>
        <w:rPr>
          <w:rFonts w:hint="eastAsia" w:ascii="宋体" w:hAnsi="宋体"/>
          <w:bCs/>
          <w:color w:val="auto"/>
          <w:szCs w:val="21"/>
        </w:rPr>
        <w:t>29条</w:t>
      </w:r>
      <w:r>
        <w:rPr>
          <w:rFonts w:hint="eastAsia" w:ascii="宋体" w:hAnsi="宋体" w:cs="宋体"/>
          <w:color w:val="auto"/>
          <w:kern w:val="0"/>
          <w:szCs w:val="21"/>
        </w:rPr>
        <w:t>的</w:t>
      </w:r>
      <w:r>
        <w:rPr>
          <w:rFonts w:hint="eastAsia" w:ascii="宋体" w:hAnsi="宋体"/>
          <w:bCs/>
          <w:color w:val="auto"/>
          <w:szCs w:val="21"/>
        </w:rPr>
        <w:t>规定。</w:t>
      </w:r>
    </w:p>
    <w:p w14:paraId="763CA7C3">
      <w:pPr>
        <w:rPr>
          <w:rFonts w:ascii="宋体" w:hAnsi="宋体" w:cs="宋体"/>
          <w:b/>
          <w:color w:val="auto"/>
          <w:sz w:val="24"/>
        </w:rPr>
      </w:pPr>
      <w:bookmarkStart w:id="5" w:name="_Toc28561"/>
      <w:bookmarkStart w:id="6" w:name="_Toc15157"/>
      <w:bookmarkStart w:id="7" w:name="_Toc12439"/>
      <w:r>
        <w:rPr>
          <w:rFonts w:hint="eastAsia" w:ascii="宋体" w:hAnsi="宋体" w:cs="宋体"/>
          <w:b/>
          <w:color w:val="auto"/>
          <w:sz w:val="24"/>
        </w:rPr>
        <w:br w:type="page"/>
      </w:r>
    </w:p>
    <w:p w14:paraId="38A261C0">
      <w:pPr>
        <w:autoSpaceDE w:val="0"/>
        <w:autoSpaceDN w:val="0"/>
        <w:adjustRightInd w:val="0"/>
        <w:spacing w:line="500" w:lineRule="exact"/>
        <w:outlineLvl w:val="1"/>
        <w:rPr>
          <w:rFonts w:ascii="宋体" w:hAnsi="宋体" w:cs="宋体"/>
          <w:b/>
          <w:color w:val="auto"/>
          <w:sz w:val="24"/>
          <w:lang w:val="zh-CN"/>
        </w:rPr>
      </w:pPr>
      <w:r>
        <w:rPr>
          <w:rFonts w:hint="eastAsia" w:ascii="宋体" w:hAnsi="宋体" w:cs="宋体"/>
          <w:b/>
          <w:color w:val="auto"/>
          <w:sz w:val="24"/>
        </w:rPr>
        <w:t>1：</w:t>
      </w:r>
      <w:r>
        <w:rPr>
          <w:rFonts w:hint="eastAsia" w:ascii="宋体" w:hAnsi="宋体" w:cs="宋体"/>
          <w:b/>
          <w:color w:val="auto"/>
          <w:sz w:val="24"/>
          <w:lang w:val="zh-CN"/>
        </w:rPr>
        <w:t>资格性检查表</w:t>
      </w:r>
      <w:bookmarkEnd w:id="5"/>
      <w:bookmarkEnd w:id="6"/>
      <w:bookmarkEnd w:id="7"/>
    </w:p>
    <w:tbl>
      <w:tblPr>
        <w:tblStyle w:val="51"/>
        <w:tblW w:w="9816" w:type="dxa"/>
        <w:tblInd w:w="0" w:type="dxa"/>
        <w:tblLayout w:type="fixed"/>
        <w:tblCellMar>
          <w:top w:w="0" w:type="dxa"/>
          <w:left w:w="108" w:type="dxa"/>
          <w:bottom w:w="0" w:type="dxa"/>
          <w:right w:w="108" w:type="dxa"/>
        </w:tblCellMar>
      </w:tblPr>
      <w:tblGrid>
        <w:gridCol w:w="550"/>
        <w:gridCol w:w="6303"/>
        <w:gridCol w:w="592"/>
        <w:gridCol w:w="593"/>
        <w:gridCol w:w="592"/>
        <w:gridCol w:w="593"/>
        <w:gridCol w:w="593"/>
      </w:tblGrid>
      <w:tr w14:paraId="409E0297">
        <w:tblPrEx>
          <w:tblCellMar>
            <w:top w:w="0" w:type="dxa"/>
            <w:left w:w="108" w:type="dxa"/>
            <w:bottom w:w="0" w:type="dxa"/>
            <w:right w:w="108" w:type="dxa"/>
          </w:tblCellMar>
        </w:tblPrEx>
        <w:trPr>
          <w:cantSplit/>
          <w:trHeight w:val="412" w:hRule="atLeast"/>
        </w:trPr>
        <w:tc>
          <w:tcPr>
            <w:tcW w:w="550" w:type="dxa"/>
            <w:vMerge w:val="restart"/>
            <w:tcBorders>
              <w:top w:val="single" w:color="auto" w:sz="6" w:space="0"/>
              <w:left w:val="single" w:color="auto" w:sz="6" w:space="0"/>
              <w:bottom w:val="single" w:color="auto" w:sz="6" w:space="0"/>
              <w:right w:val="single" w:color="auto" w:sz="6" w:space="0"/>
            </w:tcBorders>
            <w:vAlign w:val="center"/>
          </w:tcPr>
          <w:p w14:paraId="2A63B879">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序</w:t>
            </w:r>
          </w:p>
          <w:p w14:paraId="315B2D90">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号</w:t>
            </w:r>
          </w:p>
        </w:tc>
        <w:tc>
          <w:tcPr>
            <w:tcW w:w="6303" w:type="dxa"/>
            <w:vMerge w:val="restart"/>
            <w:tcBorders>
              <w:top w:val="single" w:color="auto" w:sz="6" w:space="0"/>
              <w:left w:val="single" w:color="auto" w:sz="6" w:space="0"/>
              <w:bottom w:val="single" w:color="auto" w:sz="6" w:space="0"/>
              <w:right w:val="single" w:color="auto" w:sz="6" w:space="0"/>
            </w:tcBorders>
            <w:vAlign w:val="center"/>
          </w:tcPr>
          <w:p w14:paraId="59D03974">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资格检查内容</w:t>
            </w:r>
          </w:p>
        </w:tc>
        <w:tc>
          <w:tcPr>
            <w:tcW w:w="2963" w:type="dxa"/>
            <w:gridSpan w:val="5"/>
            <w:tcBorders>
              <w:top w:val="single" w:color="auto" w:sz="6" w:space="0"/>
              <w:left w:val="single" w:color="auto" w:sz="6" w:space="0"/>
              <w:bottom w:val="single" w:color="auto" w:sz="6" w:space="0"/>
              <w:right w:val="single" w:color="auto" w:sz="6" w:space="0"/>
            </w:tcBorders>
          </w:tcPr>
          <w:p w14:paraId="43737890">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供应商</w:t>
            </w:r>
          </w:p>
        </w:tc>
      </w:tr>
      <w:tr w14:paraId="135EF911">
        <w:tblPrEx>
          <w:tblCellMar>
            <w:top w:w="0" w:type="dxa"/>
            <w:left w:w="108" w:type="dxa"/>
            <w:bottom w:w="0" w:type="dxa"/>
            <w:right w:w="108" w:type="dxa"/>
          </w:tblCellMar>
        </w:tblPrEx>
        <w:trPr>
          <w:cantSplit/>
          <w:trHeight w:val="435" w:hRule="atLeast"/>
        </w:trPr>
        <w:tc>
          <w:tcPr>
            <w:tcW w:w="550" w:type="dxa"/>
            <w:vMerge w:val="continue"/>
            <w:tcBorders>
              <w:top w:val="single" w:color="auto" w:sz="6" w:space="0"/>
              <w:left w:val="single" w:color="auto" w:sz="6" w:space="0"/>
              <w:bottom w:val="single" w:color="auto" w:sz="6" w:space="0"/>
              <w:right w:val="single" w:color="auto" w:sz="6" w:space="0"/>
            </w:tcBorders>
            <w:vAlign w:val="center"/>
          </w:tcPr>
          <w:p w14:paraId="3F939EC5">
            <w:pPr>
              <w:widowControl/>
              <w:jc w:val="center"/>
              <w:rPr>
                <w:rFonts w:ascii="宋体" w:hAnsi="宋体" w:cs="宋体"/>
                <w:color w:val="auto"/>
                <w:sz w:val="24"/>
                <w:lang w:val="zh-CN"/>
              </w:rPr>
            </w:pPr>
          </w:p>
        </w:tc>
        <w:tc>
          <w:tcPr>
            <w:tcW w:w="6303" w:type="dxa"/>
            <w:vMerge w:val="continue"/>
            <w:tcBorders>
              <w:top w:val="single" w:color="auto" w:sz="6" w:space="0"/>
              <w:left w:val="single" w:color="auto" w:sz="6" w:space="0"/>
              <w:bottom w:val="single" w:color="auto" w:sz="6" w:space="0"/>
              <w:right w:val="single" w:color="auto" w:sz="6" w:space="0"/>
            </w:tcBorders>
            <w:vAlign w:val="center"/>
          </w:tcPr>
          <w:p w14:paraId="77F91AD8">
            <w:pPr>
              <w:widowControl/>
              <w:jc w:val="left"/>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09037CB8">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1</w:t>
            </w:r>
          </w:p>
        </w:tc>
        <w:tc>
          <w:tcPr>
            <w:tcW w:w="593" w:type="dxa"/>
            <w:tcBorders>
              <w:top w:val="single" w:color="auto" w:sz="6" w:space="0"/>
              <w:left w:val="single" w:color="auto" w:sz="6" w:space="0"/>
              <w:bottom w:val="single" w:color="auto" w:sz="6" w:space="0"/>
              <w:right w:val="single" w:color="auto" w:sz="6" w:space="0"/>
            </w:tcBorders>
          </w:tcPr>
          <w:p w14:paraId="1F8C730D">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2</w:t>
            </w:r>
          </w:p>
        </w:tc>
        <w:tc>
          <w:tcPr>
            <w:tcW w:w="592" w:type="dxa"/>
            <w:tcBorders>
              <w:top w:val="single" w:color="auto" w:sz="6" w:space="0"/>
              <w:left w:val="single" w:color="auto" w:sz="6" w:space="0"/>
              <w:bottom w:val="single" w:color="auto" w:sz="6" w:space="0"/>
              <w:right w:val="single" w:color="auto" w:sz="6" w:space="0"/>
            </w:tcBorders>
          </w:tcPr>
          <w:p w14:paraId="0EF1937B">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3</w:t>
            </w:r>
          </w:p>
        </w:tc>
        <w:tc>
          <w:tcPr>
            <w:tcW w:w="593" w:type="dxa"/>
            <w:tcBorders>
              <w:top w:val="single" w:color="auto" w:sz="6" w:space="0"/>
              <w:left w:val="single" w:color="auto" w:sz="6" w:space="0"/>
              <w:bottom w:val="single" w:color="auto" w:sz="6" w:space="0"/>
              <w:right w:val="single" w:color="auto" w:sz="6" w:space="0"/>
            </w:tcBorders>
          </w:tcPr>
          <w:p w14:paraId="4E306058">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4</w:t>
            </w:r>
          </w:p>
        </w:tc>
        <w:tc>
          <w:tcPr>
            <w:tcW w:w="593" w:type="dxa"/>
            <w:tcBorders>
              <w:top w:val="single" w:color="auto" w:sz="6" w:space="0"/>
              <w:left w:val="single" w:color="auto" w:sz="6" w:space="0"/>
              <w:bottom w:val="single" w:color="auto" w:sz="6" w:space="0"/>
              <w:right w:val="single" w:color="auto" w:sz="6" w:space="0"/>
            </w:tcBorders>
          </w:tcPr>
          <w:p w14:paraId="130D01DC">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5</w:t>
            </w:r>
          </w:p>
        </w:tc>
      </w:tr>
      <w:tr w14:paraId="24566E95">
        <w:tblPrEx>
          <w:tblCellMar>
            <w:top w:w="0" w:type="dxa"/>
            <w:left w:w="108" w:type="dxa"/>
            <w:bottom w:w="0" w:type="dxa"/>
            <w:right w:w="108" w:type="dxa"/>
          </w:tblCellMar>
        </w:tblPrEx>
        <w:trPr>
          <w:trHeight w:val="90" w:hRule="atLeast"/>
        </w:trPr>
        <w:tc>
          <w:tcPr>
            <w:tcW w:w="550" w:type="dxa"/>
            <w:tcBorders>
              <w:top w:val="single" w:color="auto" w:sz="6" w:space="0"/>
              <w:left w:val="single" w:color="auto" w:sz="6" w:space="0"/>
              <w:bottom w:val="single" w:color="auto" w:sz="6" w:space="0"/>
              <w:right w:val="single" w:color="auto" w:sz="6" w:space="0"/>
            </w:tcBorders>
            <w:vAlign w:val="center"/>
          </w:tcPr>
          <w:p w14:paraId="516F3CC5">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1</w:t>
            </w:r>
          </w:p>
        </w:tc>
        <w:tc>
          <w:tcPr>
            <w:tcW w:w="6303" w:type="dxa"/>
            <w:tcBorders>
              <w:top w:val="single" w:color="auto" w:sz="6" w:space="0"/>
              <w:left w:val="single" w:color="auto" w:sz="6" w:space="0"/>
              <w:bottom w:val="single" w:color="auto" w:sz="6" w:space="0"/>
              <w:right w:val="single" w:color="auto" w:sz="6" w:space="0"/>
            </w:tcBorders>
          </w:tcPr>
          <w:p w14:paraId="4F0A3867">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法人或者其他组织的营业执照等主体资格证明文件或自然人的身份证明</w:t>
            </w:r>
          </w:p>
        </w:tc>
        <w:tc>
          <w:tcPr>
            <w:tcW w:w="592" w:type="dxa"/>
            <w:tcBorders>
              <w:top w:val="single" w:color="auto" w:sz="6" w:space="0"/>
              <w:left w:val="single" w:color="auto" w:sz="6" w:space="0"/>
              <w:bottom w:val="single" w:color="auto" w:sz="6" w:space="0"/>
              <w:right w:val="single" w:color="auto" w:sz="6" w:space="0"/>
            </w:tcBorders>
          </w:tcPr>
          <w:p w14:paraId="1256B606">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46CB8089">
            <w:pPr>
              <w:autoSpaceDE w:val="0"/>
              <w:autoSpaceDN w:val="0"/>
              <w:adjustRightInd w:val="0"/>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553DD562">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0A1D1DF0">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3034F599">
            <w:pPr>
              <w:autoSpaceDE w:val="0"/>
              <w:autoSpaceDN w:val="0"/>
              <w:adjustRightInd w:val="0"/>
              <w:rPr>
                <w:rFonts w:ascii="宋体" w:hAnsi="宋体" w:cs="宋体"/>
                <w:color w:val="auto"/>
                <w:sz w:val="24"/>
                <w:lang w:val="zh-CN"/>
              </w:rPr>
            </w:pPr>
          </w:p>
        </w:tc>
      </w:tr>
      <w:tr w14:paraId="5671ED47">
        <w:tblPrEx>
          <w:tblCellMar>
            <w:top w:w="0" w:type="dxa"/>
            <w:left w:w="108" w:type="dxa"/>
            <w:bottom w:w="0" w:type="dxa"/>
            <w:right w:w="108" w:type="dxa"/>
          </w:tblCellMar>
        </w:tblPrEx>
        <w:trPr>
          <w:trHeight w:val="359" w:hRule="atLeast"/>
        </w:trPr>
        <w:tc>
          <w:tcPr>
            <w:tcW w:w="550" w:type="dxa"/>
            <w:tcBorders>
              <w:top w:val="single" w:color="auto" w:sz="6" w:space="0"/>
              <w:left w:val="single" w:color="auto" w:sz="6" w:space="0"/>
              <w:bottom w:val="single" w:color="auto" w:sz="6" w:space="0"/>
              <w:right w:val="single" w:color="auto" w:sz="6" w:space="0"/>
            </w:tcBorders>
            <w:vAlign w:val="center"/>
          </w:tcPr>
          <w:p w14:paraId="76C81F21">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2</w:t>
            </w:r>
          </w:p>
        </w:tc>
        <w:tc>
          <w:tcPr>
            <w:tcW w:w="6303" w:type="dxa"/>
            <w:tcBorders>
              <w:top w:val="single" w:color="auto" w:sz="6" w:space="0"/>
              <w:left w:val="single" w:color="auto" w:sz="6" w:space="0"/>
              <w:bottom w:val="single" w:color="auto" w:sz="6" w:space="0"/>
              <w:right w:val="single" w:color="auto" w:sz="6" w:space="0"/>
            </w:tcBorders>
          </w:tcPr>
          <w:p w14:paraId="49179CE0">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投标保证金</w:t>
            </w:r>
          </w:p>
        </w:tc>
        <w:tc>
          <w:tcPr>
            <w:tcW w:w="592" w:type="dxa"/>
            <w:tcBorders>
              <w:top w:val="single" w:color="auto" w:sz="6" w:space="0"/>
              <w:left w:val="single" w:color="auto" w:sz="6" w:space="0"/>
              <w:bottom w:val="single" w:color="auto" w:sz="6" w:space="0"/>
              <w:right w:val="single" w:color="auto" w:sz="6" w:space="0"/>
            </w:tcBorders>
          </w:tcPr>
          <w:p w14:paraId="523E91DB">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4DC35EC1">
            <w:pPr>
              <w:autoSpaceDE w:val="0"/>
              <w:autoSpaceDN w:val="0"/>
              <w:adjustRightInd w:val="0"/>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303EEE0F">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38FACB4D">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7F019807">
            <w:pPr>
              <w:autoSpaceDE w:val="0"/>
              <w:autoSpaceDN w:val="0"/>
              <w:adjustRightInd w:val="0"/>
              <w:rPr>
                <w:rFonts w:ascii="宋体" w:hAnsi="宋体" w:cs="宋体"/>
                <w:color w:val="auto"/>
                <w:sz w:val="24"/>
                <w:lang w:val="zh-CN"/>
              </w:rPr>
            </w:pPr>
          </w:p>
        </w:tc>
      </w:tr>
      <w:tr w14:paraId="7EA8F1B2">
        <w:tblPrEx>
          <w:tblCellMar>
            <w:top w:w="0" w:type="dxa"/>
            <w:left w:w="108" w:type="dxa"/>
            <w:bottom w:w="0" w:type="dxa"/>
            <w:right w:w="108" w:type="dxa"/>
          </w:tblCellMar>
        </w:tblPrEx>
        <w:trPr>
          <w:trHeight w:val="359" w:hRule="atLeast"/>
        </w:trPr>
        <w:tc>
          <w:tcPr>
            <w:tcW w:w="550" w:type="dxa"/>
            <w:tcBorders>
              <w:top w:val="single" w:color="auto" w:sz="6" w:space="0"/>
              <w:left w:val="single" w:color="auto" w:sz="6" w:space="0"/>
              <w:bottom w:val="single" w:color="auto" w:sz="6" w:space="0"/>
              <w:right w:val="single" w:color="auto" w:sz="6" w:space="0"/>
            </w:tcBorders>
            <w:vAlign w:val="center"/>
          </w:tcPr>
          <w:p w14:paraId="7C4008B9">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3</w:t>
            </w:r>
          </w:p>
        </w:tc>
        <w:tc>
          <w:tcPr>
            <w:tcW w:w="6303" w:type="dxa"/>
            <w:tcBorders>
              <w:top w:val="single" w:color="auto" w:sz="6" w:space="0"/>
              <w:left w:val="single" w:color="auto" w:sz="6" w:space="0"/>
              <w:bottom w:val="single" w:color="auto" w:sz="6" w:space="0"/>
              <w:right w:val="single" w:color="auto" w:sz="6" w:space="0"/>
            </w:tcBorders>
          </w:tcPr>
          <w:p w14:paraId="723FE3E4">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响应文件是否正确签署盖章</w:t>
            </w:r>
          </w:p>
        </w:tc>
        <w:tc>
          <w:tcPr>
            <w:tcW w:w="592" w:type="dxa"/>
            <w:tcBorders>
              <w:top w:val="single" w:color="auto" w:sz="6" w:space="0"/>
              <w:left w:val="single" w:color="auto" w:sz="6" w:space="0"/>
              <w:bottom w:val="single" w:color="auto" w:sz="6" w:space="0"/>
              <w:right w:val="single" w:color="auto" w:sz="6" w:space="0"/>
            </w:tcBorders>
          </w:tcPr>
          <w:p w14:paraId="037FE9F0">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1755539D">
            <w:pPr>
              <w:autoSpaceDE w:val="0"/>
              <w:autoSpaceDN w:val="0"/>
              <w:adjustRightInd w:val="0"/>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3745A517">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2F8DF192">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23C29D9B">
            <w:pPr>
              <w:autoSpaceDE w:val="0"/>
              <w:autoSpaceDN w:val="0"/>
              <w:adjustRightInd w:val="0"/>
              <w:rPr>
                <w:rFonts w:ascii="宋体" w:hAnsi="宋体" w:cs="宋体"/>
                <w:color w:val="auto"/>
                <w:sz w:val="24"/>
                <w:lang w:val="zh-CN"/>
              </w:rPr>
            </w:pPr>
          </w:p>
        </w:tc>
      </w:tr>
      <w:tr w14:paraId="5CE2A76A">
        <w:tblPrEx>
          <w:tblCellMar>
            <w:top w:w="0" w:type="dxa"/>
            <w:left w:w="108" w:type="dxa"/>
            <w:bottom w:w="0" w:type="dxa"/>
            <w:right w:w="108" w:type="dxa"/>
          </w:tblCellMar>
        </w:tblPrEx>
        <w:trPr>
          <w:trHeight w:val="359" w:hRule="atLeast"/>
        </w:trPr>
        <w:tc>
          <w:tcPr>
            <w:tcW w:w="550" w:type="dxa"/>
            <w:tcBorders>
              <w:top w:val="single" w:color="auto" w:sz="6" w:space="0"/>
              <w:left w:val="single" w:color="auto" w:sz="6" w:space="0"/>
              <w:bottom w:val="single" w:color="auto" w:sz="6" w:space="0"/>
              <w:right w:val="single" w:color="auto" w:sz="6" w:space="0"/>
            </w:tcBorders>
            <w:vAlign w:val="center"/>
          </w:tcPr>
          <w:p w14:paraId="3F159F4E">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4</w:t>
            </w:r>
          </w:p>
        </w:tc>
        <w:tc>
          <w:tcPr>
            <w:tcW w:w="6303" w:type="dxa"/>
            <w:tcBorders>
              <w:top w:val="single" w:color="auto" w:sz="6" w:space="0"/>
              <w:left w:val="single" w:color="auto" w:sz="6" w:space="0"/>
              <w:bottom w:val="single" w:color="auto" w:sz="6" w:space="0"/>
              <w:right w:val="single" w:color="auto" w:sz="6" w:space="0"/>
            </w:tcBorders>
          </w:tcPr>
          <w:p w14:paraId="119EADF2">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法定代表人授权委托证书</w:t>
            </w:r>
          </w:p>
        </w:tc>
        <w:tc>
          <w:tcPr>
            <w:tcW w:w="592" w:type="dxa"/>
            <w:tcBorders>
              <w:top w:val="single" w:color="auto" w:sz="6" w:space="0"/>
              <w:left w:val="single" w:color="auto" w:sz="6" w:space="0"/>
              <w:bottom w:val="single" w:color="auto" w:sz="6" w:space="0"/>
              <w:right w:val="single" w:color="auto" w:sz="6" w:space="0"/>
            </w:tcBorders>
          </w:tcPr>
          <w:p w14:paraId="2552D3A0">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2C0B41AE">
            <w:pPr>
              <w:autoSpaceDE w:val="0"/>
              <w:autoSpaceDN w:val="0"/>
              <w:adjustRightInd w:val="0"/>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6EDA2466">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6D36E064">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6D9B7F2F">
            <w:pPr>
              <w:autoSpaceDE w:val="0"/>
              <w:autoSpaceDN w:val="0"/>
              <w:adjustRightInd w:val="0"/>
              <w:rPr>
                <w:rFonts w:ascii="宋体" w:hAnsi="宋体" w:cs="宋体"/>
                <w:color w:val="auto"/>
                <w:sz w:val="24"/>
                <w:lang w:val="zh-CN"/>
              </w:rPr>
            </w:pPr>
          </w:p>
        </w:tc>
      </w:tr>
      <w:tr w14:paraId="0F661119">
        <w:tblPrEx>
          <w:tblCellMar>
            <w:top w:w="0" w:type="dxa"/>
            <w:left w:w="108" w:type="dxa"/>
            <w:bottom w:w="0" w:type="dxa"/>
            <w:right w:w="108" w:type="dxa"/>
          </w:tblCellMar>
        </w:tblPrEx>
        <w:trPr>
          <w:trHeight w:val="359" w:hRule="atLeast"/>
        </w:trPr>
        <w:tc>
          <w:tcPr>
            <w:tcW w:w="550" w:type="dxa"/>
            <w:tcBorders>
              <w:top w:val="single" w:color="auto" w:sz="6" w:space="0"/>
              <w:left w:val="single" w:color="auto" w:sz="6" w:space="0"/>
              <w:bottom w:val="single" w:color="auto" w:sz="6" w:space="0"/>
              <w:right w:val="single" w:color="auto" w:sz="6" w:space="0"/>
            </w:tcBorders>
            <w:vAlign w:val="center"/>
          </w:tcPr>
          <w:p w14:paraId="1ECCBD0D">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5</w:t>
            </w:r>
          </w:p>
        </w:tc>
        <w:tc>
          <w:tcPr>
            <w:tcW w:w="6303" w:type="dxa"/>
            <w:tcBorders>
              <w:top w:val="single" w:color="auto" w:sz="6" w:space="0"/>
              <w:left w:val="single" w:color="auto" w:sz="6" w:space="0"/>
              <w:bottom w:val="single" w:color="auto" w:sz="6" w:space="0"/>
              <w:right w:val="single" w:color="auto" w:sz="6" w:space="0"/>
            </w:tcBorders>
          </w:tcPr>
          <w:p w14:paraId="7CF74D44">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委托人和被委托人身份证复印件</w:t>
            </w:r>
          </w:p>
        </w:tc>
        <w:tc>
          <w:tcPr>
            <w:tcW w:w="592" w:type="dxa"/>
            <w:tcBorders>
              <w:top w:val="single" w:color="auto" w:sz="6" w:space="0"/>
              <w:left w:val="single" w:color="auto" w:sz="6" w:space="0"/>
              <w:bottom w:val="single" w:color="auto" w:sz="6" w:space="0"/>
              <w:right w:val="single" w:color="auto" w:sz="6" w:space="0"/>
            </w:tcBorders>
          </w:tcPr>
          <w:p w14:paraId="409AD154">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7B645085">
            <w:pPr>
              <w:autoSpaceDE w:val="0"/>
              <w:autoSpaceDN w:val="0"/>
              <w:adjustRightInd w:val="0"/>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6A65F6CF">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248E8660">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6C93D5F7">
            <w:pPr>
              <w:autoSpaceDE w:val="0"/>
              <w:autoSpaceDN w:val="0"/>
              <w:adjustRightInd w:val="0"/>
              <w:rPr>
                <w:rFonts w:ascii="宋体" w:hAnsi="宋体" w:cs="宋体"/>
                <w:color w:val="auto"/>
                <w:sz w:val="24"/>
                <w:lang w:val="zh-CN"/>
              </w:rPr>
            </w:pPr>
          </w:p>
        </w:tc>
      </w:tr>
      <w:tr w14:paraId="05D78E90">
        <w:tblPrEx>
          <w:tblCellMar>
            <w:top w:w="0" w:type="dxa"/>
            <w:left w:w="108" w:type="dxa"/>
            <w:bottom w:w="0" w:type="dxa"/>
            <w:right w:w="108" w:type="dxa"/>
          </w:tblCellMar>
        </w:tblPrEx>
        <w:trPr>
          <w:trHeight w:val="359" w:hRule="atLeast"/>
        </w:trPr>
        <w:tc>
          <w:tcPr>
            <w:tcW w:w="550" w:type="dxa"/>
            <w:tcBorders>
              <w:top w:val="single" w:color="auto" w:sz="6" w:space="0"/>
              <w:left w:val="single" w:color="auto" w:sz="6" w:space="0"/>
              <w:bottom w:val="single" w:color="auto" w:sz="6" w:space="0"/>
              <w:right w:val="single" w:color="auto" w:sz="6" w:space="0"/>
            </w:tcBorders>
            <w:vAlign w:val="center"/>
          </w:tcPr>
          <w:p w14:paraId="793164B1">
            <w:pPr>
              <w:autoSpaceDE w:val="0"/>
              <w:autoSpaceDN w:val="0"/>
              <w:adjustRightInd w:val="0"/>
              <w:jc w:val="center"/>
              <w:rPr>
                <w:rFonts w:ascii="宋体" w:hAnsi="宋体" w:cs="宋体"/>
                <w:color w:val="auto"/>
                <w:sz w:val="24"/>
                <w:lang w:val="zh-CN"/>
              </w:rPr>
            </w:pPr>
            <w:r>
              <w:rPr>
                <w:rFonts w:hint="eastAsia" w:ascii="宋体" w:hAnsi="宋体" w:cs="宋体"/>
                <w:color w:val="auto"/>
                <w:sz w:val="24"/>
                <w:lang w:val="zh-CN"/>
              </w:rPr>
              <w:t>6</w:t>
            </w:r>
          </w:p>
        </w:tc>
        <w:tc>
          <w:tcPr>
            <w:tcW w:w="6303" w:type="dxa"/>
            <w:tcBorders>
              <w:top w:val="single" w:color="auto" w:sz="6" w:space="0"/>
              <w:left w:val="single" w:color="auto" w:sz="6" w:space="0"/>
              <w:bottom w:val="single" w:color="auto" w:sz="6" w:space="0"/>
              <w:right w:val="single" w:color="auto" w:sz="6" w:space="0"/>
            </w:tcBorders>
          </w:tcPr>
          <w:p w14:paraId="691899DD">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湖南省政府采购供应商资格承诺函</w:t>
            </w:r>
          </w:p>
        </w:tc>
        <w:tc>
          <w:tcPr>
            <w:tcW w:w="592" w:type="dxa"/>
            <w:tcBorders>
              <w:top w:val="single" w:color="auto" w:sz="6" w:space="0"/>
              <w:left w:val="single" w:color="auto" w:sz="6" w:space="0"/>
              <w:bottom w:val="single" w:color="auto" w:sz="6" w:space="0"/>
              <w:right w:val="single" w:color="auto" w:sz="6" w:space="0"/>
            </w:tcBorders>
          </w:tcPr>
          <w:p w14:paraId="23F65743">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49E4695F">
            <w:pPr>
              <w:autoSpaceDE w:val="0"/>
              <w:autoSpaceDN w:val="0"/>
              <w:adjustRightInd w:val="0"/>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46A97D92">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3598C092">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244CDD41">
            <w:pPr>
              <w:autoSpaceDE w:val="0"/>
              <w:autoSpaceDN w:val="0"/>
              <w:adjustRightInd w:val="0"/>
              <w:rPr>
                <w:rFonts w:ascii="宋体" w:hAnsi="宋体" w:cs="宋体"/>
                <w:color w:val="auto"/>
                <w:sz w:val="24"/>
                <w:lang w:val="zh-CN"/>
              </w:rPr>
            </w:pPr>
          </w:p>
        </w:tc>
      </w:tr>
      <w:tr w14:paraId="7BF526CC">
        <w:tblPrEx>
          <w:tblCellMar>
            <w:top w:w="0" w:type="dxa"/>
            <w:left w:w="108" w:type="dxa"/>
            <w:bottom w:w="0" w:type="dxa"/>
            <w:right w:w="108" w:type="dxa"/>
          </w:tblCellMar>
        </w:tblPrEx>
        <w:trPr>
          <w:trHeight w:val="359" w:hRule="atLeast"/>
        </w:trPr>
        <w:tc>
          <w:tcPr>
            <w:tcW w:w="550" w:type="dxa"/>
            <w:tcBorders>
              <w:top w:val="single" w:color="auto" w:sz="6" w:space="0"/>
              <w:left w:val="single" w:color="auto" w:sz="6" w:space="0"/>
              <w:bottom w:val="single" w:color="auto" w:sz="6" w:space="0"/>
              <w:right w:val="single" w:color="auto" w:sz="6" w:space="0"/>
            </w:tcBorders>
            <w:vAlign w:val="center"/>
          </w:tcPr>
          <w:p w14:paraId="57802E35">
            <w:pPr>
              <w:autoSpaceDE w:val="0"/>
              <w:autoSpaceDN w:val="0"/>
              <w:adjustRightInd w:val="0"/>
              <w:jc w:val="center"/>
              <w:rPr>
                <w:rFonts w:ascii="宋体" w:hAnsi="宋体" w:cs="宋体"/>
                <w:color w:val="auto"/>
                <w:sz w:val="24"/>
              </w:rPr>
            </w:pPr>
            <w:r>
              <w:rPr>
                <w:rFonts w:hint="eastAsia" w:ascii="宋体" w:hAnsi="宋体" w:cs="宋体"/>
                <w:color w:val="auto"/>
                <w:sz w:val="24"/>
              </w:rPr>
              <w:t>7</w:t>
            </w:r>
          </w:p>
        </w:tc>
        <w:tc>
          <w:tcPr>
            <w:tcW w:w="6303" w:type="dxa"/>
            <w:tcBorders>
              <w:top w:val="single" w:color="auto" w:sz="6" w:space="0"/>
              <w:left w:val="single" w:color="auto" w:sz="6" w:space="0"/>
              <w:bottom w:val="single" w:color="auto" w:sz="6" w:space="0"/>
              <w:right w:val="single" w:color="auto" w:sz="6" w:space="0"/>
            </w:tcBorders>
          </w:tcPr>
          <w:p w14:paraId="26847B79">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本项目特定资格条件要求的资质证件</w:t>
            </w:r>
          </w:p>
        </w:tc>
        <w:tc>
          <w:tcPr>
            <w:tcW w:w="592" w:type="dxa"/>
            <w:tcBorders>
              <w:top w:val="single" w:color="auto" w:sz="6" w:space="0"/>
              <w:left w:val="single" w:color="auto" w:sz="6" w:space="0"/>
              <w:bottom w:val="single" w:color="auto" w:sz="6" w:space="0"/>
              <w:right w:val="single" w:color="auto" w:sz="6" w:space="0"/>
            </w:tcBorders>
          </w:tcPr>
          <w:p w14:paraId="3202F55C">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750DB0E9">
            <w:pPr>
              <w:autoSpaceDE w:val="0"/>
              <w:autoSpaceDN w:val="0"/>
              <w:adjustRightInd w:val="0"/>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45EE27AC">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4FDFAAB6">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7F046F56">
            <w:pPr>
              <w:autoSpaceDE w:val="0"/>
              <w:autoSpaceDN w:val="0"/>
              <w:adjustRightInd w:val="0"/>
              <w:rPr>
                <w:rFonts w:ascii="宋体" w:hAnsi="宋体" w:cs="宋体"/>
                <w:color w:val="auto"/>
                <w:sz w:val="24"/>
                <w:lang w:val="zh-CN"/>
              </w:rPr>
            </w:pPr>
          </w:p>
        </w:tc>
      </w:tr>
      <w:tr w14:paraId="7FE2BE16">
        <w:tblPrEx>
          <w:tblCellMar>
            <w:top w:w="0" w:type="dxa"/>
            <w:left w:w="108" w:type="dxa"/>
            <w:bottom w:w="0" w:type="dxa"/>
            <w:right w:w="108" w:type="dxa"/>
          </w:tblCellMar>
        </w:tblPrEx>
        <w:trPr>
          <w:trHeight w:val="359" w:hRule="atLeast"/>
        </w:trPr>
        <w:tc>
          <w:tcPr>
            <w:tcW w:w="550" w:type="dxa"/>
            <w:tcBorders>
              <w:top w:val="single" w:color="auto" w:sz="6" w:space="0"/>
              <w:left w:val="single" w:color="auto" w:sz="6" w:space="0"/>
              <w:bottom w:val="single" w:color="auto" w:sz="6" w:space="0"/>
              <w:right w:val="single" w:color="auto" w:sz="6" w:space="0"/>
            </w:tcBorders>
            <w:vAlign w:val="center"/>
          </w:tcPr>
          <w:p w14:paraId="3949E798">
            <w:pPr>
              <w:autoSpaceDE w:val="0"/>
              <w:autoSpaceDN w:val="0"/>
              <w:adjustRightInd w:val="0"/>
              <w:jc w:val="center"/>
              <w:rPr>
                <w:rFonts w:ascii="宋体" w:hAnsi="宋体" w:cs="宋体"/>
                <w:color w:val="auto"/>
                <w:sz w:val="24"/>
              </w:rPr>
            </w:pPr>
            <w:r>
              <w:rPr>
                <w:rFonts w:hint="eastAsia" w:ascii="宋体" w:hAnsi="宋体" w:cs="宋体"/>
                <w:color w:val="auto"/>
                <w:sz w:val="24"/>
              </w:rPr>
              <w:t>8</w:t>
            </w:r>
          </w:p>
        </w:tc>
        <w:tc>
          <w:tcPr>
            <w:tcW w:w="6303" w:type="dxa"/>
            <w:tcBorders>
              <w:top w:val="single" w:color="auto" w:sz="6" w:space="0"/>
              <w:left w:val="single" w:color="auto" w:sz="6" w:space="0"/>
              <w:bottom w:val="single" w:color="auto" w:sz="6" w:space="0"/>
              <w:right w:val="single" w:color="auto" w:sz="6" w:space="0"/>
            </w:tcBorders>
          </w:tcPr>
          <w:p w14:paraId="388E1EB5">
            <w:pPr>
              <w:autoSpaceDE w:val="0"/>
              <w:autoSpaceDN w:val="0"/>
              <w:adjustRightInd w:val="0"/>
              <w:rPr>
                <w:rFonts w:ascii="宋体" w:hAnsi="宋体" w:cs="宋体"/>
                <w:color w:val="auto"/>
                <w:sz w:val="24"/>
                <w:lang w:val="zh-CN"/>
              </w:rPr>
            </w:pPr>
            <w:r>
              <w:rPr>
                <w:rFonts w:hint="eastAsia" w:ascii="宋体" w:hAnsi="宋体"/>
                <w:color w:val="auto"/>
                <w:sz w:val="24"/>
              </w:rPr>
              <w:t>符合法律、法规和磋商文件中规定的其他实质性要求</w:t>
            </w:r>
          </w:p>
        </w:tc>
        <w:tc>
          <w:tcPr>
            <w:tcW w:w="592" w:type="dxa"/>
            <w:tcBorders>
              <w:top w:val="single" w:color="auto" w:sz="6" w:space="0"/>
              <w:left w:val="single" w:color="auto" w:sz="6" w:space="0"/>
              <w:bottom w:val="single" w:color="auto" w:sz="6" w:space="0"/>
              <w:right w:val="single" w:color="auto" w:sz="6" w:space="0"/>
            </w:tcBorders>
          </w:tcPr>
          <w:p w14:paraId="2D51CEF2">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4F92B276">
            <w:pPr>
              <w:autoSpaceDE w:val="0"/>
              <w:autoSpaceDN w:val="0"/>
              <w:adjustRightInd w:val="0"/>
              <w:rPr>
                <w:rFonts w:ascii="宋体" w:hAnsi="宋体" w:cs="宋体"/>
                <w:color w:val="auto"/>
                <w:sz w:val="24"/>
                <w:lang w:val="zh-CN"/>
              </w:rPr>
            </w:pPr>
          </w:p>
        </w:tc>
        <w:tc>
          <w:tcPr>
            <w:tcW w:w="592" w:type="dxa"/>
            <w:tcBorders>
              <w:top w:val="single" w:color="auto" w:sz="6" w:space="0"/>
              <w:left w:val="single" w:color="auto" w:sz="6" w:space="0"/>
              <w:bottom w:val="single" w:color="auto" w:sz="6" w:space="0"/>
              <w:right w:val="single" w:color="auto" w:sz="6" w:space="0"/>
            </w:tcBorders>
          </w:tcPr>
          <w:p w14:paraId="0497682F">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32C7109A">
            <w:pPr>
              <w:autoSpaceDE w:val="0"/>
              <w:autoSpaceDN w:val="0"/>
              <w:adjustRightInd w:val="0"/>
              <w:rPr>
                <w:rFonts w:ascii="宋体" w:hAnsi="宋体" w:cs="宋体"/>
                <w:color w:val="auto"/>
                <w:sz w:val="24"/>
                <w:lang w:val="zh-CN"/>
              </w:rPr>
            </w:pPr>
          </w:p>
        </w:tc>
        <w:tc>
          <w:tcPr>
            <w:tcW w:w="593" w:type="dxa"/>
            <w:tcBorders>
              <w:top w:val="single" w:color="auto" w:sz="6" w:space="0"/>
              <w:left w:val="single" w:color="auto" w:sz="6" w:space="0"/>
              <w:bottom w:val="single" w:color="auto" w:sz="6" w:space="0"/>
              <w:right w:val="single" w:color="auto" w:sz="6" w:space="0"/>
            </w:tcBorders>
          </w:tcPr>
          <w:p w14:paraId="2E6455D4">
            <w:pPr>
              <w:autoSpaceDE w:val="0"/>
              <w:autoSpaceDN w:val="0"/>
              <w:adjustRightInd w:val="0"/>
              <w:rPr>
                <w:rFonts w:ascii="宋体" w:hAnsi="宋体" w:cs="宋体"/>
                <w:color w:val="auto"/>
                <w:sz w:val="24"/>
                <w:lang w:val="zh-CN"/>
              </w:rPr>
            </w:pPr>
          </w:p>
        </w:tc>
      </w:tr>
      <w:tr w14:paraId="5E30BCA8">
        <w:tblPrEx>
          <w:tblCellMar>
            <w:top w:w="0" w:type="dxa"/>
            <w:left w:w="108" w:type="dxa"/>
            <w:bottom w:w="0" w:type="dxa"/>
            <w:right w:w="108" w:type="dxa"/>
          </w:tblCellMar>
        </w:tblPrEx>
        <w:trPr>
          <w:trHeight w:val="359" w:hRule="atLeast"/>
        </w:trPr>
        <w:tc>
          <w:tcPr>
            <w:tcW w:w="550" w:type="dxa"/>
            <w:tcBorders>
              <w:top w:val="single" w:color="auto" w:sz="4" w:space="0"/>
              <w:left w:val="single" w:color="auto" w:sz="6" w:space="0"/>
              <w:bottom w:val="single" w:color="auto" w:sz="6" w:space="0"/>
              <w:right w:val="single" w:color="auto" w:sz="6" w:space="0"/>
            </w:tcBorders>
            <w:vAlign w:val="center"/>
          </w:tcPr>
          <w:p w14:paraId="6A38F456">
            <w:pPr>
              <w:autoSpaceDE w:val="0"/>
              <w:autoSpaceDN w:val="0"/>
              <w:adjustRightInd w:val="0"/>
              <w:jc w:val="center"/>
              <w:rPr>
                <w:rFonts w:ascii="宋体" w:hAnsi="宋体" w:cs="宋体"/>
                <w:color w:val="auto"/>
                <w:sz w:val="24"/>
              </w:rPr>
            </w:pPr>
            <w:r>
              <w:rPr>
                <w:rFonts w:hint="eastAsia" w:ascii="宋体" w:hAnsi="宋体" w:cs="宋体"/>
                <w:color w:val="auto"/>
                <w:sz w:val="24"/>
              </w:rPr>
              <w:t>9</w:t>
            </w:r>
          </w:p>
        </w:tc>
        <w:tc>
          <w:tcPr>
            <w:tcW w:w="6303" w:type="dxa"/>
            <w:tcBorders>
              <w:top w:val="single" w:color="auto" w:sz="4" w:space="0"/>
              <w:left w:val="single" w:color="auto" w:sz="6" w:space="0"/>
              <w:bottom w:val="single" w:color="auto" w:sz="6" w:space="0"/>
              <w:right w:val="single" w:color="auto" w:sz="6" w:space="0"/>
            </w:tcBorders>
          </w:tcPr>
          <w:p w14:paraId="7606E262">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结论</w:t>
            </w:r>
          </w:p>
        </w:tc>
        <w:tc>
          <w:tcPr>
            <w:tcW w:w="592" w:type="dxa"/>
            <w:tcBorders>
              <w:top w:val="single" w:color="auto" w:sz="4" w:space="0"/>
              <w:left w:val="single" w:color="auto" w:sz="6" w:space="0"/>
              <w:bottom w:val="single" w:color="auto" w:sz="6" w:space="0"/>
              <w:right w:val="single" w:color="auto" w:sz="6" w:space="0"/>
            </w:tcBorders>
          </w:tcPr>
          <w:p w14:paraId="3D49001A">
            <w:pPr>
              <w:autoSpaceDE w:val="0"/>
              <w:autoSpaceDN w:val="0"/>
              <w:adjustRightInd w:val="0"/>
              <w:rPr>
                <w:rFonts w:ascii="宋体" w:hAnsi="宋体" w:cs="宋体"/>
                <w:color w:val="auto"/>
                <w:sz w:val="24"/>
                <w:lang w:val="zh-CN"/>
              </w:rPr>
            </w:pPr>
          </w:p>
        </w:tc>
        <w:tc>
          <w:tcPr>
            <w:tcW w:w="593" w:type="dxa"/>
            <w:tcBorders>
              <w:top w:val="single" w:color="auto" w:sz="4" w:space="0"/>
              <w:left w:val="single" w:color="auto" w:sz="6" w:space="0"/>
              <w:bottom w:val="single" w:color="auto" w:sz="6" w:space="0"/>
              <w:right w:val="single" w:color="auto" w:sz="6" w:space="0"/>
            </w:tcBorders>
          </w:tcPr>
          <w:p w14:paraId="293E6309">
            <w:pPr>
              <w:autoSpaceDE w:val="0"/>
              <w:autoSpaceDN w:val="0"/>
              <w:adjustRightInd w:val="0"/>
              <w:rPr>
                <w:rFonts w:ascii="宋体" w:hAnsi="宋体" w:cs="宋体"/>
                <w:color w:val="auto"/>
                <w:sz w:val="24"/>
                <w:lang w:val="zh-CN"/>
              </w:rPr>
            </w:pPr>
          </w:p>
        </w:tc>
        <w:tc>
          <w:tcPr>
            <w:tcW w:w="592" w:type="dxa"/>
            <w:tcBorders>
              <w:top w:val="single" w:color="auto" w:sz="4" w:space="0"/>
              <w:left w:val="single" w:color="auto" w:sz="6" w:space="0"/>
              <w:bottom w:val="single" w:color="auto" w:sz="6" w:space="0"/>
              <w:right w:val="single" w:color="auto" w:sz="6" w:space="0"/>
            </w:tcBorders>
          </w:tcPr>
          <w:p w14:paraId="78487AE1">
            <w:pPr>
              <w:autoSpaceDE w:val="0"/>
              <w:autoSpaceDN w:val="0"/>
              <w:adjustRightInd w:val="0"/>
              <w:rPr>
                <w:rFonts w:ascii="宋体" w:hAnsi="宋体" w:cs="宋体"/>
                <w:color w:val="auto"/>
                <w:sz w:val="24"/>
                <w:lang w:val="zh-CN"/>
              </w:rPr>
            </w:pPr>
          </w:p>
        </w:tc>
        <w:tc>
          <w:tcPr>
            <w:tcW w:w="593" w:type="dxa"/>
            <w:tcBorders>
              <w:top w:val="single" w:color="auto" w:sz="4" w:space="0"/>
              <w:left w:val="single" w:color="auto" w:sz="6" w:space="0"/>
              <w:bottom w:val="single" w:color="auto" w:sz="6" w:space="0"/>
              <w:right w:val="single" w:color="auto" w:sz="6" w:space="0"/>
            </w:tcBorders>
          </w:tcPr>
          <w:p w14:paraId="2A93F442">
            <w:pPr>
              <w:autoSpaceDE w:val="0"/>
              <w:autoSpaceDN w:val="0"/>
              <w:adjustRightInd w:val="0"/>
              <w:rPr>
                <w:rFonts w:ascii="宋体" w:hAnsi="宋体" w:cs="宋体"/>
                <w:color w:val="auto"/>
                <w:sz w:val="24"/>
                <w:lang w:val="zh-CN"/>
              </w:rPr>
            </w:pPr>
          </w:p>
        </w:tc>
        <w:tc>
          <w:tcPr>
            <w:tcW w:w="593" w:type="dxa"/>
            <w:tcBorders>
              <w:top w:val="single" w:color="auto" w:sz="4" w:space="0"/>
              <w:left w:val="single" w:color="auto" w:sz="6" w:space="0"/>
              <w:bottom w:val="single" w:color="auto" w:sz="6" w:space="0"/>
              <w:right w:val="single" w:color="auto" w:sz="6" w:space="0"/>
            </w:tcBorders>
          </w:tcPr>
          <w:p w14:paraId="3B7A0200">
            <w:pPr>
              <w:autoSpaceDE w:val="0"/>
              <w:autoSpaceDN w:val="0"/>
              <w:adjustRightInd w:val="0"/>
              <w:rPr>
                <w:rFonts w:ascii="宋体" w:hAnsi="宋体" w:cs="宋体"/>
                <w:color w:val="auto"/>
                <w:sz w:val="24"/>
                <w:lang w:val="zh-CN"/>
              </w:rPr>
            </w:pPr>
          </w:p>
        </w:tc>
      </w:tr>
      <w:tr w14:paraId="09F5AE23">
        <w:tblPrEx>
          <w:tblCellMar>
            <w:top w:w="0" w:type="dxa"/>
            <w:left w:w="108" w:type="dxa"/>
            <w:bottom w:w="0" w:type="dxa"/>
            <w:right w:w="108" w:type="dxa"/>
          </w:tblCellMar>
        </w:tblPrEx>
        <w:trPr>
          <w:trHeight w:val="812" w:hRule="atLeast"/>
        </w:trPr>
        <w:tc>
          <w:tcPr>
            <w:tcW w:w="9816" w:type="dxa"/>
            <w:gridSpan w:val="7"/>
            <w:tcBorders>
              <w:top w:val="single" w:color="auto" w:sz="6" w:space="0"/>
              <w:left w:val="single" w:color="auto" w:sz="6" w:space="0"/>
              <w:bottom w:val="single" w:color="auto" w:sz="6" w:space="0"/>
              <w:right w:val="single" w:color="auto" w:sz="6" w:space="0"/>
            </w:tcBorders>
          </w:tcPr>
          <w:p w14:paraId="3A256D5A">
            <w:pPr>
              <w:autoSpaceDE w:val="0"/>
              <w:autoSpaceDN w:val="0"/>
              <w:adjustRightInd w:val="0"/>
              <w:rPr>
                <w:rFonts w:ascii="宋体" w:hAnsi="宋体" w:cs="宋体"/>
                <w:color w:val="auto"/>
                <w:sz w:val="24"/>
                <w:lang w:val="zh-CN"/>
              </w:rPr>
            </w:pPr>
            <w:r>
              <w:rPr>
                <w:rFonts w:hint="eastAsia" w:ascii="宋体" w:hAnsi="宋体" w:cs="宋体"/>
                <w:color w:val="auto"/>
                <w:sz w:val="24"/>
                <w:lang w:val="zh-CN"/>
              </w:rPr>
              <w:t>评委签名：</w:t>
            </w:r>
          </w:p>
          <w:p w14:paraId="4380A011">
            <w:pPr>
              <w:autoSpaceDE w:val="0"/>
              <w:autoSpaceDN w:val="0"/>
              <w:adjustRightInd w:val="0"/>
              <w:ind w:firstLine="7440" w:firstLineChars="3100"/>
              <w:rPr>
                <w:rFonts w:ascii="宋体" w:hAnsi="宋体" w:cs="宋体"/>
                <w:color w:val="auto"/>
                <w:sz w:val="24"/>
                <w:lang w:val="zh-CN"/>
              </w:rPr>
            </w:pPr>
          </w:p>
          <w:p w14:paraId="2DE149C5">
            <w:pPr>
              <w:autoSpaceDE w:val="0"/>
              <w:autoSpaceDN w:val="0"/>
              <w:adjustRightInd w:val="0"/>
              <w:ind w:firstLine="7440" w:firstLineChars="3100"/>
              <w:rPr>
                <w:rFonts w:ascii="宋体" w:hAnsi="宋体" w:cs="宋体"/>
                <w:color w:val="auto"/>
                <w:sz w:val="24"/>
                <w:lang w:val="zh-CN"/>
              </w:rPr>
            </w:pPr>
          </w:p>
          <w:p w14:paraId="20790BEB">
            <w:pPr>
              <w:autoSpaceDE w:val="0"/>
              <w:autoSpaceDN w:val="0"/>
              <w:adjustRightInd w:val="0"/>
              <w:ind w:firstLine="7440" w:firstLineChars="3100"/>
              <w:rPr>
                <w:rFonts w:ascii="宋体" w:hAnsi="宋体" w:cs="宋体"/>
                <w:color w:val="auto"/>
                <w:sz w:val="24"/>
                <w:lang w:val="zh-CN"/>
              </w:rPr>
            </w:pPr>
          </w:p>
          <w:p w14:paraId="4EDEB281">
            <w:pPr>
              <w:autoSpaceDE w:val="0"/>
              <w:autoSpaceDN w:val="0"/>
              <w:adjustRightInd w:val="0"/>
              <w:ind w:firstLine="7440" w:firstLineChars="3100"/>
              <w:rPr>
                <w:rFonts w:ascii="宋体" w:hAnsi="宋体" w:cs="宋体"/>
                <w:color w:val="auto"/>
                <w:sz w:val="24"/>
                <w:lang w:val="zh-CN"/>
              </w:rPr>
            </w:pPr>
            <w:r>
              <w:rPr>
                <w:rFonts w:hint="eastAsia" w:ascii="宋体" w:hAnsi="宋体" w:cs="宋体"/>
                <w:color w:val="auto"/>
                <w:sz w:val="24"/>
                <w:lang w:val="zh-CN"/>
              </w:rPr>
              <w:t>年   月   日</w:t>
            </w:r>
          </w:p>
        </w:tc>
      </w:tr>
    </w:tbl>
    <w:p w14:paraId="4A9CC785">
      <w:pPr>
        <w:pStyle w:val="39"/>
        <w:spacing w:line="360" w:lineRule="auto"/>
        <w:ind w:left="0" w:firstLine="0" w:firstLineChars="0"/>
        <w:rPr>
          <w:rFonts w:ascii="宋体" w:hAnsi="宋体"/>
          <w:color w:val="auto"/>
          <w:sz w:val="24"/>
        </w:rPr>
      </w:pPr>
      <w:r>
        <w:rPr>
          <w:rFonts w:hint="eastAsia" w:ascii="宋体" w:hAnsi="宋体"/>
          <w:color w:val="auto"/>
          <w:sz w:val="24"/>
        </w:rPr>
        <w:t>响应文件有下列情况之一的，应当在资格性检查时按照无效投标处理：</w:t>
      </w:r>
    </w:p>
    <w:p w14:paraId="183DBE5B">
      <w:pPr>
        <w:pStyle w:val="39"/>
        <w:spacing w:line="360" w:lineRule="auto"/>
        <w:ind w:left="0" w:firstLine="0" w:firstLineChars="0"/>
        <w:rPr>
          <w:rFonts w:ascii="宋体" w:hAnsi="宋体"/>
          <w:color w:val="auto"/>
          <w:sz w:val="24"/>
        </w:rPr>
      </w:pPr>
      <w:r>
        <w:rPr>
          <w:rFonts w:hint="eastAsia" w:ascii="宋体" w:hAnsi="宋体"/>
          <w:color w:val="auto"/>
          <w:sz w:val="24"/>
        </w:rPr>
        <w:t xml:space="preserve">1、应交未交投标保证金的； </w:t>
      </w:r>
    </w:p>
    <w:p w14:paraId="604B7D6A">
      <w:pPr>
        <w:pStyle w:val="39"/>
        <w:spacing w:line="360" w:lineRule="auto"/>
        <w:ind w:left="0" w:firstLine="0" w:firstLineChars="0"/>
        <w:rPr>
          <w:rFonts w:ascii="宋体" w:hAnsi="宋体"/>
          <w:color w:val="auto"/>
          <w:sz w:val="24"/>
        </w:rPr>
      </w:pPr>
      <w:r>
        <w:rPr>
          <w:rFonts w:hint="eastAsia" w:ascii="宋体" w:hAnsi="宋体"/>
          <w:color w:val="auto"/>
          <w:sz w:val="24"/>
        </w:rPr>
        <w:t xml:space="preserve">2、未按照参磋商文件规定要求密封、签署、盖章的； </w:t>
      </w:r>
    </w:p>
    <w:p w14:paraId="1265519D">
      <w:pPr>
        <w:pStyle w:val="39"/>
        <w:spacing w:line="360" w:lineRule="auto"/>
        <w:ind w:left="0" w:firstLine="0" w:firstLineChars="0"/>
        <w:rPr>
          <w:rFonts w:ascii="宋体" w:hAnsi="宋体"/>
          <w:color w:val="auto"/>
          <w:sz w:val="24"/>
        </w:rPr>
      </w:pPr>
      <w:r>
        <w:rPr>
          <w:rFonts w:hint="eastAsia" w:ascii="宋体" w:hAnsi="宋体"/>
          <w:color w:val="auto"/>
          <w:sz w:val="24"/>
        </w:rPr>
        <w:t xml:space="preserve">3、不具备磋商文件中规定资格要求的。 </w:t>
      </w:r>
    </w:p>
    <w:p w14:paraId="6D6B59CD">
      <w:pPr>
        <w:pStyle w:val="39"/>
        <w:spacing w:line="360" w:lineRule="auto"/>
        <w:ind w:left="0" w:firstLine="0" w:firstLineChars="0"/>
        <w:rPr>
          <w:rFonts w:ascii="宋体" w:hAnsi="宋体"/>
          <w:b/>
          <w:bCs/>
          <w:color w:val="auto"/>
          <w:sz w:val="24"/>
        </w:rPr>
      </w:pPr>
      <w:r>
        <w:rPr>
          <w:rFonts w:hint="eastAsia" w:ascii="宋体" w:hAnsi="宋体"/>
          <w:color w:val="auto"/>
          <w:sz w:val="24"/>
        </w:rPr>
        <w:t>4、不符合法律、法规和磋商文件中规定的其他实质性要求的。</w:t>
      </w:r>
    </w:p>
    <w:p w14:paraId="549330C2">
      <w:pPr>
        <w:pStyle w:val="23"/>
        <w:spacing w:line="360" w:lineRule="auto"/>
        <w:ind w:left="146" w:leftChars="23" w:hanging="98" w:hangingChars="41"/>
        <w:rPr>
          <w:color w:val="auto"/>
          <w:sz w:val="24"/>
        </w:rPr>
      </w:pPr>
      <w:r>
        <w:rPr>
          <w:rFonts w:hint="eastAsia"/>
          <w:color w:val="auto"/>
          <w:sz w:val="24"/>
        </w:rPr>
        <w:t>结论填写“合格”或“不合格”，不合格供应商不进入下一轮评审。</w:t>
      </w:r>
    </w:p>
    <w:p w14:paraId="500120DB">
      <w:pPr>
        <w:pStyle w:val="23"/>
        <w:spacing w:line="360" w:lineRule="auto"/>
        <w:ind w:left="146" w:leftChars="23" w:hanging="98" w:hangingChars="41"/>
        <w:rPr>
          <w:color w:val="auto"/>
          <w:sz w:val="24"/>
        </w:rPr>
      </w:pPr>
    </w:p>
    <w:p w14:paraId="4DA66F57">
      <w:pPr>
        <w:pStyle w:val="23"/>
        <w:spacing w:line="360" w:lineRule="auto"/>
        <w:ind w:left="146" w:leftChars="23" w:hanging="98" w:hangingChars="41"/>
        <w:rPr>
          <w:color w:val="auto"/>
          <w:sz w:val="24"/>
        </w:rPr>
      </w:pPr>
    </w:p>
    <w:p w14:paraId="460773E1">
      <w:pPr>
        <w:pStyle w:val="23"/>
        <w:spacing w:line="360" w:lineRule="auto"/>
        <w:ind w:left="146" w:leftChars="23" w:hanging="98" w:hangingChars="41"/>
        <w:rPr>
          <w:color w:val="auto"/>
          <w:sz w:val="24"/>
        </w:rPr>
      </w:pPr>
    </w:p>
    <w:p w14:paraId="6DED3FB8">
      <w:pPr>
        <w:pStyle w:val="23"/>
        <w:spacing w:line="360" w:lineRule="auto"/>
        <w:ind w:left="146" w:leftChars="23" w:hanging="98" w:hangingChars="41"/>
        <w:rPr>
          <w:color w:val="auto"/>
          <w:sz w:val="24"/>
        </w:rPr>
      </w:pPr>
    </w:p>
    <w:p w14:paraId="39DEF506">
      <w:pPr>
        <w:widowControl/>
        <w:spacing w:beforeAutospacing="1" w:afterAutospacing="1" w:line="360" w:lineRule="auto"/>
        <w:jc w:val="left"/>
        <w:rPr>
          <w:rFonts w:ascii="宋体" w:hAnsi="宋体"/>
          <w:b/>
          <w:color w:val="auto"/>
          <w:szCs w:val="21"/>
        </w:rPr>
        <w:sectPr>
          <w:footerReference r:id="rId5" w:type="first"/>
          <w:footerReference r:id="rId4" w:type="default"/>
          <w:pgSz w:w="11906" w:h="16838"/>
          <w:pgMar w:top="1474" w:right="1531" w:bottom="1474" w:left="1531"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tbl>
      <w:tblPr>
        <w:tblStyle w:val="51"/>
        <w:tblpPr w:leftFromText="180" w:rightFromText="180" w:vertAnchor="page" w:horzAnchor="margin" w:tblpY="2099"/>
        <w:tblW w:w="93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620"/>
        <w:gridCol w:w="3780"/>
        <w:gridCol w:w="549"/>
        <w:gridCol w:w="549"/>
        <w:gridCol w:w="550"/>
        <w:gridCol w:w="549"/>
        <w:gridCol w:w="549"/>
        <w:gridCol w:w="550"/>
      </w:tblGrid>
      <w:tr w14:paraId="5532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trPr>
        <w:tc>
          <w:tcPr>
            <w:tcW w:w="648" w:type="dxa"/>
            <w:vMerge w:val="restart"/>
            <w:tcBorders>
              <w:top w:val="single" w:color="auto" w:sz="4" w:space="0"/>
              <w:left w:val="single" w:color="auto" w:sz="4" w:space="0"/>
              <w:bottom w:val="single" w:color="auto" w:sz="4" w:space="0"/>
              <w:right w:val="single" w:color="auto" w:sz="4" w:space="0"/>
            </w:tcBorders>
            <w:vAlign w:val="center"/>
          </w:tcPr>
          <w:p w14:paraId="74EDBA62">
            <w:pPr>
              <w:spacing w:line="500" w:lineRule="exact"/>
              <w:jc w:val="center"/>
              <w:rPr>
                <w:rFonts w:ascii="宋体" w:hAnsi="宋体"/>
                <w:color w:val="auto"/>
                <w:sz w:val="24"/>
              </w:rPr>
            </w:pPr>
            <w:r>
              <w:rPr>
                <w:rFonts w:hint="eastAsia" w:ascii="宋体" w:hAnsi="宋体"/>
                <w:color w:val="auto"/>
                <w:sz w:val="24"/>
              </w:rPr>
              <w:t>序号</w:t>
            </w:r>
          </w:p>
        </w:tc>
        <w:tc>
          <w:tcPr>
            <w:tcW w:w="5400" w:type="dxa"/>
            <w:gridSpan w:val="2"/>
            <w:vMerge w:val="restart"/>
            <w:tcBorders>
              <w:top w:val="single" w:color="auto" w:sz="4" w:space="0"/>
              <w:left w:val="single" w:color="auto" w:sz="4" w:space="0"/>
              <w:bottom w:val="single" w:color="auto" w:sz="4" w:space="0"/>
              <w:right w:val="single" w:color="auto" w:sz="4" w:space="0"/>
            </w:tcBorders>
            <w:vAlign w:val="center"/>
          </w:tcPr>
          <w:p w14:paraId="518E3AFA">
            <w:pPr>
              <w:spacing w:line="500" w:lineRule="exact"/>
              <w:jc w:val="center"/>
              <w:rPr>
                <w:rFonts w:ascii="宋体" w:hAnsi="宋体"/>
                <w:color w:val="auto"/>
                <w:sz w:val="24"/>
              </w:rPr>
            </w:pPr>
            <w:r>
              <w:rPr>
                <w:rFonts w:hint="eastAsia" w:ascii="宋体" w:hAnsi="宋体"/>
                <w:color w:val="auto"/>
                <w:sz w:val="24"/>
              </w:rPr>
              <w:t>检查内容</w:t>
            </w:r>
          </w:p>
        </w:tc>
        <w:tc>
          <w:tcPr>
            <w:tcW w:w="3296" w:type="dxa"/>
            <w:gridSpan w:val="6"/>
            <w:tcBorders>
              <w:top w:val="single" w:color="auto" w:sz="4" w:space="0"/>
              <w:left w:val="single" w:color="auto" w:sz="4" w:space="0"/>
              <w:bottom w:val="single" w:color="auto" w:sz="4" w:space="0"/>
              <w:right w:val="single" w:color="auto" w:sz="4" w:space="0"/>
            </w:tcBorders>
            <w:vAlign w:val="center"/>
          </w:tcPr>
          <w:p w14:paraId="4299F5E3">
            <w:pPr>
              <w:spacing w:line="500" w:lineRule="exact"/>
              <w:jc w:val="center"/>
              <w:rPr>
                <w:rFonts w:ascii="宋体" w:hAnsi="宋体"/>
                <w:color w:val="auto"/>
                <w:sz w:val="24"/>
              </w:rPr>
            </w:pPr>
            <w:r>
              <w:rPr>
                <w:rFonts w:hint="eastAsia" w:ascii="宋体" w:hAnsi="宋体"/>
                <w:color w:val="auto"/>
                <w:sz w:val="24"/>
              </w:rPr>
              <w:t>供应商</w:t>
            </w:r>
          </w:p>
        </w:tc>
      </w:tr>
      <w:tr w14:paraId="7DAD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4C1E7C93">
            <w:pPr>
              <w:widowControl/>
              <w:jc w:val="left"/>
              <w:rPr>
                <w:rFonts w:ascii="宋体" w:hAnsi="宋体"/>
                <w:color w:val="auto"/>
                <w:sz w:val="24"/>
              </w:rPr>
            </w:pPr>
          </w:p>
        </w:tc>
        <w:tc>
          <w:tcPr>
            <w:tcW w:w="5400" w:type="dxa"/>
            <w:gridSpan w:val="2"/>
            <w:vMerge w:val="continue"/>
            <w:tcBorders>
              <w:top w:val="single" w:color="auto" w:sz="4" w:space="0"/>
              <w:left w:val="single" w:color="auto" w:sz="4" w:space="0"/>
              <w:bottom w:val="single" w:color="auto" w:sz="4" w:space="0"/>
              <w:right w:val="single" w:color="auto" w:sz="4" w:space="0"/>
            </w:tcBorders>
            <w:vAlign w:val="center"/>
          </w:tcPr>
          <w:p w14:paraId="33C3ED25">
            <w:pPr>
              <w:widowControl/>
              <w:jc w:val="left"/>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64625EEA">
            <w:pPr>
              <w:spacing w:line="500" w:lineRule="exact"/>
              <w:jc w:val="center"/>
              <w:rPr>
                <w:rFonts w:ascii="宋体" w:hAnsi="宋体"/>
                <w:color w:val="auto"/>
                <w:sz w:val="24"/>
              </w:rPr>
            </w:pPr>
            <w:r>
              <w:rPr>
                <w:rFonts w:hint="eastAsia" w:ascii="宋体" w:hAnsi="宋体"/>
                <w:color w:val="auto"/>
                <w:sz w:val="24"/>
              </w:rPr>
              <w:t>1</w:t>
            </w:r>
          </w:p>
        </w:tc>
        <w:tc>
          <w:tcPr>
            <w:tcW w:w="549" w:type="dxa"/>
            <w:tcBorders>
              <w:top w:val="single" w:color="auto" w:sz="4" w:space="0"/>
              <w:left w:val="single" w:color="auto" w:sz="4" w:space="0"/>
              <w:bottom w:val="single" w:color="auto" w:sz="4" w:space="0"/>
              <w:right w:val="single" w:color="auto" w:sz="4" w:space="0"/>
            </w:tcBorders>
            <w:vAlign w:val="center"/>
          </w:tcPr>
          <w:p w14:paraId="4517F041">
            <w:pPr>
              <w:spacing w:line="500" w:lineRule="exact"/>
              <w:jc w:val="center"/>
              <w:rPr>
                <w:rFonts w:ascii="宋体" w:hAnsi="宋体"/>
                <w:color w:val="auto"/>
                <w:sz w:val="24"/>
              </w:rPr>
            </w:pPr>
            <w:r>
              <w:rPr>
                <w:rFonts w:hint="eastAsia" w:ascii="宋体" w:hAnsi="宋体"/>
                <w:color w:val="auto"/>
                <w:sz w:val="24"/>
              </w:rPr>
              <w:t>2</w:t>
            </w:r>
          </w:p>
        </w:tc>
        <w:tc>
          <w:tcPr>
            <w:tcW w:w="550" w:type="dxa"/>
            <w:tcBorders>
              <w:top w:val="single" w:color="auto" w:sz="4" w:space="0"/>
              <w:left w:val="single" w:color="auto" w:sz="4" w:space="0"/>
              <w:bottom w:val="single" w:color="auto" w:sz="4" w:space="0"/>
              <w:right w:val="single" w:color="auto" w:sz="4" w:space="0"/>
            </w:tcBorders>
            <w:vAlign w:val="center"/>
          </w:tcPr>
          <w:p w14:paraId="1DCCD0FF">
            <w:pPr>
              <w:spacing w:line="500" w:lineRule="exact"/>
              <w:jc w:val="center"/>
              <w:rPr>
                <w:rFonts w:ascii="宋体" w:hAnsi="宋体"/>
                <w:color w:val="auto"/>
                <w:sz w:val="24"/>
              </w:rPr>
            </w:pPr>
            <w:r>
              <w:rPr>
                <w:rFonts w:hint="eastAsia" w:ascii="宋体" w:hAnsi="宋体"/>
                <w:color w:val="auto"/>
                <w:sz w:val="24"/>
              </w:rPr>
              <w:t>3</w:t>
            </w:r>
          </w:p>
        </w:tc>
        <w:tc>
          <w:tcPr>
            <w:tcW w:w="549" w:type="dxa"/>
            <w:tcBorders>
              <w:top w:val="single" w:color="auto" w:sz="4" w:space="0"/>
              <w:left w:val="single" w:color="auto" w:sz="4" w:space="0"/>
              <w:bottom w:val="single" w:color="auto" w:sz="4" w:space="0"/>
              <w:right w:val="single" w:color="auto" w:sz="4" w:space="0"/>
            </w:tcBorders>
            <w:vAlign w:val="center"/>
          </w:tcPr>
          <w:p w14:paraId="0E3B2348">
            <w:pPr>
              <w:spacing w:line="500" w:lineRule="exact"/>
              <w:jc w:val="center"/>
              <w:rPr>
                <w:rFonts w:ascii="宋体" w:hAnsi="宋体"/>
                <w:color w:val="auto"/>
                <w:sz w:val="24"/>
              </w:rPr>
            </w:pPr>
            <w:r>
              <w:rPr>
                <w:rFonts w:hint="eastAsia" w:ascii="宋体" w:hAnsi="宋体"/>
                <w:color w:val="auto"/>
                <w:sz w:val="24"/>
              </w:rPr>
              <w:t>4</w:t>
            </w:r>
          </w:p>
        </w:tc>
        <w:tc>
          <w:tcPr>
            <w:tcW w:w="549" w:type="dxa"/>
            <w:tcBorders>
              <w:top w:val="single" w:color="auto" w:sz="4" w:space="0"/>
              <w:left w:val="single" w:color="auto" w:sz="4" w:space="0"/>
              <w:bottom w:val="single" w:color="auto" w:sz="4" w:space="0"/>
              <w:right w:val="single" w:color="auto" w:sz="4" w:space="0"/>
            </w:tcBorders>
            <w:vAlign w:val="center"/>
          </w:tcPr>
          <w:p w14:paraId="1D619CAF">
            <w:pPr>
              <w:spacing w:line="500" w:lineRule="exact"/>
              <w:jc w:val="center"/>
              <w:rPr>
                <w:rFonts w:ascii="宋体" w:hAnsi="宋体"/>
                <w:color w:val="auto"/>
                <w:sz w:val="24"/>
              </w:rPr>
            </w:pPr>
            <w:r>
              <w:rPr>
                <w:rFonts w:hint="eastAsia" w:ascii="宋体" w:hAnsi="宋体"/>
                <w:color w:val="auto"/>
                <w:sz w:val="24"/>
              </w:rPr>
              <w:t>5</w:t>
            </w:r>
          </w:p>
        </w:tc>
        <w:tc>
          <w:tcPr>
            <w:tcW w:w="550" w:type="dxa"/>
            <w:tcBorders>
              <w:top w:val="single" w:color="auto" w:sz="4" w:space="0"/>
              <w:left w:val="single" w:color="auto" w:sz="4" w:space="0"/>
              <w:bottom w:val="single" w:color="auto" w:sz="4" w:space="0"/>
              <w:right w:val="single" w:color="auto" w:sz="4" w:space="0"/>
            </w:tcBorders>
            <w:vAlign w:val="center"/>
          </w:tcPr>
          <w:p w14:paraId="20C49A16">
            <w:pPr>
              <w:spacing w:line="500" w:lineRule="exact"/>
              <w:jc w:val="center"/>
              <w:rPr>
                <w:rFonts w:ascii="宋体" w:hAnsi="宋体"/>
                <w:color w:val="auto"/>
                <w:sz w:val="24"/>
              </w:rPr>
            </w:pPr>
            <w:r>
              <w:rPr>
                <w:rFonts w:hint="eastAsia" w:ascii="宋体" w:hAnsi="宋体"/>
                <w:color w:val="auto"/>
                <w:sz w:val="24"/>
              </w:rPr>
              <w:t>6</w:t>
            </w:r>
          </w:p>
        </w:tc>
      </w:tr>
      <w:tr w14:paraId="5F2C4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648" w:type="dxa"/>
            <w:vMerge w:val="restart"/>
            <w:tcBorders>
              <w:top w:val="single" w:color="auto" w:sz="4" w:space="0"/>
              <w:left w:val="single" w:color="auto" w:sz="4" w:space="0"/>
              <w:bottom w:val="single" w:color="auto" w:sz="4" w:space="0"/>
              <w:right w:val="single" w:color="auto" w:sz="4" w:space="0"/>
            </w:tcBorders>
            <w:vAlign w:val="center"/>
          </w:tcPr>
          <w:p w14:paraId="7ED02ED5">
            <w:pPr>
              <w:spacing w:line="500" w:lineRule="exact"/>
              <w:jc w:val="center"/>
              <w:rPr>
                <w:rFonts w:ascii="宋体" w:hAnsi="宋体"/>
                <w:color w:val="auto"/>
                <w:sz w:val="24"/>
              </w:rPr>
            </w:pPr>
            <w:r>
              <w:rPr>
                <w:rFonts w:hint="eastAsia" w:ascii="宋体" w:hAnsi="宋体"/>
                <w:color w:val="auto"/>
                <w:sz w:val="24"/>
              </w:rPr>
              <w:t>1</w:t>
            </w:r>
          </w:p>
        </w:tc>
        <w:tc>
          <w:tcPr>
            <w:tcW w:w="1620" w:type="dxa"/>
            <w:vMerge w:val="restart"/>
            <w:tcBorders>
              <w:top w:val="single" w:color="auto" w:sz="4" w:space="0"/>
              <w:left w:val="single" w:color="auto" w:sz="4" w:space="0"/>
              <w:bottom w:val="single" w:color="auto" w:sz="4" w:space="0"/>
              <w:right w:val="single" w:color="auto" w:sz="4" w:space="0"/>
            </w:tcBorders>
            <w:vAlign w:val="center"/>
          </w:tcPr>
          <w:p w14:paraId="14FAD420">
            <w:pPr>
              <w:spacing w:line="500" w:lineRule="exact"/>
              <w:jc w:val="center"/>
              <w:rPr>
                <w:rFonts w:ascii="宋体" w:hAnsi="宋体"/>
                <w:color w:val="auto"/>
                <w:sz w:val="24"/>
              </w:rPr>
            </w:pPr>
            <w:r>
              <w:rPr>
                <w:rFonts w:hint="eastAsia" w:ascii="宋体" w:hAnsi="宋体"/>
                <w:color w:val="auto"/>
                <w:sz w:val="24"/>
              </w:rPr>
              <w:t>完整性</w:t>
            </w:r>
          </w:p>
        </w:tc>
        <w:tc>
          <w:tcPr>
            <w:tcW w:w="3780" w:type="dxa"/>
            <w:tcBorders>
              <w:top w:val="single" w:color="auto" w:sz="4" w:space="0"/>
              <w:left w:val="single" w:color="auto" w:sz="4" w:space="0"/>
              <w:bottom w:val="single" w:color="auto" w:sz="4" w:space="0"/>
              <w:right w:val="single" w:color="auto" w:sz="4" w:space="0"/>
            </w:tcBorders>
            <w:vAlign w:val="center"/>
          </w:tcPr>
          <w:p w14:paraId="0F89793E">
            <w:pPr>
              <w:spacing w:line="500" w:lineRule="exact"/>
              <w:jc w:val="center"/>
              <w:rPr>
                <w:rFonts w:ascii="宋体" w:hAnsi="宋体"/>
                <w:color w:val="auto"/>
                <w:sz w:val="24"/>
              </w:rPr>
            </w:pPr>
            <w:r>
              <w:rPr>
                <w:rFonts w:hint="eastAsia" w:ascii="宋体" w:hAnsi="宋体"/>
                <w:color w:val="auto"/>
                <w:sz w:val="24"/>
              </w:rPr>
              <w:t>响应文件的组成</w:t>
            </w:r>
          </w:p>
        </w:tc>
        <w:tc>
          <w:tcPr>
            <w:tcW w:w="549" w:type="dxa"/>
            <w:tcBorders>
              <w:top w:val="single" w:color="auto" w:sz="4" w:space="0"/>
              <w:left w:val="single" w:color="auto" w:sz="4" w:space="0"/>
              <w:bottom w:val="single" w:color="auto" w:sz="4" w:space="0"/>
              <w:right w:val="single" w:color="auto" w:sz="4" w:space="0"/>
            </w:tcBorders>
            <w:vAlign w:val="center"/>
          </w:tcPr>
          <w:p w14:paraId="2357FBCD">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3D8DB325">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0398B9DE">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62B0B362">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4877F649">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42FC69CC">
            <w:pPr>
              <w:spacing w:line="500" w:lineRule="exact"/>
              <w:jc w:val="center"/>
              <w:rPr>
                <w:rFonts w:ascii="宋体" w:hAnsi="宋体"/>
                <w:color w:val="auto"/>
                <w:sz w:val="24"/>
              </w:rPr>
            </w:pPr>
          </w:p>
        </w:tc>
      </w:tr>
      <w:tr w14:paraId="6638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354F05FC">
            <w:pPr>
              <w:widowControl/>
              <w:jc w:val="left"/>
              <w:rPr>
                <w:rFonts w:ascii="宋体" w:hAnsi="宋体"/>
                <w:color w:val="auto"/>
                <w:sz w:val="24"/>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5809BFB6">
            <w:pPr>
              <w:widowControl/>
              <w:jc w:val="left"/>
              <w:rPr>
                <w:rFonts w:ascii="宋体" w:hAnsi="宋体"/>
                <w:color w:val="auto"/>
                <w:sz w:val="24"/>
              </w:rPr>
            </w:pPr>
          </w:p>
        </w:tc>
        <w:tc>
          <w:tcPr>
            <w:tcW w:w="3780" w:type="dxa"/>
            <w:tcBorders>
              <w:top w:val="single" w:color="auto" w:sz="4" w:space="0"/>
              <w:left w:val="single" w:color="auto" w:sz="4" w:space="0"/>
              <w:bottom w:val="single" w:color="auto" w:sz="4" w:space="0"/>
              <w:right w:val="single" w:color="auto" w:sz="4" w:space="0"/>
            </w:tcBorders>
            <w:vAlign w:val="center"/>
          </w:tcPr>
          <w:p w14:paraId="671A731A">
            <w:pPr>
              <w:spacing w:line="500" w:lineRule="exact"/>
              <w:jc w:val="center"/>
              <w:rPr>
                <w:rFonts w:ascii="宋体" w:hAnsi="宋体"/>
                <w:color w:val="auto"/>
                <w:sz w:val="24"/>
              </w:rPr>
            </w:pPr>
            <w:r>
              <w:rPr>
                <w:rFonts w:hint="eastAsia" w:ascii="宋体" w:hAnsi="宋体"/>
                <w:color w:val="auto"/>
                <w:sz w:val="24"/>
              </w:rPr>
              <w:t>响应文件的格式</w:t>
            </w:r>
          </w:p>
        </w:tc>
        <w:tc>
          <w:tcPr>
            <w:tcW w:w="549" w:type="dxa"/>
            <w:tcBorders>
              <w:top w:val="single" w:color="auto" w:sz="4" w:space="0"/>
              <w:left w:val="single" w:color="auto" w:sz="4" w:space="0"/>
              <w:bottom w:val="single" w:color="auto" w:sz="4" w:space="0"/>
              <w:right w:val="single" w:color="auto" w:sz="4" w:space="0"/>
            </w:tcBorders>
            <w:vAlign w:val="center"/>
          </w:tcPr>
          <w:p w14:paraId="09833775">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54EC9921">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054334B4">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1FE181EC">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7846A3ED">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2CA5E13D">
            <w:pPr>
              <w:spacing w:line="500" w:lineRule="exact"/>
              <w:jc w:val="center"/>
              <w:rPr>
                <w:rFonts w:ascii="宋体" w:hAnsi="宋体"/>
                <w:color w:val="auto"/>
                <w:sz w:val="24"/>
              </w:rPr>
            </w:pPr>
          </w:p>
        </w:tc>
      </w:tr>
      <w:tr w14:paraId="630D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8" w:type="dxa"/>
            <w:vMerge w:val="restart"/>
            <w:tcBorders>
              <w:top w:val="single" w:color="auto" w:sz="4" w:space="0"/>
              <w:left w:val="single" w:color="auto" w:sz="4" w:space="0"/>
              <w:bottom w:val="single" w:color="auto" w:sz="4" w:space="0"/>
              <w:right w:val="single" w:color="auto" w:sz="4" w:space="0"/>
            </w:tcBorders>
            <w:vAlign w:val="center"/>
          </w:tcPr>
          <w:p w14:paraId="236773F4">
            <w:pPr>
              <w:spacing w:line="500" w:lineRule="exact"/>
              <w:jc w:val="center"/>
              <w:rPr>
                <w:rFonts w:ascii="宋体" w:hAnsi="宋体"/>
                <w:color w:val="auto"/>
                <w:sz w:val="24"/>
              </w:rPr>
            </w:pPr>
            <w:r>
              <w:rPr>
                <w:rFonts w:hint="eastAsia" w:ascii="宋体" w:hAnsi="宋体"/>
                <w:color w:val="auto"/>
                <w:sz w:val="24"/>
              </w:rPr>
              <w:t>2</w:t>
            </w:r>
          </w:p>
        </w:tc>
        <w:tc>
          <w:tcPr>
            <w:tcW w:w="1620" w:type="dxa"/>
            <w:vMerge w:val="restart"/>
            <w:tcBorders>
              <w:top w:val="single" w:color="auto" w:sz="4" w:space="0"/>
              <w:left w:val="single" w:color="auto" w:sz="4" w:space="0"/>
              <w:bottom w:val="single" w:color="auto" w:sz="4" w:space="0"/>
              <w:right w:val="single" w:color="auto" w:sz="4" w:space="0"/>
            </w:tcBorders>
            <w:vAlign w:val="center"/>
          </w:tcPr>
          <w:p w14:paraId="2A776462">
            <w:pPr>
              <w:spacing w:line="500" w:lineRule="exact"/>
              <w:jc w:val="center"/>
              <w:rPr>
                <w:rFonts w:ascii="宋体" w:hAnsi="宋体"/>
                <w:color w:val="auto"/>
                <w:sz w:val="24"/>
              </w:rPr>
            </w:pPr>
            <w:r>
              <w:rPr>
                <w:rFonts w:hint="eastAsia" w:ascii="宋体" w:hAnsi="宋体"/>
                <w:color w:val="auto"/>
                <w:sz w:val="24"/>
              </w:rPr>
              <w:t>实质性响应</w:t>
            </w:r>
          </w:p>
        </w:tc>
        <w:tc>
          <w:tcPr>
            <w:tcW w:w="3780" w:type="dxa"/>
            <w:tcBorders>
              <w:top w:val="single" w:color="auto" w:sz="4" w:space="0"/>
              <w:left w:val="single" w:color="auto" w:sz="4" w:space="0"/>
              <w:bottom w:val="single" w:color="auto" w:sz="4" w:space="0"/>
              <w:right w:val="single" w:color="auto" w:sz="4" w:space="0"/>
            </w:tcBorders>
            <w:vAlign w:val="center"/>
          </w:tcPr>
          <w:p w14:paraId="47F6B32C">
            <w:pPr>
              <w:spacing w:line="500" w:lineRule="exact"/>
              <w:jc w:val="center"/>
              <w:rPr>
                <w:rFonts w:ascii="宋体" w:hAnsi="宋体"/>
                <w:color w:val="auto"/>
                <w:sz w:val="24"/>
              </w:rPr>
            </w:pPr>
            <w:r>
              <w:rPr>
                <w:rFonts w:hint="eastAsia" w:ascii="宋体" w:hAnsi="宋体"/>
                <w:color w:val="auto"/>
                <w:sz w:val="24"/>
              </w:rPr>
              <w:t>投标有效期</w:t>
            </w:r>
          </w:p>
        </w:tc>
        <w:tc>
          <w:tcPr>
            <w:tcW w:w="549" w:type="dxa"/>
            <w:tcBorders>
              <w:top w:val="single" w:color="auto" w:sz="4" w:space="0"/>
              <w:left w:val="single" w:color="auto" w:sz="4" w:space="0"/>
              <w:bottom w:val="single" w:color="auto" w:sz="4" w:space="0"/>
              <w:right w:val="single" w:color="auto" w:sz="4" w:space="0"/>
            </w:tcBorders>
            <w:vAlign w:val="center"/>
          </w:tcPr>
          <w:p w14:paraId="310AAC3F">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0D72E5FC">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202FC741">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349A7E2E">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3E19B12E">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55D6A920">
            <w:pPr>
              <w:spacing w:line="500" w:lineRule="exact"/>
              <w:jc w:val="center"/>
              <w:rPr>
                <w:rFonts w:ascii="宋体" w:hAnsi="宋体"/>
                <w:color w:val="auto"/>
                <w:sz w:val="24"/>
              </w:rPr>
            </w:pPr>
          </w:p>
        </w:tc>
      </w:tr>
      <w:tr w14:paraId="5811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344DE048">
            <w:pPr>
              <w:widowControl/>
              <w:jc w:val="left"/>
              <w:rPr>
                <w:rFonts w:ascii="宋体" w:hAnsi="宋体"/>
                <w:color w:val="auto"/>
                <w:sz w:val="24"/>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7C7B9DDB">
            <w:pPr>
              <w:widowControl/>
              <w:jc w:val="left"/>
              <w:rPr>
                <w:rFonts w:ascii="宋体" w:hAnsi="宋体"/>
                <w:color w:val="auto"/>
                <w:sz w:val="24"/>
              </w:rPr>
            </w:pPr>
          </w:p>
        </w:tc>
        <w:tc>
          <w:tcPr>
            <w:tcW w:w="3780" w:type="dxa"/>
            <w:tcBorders>
              <w:top w:val="single" w:color="auto" w:sz="4" w:space="0"/>
              <w:left w:val="single" w:color="auto" w:sz="4" w:space="0"/>
              <w:bottom w:val="single" w:color="auto" w:sz="4" w:space="0"/>
              <w:right w:val="single" w:color="auto" w:sz="4" w:space="0"/>
            </w:tcBorders>
            <w:vAlign w:val="center"/>
          </w:tcPr>
          <w:p w14:paraId="267140A8">
            <w:pPr>
              <w:spacing w:line="500" w:lineRule="exact"/>
              <w:jc w:val="center"/>
              <w:rPr>
                <w:rFonts w:ascii="宋体" w:hAnsi="宋体" w:cs="Tahoma"/>
                <w:color w:val="auto"/>
                <w:sz w:val="24"/>
              </w:rPr>
            </w:pPr>
            <w:r>
              <w:rPr>
                <w:rFonts w:hint="eastAsia" w:ascii="宋体" w:hAnsi="宋体"/>
                <w:color w:val="auto"/>
                <w:sz w:val="24"/>
              </w:rPr>
              <w:t>是否全部满足磋商文件中“</w:t>
            </w:r>
            <w:r>
              <w:rPr>
                <w:rFonts w:hint="eastAsia" w:ascii="宋体" w:hAnsi="宋体" w:cs="Tahoma"/>
                <w:color w:val="auto"/>
                <w:sz w:val="24"/>
              </w:rPr>
              <w:t>★”号条款参数的要求</w:t>
            </w:r>
          </w:p>
        </w:tc>
        <w:tc>
          <w:tcPr>
            <w:tcW w:w="549" w:type="dxa"/>
            <w:tcBorders>
              <w:top w:val="single" w:color="auto" w:sz="4" w:space="0"/>
              <w:left w:val="single" w:color="auto" w:sz="4" w:space="0"/>
              <w:bottom w:val="single" w:color="auto" w:sz="4" w:space="0"/>
              <w:right w:val="single" w:color="auto" w:sz="4" w:space="0"/>
            </w:tcBorders>
            <w:vAlign w:val="center"/>
          </w:tcPr>
          <w:p w14:paraId="1ED88AB9">
            <w:pPr>
              <w:spacing w:line="500" w:lineRule="exact"/>
              <w:jc w:val="center"/>
              <w:rPr>
                <w:rFonts w:ascii="宋体" w:hAnsi="宋体"/>
                <w:color w:val="auto"/>
                <w:sz w:val="24"/>
                <w:highlight w:val="yellow"/>
              </w:rPr>
            </w:pPr>
          </w:p>
        </w:tc>
        <w:tc>
          <w:tcPr>
            <w:tcW w:w="549" w:type="dxa"/>
            <w:tcBorders>
              <w:top w:val="single" w:color="auto" w:sz="4" w:space="0"/>
              <w:left w:val="single" w:color="auto" w:sz="4" w:space="0"/>
              <w:bottom w:val="single" w:color="auto" w:sz="4" w:space="0"/>
              <w:right w:val="single" w:color="auto" w:sz="4" w:space="0"/>
            </w:tcBorders>
            <w:vAlign w:val="center"/>
          </w:tcPr>
          <w:p w14:paraId="51BB5F9A">
            <w:pPr>
              <w:spacing w:line="500" w:lineRule="exact"/>
              <w:jc w:val="center"/>
              <w:rPr>
                <w:rFonts w:ascii="宋体" w:hAnsi="宋体"/>
                <w:color w:val="auto"/>
                <w:sz w:val="24"/>
                <w:highlight w:val="yellow"/>
              </w:rPr>
            </w:pPr>
          </w:p>
        </w:tc>
        <w:tc>
          <w:tcPr>
            <w:tcW w:w="550" w:type="dxa"/>
            <w:tcBorders>
              <w:top w:val="single" w:color="auto" w:sz="4" w:space="0"/>
              <w:left w:val="single" w:color="auto" w:sz="4" w:space="0"/>
              <w:bottom w:val="single" w:color="auto" w:sz="4" w:space="0"/>
              <w:right w:val="single" w:color="auto" w:sz="4" w:space="0"/>
            </w:tcBorders>
            <w:vAlign w:val="center"/>
          </w:tcPr>
          <w:p w14:paraId="2CE2D033">
            <w:pPr>
              <w:spacing w:line="500" w:lineRule="exact"/>
              <w:jc w:val="center"/>
              <w:rPr>
                <w:rFonts w:ascii="宋体" w:hAnsi="宋体"/>
                <w:color w:val="auto"/>
                <w:sz w:val="24"/>
                <w:highlight w:val="yellow"/>
              </w:rPr>
            </w:pPr>
          </w:p>
        </w:tc>
        <w:tc>
          <w:tcPr>
            <w:tcW w:w="549" w:type="dxa"/>
            <w:tcBorders>
              <w:top w:val="single" w:color="auto" w:sz="4" w:space="0"/>
              <w:left w:val="single" w:color="auto" w:sz="4" w:space="0"/>
              <w:bottom w:val="single" w:color="auto" w:sz="4" w:space="0"/>
              <w:right w:val="single" w:color="auto" w:sz="4" w:space="0"/>
            </w:tcBorders>
            <w:vAlign w:val="center"/>
          </w:tcPr>
          <w:p w14:paraId="5859D969">
            <w:pPr>
              <w:spacing w:line="500" w:lineRule="exact"/>
              <w:jc w:val="center"/>
              <w:rPr>
                <w:rFonts w:ascii="宋体" w:hAnsi="宋体"/>
                <w:color w:val="auto"/>
                <w:sz w:val="24"/>
                <w:highlight w:val="yellow"/>
              </w:rPr>
            </w:pPr>
          </w:p>
        </w:tc>
        <w:tc>
          <w:tcPr>
            <w:tcW w:w="549" w:type="dxa"/>
            <w:tcBorders>
              <w:top w:val="single" w:color="auto" w:sz="4" w:space="0"/>
              <w:left w:val="single" w:color="auto" w:sz="4" w:space="0"/>
              <w:bottom w:val="single" w:color="auto" w:sz="4" w:space="0"/>
              <w:right w:val="single" w:color="auto" w:sz="4" w:space="0"/>
            </w:tcBorders>
            <w:vAlign w:val="center"/>
          </w:tcPr>
          <w:p w14:paraId="79EE61B4">
            <w:pPr>
              <w:spacing w:line="500" w:lineRule="exact"/>
              <w:jc w:val="center"/>
              <w:rPr>
                <w:rFonts w:ascii="宋体" w:hAnsi="宋体"/>
                <w:color w:val="auto"/>
                <w:sz w:val="24"/>
                <w:highlight w:val="yellow"/>
              </w:rPr>
            </w:pPr>
          </w:p>
        </w:tc>
        <w:tc>
          <w:tcPr>
            <w:tcW w:w="550" w:type="dxa"/>
            <w:tcBorders>
              <w:top w:val="single" w:color="auto" w:sz="4" w:space="0"/>
              <w:left w:val="single" w:color="auto" w:sz="4" w:space="0"/>
              <w:bottom w:val="single" w:color="auto" w:sz="4" w:space="0"/>
              <w:right w:val="single" w:color="auto" w:sz="4" w:space="0"/>
            </w:tcBorders>
            <w:vAlign w:val="center"/>
          </w:tcPr>
          <w:p w14:paraId="66096500">
            <w:pPr>
              <w:spacing w:line="500" w:lineRule="exact"/>
              <w:jc w:val="center"/>
              <w:rPr>
                <w:rFonts w:ascii="宋体" w:hAnsi="宋体"/>
                <w:color w:val="auto"/>
                <w:sz w:val="24"/>
                <w:highlight w:val="yellow"/>
              </w:rPr>
            </w:pPr>
          </w:p>
        </w:tc>
      </w:tr>
      <w:tr w14:paraId="75D0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724B4E53">
            <w:pPr>
              <w:widowControl/>
              <w:jc w:val="left"/>
              <w:rPr>
                <w:rFonts w:ascii="宋体" w:hAnsi="宋体"/>
                <w:color w:val="auto"/>
                <w:sz w:val="24"/>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6B2753AD">
            <w:pPr>
              <w:widowControl/>
              <w:jc w:val="left"/>
              <w:rPr>
                <w:rFonts w:ascii="宋体" w:hAnsi="宋体"/>
                <w:color w:val="auto"/>
                <w:sz w:val="24"/>
              </w:rPr>
            </w:pPr>
          </w:p>
        </w:tc>
        <w:tc>
          <w:tcPr>
            <w:tcW w:w="3780" w:type="dxa"/>
            <w:tcBorders>
              <w:top w:val="single" w:color="auto" w:sz="4" w:space="0"/>
              <w:left w:val="single" w:color="auto" w:sz="4" w:space="0"/>
              <w:bottom w:val="single" w:color="auto" w:sz="4" w:space="0"/>
              <w:right w:val="single" w:color="auto" w:sz="4" w:space="0"/>
            </w:tcBorders>
            <w:vAlign w:val="center"/>
          </w:tcPr>
          <w:p w14:paraId="33218D8C">
            <w:pPr>
              <w:spacing w:line="500" w:lineRule="exact"/>
              <w:jc w:val="center"/>
              <w:rPr>
                <w:rFonts w:ascii="宋体" w:hAnsi="宋体"/>
                <w:color w:val="auto"/>
                <w:sz w:val="24"/>
              </w:rPr>
            </w:pPr>
            <w:r>
              <w:rPr>
                <w:rFonts w:hint="eastAsia" w:ascii="宋体" w:hAnsi="宋体"/>
                <w:color w:val="auto"/>
                <w:sz w:val="24"/>
              </w:rPr>
              <w:t>是否符合磋商文件要求且没有重大偏差或保留</w:t>
            </w:r>
          </w:p>
        </w:tc>
        <w:tc>
          <w:tcPr>
            <w:tcW w:w="549" w:type="dxa"/>
            <w:tcBorders>
              <w:top w:val="single" w:color="auto" w:sz="4" w:space="0"/>
              <w:left w:val="single" w:color="auto" w:sz="4" w:space="0"/>
              <w:bottom w:val="single" w:color="auto" w:sz="4" w:space="0"/>
              <w:right w:val="single" w:color="auto" w:sz="4" w:space="0"/>
            </w:tcBorders>
            <w:vAlign w:val="center"/>
          </w:tcPr>
          <w:p w14:paraId="1C8C194F">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51465832">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1DA88645">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07485115">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13904748">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5E38A573">
            <w:pPr>
              <w:spacing w:line="500" w:lineRule="exact"/>
              <w:jc w:val="center"/>
              <w:rPr>
                <w:rFonts w:ascii="宋体" w:hAnsi="宋体"/>
                <w:color w:val="auto"/>
                <w:sz w:val="24"/>
              </w:rPr>
            </w:pPr>
          </w:p>
        </w:tc>
      </w:tr>
      <w:tr w14:paraId="44B5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0B8FB243">
            <w:pPr>
              <w:widowControl/>
              <w:jc w:val="left"/>
              <w:rPr>
                <w:rFonts w:ascii="宋体" w:hAnsi="宋体"/>
                <w:color w:val="auto"/>
                <w:sz w:val="24"/>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27C0C531">
            <w:pPr>
              <w:widowControl/>
              <w:jc w:val="left"/>
              <w:rPr>
                <w:rFonts w:ascii="宋体" w:hAnsi="宋体"/>
                <w:color w:val="auto"/>
                <w:sz w:val="24"/>
              </w:rPr>
            </w:pPr>
          </w:p>
        </w:tc>
        <w:tc>
          <w:tcPr>
            <w:tcW w:w="3780" w:type="dxa"/>
            <w:tcBorders>
              <w:top w:val="single" w:color="auto" w:sz="4" w:space="0"/>
              <w:left w:val="single" w:color="auto" w:sz="4" w:space="0"/>
              <w:bottom w:val="single" w:color="auto" w:sz="4" w:space="0"/>
              <w:right w:val="single" w:color="auto" w:sz="4" w:space="0"/>
            </w:tcBorders>
            <w:vAlign w:val="center"/>
          </w:tcPr>
          <w:p w14:paraId="5CE3FE50">
            <w:pPr>
              <w:spacing w:line="500" w:lineRule="exact"/>
              <w:jc w:val="center"/>
              <w:rPr>
                <w:rFonts w:ascii="宋体" w:hAnsi="宋体"/>
                <w:color w:val="auto"/>
                <w:sz w:val="24"/>
              </w:rPr>
            </w:pPr>
            <w:r>
              <w:rPr>
                <w:rFonts w:hint="eastAsia" w:ascii="宋体" w:hAnsi="宋体"/>
                <w:color w:val="auto"/>
                <w:sz w:val="24"/>
              </w:rPr>
              <w:t>投标报价是否高于采购单位预算价</w:t>
            </w:r>
          </w:p>
        </w:tc>
        <w:tc>
          <w:tcPr>
            <w:tcW w:w="549" w:type="dxa"/>
            <w:tcBorders>
              <w:top w:val="single" w:color="auto" w:sz="4" w:space="0"/>
              <w:left w:val="single" w:color="auto" w:sz="4" w:space="0"/>
              <w:bottom w:val="single" w:color="auto" w:sz="4" w:space="0"/>
              <w:right w:val="single" w:color="auto" w:sz="4" w:space="0"/>
            </w:tcBorders>
            <w:vAlign w:val="center"/>
          </w:tcPr>
          <w:p w14:paraId="6B8C2453">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15CA218D">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6B028FFB">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68C05C27">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09B198AB">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00B515AB">
            <w:pPr>
              <w:spacing w:line="500" w:lineRule="exact"/>
              <w:jc w:val="center"/>
              <w:rPr>
                <w:rFonts w:ascii="宋体" w:hAnsi="宋体"/>
                <w:color w:val="auto"/>
                <w:sz w:val="24"/>
              </w:rPr>
            </w:pPr>
          </w:p>
        </w:tc>
      </w:tr>
      <w:tr w14:paraId="5601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8" w:type="dxa"/>
            <w:tcBorders>
              <w:top w:val="single" w:color="auto" w:sz="4" w:space="0"/>
              <w:left w:val="single" w:color="auto" w:sz="4" w:space="0"/>
              <w:bottom w:val="single" w:color="auto" w:sz="4" w:space="0"/>
              <w:right w:val="single" w:color="auto" w:sz="4" w:space="0"/>
            </w:tcBorders>
            <w:vAlign w:val="center"/>
          </w:tcPr>
          <w:p w14:paraId="47B46518">
            <w:pPr>
              <w:spacing w:line="500" w:lineRule="exact"/>
              <w:jc w:val="center"/>
              <w:rPr>
                <w:rFonts w:ascii="宋体" w:hAnsi="宋体"/>
                <w:color w:val="auto"/>
                <w:sz w:val="24"/>
              </w:rPr>
            </w:pPr>
            <w:r>
              <w:rPr>
                <w:rFonts w:hint="eastAsia" w:ascii="宋体" w:hAnsi="宋体"/>
                <w:color w:val="auto"/>
                <w:sz w:val="24"/>
              </w:rPr>
              <w:t>3</w:t>
            </w:r>
          </w:p>
        </w:tc>
        <w:tc>
          <w:tcPr>
            <w:tcW w:w="1620" w:type="dxa"/>
            <w:tcBorders>
              <w:top w:val="single" w:color="auto" w:sz="4" w:space="0"/>
              <w:left w:val="single" w:color="auto" w:sz="4" w:space="0"/>
              <w:bottom w:val="single" w:color="auto" w:sz="4" w:space="0"/>
              <w:right w:val="single" w:color="auto" w:sz="4" w:space="0"/>
            </w:tcBorders>
            <w:vAlign w:val="center"/>
          </w:tcPr>
          <w:p w14:paraId="4DF12C74">
            <w:pPr>
              <w:spacing w:line="500" w:lineRule="exact"/>
              <w:jc w:val="center"/>
              <w:rPr>
                <w:rFonts w:ascii="宋体" w:hAnsi="宋体"/>
                <w:color w:val="auto"/>
                <w:sz w:val="24"/>
              </w:rPr>
            </w:pPr>
            <w:r>
              <w:rPr>
                <w:rFonts w:hint="eastAsia" w:ascii="宋体" w:hAnsi="宋体"/>
                <w:color w:val="auto"/>
                <w:sz w:val="24"/>
              </w:rPr>
              <w:t>结论</w:t>
            </w:r>
          </w:p>
        </w:tc>
        <w:tc>
          <w:tcPr>
            <w:tcW w:w="3780" w:type="dxa"/>
            <w:tcBorders>
              <w:top w:val="single" w:color="auto" w:sz="4" w:space="0"/>
              <w:left w:val="single" w:color="auto" w:sz="4" w:space="0"/>
              <w:bottom w:val="single" w:color="auto" w:sz="4" w:space="0"/>
              <w:right w:val="single" w:color="auto" w:sz="4" w:space="0"/>
            </w:tcBorders>
            <w:vAlign w:val="center"/>
          </w:tcPr>
          <w:p w14:paraId="132A1B1E">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1DE03552">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1F21B04F">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3F6AD7AA">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44603BA3">
            <w:pPr>
              <w:spacing w:line="500" w:lineRule="exact"/>
              <w:jc w:val="center"/>
              <w:rPr>
                <w:rFonts w:ascii="宋体" w:hAnsi="宋体"/>
                <w:color w:val="auto"/>
                <w:sz w:val="24"/>
              </w:rPr>
            </w:pPr>
          </w:p>
        </w:tc>
        <w:tc>
          <w:tcPr>
            <w:tcW w:w="549" w:type="dxa"/>
            <w:tcBorders>
              <w:top w:val="single" w:color="auto" w:sz="4" w:space="0"/>
              <w:left w:val="single" w:color="auto" w:sz="4" w:space="0"/>
              <w:bottom w:val="single" w:color="auto" w:sz="4" w:space="0"/>
              <w:right w:val="single" w:color="auto" w:sz="4" w:space="0"/>
            </w:tcBorders>
            <w:vAlign w:val="center"/>
          </w:tcPr>
          <w:p w14:paraId="4A83697D">
            <w:pPr>
              <w:spacing w:line="500" w:lineRule="exact"/>
              <w:jc w:val="center"/>
              <w:rPr>
                <w:rFonts w:ascii="宋体" w:hAnsi="宋体"/>
                <w:color w:val="auto"/>
                <w:sz w:val="24"/>
              </w:rPr>
            </w:pPr>
          </w:p>
        </w:tc>
        <w:tc>
          <w:tcPr>
            <w:tcW w:w="550" w:type="dxa"/>
            <w:tcBorders>
              <w:top w:val="single" w:color="auto" w:sz="4" w:space="0"/>
              <w:left w:val="single" w:color="auto" w:sz="4" w:space="0"/>
              <w:bottom w:val="single" w:color="auto" w:sz="4" w:space="0"/>
              <w:right w:val="single" w:color="auto" w:sz="4" w:space="0"/>
            </w:tcBorders>
            <w:vAlign w:val="center"/>
          </w:tcPr>
          <w:p w14:paraId="577110D5">
            <w:pPr>
              <w:spacing w:line="500" w:lineRule="exact"/>
              <w:jc w:val="center"/>
              <w:rPr>
                <w:rFonts w:ascii="宋体" w:hAnsi="宋体"/>
                <w:color w:val="auto"/>
                <w:sz w:val="24"/>
              </w:rPr>
            </w:pPr>
          </w:p>
        </w:tc>
      </w:tr>
      <w:tr w14:paraId="0A45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trPr>
        <w:tc>
          <w:tcPr>
            <w:tcW w:w="9344" w:type="dxa"/>
            <w:gridSpan w:val="9"/>
            <w:tcBorders>
              <w:top w:val="single" w:color="auto" w:sz="4" w:space="0"/>
              <w:left w:val="single" w:color="auto" w:sz="4" w:space="0"/>
              <w:bottom w:val="single" w:color="auto" w:sz="4" w:space="0"/>
              <w:right w:val="single" w:color="auto" w:sz="4" w:space="0"/>
            </w:tcBorders>
            <w:vAlign w:val="center"/>
          </w:tcPr>
          <w:p w14:paraId="63B298B4">
            <w:pPr>
              <w:spacing w:line="500" w:lineRule="exact"/>
              <w:rPr>
                <w:rFonts w:ascii="宋体" w:hAnsi="宋体"/>
                <w:color w:val="auto"/>
                <w:sz w:val="24"/>
              </w:rPr>
            </w:pPr>
            <w:r>
              <w:rPr>
                <w:rFonts w:hint="eastAsia" w:ascii="宋体" w:hAnsi="宋体"/>
                <w:color w:val="auto"/>
                <w:sz w:val="24"/>
              </w:rPr>
              <w:t>评委签名：</w:t>
            </w:r>
          </w:p>
          <w:p w14:paraId="6EF45308">
            <w:pPr>
              <w:spacing w:line="500" w:lineRule="exact"/>
              <w:jc w:val="center"/>
              <w:rPr>
                <w:rFonts w:ascii="宋体" w:hAnsi="宋体"/>
                <w:color w:val="auto"/>
                <w:sz w:val="24"/>
              </w:rPr>
            </w:pPr>
          </w:p>
          <w:p w14:paraId="300D0EC1">
            <w:pPr>
              <w:widowControl/>
              <w:spacing w:line="500" w:lineRule="exact"/>
              <w:ind w:firstLine="5880" w:firstLineChars="2450"/>
              <w:jc w:val="center"/>
              <w:rPr>
                <w:rFonts w:ascii="宋体" w:hAnsi="宋体"/>
                <w:color w:val="auto"/>
                <w:sz w:val="24"/>
              </w:rPr>
            </w:pPr>
            <w:r>
              <w:rPr>
                <w:rFonts w:hint="eastAsia" w:ascii="宋体" w:hAnsi="宋体"/>
                <w:color w:val="auto"/>
                <w:sz w:val="24"/>
              </w:rPr>
              <w:t xml:space="preserve">      年   月   日</w:t>
            </w:r>
          </w:p>
        </w:tc>
      </w:tr>
    </w:tbl>
    <w:p w14:paraId="13B508C9">
      <w:pPr>
        <w:autoSpaceDE w:val="0"/>
        <w:autoSpaceDN w:val="0"/>
        <w:adjustRightInd w:val="0"/>
        <w:spacing w:line="440" w:lineRule="exact"/>
        <w:ind w:left="134" w:hanging="86"/>
        <w:outlineLvl w:val="1"/>
        <w:rPr>
          <w:color w:val="auto"/>
          <w:szCs w:val="21"/>
        </w:rPr>
      </w:pPr>
      <w:bookmarkStart w:id="8" w:name="_Toc8071"/>
      <w:bookmarkStart w:id="9" w:name="_Toc6919"/>
      <w:bookmarkStart w:id="10" w:name="_Toc29013"/>
      <w:r>
        <w:rPr>
          <w:rFonts w:hint="eastAsia" w:ascii="宋体" w:hAnsi="宋体"/>
          <w:b/>
          <w:color w:val="auto"/>
          <w:sz w:val="24"/>
        </w:rPr>
        <w:t>2：响应文件符合性检查表</w:t>
      </w:r>
      <w:bookmarkEnd w:id="8"/>
      <w:bookmarkEnd w:id="9"/>
      <w:bookmarkEnd w:id="10"/>
    </w:p>
    <w:p w14:paraId="227A3C00">
      <w:pPr>
        <w:rPr>
          <w:color w:val="auto"/>
        </w:rPr>
      </w:pPr>
    </w:p>
    <w:p w14:paraId="6C91E365">
      <w:pPr>
        <w:pStyle w:val="14"/>
        <w:spacing w:before="0" w:after="0" w:line="360" w:lineRule="auto"/>
        <w:rPr>
          <w:rFonts w:ascii="宋体" w:hAnsi="宋体" w:eastAsia="宋体"/>
          <w:color w:val="auto"/>
          <w:sz w:val="24"/>
          <w:szCs w:val="24"/>
        </w:rPr>
      </w:pPr>
      <w:r>
        <w:rPr>
          <w:rFonts w:hint="eastAsia" w:ascii="宋体" w:hAnsi="宋体" w:eastAsia="宋体"/>
          <w:color w:val="auto"/>
          <w:sz w:val="24"/>
          <w:szCs w:val="24"/>
        </w:rPr>
        <w:t xml:space="preserve">注：符合性检查时，响应文件有下列情况之一的视为非实质性响应: </w:t>
      </w:r>
    </w:p>
    <w:p w14:paraId="65D8929E">
      <w:pPr>
        <w:pStyle w:val="14"/>
        <w:spacing w:before="0" w:after="0" w:line="360" w:lineRule="auto"/>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s="仿宋_GB2312"/>
          <w:color w:val="auto"/>
          <w:sz w:val="24"/>
          <w:szCs w:val="24"/>
          <w:lang w:val="zh-CN"/>
        </w:rPr>
        <w:t>响应文件不符合磋商文件完整性要求的;</w:t>
      </w:r>
      <w:r>
        <w:rPr>
          <w:rFonts w:hint="eastAsia" w:ascii="宋体" w:hAnsi="宋体" w:eastAsia="宋体"/>
          <w:color w:val="auto"/>
          <w:sz w:val="24"/>
          <w:szCs w:val="24"/>
        </w:rPr>
        <w:t xml:space="preserve"> </w:t>
      </w:r>
    </w:p>
    <w:p w14:paraId="64E332B3">
      <w:pPr>
        <w:pStyle w:val="14"/>
        <w:spacing w:before="0" w:after="0" w:line="360" w:lineRule="auto"/>
        <w:rPr>
          <w:rFonts w:ascii="宋体" w:hAnsi="宋体" w:eastAsia="宋体"/>
          <w:color w:val="auto"/>
          <w:sz w:val="24"/>
          <w:szCs w:val="24"/>
        </w:rPr>
      </w:pPr>
      <w:r>
        <w:rPr>
          <w:rFonts w:hint="eastAsia" w:ascii="宋体" w:hAnsi="宋体" w:eastAsia="宋体"/>
          <w:color w:val="auto"/>
          <w:sz w:val="24"/>
          <w:szCs w:val="24"/>
        </w:rPr>
        <w:t xml:space="preserve">2、合同工期或交货期超过磋商文件规定的期限或允许范围； </w:t>
      </w:r>
    </w:p>
    <w:p w14:paraId="32ED28AA">
      <w:pPr>
        <w:pStyle w:val="14"/>
        <w:spacing w:before="0" w:after="0" w:line="360" w:lineRule="auto"/>
        <w:rPr>
          <w:rFonts w:ascii="宋体" w:hAnsi="宋体" w:eastAsia="宋体"/>
          <w:color w:val="auto"/>
          <w:sz w:val="24"/>
          <w:szCs w:val="24"/>
        </w:rPr>
      </w:pPr>
      <w:r>
        <w:rPr>
          <w:rFonts w:hint="eastAsia" w:ascii="宋体" w:hAnsi="宋体" w:eastAsia="宋体"/>
          <w:color w:val="auto"/>
          <w:sz w:val="24"/>
          <w:szCs w:val="24"/>
        </w:rPr>
        <w:t>3、投标附有采购人不能接受的条件。 </w:t>
      </w:r>
    </w:p>
    <w:p w14:paraId="67BD700F">
      <w:pPr>
        <w:pStyle w:val="14"/>
        <w:spacing w:before="0" w:after="0" w:line="360" w:lineRule="auto"/>
        <w:rPr>
          <w:rFonts w:ascii="宋体" w:hAnsi="宋体" w:eastAsia="宋体"/>
          <w:color w:val="auto"/>
          <w:sz w:val="24"/>
          <w:szCs w:val="24"/>
        </w:rPr>
      </w:pPr>
      <w:r>
        <w:rPr>
          <w:rFonts w:hint="eastAsia" w:ascii="宋体" w:hAnsi="宋体" w:eastAsia="宋体"/>
          <w:color w:val="auto"/>
          <w:sz w:val="24"/>
          <w:szCs w:val="24"/>
        </w:rPr>
        <w:t>4、响应文件中“</w:t>
      </w:r>
      <w:r>
        <w:rPr>
          <w:rFonts w:hint="eastAsia" w:ascii="宋体" w:hAnsi="宋体" w:eastAsia="宋体" w:cs="Tahoma"/>
          <w:color w:val="auto"/>
          <w:sz w:val="24"/>
          <w:szCs w:val="24"/>
        </w:rPr>
        <w:t>★”号条款不满足磋商文件中的要求。</w:t>
      </w:r>
    </w:p>
    <w:p w14:paraId="56069C43">
      <w:pPr>
        <w:pStyle w:val="14"/>
        <w:spacing w:before="0" w:after="0" w:line="360" w:lineRule="auto"/>
        <w:rPr>
          <w:rFonts w:ascii="宋体" w:hAnsi="宋体" w:eastAsia="宋体"/>
          <w:color w:val="auto"/>
          <w:sz w:val="24"/>
          <w:szCs w:val="24"/>
        </w:rPr>
      </w:pPr>
      <w:r>
        <w:rPr>
          <w:rFonts w:hint="eastAsia" w:ascii="宋体" w:hAnsi="宋体" w:eastAsia="宋体"/>
          <w:color w:val="auto"/>
          <w:sz w:val="24"/>
          <w:szCs w:val="24"/>
        </w:rPr>
        <w:t>5、响应文件中技术要求有重大偏差或达不到国家强制性标准；</w:t>
      </w:r>
    </w:p>
    <w:p w14:paraId="0930B53A">
      <w:pPr>
        <w:spacing w:line="360" w:lineRule="auto"/>
        <w:rPr>
          <w:rFonts w:ascii="宋体" w:hAnsi="宋体"/>
          <w:color w:val="auto"/>
          <w:sz w:val="24"/>
        </w:rPr>
      </w:pPr>
      <w:r>
        <w:rPr>
          <w:rFonts w:hint="eastAsia" w:ascii="宋体" w:hAnsi="宋体"/>
          <w:color w:val="auto"/>
          <w:sz w:val="24"/>
        </w:rPr>
        <w:t>6、投标报价高于采购单位预算价；</w:t>
      </w:r>
    </w:p>
    <w:p w14:paraId="42B63D05">
      <w:pPr>
        <w:pStyle w:val="23"/>
        <w:tabs>
          <w:tab w:val="left" w:pos="7800"/>
        </w:tabs>
        <w:spacing w:line="360" w:lineRule="auto"/>
        <w:ind w:left="144" w:leftChars="22" w:hanging="98" w:hangingChars="41"/>
        <w:rPr>
          <w:rFonts w:ascii="宋体" w:hAnsi="宋体"/>
          <w:b/>
          <w:color w:val="auto"/>
          <w:sz w:val="24"/>
        </w:rPr>
      </w:pPr>
      <w:r>
        <w:rPr>
          <w:rFonts w:hint="eastAsia" w:ascii="宋体" w:hAnsi="宋体"/>
          <w:color w:val="auto"/>
          <w:sz w:val="24"/>
        </w:rPr>
        <w:t>7、结论填写“合格”或“不合格”，不合格供应商不进入下一轮评审。</w:t>
      </w:r>
      <w:r>
        <w:rPr>
          <w:rFonts w:hint="eastAsia" w:ascii="宋体" w:hAnsi="宋体"/>
          <w:color w:val="auto"/>
          <w:sz w:val="24"/>
        </w:rPr>
        <w:tab/>
      </w:r>
    </w:p>
    <w:p w14:paraId="375936C9">
      <w:pPr>
        <w:autoSpaceDE w:val="0"/>
        <w:autoSpaceDN w:val="0"/>
        <w:adjustRightInd w:val="0"/>
        <w:spacing w:line="500" w:lineRule="exact"/>
        <w:ind w:left="902" w:hanging="482"/>
        <w:rPr>
          <w:rFonts w:ascii="宋体" w:cs="宋体"/>
          <w:b/>
          <w:bCs/>
          <w:color w:val="auto"/>
          <w:kern w:val="0"/>
          <w:sz w:val="24"/>
          <w:lang w:val="zh-CN"/>
        </w:rPr>
      </w:pPr>
    </w:p>
    <w:p w14:paraId="61A20FCA">
      <w:pPr>
        <w:autoSpaceDE w:val="0"/>
        <w:autoSpaceDN w:val="0"/>
        <w:adjustRightInd w:val="0"/>
        <w:spacing w:line="500" w:lineRule="exact"/>
        <w:ind w:left="112" w:hanging="99"/>
        <w:rPr>
          <w:rFonts w:ascii="宋体" w:cs="宋体"/>
          <w:b/>
          <w:bCs/>
          <w:color w:val="auto"/>
          <w:kern w:val="0"/>
          <w:sz w:val="24"/>
          <w:lang w:val="zh-CN"/>
        </w:rPr>
      </w:pPr>
    </w:p>
    <w:p w14:paraId="60B3BEDB">
      <w:pPr>
        <w:autoSpaceDE w:val="0"/>
        <w:autoSpaceDN w:val="0"/>
        <w:adjustRightInd w:val="0"/>
        <w:spacing w:line="500" w:lineRule="exact"/>
        <w:ind w:left="112" w:hanging="99"/>
        <w:outlineLvl w:val="1"/>
        <w:rPr>
          <w:rFonts w:ascii="宋体" w:cs="宋体"/>
          <w:b/>
          <w:bCs/>
          <w:color w:val="auto"/>
          <w:kern w:val="0"/>
          <w:sz w:val="24"/>
          <w:lang w:val="zh-CN"/>
        </w:rPr>
      </w:pPr>
      <w:bookmarkStart w:id="11" w:name="_Toc32663"/>
      <w:bookmarkStart w:id="12" w:name="_Toc17086"/>
      <w:bookmarkStart w:id="13" w:name="_Toc28792"/>
      <w:r>
        <w:rPr>
          <w:rFonts w:hint="eastAsia" w:ascii="宋体" w:cs="宋体"/>
          <w:b/>
          <w:bCs/>
          <w:color w:val="auto"/>
          <w:kern w:val="0"/>
          <w:sz w:val="24"/>
          <w:lang w:val="zh-CN"/>
        </w:rPr>
        <w:t>3：澄清、说明、补正事项纪要表</w:t>
      </w:r>
      <w:bookmarkEnd w:id="11"/>
      <w:bookmarkEnd w:id="12"/>
      <w:bookmarkEnd w:id="13"/>
    </w:p>
    <w:tbl>
      <w:tblPr>
        <w:tblStyle w:val="51"/>
        <w:tblW w:w="9185" w:type="dxa"/>
        <w:tblInd w:w="-5" w:type="dxa"/>
        <w:tblLayout w:type="fixed"/>
        <w:tblCellMar>
          <w:top w:w="0" w:type="dxa"/>
          <w:left w:w="10" w:type="dxa"/>
          <w:bottom w:w="0" w:type="dxa"/>
          <w:right w:w="10" w:type="dxa"/>
        </w:tblCellMar>
      </w:tblPr>
      <w:tblGrid>
        <w:gridCol w:w="468"/>
        <w:gridCol w:w="3857"/>
        <w:gridCol w:w="540"/>
        <w:gridCol w:w="540"/>
        <w:gridCol w:w="540"/>
        <w:gridCol w:w="540"/>
        <w:gridCol w:w="540"/>
        <w:gridCol w:w="540"/>
        <w:gridCol w:w="540"/>
        <w:gridCol w:w="540"/>
        <w:gridCol w:w="540"/>
      </w:tblGrid>
      <w:tr w14:paraId="05893F6B">
        <w:tblPrEx>
          <w:tblCellMar>
            <w:top w:w="0" w:type="dxa"/>
            <w:left w:w="10" w:type="dxa"/>
            <w:bottom w:w="0" w:type="dxa"/>
            <w:right w:w="10" w:type="dxa"/>
          </w:tblCellMar>
        </w:tblPrEx>
        <w:trPr>
          <w:cantSplit/>
          <w:trHeight w:val="540" w:hRule="atLeast"/>
        </w:trPr>
        <w:tc>
          <w:tcPr>
            <w:tcW w:w="468" w:type="dxa"/>
            <w:vMerge w:val="restart"/>
            <w:tcBorders>
              <w:top w:val="single" w:color="auto" w:sz="6" w:space="0"/>
              <w:left w:val="single" w:color="auto" w:sz="6" w:space="0"/>
              <w:bottom w:val="single" w:color="auto" w:sz="6" w:space="0"/>
              <w:right w:val="single" w:color="auto" w:sz="6" w:space="0"/>
            </w:tcBorders>
            <w:vAlign w:val="center"/>
          </w:tcPr>
          <w:p w14:paraId="124D5F4B">
            <w:pPr>
              <w:autoSpaceDE w:val="0"/>
              <w:autoSpaceDN w:val="0"/>
              <w:adjustRightInd w:val="0"/>
              <w:spacing w:line="500" w:lineRule="exact"/>
              <w:jc w:val="center"/>
              <w:rPr>
                <w:rFonts w:ascii="宋体" w:cs="宋体"/>
                <w:color w:val="auto"/>
                <w:sz w:val="24"/>
                <w:lang w:val="zh-CN"/>
              </w:rPr>
            </w:pPr>
            <w:r>
              <w:rPr>
                <w:rFonts w:hint="eastAsia" w:ascii="宋体" w:cs="宋体"/>
                <w:color w:val="auto"/>
                <w:sz w:val="24"/>
                <w:lang w:val="zh-CN"/>
              </w:rPr>
              <w:t>序号</w:t>
            </w:r>
          </w:p>
        </w:tc>
        <w:tc>
          <w:tcPr>
            <w:tcW w:w="3857" w:type="dxa"/>
            <w:vMerge w:val="restart"/>
            <w:tcBorders>
              <w:top w:val="single" w:color="auto" w:sz="6" w:space="0"/>
              <w:left w:val="single" w:color="auto" w:sz="6" w:space="0"/>
              <w:bottom w:val="single" w:color="auto" w:sz="6" w:space="0"/>
              <w:right w:val="single" w:color="auto" w:sz="6" w:space="0"/>
            </w:tcBorders>
            <w:vAlign w:val="center"/>
          </w:tcPr>
          <w:p w14:paraId="76699585">
            <w:pPr>
              <w:autoSpaceDE w:val="0"/>
              <w:autoSpaceDN w:val="0"/>
              <w:adjustRightInd w:val="0"/>
              <w:spacing w:line="500" w:lineRule="exact"/>
              <w:jc w:val="center"/>
              <w:rPr>
                <w:rFonts w:ascii="宋体" w:cs="宋体"/>
                <w:color w:val="auto"/>
                <w:sz w:val="24"/>
                <w:lang w:val="zh-CN"/>
              </w:rPr>
            </w:pPr>
            <w:r>
              <w:rPr>
                <w:rFonts w:hint="eastAsia" w:ascii="宋体" w:cs="宋体"/>
                <w:color w:val="auto"/>
                <w:sz w:val="24"/>
                <w:lang w:val="zh-CN"/>
              </w:rPr>
              <w:t>内容</w:t>
            </w:r>
          </w:p>
        </w:tc>
        <w:tc>
          <w:tcPr>
            <w:tcW w:w="4860" w:type="dxa"/>
            <w:gridSpan w:val="9"/>
            <w:tcBorders>
              <w:top w:val="single" w:color="auto" w:sz="6" w:space="0"/>
              <w:left w:val="single" w:color="auto" w:sz="6" w:space="0"/>
              <w:bottom w:val="single" w:color="auto" w:sz="6" w:space="0"/>
              <w:right w:val="single" w:color="auto" w:sz="6" w:space="0"/>
            </w:tcBorders>
            <w:vAlign w:val="center"/>
          </w:tcPr>
          <w:p w14:paraId="45CCD243">
            <w:pPr>
              <w:autoSpaceDE w:val="0"/>
              <w:autoSpaceDN w:val="0"/>
              <w:adjustRightInd w:val="0"/>
              <w:spacing w:line="500" w:lineRule="exact"/>
              <w:jc w:val="center"/>
              <w:rPr>
                <w:rFonts w:ascii="宋体" w:cs="宋体"/>
                <w:color w:val="auto"/>
                <w:sz w:val="24"/>
                <w:lang w:val="zh-CN"/>
              </w:rPr>
            </w:pPr>
            <w:r>
              <w:rPr>
                <w:rFonts w:hint="eastAsia" w:ascii="宋体" w:cs="宋体"/>
                <w:color w:val="auto"/>
                <w:sz w:val="24"/>
                <w:lang w:val="zh-CN"/>
              </w:rPr>
              <w:t>供应商</w:t>
            </w:r>
          </w:p>
        </w:tc>
      </w:tr>
      <w:tr w14:paraId="0C6CFCAF">
        <w:tblPrEx>
          <w:tblCellMar>
            <w:top w:w="0" w:type="dxa"/>
            <w:left w:w="10" w:type="dxa"/>
            <w:bottom w:w="0" w:type="dxa"/>
            <w:right w:w="10" w:type="dxa"/>
          </w:tblCellMar>
        </w:tblPrEx>
        <w:trPr>
          <w:cantSplit/>
          <w:trHeight w:val="450" w:hRule="atLeast"/>
        </w:trPr>
        <w:tc>
          <w:tcPr>
            <w:tcW w:w="468" w:type="dxa"/>
            <w:vMerge w:val="continue"/>
            <w:tcBorders>
              <w:top w:val="single" w:color="auto" w:sz="6" w:space="0"/>
              <w:left w:val="single" w:color="auto" w:sz="6" w:space="0"/>
              <w:bottom w:val="single" w:color="auto" w:sz="6" w:space="0"/>
              <w:right w:val="single" w:color="auto" w:sz="6" w:space="0"/>
            </w:tcBorders>
            <w:vAlign w:val="center"/>
          </w:tcPr>
          <w:p w14:paraId="5E28A807">
            <w:pPr>
              <w:widowControl/>
              <w:jc w:val="left"/>
              <w:rPr>
                <w:rFonts w:ascii="宋体" w:cs="宋体"/>
                <w:color w:val="auto"/>
                <w:sz w:val="24"/>
                <w:lang w:val="zh-CN"/>
              </w:rPr>
            </w:pPr>
          </w:p>
        </w:tc>
        <w:tc>
          <w:tcPr>
            <w:tcW w:w="3857" w:type="dxa"/>
            <w:vMerge w:val="continue"/>
            <w:tcBorders>
              <w:top w:val="single" w:color="auto" w:sz="6" w:space="0"/>
              <w:left w:val="single" w:color="auto" w:sz="6" w:space="0"/>
              <w:bottom w:val="single" w:color="auto" w:sz="6" w:space="0"/>
              <w:right w:val="single" w:color="auto" w:sz="6" w:space="0"/>
            </w:tcBorders>
            <w:vAlign w:val="center"/>
          </w:tcPr>
          <w:p w14:paraId="7FF57973">
            <w:pPr>
              <w:widowControl/>
              <w:jc w:val="left"/>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39DE6E06">
            <w:pPr>
              <w:autoSpaceDE w:val="0"/>
              <w:autoSpaceDN w:val="0"/>
              <w:adjustRightInd w:val="0"/>
              <w:spacing w:line="500" w:lineRule="exact"/>
              <w:jc w:val="center"/>
              <w:rPr>
                <w:color w:val="auto"/>
                <w:sz w:val="24"/>
              </w:rPr>
            </w:pPr>
            <w:r>
              <w:rPr>
                <w:color w:val="auto"/>
                <w:sz w:val="24"/>
              </w:rPr>
              <w:t>1</w:t>
            </w:r>
          </w:p>
        </w:tc>
        <w:tc>
          <w:tcPr>
            <w:tcW w:w="540" w:type="dxa"/>
            <w:tcBorders>
              <w:top w:val="single" w:color="auto" w:sz="6" w:space="0"/>
              <w:left w:val="single" w:color="auto" w:sz="6" w:space="0"/>
              <w:bottom w:val="single" w:color="auto" w:sz="6" w:space="0"/>
              <w:right w:val="single" w:color="auto" w:sz="6" w:space="0"/>
            </w:tcBorders>
            <w:vAlign w:val="center"/>
          </w:tcPr>
          <w:p w14:paraId="38FFB625">
            <w:pPr>
              <w:autoSpaceDE w:val="0"/>
              <w:autoSpaceDN w:val="0"/>
              <w:adjustRightInd w:val="0"/>
              <w:spacing w:line="500" w:lineRule="exact"/>
              <w:jc w:val="center"/>
              <w:rPr>
                <w:color w:val="auto"/>
                <w:sz w:val="24"/>
              </w:rPr>
            </w:pPr>
            <w:r>
              <w:rPr>
                <w:color w:val="auto"/>
                <w:sz w:val="24"/>
              </w:rPr>
              <w:t>2</w:t>
            </w:r>
          </w:p>
        </w:tc>
        <w:tc>
          <w:tcPr>
            <w:tcW w:w="540" w:type="dxa"/>
            <w:tcBorders>
              <w:top w:val="single" w:color="auto" w:sz="6" w:space="0"/>
              <w:left w:val="single" w:color="auto" w:sz="6" w:space="0"/>
              <w:bottom w:val="single" w:color="auto" w:sz="6" w:space="0"/>
              <w:right w:val="single" w:color="auto" w:sz="6" w:space="0"/>
            </w:tcBorders>
            <w:vAlign w:val="center"/>
          </w:tcPr>
          <w:p w14:paraId="57D3866B">
            <w:pPr>
              <w:autoSpaceDE w:val="0"/>
              <w:autoSpaceDN w:val="0"/>
              <w:adjustRightInd w:val="0"/>
              <w:spacing w:line="500" w:lineRule="exact"/>
              <w:jc w:val="center"/>
              <w:rPr>
                <w:color w:val="auto"/>
                <w:sz w:val="24"/>
              </w:rPr>
            </w:pPr>
            <w:r>
              <w:rPr>
                <w:color w:val="auto"/>
                <w:sz w:val="24"/>
              </w:rPr>
              <w:t>3</w:t>
            </w:r>
          </w:p>
        </w:tc>
        <w:tc>
          <w:tcPr>
            <w:tcW w:w="540" w:type="dxa"/>
            <w:tcBorders>
              <w:top w:val="single" w:color="auto" w:sz="6" w:space="0"/>
              <w:left w:val="single" w:color="auto" w:sz="6" w:space="0"/>
              <w:bottom w:val="single" w:color="auto" w:sz="6" w:space="0"/>
              <w:right w:val="single" w:color="auto" w:sz="6" w:space="0"/>
            </w:tcBorders>
            <w:vAlign w:val="center"/>
          </w:tcPr>
          <w:p w14:paraId="162044AC">
            <w:pPr>
              <w:autoSpaceDE w:val="0"/>
              <w:autoSpaceDN w:val="0"/>
              <w:adjustRightInd w:val="0"/>
              <w:spacing w:line="500" w:lineRule="exact"/>
              <w:jc w:val="center"/>
              <w:rPr>
                <w:color w:val="auto"/>
                <w:sz w:val="24"/>
              </w:rPr>
            </w:pPr>
            <w:r>
              <w:rPr>
                <w:color w:val="auto"/>
                <w:sz w:val="24"/>
              </w:rPr>
              <w:t>4</w:t>
            </w:r>
          </w:p>
        </w:tc>
        <w:tc>
          <w:tcPr>
            <w:tcW w:w="540" w:type="dxa"/>
            <w:tcBorders>
              <w:top w:val="single" w:color="auto" w:sz="6" w:space="0"/>
              <w:left w:val="single" w:color="auto" w:sz="6" w:space="0"/>
              <w:bottom w:val="single" w:color="auto" w:sz="6" w:space="0"/>
              <w:right w:val="single" w:color="auto" w:sz="6" w:space="0"/>
            </w:tcBorders>
            <w:vAlign w:val="center"/>
          </w:tcPr>
          <w:p w14:paraId="45619C94">
            <w:pPr>
              <w:autoSpaceDE w:val="0"/>
              <w:autoSpaceDN w:val="0"/>
              <w:adjustRightInd w:val="0"/>
              <w:spacing w:line="500" w:lineRule="exact"/>
              <w:jc w:val="center"/>
              <w:rPr>
                <w:color w:val="auto"/>
                <w:sz w:val="24"/>
              </w:rPr>
            </w:pPr>
            <w:r>
              <w:rPr>
                <w:color w:val="auto"/>
                <w:sz w:val="24"/>
              </w:rPr>
              <w:t>5</w:t>
            </w:r>
          </w:p>
        </w:tc>
        <w:tc>
          <w:tcPr>
            <w:tcW w:w="540" w:type="dxa"/>
            <w:tcBorders>
              <w:top w:val="single" w:color="auto" w:sz="6" w:space="0"/>
              <w:left w:val="single" w:color="auto" w:sz="6" w:space="0"/>
              <w:bottom w:val="single" w:color="auto" w:sz="6" w:space="0"/>
              <w:right w:val="single" w:color="auto" w:sz="6" w:space="0"/>
            </w:tcBorders>
            <w:vAlign w:val="center"/>
          </w:tcPr>
          <w:p w14:paraId="492D8CB8">
            <w:pPr>
              <w:autoSpaceDE w:val="0"/>
              <w:autoSpaceDN w:val="0"/>
              <w:adjustRightInd w:val="0"/>
              <w:spacing w:line="500" w:lineRule="exact"/>
              <w:jc w:val="center"/>
              <w:rPr>
                <w:color w:val="auto"/>
                <w:sz w:val="24"/>
              </w:rPr>
            </w:pPr>
            <w:r>
              <w:rPr>
                <w:color w:val="auto"/>
                <w:sz w:val="24"/>
              </w:rPr>
              <w:t>6</w:t>
            </w:r>
          </w:p>
        </w:tc>
        <w:tc>
          <w:tcPr>
            <w:tcW w:w="540" w:type="dxa"/>
            <w:tcBorders>
              <w:top w:val="single" w:color="auto" w:sz="6" w:space="0"/>
              <w:left w:val="single" w:color="auto" w:sz="6" w:space="0"/>
              <w:bottom w:val="single" w:color="auto" w:sz="6" w:space="0"/>
              <w:right w:val="single" w:color="auto" w:sz="6" w:space="0"/>
            </w:tcBorders>
            <w:vAlign w:val="center"/>
          </w:tcPr>
          <w:p w14:paraId="15ADFBC9">
            <w:pPr>
              <w:autoSpaceDE w:val="0"/>
              <w:autoSpaceDN w:val="0"/>
              <w:adjustRightInd w:val="0"/>
              <w:spacing w:line="500" w:lineRule="exact"/>
              <w:jc w:val="center"/>
              <w:rPr>
                <w:color w:val="auto"/>
                <w:sz w:val="24"/>
              </w:rPr>
            </w:pPr>
            <w:r>
              <w:rPr>
                <w:color w:val="auto"/>
                <w:sz w:val="24"/>
              </w:rPr>
              <w:t>7</w:t>
            </w:r>
          </w:p>
        </w:tc>
        <w:tc>
          <w:tcPr>
            <w:tcW w:w="540" w:type="dxa"/>
            <w:tcBorders>
              <w:top w:val="single" w:color="auto" w:sz="6" w:space="0"/>
              <w:left w:val="single" w:color="auto" w:sz="6" w:space="0"/>
              <w:bottom w:val="single" w:color="auto" w:sz="6" w:space="0"/>
              <w:right w:val="single" w:color="auto" w:sz="6" w:space="0"/>
            </w:tcBorders>
            <w:vAlign w:val="center"/>
          </w:tcPr>
          <w:p w14:paraId="704A6B5D">
            <w:pPr>
              <w:autoSpaceDE w:val="0"/>
              <w:autoSpaceDN w:val="0"/>
              <w:adjustRightInd w:val="0"/>
              <w:spacing w:line="500" w:lineRule="exact"/>
              <w:jc w:val="center"/>
              <w:rPr>
                <w:color w:val="auto"/>
                <w:sz w:val="24"/>
              </w:rPr>
            </w:pPr>
            <w:r>
              <w:rPr>
                <w:color w:val="auto"/>
                <w:sz w:val="24"/>
              </w:rPr>
              <w:t>8</w:t>
            </w:r>
          </w:p>
        </w:tc>
        <w:tc>
          <w:tcPr>
            <w:tcW w:w="540" w:type="dxa"/>
            <w:tcBorders>
              <w:top w:val="single" w:color="auto" w:sz="6" w:space="0"/>
              <w:left w:val="single" w:color="auto" w:sz="6" w:space="0"/>
              <w:bottom w:val="single" w:color="auto" w:sz="6" w:space="0"/>
              <w:right w:val="single" w:color="auto" w:sz="6" w:space="0"/>
            </w:tcBorders>
            <w:vAlign w:val="center"/>
          </w:tcPr>
          <w:p w14:paraId="326DE349">
            <w:pPr>
              <w:autoSpaceDE w:val="0"/>
              <w:autoSpaceDN w:val="0"/>
              <w:adjustRightInd w:val="0"/>
              <w:spacing w:line="500" w:lineRule="exact"/>
              <w:jc w:val="center"/>
              <w:rPr>
                <w:rFonts w:ascii="宋体" w:cs="宋体"/>
                <w:color w:val="auto"/>
                <w:sz w:val="24"/>
                <w:lang w:val="zh-CN"/>
              </w:rPr>
            </w:pPr>
            <w:r>
              <w:rPr>
                <w:rFonts w:hint="eastAsia" w:ascii="宋体" w:cs="宋体"/>
                <w:color w:val="auto"/>
                <w:sz w:val="24"/>
                <w:lang w:val="zh-CN"/>
              </w:rPr>
              <w:t>9</w:t>
            </w:r>
          </w:p>
        </w:tc>
      </w:tr>
      <w:tr w14:paraId="2662BE5A">
        <w:tblPrEx>
          <w:tblCellMar>
            <w:top w:w="0" w:type="dxa"/>
            <w:left w:w="10" w:type="dxa"/>
            <w:bottom w:w="0" w:type="dxa"/>
            <w:right w:w="10" w:type="dxa"/>
          </w:tblCellMar>
        </w:tblPrEx>
        <w:tc>
          <w:tcPr>
            <w:tcW w:w="468" w:type="dxa"/>
            <w:tcBorders>
              <w:top w:val="single" w:color="auto" w:sz="6" w:space="0"/>
              <w:left w:val="single" w:color="auto" w:sz="6" w:space="0"/>
              <w:bottom w:val="single" w:color="auto" w:sz="6" w:space="0"/>
              <w:right w:val="single" w:color="auto" w:sz="6" w:space="0"/>
            </w:tcBorders>
            <w:vAlign w:val="center"/>
          </w:tcPr>
          <w:p w14:paraId="02FE26EC">
            <w:pPr>
              <w:autoSpaceDE w:val="0"/>
              <w:autoSpaceDN w:val="0"/>
              <w:adjustRightInd w:val="0"/>
              <w:spacing w:line="500" w:lineRule="exact"/>
              <w:jc w:val="center"/>
              <w:rPr>
                <w:color w:val="auto"/>
                <w:sz w:val="24"/>
              </w:rPr>
            </w:pPr>
            <w:r>
              <w:rPr>
                <w:color w:val="auto"/>
                <w:sz w:val="24"/>
              </w:rPr>
              <w:t>1</w:t>
            </w:r>
          </w:p>
        </w:tc>
        <w:tc>
          <w:tcPr>
            <w:tcW w:w="3857" w:type="dxa"/>
            <w:tcBorders>
              <w:top w:val="single" w:color="auto" w:sz="6" w:space="0"/>
              <w:left w:val="single" w:color="auto" w:sz="6" w:space="0"/>
              <w:bottom w:val="single" w:color="auto" w:sz="6" w:space="0"/>
              <w:right w:val="single" w:color="auto" w:sz="6" w:space="0"/>
            </w:tcBorders>
            <w:vAlign w:val="center"/>
          </w:tcPr>
          <w:p w14:paraId="2CE940ED">
            <w:pPr>
              <w:autoSpaceDE w:val="0"/>
              <w:autoSpaceDN w:val="0"/>
              <w:adjustRightInd w:val="0"/>
              <w:spacing w:line="500" w:lineRule="exact"/>
              <w:jc w:val="center"/>
              <w:rPr>
                <w:rFonts w:ascii="宋体" w:cs="宋体"/>
                <w:color w:val="auto"/>
                <w:kern w:val="0"/>
                <w:sz w:val="24"/>
                <w:lang w:val="zh-CN"/>
              </w:rPr>
            </w:pPr>
            <w:r>
              <w:rPr>
                <w:rFonts w:hint="eastAsia" w:ascii="宋体" w:cs="宋体"/>
                <w:color w:val="auto"/>
                <w:kern w:val="0"/>
                <w:sz w:val="24"/>
                <w:lang w:val="zh-CN"/>
              </w:rPr>
              <w:t>响应文件中</w:t>
            </w:r>
          </w:p>
          <w:p w14:paraId="440AD7B8">
            <w:pPr>
              <w:autoSpaceDE w:val="0"/>
              <w:autoSpaceDN w:val="0"/>
              <w:adjustRightInd w:val="0"/>
              <w:spacing w:line="500" w:lineRule="exact"/>
              <w:jc w:val="center"/>
              <w:rPr>
                <w:rFonts w:ascii="宋体" w:cs="宋体"/>
                <w:color w:val="auto"/>
                <w:sz w:val="24"/>
                <w:lang w:val="zh-CN"/>
              </w:rPr>
            </w:pPr>
            <w:r>
              <w:rPr>
                <w:rFonts w:hint="eastAsia" w:ascii="宋体" w:cs="宋体"/>
                <w:color w:val="auto"/>
                <w:kern w:val="0"/>
                <w:sz w:val="24"/>
                <w:lang w:val="zh-CN"/>
              </w:rPr>
              <w:t>需要澄清的</w:t>
            </w:r>
          </w:p>
        </w:tc>
        <w:tc>
          <w:tcPr>
            <w:tcW w:w="540" w:type="dxa"/>
            <w:tcBorders>
              <w:top w:val="single" w:color="auto" w:sz="6" w:space="0"/>
              <w:left w:val="single" w:color="auto" w:sz="6" w:space="0"/>
              <w:bottom w:val="single" w:color="auto" w:sz="6" w:space="0"/>
              <w:right w:val="single" w:color="auto" w:sz="6" w:space="0"/>
            </w:tcBorders>
            <w:vAlign w:val="center"/>
          </w:tcPr>
          <w:p w14:paraId="36A1C195">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6CE0E5E4">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038B832A">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1A4D9030">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5BDD2529">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5BA05225">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419316AE">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22D5F001">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35454D6F">
            <w:pPr>
              <w:autoSpaceDE w:val="0"/>
              <w:autoSpaceDN w:val="0"/>
              <w:adjustRightInd w:val="0"/>
              <w:spacing w:line="500" w:lineRule="exact"/>
              <w:jc w:val="center"/>
              <w:rPr>
                <w:rFonts w:ascii="宋体" w:cs="宋体"/>
                <w:color w:val="auto"/>
                <w:sz w:val="24"/>
                <w:lang w:val="zh-CN"/>
              </w:rPr>
            </w:pPr>
          </w:p>
        </w:tc>
      </w:tr>
      <w:tr w14:paraId="25349E70">
        <w:tblPrEx>
          <w:tblCellMar>
            <w:top w:w="0" w:type="dxa"/>
            <w:left w:w="10" w:type="dxa"/>
            <w:bottom w:w="0" w:type="dxa"/>
            <w:right w:w="10" w:type="dxa"/>
          </w:tblCellMar>
        </w:tblPrEx>
        <w:tc>
          <w:tcPr>
            <w:tcW w:w="468" w:type="dxa"/>
            <w:tcBorders>
              <w:top w:val="single" w:color="auto" w:sz="6" w:space="0"/>
              <w:left w:val="single" w:color="auto" w:sz="6" w:space="0"/>
              <w:bottom w:val="single" w:color="auto" w:sz="6" w:space="0"/>
              <w:right w:val="single" w:color="auto" w:sz="6" w:space="0"/>
            </w:tcBorders>
            <w:vAlign w:val="center"/>
          </w:tcPr>
          <w:p w14:paraId="4DD7BD4A">
            <w:pPr>
              <w:autoSpaceDE w:val="0"/>
              <w:autoSpaceDN w:val="0"/>
              <w:adjustRightInd w:val="0"/>
              <w:spacing w:line="500" w:lineRule="exact"/>
              <w:jc w:val="center"/>
              <w:rPr>
                <w:color w:val="auto"/>
                <w:sz w:val="24"/>
              </w:rPr>
            </w:pPr>
            <w:r>
              <w:rPr>
                <w:color w:val="auto"/>
                <w:sz w:val="24"/>
              </w:rPr>
              <w:t>2</w:t>
            </w:r>
          </w:p>
        </w:tc>
        <w:tc>
          <w:tcPr>
            <w:tcW w:w="3857" w:type="dxa"/>
            <w:tcBorders>
              <w:top w:val="single" w:color="auto" w:sz="6" w:space="0"/>
              <w:left w:val="single" w:color="auto" w:sz="6" w:space="0"/>
              <w:bottom w:val="single" w:color="auto" w:sz="6" w:space="0"/>
              <w:right w:val="single" w:color="auto" w:sz="6" w:space="0"/>
            </w:tcBorders>
            <w:vAlign w:val="center"/>
          </w:tcPr>
          <w:p w14:paraId="6ED37A78">
            <w:pPr>
              <w:autoSpaceDE w:val="0"/>
              <w:autoSpaceDN w:val="0"/>
              <w:adjustRightInd w:val="0"/>
              <w:spacing w:line="500" w:lineRule="exact"/>
              <w:jc w:val="center"/>
              <w:rPr>
                <w:rFonts w:ascii="宋体" w:cs="宋体"/>
                <w:color w:val="auto"/>
                <w:kern w:val="0"/>
                <w:sz w:val="24"/>
                <w:lang w:val="zh-CN"/>
              </w:rPr>
            </w:pPr>
            <w:r>
              <w:rPr>
                <w:rFonts w:hint="eastAsia" w:ascii="宋体" w:cs="宋体"/>
                <w:color w:val="auto"/>
                <w:kern w:val="0"/>
                <w:sz w:val="24"/>
                <w:lang w:val="zh-CN"/>
              </w:rPr>
              <w:t>对响应文件中</w:t>
            </w:r>
          </w:p>
          <w:p w14:paraId="1E8BB5A2">
            <w:pPr>
              <w:autoSpaceDE w:val="0"/>
              <w:autoSpaceDN w:val="0"/>
              <w:adjustRightInd w:val="0"/>
              <w:spacing w:line="500" w:lineRule="exact"/>
              <w:jc w:val="center"/>
              <w:rPr>
                <w:rFonts w:ascii="宋体" w:cs="宋体"/>
                <w:color w:val="auto"/>
                <w:sz w:val="24"/>
                <w:lang w:val="zh-CN"/>
              </w:rPr>
            </w:pPr>
            <w:r>
              <w:rPr>
                <w:rFonts w:hint="eastAsia" w:ascii="宋体" w:cs="宋体"/>
                <w:color w:val="auto"/>
                <w:kern w:val="0"/>
                <w:sz w:val="24"/>
                <w:lang w:val="zh-CN"/>
              </w:rPr>
              <w:t>含义不明确的</w:t>
            </w:r>
          </w:p>
        </w:tc>
        <w:tc>
          <w:tcPr>
            <w:tcW w:w="540" w:type="dxa"/>
            <w:tcBorders>
              <w:top w:val="single" w:color="auto" w:sz="6" w:space="0"/>
              <w:left w:val="single" w:color="auto" w:sz="6" w:space="0"/>
              <w:bottom w:val="single" w:color="auto" w:sz="6" w:space="0"/>
              <w:right w:val="single" w:color="auto" w:sz="6" w:space="0"/>
            </w:tcBorders>
            <w:vAlign w:val="center"/>
          </w:tcPr>
          <w:p w14:paraId="4B101676">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7BDFDE6D">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72DE16D1">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7523E948">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698F72E3">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19BA9AA0">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0CF19109">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607EF50E">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67FEAB0D">
            <w:pPr>
              <w:autoSpaceDE w:val="0"/>
              <w:autoSpaceDN w:val="0"/>
              <w:adjustRightInd w:val="0"/>
              <w:spacing w:line="500" w:lineRule="exact"/>
              <w:jc w:val="center"/>
              <w:rPr>
                <w:rFonts w:ascii="宋体" w:cs="宋体"/>
                <w:color w:val="auto"/>
                <w:sz w:val="24"/>
                <w:lang w:val="zh-CN"/>
              </w:rPr>
            </w:pPr>
          </w:p>
        </w:tc>
      </w:tr>
      <w:tr w14:paraId="260058A8">
        <w:tblPrEx>
          <w:tblCellMar>
            <w:top w:w="0" w:type="dxa"/>
            <w:left w:w="10" w:type="dxa"/>
            <w:bottom w:w="0" w:type="dxa"/>
            <w:right w:w="10" w:type="dxa"/>
          </w:tblCellMar>
        </w:tblPrEx>
        <w:tc>
          <w:tcPr>
            <w:tcW w:w="468" w:type="dxa"/>
            <w:tcBorders>
              <w:top w:val="single" w:color="auto" w:sz="6" w:space="0"/>
              <w:left w:val="single" w:color="auto" w:sz="6" w:space="0"/>
              <w:bottom w:val="single" w:color="auto" w:sz="6" w:space="0"/>
              <w:right w:val="single" w:color="auto" w:sz="6" w:space="0"/>
            </w:tcBorders>
            <w:vAlign w:val="center"/>
          </w:tcPr>
          <w:p w14:paraId="7D12440F">
            <w:pPr>
              <w:autoSpaceDE w:val="0"/>
              <w:autoSpaceDN w:val="0"/>
              <w:adjustRightInd w:val="0"/>
              <w:spacing w:line="500" w:lineRule="exact"/>
              <w:jc w:val="center"/>
              <w:rPr>
                <w:color w:val="auto"/>
                <w:sz w:val="24"/>
              </w:rPr>
            </w:pPr>
            <w:r>
              <w:rPr>
                <w:color w:val="auto"/>
                <w:sz w:val="24"/>
              </w:rPr>
              <w:t>3</w:t>
            </w:r>
          </w:p>
        </w:tc>
        <w:tc>
          <w:tcPr>
            <w:tcW w:w="3857" w:type="dxa"/>
            <w:tcBorders>
              <w:top w:val="single" w:color="auto" w:sz="6" w:space="0"/>
              <w:left w:val="single" w:color="auto" w:sz="6" w:space="0"/>
              <w:bottom w:val="single" w:color="auto" w:sz="6" w:space="0"/>
              <w:right w:val="single" w:color="auto" w:sz="6" w:space="0"/>
            </w:tcBorders>
            <w:vAlign w:val="center"/>
          </w:tcPr>
          <w:p w14:paraId="51B8DEF5">
            <w:pPr>
              <w:autoSpaceDE w:val="0"/>
              <w:autoSpaceDN w:val="0"/>
              <w:adjustRightInd w:val="0"/>
              <w:spacing w:line="500" w:lineRule="exact"/>
              <w:jc w:val="center"/>
              <w:rPr>
                <w:rFonts w:ascii="宋体" w:cs="宋体"/>
                <w:color w:val="auto"/>
                <w:sz w:val="24"/>
                <w:lang w:val="zh-CN"/>
              </w:rPr>
            </w:pPr>
            <w:r>
              <w:rPr>
                <w:rFonts w:hint="eastAsia" w:ascii="宋体" w:cs="宋体"/>
                <w:color w:val="auto"/>
                <w:kern w:val="0"/>
                <w:sz w:val="24"/>
                <w:lang w:val="zh-CN"/>
              </w:rPr>
              <w:t>对同类问题表述不一致的</w:t>
            </w:r>
          </w:p>
        </w:tc>
        <w:tc>
          <w:tcPr>
            <w:tcW w:w="540" w:type="dxa"/>
            <w:tcBorders>
              <w:top w:val="single" w:color="auto" w:sz="6" w:space="0"/>
              <w:left w:val="single" w:color="auto" w:sz="6" w:space="0"/>
              <w:bottom w:val="single" w:color="auto" w:sz="6" w:space="0"/>
              <w:right w:val="single" w:color="auto" w:sz="6" w:space="0"/>
            </w:tcBorders>
            <w:vAlign w:val="center"/>
          </w:tcPr>
          <w:p w14:paraId="0471C129">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54BFB952">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1EF29FC1">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5EAFB128">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02AB9B79">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34BD26E9">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6478432A">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7C27012B">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5321E1A8">
            <w:pPr>
              <w:autoSpaceDE w:val="0"/>
              <w:autoSpaceDN w:val="0"/>
              <w:adjustRightInd w:val="0"/>
              <w:spacing w:line="500" w:lineRule="exact"/>
              <w:jc w:val="center"/>
              <w:rPr>
                <w:rFonts w:ascii="宋体" w:cs="宋体"/>
                <w:color w:val="auto"/>
                <w:sz w:val="24"/>
                <w:lang w:val="zh-CN"/>
              </w:rPr>
            </w:pPr>
          </w:p>
        </w:tc>
      </w:tr>
      <w:tr w14:paraId="1E52166C">
        <w:tblPrEx>
          <w:tblCellMar>
            <w:top w:w="0" w:type="dxa"/>
            <w:left w:w="10" w:type="dxa"/>
            <w:bottom w:w="0" w:type="dxa"/>
            <w:right w:w="10" w:type="dxa"/>
          </w:tblCellMar>
        </w:tblPrEx>
        <w:tc>
          <w:tcPr>
            <w:tcW w:w="468" w:type="dxa"/>
            <w:tcBorders>
              <w:top w:val="single" w:color="auto" w:sz="6" w:space="0"/>
              <w:left w:val="single" w:color="auto" w:sz="6" w:space="0"/>
              <w:bottom w:val="single" w:color="auto" w:sz="6" w:space="0"/>
              <w:right w:val="single" w:color="auto" w:sz="6" w:space="0"/>
            </w:tcBorders>
            <w:vAlign w:val="center"/>
          </w:tcPr>
          <w:p w14:paraId="0BA7FA20">
            <w:pPr>
              <w:autoSpaceDE w:val="0"/>
              <w:autoSpaceDN w:val="0"/>
              <w:adjustRightInd w:val="0"/>
              <w:spacing w:line="500" w:lineRule="exact"/>
              <w:jc w:val="center"/>
              <w:rPr>
                <w:color w:val="auto"/>
                <w:sz w:val="24"/>
              </w:rPr>
            </w:pPr>
            <w:r>
              <w:rPr>
                <w:color w:val="auto"/>
                <w:sz w:val="24"/>
              </w:rPr>
              <w:t>4</w:t>
            </w:r>
          </w:p>
        </w:tc>
        <w:tc>
          <w:tcPr>
            <w:tcW w:w="3857" w:type="dxa"/>
            <w:tcBorders>
              <w:top w:val="single" w:color="auto" w:sz="6" w:space="0"/>
              <w:left w:val="single" w:color="auto" w:sz="6" w:space="0"/>
              <w:bottom w:val="single" w:color="auto" w:sz="6" w:space="0"/>
              <w:right w:val="single" w:color="auto" w:sz="6" w:space="0"/>
            </w:tcBorders>
            <w:vAlign w:val="center"/>
          </w:tcPr>
          <w:p w14:paraId="7D942A1E">
            <w:pPr>
              <w:autoSpaceDE w:val="0"/>
              <w:autoSpaceDN w:val="0"/>
              <w:adjustRightInd w:val="0"/>
              <w:spacing w:line="500" w:lineRule="exact"/>
              <w:jc w:val="center"/>
              <w:rPr>
                <w:rFonts w:ascii="宋体" w:cs="宋体"/>
                <w:color w:val="auto"/>
                <w:kern w:val="0"/>
                <w:sz w:val="24"/>
                <w:lang w:val="zh-CN"/>
              </w:rPr>
            </w:pPr>
            <w:r>
              <w:rPr>
                <w:rFonts w:hint="eastAsia" w:ascii="宋体" w:cs="宋体"/>
                <w:color w:val="auto"/>
                <w:kern w:val="0"/>
                <w:sz w:val="24"/>
                <w:lang w:val="zh-CN"/>
              </w:rPr>
              <w:t>明显文字和</w:t>
            </w:r>
          </w:p>
          <w:p w14:paraId="35446D6B">
            <w:pPr>
              <w:autoSpaceDE w:val="0"/>
              <w:autoSpaceDN w:val="0"/>
              <w:adjustRightInd w:val="0"/>
              <w:spacing w:line="500" w:lineRule="exact"/>
              <w:jc w:val="center"/>
              <w:rPr>
                <w:rFonts w:ascii="宋体" w:cs="宋体"/>
                <w:color w:val="auto"/>
                <w:sz w:val="24"/>
                <w:lang w:val="zh-CN"/>
              </w:rPr>
            </w:pPr>
            <w:r>
              <w:rPr>
                <w:rFonts w:hint="eastAsia" w:ascii="宋体" w:cs="宋体"/>
                <w:color w:val="auto"/>
                <w:kern w:val="0"/>
                <w:sz w:val="24"/>
                <w:lang w:val="zh-CN"/>
              </w:rPr>
              <w:t>计算错误的</w:t>
            </w:r>
          </w:p>
        </w:tc>
        <w:tc>
          <w:tcPr>
            <w:tcW w:w="540" w:type="dxa"/>
            <w:tcBorders>
              <w:top w:val="single" w:color="auto" w:sz="6" w:space="0"/>
              <w:left w:val="single" w:color="auto" w:sz="6" w:space="0"/>
              <w:bottom w:val="single" w:color="auto" w:sz="6" w:space="0"/>
              <w:right w:val="single" w:color="auto" w:sz="6" w:space="0"/>
            </w:tcBorders>
            <w:vAlign w:val="center"/>
          </w:tcPr>
          <w:p w14:paraId="6BE6ACB7">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50CA5BB6">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3D3F52CF">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22D725E2">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2F436EEA">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2919D87E">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19A793E2">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1EB0552E">
            <w:pPr>
              <w:autoSpaceDE w:val="0"/>
              <w:autoSpaceDN w:val="0"/>
              <w:adjustRightInd w:val="0"/>
              <w:spacing w:line="500" w:lineRule="exact"/>
              <w:jc w:val="center"/>
              <w:rPr>
                <w:rFonts w:ascii="宋体" w:cs="宋体"/>
                <w:color w:val="auto"/>
                <w:sz w:val="24"/>
                <w:lang w:val="zh-CN"/>
              </w:rPr>
            </w:pPr>
          </w:p>
        </w:tc>
        <w:tc>
          <w:tcPr>
            <w:tcW w:w="540" w:type="dxa"/>
            <w:tcBorders>
              <w:top w:val="single" w:color="auto" w:sz="6" w:space="0"/>
              <w:left w:val="single" w:color="auto" w:sz="6" w:space="0"/>
              <w:bottom w:val="single" w:color="auto" w:sz="6" w:space="0"/>
              <w:right w:val="single" w:color="auto" w:sz="6" w:space="0"/>
            </w:tcBorders>
            <w:vAlign w:val="center"/>
          </w:tcPr>
          <w:p w14:paraId="605F5550">
            <w:pPr>
              <w:autoSpaceDE w:val="0"/>
              <w:autoSpaceDN w:val="0"/>
              <w:adjustRightInd w:val="0"/>
              <w:spacing w:line="500" w:lineRule="exact"/>
              <w:jc w:val="center"/>
              <w:rPr>
                <w:rFonts w:ascii="宋体" w:cs="宋体"/>
                <w:color w:val="auto"/>
                <w:sz w:val="24"/>
                <w:lang w:val="zh-CN"/>
              </w:rPr>
            </w:pPr>
          </w:p>
        </w:tc>
      </w:tr>
      <w:tr w14:paraId="20973A86">
        <w:tblPrEx>
          <w:tblCellMar>
            <w:top w:w="0" w:type="dxa"/>
            <w:left w:w="10" w:type="dxa"/>
            <w:bottom w:w="0" w:type="dxa"/>
            <w:right w:w="10" w:type="dxa"/>
          </w:tblCellMar>
        </w:tblPrEx>
        <w:tc>
          <w:tcPr>
            <w:tcW w:w="468" w:type="dxa"/>
            <w:tcBorders>
              <w:top w:val="single" w:color="auto" w:sz="6" w:space="0"/>
              <w:left w:val="single" w:color="auto" w:sz="6" w:space="0"/>
              <w:bottom w:val="single" w:color="auto" w:sz="6" w:space="0"/>
              <w:right w:val="single" w:color="auto" w:sz="6" w:space="0"/>
            </w:tcBorders>
            <w:vAlign w:val="center"/>
          </w:tcPr>
          <w:p w14:paraId="4C5A7B72">
            <w:pPr>
              <w:autoSpaceDE w:val="0"/>
              <w:autoSpaceDN w:val="0"/>
              <w:adjustRightInd w:val="0"/>
              <w:spacing w:line="500" w:lineRule="exact"/>
              <w:jc w:val="center"/>
              <w:rPr>
                <w:color w:val="auto"/>
                <w:sz w:val="24"/>
              </w:rPr>
            </w:pPr>
            <w:r>
              <w:rPr>
                <w:color w:val="auto"/>
                <w:sz w:val="24"/>
              </w:rPr>
              <w:t>5</w:t>
            </w:r>
          </w:p>
        </w:tc>
        <w:tc>
          <w:tcPr>
            <w:tcW w:w="3857" w:type="dxa"/>
            <w:tcBorders>
              <w:top w:val="single" w:color="auto" w:sz="6" w:space="0"/>
              <w:left w:val="single" w:color="auto" w:sz="6" w:space="0"/>
              <w:bottom w:val="single" w:color="auto" w:sz="6" w:space="0"/>
              <w:right w:val="single" w:color="auto" w:sz="6" w:space="0"/>
            </w:tcBorders>
            <w:vAlign w:val="center"/>
          </w:tcPr>
          <w:p w14:paraId="29F6C778">
            <w:pPr>
              <w:autoSpaceDE w:val="0"/>
              <w:autoSpaceDN w:val="0"/>
              <w:adjustRightInd w:val="0"/>
              <w:spacing w:line="500" w:lineRule="exact"/>
              <w:jc w:val="center"/>
              <w:rPr>
                <w:color w:val="auto"/>
                <w:sz w:val="24"/>
              </w:rPr>
            </w:pPr>
            <w:r>
              <w:rPr>
                <w:rFonts w:hint="eastAsia" w:ascii="宋体" w:cs="宋体"/>
                <w:color w:val="auto"/>
                <w:sz w:val="24"/>
                <w:lang w:val="zh-CN"/>
              </w:rPr>
              <w:t>结论</w:t>
            </w:r>
          </w:p>
        </w:tc>
        <w:tc>
          <w:tcPr>
            <w:tcW w:w="540" w:type="dxa"/>
            <w:tcBorders>
              <w:top w:val="single" w:color="auto" w:sz="6" w:space="0"/>
              <w:left w:val="single" w:color="auto" w:sz="6" w:space="0"/>
              <w:bottom w:val="single" w:color="auto" w:sz="6" w:space="0"/>
              <w:right w:val="single" w:color="auto" w:sz="6" w:space="0"/>
            </w:tcBorders>
            <w:vAlign w:val="center"/>
          </w:tcPr>
          <w:p w14:paraId="5706BFA9">
            <w:pPr>
              <w:autoSpaceDE w:val="0"/>
              <w:autoSpaceDN w:val="0"/>
              <w:adjustRightInd w:val="0"/>
              <w:spacing w:line="500" w:lineRule="exact"/>
              <w:jc w:val="center"/>
              <w:rPr>
                <w:color w:val="auto"/>
                <w:sz w:val="24"/>
              </w:rPr>
            </w:pPr>
          </w:p>
        </w:tc>
        <w:tc>
          <w:tcPr>
            <w:tcW w:w="540" w:type="dxa"/>
            <w:tcBorders>
              <w:top w:val="single" w:color="auto" w:sz="6" w:space="0"/>
              <w:left w:val="single" w:color="auto" w:sz="6" w:space="0"/>
              <w:bottom w:val="single" w:color="auto" w:sz="6" w:space="0"/>
              <w:right w:val="single" w:color="auto" w:sz="6" w:space="0"/>
            </w:tcBorders>
            <w:vAlign w:val="center"/>
          </w:tcPr>
          <w:p w14:paraId="5B584A37">
            <w:pPr>
              <w:autoSpaceDE w:val="0"/>
              <w:autoSpaceDN w:val="0"/>
              <w:adjustRightInd w:val="0"/>
              <w:spacing w:line="500" w:lineRule="exact"/>
              <w:jc w:val="center"/>
              <w:rPr>
                <w:color w:val="auto"/>
                <w:sz w:val="24"/>
              </w:rPr>
            </w:pPr>
          </w:p>
        </w:tc>
        <w:tc>
          <w:tcPr>
            <w:tcW w:w="540" w:type="dxa"/>
            <w:tcBorders>
              <w:top w:val="single" w:color="auto" w:sz="6" w:space="0"/>
              <w:left w:val="single" w:color="auto" w:sz="6" w:space="0"/>
              <w:bottom w:val="single" w:color="auto" w:sz="6" w:space="0"/>
              <w:right w:val="single" w:color="auto" w:sz="6" w:space="0"/>
            </w:tcBorders>
            <w:vAlign w:val="center"/>
          </w:tcPr>
          <w:p w14:paraId="30AE1E3C">
            <w:pPr>
              <w:autoSpaceDE w:val="0"/>
              <w:autoSpaceDN w:val="0"/>
              <w:adjustRightInd w:val="0"/>
              <w:spacing w:line="500" w:lineRule="exact"/>
              <w:jc w:val="center"/>
              <w:rPr>
                <w:color w:val="auto"/>
                <w:sz w:val="24"/>
              </w:rPr>
            </w:pPr>
          </w:p>
        </w:tc>
        <w:tc>
          <w:tcPr>
            <w:tcW w:w="540" w:type="dxa"/>
            <w:tcBorders>
              <w:top w:val="single" w:color="auto" w:sz="6" w:space="0"/>
              <w:left w:val="single" w:color="auto" w:sz="6" w:space="0"/>
              <w:bottom w:val="single" w:color="auto" w:sz="6" w:space="0"/>
              <w:right w:val="single" w:color="auto" w:sz="6" w:space="0"/>
            </w:tcBorders>
            <w:vAlign w:val="center"/>
          </w:tcPr>
          <w:p w14:paraId="141964C7">
            <w:pPr>
              <w:autoSpaceDE w:val="0"/>
              <w:autoSpaceDN w:val="0"/>
              <w:adjustRightInd w:val="0"/>
              <w:spacing w:line="500" w:lineRule="exact"/>
              <w:jc w:val="center"/>
              <w:rPr>
                <w:color w:val="auto"/>
                <w:sz w:val="24"/>
              </w:rPr>
            </w:pPr>
          </w:p>
        </w:tc>
        <w:tc>
          <w:tcPr>
            <w:tcW w:w="540" w:type="dxa"/>
            <w:tcBorders>
              <w:top w:val="single" w:color="auto" w:sz="6" w:space="0"/>
              <w:left w:val="single" w:color="auto" w:sz="6" w:space="0"/>
              <w:bottom w:val="single" w:color="auto" w:sz="6" w:space="0"/>
              <w:right w:val="single" w:color="auto" w:sz="6" w:space="0"/>
            </w:tcBorders>
            <w:vAlign w:val="center"/>
          </w:tcPr>
          <w:p w14:paraId="0373D584">
            <w:pPr>
              <w:autoSpaceDE w:val="0"/>
              <w:autoSpaceDN w:val="0"/>
              <w:adjustRightInd w:val="0"/>
              <w:spacing w:line="500" w:lineRule="exact"/>
              <w:jc w:val="center"/>
              <w:rPr>
                <w:color w:val="auto"/>
                <w:sz w:val="24"/>
              </w:rPr>
            </w:pPr>
          </w:p>
        </w:tc>
        <w:tc>
          <w:tcPr>
            <w:tcW w:w="540" w:type="dxa"/>
            <w:tcBorders>
              <w:top w:val="single" w:color="auto" w:sz="6" w:space="0"/>
              <w:left w:val="single" w:color="auto" w:sz="6" w:space="0"/>
              <w:bottom w:val="single" w:color="auto" w:sz="6" w:space="0"/>
              <w:right w:val="single" w:color="auto" w:sz="6" w:space="0"/>
            </w:tcBorders>
            <w:vAlign w:val="center"/>
          </w:tcPr>
          <w:p w14:paraId="489CB8BE">
            <w:pPr>
              <w:autoSpaceDE w:val="0"/>
              <w:autoSpaceDN w:val="0"/>
              <w:adjustRightInd w:val="0"/>
              <w:spacing w:line="500" w:lineRule="exact"/>
              <w:jc w:val="center"/>
              <w:rPr>
                <w:color w:val="auto"/>
                <w:sz w:val="24"/>
              </w:rPr>
            </w:pPr>
          </w:p>
        </w:tc>
        <w:tc>
          <w:tcPr>
            <w:tcW w:w="540" w:type="dxa"/>
            <w:tcBorders>
              <w:top w:val="single" w:color="auto" w:sz="6" w:space="0"/>
              <w:left w:val="single" w:color="auto" w:sz="6" w:space="0"/>
              <w:bottom w:val="single" w:color="auto" w:sz="6" w:space="0"/>
              <w:right w:val="single" w:color="auto" w:sz="6" w:space="0"/>
            </w:tcBorders>
            <w:vAlign w:val="center"/>
          </w:tcPr>
          <w:p w14:paraId="17E18862">
            <w:pPr>
              <w:autoSpaceDE w:val="0"/>
              <w:autoSpaceDN w:val="0"/>
              <w:adjustRightInd w:val="0"/>
              <w:spacing w:line="500" w:lineRule="exact"/>
              <w:jc w:val="center"/>
              <w:rPr>
                <w:color w:val="auto"/>
                <w:sz w:val="24"/>
              </w:rPr>
            </w:pPr>
          </w:p>
        </w:tc>
        <w:tc>
          <w:tcPr>
            <w:tcW w:w="540" w:type="dxa"/>
            <w:tcBorders>
              <w:top w:val="single" w:color="auto" w:sz="6" w:space="0"/>
              <w:left w:val="single" w:color="auto" w:sz="6" w:space="0"/>
              <w:bottom w:val="single" w:color="auto" w:sz="6" w:space="0"/>
              <w:right w:val="single" w:color="auto" w:sz="6" w:space="0"/>
            </w:tcBorders>
            <w:vAlign w:val="center"/>
          </w:tcPr>
          <w:p w14:paraId="6C36FBBA">
            <w:pPr>
              <w:autoSpaceDE w:val="0"/>
              <w:autoSpaceDN w:val="0"/>
              <w:adjustRightInd w:val="0"/>
              <w:spacing w:line="500" w:lineRule="exact"/>
              <w:jc w:val="center"/>
              <w:rPr>
                <w:color w:val="auto"/>
                <w:sz w:val="24"/>
              </w:rPr>
            </w:pPr>
          </w:p>
        </w:tc>
        <w:tc>
          <w:tcPr>
            <w:tcW w:w="540" w:type="dxa"/>
            <w:tcBorders>
              <w:top w:val="single" w:color="auto" w:sz="6" w:space="0"/>
              <w:left w:val="single" w:color="auto" w:sz="6" w:space="0"/>
              <w:bottom w:val="single" w:color="auto" w:sz="6" w:space="0"/>
              <w:right w:val="single" w:color="auto" w:sz="6" w:space="0"/>
            </w:tcBorders>
            <w:vAlign w:val="center"/>
          </w:tcPr>
          <w:p w14:paraId="1DE7776A">
            <w:pPr>
              <w:autoSpaceDE w:val="0"/>
              <w:autoSpaceDN w:val="0"/>
              <w:adjustRightInd w:val="0"/>
              <w:spacing w:line="500" w:lineRule="exact"/>
              <w:jc w:val="center"/>
              <w:rPr>
                <w:color w:val="auto"/>
                <w:sz w:val="24"/>
              </w:rPr>
            </w:pPr>
          </w:p>
        </w:tc>
      </w:tr>
      <w:tr w14:paraId="7F550BC3">
        <w:tblPrEx>
          <w:tblCellMar>
            <w:top w:w="0" w:type="dxa"/>
            <w:left w:w="10" w:type="dxa"/>
            <w:bottom w:w="0" w:type="dxa"/>
            <w:right w:w="10" w:type="dxa"/>
          </w:tblCellMar>
        </w:tblPrEx>
        <w:trPr>
          <w:trHeight w:val="1707" w:hRule="atLeast"/>
        </w:trPr>
        <w:tc>
          <w:tcPr>
            <w:tcW w:w="9185" w:type="dxa"/>
            <w:gridSpan w:val="11"/>
            <w:tcBorders>
              <w:top w:val="single" w:color="auto" w:sz="6" w:space="0"/>
              <w:left w:val="single" w:color="auto" w:sz="6" w:space="0"/>
              <w:bottom w:val="single" w:color="auto" w:sz="6" w:space="0"/>
              <w:right w:val="single" w:color="auto" w:sz="6" w:space="0"/>
            </w:tcBorders>
            <w:vAlign w:val="center"/>
          </w:tcPr>
          <w:p w14:paraId="61B0808D">
            <w:pPr>
              <w:autoSpaceDE w:val="0"/>
              <w:autoSpaceDN w:val="0"/>
              <w:adjustRightInd w:val="0"/>
              <w:spacing w:line="500" w:lineRule="exact"/>
              <w:rPr>
                <w:rFonts w:ascii="宋体" w:cs="宋体"/>
                <w:color w:val="auto"/>
                <w:sz w:val="24"/>
                <w:lang w:val="zh-CN"/>
              </w:rPr>
            </w:pPr>
            <w:r>
              <w:rPr>
                <w:rFonts w:hint="eastAsia" w:ascii="宋体" w:cs="宋体"/>
                <w:color w:val="auto"/>
                <w:sz w:val="24"/>
                <w:lang w:val="zh-CN"/>
              </w:rPr>
              <w:t>评委签名：</w:t>
            </w:r>
          </w:p>
          <w:p w14:paraId="58149078">
            <w:pPr>
              <w:autoSpaceDE w:val="0"/>
              <w:autoSpaceDN w:val="0"/>
              <w:adjustRightInd w:val="0"/>
              <w:spacing w:line="500" w:lineRule="exact"/>
              <w:jc w:val="center"/>
              <w:rPr>
                <w:rFonts w:ascii="宋体" w:cs="宋体"/>
                <w:color w:val="auto"/>
                <w:sz w:val="24"/>
                <w:lang w:val="zh-CN"/>
              </w:rPr>
            </w:pPr>
          </w:p>
          <w:p w14:paraId="05149659">
            <w:pPr>
              <w:autoSpaceDE w:val="0"/>
              <w:autoSpaceDN w:val="0"/>
              <w:adjustRightInd w:val="0"/>
              <w:spacing w:line="500" w:lineRule="exact"/>
              <w:ind w:firstLine="4080"/>
              <w:rPr>
                <w:rFonts w:ascii="宋体" w:cs="宋体"/>
                <w:color w:val="auto"/>
                <w:sz w:val="24"/>
                <w:lang w:val="zh-CN"/>
              </w:rPr>
            </w:pPr>
          </w:p>
          <w:p w14:paraId="4383CA21">
            <w:pPr>
              <w:autoSpaceDE w:val="0"/>
              <w:autoSpaceDN w:val="0"/>
              <w:adjustRightInd w:val="0"/>
              <w:spacing w:line="500" w:lineRule="exact"/>
              <w:ind w:firstLine="4080"/>
              <w:rPr>
                <w:rFonts w:ascii="宋体" w:cs="宋体"/>
                <w:color w:val="auto"/>
                <w:sz w:val="24"/>
                <w:lang w:val="zh-CN"/>
              </w:rPr>
            </w:pPr>
          </w:p>
          <w:p w14:paraId="42884D21">
            <w:pPr>
              <w:autoSpaceDE w:val="0"/>
              <w:autoSpaceDN w:val="0"/>
              <w:adjustRightInd w:val="0"/>
              <w:spacing w:line="500" w:lineRule="exact"/>
              <w:ind w:firstLine="4800"/>
              <w:rPr>
                <w:rFonts w:ascii="宋体" w:cs="宋体"/>
                <w:color w:val="auto"/>
                <w:sz w:val="24"/>
                <w:lang w:val="zh-CN"/>
              </w:rPr>
            </w:pPr>
          </w:p>
          <w:p w14:paraId="576A6666">
            <w:pPr>
              <w:autoSpaceDE w:val="0"/>
              <w:autoSpaceDN w:val="0"/>
              <w:adjustRightInd w:val="0"/>
              <w:spacing w:line="500" w:lineRule="exact"/>
              <w:ind w:firstLine="6600" w:firstLineChars="2750"/>
              <w:rPr>
                <w:rFonts w:ascii="宋体" w:cs="宋体"/>
                <w:color w:val="auto"/>
                <w:sz w:val="24"/>
                <w:lang w:val="zh-CN"/>
              </w:rPr>
            </w:pPr>
            <w:r>
              <w:rPr>
                <w:rFonts w:hint="eastAsia" w:ascii="宋体" w:cs="宋体"/>
                <w:color w:val="auto"/>
                <w:sz w:val="24"/>
                <w:lang w:val="zh-CN"/>
              </w:rPr>
              <w:t>年   月   日</w:t>
            </w:r>
          </w:p>
        </w:tc>
      </w:tr>
    </w:tbl>
    <w:p w14:paraId="341B9215">
      <w:pPr>
        <w:rPr>
          <w:color w:val="auto"/>
          <w:lang w:val="zh-CN"/>
        </w:rPr>
      </w:pPr>
    </w:p>
    <w:p w14:paraId="3DCC01DF">
      <w:pPr>
        <w:autoSpaceDE w:val="0"/>
        <w:autoSpaceDN w:val="0"/>
        <w:adjustRightInd w:val="0"/>
        <w:spacing w:line="500" w:lineRule="exact"/>
        <w:ind w:firstLine="240"/>
        <w:rPr>
          <w:rFonts w:ascii="宋体" w:cs="宋体"/>
          <w:color w:val="auto"/>
          <w:sz w:val="24"/>
          <w:lang w:val="zh-CN"/>
        </w:rPr>
      </w:pPr>
      <w:r>
        <w:rPr>
          <w:rFonts w:hint="eastAsia" w:ascii="宋体" w:cs="宋体"/>
          <w:color w:val="auto"/>
          <w:sz w:val="24"/>
          <w:lang w:val="zh-CN"/>
        </w:rPr>
        <w:t>注： (1) 磋商小组可以书面方式要求供应商对响应文件中含义不明确、对同类问题表述不一致或者有明显文字和计算错误的内容作必要的澄清、说明或者纠正。澄清、说明或者补正应以书面方式进行并不得超出响应文件的范围或者改变响应文件的实质性内容。</w:t>
      </w:r>
    </w:p>
    <w:p w14:paraId="01373879">
      <w:pPr>
        <w:autoSpaceDE w:val="0"/>
        <w:autoSpaceDN w:val="0"/>
        <w:adjustRightInd w:val="0"/>
        <w:spacing w:line="500" w:lineRule="exact"/>
        <w:ind w:left="99" w:firstLine="720"/>
        <w:rPr>
          <w:rFonts w:ascii="宋体" w:cs="宋体"/>
          <w:color w:val="auto"/>
          <w:sz w:val="24"/>
          <w:lang w:val="zh-CN"/>
        </w:rPr>
      </w:pPr>
      <w:r>
        <w:rPr>
          <w:rFonts w:hint="eastAsia" w:ascii="宋体" w:cs="宋体"/>
          <w:color w:val="auto"/>
          <w:sz w:val="24"/>
          <w:lang w:val="zh-CN"/>
        </w:rPr>
        <w:t xml:space="preserve"> (2)结论填写</w:t>
      </w:r>
      <w:r>
        <w:rPr>
          <w:rFonts w:ascii="宋体" w:cs="宋体"/>
          <w:color w:val="auto"/>
          <w:sz w:val="24"/>
          <w:lang w:val="zh-CN"/>
        </w:rPr>
        <w:t>“</w:t>
      </w:r>
      <w:r>
        <w:rPr>
          <w:rFonts w:hint="eastAsia" w:ascii="宋体" w:cs="宋体"/>
          <w:color w:val="auto"/>
          <w:sz w:val="24"/>
          <w:lang w:val="zh-CN"/>
        </w:rPr>
        <w:t>合格</w:t>
      </w:r>
      <w:r>
        <w:rPr>
          <w:rFonts w:ascii="宋体" w:cs="宋体"/>
          <w:color w:val="auto"/>
          <w:sz w:val="24"/>
          <w:lang w:val="zh-CN"/>
        </w:rPr>
        <w:t>”</w:t>
      </w:r>
      <w:r>
        <w:rPr>
          <w:rFonts w:hint="eastAsia" w:ascii="宋体" w:cs="宋体"/>
          <w:color w:val="auto"/>
          <w:sz w:val="24"/>
          <w:lang w:val="zh-CN"/>
        </w:rPr>
        <w:t>或</w:t>
      </w:r>
      <w:r>
        <w:rPr>
          <w:rFonts w:ascii="宋体" w:cs="宋体"/>
          <w:color w:val="auto"/>
          <w:sz w:val="24"/>
          <w:lang w:val="zh-CN"/>
        </w:rPr>
        <w:t>“</w:t>
      </w:r>
      <w:r>
        <w:rPr>
          <w:rFonts w:hint="eastAsia" w:ascii="宋体" w:cs="宋体"/>
          <w:color w:val="auto"/>
          <w:sz w:val="24"/>
          <w:lang w:val="zh-CN"/>
        </w:rPr>
        <w:t>不合格</w:t>
      </w:r>
      <w:r>
        <w:rPr>
          <w:rFonts w:ascii="宋体" w:cs="宋体"/>
          <w:color w:val="auto"/>
          <w:sz w:val="24"/>
          <w:lang w:val="zh-CN"/>
        </w:rPr>
        <w:t>”</w:t>
      </w:r>
      <w:r>
        <w:rPr>
          <w:rFonts w:hint="eastAsia" w:ascii="宋体" w:cs="宋体"/>
          <w:color w:val="auto"/>
          <w:sz w:val="24"/>
          <w:lang w:val="zh-CN"/>
        </w:rPr>
        <w:t>，不合格的供应商不进入下一轮评审。</w:t>
      </w:r>
    </w:p>
    <w:p w14:paraId="35A23976">
      <w:pPr>
        <w:autoSpaceDE w:val="0"/>
        <w:autoSpaceDN w:val="0"/>
        <w:adjustRightInd w:val="0"/>
        <w:spacing w:line="500" w:lineRule="exact"/>
        <w:rPr>
          <w:rFonts w:ascii="宋体" w:cs="宋体"/>
          <w:b/>
          <w:bCs/>
          <w:color w:val="auto"/>
          <w:sz w:val="30"/>
          <w:szCs w:val="30"/>
          <w:lang w:val="zh-CN"/>
        </w:rPr>
      </w:pPr>
    </w:p>
    <w:p w14:paraId="6BA3EBD5">
      <w:pPr>
        <w:autoSpaceDE w:val="0"/>
        <w:autoSpaceDN w:val="0"/>
        <w:adjustRightInd w:val="0"/>
        <w:spacing w:line="500" w:lineRule="exact"/>
        <w:rPr>
          <w:rFonts w:ascii="宋体" w:cs="宋体"/>
          <w:b/>
          <w:bCs/>
          <w:color w:val="auto"/>
          <w:sz w:val="30"/>
          <w:szCs w:val="30"/>
          <w:lang w:val="zh-CN"/>
        </w:rPr>
      </w:pPr>
    </w:p>
    <w:p w14:paraId="47F831C1">
      <w:pPr>
        <w:autoSpaceDE w:val="0"/>
        <w:autoSpaceDN w:val="0"/>
        <w:adjustRightInd w:val="0"/>
        <w:spacing w:line="500" w:lineRule="exact"/>
        <w:rPr>
          <w:rFonts w:ascii="宋体" w:cs="宋体"/>
          <w:b/>
          <w:bCs/>
          <w:color w:val="auto"/>
          <w:sz w:val="30"/>
          <w:szCs w:val="30"/>
          <w:lang w:val="zh-CN"/>
        </w:rPr>
      </w:pPr>
    </w:p>
    <w:p w14:paraId="794FA717">
      <w:pPr>
        <w:autoSpaceDE w:val="0"/>
        <w:autoSpaceDN w:val="0"/>
        <w:adjustRightInd w:val="0"/>
        <w:spacing w:line="500" w:lineRule="exact"/>
        <w:rPr>
          <w:rFonts w:ascii="宋体" w:cs="宋体"/>
          <w:b/>
          <w:bCs/>
          <w:color w:val="auto"/>
          <w:sz w:val="24"/>
          <w:lang w:val="zh-CN"/>
        </w:rPr>
      </w:pPr>
    </w:p>
    <w:p w14:paraId="7124202A">
      <w:pPr>
        <w:autoSpaceDE w:val="0"/>
        <w:autoSpaceDN w:val="0"/>
        <w:adjustRightInd w:val="0"/>
        <w:spacing w:line="500" w:lineRule="exact"/>
        <w:outlineLvl w:val="1"/>
        <w:rPr>
          <w:rFonts w:ascii="宋体" w:cs="宋体"/>
          <w:b/>
          <w:bCs/>
          <w:color w:val="auto"/>
          <w:sz w:val="24"/>
          <w:lang w:val="zh-CN"/>
        </w:rPr>
      </w:pPr>
      <w:bookmarkStart w:id="14" w:name="_Toc5144"/>
      <w:bookmarkStart w:id="15" w:name="_Toc31686"/>
      <w:bookmarkStart w:id="16" w:name="_Toc22026"/>
      <w:r>
        <w:rPr>
          <w:rFonts w:hint="eastAsia" w:ascii="宋体" w:cs="宋体"/>
          <w:b/>
          <w:bCs/>
          <w:color w:val="auto"/>
          <w:sz w:val="24"/>
          <w:lang w:val="zh-CN"/>
        </w:rPr>
        <w:t>4：进入详细评审的合格供应商表</w:t>
      </w:r>
      <w:bookmarkEnd w:id="14"/>
      <w:bookmarkEnd w:id="15"/>
      <w:bookmarkEnd w:id="16"/>
    </w:p>
    <w:p w14:paraId="3B5F8D6C">
      <w:pPr>
        <w:autoSpaceDE w:val="0"/>
        <w:autoSpaceDN w:val="0"/>
        <w:adjustRightInd w:val="0"/>
        <w:spacing w:line="500" w:lineRule="exact"/>
        <w:rPr>
          <w:b/>
          <w:bCs/>
          <w:color w:val="auto"/>
          <w:sz w:val="24"/>
        </w:rPr>
      </w:pPr>
      <w:r>
        <w:rPr>
          <w:b/>
          <w:bCs/>
          <w:color w:val="auto"/>
          <w:sz w:val="30"/>
          <w:szCs w:val="30"/>
        </w:rPr>
        <w:t xml:space="preserve"> </w:t>
      </w:r>
      <w:r>
        <w:rPr>
          <w:rFonts w:hint="eastAsia" w:ascii="宋体" w:cs="宋体"/>
          <w:color w:val="auto"/>
          <w:sz w:val="24"/>
          <w:lang w:val="zh-CN"/>
        </w:rPr>
        <w:t>磋商小组认定供应商资格性和符合性检查合格，确定可以进入详细评审。</w:t>
      </w:r>
    </w:p>
    <w:tbl>
      <w:tblPr>
        <w:tblStyle w:val="51"/>
        <w:tblW w:w="8748" w:type="dxa"/>
        <w:tblInd w:w="0" w:type="dxa"/>
        <w:tblLayout w:type="fixed"/>
        <w:tblCellMar>
          <w:top w:w="0" w:type="dxa"/>
          <w:left w:w="108" w:type="dxa"/>
          <w:bottom w:w="0" w:type="dxa"/>
          <w:right w:w="108" w:type="dxa"/>
        </w:tblCellMar>
      </w:tblPr>
      <w:tblGrid>
        <w:gridCol w:w="1728"/>
        <w:gridCol w:w="7020"/>
      </w:tblGrid>
      <w:tr w14:paraId="3FF24FB1">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4BE5F4DF">
            <w:pPr>
              <w:autoSpaceDE w:val="0"/>
              <w:autoSpaceDN w:val="0"/>
              <w:adjustRightInd w:val="0"/>
              <w:spacing w:line="500" w:lineRule="exact"/>
              <w:jc w:val="center"/>
              <w:rPr>
                <w:color w:val="auto"/>
                <w:sz w:val="28"/>
                <w:szCs w:val="28"/>
              </w:rPr>
            </w:pPr>
            <w:r>
              <w:rPr>
                <w:rFonts w:hint="eastAsia" w:ascii="宋体" w:cs="宋体"/>
                <w:color w:val="auto"/>
                <w:sz w:val="28"/>
                <w:szCs w:val="28"/>
                <w:lang w:val="zh-CN"/>
              </w:rPr>
              <w:t>序号</w:t>
            </w:r>
          </w:p>
        </w:tc>
        <w:tc>
          <w:tcPr>
            <w:tcW w:w="7020" w:type="dxa"/>
            <w:tcBorders>
              <w:top w:val="single" w:color="auto" w:sz="6" w:space="0"/>
              <w:left w:val="single" w:color="auto" w:sz="6" w:space="0"/>
              <w:bottom w:val="single" w:color="auto" w:sz="6" w:space="0"/>
              <w:right w:val="single" w:color="auto" w:sz="6" w:space="0"/>
            </w:tcBorders>
          </w:tcPr>
          <w:p w14:paraId="063EEF0A">
            <w:pPr>
              <w:autoSpaceDE w:val="0"/>
              <w:autoSpaceDN w:val="0"/>
              <w:adjustRightInd w:val="0"/>
              <w:spacing w:line="500" w:lineRule="exact"/>
              <w:jc w:val="center"/>
              <w:rPr>
                <w:color w:val="auto"/>
                <w:sz w:val="28"/>
                <w:szCs w:val="28"/>
              </w:rPr>
            </w:pPr>
            <w:r>
              <w:rPr>
                <w:rFonts w:hint="eastAsia" w:ascii="宋体" w:cs="宋体"/>
                <w:color w:val="auto"/>
                <w:sz w:val="28"/>
                <w:szCs w:val="28"/>
                <w:lang w:val="zh-CN"/>
              </w:rPr>
              <w:t>合格的供应商名称</w:t>
            </w:r>
          </w:p>
        </w:tc>
      </w:tr>
      <w:tr w14:paraId="51A704C8">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428B3A16">
            <w:pPr>
              <w:autoSpaceDE w:val="0"/>
              <w:autoSpaceDN w:val="0"/>
              <w:adjustRightInd w:val="0"/>
              <w:spacing w:line="500" w:lineRule="exact"/>
              <w:jc w:val="center"/>
              <w:rPr>
                <w:color w:val="auto"/>
                <w:sz w:val="28"/>
                <w:szCs w:val="28"/>
              </w:rPr>
            </w:pPr>
            <w:r>
              <w:rPr>
                <w:color w:val="auto"/>
                <w:sz w:val="28"/>
                <w:szCs w:val="28"/>
              </w:rPr>
              <w:t>1</w:t>
            </w:r>
          </w:p>
        </w:tc>
        <w:tc>
          <w:tcPr>
            <w:tcW w:w="7020" w:type="dxa"/>
            <w:tcBorders>
              <w:top w:val="single" w:color="auto" w:sz="6" w:space="0"/>
              <w:left w:val="single" w:color="auto" w:sz="6" w:space="0"/>
              <w:bottom w:val="single" w:color="auto" w:sz="6" w:space="0"/>
              <w:right w:val="single" w:color="auto" w:sz="6" w:space="0"/>
            </w:tcBorders>
          </w:tcPr>
          <w:p w14:paraId="25ACBAB0">
            <w:pPr>
              <w:autoSpaceDE w:val="0"/>
              <w:autoSpaceDN w:val="0"/>
              <w:adjustRightInd w:val="0"/>
              <w:spacing w:line="500" w:lineRule="exact"/>
              <w:jc w:val="center"/>
              <w:rPr>
                <w:b/>
                <w:bCs/>
                <w:color w:val="auto"/>
                <w:sz w:val="28"/>
                <w:szCs w:val="28"/>
              </w:rPr>
            </w:pPr>
          </w:p>
        </w:tc>
      </w:tr>
      <w:tr w14:paraId="67E5B9CF">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5F3902BD">
            <w:pPr>
              <w:autoSpaceDE w:val="0"/>
              <w:autoSpaceDN w:val="0"/>
              <w:adjustRightInd w:val="0"/>
              <w:spacing w:line="500" w:lineRule="exact"/>
              <w:jc w:val="center"/>
              <w:rPr>
                <w:color w:val="auto"/>
                <w:sz w:val="28"/>
                <w:szCs w:val="28"/>
              </w:rPr>
            </w:pPr>
            <w:r>
              <w:rPr>
                <w:color w:val="auto"/>
                <w:sz w:val="28"/>
                <w:szCs w:val="28"/>
              </w:rPr>
              <w:t>2</w:t>
            </w:r>
          </w:p>
        </w:tc>
        <w:tc>
          <w:tcPr>
            <w:tcW w:w="7020" w:type="dxa"/>
            <w:tcBorders>
              <w:top w:val="single" w:color="auto" w:sz="6" w:space="0"/>
              <w:left w:val="single" w:color="auto" w:sz="6" w:space="0"/>
              <w:bottom w:val="single" w:color="auto" w:sz="6" w:space="0"/>
              <w:right w:val="single" w:color="auto" w:sz="6" w:space="0"/>
            </w:tcBorders>
          </w:tcPr>
          <w:p w14:paraId="18F2AA8C">
            <w:pPr>
              <w:autoSpaceDE w:val="0"/>
              <w:autoSpaceDN w:val="0"/>
              <w:adjustRightInd w:val="0"/>
              <w:spacing w:line="500" w:lineRule="exact"/>
              <w:jc w:val="center"/>
              <w:rPr>
                <w:b/>
                <w:bCs/>
                <w:color w:val="auto"/>
                <w:sz w:val="28"/>
                <w:szCs w:val="28"/>
              </w:rPr>
            </w:pPr>
          </w:p>
        </w:tc>
      </w:tr>
      <w:tr w14:paraId="4679F775">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437202E6">
            <w:pPr>
              <w:autoSpaceDE w:val="0"/>
              <w:autoSpaceDN w:val="0"/>
              <w:adjustRightInd w:val="0"/>
              <w:spacing w:line="500" w:lineRule="exact"/>
              <w:jc w:val="center"/>
              <w:rPr>
                <w:color w:val="auto"/>
                <w:sz w:val="28"/>
                <w:szCs w:val="28"/>
              </w:rPr>
            </w:pPr>
            <w:r>
              <w:rPr>
                <w:color w:val="auto"/>
                <w:sz w:val="28"/>
                <w:szCs w:val="28"/>
              </w:rPr>
              <w:t>3</w:t>
            </w:r>
          </w:p>
        </w:tc>
        <w:tc>
          <w:tcPr>
            <w:tcW w:w="7020" w:type="dxa"/>
            <w:tcBorders>
              <w:top w:val="single" w:color="auto" w:sz="6" w:space="0"/>
              <w:left w:val="single" w:color="auto" w:sz="6" w:space="0"/>
              <w:bottom w:val="single" w:color="auto" w:sz="6" w:space="0"/>
              <w:right w:val="single" w:color="auto" w:sz="6" w:space="0"/>
            </w:tcBorders>
          </w:tcPr>
          <w:p w14:paraId="32EF594B">
            <w:pPr>
              <w:autoSpaceDE w:val="0"/>
              <w:autoSpaceDN w:val="0"/>
              <w:adjustRightInd w:val="0"/>
              <w:spacing w:line="500" w:lineRule="exact"/>
              <w:jc w:val="center"/>
              <w:rPr>
                <w:b/>
                <w:bCs/>
                <w:color w:val="auto"/>
                <w:sz w:val="28"/>
                <w:szCs w:val="28"/>
              </w:rPr>
            </w:pPr>
          </w:p>
        </w:tc>
      </w:tr>
      <w:tr w14:paraId="000B3846">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43BB69E0">
            <w:pPr>
              <w:autoSpaceDE w:val="0"/>
              <w:autoSpaceDN w:val="0"/>
              <w:adjustRightInd w:val="0"/>
              <w:spacing w:line="500" w:lineRule="exact"/>
              <w:jc w:val="center"/>
              <w:rPr>
                <w:color w:val="auto"/>
                <w:sz w:val="28"/>
                <w:szCs w:val="28"/>
              </w:rPr>
            </w:pPr>
            <w:r>
              <w:rPr>
                <w:color w:val="auto"/>
                <w:sz w:val="28"/>
                <w:szCs w:val="28"/>
              </w:rPr>
              <w:t>4</w:t>
            </w:r>
          </w:p>
        </w:tc>
        <w:tc>
          <w:tcPr>
            <w:tcW w:w="7020" w:type="dxa"/>
            <w:tcBorders>
              <w:top w:val="single" w:color="auto" w:sz="6" w:space="0"/>
              <w:left w:val="single" w:color="auto" w:sz="6" w:space="0"/>
              <w:bottom w:val="single" w:color="auto" w:sz="6" w:space="0"/>
              <w:right w:val="single" w:color="auto" w:sz="6" w:space="0"/>
            </w:tcBorders>
          </w:tcPr>
          <w:p w14:paraId="52FED3EE">
            <w:pPr>
              <w:autoSpaceDE w:val="0"/>
              <w:autoSpaceDN w:val="0"/>
              <w:adjustRightInd w:val="0"/>
              <w:spacing w:line="500" w:lineRule="exact"/>
              <w:jc w:val="center"/>
              <w:rPr>
                <w:b/>
                <w:bCs/>
                <w:color w:val="auto"/>
                <w:sz w:val="28"/>
                <w:szCs w:val="28"/>
              </w:rPr>
            </w:pPr>
          </w:p>
        </w:tc>
      </w:tr>
      <w:tr w14:paraId="26A1AF2A">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5E86B6FB">
            <w:pPr>
              <w:autoSpaceDE w:val="0"/>
              <w:autoSpaceDN w:val="0"/>
              <w:adjustRightInd w:val="0"/>
              <w:spacing w:line="500" w:lineRule="exact"/>
              <w:jc w:val="center"/>
              <w:rPr>
                <w:color w:val="auto"/>
                <w:sz w:val="28"/>
                <w:szCs w:val="28"/>
              </w:rPr>
            </w:pPr>
            <w:r>
              <w:rPr>
                <w:color w:val="auto"/>
                <w:sz w:val="28"/>
                <w:szCs w:val="28"/>
              </w:rPr>
              <w:t>5</w:t>
            </w:r>
          </w:p>
        </w:tc>
        <w:tc>
          <w:tcPr>
            <w:tcW w:w="7020" w:type="dxa"/>
            <w:tcBorders>
              <w:top w:val="single" w:color="auto" w:sz="6" w:space="0"/>
              <w:left w:val="single" w:color="auto" w:sz="6" w:space="0"/>
              <w:bottom w:val="single" w:color="auto" w:sz="6" w:space="0"/>
              <w:right w:val="single" w:color="auto" w:sz="6" w:space="0"/>
            </w:tcBorders>
          </w:tcPr>
          <w:p w14:paraId="49C59E69">
            <w:pPr>
              <w:autoSpaceDE w:val="0"/>
              <w:autoSpaceDN w:val="0"/>
              <w:adjustRightInd w:val="0"/>
              <w:spacing w:line="500" w:lineRule="exact"/>
              <w:jc w:val="center"/>
              <w:rPr>
                <w:b/>
                <w:bCs/>
                <w:color w:val="auto"/>
                <w:sz w:val="28"/>
                <w:szCs w:val="28"/>
              </w:rPr>
            </w:pPr>
          </w:p>
        </w:tc>
      </w:tr>
      <w:tr w14:paraId="7AEFE2B9">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2D95666D">
            <w:pPr>
              <w:autoSpaceDE w:val="0"/>
              <w:autoSpaceDN w:val="0"/>
              <w:adjustRightInd w:val="0"/>
              <w:spacing w:line="500" w:lineRule="exact"/>
              <w:jc w:val="center"/>
              <w:rPr>
                <w:color w:val="auto"/>
                <w:sz w:val="28"/>
                <w:szCs w:val="28"/>
              </w:rPr>
            </w:pPr>
            <w:r>
              <w:rPr>
                <w:color w:val="auto"/>
                <w:sz w:val="28"/>
                <w:szCs w:val="28"/>
              </w:rPr>
              <w:t>6</w:t>
            </w:r>
          </w:p>
        </w:tc>
        <w:tc>
          <w:tcPr>
            <w:tcW w:w="7020" w:type="dxa"/>
            <w:tcBorders>
              <w:top w:val="single" w:color="auto" w:sz="6" w:space="0"/>
              <w:left w:val="single" w:color="auto" w:sz="6" w:space="0"/>
              <w:bottom w:val="single" w:color="auto" w:sz="6" w:space="0"/>
              <w:right w:val="single" w:color="auto" w:sz="6" w:space="0"/>
            </w:tcBorders>
          </w:tcPr>
          <w:p w14:paraId="1AE155A9">
            <w:pPr>
              <w:autoSpaceDE w:val="0"/>
              <w:autoSpaceDN w:val="0"/>
              <w:adjustRightInd w:val="0"/>
              <w:spacing w:line="500" w:lineRule="exact"/>
              <w:jc w:val="center"/>
              <w:rPr>
                <w:b/>
                <w:bCs/>
                <w:color w:val="auto"/>
                <w:sz w:val="28"/>
                <w:szCs w:val="28"/>
              </w:rPr>
            </w:pPr>
          </w:p>
        </w:tc>
      </w:tr>
      <w:tr w14:paraId="6F6B5CAD">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432A51AF">
            <w:pPr>
              <w:autoSpaceDE w:val="0"/>
              <w:autoSpaceDN w:val="0"/>
              <w:adjustRightInd w:val="0"/>
              <w:spacing w:line="500" w:lineRule="exact"/>
              <w:jc w:val="center"/>
              <w:rPr>
                <w:color w:val="auto"/>
                <w:sz w:val="28"/>
                <w:szCs w:val="28"/>
              </w:rPr>
            </w:pPr>
            <w:r>
              <w:rPr>
                <w:color w:val="auto"/>
                <w:sz w:val="28"/>
                <w:szCs w:val="28"/>
              </w:rPr>
              <w:t>7</w:t>
            </w:r>
          </w:p>
        </w:tc>
        <w:tc>
          <w:tcPr>
            <w:tcW w:w="7020" w:type="dxa"/>
            <w:tcBorders>
              <w:top w:val="single" w:color="auto" w:sz="6" w:space="0"/>
              <w:left w:val="single" w:color="auto" w:sz="6" w:space="0"/>
              <w:bottom w:val="single" w:color="auto" w:sz="6" w:space="0"/>
              <w:right w:val="single" w:color="auto" w:sz="6" w:space="0"/>
            </w:tcBorders>
          </w:tcPr>
          <w:p w14:paraId="27ADCF29">
            <w:pPr>
              <w:autoSpaceDE w:val="0"/>
              <w:autoSpaceDN w:val="0"/>
              <w:adjustRightInd w:val="0"/>
              <w:spacing w:line="500" w:lineRule="exact"/>
              <w:jc w:val="center"/>
              <w:rPr>
                <w:b/>
                <w:bCs/>
                <w:color w:val="auto"/>
                <w:sz w:val="28"/>
                <w:szCs w:val="28"/>
              </w:rPr>
            </w:pPr>
          </w:p>
        </w:tc>
      </w:tr>
      <w:tr w14:paraId="5D5F7E73">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0B5F1949">
            <w:pPr>
              <w:autoSpaceDE w:val="0"/>
              <w:autoSpaceDN w:val="0"/>
              <w:adjustRightInd w:val="0"/>
              <w:spacing w:line="500" w:lineRule="exact"/>
              <w:jc w:val="center"/>
              <w:rPr>
                <w:color w:val="auto"/>
                <w:sz w:val="28"/>
                <w:szCs w:val="28"/>
              </w:rPr>
            </w:pPr>
            <w:r>
              <w:rPr>
                <w:color w:val="auto"/>
                <w:sz w:val="28"/>
                <w:szCs w:val="28"/>
              </w:rPr>
              <w:t>8</w:t>
            </w:r>
          </w:p>
        </w:tc>
        <w:tc>
          <w:tcPr>
            <w:tcW w:w="7020" w:type="dxa"/>
            <w:tcBorders>
              <w:top w:val="single" w:color="auto" w:sz="6" w:space="0"/>
              <w:left w:val="single" w:color="auto" w:sz="6" w:space="0"/>
              <w:bottom w:val="single" w:color="auto" w:sz="6" w:space="0"/>
              <w:right w:val="single" w:color="auto" w:sz="6" w:space="0"/>
            </w:tcBorders>
          </w:tcPr>
          <w:p w14:paraId="5D77B2A1">
            <w:pPr>
              <w:autoSpaceDE w:val="0"/>
              <w:autoSpaceDN w:val="0"/>
              <w:adjustRightInd w:val="0"/>
              <w:spacing w:line="500" w:lineRule="exact"/>
              <w:jc w:val="center"/>
              <w:rPr>
                <w:b/>
                <w:bCs/>
                <w:color w:val="auto"/>
                <w:sz w:val="28"/>
                <w:szCs w:val="28"/>
              </w:rPr>
            </w:pPr>
          </w:p>
        </w:tc>
      </w:tr>
      <w:tr w14:paraId="5100485A">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63B2FBBF">
            <w:pPr>
              <w:autoSpaceDE w:val="0"/>
              <w:autoSpaceDN w:val="0"/>
              <w:adjustRightInd w:val="0"/>
              <w:spacing w:line="500" w:lineRule="exact"/>
              <w:jc w:val="center"/>
              <w:rPr>
                <w:color w:val="auto"/>
                <w:sz w:val="28"/>
                <w:szCs w:val="28"/>
              </w:rPr>
            </w:pPr>
            <w:r>
              <w:rPr>
                <w:color w:val="auto"/>
                <w:sz w:val="28"/>
                <w:szCs w:val="28"/>
              </w:rPr>
              <w:t>9</w:t>
            </w:r>
          </w:p>
        </w:tc>
        <w:tc>
          <w:tcPr>
            <w:tcW w:w="7020" w:type="dxa"/>
            <w:tcBorders>
              <w:top w:val="single" w:color="auto" w:sz="6" w:space="0"/>
              <w:left w:val="single" w:color="auto" w:sz="6" w:space="0"/>
              <w:bottom w:val="single" w:color="auto" w:sz="6" w:space="0"/>
              <w:right w:val="single" w:color="auto" w:sz="6" w:space="0"/>
            </w:tcBorders>
          </w:tcPr>
          <w:p w14:paraId="777C81ED">
            <w:pPr>
              <w:autoSpaceDE w:val="0"/>
              <w:autoSpaceDN w:val="0"/>
              <w:adjustRightInd w:val="0"/>
              <w:spacing w:line="500" w:lineRule="exact"/>
              <w:jc w:val="center"/>
              <w:rPr>
                <w:b/>
                <w:bCs/>
                <w:color w:val="auto"/>
                <w:sz w:val="28"/>
                <w:szCs w:val="28"/>
              </w:rPr>
            </w:pPr>
          </w:p>
        </w:tc>
      </w:tr>
      <w:tr w14:paraId="1FABE124">
        <w:tblPrEx>
          <w:tblCellMar>
            <w:top w:w="0" w:type="dxa"/>
            <w:left w:w="108" w:type="dxa"/>
            <w:bottom w:w="0" w:type="dxa"/>
            <w:right w:w="108" w:type="dxa"/>
          </w:tblCellMar>
        </w:tblPrEx>
        <w:tc>
          <w:tcPr>
            <w:tcW w:w="1728" w:type="dxa"/>
            <w:tcBorders>
              <w:top w:val="single" w:color="auto" w:sz="6" w:space="0"/>
              <w:left w:val="single" w:color="auto" w:sz="6" w:space="0"/>
              <w:bottom w:val="single" w:color="auto" w:sz="6" w:space="0"/>
              <w:right w:val="single" w:color="auto" w:sz="6" w:space="0"/>
            </w:tcBorders>
          </w:tcPr>
          <w:p w14:paraId="3179D5A8">
            <w:pPr>
              <w:autoSpaceDE w:val="0"/>
              <w:autoSpaceDN w:val="0"/>
              <w:adjustRightInd w:val="0"/>
              <w:spacing w:line="500" w:lineRule="exact"/>
              <w:jc w:val="center"/>
              <w:rPr>
                <w:color w:val="auto"/>
                <w:sz w:val="28"/>
                <w:szCs w:val="28"/>
              </w:rPr>
            </w:pPr>
            <w:r>
              <w:rPr>
                <w:color w:val="auto"/>
                <w:sz w:val="28"/>
                <w:szCs w:val="28"/>
              </w:rPr>
              <w:t>10</w:t>
            </w:r>
          </w:p>
        </w:tc>
        <w:tc>
          <w:tcPr>
            <w:tcW w:w="7020" w:type="dxa"/>
            <w:tcBorders>
              <w:top w:val="single" w:color="auto" w:sz="6" w:space="0"/>
              <w:left w:val="single" w:color="auto" w:sz="6" w:space="0"/>
              <w:bottom w:val="single" w:color="auto" w:sz="6" w:space="0"/>
              <w:right w:val="single" w:color="auto" w:sz="6" w:space="0"/>
            </w:tcBorders>
          </w:tcPr>
          <w:p w14:paraId="28B67243">
            <w:pPr>
              <w:autoSpaceDE w:val="0"/>
              <w:autoSpaceDN w:val="0"/>
              <w:adjustRightInd w:val="0"/>
              <w:spacing w:line="500" w:lineRule="exact"/>
              <w:jc w:val="center"/>
              <w:rPr>
                <w:b/>
                <w:bCs/>
                <w:color w:val="auto"/>
                <w:sz w:val="28"/>
                <w:szCs w:val="28"/>
              </w:rPr>
            </w:pPr>
          </w:p>
        </w:tc>
      </w:tr>
      <w:tr w14:paraId="6E7DEE15">
        <w:tblPrEx>
          <w:tblCellMar>
            <w:top w:w="0" w:type="dxa"/>
            <w:left w:w="108" w:type="dxa"/>
            <w:bottom w:w="0" w:type="dxa"/>
            <w:right w:w="108" w:type="dxa"/>
          </w:tblCellMar>
        </w:tblPrEx>
        <w:tc>
          <w:tcPr>
            <w:tcW w:w="8748" w:type="dxa"/>
            <w:gridSpan w:val="2"/>
            <w:tcBorders>
              <w:top w:val="single" w:color="auto" w:sz="6" w:space="0"/>
              <w:left w:val="single" w:color="auto" w:sz="6" w:space="0"/>
              <w:bottom w:val="single" w:color="auto" w:sz="6" w:space="0"/>
              <w:right w:val="single" w:color="auto" w:sz="6" w:space="0"/>
            </w:tcBorders>
            <w:vAlign w:val="center"/>
          </w:tcPr>
          <w:p w14:paraId="67F22621">
            <w:pPr>
              <w:autoSpaceDE w:val="0"/>
              <w:autoSpaceDN w:val="0"/>
              <w:adjustRightInd w:val="0"/>
              <w:spacing w:line="500" w:lineRule="exact"/>
              <w:rPr>
                <w:color w:val="auto"/>
                <w:sz w:val="28"/>
                <w:szCs w:val="28"/>
              </w:rPr>
            </w:pPr>
            <w:r>
              <w:rPr>
                <w:rFonts w:hint="eastAsia" w:ascii="宋体" w:cs="宋体"/>
                <w:color w:val="auto"/>
                <w:sz w:val="28"/>
                <w:szCs w:val="28"/>
                <w:lang w:val="zh-CN"/>
              </w:rPr>
              <w:t>评委签名：</w:t>
            </w:r>
          </w:p>
          <w:p w14:paraId="1AF358F3">
            <w:pPr>
              <w:autoSpaceDE w:val="0"/>
              <w:autoSpaceDN w:val="0"/>
              <w:adjustRightInd w:val="0"/>
              <w:spacing w:line="500" w:lineRule="exact"/>
              <w:jc w:val="center"/>
              <w:rPr>
                <w:b/>
                <w:bCs/>
                <w:color w:val="auto"/>
                <w:sz w:val="28"/>
                <w:szCs w:val="28"/>
              </w:rPr>
            </w:pPr>
          </w:p>
          <w:p w14:paraId="22B3F7D6">
            <w:pPr>
              <w:autoSpaceDE w:val="0"/>
              <w:autoSpaceDN w:val="0"/>
              <w:adjustRightInd w:val="0"/>
              <w:spacing w:line="500" w:lineRule="exact"/>
              <w:ind w:firstLine="6020"/>
              <w:jc w:val="right"/>
              <w:rPr>
                <w:b/>
                <w:bCs/>
                <w:color w:val="auto"/>
                <w:sz w:val="28"/>
                <w:szCs w:val="28"/>
              </w:rPr>
            </w:pPr>
            <w:r>
              <w:rPr>
                <w:rFonts w:hint="eastAsia" w:ascii="宋体" w:cs="宋体"/>
                <w:color w:val="auto"/>
                <w:sz w:val="28"/>
                <w:szCs w:val="28"/>
                <w:lang w:val="zh-CN"/>
              </w:rPr>
              <w:t>年</w:t>
            </w:r>
            <w:r>
              <w:rPr>
                <w:color w:val="auto"/>
                <w:sz w:val="28"/>
                <w:szCs w:val="28"/>
              </w:rPr>
              <w:t xml:space="preserve">   </w:t>
            </w:r>
            <w:r>
              <w:rPr>
                <w:rFonts w:hint="eastAsia" w:ascii="宋体" w:cs="宋体"/>
                <w:color w:val="auto"/>
                <w:sz w:val="28"/>
                <w:szCs w:val="28"/>
                <w:lang w:val="zh-CN"/>
              </w:rPr>
              <w:t>月   日</w:t>
            </w:r>
          </w:p>
        </w:tc>
      </w:tr>
    </w:tbl>
    <w:p w14:paraId="21CF792A">
      <w:pPr>
        <w:autoSpaceDE w:val="0"/>
        <w:autoSpaceDN w:val="0"/>
        <w:adjustRightInd w:val="0"/>
        <w:spacing w:line="500" w:lineRule="exact"/>
        <w:rPr>
          <w:color w:val="auto"/>
          <w:sz w:val="30"/>
          <w:szCs w:val="30"/>
        </w:rPr>
      </w:pPr>
    </w:p>
    <w:p w14:paraId="027E546D">
      <w:pPr>
        <w:autoSpaceDE w:val="0"/>
        <w:autoSpaceDN w:val="0"/>
        <w:adjustRightInd w:val="0"/>
        <w:spacing w:line="500" w:lineRule="exact"/>
        <w:rPr>
          <w:rFonts w:ascii="宋体" w:cs="宋体"/>
          <w:b/>
          <w:bCs/>
          <w:color w:val="auto"/>
          <w:sz w:val="30"/>
          <w:szCs w:val="30"/>
          <w:lang w:val="zh-CN"/>
        </w:rPr>
      </w:pPr>
    </w:p>
    <w:p w14:paraId="5F580C6F">
      <w:pPr>
        <w:autoSpaceDE w:val="0"/>
        <w:autoSpaceDN w:val="0"/>
        <w:adjustRightInd w:val="0"/>
        <w:spacing w:line="500" w:lineRule="exact"/>
        <w:rPr>
          <w:rFonts w:ascii="宋体" w:cs="宋体"/>
          <w:b/>
          <w:bCs/>
          <w:color w:val="auto"/>
          <w:sz w:val="30"/>
          <w:szCs w:val="30"/>
          <w:lang w:val="zh-CN"/>
        </w:rPr>
      </w:pPr>
    </w:p>
    <w:p w14:paraId="6D4B15BC">
      <w:pPr>
        <w:autoSpaceDE w:val="0"/>
        <w:autoSpaceDN w:val="0"/>
        <w:adjustRightInd w:val="0"/>
        <w:spacing w:line="500" w:lineRule="exact"/>
        <w:rPr>
          <w:rFonts w:ascii="宋体" w:cs="宋体"/>
          <w:b/>
          <w:bCs/>
          <w:color w:val="auto"/>
          <w:sz w:val="30"/>
          <w:szCs w:val="30"/>
          <w:lang w:val="zh-CN"/>
        </w:rPr>
      </w:pPr>
    </w:p>
    <w:p w14:paraId="308BCEEB">
      <w:pPr>
        <w:autoSpaceDE w:val="0"/>
        <w:autoSpaceDN w:val="0"/>
        <w:adjustRightInd w:val="0"/>
        <w:spacing w:line="500" w:lineRule="exact"/>
        <w:rPr>
          <w:rFonts w:ascii="宋体" w:cs="宋体"/>
          <w:b/>
          <w:bCs/>
          <w:color w:val="auto"/>
          <w:sz w:val="30"/>
          <w:szCs w:val="30"/>
          <w:lang w:val="zh-CN"/>
        </w:rPr>
      </w:pPr>
    </w:p>
    <w:p w14:paraId="7228EDF1">
      <w:pPr>
        <w:autoSpaceDE w:val="0"/>
        <w:autoSpaceDN w:val="0"/>
        <w:adjustRightInd w:val="0"/>
        <w:spacing w:line="500" w:lineRule="exact"/>
        <w:rPr>
          <w:rFonts w:ascii="宋体" w:cs="宋体"/>
          <w:b/>
          <w:bCs/>
          <w:color w:val="auto"/>
          <w:sz w:val="30"/>
          <w:szCs w:val="30"/>
          <w:lang w:val="zh-CN"/>
        </w:rPr>
      </w:pPr>
    </w:p>
    <w:p w14:paraId="732BEB4E">
      <w:pPr>
        <w:autoSpaceDE w:val="0"/>
        <w:autoSpaceDN w:val="0"/>
        <w:adjustRightInd w:val="0"/>
        <w:spacing w:line="500" w:lineRule="exact"/>
        <w:rPr>
          <w:rFonts w:ascii="宋体" w:cs="宋体"/>
          <w:b/>
          <w:bCs/>
          <w:color w:val="auto"/>
          <w:sz w:val="30"/>
          <w:szCs w:val="30"/>
          <w:lang w:val="zh-CN"/>
        </w:rPr>
      </w:pPr>
    </w:p>
    <w:p w14:paraId="705DFBAA">
      <w:pPr>
        <w:autoSpaceDE w:val="0"/>
        <w:autoSpaceDN w:val="0"/>
        <w:adjustRightInd w:val="0"/>
        <w:spacing w:line="500" w:lineRule="exact"/>
        <w:rPr>
          <w:rFonts w:ascii="宋体" w:cs="宋体"/>
          <w:b/>
          <w:bCs/>
          <w:color w:val="auto"/>
          <w:sz w:val="30"/>
          <w:szCs w:val="30"/>
          <w:lang w:val="zh-CN"/>
        </w:rPr>
      </w:pPr>
    </w:p>
    <w:p w14:paraId="3CE74E8A">
      <w:pPr>
        <w:autoSpaceDE w:val="0"/>
        <w:autoSpaceDN w:val="0"/>
        <w:adjustRightInd w:val="0"/>
        <w:spacing w:line="500" w:lineRule="exact"/>
        <w:rPr>
          <w:rFonts w:ascii="宋体" w:cs="宋体"/>
          <w:b/>
          <w:bCs/>
          <w:color w:val="auto"/>
          <w:sz w:val="30"/>
          <w:szCs w:val="30"/>
          <w:lang w:val="zh-CN"/>
        </w:rPr>
      </w:pPr>
    </w:p>
    <w:p w14:paraId="42332687">
      <w:pPr>
        <w:autoSpaceDE w:val="0"/>
        <w:autoSpaceDN w:val="0"/>
        <w:adjustRightInd w:val="0"/>
        <w:spacing w:line="500" w:lineRule="exact"/>
        <w:rPr>
          <w:rFonts w:ascii="宋体" w:cs="宋体"/>
          <w:b/>
          <w:bCs/>
          <w:color w:val="auto"/>
          <w:sz w:val="24"/>
          <w:lang w:val="zh-CN"/>
        </w:rPr>
      </w:pPr>
    </w:p>
    <w:p w14:paraId="59CA8EAD">
      <w:pPr>
        <w:autoSpaceDE w:val="0"/>
        <w:autoSpaceDN w:val="0"/>
        <w:adjustRightInd w:val="0"/>
        <w:spacing w:line="500" w:lineRule="exact"/>
        <w:rPr>
          <w:rFonts w:ascii="宋体" w:cs="宋体"/>
          <w:b/>
          <w:bCs/>
          <w:color w:val="auto"/>
          <w:sz w:val="24"/>
          <w:lang w:val="zh-CN"/>
        </w:rPr>
      </w:pPr>
    </w:p>
    <w:p w14:paraId="1D327C0D">
      <w:pPr>
        <w:autoSpaceDE w:val="0"/>
        <w:autoSpaceDN w:val="0"/>
        <w:adjustRightInd w:val="0"/>
        <w:spacing w:line="500" w:lineRule="exact"/>
        <w:outlineLvl w:val="1"/>
        <w:rPr>
          <w:rFonts w:ascii="宋体" w:cs="宋体"/>
          <w:b/>
          <w:bCs/>
          <w:color w:val="auto"/>
          <w:sz w:val="24"/>
          <w:lang w:val="zh-CN"/>
        </w:rPr>
      </w:pPr>
      <w:bookmarkStart w:id="17" w:name="_Toc28435"/>
      <w:bookmarkStart w:id="18" w:name="_Toc31501"/>
      <w:bookmarkStart w:id="19" w:name="_Toc14070"/>
      <w:r>
        <w:rPr>
          <w:rFonts w:hint="eastAsia" w:ascii="宋体" w:cs="宋体"/>
          <w:b/>
          <w:bCs/>
          <w:color w:val="auto"/>
          <w:sz w:val="24"/>
          <w:lang w:val="zh-CN"/>
        </w:rPr>
        <w:t>5：不合格供应商表</w:t>
      </w:r>
      <w:bookmarkEnd w:id="17"/>
      <w:bookmarkEnd w:id="18"/>
      <w:bookmarkEnd w:id="19"/>
    </w:p>
    <w:p w14:paraId="72919819">
      <w:pPr>
        <w:autoSpaceDE w:val="0"/>
        <w:autoSpaceDN w:val="0"/>
        <w:adjustRightInd w:val="0"/>
        <w:spacing w:line="500" w:lineRule="exact"/>
        <w:ind w:firstLine="360"/>
        <w:rPr>
          <w:color w:val="auto"/>
          <w:sz w:val="24"/>
        </w:rPr>
      </w:pPr>
      <w:r>
        <w:rPr>
          <w:rFonts w:hint="eastAsia" w:ascii="宋体" w:cs="宋体"/>
          <w:color w:val="auto"/>
          <w:sz w:val="24"/>
          <w:lang w:val="zh-CN"/>
        </w:rPr>
        <w:t>磋商小组认定供应商资格性和符合性检查不合格，确定其为不合格供应商。不合格供应商不能进入下一轮评审。</w:t>
      </w:r>
    </w:p>
    <w:tbl>
      <w:tblPr>
        <w:tblStyle w:val="51"/>
        <w:tblW w:w="9468" w:type="dxa"/>
        <w:tblInd w:w="0" w:type="dxa"/>
        <w:tblLayout w:type="fixed"/>
        <w:tblCellMar>
          <w:top w:w="0" w:type="dxa"/>
          <w:left w:w="108" w:type="dxa"/>
          <w:bottom w:w="0" w:type="dxa"/>
          <w:right w:w="108" w:type="dxa"/>
        </w:tblCellMar>
      </w:tblPr>
      <w:tblGrid>
        <w:gridCol w:w="3348"/>
        <w:gridCol w:w="6120"/>
      </w:tblGrid>
      <w:tr w14:paraId="67144FE1">
        <w:tblPrEx>
          <w:tblCellMar>
            <w:top w:w="0" w:type="dxa"/>
            <w:left w:w="108" w:type="dxa"/>
            <w:bottom w:w="0" w:type="dxa"/>
            <w:right w:w="108" w:type="dxa"/>
          </w:tblCellMar>
        </w:tblPrEx>
        <w:trPr>
          <w:trHeight w:val="1083" w:hRule="atLeast"/>
        </w:trPr>
        <w:tc>
          <w:tcPr>
            <w:tcW w:w="3348" w:type="dxa"/>
            <w:tcBorders>
              <w:top w:val="single" w:color="auto" w:sz="6" w:space="0"/>
              <w:left w:val="single" w:color="auto" w:sz="6" w:space="0"/>
              <w:bottom w:val="single" w:color="auto" w:sz="6" w:space="0"/>
              <w:right w:val="single" w:color="auto" w:sz="6" w:space="0"/>
            </w:tcBorders>
            <w:vAlign w:val="center"/>
          </w:tcPr>
          <w:p w14:paraId="25D188DC">
            <w:pPr>
              <w:autoSpaceDE w:val="0"/>
              <w:autoSpaceDN w:val="0"/>
              <w:adjustRightInd w:val="0"/>
              <w:spacing w:line="500" w:lineRule="exact"/>
              <w:jc w:val="center"/>
              <w:rPr>
                <w:color w:val="auto"/>
                <w:sz w:val="24"/>
              </w:rPr>
            </w:pPr>
            <w:r>
              <w:rPr>
                <w:rFonts w:hint="eastAsia" w:ascii="宋体" w:cs="宋体"/>
                <w:color w:val="auto"/>
                <w:sz w:val="24"/>
                <w:lang w:val="zh-CN"/>
              </w:rPr>
              <w:t>供应商名称</w:t>
            </w:r>
          </w:p>
        </w:tc>
        <w:tc>
          <w:tcPr>
            <w:tcW w:w="6120" w:type="dxa"/>
            <w:tcBorders>
              <w:top w:val="single" w:color="auto" w:sz="6" w:space="0"/>
              <w:left w:val="single" w:color="auto" w:sz="6" w:space="0"/>
              <w:bottom w:val="single" w:color="auto" w:sz="6" w:space="0"/>
              <w:right w:val="single" w:color="auto" w:sz="6" w:space="0"/>
            </w:tcBorders>
            <w:vAlign w:val="center"/>
          </w:tcPr>
          <w:p w14:paraId="7D4DE737">
            <w:pPr>
              <w:autoSpaceDE w:val="0"/>
              <w:autoSpaceDN w:val="0"/>
              <w:adjustRightInd w:val="0"/>
              <w:spacing w:line="500" w:lineRule="exact"/>
              <w:jc w:val="center"/>
              <w:rPr>
                <w:color w:val="auto"/>
                <w:sz w:val="24"/>
              </w:rPr>
            </w:pPr>
            <w:r>
              <w:rPr>
                <w:rFonts w:hint="eastAsia" w:ascii="宋体" w:cs="宋体"/>
                <w:color w:val="auto"/>
                <w:sz w:val="24"/>
                <w:lang w:val="zh-CN"/>
              </w:rPr>
              <w:t>不合格情况说明</w:t>
            </w:r>
          </w:p>
        </w:tc>
      </w:tr>
      <w:tr w14:paraId="116F4D8E">
        <w:tblPrEx>
          <w:tblCellMar>
            <w:top w:w="0" w:type="dxa"/>
            <w:left w:w="108" w:type="dxa"/>
            <w:bottom w:w="0" w:type="dxa"/>
            <w:right w:w="108" w:type="dxa"/>
          </w:tblCellMar>
        </w:tblPrEx>
        <w:trPr>
          <w:trHeight w:val="771" w:hRule="atLeast"/>
        </w:trPr>
        <w:tc>
          <w:tcPr>
            <w:tcW w:w="3348" w:type="dxa"/>
            <w:tcBorders>
              <w:top w:val="single" w:color="auto" w:sz="6" w:space="0"/>
              <w:left w:val="single" w:color="auto" w:sz="6" w:space="0"/>
              <w:bottom w:val="single" w:color="auto" w:sz="6" w:space="0"/>
              <w:right w:val="single" w:color="auto" w:sz="6" w:space="0"/>
            </w:tcBorders>
          </w:tcPr>
          <w:p w14:paraId="2C99E5EC">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2B6E3F60">
            <w:pPr>
              <w:autoSpaceDE w:val="0"/>
              <w:autoSpaceDN w:val="0"/>
              <w:adjustRightInd w:val="0"/>
              <w:spacing w:line="500" w:lineRule="exact"/>
              <w:rPr>
                <w:color w:val="auto"/>
                <w:sz w:val="30"/>
                <w:szCs w:val="30"/>
              </w:rPr>
            </w:pPr>
          </w:p>
        </w:tc>
      </w:tr>
      <w:tr w14:paraId="28D047AB">
        <w:tblPrEx>
          <w:tblCellMar>
            <w:top w:w="0" w:type="dxa"/>
            <w:left w:w="108" w:type="dxa"/>
            <w:bottom w:w="0" w:type="dxa"/>
            <w:right w:w="108" w:type="dxa"/>
          </w:tblCellMar>
        </w:tblPrEx>
        <w:trPr>
          <w:trHeight w:val="767" w:hRule="atLeast"/>
        </w:trPr>
        <w:tc>
          <w:tcPr>
            <w:tcW w:w="3348" w:type="dxa"/>
            <w:tcBorders>
              <w:top w:val="single" w:color="auto" w:sz="6" w:space="0"/>
              <w:left w:val="single" w:color="auto" w:sz="6" w:space="0"/>
              <w:bottom w:val="single" w:color="auto" w:sz="6" w:space="0"/>
              <w:right w:val="single" w:color="auto" w:sz="6" w:space="0"/>
            </w:tcBorders>
          </w:tcPr>
          <w:p w14:paraId="6E0584F7">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28E90070">
            <w:pPr>
              <w:autoSpaceDE w:val="0"/>
              <w:autoSpaceDN w:val="0"/>
              <w:adjustRightInd w:val="0"/>
              <w:spacing w:line="500" w:lineRule="exact"/>
              <w:rPr>
                <w:color w:val="auto"/>
                <w:sz w:val="30"/>
                <w:szCs w:val="30"/>
              </w:rPr>
            </w:pPr>
          </w:p>
        </w:tc>
      </w:tr>
      <w:tr w14:paraId="69F66F3A">
        <w:tblPrEx>
          <w:tblCellMar>
            <w:top w:w="0" w:type="dxa"/>
            <w:left w:w="108" w:type="dxa"/>
            <w:bottom w:w="0" w:type="dxa"/>
            <w:right w:w="108" w:type="dxa"/>
          </w:tblCellMar>
        </w:tblPrEx>
        <w:trPr>
          <w:trHeight w:val="748" w:hRule="atLeast"/>
        </w:trPr>
        <w:tc>
          <w:tcPr>
            <w:tcW w:w="3348" w:type="dxa"/>
            <w:tcBorders>
              <w:top w:val="single" w:color="auto" w:sz="6" w:space="0"/>
              <w:left w:val="single" w:color="auto" w:sz="6" w:space="0"/>
              <w:bottom w:val="single" w:color="auto" w:sz="6" w:space="0"/>
              <w:right w:val="single" w:color="auto" w:sz="6" w:space="0"/>
            </w:tcBorders>
          </w:tcPr>
          <w:p w14:paraId="22139FE9">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2E009D16">
            <w:pPr>
              <w:autoSpaceDE w:val="0"/>
              <w:autoSpaceDN w:val="0"/>
              <w:adjustRightInd w:val="0"/>
              <w:spacing w:line="500" w:lineRule="exact"/>
              <w:rPr>
                <w:color w:val="auto"/>
                <w:sz w:val="30"/>
                <w:szCs w:val="30"/>
              </w:rPr>
            </w:pPr>
          </w:p>
        </w:tc>
      </w:tr>
      <w:tr w14:paraId="1DDD9BE1">
        <w:tblPrEx>
          <w:tblCellMar>
            <w:top w:w="0" w:type="dxa"/>
            <w:left w:w="108" w:type="dxa"/>
            <w:bottom w:w="0" w:type="dxa"/>
            <w:right w:w="108" w:type="dxa"/>
          </w:tblCellMar>
        </w:tblPrEx>
        <w:trPr>
          <w:trHeight w:val="772" w:hRule="atLeast"/>
        </w:trPr>
        <w:tc>
          <w:tcPr>
            <w:tcW w:w="3348" w:type="dxa"/>
            <w:tcBorders>
              <w:top w:val="single" w:color="auto" w:sz="6" w:space="0"/>
              <w:left w:val="single" w:color="auto" w:sz="6" w:space="0"/>
              <w:bottom w:val="single" w:color="auto" w:sz="6" w:space="0"/>
              <w:right w:val="single" w:color="auto" w:sz="6" w:space="0"/>
            </w:tcBorders>
          </w:tcPr>
          <w:p w14:paraId="00A8CBE2">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5875A396">
            <w:pPr>
              <w:autoSpaceDE w:val="0"/>
              <w:autoSpaceDN w:val="0"/>
              <w:adjustRightInd w:val="0"/>
              <w:spacing w:line="500" w:lineRule="exact"/>
              <w:rPr>
                <w:color w:val="auto"/>
                <w:sz w:val="30"/>
                <w:szCs w:val="30"/>
              </w:rPr>
            </w:pPr>
          </w:p>
        </w:tc>
      </w:tr>
      <w:tr w14:paraId="3909CBC7">
        <w:tblPrEx>
          <w:tblCellMar>
            <w:top w:w="0" w:type="dxa"/>
            <w:left w:w="108" w:type="dxa"/>
            <w:bottom w:w="0" w:type="dxa"/>
            <w:right w:w="108" w:type="dxa"/>
          </w:tblCellMar>
        </w:tblPrEx>
        <w:trPr>
          <w:trHeight w:val="768" w:hRule="atLeast"/>
        </w:trPr>
        <w:tc>
          <w:tcPr>
            <w:tcW w:w="3348" w:type="dxa"/>
            <w:tcBorders>
              <w:top w:val="single" w:color="auto" w:sz="6" w:space="0"/>
              <w:left w:val="single" w:color="auto" w:sz="6" w:space="0"/>
              <w:bottom w:val="single" w:color="auto" w:sz="6" w:space="0"/>
              <w:right w:val="single" w:color="auto" w:sz="6" w:space="0"/>
            </w:tcBorders>
          </w:tcPr>
          <w:p w14:paraId="6DF03517">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4541BB3C">
            <w:pPr>
              <w:autoSpaceDE w:val="0"/>
              <w:autoSpaceDN w:val="0"/>
              <w:adjustRightInd w:val="0"/>
              <w:spacing w:line="500" w:lineRule="exact"/>
              <w:rPr>
                <w:color w:val="auto"/>
                <w:sz w:val="30"/>
                <w:szCs w:val="30"/>
              </w:rPr>
            </w:pPr>
          </w:p>
        </w:tc>
      </w:tr>
      <w:tr w14:paraId="73401A09">
        <w:tblPrEx>
          <w:tblCellMar>
            <w:top w:w="0" w:type="dxa"/>
            <w:left w:w="108" w:type="dxa"/>
            <w:bottom w:w="0" w:type="dxa"/>
            <w:right w:w="108" w:type="dxa"/>
          </w:tblCellMar>
        </w:tblPrEx>
        <w:trPr>
          <w:trHeight w:val="771" w:hRule="atLeast"/>
        </w:trPr>
        <w:tc>
          <w:tcPr>
            <w:tcW w:w="3348" w:type="dxa"/>
            <w:tcBorders>
              <w:top w:val="single" w:color="auto" w:sz="6" w:space="0"/>
              <w:left w:val="single" w:color="auto" w:sz="6" w:space="0"/>
              <w:bottom w:val="single" w:color="auto" w:sz="6" w:space="0"/>
              <w:right w:val="single" w:color="auto" w:sz="6" w:space="0"/>
            </w:tcBorders>
          </w:tcPr>
          <w:p w14:paraId="126DA262">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13D25267">
            <w:pPr>
              <w:autoSpaceDE w:val="0"/>
              <w:autoSpaceDN w:val="0"/>
              <w:adjustRightInd w:val="0"/>
              <w:spacing w:line="500" w:lineRule="exact"/>
              <w:rPr>
                <w:color w:val="auto"/>
                <w:sz w:val="30"/>
                <w:szCs w:val="30"/>
              </w:rPr>
            </w:pPr>
          </w:p>
        </w:tc>
      </w:tr>
      <w:tr w14:paraId="68C59602">
        <w:tblPrEx>
          <w:tblCellMar>
            <w:top w:w="0" w:type="dxa"/>
            <w:left w:w="108" w:type="dxa"/>
            <w:bottom w:w="0" w:type="dxa"/>
            <w:right w:w="108" w:type="dxa"/>
          </w:tblCellMar>
        </w:tblPrEx>
        <w:trPr>
          <w:trHeight w:val="767" w:hRule="atLeast"/>
        </w:trPr>
        <w:tc>
          <w:tcPr>
            <w:tcW w:w="3348" w:type="dxa"/>
            <w:tcBorders>
              <w:top w:val="single" w:color="auto" w:sz="6" w:space="0"/>
              <w:left w:val="single" w:color="auto" w:sz="6" w:space="0"/>
              <w:bottom w:val="single" w:color="auto" w:sz="6" w:space="0"/>
              <w:right w:val="single" w:color="auto" w:sz="6" w:space="0"/>
            </w:tcBorders>
          </w:tcPr>
          <w:p w14:paraId="37E6958A">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39932828">
            <w:pPr>
              <w:autoSpaceDE w:val="0"/>
              <w:autoSpaceDN w:val="0"/>
              <w:adjustRightInd w:val="0"/>
              <w:spacing w:line="500" w:lineRule="exact"/>
              <w:rPr>
                <w:color w:val="auto"/>
                <w:sz w:val="30"/>
                <w:szCs w:val="30"/>
              </w:rPr>
            </w:pPr>
          </w:p>
        </w:tc>
      </w:tr>
      <w:tr w14:paraId="2A7F2B4F">
        <w:tblPrEx>
          <w:tblCellMar>
            <w:top w:w="0" w:type="dxa"/>
            <w:left w:w="108" w:type="dxa"/>
            <w:bottom w:w="0" w:type="dxa"/>
            <w:right w:w="108" w:type="dxa"/>
          </w:tblCellMar>
        </w:tblPrEx>
        <w:trPr>
          <w:trHeight w:val="748" w:hRule="atLeast"/>
        </w:trPr>
        <w:tc>
          <w:tcPr>
            <w:tcW w:w="3348" w:type="dxa"/>
            <w:tcBorders>
              <w:top w:val="single" w:color="auto" w:sz="6" w:space="0"/>
              <w:left w:val="single" w:color="auto" w:sz="6" w:space="0"/>
              <w:bottom w:val="single" w:color="auto" w:sz="6" w:space="0"/>
              <w:right w:val="single" w:color="auto" w:sz="6" w:space="0"/>
            </w:tcBorders>
          </w:tcPr>
          <w:p w14:paraId="799D4E20">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5B2A38AE">
            <w:pPr>
              <w:autoSpaceDE w:val="0"/>
              <w:autoSpaceDN w:val="0"/>
              <w:adjustRightInd w:val="0"/>
              <w:spacing w:line="500" w:lineRule="exact"/>
              <w:rPr>
                <w:color w:val="auto"/>
                <w:sz w:val="30"/>
                <w:szCs w:val="30"/>
              </w:rPr>
            </w:pPr>
          </w:p>
        </w:tc>
      </w:tr>
      <w:tr w14:paraId="7D20B3D3">
        <w:tblPrEx>
          <w:tblCellMar>
            <w:top w:w="0" w:type="dxa"/>
            <w:left w:w="108" w:type="dxa"/>
            <w:bottom w:w="0" w:type="dxa"/>
            <w:right w:w="108" w:type="dxa"/>
          </w:tblCellMar>
        </w:tblPrEx>
        <w:trPr>
          <w:trHeight w:val="772" w:hRule="atLeast"/>
        </w:trPr>
        <w:tc>
          <w:tcPr>
            <w:tcW w:w="3348" w:type="dxa"/>
            <w:tcBorders>
              <w:top w:val="single" w:color="auto" w:sz="6" w:space="0"/>
              <w:left w:val="single" w:color="auto" w:sz="6" w:space="0"/>
              <w:bottom w:val="single" w:color="auto" w:sz="6" w:space="0"/>
              <w:right w:val="single" w:color="auto" w:sz="6" w:space="0"/>
            </w:tcBorders>
          </w:tcPr>
          <w:p w14:paraId="09BA6472">
            <w:pPr>
              <w:autoSpaceDE w:val="0"/>
              <w:autoSpaceDN w:val="0"/>
              <w:adjustRightInd w:val="0"/>
              <w:spacing w:line="500" w:lineRule="exact"/>
              <w:rPr>
                <w:color w:val="auto"/>
                <w:sz w:val="30"/>
                <w:szCs w:val="30"/>
              </w:rPr>
            </w:pPr>
          </w:p>
        </w:tc>
        <w:tc>
          <w:tcPr>
            <w:tcW w:w="6120" w:type="dxa"/>
            <w:tcBorders>
              <w:top w:val="single" w:color="auto" w:sz="6" w:space="0"/>
              <w:left w:val="single" w:color="auto" w:sz="6" w:space="0"/>
              <w:bottom w:val="single" w:color="auto" w:sz="6" w:space="0"/>
              <w:right w:val="single" w:color="auto" w:sz="6" w:space="0"/>
            </w:tcBorders>
          </w:tcPr>
          <w:p w14:paraId="7570ABD0">
            <w:pPr>
              <w:autoSpaceDE w:val="0"/>
              <w:autoSpaceDN w:val="0"/>
              <w:adjustRightInd w:val="0"/>
              <w:spacing w:line="500" w:lineRule="exact"/>
              <w:rPr>
                <w:color w:val="auto"/>
                <w:sz w:val="30"/>
                <w:szCs w:val="30"/>
              </w:rPr>
            </w:pPr>
          </w:p>
        </w:tc>
      </w:tr>
      <w:tr w14:paraId="402E2416">
        <w:tblPrEx>
          <w:tblCellMar>
            <w:top w:w="0" w:type="dxa"/>
            <w:left w:w="108" w:type="dxa"/>
            <w:bottom w:w="0" w:type="dxa"/>
            <w:right w:w="108" w:type="dxa"/>
          </w:tblCellMar>
        </w:tblPrEx>
        <w:trPr>
          <w:trHeight w:val="772" w:hRule="atLeast"/>
        </w:trPr>
        <w:tc>
          <w:tcPr>
            <w:tcW w:w="9468" w:type="dxa"/>
            <w:gridSpan w:val="2"/>
            <w:tcBorders>
              <w:top w:val="single" w:color="auto" w:sz="6" w:space="0"/>
              <w:left w:val="single" w:color="auto" w:sz="6" w:space="0"/>
              <w:bottom w:val="single" w:color="auto" w:sz="6" w:space="0"/>
              <w:right w:val="single" w:color="auto" w:sz="6" w:space="0"/>
            </w:tcBorders>
          </w:tcPr>
          <w:p w14:paraId="76280EF1">
            <w:pPr>
              <w:autoSpaceDE w:val="0"/>
              <w:autoSpaceDN w:val="0"/>
              <w:adjustRightInd w:val="0"/>
              <w:spacing w:line="500" w:lineRule="exact"/>
              <w:rPr>
                <w:color w:val="auto"/>
                <w:sz w:val="30"/>
                <w:szCs w:val="30"/>
              </w:rPr>
            </w:pPr>
            <w:r>
              <w:rPr>
                <w:rFonts w:hint="eastAsia" w:ascii="宋体" w:cs="宋体"/>
                <w:color w:val="auto"/>
                <w:sz w:val="30"/>
                <w:szCs w:val="30"/>
                <w:lang w:val="zh-CN"/>
              </w:rPr>
              <w:t>评委签名：</w:t>
            </w:r>
          </w:p>
          <w:p w14:paraId="0C9294FD">
            <w:pPr>
              <w:rPr>
                <w:color w:val="auto"/>
              </w:rPr>
            </w:pPr>
          </w:p>
          <w:p w14:paraId="6B71B9A9">
            <w:pPr>
              <w:rPr>
                <w:color w:val="auto"/>
                <w:lang w:val="zh-CN"/>
              </w:rPr>
            </w:pPr>
          </w:p>
          <w:p w14:paraId="4BA1788D">
            <w:pPr>
              <w:autoSpaceDE w:val="0"/>
              <w:autoSpaceDN w:val="0"/>
              <w:adjustRightInd w:val="0"/>
              <w:spacing w:line="500" w:lineRule="exact"/>
              <w:ind w:right="560"/>
              <w:jc w:val="right"/>
              <w:rPr>
                <w:color w:val="auto"/>
                <w:sz w:val="28"/>
                <w:szCs w:val="28"/>
              </w:rPr>
            </w:pPr>
            <w:r>
              <w:rPr>
                <w:rFonts w:hint="eastAsia" w:ascii="宋体" w:cs="宋体"/>
                <w:color w:val="auto"/>
                <w:sz w:val="28"/>
                <w:szCs w:val="28"/>
                <w:lang w:val="en-US" w:eastAsia="zh-CN"/>
              </w:rPr>
              <w:t xml:space="preserve">     </w:t>
            </w:r>
            <w:r>
              <w:rPr>
                <w:rFonts w:hint="eastAsia" w:ascii="宋体" w:cs="宋体"/>
                <w:color w:val="auto"/>
                <w:sz w:val="28"/>
                <w:szCs w:val="28"/>
                <w:lang w:val="zh-CN"/>
              </w:rPr>
              <w:t>年</w:t>
            </w:r>
            <w:r>
              <w:rPr>
                <w:color w:val="auto"/>
                <w:sz w:val="28"/>
                <w:szCs w:val="28"/>
              </w:rPr>
              <w:t xml:space="preserve">  </w:t>
            </w:r>
            <w:r>
              <w:rPr>
                <w:rFonts w:hint="eastAsia" w:ascii="宋体" w:cs="宋体"/>
                <w:color w:val="auto"/>
                <w:sz w:val="28"/>
                <w:szCs w:val="28"/>
                <w:lang w:val="zh-CN"/>
              </w:rPr>
              <w:t>月</w:t>
            </w:r>
            <w:r>
              <w:rPr>
                <w:color w:val="auto"/>
                <w:sz w:val="28"/>
                <w:szCs w:val="28"/>
              </w:rPr>
              <w:t xml:space="preserve">  </w:t>
            </w:r>
            <w:r>
              <w:rPr>
                <w:rFonts w:hint="eastAsia" w:ascii="宋体" w:cs="宋体"/>
                <w:color w:val="auto"/>
                <w:sz w:val="28"/>
                <w:szCs w:val="28"/>
                <w:lang w:val="zh-CN"/>
              </w:rPr>
              <w:t>日</w:t>
            </w:r>
          </w:p>
        </w:tc>
      </w:tr>
    </w:tbl>
    <w:p w14:paraId="0E82A578">
      <w:pPr>
        <w:autoSpaceDE w:val="0"/>
        <w:autoSpaceDN w:val="0"/>
        <w:adjustRightInd w:val="0"/>
        <w:spacing w:line="500" w:lineRule="exact"/>
        <w:ind w:left="100" w:hanging="100"/>
        <w:rPr>
          <w:rFonts w:ascii="宋体" w:cs="宋体"/>
          <w:b/>
          <w:bCs/>
          <w:color w:val="auto"/>
          <w:sz w:val="24"/>
          <w:lang w:val="zh-CN"/>
        </w:rPr>
      </w:pPr>
    </w:p>
    <w:p w14:paraId="095CF7A9">
      <w:pPr>
        <w:autoSpaceDE w:val="0"/>
        <w:autoSpaceDN w:val="0"/>
        <w:adjustRightInd w:val="0"/>
        <w:spacing w:line="500" w:lineRule="exact"/>
        <w:ind w:left="100" w:hanging="100"/>
        <w:rPr>
          <w:rFonts w:ascii="宋体" w:cs="宋体"/>
          <w:b/>
          <w:bCs/>
          <w:color w:val="auto"/>
          <w:sz w:val="24"/>
          <w:lang w:val="zh-CN"/>
        </w:rPr>
      </w:pPr>
    </w:p>
    <w:p w14:paraId="2AC80DAD">
      <w:pPr>
        <w:autoSpaceDE w:val="0"/>
        <w:autoSpaceDN w:val="0"/>
        <w:adjustRightInd w:val="0"/>
        <w:spacing w:line="500" w:lineRule="exact"/>
        <w:ind w:left="100" w:hanging="100"/>
        <w:rPr>
          <w:rFonts w:ascii="宋体" w:cs="宋体"/>
          <w:b/>
          <w:bCs/>
          <w:color w:val="auto"/>
          <w:sz w:val="24"/>
          <w:lang w:val="zh-CN"/>
        </w:rPr>
      </w:pPr>
    </w:p>
    <w:p w14:paraId="5E7A089A">
      <w:pPr>
        <w:widowControl/>
        <w:adjustRightInd w:val="0"/>
        <w:snapToGrid w:val="0"/>
        <w:spacing w:before="156" w:beforeLines="50"/>
        <w:jc w:val="left"/>
        <w:rPr>
          <w:rFonts w:ascii="宋体" w:hAnsi="宋体"/>
          <w:b/>
          <w:color w:val="auto"/>
          <w:sz w:val="32"/>
          <w:szCs w:val="32"/>
        </w:rPr>
      </w:pPr>
    </w:p>
    <w:p w14:paraId="06A6B38C">
      <w:pPr>
        <w:widowControl/>
        <w:spacing w:afterAutospacing="1" w:line="360" w:lineRule="auto"/>
        <w:jc w:val="left"/>
        <w:rPr>
          <w:rFonts w:ascii="宋体" w:hAnsi="宋体"/>
          <w:b/>
          <w:color w:val="auto"/>
          <w:sz w:val="32"/>
          <w:szCs w:val="32"/>
        </w:rPr>
        <w:sectPr>
          <w:pgSz w:w="11906" w:h="16838"/>
          <w:pgMar w:top="1440" w:right="1588" w:bottom="1440" w:left="158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55559ABF">
      <w:pPr>
        <w:pStyle w:val="23"/>
        <w:ind w:left="102" w:leftChars="0" w:hanging="102" w:firstLineChars="0"/>
        <w:outlineLvl w:val="1"/>
        <w:rPr>
          <w:rFonts w:ascii="宋体" w:cs="宋体"/>
          <w:b/>
          <w:bCs/>
          <w:color w:val="auto"/>
          <w:sz w:val="24"/>
        </w:rPr>
      </w:pPr>
      <w:bookmarkStart w:id="20" w:name="_Toc26290"/>
      <w:bookmarkStart w:id="21" w:name="_Toc22432"/>
      <w:bookmarkStart w:id="22" w:name="_Toc28566"/>
      <w:r>
        <w:rPr>
          <w:rFonts w:hint="eastAsia" w:ascii="宋体" w:cs="宋体"/>
          <w:b/>
          <w:bCs/>
          <w:color w:val="auto"/>
          <w:sz w:val="24"/>
        </w:rPr>
        <w:t>6</w:t>
      </w:r>
      <w:r>
        <w:rPr>
          <w:rFonts w:hint="eastAsia" w:ascii="宋体" w:cs="宋体"/>
          <w:b/>
          <w:bCs/>
          <w:color w:val="auto"/>
          <w:sz w:val="24"/>
          <w:lang w:val="zh-CN"/>
        </w:rPr>
        <w:t>：磋商标准（100分）</w:t>
      </w:r>
      <w:bookmarkEnd w:id="20"/>
      <w:bookmarkEnd w:id="21"/>
      <w:bookmarkEnd w:id="22"/>
    </w:p>
    <w:tbl>
      <w:tblPr>
        <w:tblStyle w:val="51"/>
        <w:tblW w:w="1038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95"/>
        <w:gridCol w:w="1095"/>
        <w:gridCol w:w="7267"/>
        <w:gridCol w:w="507"/>
        <w:gridCol w:w="507"/>
        <w:gridCol w:w="509"/>
      </w:tblGrid>
      <w:tr w14:paraId="37C1AC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495" w:type="dxa"/>
            <w:vMerge w:val="restart"/>
            <w:tcBorders>
              <w:top w:val="single" w:color="auto" w:sz="2" w:space="0"/>
              <w:left w:val="single" w:color="auto" w:sz="2" w:space="0"/>
              <w:bottom w:val="single" w:color="auto" w:sz="2" w:space="0"/>
              <w:right w:val="single" w:color="auto" w:sz="2" w:space="0"/>
            </w:tcBorders>
            <w:vAlign w:val="center"/>
          </w:tcPr>
          <w:p w14:paraId="2EA7F2DD">
            <w:pPr>
              <w:adjustRightInd w:val="0"/>
              <w:snapToGrid w:val="0"/>
              <w:spacing w:line="32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序号</w:t>
            </w:r>
          </w:p>
        </w:tc>
        <w:tc>
          <w:tcPr>
            <w:tcW w:w="1095" w:type="dxa"/>
            <w:vMerge w:val="restart"/>
            <w:tcBorders>
              <w:top w:val="single" w:color="auto" w:sz="2" w:space="0"/>
              <w:left w:val="single" w:color="auto" w:sz="2" w:space="0"/>
              <w:bottom w:val="single" w:color="auto" w:sz="2" w:space="0"/>
              <w:right w:val="single" w:color="auto" w:sz="2" w:space="0"/>
            </w:tcBorders>
            <w:vAlign w:val="center"/>
          </w:tcPr>
          <w:p w14:paraId="7AB687E2">
            <w:pPr>
              <w:adjustRightInd w:val="0"/>
              <w:snapToGrid w:val="0"/>
              <w:spacing w:line="320" w:lineRule="exact"/>
              <w:rPr>
                <w:rFonts w:ascii="宋体" w:hAnsi="宋体" w:cs="宋体"/>
                <w:b/>
                <w:bCs/>
                <w:snapToGrid w:val="0"/>
                <w:color w:val="auto"/>
                <w:kern w:val="0"/>
                <w:szCs w:val="21"/>
              </w:rPr>
            </w:pPr>
            <w:r>
              <w:rPr>
                <w:rFonts w:hint="eastAsia" w:ascii="宋体" w:hAnsi="宋体" w:cs="宋体"/>
                <w:b/>
                <w:bCs/>
                <w:snapToGrid w:val="0"/>
                <w:color w:val="auto"/>
                <w:kern w:val="0"/>
                <w:szCs w:val="21"/>
              </w:rPr>
              <w:t>磋商因素</w:t>
            </w:r>
          </w:p>
        </w:tc>
        <w:tc>
          <w:tcPr>
            <w:tcW w:w="7267" w:type="dxa"/>
            <w:vMerge w:val="restart"/>
            <w:tcBorders>
              <w:top w:val="single" w:color="auto" w:sz="2" w:space="0"/>
              <w:left w:val="single" w:color="auto" w:sz="2" w:space="0"/>
              <w:bottom w:val="single" w:color="auto" w:sz="2" w:space="0"/>
              <w:right w:val="single" w:color="auto" w:sz="2" w:space="0"/>
            </w:tcBorders>
            <w:vAlign w:val="center"/>
          </w:tcPr>
          <w:p w14:paraId="3FCB3418">
            <w:pPr>
              <w:adjustRightInd w:val="0"/>
              <w:snapToGrid w:val="0"/>
              <w:spacing w:line="32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磋商标准</w:t>
            </w:r>
          </w:p>
        </w:tc>
        <w:tc>
          <w:tcPr>
            <w:tcW w:w="1523" w:type="dxa"/>
            <w:gridSpan w:val="3"/>
            <w:tcBorders>
              <w:top w:val="single" w:color="auto" w:sz="2" w:space="0"/>
              <w:left w:val="single" w:color="auto" w:sz="2" w:space="0"/>
              <w:bottom w:val="single" w:color="auto" w:sz="2" w:space="0"/>
              <w:right w:val="single" w:color="auto" w:sz="2" w:space="0"/>
            </w:tcBorders>
            <w:vAlign w:val="center"/>
          </w:tcPr>
          <w:p w14:paraId="57D5148B">
            <w:pPr>
              <w:widowControl/>
              <w:adjustRightInd w:val="0"/>
              <w:snapToGrid w:val="0"/>
              <w:spacing w:line="320" w:lineRule="exact"/>
              <w:jc w:val="center"/>
              <w:rPr>
                <w:rFonts w:ascii="宋体" w:hAnsi="宋体" w:cs="宋体"/>
                <w:b/>
                <w:bCs/>
                <w:color w:val="auto"/>
                <w:kern w:val="0"/>
                <w:szCs w:val="21"/>
              </w:rPr>
            </w:pPr>
            <w:r>
              <w:rPr>
                <w:rFonts w:hint="eastAsia" w:ascii="宋体" w:hAnsi="宋体" w:cs="宋体"/>
                <w:b/>
                <w:bCs/>
                <w:color w:val="auto"/>
                <w:kern w:val="0"/>
                <w:szCs w:val="21"/>
              </w:rPr>
              <w:t>供应商</w:t>
            </w:r>
          </w:p>
        </w:tc>
      </w:tr>
      <w:tr w14:paraId="02D631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495" w:type="dxa"/>
            <w:vMerge w:val="continue"/>
            <w:tcBorders>
              <w:top w:val="single" w:color="auto" w:sz="2" w:space="0"/>
              <w:left w:val="single" w:color="auto" w:sz="2" w:space="0"/>
              <w:bottom w:val="single" w:color="auto" w:sz="2" w:space="0"/>
              <w:right w:val="single" w:color="auto" w:sz="2" w:space="0"/>
            </w:tcBorders>
            <w:vAlign w:val="center"/>
          </w:tcPr>
          <w:p w14:paraId="52C3964B">
            <w:pPr>
              <w:widowControl/>
              <w:adjustRightInd w:val="0"/>
              <w:snapToGrid w:val="0"/>
              <w:spacing w:line="320" w:lineRule="exact"/>
              <w:jc w:val="left"/>
              <w:rPr>
                <w:rFonts w:ascii="宋体" w:hAnsi="宋体" w:cs="宋体"/>
                <w:b/>
                <w:bCs/>
                <w:snapToGrid w:val="0"/>
                <w:color w:val="auto"/>
                <w:kern w:val="0"/>
                <w:szCs w:val="21"/>
              </w:rPr>
            </w:pPr>
          </w:p>
        </w:tc>
        <w:tc>
          <w:tcPr>
            <w:tcW w:w="1095" w:type="dxa"/>
            <w:vMerge w:val="continue"/>
            <w:tcBorders>
              <w:top w:val="single" w:color="auto" w:sz="2" w:space="0"/>
              <w:left w:val="single" w:color="auto" w:sz="2" w:space="0"/>
              <w:bottom w:val="single" w:color="auto" w:sz="2" w:space="0"/>
              <w:right w:val="single" w:color="auto" w:sz="2" w:space="0"/>
            </w:tcBorders>
            <w:vAlign w:val="center"/>
          </w:tcPr>
          <w:p w14:paraId="7413D47F">
            <w:pPr>
              <w:widowControl/>
              <w:adjustRightInd w:val="0"/>
              <w:snapToGrid w:val="0"/>
              <w:spacing w:line="320" w:lineRule="exact"/>
              <w:jc w:val="left"/>
              <w:rPr>
                <w:rFonts w:ascii="宋体" w:hAnsi="宋体" w:cs="宋体"/>
                <w:b/>
                <w:bCs/>
                <w:snapToGrid w:val="0"/>
                <w:color w:val="auto"/>
                <w:kern w:val="0"/>
                <w:szCs w:val="21"/>
              </w:rPr>
            </w:pPr>
          </w:p>
        </w:tc>
        <w:tc>
          <w:tcPr>
            <w:tcW w:w="7267" w:type="dxa"/>
            <w:vMerge w:val="continue"/>
            <w:tcBorders>
              <w:top w:val="single" w:color="auto" w:sz="2" w:space="0"/>
              <w:left w:val="single" w:color="auto" w:sz="2" w:space="0"/>
              <w:bottom w:val="single" w:color="auto" w:sz="2" w:space="0"/>
              <w:right w:val="single" w:color="auto" w:sz="2" w:space="0"/>
            </w:tcBorders>
            <w:vAlign w:val="center"/>
          </w:tcPr>
          <w:p w14:paraId="0DA3B993">
            <w:pPr>
              <w:widowControl/>
              <w:adjustRightInd w:val="0"/>
              <w:snapToGrid w:val="0"/>
              <w:spacing w:line="320" w:lineRule="exact"/>
              <w:jc w:val="left"/>
              <w:rPr>
                <w:rFonts w:ascii="宋体" w:hAnsi="宋体" w:cs="宋体"/>
                <w:b/>
                <w:bCs/>
                <w:snapToGrid w:val="0"/>
                <w:color w:val="auto"/>
                <w:kern w:val="0"/>
                <w:szCs w:val="21"/>
              </w:rPr>
            </w:pPr>
          </w:p>
        </w:tc>
        <w:tc>
          <w:tcPr>
            <w:tcW w:w="507" w:type="dxa"/>
            <w:tcBorders>
              <w:top w:val="single" w:color="auto" w:sz="2" w:space="0"/>
              <w:left w:val="single" w:color="auto" w:sz="2" w:space="0"/>
              <w:bottom w:val="single" w:color="auto" w:sz="2" w:space="0"/>
              <w:right w:val="single" w:color="auto" w:sz="2" w:space="0"/>
            </w:tcBorders>
            <w:vAlign w:val="center"/>
          </w:tcPr>
          <w:p w14:paraId="0B10EBA0">
            <w:pPr>
              <w:widowControl/>
              <w:adjustRightInd w:val="0"/>
              <w:snapToGrid w:val="0"/>
              <w:spacing w:line="320" w:lineRule="exact"/>
              <w:jc w:val="center"/>
              <w:rPr>
                <w:rFonts w:ascii="宋体" w:hAnsi="宋体" w:cs="宋体"/>
                <w:b/>
                <w:bCs/>
                <w:color w:val="auto"/>
                <w:kern w:val="0"/>
                <w:szCs w:val="21"/>
              </w:rPr>
            </w:pPr>
            <w:r>
              <w:rPr>
                <w:rFonts w:hint="eastAsia" w:ascii="宋体" w:hAnsi="宋体" w:cs="宋体"/>
                <w:b/>
                <w:bCs/>
                <w:color w:val="auto"/>
                <w:kern w:val="0"/>
                <w:szCs w:val="21"/>
              </w:rPr>
              <w:t>1</w:t>
            </w:r>
          </w:p>
        </w:tc>
        <w:tc>
          <w:tcPr>
            <w:tcW w:w="507" w:type="dxa"/>
            <w:tcBorders>
              <w:top w:val="single" w:color="auto" w:sz="2" w:space="0"/>
              <w:left w:val="single" w:color="auto" w:sz="2" w:space="0"/>
              <w:bottom w:val="single" w:color="auto" w:sz="2" w:space="0"/>
              <w:right w:val="single" w:color="auto" w:sz="2" w:space="0"/>
            </w:tcBorders>
            <w:vAlign w:val="center"/>
          </w:tcPr>
          <w:p w14:paraId="301545B1">
            <w:pPr>
              <w:widowControl/>
              <w:adjustRightInd w:val="0"/>
              <w:snapToGrid w:val="0"/>
              <w:spacing w:line="320" w:lineRule="exact"/>
              <w:jc w:val="center"/>
              <w:rPr>
                <w:rFonts w:ascii="宋体" w:hAnsi="宋体" w:cs="宋体"/>
                <w:b/>
                <w:bCs/>
                <w:color w:val="auto"/>
                <w:kern w:val="0"/>
                <w:szCs w:val="21"/>
              </w:rPr>
            </w:pPr>
            <w:r>
              <w:rPr>
                <w:rFonts w:hint="eastAsia" w:ascii="宋体" w:hAnsi="宋体" w:cs="宋体"/>
                <w:b/>
                <w:bCs/>
                <w:color w:val="auto"/>
                <w:kern w:val="0"/>
                <w:szCs w:val="21"/>
              </w:rPr>
              <w:t>2</w:t>
            </w:r>
          </w:p>
        </w:tc>
        <w:tc>
          <w:tcPr>
            <w:tcW w:w="509" w:type="dxa"/>
            <w:tcBorders>
              <w:top w:val="single" w:color="auto" w:sz="2" w:space="0"/>
              <w:left w:val="single" w:color="auto" w:sz="2" w:space="0"/>
              <w:bottom w:val="single" w:color="auto" w:sz="2" w:space="0"/>
              <w:right w:val="single" w:color="auto" w:sz="4" w:space="0"/>
            </w:tcBorders>
            <w:vAlign w:val="center"/>
          </w:tcPr>
          <w:p w14:paraId="2C4CBBA4">
            <w:pPr>
              <w:widowControl/>
              <w:adjustRightInd w:val="0"/>
              <w:snapToGrid w:val="0"/>
              <w:spacing w:line="320" w:lineRule="exact"/>
              <w:jc w:val="center"/>
              <w:rPr>
                <w:rFonts w:ascii="宋体" w:hAnsi="宋体" w:cs="宋体"/>
                <w:b/>
                <w:bCs/>
                <w:color w:val="auto"/>
                <w:kern w:val="0"/>
                <w:szCs w:val="21"/>
              </w:rPr>
            </w:pPr>
            <w:r>
              <w:rPr>
                <w:rFonts w:hint="eastAsia" w:ascii="宋体" w:hAnsi="宋体" w:cs="宋体"/>
                <w:b/>
                <w:bCs/>
                <w:color w:val="auto"/>
                <w:kern w:val="0"/>
                <w:szCs w:val="21"/>
              </w:rPr>
              <w:t>3</w:t>
            </w:r>
          </w:p>
        </w:tc>
      </w:tr>
      <w:tr w14:paraId="792DA6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888" w:hRule="atLeast"/>
          <w:jc w:val="center"/>
        </w:trPr>
        <w:tc>
          <w:tcPr>
            <w:tcW w:w="495" w:type="dxa"/>
            <w:tcBorders>
              <w:top w:val="single" w:color="auto" w:sz="2" w:space="0"/>
              <w:left w:val="single" w:color="auto" w:sz="2" w:space="0"/>
              <w:bottom w:val="single" w:color="auto" w:sz="2" w:space="0"/>
              <w:right w:val="single" w:color="auto" w:sz="2" w:space="0"/>
            </w:tcBorders>
            <w:vAlign w:val="center"/>
          </w:tcPr>
          <w:p w14:paraId="39F448EF">
            <w:pPr>
              <w:widowControl/>
              <w:adjustRightInd w:val="0"/>
              <w:snapToGrid w:val="0"/>
              <w:spacing w:line="320" w:lineRule="exact"/>
              <w:jc w:val="center"/>
              <w:rPr>
                <w:rFonts w:ascii="宋体" w:hAnsi="宋体" w:cs="宋体"/>
                <w:snapToGrid w:val="0"/>
                <w:color w:val="auto"/>
                <w:kern w:val="0"/>
                <w:szCs w:val="21"/>
              </w:rPr>
            </w:pPr>
            <w:r>
              <w:rPr>
                <w:rFonts w:hint="eastAsia" w:ascii="宋体" w:hAnsi="宋体" w:cs="宋体"/>
                <w:snapToGrid w:val="0"/>
                <w:color w:val="auto"/>
                <w:kern w:val="0"/>
                <w:szCs w:val="21"/>
              </w:rPr>
              <w:t>1</w:t>
            </w:r>
          </w:p>
        </w:tc>
        <w:tc>
          <w:tcPr>
            <w:tcW w:w="1095" w:type="dxa"/>
            <w:tcBorders>
              <w:top w:val="single" w:color="auto" w:sz="2" w:space="0"/>
              <w:left w:val="single" w:color="auto" w:sz="2" w:space="0"/>
              <w:bottom w:val="single" w:color="auto" w:sz="2" w:space="0"/>
              <w:right w:val="single" w:color="auto" w:sz="2" w:space="0"/>
            </w:tcBorders>
            <w:vAlign w:val="center"/>
          </w:tcPr>
          <w:p w14:paraId="429F1AFC">
            <w:pPr>
              <w:adjustRightInd w:val="0"/>
              <w:snapToGrid w:val="0"/>
              <w:jc w:val="center"/>
              <w:rPr>
                <w:rFonts w:ascii="宋体" w:hAnsi="宋体" w:cs="宋体"/>
                <w:snapToGrid w:val="0"/>
                <w:color w:val="auto"/>
                <w:kern w:val="0"/>
                <w:szCs w:val="21"/>
              </w:rPr>
            </w:pPr>
            <w:r>
              <w:rPr>
                <w:rFonts w:hint="eastAsia" w:ascii="宋体" w:hAnsi="宋体" w:cs="宋体"/>
                <w:snapToGrid w:val="0"/>
                <w:color w:val="auto"/>
                <w:kern w:val="0"/>
                <w:szCs w:val="21"/>
              </w:rPr>
              <w:t>磋商报价</w:t>
            </w:r>
          </w:p>
          <w:p w14:paraId="2F8C171C">
            <w:pPr>
              <w:adjustRightInd w:val="0"/>
              <w:snapToGrid w:val="0"/>
              <w:jc w:val="center"/>
              <w:rPr>
                <w:rFonts w:ascii="宋体" w:hAnsi="宋体" w:cs="宋体"/>
                <w:b/>
                <w:bCs/>
                <w:snapToGrid w:val="0"/>
                <w:color w:val="auto"/>
                <w:kern w:val="0"/>
                <w:szCs w:val="21"/>
              </w:rPr>
            </w:pPr>
            <w:r>
              <w:rPr>
                <w:rFonts w:hint="eastAsia" w:ascii="宋体" w:hAnsi="宋体" w:cs="宋体"/>
                <w:snapToGrid w:val="0"/>
                <w:color w:val="auto"/>
                <w:kern w:val="0"/>
                <w:szCs w:val="21"/>
              </w:rPr>
              <w:t>30分</w:t>
            </w:r>
          </w:p>
        </w:tc>
        <w:tc>
          <w:tcPr>
            <w:tcW w:w="7267" w:type="dxa"/>
            <w:tcBorders>
              <w:top w:val="single" w:color="auto" w:sz="2" w:space="0"/>
              <w:left w:val="single" w:color="auto" w:sz="2" w:space="0"/>
              <w:bottom w:val="single" w:color="auto" w:sz="2" w:space="0"/>
              <w:right w:val="single" w:color="auto" w:sz="2" w:space="0"/>
            </w:tcBorders>
            <w:vAlign w:val="center"/>
          </w:tcPr>
          <w:p w14:paraId="6831FCE9">
            <w:pPr>
              <w:adjustRightInd w:val="0"/>
              <w:snapToGrid w:val="0"/>
              <w:rPr>
                <w:rFonts w:ascii="宋体" w:hAnsi="宋体" w:cs="宋体"/>
                <w:color w:val="auto"/>
                <w:szCs w:val="21"/>
                <w:lang w:val="zh-CN"/>
              </w:rPr>
            </w:pPr>
            <w:r>
              <w:rPr>
                <w:rFonts w:hint="eastAsia" w:ascii="宋体" w:hAnsi="宋体" w:cs="宋体"/>
                <w:color w:val="auto"/>
                <w:szCs w:val="21"/>
                <w:lang w:val="zh-CN"/>
              </w:rPr>
              <w:t>1</w:t>
            </w:r>
            <w:r>
              <w:rPr>
                <w:rFonts w:hint="eastAsia" w:ascii="宋体" w:hAnsi="宋体" w:cs="宋体"/>
                <w:color w:val="auto"/>
                <w:szCs w:val="21"/>
              </w:rPr>
              <w:t>.</w:t>
            </w:r>
            <w:r>
              <w:rPr>
                <w:rFonts w:hint="eastAsia" w:ascii="宋体" w:hAnsi="宋体" w:cs="宋体"/>
                <w:color w:val="auto"/>
                <w:szCs w:val="21"/>
                <w:lang w:val="zh-CN"/>
              </w:rPr>
              <w:t>磋商基准价 = 满足磋商文件要求的磋商最低报价；</w:t>
            </w:r>
          </w:p>
          <w:p w14:paraId="1E80170A">
            <w:pPr>
              <w:adjustRightInd w:val="0"/>
              <w:snapToGrid w:val="0"/>
              <w:rPr>
                <w:rFonts w:ascii="宋体" w:hAnsi="宋体" w:cs="宋体"/>
                <w:color w:val="auto"/>
                <w:szCs w:val="21"/>
                <w:lang w:val="zh-CN"/>
              </w:rPr>
            </w:pPr>
            <w:r>
              <w:rPr>
                <w:rFonts w:hint="eastAsia" w:ascii="宋体" w:hAnsi="宋体" w:cs="宋体"/>
                <w:color w:val="auto"/>
                <w:szCs w:val="21"/>
                <w:lang w:val="zh-CN"/>
              </w:rPr>
              <w:t>2</w:t>
            </w:r>
            <w:r>
              <w:rPr>
                <w:rFonts w:hint="eastAsia" w:ascii="宋体" w:hAnsi="宋体" w:cs="宋体"/>
                <w:color w:val="auto"/>
                <w:szCs w:val="21"/>
              </w:rPr>
              <w:t>.</w:t>
            </w:r>
            <w:r>
              <w:rPr>
                <w:rFonts w:hint="eastAsia" w:ascii="宋体" w:hAnsi="宋体" w:cs="宋体"/>
                <w:color w:val="auto"/>
                <w:szCs w:val="21"/>
                <w:lang w:val="zh-CN"/>
              </w:rPr>
              <w:t>磋商基准价 = 最后报价最低的计</w:t>
            </w:r>
            <w:r>
              <w:rPr>
                <w:rFonts w:hint="eastAsia" w:ascii="宋体" w:hAnsi="宋体" w:cs="宋体"/>
                <w:color w:val="auto"/>
                <w:szCs w:val="21"/>
              </w:rPr>
              <w:t>3</w:t>
            </w:r>
            <w:r>
              <w:rPr>
                <w:rFonts w:hint="eastAsia" w:ascii="宋体" w:hAnsi="宋体" w:cs="宋体"/>
                <w:color w:val="auto"/>
                <w:szCs w:val="21"/>
                <w:lang w:val="zh-CN"/>
              </w:rPr>
              <w:t>0分；</w:t>
            </w:r>
          </w:p>
          <w:p w14:paraId="52F36823">
            <w:pPr>
              <w:adjustRightInd w:val="0"/>
              <w:snapToGrid w:val="0"/>
              <w:rPr>
                <w:rFonts w:ascii="宋体" w:hAnsi="宋体" w:cs="宋体"/>
                <w:color w:val="auto"/>
                <w:szCs w:val="21"/>
                <w:lang w:val="zh-CN"/>
              </w:rPr>
            </w:pPr>
            <w:r>
              <w:rPr>
                <w:rFonts w:hint="eastAsia" w:ascii="宋体" w:hAnsi="宋体" w:cs="宋体"/>
                <w:color w:val="auto"/>
                <w:szCs w:val="21"/>
                <w:lang w:val="zh-CN"/>
              </w:rPr>
              <w:t>3</w:t>
            </w:r>
            <w:r>
              <w:rPr>
                <w:rFonts w:hint="eastAsia" w:ascii="宋体" w:hAnsi="宋体" w:cs="宋体"/>
                <w:color w:val="auto"/>
                <w:szCs w:val="21"/>
              </w:rPr>
              <w:t>.</w:t>
            </w:r>
            <w:r>
              <w:rPr>
                <w:rFonts w:hint="eastAsia" w:ascii="宋体" w:hAnsi="宋体" w:cs="宋体"/>
                <w:color w:val="auto"/>
                <w:szCs w:val="21"/>
                <w:lang w:val="zh-CN"/>
              </w:rPr>
              <w:t>磋商报价得分=(磋商基准价／最后磋商报价)×</w:t>
            </w:r>
            <w:r>
              <w:rPr>
                <w:rFonts w:hint="eastAsia" w:ascii="宋体" w:hAnsi="宋体" w:cs="宋体"/>
                <w:color w:val="auto"/>
                <w:szCs w:val="21"/>
              </w:rPr>
              <w:t>3</w:t>
            </w:r>
            <w:r>
              <w:rPr>
                <w:rFonts w:hint="eastAsia" w:ascii="宋体" w:hAnsi="宋体" w:cs="宋体"/>
                <w:color w:val="auto"/>
                <w:szCs w:val="21"/>
                <w:lang w:val="zh-CN"/>
              </w:rPr>
              <w:t>0分；</w:t>
            </w:r>
          </w:p>
          <w:p w14:paraId="38D73C31">
            <w:pPr>
              <w:adjustRightInd w:val="0"/>
              <w:snapToGrid w:val="0"/>
              <w:rPr>
                <w:rFonts w:ascii="宋体" w:hAnsi="宋体" w:cs="宋体"/>
                <w:color w:val="auto"/>
                <w:szCs w:val="21"/>
                <w:lang w:val="zh-CN"/>
              </w:rPr>
            </w:pPr>
            <w:r>
              <w:rPr>
                <w:rFonts w:hint="eastAsia" w:ascii="宋体" w:hAnsi="宋体" w:cs="宋体"/>
                <w:color w:val="auto"/>
                <w:szCs w:val="21"/>
                <w:lang w:val="zh-CN"/>
              </w:rPr>
              <w:t>4</w:t>
            </w:r>
            <w:r>
              <w:rPr>
                <w:rFonts w:hint="eastAsia" w:ascii="宋体" w:hAnsi="宋体" w:cs="宋体"/>
                <w:color w:val="auto"/>
                <w:szCs w:val="21"/>
              </w:rPr>
              <w:t>.</w:t>
            </w:r>
            <w:r>
              <w:rPr>
                <w:rFonts w:hint="eastAsia" w:ascii="宋体" w:hAnsi="宋体" w:cs="宋体"/>
                <w:color w:val="auto"/>
                <w:szCs w:val="21"/>
                <w:lang w:val="zh-CN"/>
              </w:rPr>
              <w:t>报价超过采购预算价为无效响应。</w:t>
            </w:r>
          </w:p>
          <w:p w14:paraId="2B10702E">
            <w:pPr>
              <w:adjustRightInd w:val="0"/>
              <w:snapToGrid w:val="0"/>
              <w:rPr>
                <w:rFonts w:ascii="宋体" w:hAnsi="宋体" w:cs="宋体"/>
                <w:b/>
                <w:bCs/>
                <w:snapToGrid w:val="0"/>
                <w:color w:val="auto"/>
                <w:kern w:val="0"/>
                <w:szCs w:val="21"/>
              </w:rPr>
            </w:pPr>
            <w:r>
              <w:rPr>
                <w:rFonts w:hint="eastAsia" w:ascii="宋体" w:hAnsi="宋体" w:cs="宋体"/>
                <w:color w:val="auto"/>
                <w:szCs w:val="21"/>
                <w:lang w:val="zh-CN"/>
              </w:rPr>
              <w:t>5</w:t>
            </w:r>
            <w:r>
              <w:rPr>
                <w:rFonts w:hint="eastAsia" w:ascii="宋体" w:hAnsi="宋体" w:cs="宋体"/>
                <w:color w:val="auto"/>
                <w:szCs w:val="21"/>
              </w:rPr>
              <w:t>.</w:t>
            </w:r>
            <w:r>
              <w:rPr>
                <w:rFonts w:hint="eastAsia" w:ascii="宋体" w:hAnsi="宋体" w:cs="宋体"/>
                <w:color w:val="auto"/>
                <w:szCs w:val="21"/>
                <w:lang w:val="zh-CN"/>
              </w:rPr>
              <w:t>磋商小组认为供应商的报价</w:t>
            </w:r>
            <w:r>
              <w:rPr>
                <w:rFonts w:hint="eastAsia" w:ascii="宋体" w:hAnsi="宋体" w:cs="宋体"/>
                <w:color w:val="auto"/>
                <w:szCs w:val="21"/>
              </w:rPr>
              <w:t>达到启动</w:t>
            </w:r>
            <w:r>
              <w:rPr>
                <w:rFonts w:hint="eastAsia" w:ascii="宋体" w:hAnsi="宋体" w:cs="宋体"/>
                <w:color w:val="auto"/>
                <w:szCs w:val="21"/>
                <w:lang w:val="zh-CN"/>
              </w:rPr>
              <w:t>异常低价投标（响应）审查程序</w:t>
            </w:r>
            <w:r>
              <w:rPr>
                <w:rFonts w:hint="eastAsia" w:ascii="宋体" w:hAnsi="宋体" w:cs="宋体"/>
                <w:color w:val="auto"/>
                <w:szCs w:val="21"/>
              </w:rPr>
              <w:t>标准</w:t>
            </w:r>
            <w:r>
              <w:rPr>
                <w:rFonts w:hint="eastAsia" w:ascii="宋体" w:hAnsi="宋体" w:cs="宋体"/>
                <w:color w:val="auto"/>
                <w:szCs w:val="21"/>
                <w:lang w:val="zh-CN"/>
              </w:rPr>
              <w:t>的，应当要求其在磋商现场合理的时间内提供书面说明，必要时提交相关证明材料；供应商不能证明其报价合理性的，磋商小组应当将其作为无效投标处理。</w:t>
            </w:r>
          </w:p>
        </w:tc>
        <w:tc>
          <w:tcPr>
            <w:tcW w:w="507" w:type="dxa"/>
            <w:tcBorders>
              <w:top w:val="single" w:color="auto" w:sz="2" w:space="0"/>
              <w:left w:val="single" w:color="auto" w:sz="2" w:space="0"/>
              <w:bottom w:val="single" w:color="auto" w:sz="2" w:space="0"/>
              <w:right w:val="single" w:color="auto" w:sz="2" w:space="0"/>
            </w:tcBorders>
            <w:vAlign w:val="center"/>
          </w:tcPr>
          <w:p w14:paraId="5E0381F1">
            <w:pPr>
              <w:widowControl/>
              <w:adjustRightInd w:val="0"/>
              <w:snapToGrid w:val="0"/>
              <w:spacing w:line="320" w:lineRule="exact"/>
              <w:jc w:val="center"/>
              <w:rPr>
                <w:rFonts w:ascii="宋体" w:hAnsi="宋体" w:cs="宋体"/>
                <w:b/>
                <w:bCs/>
                <w:color w:val="auto"/>
                <w:kern w:val="0"/>
                <w:sz w:val="22"/>
                <w:szCs w:val="22"/>
              </w:rPr>
            </w:pPr>
          </w:p>
        </w:tc>
        <w:tc>
          <w:tcPr>
            <w:tcW w:w="507" w:type="dxa"/>
            <w:tcBorders>
              <w:top w:val="single" w:color="auto" w:sz="2" w:space="0"/>
              <w:left w:val="single" w:color="auto" w:sz="2" w:space="0"/>
              <w:bottom w:val="single" w:color="auto" w:sz="2" w:space="0"/>
              <w:right w:val="single" w:color="auto" w:sz="2" w:space="0"/>
            </w:tcBorders>
            <w:vAlign w:val="center"/>
          </w:tcPr>
          <w:p w14:paraId="339ACEFB">
            <w:pPr>
              <w:widowControl/>
              <w:adjustRightInd w:val="0"/>
              <w:snapToGrid w:val="0"/>
              <w:spacing w:line="320" w:lineRule="exact"/>
              <w:jc w:val="center"/>
              <w:rPr>
                <w:rFonts w:ascii="宋体" w:hAnsi="宋体" w:cs="宋体"/>
                <w:b/>
                <w:bCs/>
                <w:color w:val="auto"/>
                <w:kern w:val="0"/>
                <w:sz w:val="22"/>
                <w:szCs w:val="22"/>
              </w:rPr>
            </w:pPr>
          </w:p>
        </w:tc>
        <w:tc>
          <w:tcPr>
            <w:tcW w:w="509" w:type="dxa"/>
            <w:tcBorders>
              <w:top w:val="single" w:color="auto" w:sz="2" w:space="0"/>
              <w:left w:val="single" w:color="auto" w:sz="2" w:space="0"/>
              <w:bottom w:val="single" w:color="auto" w:sz="2" w:space="0"/>
              <w:right w:val="single" w:color="auto" w:sz="4" w:space="0"/>
            </w:tcBorders>
            <w:vAlign w:val="center"/>
          </w:tcPr>
          <w:p w14:paraId="3D9C7BDC">
            <w:pPr>
              <w:widowControl/>
              <w:adjustRightInd w:val="0"/>
              <w:snapToGrid w:val="0"/>
              <w:spacing w:line="320" w:lineRule="exact"/>
              <w:jc w:val="center"/>
              <w:rPr>
                <w:rFonts w:ascii="宋体" w:hAnsi="宋体" w:cs="宋体"/>
                <w:b/>
                <w:bCs/>
                <w:color w:val="auto"/>
                <w:kern w:val="0"/>
                <w:sz w:val="22"/>
                <w:szCs w:val="22"/>
              </w:rPr>
            </w:pPr>
          </w:p>
        </w:tc>
      </w:tr>
      <w:tr w14:paraId="3A7D86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56" w:hRule="atLeast"/>
          <w:jc w:val="center"/>
        </w:trPr>
        <w:tc>
          <w:tcPr>
            <w:tcW w:w="495" w:type="dxa"/>
            <w:tcBorders>
              <w:top w:val="single" w:color="auto" w:sz="2" w:space="0"/>
              <w:left w:val="single" w:color="auto" w:sz="2" w:space="0"/>
              <w:bottom w:val="single" w:color="auto" w:sz="2" w:space="0"/>
              <w:right w:val="single" w:color="auto" w:sz="2" w:space="0"/>
            </w:tcBorders>
            <w:vAlign w:val="center"/>
          </w:tcPr>
          <w:p w14:paraId="248CE933">
            <w:pPr>
              <w:widowControl/>
              <w:adjustRightInd w:val="0"/>
              <w:snapToGrid w:val="0"/>
              <w:spacing w:line="320" w:lineRule="exact"/>
              <w:jc w:val="center"/>
              <w:rPr>
                <w:rFonts w:ascii="宋体" w:hAnsi="宋体" w:cs="宋体"/>
                <w:snapToGrid w:val="0"/>
                <w:color w:val="auto"/>
                <w:kern w:val="0"/>
                <w:szCs w:val="21"/>
              </w:rPr>
            </w:pPr>
            <w:r>
              <w:rPr>
                <w:rFonts w:hint="eastAsia" w:ascii="宋体" w:hAnsi="宋体" w:cs="宋体"/>
                <w:snapToGrid w:val="0"/>
                <w:color w:val="auto"/>
                <w:kern w:val="0"/>
                <w:szCs w:val="21"/>
              </w:rPr>
              <w:t>2</w:t>
            </w:r>
          </w:p>
        </w:tc>
        <w:tc>
          <w:tcPr>
            <w:tcW w:w="1095" w:type="dxa"/>
            <w:tcBorders>
              <w:top w:val="single" w:color="auto" w:sz="2" w:space="0"/>
              <w:left w:val="single" w:color="auto" w:sz="2" w:space="0"/>
              <w:bottom w:val="single" w:color="auto" w:sz="2" w:space="0"/>
              <w:right w:val="single" w:color="auto" w:sz="2" w:space="0"/>
            </w:tcBorders>
            <w:vAlign w:val="center"/>
          </w:tcPr>
          <w:p w14:paraId="37273E02">
            <w:pPr>
              <w:autoSpaceDN w:val="0"/>
              <w:adjustRightInd w:val="0"/>
              <w:snapToGrid w:val="0"/>
              <w:jc w:val="center"/>
              <w:textAlignment w:val="center"/>
              <w:rPr>
                <w:rFonts w:ascii="宋体" w:hAnsi="宋体" w:cs="宋体"/>
                <w:snapToGrid w:val="0"/>
                <w:color w:val="auto"/>
                <w:kern w:val="0"/>
                <w:szCs w:val="21"/>
              </w:rPr>
            </w:pPr>
            <w:r>
              <w:rPr>
                <w:rFonts w:hint="eastAsia" w:ascii="宋体" w:hAnsi="宋体" w:cs="宋体"/>
                <w:color w:val="auto"/>
                <w:kern w:val="0"/>
                <w:szCs w:val="21"/>
                <w:lang w:val="zh-CN"/>
              </w:rPr>
              <w:t>对采购需求响应程度</w:t>
            </w:r>
            <w:r>
              <w:rPr>
                <w:rFonts w:hint="eastAsia" w:ascii="宋体" w:hAnsi="宋体" w:cs="宋体"/>
                <w:color w:val="auto"/>
                <w:kern w:val="0"/>
                <w:szCs w:val="21"/>
                <w:lang w:val="en-US" w:eastAsia="zh-CN"/>
              </w:rPr>
              <w:t>30</w:t>
            </w:r>
            <w:r>
              <w:rPr>
                <w:rFonts w:hint="eastAsia" w:ascii="宋体" w:hAnsi="宋体" w:cs="宋体"/>
                <w:color w:val="auto"/>
                <w:kern w:val="0"/>
                <w:szCs w:val="21"/>
              </w:rPr>
              <w:t>分</w:t>
            </w:r>
          </w:p>
        </w:tc>
        <w:tc>
          <w:tcPr>
            <w:tcW w:w="7267" w:type="dxa"/>
            <w:tcBorders>
              <w:top w:val="single" w:color="auto" w:sz="2" w:space="0"/>
              <w:left w:val="single" w:color="auto" w:sz="2" w:space="0"/>
              <w:bottom w:val="single" w:color="auto" w:sz="2" w:space="0"/>
              <w:right w:val="single" w:color="auto" w:sz="2" w:space="0"/>
            </w:tcBorders>
            <w:vAlign w:val="center"/>
          </w:tcPr>
          <w:p w14:paraId="0D2142E3">
            <w:pPr>
              <w:adjustRightInd w:val="0"/>
              <w:snapToGrid w:val="0"/>
              <w:rPr>
                <w:rFonts w:ascii="宋体" w:hAnsi="宋体" w:cs="宋体"/>
                <w:color w:val="auto"/>
                <w:szCs w:val="21"/>
              </w:rPr>
            </w:pPr>
            <w:r>
              <w:rPr>
                <w:rFonts w:hint="eastAsia" w:ascii="宋体" w:hAnsi="宋体" w:cs="宋体"/>
                <w:color w:val="auto"/>
                <w:szCs w:val="21"/>
              </w:rPr>
              <w:t>完全满足磋商文件要求的计</w:t>
            </w:r>
            <w:r>
              <w:rPr>
                <w:rFonts w:hint="eastAsia" w:ascii="宋体" w:hAnsi="宋体" w:cs="宋体"/>
                <w:color w:val="auto"/>
                <w:szCs w:val="21"/>
                <w:lang w:val="en-US" w:eastAsia="zh-CN"/>
              </w:rPr>
              <w:t>30</w:t>
            </w:r>
            <w:r>
              <w:rPr>
                <w:rFonts w:hint="eastAsia" w:ascii="宋体" w:hAnsi="宋体" w:cs="宋体"/>
                <w:color w:val="auto"/>
                <w:szCs w:val="21"/>
              </w:rPr>
              <w:t>分，每一条不符合或负偏离的扣2分，以此类推，扣完为止，最低计 0分。（采购需求要求提供证明材料的按照要求提供证明材料，否则按负偏离计算。）用户将保留对中标人所投产品进行功能和性能测试的权利，一经发现测试结果与所投产品不符，将取消中标人资格，并依法追究相关责任。</w:t>
            </w:r>
          </w:p>
        </w:tc>
        <w:tc>
          <w:tcPr>
            <w:tcW w:w="507" w:type="dxa"/>
            <w:tcBorders>
              <w:top w:val="single" w:color="auto" w:sz="2" w:space="0"/>
              <w:left w:val="single" w:color="auto" w:sz="2" w:space="0"/>
              <w:bottom w:val="single" w:color="auto" w:sz="2" w:space="0"/>
              <w:right w:val="single" w:color="auto" w:sz="2" w:space="0"/>
            </w:tcBorders>
            <w:vAlign w:val="center"/>
          </w:tcPr>
          <w:p w14:paraId="5F600FB5">
            <w:pPr>
              <w:widowControl/>
              <w:adjustRightInd w:val="0"/>
              <w:snapToGrid w:val="0"/>
              <w:spacing w:line="320" w:lineRule="exact"/>
              <w:jc w:val="center"/>
              <w:rPr>
                <w:rFonts w:ascii="宋体" w:hAnsi="宋体" w:cs="宋体"/>
                <w:b/>
                <w:bCs/>
                <w:color w:val="auto"/>
                <w:kern w:val="0"/>
                <w:sz w:val="22"/>
                <w:szCs w:val="22"/>
              </w:rPr>
            </w:pPr>
          </w:p>
        </w:tc>
        <w:tc>
          <w:tcPr>
            <w:tcW w:w="507" w:type="dxa"/>
            <w:tcBorders>
              <w:top w:val="single" w:color="auto" w:sz="2" w:space="0"/>
              <w:left w:val="single" w:color="auto" w:sz="2" w:space="0"/>
              <w:bottom w:val="single" w:color="auto" w:sz="2" w:space="0"/>
              <w:right w:val="single" w:color="auto" w:sz="2" w:space="0"/>
            </w:tcBorders>
            <w:vAlign w:val="center"/>
          </w:tcPr>
          <w:p w14:paraId="1968CB87">
            <w:pPr>
              <w:widowControl/>
              <w:adjustRightInd w:val="0"/>
              <w:snapToGrid w:val="0"/>
              <w:spacing w:line="320" w:lineRule="exact"/>
              <w:jc w:val="center"/>
              <w:rPr>
                <w:rFonts w:ascii="宋体" w:hAnsi="宋体" w:cs="宋体"/>
                <w:b/>
                <w:bCs/>
                <w:color w:val="auto"/>
                <w:kern w:val="0"/>
                <w:sz w:val="22"/>
                <w:szCs w:val="22"/>
              </w:rPr>
            </w:pPr>
          </w:p>
        </w:tc>
        <w:tc>
          <w:tcPr>
            <w:tcW w:w="509" w:type="dxa"/>
            <w:tcBorders>
              <w:top w:val="single" w:color="auto" w:sz="2" w:space="0"/>
              <w:left w:val="single" w:color="auto" w:sz="2" w:space="0"/>
              <w:bottom w:val="single" w:color="auto" w:sz="2" w:space="0"/>
              <w:right w:val="single" w:color="auto" w:sz="4" w:space="0"/>
            </w:tcBorders>
            <w:vAlign w:val="center"/>
          </w:tcPr>
          <w:p w14:paraId="3618D790">
            <w:pPr>
              <w:widowControl/>
              <w:adjustRightInd w:val="0"/>
              <w:snapToGrid w:val="0"/>
              <w:spacing w:line="320" w:lineRule="exact"/>
              <w:jc w:val="center"/>
              <w:rPr>
                <w:rFonts w:ascii="宋体" w:hAnsi="宋体" w:cs="宋体"/>
                <w:b/>
                <w:bCs/>
                <w:color w:val="auto"/>
                <w:kern w:val="0"/>
                <w:sz w:val="22"/>
                <w:szCs w:val="22"/>
              </w:rPr>
            </w:pPr>
          </w:p>
        </w:tc>
      </w:tr>
      <w:tr w14:paraId="533651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77" w:hRule="atLeast"/>
          <w:jc w:val="center"/>
        </w:trPr>
        <w:tc>
          <w:tcPr>
            <w:tcW w:w="495" w:type="dxa"/>
            <w:tcBorders>
              <w:top w:val="single" w:color="auto" w:sz="2" w:space="0"/>
              <w:left w:val="single" w:color="auto" w:sz="2" w:space="0"/>
              <w:bottom w:val="single" w:color="auto" w:sz="2" w:space="0"/>
              <w:right w:val="single" w:color="auto" w:sz="2" w:space="0"/>
            </w:tcBorders>
            <w:vAlign w:val="center"/>
          </w:tcPr>
          <w:p w14:paraId="5A638C6A">
            <w:pPr>
              <w:widowControl/>
              <w:adjustRightInd w:val="0"/>
              <w:snapToGrid w:val="0"/>
              <w:spacing w:line="320" w:lineRule="exact"/>
              <w:jc w:val="center"/>
              <w:rPr>
                <w:rFonts w:ascii="宋体" w:hAnsi="宋体" w:cs="宋体"/>
                <w:snapToGrid w:val="0"/>
                <w:color w:val="auto"/>
                <w:kern w:val="0"/>
                <w:szCs w:val="21"/>
              </w:rPr>
            </w:pPr>
            <w:r>
              <w:rPr>
                <w:rFonts w:hint="eastAsia" w:ascii="宋体" w:hAnsi="宋体" w:cs="宋体"/>
                <w:snapToGrid w:val="0"/>
                <w:color w:val="auto"/>
                <w:kern w:val="0"/>
                <w:szCs w:val="21"/>
              </w:rPr>
              <w:t>3</w:t>
            </w:r>
          </w:p>
        </w:tc>
        <w:tc>
          <w:tcPr>
            <w:tcW w:w="1095" w:type="dxa"/>
            <w:tcBorders>
              <w:top w:val="single" w:color="auto" w:sz="2" w:space="0"/>
              <w:left w:val="single" w:color="auto" w:sz="2" w:space="0"/>
              <w:bottom w:val="single" w:color="auto" w:sz="2" w:space="0"/>
              <w:right w:val="single" w:color="auto" w:sz="2" w:space="0"/>
            </w:tcBorders>
            <w:shd w:val="clear" w:color="auto" w:fill="auto"/>
            <w:vAlign w:val="center"/>
          </w:tcPr>
          <w:p w14:paraId="7EE20D42">
            <w:pPr>
              <w:autoSpaceDN w:val="0"/>
              <w:adjustRightInd w:val="0"/>
              <w:snapToGrid w:val="0"/>
              <w:jc w:val="center"/>
              <w:textAlignment w:val="center"/>
              <w:rPr>
                <w:rFonts w:ascii="宋体" w:hAnsi="宋体" w:cs="宋体"/>
                <w:color w:val="auto"/>
                <w:szCs w:val="21"/>
              </w:rPr>
            </w:pPr>
            <w:r>
              <w:rPr>
                <w:rFonts w:hint="eastAsia" w:ascii="宋体" w:hAnsi="宋体" w:cs="宋体"/>
                <w:color w:val="auto"/>
                <w:szCs w:val="21"/>
              </w:rPr>
              <w:t>实施方案</w:t>
            </w:r>
          </w:p>
          <w:p w14:paraId="0C78C1DC">
            <w:pPr>
              <w:autoSpaceDN w:val="0"/>
              <w:adjustRightInd w:val="0"/>
              <w:snapToGrid w:val="0"/>
              <w:jc w:val="center"/>
              <w:textAlignment w:val="center"/>
              <w:rPr>
                <w:rFonts w:ascii="宋体" w:hAnsi="宋体" w:eastAsia="宋体" w:cs="宋体"/>
                <w:color w:val="auto"/>
                <w:kern w:val="2"/>
                <w:sz w:val="21"/>
                <w:szCs w:val="21"/>
                <w:lang w:val="zh-CN" w:eastAsia="zh-CN" w:bidi="ar-SA"/>
              </w:rPr>
            </w:pPr>
            <w:r>
              <w:rPr>
                <w:rFonts w:hint="eastAsia" w:ascii="宋体" w:hAnsi="宋体" w:cs="宋体"/>
                <w:color w:val="auto"/>
                <w:szCs w:val="21"/>
              </w:rPr>
              <w:t>20分</w:t>
            </w:r>
          </w:p>
        </w:tc>
        <w:tc>
          <w:tcPr>
            <w:tcW w:w="7267" w:type="dxa"/>
            <w:tcBorders>
              <w:top w:val="single" w:color="auto" w:sz="2" w:space="0"/>
              <w:left w:val="single" w:color="auto" w:sz="2" w:space="0"/>
              <w:bottom w:val="single" w:color="auto" w:sz="2" w:space="0"/>
              <w:right w:val="single" w:color="auto" w:sz="2" w:space="0"/>
            </w:tcBorders>
            <w:shd w:val="clear" w:color="auto" w:fill="auto"/>
            <w:vAlign w:val="center"/>
          </w:tcPr>
          <w:p w14:paraId="18CBA5B7">
            <w:pPr>
              <w:pStyle w:val="50"/>
              <w:keepNext w:val="0"/>
              <w:keepLines w:val="0"/>
              <w:pageBreakBefore w:val="0"/>
              <w:kinsoku/>
              <w:wordWrap/>
              <w:overflowPunct/>
              <w:topLinePunct w:val="0"/>
              <w:bidi w:val="0"/>
              <w:adjustRightInd w:val="0"/>
              <w:snapToGrid w:val="0"/>
              <w:spacing w:after="0"/>
              <w:ind w:left="0" w:leftChars="0" w:firstLine="0" w:firstLineChars="0"/>
              <w:jc w:val="both"/>
              <w:textAlignment w:val="auto"/>
              <w:rPr>
                <w:rFonts w:ascii="宋体" w:hAnsi="宋体" w:eastAsia="宋体" w:cs="宋体"/>
                <w:color w:val="auto"/>
                <w:kern w:val="2"/>
                <w:sz w:val="21"/>
                <w:szCs w:val="21"/>
                <w:lang w:val="en-US" w:eastAsia="zh-CN" w:bidi="ar-SA"/>
              </w:rPr>
            </w:pPr>
            <w:r>
              <w:rPr>
                <w:rFonts w:hint="eastAsia" w:ascii="宋体" w:hAnsi="宋体" w:cs="宋体"/>
                <w:color w:val="auto"/>
                <w:szCs w:val="21"/>
              </w:rPr>
              <w:t>供应商针对本项目提供项目实施方案，包括但不限于①组织架构与人员配备管理方案；②进度计划安排和保障措施；③安装调试方案；④质量管理措施；⑤培训服务措施。</w:t>
            </w:r>
            <w:r>
              <w:rPr>
                <w:rFonts w:hint="eastAsia" w:ascii="宋体" w:hAnsi="宋体" w:eastAsia="宋体" w:cs="宋体"/>
                <w:snapToGrid w:val="0"/>
                <w:color w:val="auto"/>
                <w:kern w:val="0"/>
                <w:sz w:val="21"/>
                <w:szCs w:val="21"/>
                <w:lang w:val="zh-CN" w:eastAsia="zh-CN" w:bidi="zh-CN"/>
              </w:rPr>
              <w:t>【方案要素完整，涵盖以上要求的全部内容要素，且各项内容均满足</w:t>
            </w:r>
            <w:r>
              <w:rPr>
                <w:rFonts w:hint="eastAsia" w:ascii="宋体" w:hAnsi="宋体" w:cs="宋体"/>
                <w:snapToGrid w:val="0"/>
                <w:color w:val="auto"/>
                <w:kern w:val="0"/>
                <w:sz w:val="21"/>
                <w:szCs w:val="21"/>
                <w:lang w:val="zh-CN" w:eastAsia="zh-CN" w:bidi="zh-CN"/>
              </w:rPr>
              <w:t>采购文件</w:t>
            </w:r>
            <w:r>
              <w:rPr>
                <w:rFonts w:hint="eastAsia" w:ascii="宋体" w:hAnsi="宋体" w:eastAsia="宋体" w:cs="宋体"/>
                <w:snapToGrid w:val="0"/>
                <w:color w:val="auto"/>
                <w:kern w:val="0"/>
                <w:sz w:val="21"/>
                <w:szCs w:val="21"/>
                <w:lang w:val="zh-CN" w:eastAsia="zh-CN" w:bidi="zh-CN"/>
              </w:rPr>
              <w:t>要求和采购人实际需求的计</w:t>
            </w:r>
            <w:r>
              <w:rPr>
                <w:rFonts w:hint="eastAsia" w:ascii="宋体" w:hAnsi="宋体" w:cs="宋体"/>
                <w:snapToGrid w:val="0"/>
                <w:color w:val="auto"/>
                <w:kern w:val="0"/>
                <w:sz w:val="21"/>
                <w:szCs w:val="21"/>
                <w:lang w:val="en-US" w:eastAsia="zh-CN" w:bidi="zh-CN"/>
              </w:rPr>
              <w:t>20</w:t>
            </w:r>
            <w:r>
              <w:rPr>
                <w:rFonts w:hint="eastAsia" w:ascii="宋体" w:hAnsi="宋体" w:eastAsia="宋体" w:cs="宋体"/>
                <w:snapToGrid w:val="0"/>
                <w:color w:val="auto"/>
                <w:kern w:val="0"/>
                <w:sz w:val="21"/>
                <w:szCs w:val="21"/>
                <w:lang w:val="zh-CN" w:eastAsia="zh-CN" w:bidi="zh-CN"/>
              </w:rPr>
              <w:t>分。】存在以下情形的，按以下标准扣分，累计扣分不超过</w:t>
            </w:r>
            <w:r>
              <w:rPr>
                <w:rFonts w:hint="eastAsia" w:ascii="宋体" w:hAnsi="宋体" w:cs="宋体"/>
                <w:snapToGrid w:val="0"/>
                <w:color w:val="auto"/>
                <w:kern w:val="0"/>
                <w:sz w:val="21"/>
                <w:szCs w:val="21"/>
                <w:lang w:val="en-US" w:eastAsia="zh-CN" w:bidi="zh-CN"/>
              </w:rPr>
              <w:t>20</w:t>
            </w:r>
            <w:r>
              <w:rPr>
                <w:rFonts w:hint="eastAsia" w:ascii="宋体" w:hAnsi="宋体" w:eastAsia="宋体" w:cs="宋体"/>
                <w:snapToGrid w:val="0"/>
                <w:color w:val="auto"/>
                <w:kern w:val="0"/>
                <w:sz w:val="21"/>
                <w:szCs w:val="21"/>
                <w:lang w:val="zh-CN" w:eastAsia="zh-CN" w:bidi="zh-CN"/>
              </w:rPr>
              <w:t>分：（1）每存在一处内容缺漏：指方案中缺少以上明确要求的内容要素，扣</w:t>
            </w:r>
            <w:r>
              <w:rPr>
                <w:rFonts w:hint="eastAsia" w:ascii="宋体" w:hAnsi="宋体" w:cs="宋体"/>
                <w:snapToGrid w:val="0"/>
                <w:color w:val="auto"/>
                <w:kern w:val="0"/>
                <w:sz w:val="21"/>
                <w:szCs w:val="21"/>
                <w:lang w:val="en-US" w:eastAsia="zh-CN" w:bidi="zh-CN"/>
              </w:rPr>
              <w:t>4</w:t>
            </w:r>
            <w:r>
              <w:rPr>
                <w:rFonts w:hint="eastAsia" w:ascii="宋体" w:hAnsi="宋体" w:eastAsia="宋体" w:cs="宋体"/>
                <w:snapToGrid w:val="0"/>
                <w:color w:val="auto"/>
                <w:kern w:val="0"/>
                <w:sz w:val="21"/>
                <w:szCs w:val="21"/>
                <w:lang w:val="zh-CN" w:eastAsia="zh-CN" w:bidi="zh-CN"/>
              </w:rPr>
              <w:t>分；（2）每存在一处内容不符：指方案中出现与本项目无关的其他项目特有信息（例如：其他项目的单位名称、地址、联系方式、时间、合同编号、特定数据或文件编号等），或者涉及的技术规范、标准等与国家、行业或</w:t>
            </w:r>
            <w:r>
              <w:rPr>
                <w:rFonts w:hint="eastAsia" w:ascii="宋体" w:hAnsi="宋体" w:cs="宋体"/>
                <w:snapToGrid w:val="0"/>
                <w:color w:val="auto"/>
                <w:kern w:val="0"/>
                <w:sz w:val="21"/>
                <w:szCs w:val="21"/>
                <w:lang w:val="zh-CN" w:eastAsia="zh-CN" w:bidi="zh-CN"/>
              </w:rPr>
              <w:t>采购文件</w:t>
            </w:r>
            <w:r>
              <w:rPr>
                <w:rFonts w:hint="eastAsia" w:ascii="宋体" w:hAnsi="宋体" w:eastAsia="宋体" w:cs="宋体"/>
                <w:snapToGrid w:val="0"/>
                <w:color w:val="auto"/>
                <w:kern w:val="0"/>
                <w:sz w:val="21"/>
                <w:szCs w:val="21"/>
                <w:lang w:val="zh-CN" w:eastAsia="zh-CN" w:bidi="zh-CN"/>
              </w:rPr>
              <w:t>采购需求不一致</w:t>
            </w:r>
            <w:r>
              <w:rPr>
                <w:rFonts w:hint="eastAsia" w:ascii="宋体" w:hAnsi="宋体" w:cs="宋体"/>
                <w:snapToGrid w:val="0"/>
                <w:color w:val="auto"/>
                <w:kern w:val="0"/>
                <w:sz w:val="21"/>
                <w:szCs w:val="21"/>
                <w:lang w:val="zh-CN" w:eastAsia="zh-CN" w:bidi="zh-CN"/>
              </w:rPr>
              <w:t>等</w:t>
            </w:r>
            <w:r>
              <w:rPr>
                <w:rFonts w:hint="eastAsia" w:ascii="宋体" w:hAnsi="宋体" w:eastAsia="宋体" w:cs="宋体"/>
                <w:snapToGrid w:val="0"/>
                <w:color w:val="auto"/>
                <w:kern w:val="0"/>
                <w:sz w:val="21"/>
                <w:szCs w:val="21"/>
                <w:lang w:val="zh-CN" w:eastAsia="zh-CN" w:bidi="zh-CN"/>
              </w:rPr>
              <w:t>，扣4分；（3）每存在一处内容瑕疵：指方案内部或不同方案之间存在前后不一致、逻辑冲突、缺少关键节点、不适用项目特性、不可能实现的情形</w:t>
            </w:r>
            <w:r>
              <w:rPr>
                <w:rFonts w:hint="eastAsia" w:ascii="宋体" w:hAnsi="宋体" w:cs="宋体"/>
                <w:snapToGrid w:val="0"/>
                <w:color w:val="auto"/>
                <w:kern w:val="0"/>
                <w:sz w:val="21"/>
                <w:szCs w:val="21"/>
                <w:lang w:val="zh-CN" w:eastAsia="zh-CN" w:bidi="zh-CN"/>
              </w:rPr>
              <w:t>等</w:t>
            </w:r>
            <w:r>
              <w:rPr>
                <w:rFonts w:hint="eastAsia" w:ascii="宋体" w:hAnsi="宋体" w:eastAsia="宋体" w:cs="宋体"/>
                <w:snapToGrid w:val="0"/>
                <w:color w:val="auto"/>
                <w:kern w:val="0"/>
                <w:sz w:val="21"/>
                <w:szCs w:val="21"/>
                <w:lang w:val="zh-CN" w:eastAsia="zh-CN" w:bidi="zh-CN"/>
              </w:rPr>
              <w:t>，或者照搬</w:t>
            </w:r>
            <w:r>
              <w:rPr>
                <w:rFonts w:hint="eastAsia" w:ascii="宋体" w:hAnsi="宋体" w:cs="宋体"/>
                <w:snapToGrid w:val="0"/>
                <w:color w:val="auto"/>
                <w:kern w:val="0"/>
                <w:sz w:val="21"/>
                <w:szCs w:val="21"/>
                <w:lang w:val="zh-CN" w:eastAsia="zh-CN" w:bidi="zh-CN"/>
              </w:rPr>
              <w:t>采购文件</w:t>
            </w:r>
            <w:r>
              <w:rPr>
                <w:rFonts w:hint="eastAsia" w:ascii="宋体" w:hAnsi="宋体" w:eastAsia="宋体" w:cs="宋体"/>
                <w:snapToGrid w:val="0"/>
                <w:color w:val="auto"/>
                <w:kern w:val="0"/>
                <w:sz w:val="21"/>
                <w:szCs w:val="21"/>
                <w:lang w:val="zh-CN" w:eastAsia="zh-CN" w:bidi="zh-CN"/>
              </w:rPr>
              <w:t>采购需求，或者表述错误（如人员数量、工作频次、时间节点等数据与</w:t>
            </w:r>
            <w:r>
              <w:rPr>
                <w:rFonts w:hint="eastAsia" w:ascii="宋体" w:hAnsi="宋体" w:cs="宋体"/>
                <w:snapToGrid w:val="0"/>
                <w:color w:val="auto"/>
                <w:kern w:val="0"/>
                <w:sz w:val="21"/>
                <w:szCs w:val="21"/>
                <w:lang w:val="zh-CN" w:eastAsia="zh-CN" w:bidi="zh-CN"/>
              </w:rPr>
              <w:t>采购文件</w:t>
            </w:r>
            <w:r>
              <w:rPr>
                <w:rFonts w:hint="eastAsia" w:ascii="宋体" w:hAnsi="宋体" w:eastAsia="宋体" w:cs="宋体"/>
                <w:snapToGrid w:val="0"/>
                <w:color w:val="auto"/>
                <w:kern w:val="0"/>
                <w:sz w:val="21"/>
                <w:szCs w:val="21"/>
                <w:lang w:val="zh-CN" w:eastAsia="zh-CN" w:bidi="zh-CN"/>
              </w:rPr>
              <w:t>中明确的数据基准不一致或计算有误）</w:t>
            </w:r>
            <w:r>
              <w:rPr>
                <w:rFonts w:hint="eastAsia" w:ascii="宋体" w:hAnsi="宋体" w:cs="宋体"/>
                <w:snapToGrid w:val="0"/>
                <w:color w:val="auto"/>
                <w:kern w:val="0"/>
                <w:sz w:val="21"/>
                <w:szCs w:val="21"/>
                <w:lang w:val="en-US" w:eastAsia="zh-CN" w:bidi="zh-CN"/>
              </w:rPr>
              <w:t>等</w:t>
            </w:r>
            <w:r>
              <w:rPr>
                <w:rFonts w:hint="eastAsia" w:ascii="宋体" w:hAnsi="宋体" w:eastAsia="宋体" w:cs="宋体"/>
                <w:snapToGrid w:val="0"/>
                <w:color w:val="auto"/>
                <w:kern w:val="0"/>
                <w:sz w:val="21"/>
                <w:szCs w:val="21"/>
                <w:lang w:val="zh-CN" w:eastAsia="zh-CN" w:bidi="zh-CN"/>
              </w:rPr>
              <w:t>，或者方案中留有空白（标有“XXX”等占位符，或遗漏信息的），扣</w:t>
            </w:r>
            <w:r>
              <w:rPr>
                <w:rFonts w:hint="eastAsia" w:ascii="宋体" w:hAnsi="宋体" w:cs="宋体"/>
                <w:snapToGrid w:val="0"/>
                <w:color w:val="auto"/>
                <w:kern w:val="0"/>
                <w:sz w:val="21"/>
                <w:szCs w:val="21"/>
                <w:lang w:val="en-US" w:eastAsia="zh-CN" w:bidi="zh-CN"/>
              </w:rPr>
              <w:t>2</w:t>
            </w:r>
            <w:r>
              <w:rPr>
                <w:rFonts w:hint="eastAsia" w:ascii="宋体" w:hAnsi="宋体" w:eastAsia="宋体" w:cs="宋体"/>
                <w:snapToGrid w:val="0"/>
                <w:color w:val="auto"/>
                <w:kern w:val="0"/>
                <w:sz w:val="21"/>
                <w:szCs w:val="21"/>
                <w:lang w:val="zh-CN" w:eastAsia="zh-CN" w:bidi="zh-CN"/>
              </w:rPr>
              <w:t>分。（</w:t>
            </w:r>
            <w:r>
              <w:rPr>
                <w:rFonts w:hint="eastAsia" w:ascii="宋体" w:hAnsi="宋体" w:cs="宋体"/>
                <w:snapToGrid w:val="0"/>
                <w:color w:val="auto"/>
                <w:kern w:val="0"/>
                <w:sz w:val="21"/>
                <w:szCs w:val="21"/>
                <w:lang w:val="en-US" w:eastAsia="zh-CN" w:bidi="zh-CN"/>
              </w:rPr>
              <w:t>4</w:t>
            </w:r>
            <w:r>
              <w:rPr>
                <w:rFonts w:hint="eastAsia" w:ascii="宋体" w:hAnsi="宋体" w:eastAsia="宋体" w:cs="宋体"/>
                <w:snapToGrid w:val="0"/>
                <w:color w:val="auto"/>
                <w:kern w:val="0"/>
                <w:sz w:val="21"/>
                <w:szCs w:val="21"/>
                <w:lang w:val="zh-CN" w:eastAsia="zh-CN" w:bidi="zh-CN"/>
              </w:rPr>
              <w:t>）未提供服务方案的不计分。</w:t>
            </w:r>
          </w:p>
        </w:tc>
        <w:tc>
          <w:tcPr>
            <w:tcW w:w="507" w:type="dxa"/>
            <w:tcBorders>
              <w:top w:val="single" w:color="auto" w:sz="2" w:space="0"/>
              <w:left w:val="single" w:color="auto" w:sz="2" w:space="0"/>
              <w:bottom w:val="single" w:color="auto" w:sz="2" w:space="0"/>
              <w:right w:val="single" w:color="auto" w:sz="2" w:space="0"/>
            </w:tcBorders>
            <w:vAlign w:val="center"/>
          </w:tcPr>
          <w:p w14:paraId="163B703C">
            <w:pPr>
              <w:widowControl/>
              <w:adjustRightInd w:val="0"/>
              <w:snapToGrid w:val="0"/>
              <w:spacing w:line="320" w:lineRule="exact"/>
              <w:jc w:val="center"/>
              <w:rPr>
                <w:rFonts w:ascii="宋体" w:hAnsi="宋体" w:cs="宋体"/>
                <w:b/>
                <w:bCs/>
                <w:color w:val="auto"/>
                <w:kern w:val="0"/>
                <w:sz w:val="22"/>
                <w:szCs w:val="22"/>
              </w:rPr>
            </w:pPr>
          </w:p>
        </w:tc>
        <w:tc>
          <w:tcPr>
            <w:tcW w:w="507" w:type="dxa"/>
            <w:tcBorders>
              <w:top w:val="single" w:color="auto" w:sz="2" w:space="0"/>
              <w:left w:val="single" w:color="auto" w:sz="2" w:space="0"/>
              <w:bottom w:val="single" w:color="auto" w:sz="2" w:space="0"/>
              <w:right w:val="single" w:color="auto" w:sz="2" w:space="0"/>
            </w:tcBorders>
            <w:vAlign w:val="center"/>
          </w:tcPr>
          <w:p w14:paraId="4ABB04C8">
            <w:pPr>
              <w:widowControl/>
              <w:adjustRightInd w:val="0"/>
              <w:snapToGrid w:val="0"/>
              <w:spacing w:line="320" w:lineRule="exact"/>
              <w:jc w:val="center"/>
              <w:rPr>
                <w:rFonts w:ascii="宋体" w:hAnsi="宋体" w:cs="宋体"/>
                <w:b/>
                <w:bCs/>
                <w:color w:val="auto"/>
                <w:kern w:val="0"/>
                <w:sz w:val="22"/>
                <w:szCs w:val="22"/>
              </w:rPr>
            </w:pPr>
          </w:p>
        </w:tc>
        <w:tc>
          <w:tcPr>
            <w:tcW w:w="509" w:type="dxa"/>
            <w:tcBorders>
              <w:top w:val="single" w:color="auto" w:sz="2" w:space="0"/>
              <w:left w:val="single" w:color="auto" w:sz="2" w:space="0"/>
              <w:bottom w:val="single" w:color="auto" w:sz="2" w:space="0"/>
              <w:right w:val="single" w:color="auto" w:sz="4" w:space="0"/>
            </w:tcBorders>
            <w:vAlign w:val="center"/>
          </w:tcPr>
          <w:p w14:paraId="3111BEE8">
            <w:pPr>
              <w:widowControl/>
              <w:adjustRightInd w:val="0"/>
              <w:snapToGrid w:val="0"/>
              <w:spacing w:line="320" w:lineRule="exact"/>
              <w:jc w:val="center"/>
              <w:rPr>
                <w:rFonts w:ascii="宋体" w:hAnsi="宋体" w:cs="宋体"/>
                <w:b/>
                <w:bCs/>
                <w:color w:val="auto"/>
                <w:kern w:val="0"/>
                <w:sz w:val="22"/>
                <w:szCs w:val="22"/>
              </w:rPr>
            </w:pPr>
          </w:p>
        </w:tc>
      </w:tr>
      <w:tr w14:paraId="417C99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495" w:type="dxa"/>
            <w:tcBorders>
              <w:top w:val="single" w:color="auto" w:sz="2" w:space="0"/>
              <w:left w:val="single" w:color="auto" w:sz="2" w:space="0"/>
              <w:bottom w:val="single" w:color="auto" w:sz="2" w:space="0"/>
              <w:right w:val="single" w:color="auto" w:sz="2" w:space="0"/>
            </w:tcBorders>
            <w:vAlign w:val="center"/>
          </w:tcPr>
          <w:p w14:paraId="2C0A5178">
            <w:pPr>
              <w:widowControl/>
              <w:adjustRightInd w:val="0"/>
              <w:snapToGrid w:val="0"/>
              <w:spacing w:line="320" w:lineRule="exact"/>
              <w:jc w:val="center"/>
              <w:rPr>
                <w:rFonts w:ascii="宋体" w:hAnsi="宋体" w:cs="宋体"/>
                <w:snapToGrid w:val="0"/>
                <w:color w:val="auto"/>
                <w:kern w:val="0"/>
                <w:szCs w:val="21"/>
              </w:rPr>
            </w:pPr>
            <w:r>
              <w:rPr>
                <w:rFonts w:hint="eastAsia" w:ascii="宋体" w:hAnsi="宋体" w:cs="宋体"/>
                <w:snapToGrid w:val="0"/>
                <w:color w:val="auto"/>
                <w:kern w:val="0"/>
                <w:szCs w:val="21"/>
              </w:rPr>
              <w:t>4</w:t>
            </w:r>
          </w:p>
        </w:tc>
        <w:tc>
          <w:tcPr>
            <w:tcW w:w="1095" w:type="dxa"/>
            <w:tcBorders>
              <w:top w:val="single" w:color="auto" w:sz="2" w:space="0"/>
              <w:left w:val="single" w:color="auto" w:sz="2" w:space="0"/>
              <w:bottom w:val="single" w:color="auto" w:sz="2" w:space="0"/>
              <w:right w:val="single" w:color="auto" w:sz="2" w:space="0"/>
            </w:tcBorders>
            <w:shd w:val="clear" w:color="auto" w:fill="auto"/>
            <w:vAlign w:val="center"/>
          </w:tcPr>
          <w:p w14:paraId="151CFB2A">
            <w:pPr>
              <w:autoSpaceDN w:val="0"/>
              <w:adjustRightInd w:val="0"/>
              <w:snapToGrid w:val="0"/>
              <w:jc w:val="center"/>
              <w:textAlignment w:val="center"/>
              <w:rPr>
                <w:rFonts w:ascii="宋体" w:hAnsi="宋体" w:cs="宋体"/>
                <w:color w:val="auto"/>
                <w:szCs w:val="21"/>
              </w:rPr>
            </w:pPr>
            <w:r>
              <w:rPr>
                <w:rFonts w:hint="eastAsia" w:ascii="宋体" w:hAnsi="宋体" w:cs="宋体"/>
                <w:color w:val="auto"/>
                <w:szCs w:val="21"/>
              </w:rPr>
              <w:t>业绩</w:t>
            </w:r>
          </w:p>
          <w:p w14:paraId="037BE851">
            <w:pPr>
              <w:autoSpaceDN w:val="0"/>
              <w:adjustRightInd w:val="0"/>
              <w:snapToGrid w:val="0"/>
              <w:jc w:val="center"/>
              <w:textAlignment w:val="center"/>
              <w:rPr>
                <w:rFonts w:ascii="宋体" w:hAnsi="宋体" w:eastAsia="宋体" w:cs="宋体"/>
                <w:color w:val="auto"/>
                <w:kern w:val="2"/>
                <w:sz w:val="21"/>
                <w:szCs w:val="21"/>
                <w:lang w:val="en-US" w:eastAsia="zh-CN" w:bidi="ar-SA"/>
              </w:rPr>
            </w:pPr>
            <w:r>
              <w:rPr>
                <w:rFonts w:hint="eastAsia" w:ascii="宋体" w:hAnsi="宋体" w:cs="宋体"/>
                <w:color w:val="auto"/>
                <w:szCs w:val="21"/>
              </w:rPr>
              <w:t>10分</w:t>
            </w:r>
          </w:p>
        </w:tc>
        <w:tc>
          <w:tcPr>
            <w:tcW w:w="7267" w:type="dxa"/>
            <w:tcBorders>
              <w:top w:val="single" w:color="auto" w:sz="2" w:space="0"/>
              <w:left w:val="single" w:color="auto" w:sz="2" w:space="0"/>
              <w:bottom w:val="single" w:color="auto" w:sz="2" w:space="0"/>
              <w:right w:val="single" w:color="auto" w:sz="2" w:space="0"/>
            </w:tcBorders>
            <w:shd w:val="clear" w:color="auto" w:fill="auto"/>
            <w:vAlign w:val="center"/>
          </w:tcPr>
          <w:p w14:paraId="3F7193DA">
            <w:pPr>
              <w:autoSpaceDN w:val="0"/>
              <w:adjustRightInd w:val="0"/>
              <w:snapToGrid w:val="0"/>
              <w:textAlignment w:val="center"/>
              <w:rPr>
                <w:rFonts w:ascii="宋体" w:hAnsi="宋体" w:eastAsia="宋体" w:cs="宋体"/>
                <w:color w:val="auto"/>
                <w:kern w:val="2"/>
                <w:sz w:val="21"/>
                <w:szCs w:val="21"/>
                <w:lang w:val="en-US" w:eastAsia="zh-CN" w:bidi="ar-SA"/>
              </w:rPr>
            </w:pPr>
            <w:r>
              <w:rPr>
                <w:rFonts w:hint="eastAsia" w:ascii="宋体" w:hAnsi="宋体" w:cs="宋体"/>
                <w:color w:val="auto"/>
                <w:szCs w:val="21"/>
              </w:rPr>
              <w:t>响应截止时间前三年内（以合同签订时间为准），供应商具有类似项目（</w:t>
            </w:r>
            <w:r>
              <w:rPr>
                <w:rFonts w:hint="eastAsia" w:ascii="宋体" w:hAnsi="宋体" w:cs="宋体"/>
                <w:color w:val="auto"/>
                <w:szCs w:val="21"/>
                <w:lang w:val="en-US" w:eastAsia="zh-CN"/>
              </w:rPr>
              <w:t>教学仪器相关</w:t>
            </w:r>
            <w:r>
              <w:rPr>
                <w:rFonts w:hint="eastAsia" w:ascii="宋体" w:hAnsi="宋体" w:cs="宋体"/>
                <w:color w:val="auto"/>
                <w:szCs w:val="21"/>
              </w:rPr>
              <w:t>）业绩的，每提供一个计5分，最多计10分，没有的不计分。（提供合同复印件，否则不计分。）</w:t>
            </w:r>
          </w:p>
        </w:tc>
        <w:tc>
          <w:tcPr>
            <w:tcW w:w="507" w:type="dxa"/>
            <w:tcBorders>
              <w:top w:val="single" w:color="auto" w:sz="2" w:space="0"/>
              <w:left w:val="single" w:color="auto" w:sz="2" w:space="0"/>
              <w:bottom w:val="single" w:color="auto" w:sz="2" w:space="0"/>
              <w:right w:val="single" w:color="auto" w:sz="2" w:space="0"/>
            </w:tcBorders>
            <w:vAlign w:val="center"/>
          </w:tcPr>
          <w:p w14:paraId="008860F0">
            <w:pPr>
              <w:widowControl/>
              <w:adjustRightInd w:val="0"/>
              <w:snapToGrid w:val="0"/>
              <w:spacing w:line="320" w:lineRule="exact"/>
              <w:jc w:val="center"/>
              <w:rPr>
                <w:rFonts w:ascii="宋体" w:hAnsi="宋体" w:cs="宋体"/>
                <w:b/>
                <w:bCs/>
                <w:color w:val="auto"/>
                <w:kern w:val="0"/>
                <w:sz w:val="22"/>
                <w:szCs w:val="22"/>
              </w:rPr>
            </w:pPr>
          </w:p>
        </w:tc>
        <w:tc>
          <w:tcPr>
            <w:tcW w:w="507" w:type="dxa"/>
            <w:tcBorders>
              <w:top w:val="single" w:color="auto" w:sz="2" w:space="0"/>
              <w:left w:val="single" w:color="auto" w:sz="2" w:space="0"/>
              <w:bottom w:val="single" w:color="auto" w:sz="2" w:space="0"/>
              <w:right w:val="single" w:color="auto" w:sz="2" w:space="0"/>
            </w:tcBorders>
            <w:vAlign w:val="center"/>
          </w:tcPr>
          <w:p w14:paraId="0B508CF0">
            <w:pPr>
              <w:widowControl/>
              <w:adjustRightInd w:val="0"/>
              <w:snapToGrid w:val="0"/>
              <w:spacing w:line="320" w:lineRule="exact"/>
              <w:jc w:val="center"/>
              <w:rPr>
                <w:rFonts w:ascii="宋体" w:hAnsi="宋体" w:cs="宋体"/>
                <w:b/>
                <w:bCs/>
                <w:color w:val="auto"/>
                <w:kern w:val="0"/>
                <w:sz w:val="22"/>
                <w:szCs w:val="22"/>
              </w:rPr>
            </w:pPr>
          </w:p>
        </w:tc>
        <w:tc>
          <w:tcPr>
            <w:tcW w:w="509" w:type="dxa"/>
            <w:tcBorders>
              <w:top w:val="single" w:color="auto" w:sz="2" w:space="0"/>
              <w:left w:val="single" w:color="auto" w:sz="2" w:space="0"/>
              <w:bottom w:val="single" w:color="auto" w:sz="2" w:space="0"/>
              <w:right w:val="single" w:color="auto" w:sz="4" w:space="0"/>
            </w:tcBorders>
            <w:vAlign w:val="center"/>
          </w:tcPr>
          <w:p w14:paraId="1D00E97C">
            <w:pPr>
              <w:widowControl/>
              <w:adjustRightInd w:val="0"/>
              <w:snapToGrid w:val="0"/>
              <w:spacing w:line="320" w:lineRule="exact"/>
              <w:jc w:val="center"/>
              <w:rPr>
                <w:rFonts w:ascii="宋体" w:hAnsi="宋体" w:cs="宋体"/>
                <w:b/>
                <w:bCs/>
                <w:color w:val="auto"/>
                <w:kern w:val="0"/>
                <w:sz w:val="22"/>
                <w:szCs w:val="22"/>
              </w:rPr>
            </w:pPr>
          </w:p>
        </w:tc>
      </w:tr>
      <w:tr w14:paraId="6DEE1A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2" w:hRule="atLeast"/>
          <w:jc w:val="center"/>
        </w:trPr>
        <w:tc>
          <w:tcPr>
            <w:tcW w:w="495" w:type="dxa"/>
            <w:tcBorders>
              <w:top w:val="single" w:color="auto" w:sz="2" w:space="0"/>
              <w:left w:val="single" w:color="auto" w:sz="2" w:space="0"/>
              <w:bottom w:val="single" w:color="auto" w:sz="2" w:space="0"/>
              <w:right w:val="single" w:color="auto" w:sz="2" w:space="0"/>
            </w:tcBorders>
            <w:vAlign w:val="center"/>
          </w:tcPr>
          <w:p w14:paraId="34B6A061">
            <w:pPr>
              <w:adjustRightInd w:val="0"/>
              <w:snapToGrid w:val="0"/>
              <w:spacing w:line="320" w:lineRule="exact"/>
              <w:jc w:val="center"/>
              <w:rPr>
                <w:rFonts w:ascii="宋体" w:hAnsi="宋体" w:cs="宋体"/>
                <w:snapToGrid w:val="0"/>
                <w:color w:val="auto"/>
                <w:kern w:val="0"/>
                <w:szCs w:val="21"/>
              </w:rPr>
            </w:pPr>
            <w:r>
              <w:rPr>
                <w:rFonts w:hint="eastAsia" w:ascii="宋体" w:hAnsi="宋体" w:cs="宋体"/>
                <w:snapToGrid w:val="0"/>
                <w:color w:val="auto"/>
                <w:kern w:val="0"/>
                <w:szCs w:val="21"/>
              </w:rPr>
              <w:t>5</w:t>
            </w:r>
          </w:p>
        </w:tc>
        <w:tc>
          <w:tcPr>
            <w:tcW w:w="1095" w:type="dxa"/>
            <w:tcBorders>
              <w:top w:val="single" w:color="auto" w:sz="2" w:space="0"/>
              <w:left w:val="single" w:color="auto" w:sz="2" w:space="0"/>
              <w:bottom w:val="single" w:color="auto" w:sz="2" w:space="0"/>
              <w:right w:val="single" w:color="auto" w:sz="2" w:space="0"/>
            </w:tcBorders>
            <w:shd w:val="clear" w:color="auto" w:fill="auto"/>
            <w:vAlign w:val="center"/>
          </w:tcPr>
          <w:p w14:paraId="644BACA1">
            <w:pPr>
              <w:autoSpaceDN w:val="0"/>
              <w:adjustRightInd w:val="0"/>
              <w:snapToGrid w:val="0"/>
              <w:jc w:val="center"/>
              <w:textAlignment w:val="center"/>
              <w:rPr>
                <w:rFonts w:ascii="宋体" w:hAnsi="宋体" w:cs="宋体"/>
                <w:color w:val="auto"/>
                <w:szCs w:val="21"/>
              </w:rPr>
            </w:pPr>
            <w:r>
              <w:rPr>
                <w:rFonts w:hint="eastAsia" w:ascii="宋体" w:hAnsi="宋体" w:cs="宋体"/>
                <w:color w:val="auto"/>
                <w:szCs w:val="21"/>
              </w:rPr>
              <w:t>售后方案</w:t>
            </w:r>
          </w:p>
          <w:p w14:paraId="3491C065">
            <w:pPr>
              <w:autoSpaceDN w:val="0"/>
              <w:adjustRightInd w:val="0"/>
              <w:snapToGrid w:val="0"/>
              <w:jc w:val="center"/>
              <w:textAlignment w:val="center"/>
              <w:rPr>
                <w:rFonts w:ascii="宋体" w:hAnsi="宋体" w:eastAsia="宋体" w:cs="宋体"/>
                <w:color w:val="auto"/>
                <w:kern w:val="2"/>
                <w:sz w:val="21"/>
                <w:szCs w:val="21"/>
                <w:lang w:val="en-US" w:eastAsia="zh-CN" w:bidi="ar-SA"/>
              </w:rPr>
            </w:pPr>
            <w:r>
              <w:rPr>
                <w:rFonts w:hint="eastAsia" w:ascii="宋体" w:hAnsi="宋体" w:cs="宋体"/>
                <w:color w:val="auto"/>
                <w:szCs w:val="21"/>
              </w:rPr>
              <w:t>10分</w:t>
            </w:r>
          </w:p>
        </w:tc>
        <w:tc>
          <w:tcPr>
            <w:tcW w:w="7267" w:type="dxa"/>
            <w:tcBorders>
              <w:top w:val="single" w:color="auto" w:sz="2" w:space="0"/>
              <w:left w:val="single" w:color="auto" w:sz="2" w:space="0"/>
              <w:bottom w:val="single" w:color="auto" w:sz="2" w:space="0"/>
              <w:right w:val="single" w:color="auto" w:sz="2" w:space="0"/>
            </w:tcBorders>
            <w:shd w:val="clear" w:color="auto" w:fill="auto"/>
            <w:vAlign w:val="top"/>
          </w:tcPr>
          <w:p w14:paraId="03078420">
            <w:pPr>
              <w:pStyle w:val="50"/>
              <w:keepNext w:val="0"/>
              <w:keepLines w:val="0"/>
              <w:pageBreakBefore w:val="0"/>
              <w:kinsoku/>
              <w:wordWrap/>
              <w:overflowPunct/>
              <w:topLinePunct w:val="0"/>
              <w:bidi w:val="0"/>
              <w:adjustRightInd w:val="0"/>
              <w:snapToGrid w:val="0"/>
              <w:spacing w:after="0"/>
              <w:ind w:left="0" w:leftChars="0" w:firstLine="0" w:firstLineChars="0"/>
              <w:jc w:val="both"/>
              <w:textAlignment w:val="auto"/>
              <w:rPr>
                <w:rFonts w:ascii="宋体" w:hAnsi="宋体" w:eastAsia="宋体" w:cs="宋体"/>
                <w:color w:val="auto"/>
                <w:kern w:val="2"/>
                <w:sz w:val="21"/>
                <w:szCs w:val="21"/>
                <w:lang w:val="en-US" w:eastAsia="zh-CN" w:bidi="ar-SA"/>
              </w:rPr>
            </w:pPr>
            <w:r>
              <w:rPr>
                <w:rFonts w:hint="eastAsia" w:ascii="宋体" w:hAnsi="宋体" w:cs="宋体"/>
                <w:color w:val="auto"/>
                <w:szCs w:val="21"/>
              </w:rPr>
              <w:t>供应商</w:t>
            </w:r>
            <w:r>
              <w:rPr>
                <w:rFonts w:hint="eastAsia"/>
                <w:snapToGrid w:val="0"/>
                <w:kern w:val="0"/>
                <w:szCs w:val="21"/>
              </w:rPr>
              <w:t>根据项目实际情况及要求，提供符合实际的</w:t>
            </w:r>
            <w:r>
              <w:rPr>
                <w:rFonts w:hint="eastAsia"/>
                <w:snapToGrid w:val="0"/>
                <w:kern w:val="0"/>
                <w:szCs w:val="21"/>
                <w:lang w:val="en-US"/>
              </w:rPr>
              <w:t>售后服务</w:t>
            </w:r>
            <w:r>
              <w:rPr>
                <w:rFonts w:hint="eastAsia"/>
                <w:snapToGrid w:val="0"/>
                <w:kern w:val="0"/>
                <w:szCs w:val="21"/>
              </w:rPr>
              <w:t>方案,包括①售后服务机构设置；②服务人员安排；③响应方式和时间；④故障解决预方案；⑤应急</w:t>
            </w:r>
            <w:r>
              <w:rPr>
                <w:rFonts w:hint="eastAsia"/>
                <w:snapToGrid w:val="0"/>
                <w:kern w:val="0"/>
                <w:szCs w:val="21"/>
                <w:lang w:val="en-US"/>
              </w:rPr>
              <w:t>处置</w:t>
            </w:r>
            <w:r>
              <w:rPr>
                <w:rFonts w:hint="eastAsia"/>
                <w:snapToGrid w:val="0"/>
                <w:kern w:val="0"/>
                <w:szCs w:val="21"/>
              </w:rPr>
              <w:t>措施。</w:t>
            </w:r>
            <w:r>
              <w:rPr>
                <w:rFonts w:hint="eastAsia" w:ascii="宋体" w:hAnsi="宋体" w:eastAsia="宋体" w:cs="宋体"/>
                <w:snapToGrid w:val="0"/>
                <w:color w:val="auto"/>
                <w:kern w:val="0"/>
                <w:sz w:val="21"/>
                <w:szCs w:val="21"/>
                <w:lang w:val="zh-CN" w:eastAsia="zh-CN" w:bidi="zh-CN"/>
              </w:rPr>
              <w:t>【方案要素完整，涵盖以上要求的全部内容要素，且各项内容均满足</w:t>
            </w:r>
            <w:r>
              <w:rPr>
                <w:rFonts w:hint="eastAsia" w:ascii="宋体" w:hAnsi="宋体" w:cs="宋体"/>
                <w:snapToGrid w:val="0"/>
                <w:color w:val="auto"/>
                <w:kern w:val="0"/>
                <w:sz w:val="21"/>
                <w:szCs w:val="21"/>
                <w:lang w:val="zh-CN" w:eastAsia="zh-CN" w:bidi="zh-CN"/>
              </w:rPr>
              <w:t>采购文件</w:t>
            </w:r>
            <w:r>
              <w:rPr>
                <w:rFonts w:hint="eastAsia" w:ascii="宋体" w:hAnsi="宋体" w:eastAsia="宋体" w:cs="宋体"/>
                <w:snapToGrid w:val="0"/>
                <w:color w:val="auto"/>
                <w:kern w:val="0"/>
                <w:sz w:val="21"/>
                <w:szCs w:val="21"/>
                <w:lang w:val="zh-CN" w:eastAsia="zh-CN" w:bidi="zh-CN"/>
              </w:rPr>
              <w:t>要求和采购人实际需求的计</w:t>
            </w:r>
            <w:r>
              <w:rPr>
                <w:rFonts w:hint="eastAsia" w:ascii="宋体" w:hAnsi="宋体" w:cs="宋体"/>
                <w:snapToGrid w:val="0"/>
                <w:color w:val="auto"/>
                <w:kern w:val="0"/>
                <w:sz w:val="21"/>
                <w:szCs w:val="21"/>
                <w:lang w:val="en-US" w:eastAsia="zh-CN" w:bidi="zh-CN"/>
              </w:rPr>
              <w:t>10</w:t>
            </w:r>
            <w:r>
              <w:rPr>
                <w:rFonts w:hint="eastAsia" w:ascii="宋体" w:hAnsi="宋体" w:eastAsia="宋体" w:cs="宋体"/>
                <w:snapToGrid w:val="0"/>
                <w:color w:val="auto"/>
                <w:kern w:val="0"/>
                <w:sz w:val="21"/>
                <w:szCs w:val="21"/>
                <w:lang w:val="zh-CN" w:eastAsia="zh-CN" w:bidi="zh-CN"/>
              </w:rPr>
              <w:t>分。】存在以下情形的，按以下标准扣分，累计扣分不超过</w:t>
            </w:r>
            <w:r>
              <w:rPr>
                <w:rFonts w:hint="eastAsia" w:ascii="宋体" w:hAnsi="宋体" w:cs="宋体"/>
                <w:snapToGrid w:val="0"/>
                <w:color w:val="auto"/>
                <w:kern w:val="0"/>
                <w:sz w:val="21"/>
                <w:szCs w:val="21"/>
                <w:lang w:val="en-US" w:eastAsia="zh-CN" w:bidi="zh-CN"/>
              </w:rPr>
              <w:t>10</w:t>
            </w:r>
            <w:r>
              <w:rPr>
                <w:rFonts w:hint="eastAsia" w:ascii="宋体" w:hAnsi="宋体" w:eastAsia="宋体" w:cs="宋体"/>
                <w:snapToGrid w:val="0"/>
                <w:color w:val="auto"/>
                <w:kern w:val="0"/>
                <w:sz w:val="21"/>
                <w:szCs w:val="21"/>
                <w:lang w:val="zh-CN" w:eastAsia="zh-CN" w:bidi="zh-CN"/>
              </w:rPr>
              <w:t>分：（1）每存在一处内容缺漏：指方案中缺少以上明确要求的内容要素，扣</w:t>
            </w:r>
            <w:r>
              <w:rPr>
                <w:rFonts w:hint="eastAsia" w:ascii="宋体" w:hAnsi="宋体" w:cs="宋体"/>
                <w:snapToGrid w:val="0"/>
                <w:color w:val="auto"/>
                <w:kern w:val="0"/>
                <w:sz w:val="21"/>
                <w:szCs w:val="21"/>
                <w:lang w:val="en-US" w:eastAsia="zh-CN" w:bidi="zh-CN"/>
              </w:rPr>
              <w:t>2</w:t>
            </w:r>
            <w:r>
              <w:rPr>
                <w:rFonts w:hint="eastAsia" w:ascii="宋体" w:hAnsi="宋体" w:eastAsia="宋体" w:cs="宋体"/>
                <w:snapToGrid w:val="0"/>
                <w:color w:val="auto"/>
                <w:kern w:val="0"/>
                <w:sz w:val="21"/>
                <w:szCs w:val="21"/>
                <w:lang w:val="zh-CN" w:eastAsia="zh-CN" w:bidi="zh-CN"/>
              </w:rPr>
              <w:t>分；（2）每存在一处内容不符：指方案中出现与本项目无关的其他项目特有信息（例如：其他项目的单位名称、地址、联系方式、时间、合同编号、特定数据或文件编号等），或者涉及的技术规范、标准等与国家、行业或</w:t>
            </w:r>
            <w:r>
              <w:rPr>
                <w:rFonts w:hint="eastAsia" w:ascii="宋体" w:hAnsi="宋体" w:cs="宋体"/>
                <w:snapToGrid w:val="0"/>
                <w:color w:val="auto"/>
                <w:kern w:val="0"/>
                <w:sz w:val="21"/>
                <w:szCs w:val="21"/>
                <w:lang w:val="zh-CN" w:eastAsia="zh-CN" w:bidi="zh-CN"/>
              </w:rPr>
              <w:t>采购文件</w:t>
            </w:r>
            <w:r>
              <w:rPr>
                <w:rFonts w:hint="eastAsia" w:ascii="宋体" w:hAnsi="宋体" w:eastAsia="宋体" w:cs="宋体"/>
                <w:snapToGrid w:val="0"/>
                <w:color w:val="auto"/>
                <w:kern w:val="0"/>
                <w:sz w:val="21"/>
                <w:szCs w:val="21"/>
                <w:lang w:val="zh-CN" w:eastAsia="zh-CN" w:bidi="zh-CN"/>
              </w:rPr>
              <w:t>采购需求不一致</w:t>
            </w:r>
            <w:r>
              <w:rPr>
                <w:rFonts w:hint="eastAsia" w:ascii="宋体" w:hAnsi="宋体" w:cs="宋体"/>
                <w:snapToGrid w:val="0"/>
                <w:color w:val="auto"/>
                <w:kern w:val="0"/>
                <w:sz w:val="21"/>
                <w:szCs w:val="21"/>
                <w:lang w:val="en-US" w:eastAsia="zh-CN" w:bidi="zh-CN"/>
              </w:rPr>
              <w:t>等</w:t>
            </w:r>
            <w:r>
              <w:rPr>
                <w:rFonts w:hint="eastAsia" w:ascii="宋体" w:hAnsi="宋体" w:eastAsia="宋体" w:cs="宋体"/>
                <w:snapToGrid w:val="0"/>
                <w:color w:val="auto"/>
                <w:kern w:val="0"/>
                <w:sz w:val="21"/>
                <w:szCs w:val="21"/>
                <w:lang w:val="zh-CN" w:eastAsia="zh-CN" w:bidi="zh-CN"/>
              </w:rPr>
              <w:t>，扣</w:t>
            </w:r>
            <w:r>
              <w:rPr>
                <w:rFonts w:hint="eastAsia" w:ascii="宋体" w:hAnsi="宋体" w:cs="宋体"/>
                <w:snapToGrid w:val="0"/>
                <w:color w:val="auto"/>
                <w:kern w:val="0"/>
                <w:sz w:val="21"/>
                <w:szCs w:val="21"/>
                <w:lang w:val="en-US" w:eastAsia="zh-CN" w:bidi="zh-CN"/>
              </w:rPr>
              <w:t>2</w:t>
            </w:r>
            <w:r>
              <w:rPr>
                <w:rFonts w:hint="eastAsia" w:ascii="宋体" w:hAnsi="宋体" w:eastAsia="宋体" w:cs="宋体"/>
                <w:snapToGrid w:val="0"/>
                <w:color w:val="auto"/>
                <w:kern w:val="0"/>
                <w:sz w:val="21"/>
                <w:szCs w:val="21"/>
                <w:lang w:val="zh-CN" w:eastAsia="zh-CN" w:bidi="zh-CN"/>
              </w:rPr>
              <w:t>分；（3）每存在一处内容瑕疵：指方案内部或不同方案之间存在前后不一致、逻辑冲突、缺少关键节点、不适用项目特性、不可能实现的情形</w:t>
            </w:r>
            <w:r>
              <w:rPr>
                <w:rFonts w:hint="eastAsia" w:ascii="宋体" w:hAnsi="宋体" w:cs="宋体"/>
                <w:snapToGrid w:val="0"/>
                <w:color w:val="auto"/>
                <w:kern w:val="0"/>
                <w:sz w:val="21"/>
                <w:szCs w:val="21"/>
                <w:lang w:val="en-US" w:eastAsia="zh-CN" w:bidi="zh-CN"/>
              </w:rPr>
              <w:t>等</w:t>
            </w:r>
            <w:r>
              <w:rPr>
                <w:rFonts w:hint="eastAsia" w:ascii="宋体" w:hAnsi="宋体" w:eastAsia="宋体" w:cs="宋体"/>
                <w:snapToGrid w:val="0"/>
                <w:color w:val="auto"/>
                <w:kern w:val="0"/>
                <w:sz w:val="21"/>
                <w:szCs w:val="21"/>
                <w:lang w:val="zh-CN" w:eastAsia="zh-CN" w:bidi="zh-CN"/>
              </w:rPr>
              <w:t>，或者照搬</w:t>
            </w:r>
            <w:r>
              <w:rPr>
                <w:rFonts w:hint="eastAsia" w:ascii="宋体" w:hAnsi="宋体" w:cs="宋体"/>
                <w:snapToGrid w:val="0"/>
                <w:color w:val="auto"/>
                <w:kern w:val="0"/>
                <w:sz w:val="21"/>
                <w:szCs w:val="21"/>
                <w:lang w:val="zh-CN" w:eastAsia="zh-CN" w:bidi="zh-CN"/>
              </w:rPr>
              <w:t>采购文件</w:t>
            </w:r>
            <w:r>
              <w:rPr>
                <w:rFonts w:hint="eastAsia" w:ascii="宋体" w:hAnsi="宋体" w:eastAsia="宋体" w:cs="宋体"/>
                <w:snapToGrid w:val="0"/>
                <w:color w:val="auto"/>
                <w:kern w:val="0"/>
                <w:sz w:val="21"/>
                <w:szCs w:val="21"/>
                <w:lang w:val="zh-CN" w:eastAsia="zh-CN" w:bidi="zh-CN"/>
              </w:rPr>
              <w:t>采购需求，或者表述错误（如人员数量、工作频次、时间节点等数据与</w:t>
            </w:r>
            <w:r>
              <w:rPr>
                <w:rFonts w:hint="eastAsia" w:ascii="宋体" w:hAnsi="宋体" w:cs="宋体"/>
                <w:snapToGrid w:val="0"/>
                <w:color w:val="auto"/>
                <w:kern w:val="0"/>
                <w:sz w:val="21"/>
                <w:szCs w:val="21"/>
                <w:lang w:val="zh-CN" w:eastAsia="zh-CN" w:bidi="zh-CN"/>
              </w:rPr>
              <w:t>采购文件</w:t>
            </w:r>
            <w:r>
              <w:rPr>
                <w:rFonts w:hint="eastAsia" w:ascii="宋体" w:hAnsi="宋体" w:eastAsia="宋体" w:cs="宋体"/>
                <w:snapToGrid w:val="0"/>
                <w:color w:val="auto"/>
                <w:kern w:val="0"/>
                <w:sz w:val="21"/>
                <w:szCs w:val="21"/>
                <w:lang w:val="zh-CN" w:eastAsia="zh-CN" w:bidi="zh-CN"/>
              </w:rPr>
              <w:t>中明确的数据基准不一致或计算有误）</w:t>
            </w:r>
            <w:r>
              <w:rPr>
                <w:rFonts w:hint="eastAsia" w:ascii="宋体" w:hAnsi="宋体" w:cs="宋体"/>
                <w:snapToGrid w:val="0"/>
                <w:color w:val="auto"/>
                <w:kern w:val="0"/>
                <w:sz w:val="21"/>
                <w:szCs w:val="21"/>
                <w:lang w:val="en-US" w:eastAsia="zh-CN" w:bidi="zh-CN"/>
              </w:rPr>
              <w:t>等</w:t>
            </w:r>
            <w:r>
              <w:rPr>
                <w:rFonts w:hint="eastAsia" w:ascii="宋体" w:hAnsi="宋体" w:eastAsia="宋体" w:cs="宋体"/>
                <w:snapToGrid w:val="0"/>
                <w:color w:val="auto"/>
                <w:kern w:val="0"/>
                <w:sz w:val="21"/>
                <w:szCs w:val="21"/>
                <w:lang w:val="zh-CN" w:eastAsia="zh-CN" w:bidi="zh-CN"/>
              </w:rPr>
              <w:t>，或者方案中留有空白（标有“XXX”等占位符，或遗漏信息的），扣</w:t>
            </w:r>
            <w:r>
              <w:rPr>
                <w:rFonts w:hint="eastAsia" w:ascii="宋体" w:hAnsi="宋体" w:cs="宋体"/>
                <w:snapToGrid w:val="0"/>
                <w:color w:val="auto"/>
                <w:kern w:val="0"/>
                <w:sz w:val="21"/>
                <w:szCs w:val="21"/>
                <w:lang w:val="en-US" w:eastAsia="zh-CN" w:bidi="zh-CN"/>
              </w:rPr>
              <w:t>1</w:t>
            </w:r>
            <w:r>
              <w:rPr>
                <w:rFonts w:hint="eastAsia" w:ascii="宋体" w:hAnsi="宋体" w:eastAsia="宋体" w:cs="宋体"/>
                <w:snapToGrid w:val="0"/>
                <w:color w:val="auto"/>
                <w:kern w:val="0"/>
                <w:sz w:val="21"/>
                <w:szCs w:val="21"/>
                <w:lang w:val="zh-CN" w:eastAsia="zh-CN" w:bidi="zh-CN"/>
              </w:rPr>
              <w:t>分。（</w:t>
            </w:r>
            <w:r>
              <w:rPr>
                <w:rFonts w:hint="eastAsia" w:ascii="宋体" w:hAnsi="宋体" w:cs="宋体"/>
                <w:snapToGrid w:val="0"/>
                <w:color w:val="auto"/>
                <w:kern w:val="0"/>
                <w:sz w:val="21"/>
                <w:szCs w:val="21"/>
                <w:lang w:val="en-US" w:eastAsia="zh-CN" w:bidi="zh-CN"/>
              </w:rPr>
              <w:t>4</w:t>
            </w:r>
            <w:r>
              <w:rPr>
                <w:rFonts w:hint="eastAsia" w:ascii="宋体" w:hAnsi="宋体" w:eastAsia="宋体" w:cs="宋体"/>
                <w:snapToGrid w:val="0"/>
                <w:color w:val="auto"/>
                <w:kern w:val="0"/>
                <w:sz w:val="21"/>
                <w:szCs w:val="21"/>
                <w:lang w:val="zh-CN" w:eastAsia="zh-CN" w:bidi="zh-CN"/>
              </w:rPr>
              <w:t>）未提供服务方案的不计分。</w:t>
            </w:r>
          </w:p>
        </w:tc>
        <w:tc>
          <w:tcPr>
            <w:tcW w:w="507" w:type="dxa"/>
            <w:tcBorders>
              <w:top w:val="single" w:color="auto" w:sz="2" w:space="0"/>
              <w:left w:val="single" w:color="auto" w:sz="2" w:space="0"/>
              <w:bottom w:val="single" w:color="auto" w:sz="2" w:space="0"/>
              <w:right w:val="single" w:color="auto" w:sz="2" w:space="0"/>
            </w:tcBorders>
            <w:vAlign w:val="center"/>
          </w:tcPr>
          <w:p w14:paraId="2B812B8C">
            <w:pPr>
              <w:widowControl/>
              <w:adjustRightInd w:val="0"/>
              <w:snapToGrid w:val="0"/>
              <w:spacing w:line="320" w:lineRule="exact"/>
              <w:jc w:val="center"/>
              <w:rPr>
                <w:rFonts w:ascii="宋体" w:hAnsi="宋体" w:cs="宋体"/>
                <w:b/>
                <w:bCs/>
                <w:color w:val="auto"/>
                <w:kern w:val="0"/>
                <w:sz w:val="22"/>
                <w:szCs w:val="22"/>
              </w:rPr>
            </w:pPr>
          </w:p>
        </w:tc>
        <w:tc>
          <w:tcPr>
            <w:tcW w:w="507" w:type="dxa"/>
            <w:tcBorders>
              <w:top w:val="single" w:color="auto" w:sz="2" w:space="0"/>
              <w:left w:val="single" w:color="auto" w:sz="2" w:space="0"/>
              <w:bottom w:val="single" w:color="auto" w:sz="2" w:space="0"/>
              <w:right w:val="single" w:color="auto" w:sz="2" w:space="0"/>
            </w:tcBorders>
            <w:vAlign w:val="center"/>
          </w:tcPr>
          <w:p w14:paraId="0D239623">
            <w:pPr>
              <w:widowControl/>
              <w:adjustRightInd w:val="0"/>
              <w:snapToGrid w:val="0"/>
              <w:spacing w:line="320" w:lineRule="exact"/>
              <w:jc w:val="center"/>
              <w:rPr>
                <w:rFonts w:ascii="宋体" w:hAnsi="宋体" w:cs="宋体"/>
                <w:b/>
                <w:bCs/>
                <w:color w:val="auto"/>
                <w:kern w:val="0"/>
                <w:sz w:val="22"/>
                <w:szCs w:val="22"/>
              </w:rPr>
            </w:pPr>
          </w:p>
        </w:tc>
        <w:tc>
          <w:tcPr>
            <w:tcW w:w="509" w:type="dxa"/>
            <w:tcBorders>
              <w:top w:val="single" w:color="auto" w:sz="2" w:space="0"/>
              <w:left w:val="single" w:color="auto" w:sz="2" w:space="0"/>
              <w:bottom w:val="single" w:color="auto" w:sz="2" w:space="0"/>
              <w:right w:val="single" w:color="auto" w:sz="4" w:space="0"/>
            </w:tcBorders>
            <w:vAlign w:val="center"/>
          </w:tcPr>
          <w:p w14:paraId="07131380">
            <w:pPr>
              <w:widowControl/>
              <w:adjustRightInd w:val="0"/>
              <w:snapToGrid w:val="0"/>
              <w:spacing w:line="320" w:lineRule="exact"/>
              <w:jc w:val="center"/>
              <w:rPr>
                <w:rFonts w:ascii="宋体" w:hAnsi="宋体" w:cs="宋体"/>
                <w:b/>
                <w:bCs/>
                <w:color w:val="auto"/>
                <w:kern w:val="0"/>
                <w:sz w:val="22"/>
                <w:szCs w:val="22"/>
              </w:rPr>
            </w:pPr>
          </w:p>
        </w:tc>
      </w:tr>
      <w:tr w14:paraId="63BF06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6" w:hRule="atLeast"/>
          <w:jc w:val="center"/>
        </w:trPr>
        <w:tc>
          <w:tcPr>
            <w:tcW w:w="495" w:type="dxa"/>
            <w:tcBorders>
              <w:top w:val="single" w:color="auto" w:sz="2" w:space="0"/>
              <w:left w:val="single" w:color="auto" w:sz="2" w:space="0"/>
              <w:bottom w:val="single" w:color="auto" w:sz="2" w:space="0"/>
              <w:right w:val="single" w:color="auto" w:sz="2" w:space="0"/>
            </w:tcBorders>
            <w:vAlign w:val="center"/>
          </w:tcPr>
          <w:p w14:paraId="1D368071">
            <w:pPr>
              <w:adjustRightInd w:val="0"/>
              <w:snapToGrid w:val="0"/>
              <w:spacing w:line="320" w:lineRule="exact"/>
              <w:jc w:val="center"/>
              <w:rPr>
                <w:rFonts w:ascii="宋体" w:hAnsi="宋体" w:cs="宋体"/>
                <w:snapToGrid w:val="0"/>
                <w:color w:val="auto"/>
                <w:kern w:val="0"/>
                <w:sz w:val="22"/>
                <w:szCs w:val="22"/>
              </w:rPr>
            </w:pPr>
          </w:p>
        </w:tc>
        <w:tc>
          <w:tcPr>
            <w:tcW w:w="8362" w:type="dxa"/>
            <w:gridSpan w:val="2"/>
            <w:tcBorders>
              <w:top w:val="single" w:color="auto" w:sz="2" w:space="0"/>
              <w:left w:val="single" w:color="auto" w:sz="2" w:space="0"/>
              <w:bottom w:val="single" w:color="auto" w:sz="2" w:space="0"/>
              <w:right w:val="single" w:color="auto" w:sz="2" w:space="0"/>
            </w:tcBorders>
            <w:vAlign w:val="center"/>
          </w:tcPr>
          <w:p w14:paraId="79E297B4">
            <w:pPr>
              <w:widowControl/>
              <w:adjustRightInd w:val="0"/>
              <w:snapToGrid w:val="0"/>
              <w:spacing w:line="320" w:lineRule="exact"/>
              <w:rPr>
                <w:rFonts w:ascii="宋体" w:hAnsi="宋体" w:cs="宋体"/>
                <w:snapToGrid w:val="0"/>
                <w:color w:val="auto"/>
                <w:kern w:val="0"/>
                <w:sz w:val="22"/>
                <w:szCs w:val="22"/>
              </w:rPr>
            </w:pPr>
            <w:r>
              <w:rPr>
                <w:rFonts w:hint="eastAsia" w:ascii="宋体" w:hAnsi="宋体" w:cs="宋体"/>
                <w:snapToGrid w:val="0"/>
                <w:color w:val="auto"/>
                <w:kern w:val="0"/>
                <w:sz w:val="22"/>
                <w:szCs w:val="22"/>
              </w:rPr>
              <w:t>合计</w:t>
            </w:r>
          </w:p>
        </w:tc>
        <w:tc>
          <w:tcPr>
            <w:tcW w:w="507" w:type="dxa"/>
            <w:tcBorders>
              <w:top w:val="single" w:color="auto" w:sz="2" w:space="0"/>
              <w:left w:val="single" w:color="auto" w:sz="2" w:space="0"/>
              <w:bottom w:val="single" w:color="auto" w:sz="2" w:space="0"/>
              <w:right w:val="single" w:color="auto" w:sz="2" w:space="0"/>
            </w:tcBorders>
            <w:vAlign w:val="center"/>
          </w:tcPr>
          <w:p w14:paraId="1D7D6A29">
            <w:pPr>
              <w:widowControl/>
              <w:adjustRightInd w:val="0"/>
              <w:snapToGrid w:val="0"/>
              <w:spacing w:line="320" w:lineRule="exact"/>
              <w:rPr>
                <w:rFonts w:ascii="宋体" w:hAnsi="宋体" w:cs="宋体"/>
                <w:snapToGrid w:val="0"/>
                <w:color w:val="auto"/>
                <w:kern w:val="0"/>
                <w:sz w:val="22"/>
                <w:szCs w:val="22"/>
              </w:rPr>
            </w:pPr>
          </w:p>
        </w:tc>
        <w:tc>
          <w:tcPr>
            <w:tcW w:w="507" w:type="dxa"/>
            <w:tcBorders>
              <w:top w:val="single" w:color="auto" w:sz="2" w:space="0"/>
              <w:left w:val="single" w:color="auto" w:sz="2" w:space="0"/>
              <w:bottom w:val="single" w:color="auto" w:sz="2" w:space="0"/>
              <w:right w:val="single" w:color="auto" w:sz="2" w:space="0"/>
            </w:tcBorders>
            <w:vAlign w:val="center"/>
          </w:tcPr>
          <w:p w14:paraId="48212857">
            <w:pPr>
              <w:widowControl/>
              <w:adjustRightInd w:val="0"/>
              <w:snapToGrid w:val="0"/>
              <w:spacing w:line="320" w:lineRule="exact"/>
              <w:rPr>
                <w:rFonts w:ascii="宋体" w:hAnsi="宋体" w:cs="宋体"/>
                <w:snapToGrid w:val="0"/>
                <w:color w:val="auto"/>
                <w:kern w:val="0"/>
                <w:sz w:val="22"/>
                <w:szCs w:val="22"/>
              </w:rPr>
            </w:pPr>
          </w:p>
        </w:tc>
        <w:tc>
          <w:tcPr>
            <w:tcW w:w="509" w:type="dxa"/>
            <w:tcBorders>
              <w:top w:val="single" w:color="auto" w:sz="2" w:space="0"/>
              <w:left w:val="single" w:color="auto" w:sz="2" w:space="0"/>
              <w:bottom w:val="single" w:color="auto" w:sz="2" w:space="0"/>
              <w:right w:val="single" w:color="auto" w:sz="4" w:space="0"/>
            </w:tcBorders>
            <w:vAlign w:val="center"/>
          </w:tcPr>
          <w:p w14:paraId="6C0B6F21">
            <w:pPr>
              <w:widowControl/>
              <w:adjustRightInd w:val="0"/>
              <w:snapToGrid w:val="0"/>
              <w:spacing w:line="320" w:lineRule="exact"/>
              <w:jc w:val="center"/>
              <w:rPr>
                <w:rFonts w:ascii="宋体" w:hAnsi="宋体" w:cs="宋体"/>
                <w:snapToGrid w:val="0"/>
                <w:color w:val="auto"/>
                <w:kern w:val="0"/>
                <w:sz w:val="22"/>
                <w:szCs w:val="22"/>
              </w:rPr>
            </w:pPr>
          </w:p>
        </w:tc>
      </w:tr>
    </w:tbl>
    <w:p w14:paraId="0B404049">
      <w:pPr>
        <w:adjustRightInd w:val="0"/>
        <w:snapToGrid w:val="0"/>
        <w:spacing w:line="360" w:lineRule="auto"/>
        <w:rPr>
          <w:rFonts w:ascii="宋体" w:hAnsi="宋体"/>
          <w:b/>
          <w:bCs/>
          <w:color w:val="auto"/>
          <w:sz w:val="24"/>
        </w:rPr>
      </w:pPr>
      <w:r>
        <w:rPr>
          <w:rFonts w:hint="eastAsia" w:ascii="宋体" w:hAnsi="宋体"/>
          <w:b/>
          <w:bCs/>
          <w:color w:val="auto"/>
          <w:szCs w:val="21"/>
        </w:rPr>
        <w:t>磋商小组成员签字：                                                  年  月  日</w:t>
      </w:r>
      <w:bookmarkStart w:id="23" w:name="_Toc17715"/>
      <w:bookmarkStart w:id="24" w:name="_Toc23294"/>
      <w:bookmarkStart w:id="25" w:name="_Toc14532"/>
      <w:r>
        <w:rPr>
          <w:rFonts w:hint="eastAsia" w:ascii="宋体" w:hAnsi="宋体"/>
          <w:b/>
          <w:bCs/>
          <w:color w:val="auto"/>
          <w:sz w:val="24"/>
        </w:rPr>
        <w:br w:type="page"/>
      </w:r>
    </w:p>
    <w:p w14:paraId="5B1E9EE0">
      <w:pPr>
        <w:outlineLvl w:val="1"/>
        <w:rPr>
          <w:b/>
          <w:color w:val="auto"/>
          <w:spacing w:val="26"/>
          <w:szCs w:val="21"/>
        </w:rPr>
      </w:pPr>
      <w:r>
        <w:rPr>
          <w:rFonts w:hint="eastAsia" w:ascii="宋体" w:hAnsi="宋体"/>
          <w:b/>
          <w:bCs/>
          <w:color w:val="auto"/>
          <w:sz w:val="24"/>
        </w:rPr>
        <w:t>7：供应商</w:t>
      </w:r>
      <w:r>
        <w:rPr>
          <w:rFonts w:hint="eastAsia"/>
          <w:b/>
          <w:color w:val="auto"/>
          <w:spacing w:val="26"/>
          <w:sz w:val="24"/>
        </w:rPr>
        <w:t>得分汇总计算表</w:t>
      </w:r>
      <w:bookmarkEnd w:id="23"/>
      <w:bookmarkEnd w:id="24"/>
      <w:bookmarkEnd w:id="25"/>
    </w:p>
    <w:p w14:paraId="78EB92B1">
      <w:pPr>
        <w:rPr>
          <w:color w:val="auto"/>
        </w:rPr>
      </w:pPr>
    </w:p>
    <w:p w14:paraId="5B67D21F">
      <w:pPr>
        <w:rPr>
          <w:rFonts w:ascii="宋体" w:hAnsi="宋体"/>
          <w:bCs/>
          <w:color w:val="auto"/>
          <w:sz w:val="18"/>
          <w:szCs w:val="18"/>
        </w:rPr>
      </w:pPr>
      <w:r>
        <w:rPr>
          <w:rFonts w:hint="eastAsia" w:ascii="宋体" w:hAnsi="宋体"/>
          <w:bCs/>
          <w:color w:val="auto"/>
          <w:sz w:val="18"/>
          <w:szCs w:val="18"/>
          <w:lang w:eastAsia="zh-CN"/>
        </w:rPr>
        <w:t>政府采购编号</w:t>
      </w:r>
      <w:r>
        <w:rPr>
          <w:rFonts w:hint="eastAsia" w:ascii="宋体" w:hAnsi="宋体"/>
          <w:bCs/>
          <w:color w:val="auto"/>
          <w:sz w:val="18"/>
          <w:szCs w:val="18"/>
        </w:rPr>
        <w:t>：</w:t>
      </w:r>
    </w:p>
    <w:tbl>
      <w:tblPr>
        <w:tblStyle w:val="51"/>
        <w:tblW w:w="9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5"/>
        <w:gridCol w:w="1323"/>
        <w:gridCol w:w="1323"/>
        <w:gridCol w:w="1323"/>
        <w:gridCol w:w="1323"/>
        <w:gridCol w:w="1323"/>
        <w:gridCol w:w="1324"/>
      </w:tblGrid>
      <w:tr w14:paraId="46FD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685" w:type="dxa"/>
            <w:vMerge w:val="restart"/>
            <w:tcBorders>
              <w:top w:val="single" w:color="auto" w:sz="4" w:space="0"/>
              <w:left w:val="single" w:color="auto" w:sz="4" w:space="0"/>
              <w:bottom w:val="single" w:color="auto" w:sz="4" w:space="0"/>
              <w:right w:val="single" w:color="auto" w:sz="4" w:space="0"/>
            </w:tcBorders>
            <w:vAlign w:val="center"/>
          </w:tcPr>
          <w:p w14:paraId="3866ED93">
            <w:pPr>
              <w:ind w:right="-205" w:rightChars="-98"/>
              <w:jc w:val="center"/>
              <w:rPr>
                <w:color w:val="auto"/>
                <w:spacing w:val="26"/>
                <w:szCs w:val="21"/>
              </w:rPr>
            </w:pPr>
            <w:r>
              <w:rPr>
                <w:rFonts w:hint="eastAsia"/>
                <w:color w:val="auto"/>
                <w:spacing w:val="26"/>
                <w:szCs w:val="21"/>
              </w:rPr>
              <w:t>磋商</w:t>
            </w:r>
          </w:p>
          <w:p w14:paraId="05A638D7">
            <w:pPr>
              <w:ind w:right="-205" w:rightChars="-98"/>
              <w:jc w:val="center"/>
              <w:rPr>
                <w:color w:val="auto"/>
                <w:spacing w:val="26"/>
                <w:szCs w:val="21"/>
              </w:rPr>
            </w:pPr>
            <w:r>
              <w:rPr>
                <w:rFonts w:hint="eastAsia"/>
                <w:color w:val="auto"/>
                <w:spacing w:val="26"/>
                <w:szCs w:val="21"/>
              </w:rPr>
              <w:t>小组</w:t>
            </w:r>
          </w:p>
          <w:p w14:paraId="0356AB64">
            <w:pPr>
              <w:ind w:right="-205" w:rightChars="-98"/>
              <w:jc w:val="center"/>
              <w:rPr>
                <w:color w:val="auto"/>
                <w:spacing w:val="26"/>
                <w:szCs w:val="21"/>
              </w:rPr>
            </w:pPr>
            <w:r>
              <w:rPr>
                <w:rFonts w:hint="eastAsia"/>
                <w:color w:val="auto"/>
                <w:spacing w:val="26"/>
                <w:szCs w:val="21"/>
              </w:rPr>
              <w:t>成员</w:t>
            </w:r>
          </w:p>
          <w:p w14:paraId="756DF1EC">
            <w:pPr>
              <w:ind w:right="-205" w:rightChars="-98"/>
              <w:jc w:val="center"/>
              <w:rPr>
                <w:color w:val="auto"/>
                <w:spacing w:val="26"/>
                <w:szCs w:val="21"/>
              </w:rPr>
            </w:pPr>
            <w:r>
              <w:rPr>
                <w:rFonts w:hint="eastAsia"/>
                <w:color w:val="auto"/>
                <w:spacing w:val="26"/>
                <w:szCs w:val="21"/>
              </w:rPr>
              <w:t>姓名</w:t>
            </w:r>
          </w:p>
        </w:tc>
        <w:tc>
          <w:tcPr>
            <w:tcW w:w="7939" w:type="dxa"/>
            <w:gridSpan w:val="6"/>
            <w:tcBorders>
              <w:top w:val="single" w:color="auto" w:sz="4" w:space="0"/>
              <w:left w:val="single" w:color="auto" w:sz="4" w:space="0"/>
              <w:bottom w:val="single" w:color="auto" w:sz="4" w:space="0"/>
              <w:right w:val="single" w:color="auto" w:sz="4" w:space="0"/>
            </w:tcBorders>
            <w:vAlign w:val="center"/>
          </w:tcPr>
          <w:p w14:paraId="4D6A421F">
            <w:pPr>
              <w:jc w:val="center"/>
              <w:rPr>
                <w:color w:val="auto"/>
                <w:spacing w:val="26"/>
                <w:szCs w:val="21"/>
              </w:rPr>
            </w:pPr>
            <w:r>
              <w:rPr>
                <w:rFonts w:hint="eastAsia"/>
                <w:color w:val="auto"/>
                <w:spacing w:val="26"/>
                <w:szCs w:val="21"/>
              </w:rPr>
              <w:t>供应商名称</w:t>
            </w:r>
          </w:p>
        </w:tc>
      </w:tr>
      <w:tr w14:paraId="636B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jc w:val="center"/>
        </w:trPr>
        <w:tc>
          <w:tcPr>
            <w:tcW w:w="1685" w:type="dxa"/>
            <w:vMerge w:val="continue"/>
            <w:tcBorders>
              <w:top w:val="single" w:color="auto" w:sz="4" w:space="0"/>
              <w:left w:val="single" w:color="auto" w:sz="4" w:space="0"/>
              <w:bottom w:val="single" w:color="auto" w:sz="4" w:space="0"/>
              <w:right w:val="single" w:color="auto" w:sz="4" w:space="0"/>
            </w:tcBorders>
            <w:vAlign w:val="center"/>
          </w:tcPr>
          <w:p w14:paraId="1E962E75">
            <w:pPr>
              <w:widowControl/>
              <w:jc w:val="left"/>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6F80FAF">
            <w:pPr>
              <w:spacing w:line="240" w:lineRule="exact"/>
              <w:jc w:val="center"/>
              <w:rPr>
                <w:color w:val="auto"/>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202302C">
            <w:pPr>
              <w:spacing w:line="240" w:lineRule="exact"/>
              <w:jc w:val="center"/>
              <w:rPr>
                <w:color w:val="auto"/>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2B85D0FC">
            <w:pPr>
              <w:spacing w:line="240" w:lineRule="exact"/>
              <w:jc w:val="center"/>
              <w:rPr>
                <w:color w:val="auto"/>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C0070EC">
            <w:pPr>
              <w:spacing w:line="240" w:lineRule="exact"/>
              <w:jc w:val="center"/>
              <w:rPr>
                <w:color w:val="auto"/>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E680B44">
            <w:pPr>
              <w:spacing w:line="240" w:lineRule="exact"/>
              <w:jc w:val="center"/>
              <w:rPr>
                <w:color w:val="auto"/>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4223DCD9">
            <w:pPr>
              <w:spacing w:line="240" w:lineRule="exact"/>
              <w:jc w:val="center"/>
              <w:rPr>
                <w:color w:val="auto"/>
                <w:szCs w:val="21"/>
              </w:rPr>
            </w:pPr>
          </w:p>
        </w:tc>
      </w:tr>
      <w:tr w14:paraId="0391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4A46C165">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3220BD4">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DD81491">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D3850CA">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35C626F">
            <w:pPr>
              <w:ind w:right="-172" w:rightChars="-82"/>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EE002E7">
            <w:pPr>
              <w:ind w:right="-172" w:rightChars="-82"/>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03F6B445">
            <w:pPr>
              <w:ind w:right="-172" w:rightChars="-82"/>
              <w:jc w:val="center"/>
              <w:rPr>
                <w:color w:val="auto"/>
                <w:spacing w:val="26"/>
                <w:szCs w:val="21"/>
              </w:rPr>
            </w:pPr>
          </w:p>
        </w:tc>
      </w:tr>
      <w:tr w14:paraId="04D2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284A5B68">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22069DF0">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64D8CE7C">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78BDE9A3">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CFD6E7F">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9F28984">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10B05418">
            <w:pPr>
              <w:jc w:val="center"/>
              <w:rPr>
                <w:color w:val="auto"/>
                <w:spacing w:val="26"/>
                <w:szCs w:val="21"/>
              </w:rPr>
            </w:pPr>
          </w:p>
        </w:tc>
      </w:tr>
      <w:tr w14:paraId="7245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07BD3DFE">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E137413">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67EACB3">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2A96C04">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7525099">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22A55DA6">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4367535B">
            <w:pPr>
              <w:jc w:val="center"/>
              <w:rPr>
                <w:color w:val="auto"/>
                <w:spacing w:val="26"/>
                <w:szCs w:val="21"/>
              </w:rPr>
            </w:pPr>
          </w:p>
        </w:tc>
      </w:tr>
      <w:tr w14:paraId="4A235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16059054">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CD42DC7">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DE657C7">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30AAA1F5">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F0BF08F">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71815EFC">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764C3996">
            <w:pPr>
              <w:jc w:val="center"/>
              <w:rPr>
                <w:color w:val="auto"/>
                <w:spacing w:val="26"/>
                <w:szCs w:val="21"/>
              </w:rPr>
            </w:pPr>
          </w:p>
        </w:tc>
      </w:tr>
      <w:tr w14:paraId="3D6A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76096F69">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EBC6CB4">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C099132">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30A1B84B">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5F0ED9C">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9BE32D4">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1967CABA">
            <w:pPr>
              <w:jc w:val="center"/>
              <w:rPr>
                <w:color w:val="auto"/>
                <w:spacing w:val="26"/>
                <w:szCs w:val="21"/>
              </w:rPr>
            </w:pPr>
          </w:p>
        </w:tc>
      </w:tr>
      <w:tr w14:paraId="6D35E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4379A369">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33A0020">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3482D370">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684E0BCB">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3301E711">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264AF772">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6AA89FFE">
            <w:pPr>
              <w:jc w:val="center"/>
              <w:rPr>
                <w:color w:val="auto"/>
                <w:spacing w:val="26"/>
                <w:szCs w:val="21"/>
              </w:rPr>
            </w:pPr>
          </w:p>
        </w:tc>
      </w:tr>
      <w:tr w14:paraId="51B1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486F780B">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5645592">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C1FB304">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38A651A">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D3CC8C7">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610989B">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5403B963">
            <w:pPr>
              <w:jc w:val="center"/>
              <w:rPr>
                <w:color w:val="auto"/>
                <w:spacing w:val="26"/>
                <w:szCs w:val="21"/>
              </w:rPr>
            </w:pPr>
          </w:p>
        </w:tc>
      </w:tr>
      <w:tr w14:paraId="5C6A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37146E73">
            <w:pPr>
              <w:jc w:val="center"/>
              <w:rPr>
                <w:color w:val="auto"/>
                <w:spacing w:val="26"/>
                <w:szCs w:val="21"/>
              </w:rPr>
            </w:pPr>
            <w:r>
              <w:rPr>
                <w:rFonts w:hint="eastAsia"/>
                <w:color w:val="auto"/>
                <w:spacing w:val="26"/>
                <w:szCs w:val="21"/>
              </w:rPr>
              <w:t>总分</w:t>
            </w:r>
          </w:p>
        </w:tc>
        <w:tc>
          <w:tcPr>
            <w:tcW w:w="1323" w:type="dxa"/>
            <w:tcBorders>
              <w:top w:val="single" w:color="auto" w:sz="4" w:space="0"/>
              <w:left w:val="single" w:color="auto" w:sz="4" w:space="0"/>
              <w:bottom w:val="single" w:color="auto" w:sz="4" w:space="0"/>
              <w:right w:val="single" w:color="auto" w:sz="4" w:space="0"/>
            </w:tcBorders>
            <w:vAlign w:val="center"/>
          </w:tcPr>
          <w:p w14:paraId="4A31E200">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7022F76D">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33E798FA">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62BE1D64">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09DE670">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24401C0A">
            <w:pPr>
              <w:jc w:val="center"/>
              <w:rPr>
                <w:color w:val="auto"/>
                <w:spacing w:val="26"/>
                <w:szCs w:val="21"/>
              </w:rPr>
            </w:pPr>
          </w:p>
        </w:tc>
      </w:tr>
      <w:tr w14:paraId="1E47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089B0BBE">
            <w:pPr>
              <w:jc w:val="center"/>
              <w:rPr>
                <w:color w:val="auto"/>
                <w:spacing w:val="26"/>
                <w:szCs w:val="21"/>
              </w:rPr>
            </w:pPr>
            <w:r>
              <w:rPr>
                <w:rFonts w:hint="eastAsia"/>
                <w:color w:val="auto"/>
                <w:spacing w:val="26"/>
                <w:szCs w:val="21"/>
              </w:rPr>
              <w:t>平均</w:t>
            </w:r>
          </w:p>
        </w:tc>
        <w:tc>
          <w:tcPr>
            <w:tcW w:w="1323" w:type="dxa"/>
            <w:tcBorders>
              <w:top w:val="single" w:color="auto" w:sz="4" w:space="0"/>
              <w:left w:val="single" w:color="auto" w:sz="4" w:space="0"/>
              <w:bottom w:val="single" w:color="auto" w:sz="4" w:space="0"/>
              <w:right w:val="single" w:color="auto" w:sz="4" w:space="0"/>
            </w:tcBorders>
            <w:vAlign w:val="center"/>
          </w:tcPr>
          <w:p w14:paraId="6460BE2A">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FEE0958">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17C565DC">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38B0B392">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250695F0">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3D9AC794">
            <w:pPr>
              <w:jc w:val="center"/>
              <w:rPr>
                <w:color w:val="auto"/>
                <w:spacing w:val="26"/>
                <w:szCs w:val="21"/>
              </w:rPr>
            </w:pPr>
          </w:p>
        </w:tc>
      </w:tr>
      <w:tr w14:paraId="0901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64CF67C2">
            <w:pPr>
              <w:jc w:val="center"/>
              <w:rPr>
                <w:color w:val="auto"/>
                <w:spacing w:val="26"/>
                <w:szCs w:val="21"/>
              </w:rPr>
            </w:pPr>
            <w:r>
              <w:rPr>
                <w:rFonts w:hint="eastAsia"/>
                <w:color w:val="auto"/>
                <w:spacing w:val="26"/>
                <w:szCs w:val="21"/>
              </w:rPr>
              <w:t>最后</w:t>
            </w:r>
          </w:p>
          <w:p w14:paraId="71D668AE">
            <w:pPr>
              <w:jc w:val="center"/>
              <w:rPr>
                <w:color w:val="auto"/>
                <w:spacing w:val="26"/>
                <w:szCs w:val="21"/>
              </w:rPr>
            </w:pPr>
            <w:r>
              <w:rPr>
                <w:rFonts w:hint="eastAsia"/>
                <w:color w:val="auto"/>
                <w:spacing w:val="26"/>
                <w:szCs w:val="21"/>
              </w:rPr>
              <w:t>得分</w:t>
            </w:r>
          </w:p>
        </w:tc>
        <w:tc>
          <w:tcPr>
            <w:tcW w:w="1323" w:type="dxa"/>
            <w:tcBorders>
              <w:top w:val="single" w:color="auto" w:sz="4" w:space="0"/>
              <w:left w:val="single" w:color="auto" w:sz="4" w:space="0"/>
              <w:bottom w:val="single" w:color="auto" w:sz="4" w:space="0"/>
              <w:right w:val="single" w:color="auto" w:sz="4" w:space="0"/>
            </w:tcBorders>
            <w:vAlign w:val="center"/>
          </w:tcPr>
          <w:p w14:paraId="7E5F884F">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2AADB156">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B9A8EA4">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436C0DC5">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7C593663">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7F38A2F4">
            <w:pPr>
              <w:jc w:val="center"/>
              <w:rPr>
                <w:color w:val="auto"/>
                <w:spacing w:val="26"/>
                <w:szCs w:val="21"/>
              </w:rPr>
            </w:pPr>
          </w:p>
        </w:tc>
      </w:tr>
      <w:tr w14:paraId="4761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85" w:type="dxa"/>
            <w:tcBorders>
              <w:top w:val="single" w:color="auto" w:sz="4" w:space="0"/>
              <w:left w:val="single" w:color="auto" w:sz="4" w:space="0"/>
              <w:bottom w:val="single" w:color="auto" w:sz="4" w:space="0"/>
              <w:right w:val="single" w:color="auto" w:sz="4" w:space="0"/>
            </w:tcBorders>
            <w:vAlign w:val="center"/>
          </w:tcPr>
          <w:p w14:paraId="61B0D261">
            <w:pPr>
              <w:jc w:val="center"/>
              <w:rPr>
                <w:color w:val="auto"/>
                <w:spacing w:val="26"/>
                <w:szCs w:val="21"/>
              </w:rPr>
            </w:pPr>
            <w:r>
              <w:rPr>
                <w:rFonts w:hint="eastAsia"/>
                <w:color w:val="auto"/>
                <w:spacing w:val="26"/>
                <w:szCs w:val="21"/>
              </w:rPr>
              <w:t>得分</w:t>
            </w:r>
          </w:p>
          <w:p w14:paraId="20D09DD2">
            <w:pPr>
              <w:jc w:val="center"/>
              <w:rPr>
                <w:color w:val="auto"/>
                <w:spacing w:val="26"/>
                <w:szCs w:val="21"/>
              </w:rPr>
            </w:pPr>
            <w:r>
              <w:rPr>
                <w:rFonts w:hint="eastAsia"/>
                <w:color w:val="auto"/>
                <w:spacing w:val="26"/>
                <w:szCs w:val="21"/>
              </w:rPr>
              <w:t>排名</w:t>
            </w:r>
          </w:p>
        </w:tc>
        <w:tc>
          <w:tcPr>
            <w:tcW w:w="1323" w:type="dxa"/>
            <w:tcBorders>
              <w:top w:val="single" w:color="auto" w:sz="4" w:space="0"/>
              <w:left w:val="single" w:color="auto" w:sz="4" w:space="0"/>
              <w:bottom w:val="single" w:color="auto" w:sz="4" w:space="0"/>
              <w:right w:val="single" w:color="auto" w:sz="4" w:space="0"/>
            </w:tcBorders>
            <w:vAlign w:val="center"/>
          </w:tcPr>
          <w:p w14:paraId="2AED088B">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204F989E">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56E40520">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2FDE994">
            <w:pPr>
              <w:jc w:val="center"/>
              <w:rPr>
                <w:color w:val="auto"/>
                <w:spacing w:val="26"/>
                <w:szCs w:val="21"/>
              </w:rPr>
            </w:pPr>
          </w:p>
        </w:tc>
        <w:tc>
          <w:tcPr>
            <w:tcW w:w="1323" w:type="dxa"/>
            <w:tcBorders>
              <w:top w:val="single" w:color="auto" w:sz="4" w:space="0"/>
              <w:left w:val="single" w:color="auto" w:sz="4" w:space="0"/>
              <w:bottom w:val="single" w:color="auto" w:sz="4" w:space="0"/>
              <w:right w:val="single" w:color="auto" w:sz="4" w:space="0"/>
            </w:tcBorders>
            <w:vAlign w:val="center"/>
          </w:tcPr>
          <w:p w14:paraId="019AF5B9">
            <w:pPr>
              <w:jc w:val="center"/>
              <w:rPr>
                <w:color w:val="auto"/>
                <w:spacing w:val="26"/>
                <w:szCs w:val="21"/>
              </w:rPr>
            </w:pPr>
          </w:p>
        </w:tc>
        <w:tc>
          <w:tcPr>
            <w:tcW w:w="1324" w:type="dxa"/>
            <w:tcBorders>
              <w:top w:val="single" w:color="auto" w:sz="4" w:space="0"/>
              <w:left w:val="single" w:color="auto" w:sz="4" w:space="0"/>
              <w:bottom w:val="single" w:color="auto" w:sz="4" w:space="0"/>
              <w:right w:val="single" w:color="auto" w:sz="4" w:space="0"/>
            </w:tcBorders>
            <w:vAlign w:val="center"/>
          </w:tcPr>
          <w:p w14:paraId="7573F663">
            <w:pPr>
              <w:jc w:val="center"/>
              <w:rPr>
                <w:color w:val="auto"/>
                <w:spacing w:val="26"/>
                <w:szCs w:val="21"/>
              </w:rPr>
            </w:pPr>
          </w:p>
        </w:tc>
      </w:tr>
    </w:tbl>
    <w:p w14:paraId="53BEA729">
      <w:pPr>
        <w:adjustRightInd w:val="0"/>
        <w:snapToGrid w:val="0"/>
        <w:spacing w:before="156" w:beforeLines="50" w:line="360" w:lineRule="auto"/>
        <w:jc w:val="center"/>
        <w:rPr>
          <w:rFonts w:ascii="宋体" w:hAnsi="宋体"/>
          <w:b/>
          <w:bCs/>
          <w:color w:val="auto"/>
          <w:szCs w:val="21"/>
        </w:rPr>
      </w:pPr>
      <w:r>
        <w:rPr>
          <w:rFonts w:hint="eastAsia" w:ascii="宋体" w:hAnsi="宋体"/>
          <w:b/>
          <w:bCs/>
          <w:color w:val="auto"/>
          <w:szCs w:val="21"/>
        </w:rPr>
        <w:t>磋商小组成员签字：                                             年  月  日</w:t>
      </w:r>
    </w:p>
    <w:p w14:paraId="4EECD35B">
      <w:pPr>
        <w:adjustRightInd w:val="0"/>
        <w:snapToGrid w:val="0"/>
        <w:spacing w:line="360" w:lineRule="auto"/>
        <w:rPr>
          <w:rFonts w:ascii="宋体" w:hAnsi="宋体"/>
          <w:b/>
          <w:bCs/>
          <w:color w:val="auto"/>
        </w:rPr>
      </w:pPr>
    </w:p>
    <w:p w14:paraId="1C3B69ED">
      <w:pPr>
        <w:rPr>
          <w:color w:val="auto"/>
        </w:rPr>
      </w:pPr>
    </w:p>
    <w:p w14:paraId="4EF6F024">
      <w:pPr>
        <w:adjustRightInd w:val="0"/>
        <w:snapToGrid w:val="0"/>
        <w:spacing w:line="360" w:lineRule="auto"/>
        <w:outlineLvl w:val="1"/>
        <w:rPr>
          <w:rFonts w:ascii="宋体" w:hAnsi="宋体"/>
          <w:b/>
          <w:color w:val="auto"/>
          <w:sz w:val="24"/>
        </w:rPr>
      </w:pPr>
      <w:bookmarkStart w:id="26" w:name="_Toc8865"/>
      <w:bookmarkStart w:id="27" w:name="_Toc28465"/>
      <w:bookmarkStart w:id="28" w:name="_Toc27588"/>
      <w:r>
        <w:rPr>
          <w:rFonts w:hint="eastAsia" w:ascii="宋体" w:hAnsi="宋体"/>
          <w:b/>
          <w:bCs/>
          <w:color w:val="auto"/>
          <w:sz w:val="24"/>
          <w:szCs w:val="32"/>
        </w:rPr>
        <w:t>8：</w:t>
      </w:r>
      <w:r>
        <w:rPr>
          <w:rFonts w:hint="eastAsia" w:ascii="宋体" w:hAnsi="宋体"/>
          <w:b/>
          <w:color w:val="auto"/>
          <w:sz w:val="24"/>
        </w:rPr>
        <w:t>经评审的供应商排序表</w:t>
      </w:r>
      <w:bookmarkEnd w:id="26"/>
      <w:bookmarkEnd w:id="27"/>
      <w:bookmarkEnd w:id="28"/>
    </w:p>
    <w:p w14:paraId="33A0A981">
      <w:pPr>
        <w:rPr>
          <w:rFonts w:ascii="宋体" w:hAnsi="宋体"/>
          <w:bCs/>
          <w:color w:val="auto"/>
          <w:sz w:val="18"/>
          <w:szCs w:val="18"/>
        </w:rPr>
      </w:pPr>
      <w:r>
        <w:rPr>
          <w:rFonts w:hint="eastAsia" w:ascii="宋体" w:hAnsi="宋体"/>
          <w:bCs/>
          <w:color w:val="auto"/>
          <w:sz w:val="18"/>
          <w:szCs w:val="18"/>
          <w:lang w:eastAsia="zh-CN"/>
        </w:rPr>
        <w:t>政府采购编号</w:t>
      </w:r>
      <w:r>
        <w:rPr>
          <w:rFonts w:hint="eastAsia" w:ascii="宋体" w:hAnsi="宋体"/>
          <w:bCs/>
          <w:color w:val="auto"/>
          <w:sz w:val="18"/>
          <w:szCs w:val="18"/>
        </w:rPr>
        <w:t>：                                                     日期：      年  月 日</w:t>
      </w:r>
    </w:p>
    <w:tbl>
      <w:tblPr>
        <w:tblStyle w:val="51"/>
        <w:tblW w:w="941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71"/>
        <w:gridCol w:w="4866"/>
        <w:gridCol w:w="1695"/>
        <w:gridCol w:w="1082"/>
      </w:tblGrid>
      <w:tr w14:paraId="20152B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12" w:space="0"/>
              <w:left w:val="single" w:color="auto" w:sz="12" w:space="0"/>
              <w:bottom w:val="single" w:color="auto" w:sz="6" w:space="0"/>
              <w:right w:val="single" w:color="auto" w:sz="6" w:space="0"/>
            </w:tcBorders>
            <w:vAlign w:val="center"/>
          </w:tcPr>
          <w:p w14:paraId="5A92E470">
            <w:pPr>
              <w:spacing w:line="500" w:lineRule="exact"/>
              <w:jc w:val="center"/>
              <w:rPr>
                <w:rFonts w:ascii="宋体" w:hAnsi="宋体"/>
                <w:color w:val="auto"/>
                <w:szCs w:val="21"/>
              </w:rPr>
            </w:pPr>
            <w:r>
              <w:rPr>
                <w:rFonts w:hint="eastAsia" w:ascii="宋体" w:hAnsi="宋体"/>
                <w:color w:val="auto"/>
                <w:szCs w:val="21"/>
              </w:rPr>
              <w:t>排序</w:t>
            </w:r>
          </w:p>
        </w:tc>
        <w:tc>
          <w:tcPr>
            <w:tcW w:w="4866" w:type="dxa"/>
            <w:tcBorders>
              <w:top w:val="single" w:color="auto" w:sz="12" w:space="0"/>
              <w:left w:val="single" w:color="auto" w:sz="6" w:space="0"/>
              <w:bottom w:val="single" w:color="auto" w:sz="6" w:space="0"/>
              <w:right w:val="single" w:color="auto" w:sz="6" w:space="0"/>
            </w:tcBorders>
            <w:vAlign w:val="center"/>
          </w:tcPr>
          <w:p w14:paraId="28205A95">
            <w:pPr>
              <w:spacing w:line="500" w:lineRule="exact"/>
              <w:jc w:val="center"/>
              <w:rPr>
                <w:rFonts w:ascii="宋体" w:hAnsi="宋体"/>
                <w:color w:val="auto"/>
                <w:szCs w:val="21"/>
              </w:rPr>
            </w:pPr>
            <w:r>
              <w:rPr>
                <w:rFonts w:hint="eastAsia" w:ascii="宋体" w:hAnsi="宋体"/>
                <w:color w:val="auto"/>
                <w:szCs w:val="21"/>
              </w:rPr>
              <w:t>供应商名称</w:t>
            </w:r>
          </w:p>
        </w:tc>
        <w:tc>
          <w:tcPr>
            <w:tcW w:w="1695" w:type="dxa"/>
            <w:tcBorders>
              <w:top w:val="single" w:color="auto" w:sz="12" w:space="0"/>
              <w:left w:val="single" w:color="auto" w:sz="6" w:space="0"/>
              <w:bottom w:val="single" w:color="auto" w:sz="6" w:space="0"/>
              <w:right w:val="single" w:color="auto" w:sz="4" w:space="0"/>
            </w:tcBorders>
            <w:vAlign w:val="center"/>
          </w:tcPr>
          <w:p w14:paraId="7868A973">
            <w:pPr>
              <w:spacing w:line="500" w:lineRule="exact"/>
              <w:jc w:val="center"/>
              <w:rPr>
                <w:rFonts w:ascii="宋体" w:hAnsi="宋体"/>
                <w:color w:val="auto"/>
                <w:szCs w:val="21"/>
              </w:rPr>
            </w:pPr>
            <w:r>
              <w:rPr>
                <w:rFonts w:hint="eastAsia" w:ascii="宋体" w:hAnsi="宋体"/>
                <w:color w:val="auto"/>
                <w:szCs w:val="21"/>
              </w:rPr>
              <w:t>得分情况</w:t>
            </w:r>
          </w:p>
        </w:tc>
        <w:tc>
          <w:tcPr>
            <w:tcW w:w="1082" w:type="dxa"/>
            <w:tcBorders>
              <w:top w:val="single" w:color="auto" w:sz="12" w:space="0"/>
              <w:left w:val="single" w:color="auto" w:sz="4" w:space="0"/>
              <w:bottom w:val="single" w:color="auto" w:sz="6" w:space="0"/>
              <w:right w:val="single" w:color="auto" w:sz="12" w:space="0"/>
            </w:tcBorders>
            <w:vAlign w:val="center"/>
          </w:tcPr>
          <w:p w14:paraId="7DE0D6F1">
            <w:pPr>
              <w:spacing w:line="500" w:lineRule="exact"/>
              <w:jc w:val="center"/>
              <w:rPr>
                <w:rFonts w:ascii="宋体" w:hAnsi="宋体"/>
                <w:color w:val="auto"/>
                <w:szCs w:val="21"/>
              </w:rPr>
            </w:pPr>
            <w:r>
              <w:rPr>
                <w:rFonts w:hint="eastAsia" w:ascii="宋体" w:hAnsi="宋体"/>
                <w:color w:val="auto"/>
                <w:szCs w:val="21"/>
              </w:rPr>
              <w:t>最后报价</w:t>
            </w:r>
          </w:p>
        </w:tc>
      </w:tr>
      <w:tr w14:paraId="2E3C4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5C208204">
            <w:pPr>
              <w:spacing w:line="500" w:lineRule="exact"/>
              <w:jc w:val="center"/>
              <w:rPr>
                <w:rFonts w:ascii="宋体" w:hAnsi="宋体"/>
                <w:color w:val="auto"/>
                <w:szCs w:val="21"/>
              </w:rPr>
            </w:pPr>
            <w:r>
              <w:rPr>
                <w:rFonts w:hint="eastAsia" w:ascii="宋体" w:hAnsi="宋体"/>
                <w:color w:val="auto"/>
                <w:szCs w:val="21"/>
              </w:rPr>
              <w:t>第一名</w:t>
            </w:r>
          </w:p>
        </w:tc>
        <w:tc>
          <w:tcPr>
            <w:tcW w:w="4866" w:type="dxa"/>
            <w:tcBorders>
              <w:top w:val="single" w:color="auto" w:sz="6" w:space="0"/>
              <w:left w:val="single" w:color="auto" w:sz="6" w:space="0"/>
              <w:bottom w:val="single" w:color="auto" w:sz="6" w:space="0"/>
              <w:right w:val="single" w:color="auto" w:sz="6" w:space="0"/>
            </w:tcBorders>
            <w:vAlign w:val="center"/>
          </w:tcPr>
          <w:p w14:paraId="3BE9C4A4">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07E9BC20">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2A94D528">
            <w:pPr>
              <w:spacing w:line="500" w:lineRule="exact"/>
              <w:jc w:val="center"/>
              <w:rPr>
                <w:rFonts w:ascii="宋体" w:hAnsi="宋体"/>
                <w:color w:val="auto"/>
                <w:szCs w:val="21"/>
              </w:rPr>
            </w:pPr>
          </w:p>
        </w:tc>
      </w:tr>
      <w:tr w14:paraId="212765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771" w:type="dxa"/>
            <w:tcBorders>
              <w:top w:val="single" w:color="auto" w:sz="6" w:space="0"/>
              <w:left w:val="single" w:color="auto" w:sz="12" w:space="0"/>
              <w:bottom w:val="single" w:color="auto" w:sz="6" w:space="0"/>
              <w:right w:val="single" w:color="auto" w:sz="6" w:space="0"/>
            </w:tcBorders>
            <w:vAlign w:val="center"/>
          </w:tcPr>
          <w:p w14:paraId="5013806B">
            <w:pPr>
              <w:spacing w:line="500" w:lineRule="exact"/>
              <w:jc w:val="center"/>
              <w:rPr>
                <w:rFonts w:ascii="宋体" w:hAnsi="宋体"/>
                <w:color w:val="auto"/>
                <w:szCs w:val="21"/>
              </w:rPr>
            </w:pPr>
            <w:r>
              <w:rPr>
                <w:rFonts w:hint="eastAsia" w:ascii="宋体" w:hAnsi="宋体"/>
                <w:color w:val="auto"/>
                <w:szCs w:val="21"/>
              </w:rPr>
              <w:t>第二名</w:t>
            </w:r>
          </w:p>
        </w:tc>
        <w:tc>
          <w:tcPr>
            <w:tcW w:w="4866" w:type="dxa"/>
            <w:tcBorders>
              <w:top w:val="single" w:color="auto" w:sz="6" w:space="0"/>
              <w:left w:val="single" w:color="auto" w:sz="6" w:space="0"/>
              <w:bottom w:val="single" w:color="auto" w:sz="6" w:space="0"/>
              <w:right w:val="single" w:color="auto" w:sz="6" w:space="0"/>
            </w:tcBorders>
            <w:vAlign w:val="center"/>
          </w:tcPr>
          <w:p w14:paraId="5A627EC4">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2C1A2AA7">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6FB64437">
            <w:pPr>
              <w:spacing w:line="500" w:lineRule="exact"/>
              <w:jc w:val="center"/>
              <w:rPr>
                <w:rFonts w:ascii="宋体" w:hAnsi="宋体"/>
                <w:color w:val="auto"/>
                <w:szCs w:val="21"/>
              </w:rPr>
            </w:pPr>
          </w:p>
        </w:tc>
      </w:tr>
      <w:tr w14:paraId="0A8C4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4D4D74EE">
            <w:pPr>
              <w:spacing w:line="500" w:lineRule="exact"/>
              <w:jc w:val="center"/>
              <w:rPr>
                <w:rFonts w:ascii="宋体" w:hAnsi="宋体"/>
                <w:color w:val="auto"/>
                <w:szCs w:val="21"/>
              </w:rPr>
            </w:pPr>
            <w:r>
              <w:rPr>
                <w:rFonts w:hint="eastAsia" w:ascii="宋体" w:hAnsi="宋体"/>
                <w:color w:val="auto"/>
                <w:szCs w:val="21"/>
              </w:rPr>
              <w:t>第三名</w:t>
            </w:r>
          </w:p>
        </w:tc>
        <w:tc>
          <w:tcPr>
            <w:tcW w:w="4866" w:type="dxa"/>
            <w:tcBorders>
              <w:top w:val="single" w:color="auto" w:sz="6" w:space="0"/>
              <w:left w:val="single" w:color="auto" w:sz="6" w:space="0"/>
              <w:bottom w:val="single" w:color="auto" w:sz="6" w:space="0"/>
              <w:right w:val="single" w:color="auto" w:sz="6" w:space="0"/>
            </w:tcBorders>
            <w:vAlign w:val="center"/>
          </w:tcPr>
          <w:p w14:paraId="2BB58DF1">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00A84B4F">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4982F432">
            <w:pPr>
              <w:spacing w:line="500" w:lineRule="exact"/>
              <w:jc w:val="center"/>
              <w:rPr>
                <w:rFonts w:ascii="宋体" w:hAnsi="宋体"/>
                <w:color w:val="auto"/>
                <w:szCs w:val="21"/>
              </w:rPr>
            </w:pPr>
          </w:p>
        </w:tc>
      </w:tr>
      <w:tr w14:paraId="7BA6B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4BC3E4B5">
            <w:pPr>
              <w:spacing w:line="500" w:lineRule="exact"/>
              <w:jc w:val="center"/>
              <w:rPr>
                <w:rFonts w:ascii="宋体" w:hAnsi="宋体"/>
                <w:color w:val="auto"/>
                <w:szCs w:val="21"/>
              </w:rPr>
            </w:pPr>
            <w:r>
              <w:rPr>
                <w:rFonts w:hint="eastAsia" w:ascii="宋体" w:hAnsi="宋体"/>
                <w:color w:val="auto"/>
                <w:szCs w:val="21"/>
              </w:rPr>
              <w:t>第四名</w:t>
            </w:r>
          </w:p>
        </w:tc>
        <w:tc>
          <w:tcPr>
            <w:tcW w:w="4866" w:type="dxa"/>
            <w:tcBorders>
              <w:top w:val="single" w:color="auto" w:sz="6" w:space="0"/>
              <w:left w:val="single" w:color="auto" w:sz="6" w:space="0"/>
              <w:bottom w:val="single" w:color="auto" w:sz="6" w:space="0"/>
              <w:right w:val="single" w:color="auto" w:sz="6" w:space="0"/>
            </w:tcBorders>
            <w:vAlign w:val="center"/>
          </w:tcPr>
          <w:p w14:paraId="414A2D84">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37405239">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23CA7E1F">
            <w:pPr>
              <w:spacing w:line="500" w:lineRule="exact"/>
              <w:jc w:val="center"/>
              <w:rPr>
                <w:rFonts w:ascii="宋体" w:hAnsi="宋体"/>
                <w:color w:val="auto"/>
                <w:szCs w:val="21"/>
              </w:rPr>
            </w:pPr>
          </w:p>
        </w:tc>
      </w:tr>
      <w:tr w14:paraId="08BF5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1E3F79A2">
            <w:pPr>
              <w:spacing w:line="500" w:lineRule="exact"/>
              <w:jc w:val="center"/>
              <w:rPr>
                <w:rFonts w:ascii="宋体" w:hAnsi="宋体"/>
                <w:color w:val="auto"/>
                <w:szCs w:val="21"/>
              </w:rPr>
            </w:pPr>
            <w:r>
              <w:rPr>
                <w:rFonts w:hint="eastAsia" w:ascii="宋体" w:hAnsi="宋体"/>
                <w:color w:val="auto"/>
                <w:szCs w:val="21"/>
              </w:rPr>
              <w:t>第五名</w:t>
            </w:r>
          </w:p>
        </w:tc>
        <w:tc>
          <w:tcPr>
            <w:tcW w:w="4866" w:type="dxa"/>
            <w:tcBorders>
              <w:top w:val="single" w:color="auto" w:sz="6" w:space="0"/>
              <w:left w:val="single" w:color="auto" w:sz="6" w:space="0"/>
              <w:bottom w:val="single" w:color="auto" w:sz="6" w:space="0"/>
              <w:right w:val="single" w:color="auto" w:sz="6" w:space="0"/>
            </w:tcBorders>
            <w:vAlign w:val="center"/>
          </w:tcPr>
          <w:p w14:paraId="77A52125">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78CA004F">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1D1D1304">
            <w:pPr>
              <w:spacing w:line="500" w:lineRule="exact"/>
              <w:jc w:val="center"/>
              <w:rPr>
                <w:rFonts w:ascii="宋体" w:hAnsi="宋体"/>
                <w:color w:val="auto"/>
                <w:szCs w:val="21"/>
              </w:rPr>
            </w:pPr>
          </w:p>
        </w:tc>
      </w:tr>
      <w:tr w14:paraId="0E05CB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71D2A43C">
            <w:pPr>
              <w:spacing w:line="500" w:lineRule="exact"/>
              <w:jc w:val="center"/>
              <w:rPr>
                <w:rFonts w:ascii="宋体" w:hAnsi="宋体"/>
                <w:color w:val="auto"/>
                <w:szCs w:val="21"/>
              </w:rPr>
            </w:pPr>
          </w:p>
        </w:tc>
        <w:tc>
          <w:tcPr>
            <w:tcW w:w="4866" w:type="dxa"/>
            <w:tcBorders>
              <w:top w:val="single" w:color="auto" w:sz="6" w:space="0"/>
              <w:left w:val="single" w:color="auto" w:sz="6" w:space="0"/>
              <w:bottom w:val="single" w:color="auto" w:sz="6" w:space="0"/>
              <w:right w:val="single" w:color="auto" w:sz="6" w:space="0"/>
            </w:tcBorders>
            <w:vAlign w:val="center"/>
          </w:tcPr>
          <w:p w14:paraId="418F29AC">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7BB554F4">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0A0A50C7">
            <w:pPr>
              <w:spacing w:line="500" w:lineRule="exact"/>
              <w:jc w:val="center"/>
              <w:rPr>
                <w:rFonts w:ascii="宋体" w:hAnsi="宋体"/>
                <w:color w:val="auto"/>
                <w:szCs w:val="21"/>
              </w:rPr>
            </w:pPr>
          </w:p>
        </w:tc>
      </w:tr>
      <w:tr w14:paraId="4B218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12" w:space="0"/>
              <w:right w:val="single" w:color="auto" w:sz="6" w:space="0"/>
            </w:tcBorders>
            <w:vAlign w:val="center"/>
          </w:tcPr>
          <w:p w14:paraId="54C9A44B">
            <w:pPr>
              <w:spacing w:line="500" w:lineRule="exact"/>
              <w:jc w:val="center"/>
              <w:rPr>
                <w:rFonts w:ascii="宋体" w:hAnsi="宋体"/>
                <w:color w:val="auto"/>
                <w:szCs w:val="21"/>
              </w:rPr>
            </w:pPr>
            <w:r>
              <w:rPr>
                <w:rFonts w:hint="eastAsia" w:ascii="宋体" w:hAnsi="宋体"/>
                <w:color w:val="auto"/>
                <w:szCs w:val="21"/>
              </w:rPr>
              <w:t>……</w:t>
            </w:r>
          </w:p>
        </w:tc>
        <w:tc>
          <w:tcPr>
            <w:tcW w:w="4866" w:type="dxa"/>
            <w:tcBorders>
              <w:top w:val="single" w:color="auto" w:sz="6" w:space="0"/>
              <w:left w:val="single" w:color="auto" w:sz="6" w:space="0"/>
              <w:bottom w:val="single" w:color="auto" w:sz="12" w:space="0"/>
              <w:right w:val="single" w:color="auto" w:sz="6" w:space="0"/>
            </w:tcBorders>
            <w:vAlign w:val="center"/>
          </w:tcPr>
          <w:p w14:paraId="7A1E974D">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12" w:space="0"/>
              <w:right w:val="single" w:color="auto" w:sz="4" w:space="0"/>
            </w:tcBorders>
            <w:vAlign w:val="center"/>
          </w:tcPr>
          <w:p w14:paraId="407B6DF7">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12" w:space="0"/>
              <w:right w:val="single" w:color="auto" w:sz="12" w:space="0"/>
            </w:tcBorders>
            <w:vAlign w:val="center"/>
          </w:tcPr>
          <w:p w14:paraId="0FF8D157">
            <w:pPr>
              <w:spacing w:line="500" w:lineRule="exact"/>
              <w:jc w:val="center"/>
              <w:rPr>
                <w:rFonts w:ascii="宋体" w:hAnsi="宋体"/>
                <w:color w:val="auto"/>
                <w:szCs w:val="21"/>
              </w:rPr>
            </w:pPr>
          </w:p>
        </w:tc>
      </w:tr>
    </w:tbl>
    <w:p w14:paraId="23FF1F89">
      <w:pPr>
        <w:spacing w:before="156" w:beforeLines="50" w:line="500" w:lineRule="exact"/>
        <w:rPr>
          <w:rFonts w:ascii="宋体" w:hAnsi="宋体"/>
          <w:bCs/>
          <w:color w:val="auto"/>
          <w:szCs w:val="21"/>
        </w:rPr>
      </w:pPr>
      <w:r>
        <w:rPr>
          <w:rFonts w:hint="eastAsia" w:ascii="宋体" w:hAnsi="宋体"/>
          <w:b/>
          <w:color w:val="auto"/>
          <w:szCs w:val="21"/>
        </w:rPr>
        <w:t>注：</w:t>
      </w:r>
      <w:r>
        <w:rPr>
          <w:rFonts w:hint="eastAsia" w:ascii="宋体" w:hAnsi="宋体"/>
          <w:bCs/>
          <w:color w:val="auto"/>
          <w:szCs w:val="21"/>
        </w:rPr>
        <w:t>得分相同的，按最后报价由低到高顺序排列。得分且最后报价相同的，按“第三章 磋商办法”规定顺序推荐排列。</w:t>
      </w:r>
    </w:p>
    <w:p w14:paraId="318F18E4">
      <w:pPr>
        <w:spacing w:line="500" w:lineRule="exact"/>
        <w:rPr>
          <w:rFonts w:ascii="宋体" w:hAnsi="宋体"/>
          <w:color w:val="auto"/>
          <w:szCs w:val="21"/>
        </w:rPr>
      </w:pPr>
    </w:p>
    <w:p w14:paraId="39810920">
      <w:pPr>
        <w:spacing w:line="500" w:lineRule="exact"/>
        <w:rPr>
          <w:rFonts w:ascii="宋体" w:hAnsi="宋体"/>
          <w:color w:val="auto"/>
          <w:szCs w:val="21"/>
        </w:rPr>
      </w:pPr>
    </w:p>
    <w:p w14:paraId="717B5444">
      <w:pPr>
        <w:spacing w:line="500" w:lineRule="exact"/>
        <w:rPr>
          <w:rFonts w:ascii="宋体" w:hAnsi="宋体"/>
          <w:color w:val="auto"/>
          <w:szCs w:val="21"/>
        </w:rPr>
      </w:pPr>
    </w:p>
    <w:p w14:paraId="2B7FFE96">
      <w:pPr>
        <w:spacing w:line="500" w:lineRule="exact"/>
        <w:outlineLvl w:val="1"/>
        <w:rPr>
          <w:rFonts w:ascii="宋体" w:hAnsi="宋体"/>
          <w:b/>
          <w:color w:val="auto"/>
          <w:szCs w:val="21"/>
        </w:rPr>
      </w:pPr>
      <w:r>
        <w:rPr>
          <w:rFonts w:hint="eastAsia" w:ascii="宋体" w:hAnsi="宋体"/>
          <w:b/>
          <w:color w:val="auto"/>
          <w:szCs w:val="21"/>
        </w:rPr>
        <w:br w:type="page"/>
      </w:r>
      <w:bookmarkStart w:id="29" w:name="_Toc4373"/>
      <w:bookmarkStart w:id="30" w:name="_Toc17164"/>
      <w:bookmarkStart w:id="31" w:name="_Toc15174"/>
      <w:r>
        <w:rPr>
          <w:rFonts w:hint="eastAsia" w:ascii="宋体" w:hAnsi="宋体"/>
          <w:b/>
          <w:color w:val="auto"/>
          <w:szCs w:val="21"/>
        </w:rPr>
        <w:t>9：推荐成交候选供应商名单</w:t>
      </w:r>
      <w:bookmarkEnd w:id="29"/>
      <w:bookmarkEnd w:id="30"/>
      <w:bookmarkEnd w:id="31"/>
    </w:p>
    <w:p w14:paraId="254946E0">
      <w:pPr>
        <w:rPr>
          <w:rFonts w:ascii="宋体" w:hAnsi="宋体"/>
          <w:bCs/>
          <w:color w:val="auto"/>
          <w:sz w:val="18"/>
          <w:szCs w:val="18"/>
        </w:rPr>
      </w:pPr>
      <w:r>
        <w:rPr>
          <w:rFonts w:hint="eastAsia" w:ascii="宋体" w:hAnsi="宋体"/>
          <w:bCs/>
          <w:color w:val="auto"/>
          <w:sz w:val="18"/>
          <w:szCs w:val="18"/>
          <w:lang w:eastAsia="zh-CN"/>
        </w:rPr>
        <w:t>政府采购编号</w:t>
      </w:r>
      <w:r>
        <w:rPr>
          <w:rFonts w:hint="eastAsia" w:ascii="宋体" w:hAnsi="宋体"/>
          <w:bCs/>
          <w:color w:val="auto"/>
          <w:sz w:val="18"/>
          <w:szCs w:val="18"/>
        </w:rPr>
        <w:t>：                                                      日期：      年  月   日</w:t>
      </w:r>
    </w:p>
    <w:tbl>
      <w:tblPr>
        <w:tblStyle w:val="51"/>
        <w:tblW w:w="941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71"/>
        <w:gridCol w:w="4866"/>
        <w:gridCol w:w="1695"/>
        <w:gridCol w:w="1082"/>
      </w:tblGrid>
      <w:tr w14:paraId="027BF7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12" w:space="0"/>
              <w:left w:val="single" w:color="auto" w:sz="12" w:space="0"/>
              <w:bottom w:val="single" w:color="auto" w:sz="6" w:space="0"/>
              <w:right w:val="single" w:color="auto" w:sz="6" w:space="0"/>
            </w:tcBorders>
            <w:vAlign w:val="center"/>
          </w:tcPr>
          <w:p w14:paraId="2173288E">
            <w:pPr>
              <w:spacing w:line="500" w:lineRule="exact"/>
              <w:jc w:val="center"/>
              <w:rPr>
                <w:rFonts w:ascii="宋体" w:hAnsi="宋体"/>
                <w:color w:val="auto"/>
                <w:szCs w:val="21"/>
              </w:rPr>
            </w:pPr>
            <w:r>
              <w:rPr>
                <w:rFonts w:hint="eastAsia" w:ascii="宋体" w:hAnsi="宋体"/>
                <w:color w:val="auto"/>
                <w:szCs w:val="21"/>
              </w:rPr>
              <w:t>排序</w:t>
            </w:r>
          </w:p>
        </w:tc>
        <w:tc>
          <w:tcPr>
            <w:tcW w:w="4866" w:type="dxa"/>
            <w:tcBorders>
              <w:top w:val="single" w:color="auto" w:sz="12" w:space="0"/>
              <w:left w:val="single" w:color="auto" w:sz="6" w:space="0"/>
              <w:bottom w:val="single" w:color="auto" w:sz="6" w:space="0"/>
              <w:right w:val="single" w:color="auto" w:sz="6" w:space="0"/>
            </w:tcBorders>
            <w:vAlign w:val="center"/>
          </w:tcPr>
          <w:p w14:paraId="0E0C6ED8">
            <w:pPr>
              <w:spacing w:line="500" w:lineRule="exact"/>
              <w:jc w:val="center"/>
              <w:rPr>
                <w:rFonts w:ascii="宋体" w:hAnsi="宋体"/>
                <w:color w:val="auto"/>
                <w:szCs w:val="21"/>
              </w:rPr>
            </w:pPr>
            <w:r>
              <w:rPr>
                <w:rFonts w:hint="eastAsia" w:ascii="宋体" w:hAnsi="宋体"/>
                <w:color w:val="auto"/>
                <w:szCs w:val="21"/>
              </w:rPr>
              <w:t>成交候选供应商</w:t>
            </w:r>
          </w:p>
        </w:tc>
        <w:tc>
          <w:tcPr>
            <w:tcW w:w="1695" w:type="dxa"/>
            <w:tcBorders>
              <w:top w:val="single" w:color="auto" w:sz="12" w:space="0"/>
              <w:left w:val="single" w:color="auto" w:sz="6" w:space="0"/>
              <w:bottom w:val="single" w:color="auto" w:sz="6" w:space="0"/>
              <w:right w:val="single" w:color="auto" w:sz="4" w:space="0"/>
            </w:tcBorders>
            <w:vAlign w:val="center"/>
          </w:tcPr>
          <w:p w14:paraId="4F9F00CB">
            <w:pPr>
              <w:spacing w:line="500" w:lineRule="exact"/>
              <w:jc w:val="center"/>
              <w:rPr>
                <w:rFonts w:ascii="宋体" w:hAnsi="宋体"/>
                <w:color w:val="auto"/>
                <w:szCs w:val="21"/>
              </w:rPr>
            </w:pPr>
            <w:r>
              <w:rPr>
                <w:rFonts w:hint="eastAsia" w:ascii="宋体" w:hAnsi="宋体"/>
                <w:color w:val="auto"/>
                <w:szCs w:val="21"/>
              </w:rPr>
              <w:t>得分情况</w:t>
            </w:r>
          </w:p>
        </w:tc>
        <w:tc>
          <w:tcPr>
            <w:tcW w:w="1082" w:type="dxa"/>
            <w:tcBorders>
              <w:top w:val="single" w:color="auto" w:sz="12" w:space="0"/>
              <w:left w:val="single" w:color="auto" w:sz="4" w:space="0"/>
              <w:bottom w:val="single" w:color="auto" w:sz="6" w:space="0"/>
              <w:right w:val="single" w:color="auto" w:sz="12" w:space="0"/>
            </w:tcBorders>
            <w:vAlign w:val="center"/>
          </w:tcPr>
          <w:p w14:paraId="429167BC">
            <w:pPr>
              <w:spacing w:line="500" w:lineRule="exact"/>
              <w:jc w:val="center"/>
              <w:rPr>
                <w:rFonts w:ascii="宋体" w:hAnsi="宋体"/>
                <w:color w:val="auto"/>
                <w:szCs w:val="21"/>
              </w:rPr>
            </w:pPr>
            <w:r>
              <w:rPr>
                <w:rFonts w:hint="eastAsia" w:ascii="宋体" w:hAnsi="宋体"/>
                <w:color w:val="auto"/>
                <w:szCs w:val="21"/>
              </w:rPr>
              <w:t>最后报价</w:t>
            </w:r>
          </w:p>
        </w:tc>
      </w:tr>
      <w:tr w14:paraId="419BAD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172BB8B2">
            <w:pPr>
              <w:spacing w:line="500" w:lineRule="exact"/>
              <w:jc w:val="center"/>
              <w:rPr>
                <w:rFonts w:ascii="宋体" w:hAnsi="宋体"/>
                <w:color w:val="auto"/>
                <w:szCs w:val="21"/>
              </w:rPr>
            </w:pPr>
            <w:r>
              <w:rPr>
                <w:rFonts w:hint="eastAsia" w:ascii="宋体" w:hAnsi="宋体"/>
                <w:color w:val="auto"/>
                <w:szCs w:val="21"/>
              </w:rPr>
              <w:t>第一名</w:t>
            </w:r>
          </w:p>
        </w:tc>
        <w:tc>
          <w:tcPr>
            <w:tcW w:w="4866" w:type="dxa"/>
            <w:tcBorders>
              <w:top w:val="single" w:color="auto" w:sz="6" w:space="0"/>
              <w:left w:val="single" w:color="auto" w:sz="6" w:space="0"/>
              <w:bottom w:val="single" w:color="auto" w:sz="6" w:space="0"/>
              <w:right w:val="single" w:color="auto" w:sz="6" w:space="0"/>
            </w:tcBorders>
            <w:vAlign w:val="center"/>
          </w:tcPr>
          <w:p w14:paraId="45330583">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4884F112">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00485EBB">
            <w:pPr>
              <w:spacing w:line="500" w:lineRule="exact"/>
              <w:jc w:val="center"/>
              <w:rPr>
                <w:rFonts w:ascii="宋体" w:hAnsi="宋体"/>
                <w:color w:val="auto"/>
                <w:szCs w:val="21"/>
              </w:rPr>
            </w:pPr>
          </w:p>
        </w:tc>
      </w:tr>
      <w:tr w14:paraId="3888DB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1E99B3C9">
            <w:pPr>
              <w:spacing w:line="500" w:lineRule="exact"/>
              <w:jc w:val="center"/>
              <w:rPr>
                <w:rFonts w:ascii="宋体" w:hAnsi="宋体"/>
                <w:color w:val="auto"/>
                <w:szCs w:val="21"/>
              </w:rPr>
            </w:pPr>
            <w:r>
              <w:rPr>
                <w:rFonts w:hint="eastAsia" w:ascii="宋体" w:hAnsi="宋体"/>
                <w:color w:val="auto"/>
                <w:szCs w:val="21"/>
              </w:rPr>
              <w:t>第二名</w:t>
            </w:r>
          </w:p>
        </w:tc>
        <w:tc>
          <w:tcPr>
            <w:tcW w:w="4866" w:type="dxa"/>
            <w:tcBorders>
              <w:top w:val="single" w:color="auto" w:sz="6" w:space="0"/>
              <w:left w:val="single" w:color="auto" w:sz="6" w:space="0"/>
              <w:bottom w:val="single" w:color="auto" w:sz="6" w:space="0"/>
              <w:right w:val="single" w:color="auto" w:sz="6" w:space="0"/>
            </w:tcBorders>
            <w:vAlign w:val="center"/>
          </w:tcPr>
          <w:p w14:paraId="1F63A170">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5B110812">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3940A377">
            <w:pPr>
              <w:spacing w:line="500" w:lineRule="exact"/>
              <w:jc w:val="center"/>
              <w:rPr>
                <w:rFonts w:ascii="宋体" w:hAnsi="宋体"/>
                <w:color w:val="auto"/>
                <w:szCs w:val="21"/>
              </w:rPr>
            </w:pPr>
          </w:p>
        </w:tc>
      </w:tr>
      <w:tr w14:paraId="06F3DE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27883836">
            <w:pPr>
              <w:spacing w:line="500" w:lineRule="exact"/>
              <w:jc w:val="center"/>
              <w:rPr>
                <w:rFonts w:ascii="宋体" w:hAnsi="宋体"/>
                <w:color w:val="auto"/>
                <w:szCs w:val="21"/>
              </w:rPr>
            </w:pPr>
            <w:r>
              <w:rPr>
                <w:rFonts w:hint="eastAsia" w:ascii="宋体" w:hAnsi="宋体"/>
                <w:color w:val="auto"/>
                <w:szCs w:val="21"/>
              </w:rPr>
              <w:t>第三名</w:t>
            </w:r>
          </w:p>
        </w:tc>
        <w:tc>
          <w:tcPr>
            <w:tcW w:w="4866" w:type="dxa"/>
            <w:tcBorders>
              <w:top w:val="single" w:color="auto" w:sz="6" w:space="0"/>
              <w:left w:val="single" w:color="auto" w:sz="6" w:space="0"/>
              <w:bottom w:val="single" w:color="auto" w:sz="6" w:space="0"/>
              <w:right w:val="single" w:color="auto" w:sz="6" w:space="0"/>
            </w:tcBorders>
            <w:vAlign w:val="center"/>
          </w:tcPr>
          <w:p w14:paraId="0E432772">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1EF62B9D">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28F3D6E9">
            <w:pPr>
              <w:spacing w:line="500" w:lineRule="exact"/>
              <w:jc w:val="center"/>
              <w:rPr>
                <w:rFonts w:ascii="宋体" w:hAnsi="宋体"/>
                <w:color w:val="auto"/>
                <w:szCs w:val="21"/>
              </w:rPr>
            </w:pPr>
          </w:p>
        </w:tc>
      </w:tr>
      <w:tr w14:paraId="113CF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22D4F85F">
            <w:pPr>
              <w:spacing w:line="500" w:lineRule="exact"/>
              <w:jc w:val="center"/>
              <w:rPr>
                <w:rFonts w:ascii="宋体" w:hAnsi="宋体"/>
                <w:color w:val="auto"/>
                <w:szCs w:val="21"/>
              </w:rPr>
            </w:pPr>
            <w:r>
              <w:rPr>
                <w:rFonts w:hint="eastAsia" w:ascii="宋体" w:hAnsi="宋体"/>
                <w:color w:val="auto"/>
                <w:szCs w:val="21"/>
              </w:rPr>
              <w:t>第四名</w:t>
            </w:r>
          </w:p>
        </w:tc>
        <w:tc>
          <w:tcPr>
            <w:tcW w:w="4866" w:type="dxa"/>
            <w:tcBorders>
              <w:top w:val="single" w:color="auto" w:sz="6" w:space="0"/>
              <w:left w:val="single" w:color="auto" w:sz="6" w:space="0"/>
              <w:bottom w:val="single" w:color="auto" w:sz="6" w:space="0"/>
              <w:right w:val="single" w:color="auto" w:sz="6" w:space="0"/>
            </w:tcBorders>
            <w:vAlign w:val="center"/>
          </w:tcPr>
          <w:p w14:paraId="77B2E7E8">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5B3D5955">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46FE41C1">
            <w:pPr>
              <w:spacing w:line="500" w:lineRule="exact"/>
              <w:jc w:val="center"/>
              <w:rPr>
                <w:rFonts w:ascii="宋体" w:hAnsi="宋体"/>
                <w:color w:val="auto"/>
                <w:szCs w:val="21"/>
              </w:rPr>
            </w:pPr>
          </w:p>
        </w:tc>
      </w:tr>
      <w:tr w14:paraId="0E200B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083D9633">
            <w:pPr>
              <w:spacing w:line="500" w:lineRule="exact"/>
              <w:jc w:val="center"/>
              <w:rPr>
                <w:rFonts w:ascii="宋体" w:hAnsi="宋体"/>
                <w:color w:val="auto"/>
                <w:szCs w:val="21"/>
              </w:rPr>
            </w:pPr>
            <w:r>
              <w:rPr>
                <w:rFonts w:hint="eastAsia" w:ascii="宋体" w:hAnsi="宋体"/>
                <w:color w:val="auto"/>
                <w:szCs w:val="21"/>
              </w:rPr>
              <w:t>第五名</w:t>
            </w:r>
          </w:p>
        </w:tc>
        <w:tc>
          <w:tcPr>
            <w:tcW w:w="4866" w:type="dxa"/>
            <w:tcBorders>
              <w:top w:val="single" w:color="auto" w:sz="6" w:space="0"/>
              <w:left w:val="single" w:color="auto" w:sz="6" w:space="0"/>
              <w:bottom w:val="single" w:color="auto" w:sz="6" w:space="0"/>
              <w:right w:val="single" w:color="auto" w:sz="6" w:space="0"/>
            </w:tcBorders>
            <w:vAlign w:val="center"/>
          </w:tcPr>
          <w:p w14:paraId="4941F8E9">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27B1ED49">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27B655EC">
            <w:pPr>
              <w:spacing w:line="500" w:lineRule="exact"/>
              <w:jc w:val="center"/>
              <w:rPr>
                <w:rFonts w:ascii="宋体" w:hAnsi="宋体"/>
                <w:color w:val="auto"/>
                <w:szCs w:val="21"/>
              </w:rPr>
            </w:pPr>
          </w:p>
        </w:tc>
      </w:tr>
      <w:tr w14:paraId="0B0E4B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6" w:space="0"/>
              <w:right w:val="single" w:color="auto" w:sz="6" w:space="0"/>
            </w:tcBorders>
            <w:vAlign w:val="center"/>
          </w:tcPr>
          <w:p w14:paraId="6B494207">
            <w:pPr>
              <w:spacing w:line="500" w:lineRule="exact"/>
              <w:jc w:val="center"/>
              <w:rPr>
                <w:rFonts w:ascii="宋体" w:hAnsi="宋体"/>
                <w:color w:val="auto"/>
                <w:szCs w:val="21"/>
              </w:rPr>
            </w:pPr>
          </w:p>
        </w:tc>
        <w:tc>
          <w:tcPr>
            <w:tcW w:w="4866" w:type="dxa"/>
            <w:tcBorders>
              <w:top w:val="single" w:color="auto" w:sz="6" w:space="0"/>
              <w:left w:val="single" w:color="auto" w:sz="6" w:space="0"/>
              <w:bottom w:val="single" w:color="auto" w:sz="6" w:space="0"/>
              <w:right w:val="single" w:color="auto" w:sz="6" w:space="0"/>
            </w:tcBorders>
            <w:vAlign w:val="center"/>
          </w:tcPr>
          <w:p w14:paraId="7FDF4A9A">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6" w:space="0"/>
              <w:right w:val="single" w:color="auto" w:sz="4" w:space="0"/>
            </w:tcBorders>
            <w:vAlign w:val="center"/>
          </w:tcPr>
          <w:p w14:paraId="420529EC">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6" w:space="0"/>
              <w:right w:val="single" w:color="auto" w:sz="12" w:space="0"/>
            </w:tcBorders>
            <w:vAlign w:val="center"/>
          </w:tcPr>
          <w:p w14:paraId="75B3E18D">
            <w:pPr>
              <w:spacing w:line="500" w:lineRule="exact"/>
              <w:jc w:val="center"/>
              <w:rPr>
                <w:rFonts w:ascii="宋体" w:hAnsi="宋体"/>
                <w:color w:val="auto"/>
                <w:szCs w:val="21"/>
              </w:rPr>
            </w:pPr>
          </w:p>
        </w:tc>
      </w:tr>
      <w:tr w14:paraId="3A936B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71" w:type="dxa"/>
            <w:tcBorders>
              <w:top w:val="single" w:color="auto" w:sz="6" w:space="0"/>
              <w:left w:val="single" w:color="auto" w:sz="12" w:space="0"/>
              <w:bottom w:val="single" w:color="auto" w:sz="12" w:space="0"/>
              <w:right w:val="single" w:color="auto" w:sz="6" w:space="0"/>
            </w:tcBorders>
            <w:vAlign w:val="center"/>
          </w:tcPr>
          <w:p w14:paraId="5E1294F7">
            <w:pPr>
              <w:spacing w:line="500" w:lineRule="exact"/>
              <w:jc w:val="center"/>
              <w:rPr>
                <w:rFonts w:ascii="宋体" w:hAnsi="宋体"/>
                <w:color w:val="auto"/>
                <w:szCs w:val="21"/>
              </w:rPr>
            </w:pPr>
            <w:r>
              <w:rPr>
                <w:rFonts w:hint="eastAsia" w:ascii="宋体" w:hAnsi="宋体"/>
                <w:color w:val="auto"/>
                <w:szCs w:val="21"/>
              </w:rPr>
              <w:t>……</w:t>
            </w:r>
          </w:p>
        </w:tc>
        <w:tc>
          <w:tcPr>
            <w:tcW w:w="4866" w:type="dxa"/>
            <w:tcBorders>
              <w:top w:val="single" w:color="auto" w:sz="6" w:space="0"/>
              <w:left w:val="single" w:color="auto" w:sz="6" w:space="0"/>
              <w:bottom w:val="single" w:color="auto" w:sz="12" w:space="0"/>
              <w:right w:val="single" w:color="auto" w:sz="6" w:space="0"/>
            </w:tcBorders>
            <w:vAlign w:val="center"/>
          </w:tcPr>
          <w:p w14:paraId="54926892">
            <w:pPr>
              <w:spacing w:line="500" w:lineRule="exact"/>
              <w:jc w:val="center"/>
              <w:rPr>
                <w:rFonts w:ascii="宋体" w:hAnsi="宋体"/>
                <w:color w:val="auto"/>
                <w:szCs w:val="21"/>
              </w:rPr>
            </w:pPr>
          </w:p>
        </w:tc>
        <w:tc>
          <w:tcPr>
            <w:tcW w:w="1695" w:type="dxa"/>
            <w:tcBorders>
              <w:top w:val="single" w:color="auto" w:sz="6" w:space="0"/>
              <w:left w:val="single" w:color="auto" w:sz="6" w:space="0"/>
              <w:bottom w:val="single" w:color="auto" w:sz="12" w:space="0"/>
              <w:right w:val="single" w:color="auto" w:sz="4" w:space="0"/>
            </w:tcBorders>
            <w:vAlign w:val="center"/>
          </w:tcPr>
          <w:p w14:paraId="005E8974">
            <w:pPr>
              <w:spacing w:line="500" w:lineRule="exact"/>
              <w:jc w:val="center"/>
              <w:rPr>
                <w:rFonts w:ascii="宋体" w:hAnsi="宋体"/>
                <w:color w:val="auto"/>
                <w:szCs w:val="21"/>
              </w:rPr>
            </w:pPr>
          </w:p>
        </w:tc>
        <w:tc>
          <w:tcPr>
            <w:tcW w:w="1082" w:type="dxa"/>
            <w:tcBorders>
              <w:top w:val="single" w:color="auto" w:sz="6" w:space="0"/>
              <w:left w:val="single" w:color="auto" w:sz="4" w:space="0"/>
              <w:bottom w:val="single" w:color="auto" w:sz="12" w:space="0"/>
              <w:right w:val="single" w:color="auto" w:sz="12" w:space="0"/>
            </w:tcBorders>
            <w:vAlign w:val="center"/>
          </w:tcPr>
          <w:p w14:paraId="09E4AE13">
            <w:pPr>
              <w:spacing w:line="500" w:lineRule="exact"/>
              <w:jc w:val="center"/>
              <w:rPr>
                <w:rFonts w:ascii="宋体" w:hAnsi="宋体"/>
                <w:color w:val="auto"/>
                <w:szCs w:val="21"/>
              </w:rPr>
            </w:pPr>
          </w:p>
        </w:tc>
      </w:tr>
    </w:tbl>
    <w:p w14:paraId="569D8318">
      <w:pPr>
        <w:rPr>
          <w:color w:val="auto"/>
        </w:rPr>
      </w:pPr>
    </w:p>
    <w:p w14:paraId="2A415995">
      <w:pPr>
        <w:rPr>
          <w:color w:val="auto"/>
        </w:rPr>
      </w:pPr>
    </w:p>
    <w:p w14:paraId="7FB0372F">
      <w:pPr>
        <w:rPr>
          <w:color w:val="auto"/>
        </w:rPr>
      </w:pPr>
    </w:p>
    <w:p w14:paraId="5558CEF6">
      <w:pPr>
        <w:adjustRightInd w:val="0"/>
        <w:snapToGrid w:val="0"/>
        <w:spacing w:before="156" w:beforeLines="50" w:line="360" w:lineRule="auto"/>
        <w:rPr>
          <w:rFonts w:ascii="宋体" w:hAnsi="宋体"/>
          <w:b/>
          <w:color w:val="auto"/>
          <w:sz w:val="32"/>
          <w:szCs w:val="32"/>
        </w:rPr>
      </w:pPr>
    </w:p>
    <w:p w14:paraId="17FB9DA9">
      <w:pPr>
        <w:adjustRightInd w:val="0"/>
        <w:snapToGrid w:val="0"/>
        <w:spacing w:before="156" w:beforeLines="50" w:line="360" w:lineRule="auto"/>
        <w:jc w:val="center"/>
        <w:rPr>
          <w:rFonts w:ascii="宋体" w:hAnsi="宋体"/>
          <w:b/>
          <w:color w:val="auto"/>
          <w:sz w:val="32"/>
          <w:szCs w:val="32"/>
        </w:rPr>
      </w:pPr>
    </w:p>
    <w:p w14:paraId="4FAE966C">
      <w:pPr>
        <w:adjustRightInd w:val="0"/>
        <w:snapToGrid w:val="0"/>
        <w:spacing w:before="156" w:beforeLines="50" w:line="360" w:lineRule="auto"/>
        <w:jc w:val="center"/>
        <w:outlineLvl w:val="0"/>
        <w:rPr>
          <w:rFonts w:ascii="宋体" w:hAnsi="宋体"/>
          <w:b/>
          <w:bCs/>
          <w:color w:val="auto"/>
          <w:sz w:val="32"/>
          <w:szCs w:val="32"/>
        </w:rPr>
      </w:pPr>
      <w:r>
        <w:rPr>
          <w:rFonts w:hint="eastAsia" w:ascii="宋体" w:hAnsi="宋体"/>
          <w:b/>
          <w:color w:val="auto"/>
          <w:sz w:val="32"/>
          <w:szCs w:val="32"/>
        </w:rPr>
        <w:br w:type="page"/>
      </w:r>
      <w:bookmarkStart w:id="32" w:name="_Toc3285"/>
      <w:r>
        <w:rPr>
          <w:rFonts w:hint="eastAsia" w:ascii="宋体" w:hAnsi="宋体"/>
          <w:b/>
          <w:color w:val="auto"/>
          <w:sz w:val="32"/>
          <w:szCs w:val="32"/>
        </w:rPr>
        <w:t xml:space="preserve">第四章 </w:t>
      </w:r>
      <w:r>
        <w:rPr>
          <w:rFonts w:hint="eastAsia" w:ascii="宋体" w:hAnsi="宋体"/>
          <w:b/>
          <w:bCs/>
          <w:color w:val="auto"/>
          <w:sz w:val="32"/>
          <w:szCs w:val="32"/>
        </w:rPr>
        <w:t>合同格式条款</w:t>
      </w:r>
      <w:bookmarkEnd w:id="32"/>
    </w:p>
    <w:p w14:paraId="4A9CBC8D">
      <w:pPr>
        <w:keepNext w:val="0"/>
        <w:keepLines w:val="0"/>
        <w:pageBreakBefore w:val="0"/>
        <w:kinsoku/>
        <w:wordWrap/>
        <w:overflowPunct/>
        <w:topLinePunct w:val="0"/>
        <w:bidi w:val="0"/>
        <w:spacing w:line="540" w:lineRule="exact"/>
        <w:jc w:val="center"/>
        <w:textAlignment w:val="auto"/>
        <w:rPr>
          <w:rFonts w:ascii="黑体" w:hAnsi="黑体" w:eastAsia="黑体"/>
          <w:b/>
          <w:bCs/>
          <w:sz w:val="44"/>
          <w:szCs w:val="44"/>
        </w:rPr>
      </w:pPr>
      <w:r>
        <w:rPr>
          <w:rFonts w:hint="eastAsia" w:ascii="宋体" w:hAnsi="宋体"/>
          <w:b/>
          <w:color w:val="000000"/>
          <w:sz w:val="24"/>
        </w:rPr>
        <w:t xml:space="preserve"> </w:t>
      </w:r>
    </w:p>
    <w:p w14:paraId="6B46F3B8">
      <w:pPr>
        <w:keepNext w:val="0"/>
        <w:keepLines w:val="0"/>
        <w:pageBreakBefore w:val="0"/>
        <w:kinsoku/>
        <w:wordWrap/>
        <w:overflowPunct/>
        <w:topLinePunct w:val="0"/>
        <w:bidi w:val="0"/>
        <w:spacing w:line="540" w:lineRule="exact"/>
        <w:jc w:val="center"/>
        <w:textAlignment w:val="auto"/>
        <w:rPr>
          <w:rFonts w:ascii="黑体" w:hAnsi="宋体" w:eastAsia="黑体"/>
          <w:b/>
          <w:bCs/>
          <w:sz w:val="36"/>
          <w:szCs w:val="36"/>
        </w:rPr>
      </w:pPr>
      <w:r>
        <w:rPr>
          <w:rFonts w:hint="eastAsia" w:ascii="黑体" w:hAnsi="黑体" w:eastAsia="黑体"/>
          <w:b/>
          <w:bCs/>
          <w:sz w:val="36"/>
          <w:szCs w:val="36"/>
        </w:rPr>
        <w:t>湖南文理学院儿童发展与游戏、儿童心理与行为分析、儿童科学教育三间实训室建设项目合同</w:t>
      </w:r>
      <w:r>
        <w:rPr>
          <w:rFonts w:hint="eastAsia" w:ascii="黑体" w:hAnsi="宋体" w:eastAsia="黑体"/>
          <w:b/>
          <w:bCs/>
          <w:sz w:val="36"/>
          <w:szCs w:val="36"/>
        </w:rPr>
        <w:t xml:space="preserve"> </w:t>
      </w:r>
    </w:p>
    <w:p w14:paraId="7066D960">
      <w:pPr>
        <w:keepNext w:val="0"/>
        <w:keepLines w:val="0"/>
        <w:pageBreakBefore w:val="0"/>
        <w:kinsoku/>
        <w:wordWrap/>
        <w:overflowPunct/>
        <w:topLinePunct w:val="0"/>
        <w:bidi w:val="0"/>
        <w:spacing w:line="540" w:lineRule="exact"/>
        <w:jc w:val="center"/>
        <w:textAlignment w:val="auto"/>
        <w:rPr>
          <w:rFonts w:ascii="黑体" w:hAnsi="宋体" w:eastAsia="黑体"/>
          <w:b/>
          <w:bCs/>
          <w:sz w:val="44"/>
          <w:szCs w:val="44"/>
        </w:rPr>
      </w:pPr>
    </w:p>
    <w:p w14:paraId="5B4B0474">
      <w:pPr>
        <w:keepNext w:val="0"/>
        <w:keepLines w:val="0"/>
        <w:pageBreakBefore w:val="0"/>
        <w:kinsoku/>
        <w:wordWrap/>
        <w:overflowPunct/>
        <w:topLinePunct w:val="0"/>
        <w:bidi w:val="0"/>
        <w:spacing w:line="540" w:lineRule="exact"/>
        <w:textAlignment w:val="auto"/>
        <w:rPr>
          <w:rFonts w:ascii="宋体" w:hAnsi="宋体"/>
          <w:b/>
          <w:bCs/>
          <w:sz w:val="28"/>
          <w:szCs w:val="28"/>
        </w:rPr>
      </w:pPr>
      <w:r>
        <w:rPr>
          <w:rFonts w:hint="eastAsia" w:ascii="宋体" w:hAnsi="宋体"/>
          <w:b/>
          <w:bCs/>
          <w:sz w:val="28"/>
          <w:szCs w:val="28"/>
        </w:rPr>
        <w:t xml:space="preserve">甲方：湖南文理学院                      </w:t>
      </w:r>
      <w:r>
        <w:rPr>
          <w:rFonts w:hint="eastAsia" w:ascii="宋体" w:hAnsi="宋体"/>
          <w:b/>
          <w:sz w:val="28"/>
          <w:szCs w:val="28"/>
        </w:rPr>
        <w:t>（以下简称甲方）</w:t>
      </w:r>
    </w:p>
    <w:p w14:paraId="42604037">
      <w:pPr>
        <w:keepNext w:val="0"/>
        <w:keepLines w:val="0"/>
        <w:pageBreakBefore w:val="0"/>
        <w:kinsoku/>
        <w:wordWrap/>
        <w:overflowPunct/>
        <w:topLinePunct w:val="0"/>
        <w:bidi w:val="0"/>
        <w:spacing w:line="540" w:lineRule="exact"/>
        <w:textAlignment w:val="auto"/>
        <w:rPr>
          <w:rFonts w:ascii="宋体" w:hAnsi="宋体"/>
          <w:b/>
          <w:sz w:val="28"/>
          <w:szCs w:val="28"/>
        </w:rPr>
      </w:pPr>
      <w:r>
        <w:rPr>
          <w:rFonts w:hint="eastAsia" w:ascii="宋体" w:hAnsi="宋体"/>
          <w:b/>
          <w:bCs/>
          <w:sz w:val="28"/>
          <w:szCs w:val="28"/>
        </w:rPr>
        <w:t>乙方:</w:t>
      </w:r>
      <w:r>
        <w:rPr>
          <w:rFonts w:hint="eastAsia" w:ascii="新宋体" w:hAnsi="新宋体" w:eastAsia="新宋体" w:cs="新宋体"/>
          <w:b/>
          <w:sz w:val="28"/>
          <w:szCs w:val="28"/>
        </w:rPr>
        <w:t xml:space="preserve">                            </w:t>
      </w:r>
      <w:r>
        <w:rPr>
          <w:rFonts w:hint="eastAsia" w:ascii="宋体" w:hAnsi="宋体"/>
          <w:b/>
          <w:bCs/>
          <w:sz w:val="28"/>
          <w:szCs w:val="28"/>
        </w:rPr>
        <w:t xml:space="preserve">       </w:t>
      </w:r>
      <w:r>
        <w:rPr>
          <w:rFonts w:hint="eastAsia" w:ascii="宋体" w:hAnsi="宋体"/>
          <w:b/>
          <w:sz w:val="28"/>
          <w:szCs w:val="28"/>
        </w:rPr>
        <w:t>（以下简称乙方）</w:t>
      </w:r>
    </w:p>
    <w:p w14:paraId="32BFCB54">
      <w:pPr>
        <w:keepNext w:val="0"/>
        <w:keepLines w:val="0"/>
        <w:pageBreakBefore w:val="0"/>
        <w:kinsoku/>
        <w:wordWrap/>
        <w:overflowPunct/>
        <w:topLinePunct w:val="0"/>
        <w:bidi w:val="0"/>
        <w:spacing w:line="540" w:lineRule="exact"/>
        <w:ind w:firstLine="560" w:firstLineChars="200"/>
        <w:textAlignment w:val="auto"/>
        <w:rPr>
          <w:rFonts w:hint="eastAsia" w:ascii="宋体" w:hAnsi="宋体"/>
          <w:sz w:val="28"/>
          <w:szCs w:val="28"/>
        </w:rPr>
      </w:pPr>
    </w:p>
    <w:p w14:paraId="17B0C91C">
      <w:pPr>
        <w:keepNext w:val="0"/>
        <w:keepLines w:val="0"/>
        <w:pageBreakBefore w:val="0"/>
        <w:kinsoku/>
        <w:wordWrap/>
        <w:overflowPunct/>
        <w:topLinePunct w:val="0"/>
        <w:bidi w:val="0"/>
        <w:spacing w:line="540" w:lineRule="exact"/>
        <w:ind w:firstLine="560" w:firstLineChars="200"/>
        <w:textAlignment w:val="auto"/>
        <w:rPr>
          <w:rFonts w:ascii="宋体" w:hAnsi="宋体"/>
          <w:sz w:val="28"/>
          <w:szCs w:val="28"/>
        </w:rPr>
      </w:pPr>
      <w:r>
        <w:rPr>
          <w:rFonts w:hint="eastAsia" w:ascii="宋体" w:hAnsi="宋体"/>
          <w:sz w:val="28"/>
          <w:szCs w:val="28"/>
        </w:rPr>
        <w:t>乙方于</w:t>
      </w:r>
      <w:r>
        <w:rPr>
          <w:rFonts w:hint="eastAsia" w:ascii="宋体" w:hAnsi="宋体"/>
          <w:sz w:val="28"/>
          <w:szCs w:val="28"/>
          <w:lang w:val="en-US" w:eastAsia="zh-CN"/>
        </w:rPr>
        <w:t xml:space="preserve">   </w:t>
      </w:r>
      <w:r>
        <w:rPr>
          <w:rFonts w:hint="eastAsia" w:ascii="宋体" w:hAnsi="宋体"/>
          <w:sz w:val="28"/>
          <w:szCs w:val="28"/>
        </w:rPr>
        <w:t>年</w:t>
      </w:r>
      <w:r>
        <w:rPr>
          <w:rFonts w:hint="eastAsia" w:ascii="宋体" w:hAnsi="宋体"/>
          <w:sz w:val="28"/>
          <w:szCs w:val="28"/>
          <w:lang w:val="en-US" w:eastAsia="zh-CN"/>
        </w:rPr>
        <w:t xml:space="preserve">  </w:t>
      </w:r>
      <w:r>
        <w:rPr>
          <w:rFonts w:hint="eastAsia" w:ascii="宋体" w:hAnsi="宋体"/>
          <w:sz w:val="28"/>
          <w:szCs w:val="28"/>
        </w:rPr>
        <w:t>月</w:t>
      </w:r>
      <w:r>
        <w:rPr>
          <w:rFonts w:hint="eastAsia" w:ascii="宋体" w:hAnsi="宋体"/>
          <w:sz w:val="28"/>
          <w:szCs w:val="28"/>
          <w:lang w:val="en-US" w:eastAsia="zh-CN"/>
        </w:rPr>
        <w:t xml:space="preserve">  </w:t>
      </w:r>
      <w:r>
        <w:rPr>
          <w:rFonts w:hint="eastAsia" w:ascii="宋体" w:hAnsi="宋体"/>
          <w:sz w:val="28"/>
          <w:szCs w:val="28"/>
        </w:rPr>
        <w:t>日在湖南文理学院组织的</w:t>
      </w:r>
      <w:r>
        <w:rPr>
          <w:rFonts w:hint="eastAsia" w:ascii="宋体" w:hAnsi="宋体" w:cs="黑体"/>
          <w:sz w:val="28"/>
          <w:szCs w:val="28"/>
        </w:rPr>
        <w:t>湖南文理学院</w:t>
      </w:r>
      <w:r>
        <w:rPr>
          <w:rFonts w:hint="eastAsia" w:ascii="宋体" w:hAnsi="宋体" w:cs="黑体"/>
          <w:sz w:val="28"/>
          <w:szCs w:val="28"/>
          <w:lang w:val="en-US" w:eastAsia="zh-CN"/>
        </w:rPr>
        <w:t xml:space="preserve">         </w:t>
      </w:r>
      <w:r>
        <w:rPr>
          <w:rFonts w:hint="eastAsia" w:ascii="宋体" w:hAnsi="宋体" w:cs="黑体"/>
          <w:sz w:val="28"/>
          <w:szCs w:val="28"/>
        </w:rPr>
        <w:t>采购招标</w:t>
      </w:r>
      <w:r>
        <w:rPr>
          <w:rFonts w:hint="eastAsia" w:ascii="宋体" w:hAnsi="宋体"/>
          <w:sz w:val="28"/>
          <w:szCs w:val="28"/>
        </w:rPr>
        <w:t>会上通过招标成为供货方，现依据</w:t>
      </w:r>
      <w:r>
        <w:rPr>
          <w:rFonts w:hint="eastAsia" w:ascii="宋体" w:hAnsi="宋体"/>
          <w:color w:val="000000"/>
          <w:sz w:val="28"/>
          <w:szCs w:val="28"/>
        </w:rPr>
        <w:t>《中华人民共和国民法典》</w:t>
      </w:r>
      <w:r>
        <w:rPr>
          <w:rFonts w:hint="eastAsia" w:ascii="宋体" w:hAnsi="宋体"/>
          <w:sz w:val="28"/>
          <w:szCs w:val="28"/>
        </w:rPr>
        <w:t>的规定，订立合同，以便共同遵守。</w:t>
      </w:r>
    </w:p>
    <w:p w14:paraId="48BAA1FE">
      <w:pPr>
        <w:keepNext w:val="0"/>
        <w:keepLines w:val="0"/>
        <w:pageBreakBefore w:val="0"/>
        <w:numPr>
          <w:ilvl w:val="0"/>
          <w:numId w:val="1"/>
        </w:numPr>
        <w:kinsoku/>
        <w:wordWrap/>
        <w:overflowPunct/>
        <w:topLinePunct w:val="0"/>
        <w:bidi w:val="0"/>
        <w:spacing w:line="540" w:lineRule="exact"/>
        <w:ind w:firstLine="560" w:firstLineChars="200"/>
        <w:textAlignment w:val="auto"/>
        <w:rPr>
          <w:rFonts w:ascii="宋体" w:hAnsi="宋体"/>
          <w:b/>
          <w:sz w:val="28"/>
          <w:szCs w:val="28"/>
        </w:rPr>
      </w:pPr>
      <w:r>
        <w:rPr>
          <w:rFonts w:hint="eastAsia" w:ascii="宋体" w:hAnsi="宋体"/>
          <w:b/>
          <w:sz w:val="28"/>
          <w:szCs w:val="28"/>
          <w:lang w:val="en-US" w:eastAsia="zh-CN"/>
        </w:rPr>
        <w:t>采购内容及</w:t>
      </w:r>
      <w:r>
        <w:rPr>
          <w:rFonts w:hint="eastAsia" w:ascii="宋体" w:hAnsi="宋体"/>
          <w:b/>
          <w:sz w:val="28"/>
          <w:szCs w:val="28"/>
        </w:rPr>
        <w:t>质量标准</w:t>
      </w:r>
    </w:p>
    <w:p w14:paraId="2057D85F">
      <w:pPr>
        <w:keepNext w:val="0"/>
        <w:keepLines w:val="0"/>
        <w:pageBreakBefore w:val="0"/>
        <w:widowControl w:val="0"/>
        <w:numPr>
          <w:ilvl w:val="0"/>
          <w:numId w:val="0"/>
        </w:numPr>
        <w:kinsoku/>
        <w:wordWrap/>
        <w:overflowPunct/>
        <w:topLinePunct w:val="0"/>
        <w:bidi w:val="0"/>
        <w:spacing w:line="540" w:lineRule="exact"/>
        <w:ind w:firstLine="840" w:firstLineChars="300"/>
        <w:jc w:val="both"/>
        <w:textAlignment w:val="auto"/>
        <w:rPr>
          <w:rFonts w:hint="eastAsia" w:ascii="宋体" w:hAnsi="宋体" w:eastAsia="宋体"/>
          <w:sz w:val="28"/>
          <w:szCs w:val="28"/>
        </w:rPr>
      </w:pPr>
      <w:r>
        <w:rPr>
          <w:rFonts w:hint="eastAsia" w:ascii="宋体" w:hAnsi="宋体"/>
          <w:sz w:val="28"/>
          <w:szCs w:val="28"/>
          <w:lang w:val="en-US" w:eastAsia="zh-CN"/>
        </w:rPr>
        <w:t>湖南文理学院儿童发展与游戏、儿童心理与行为分析、儿童科学教育三间实训室建设项目内容包含音箱及控制设备、教学一体机、教具、多媒体讲台、教学软件（含精品课程资源）、教室座椅等。</w:t>
      </w:r>
    </w:p>
    <w:p w14:paraId="05243EDC">
      <w:pPr>
        <w:keepNext w:val="0"/>
        <w:keepLines w:val="0"/>
        <w:pageBreakBefore w:val="0"/>
        <w:widowControl w:val="0"/>
        <w:numPr>
          <w:ilvl w:val="0"/>
          <w:numId w:val="0"/>
        </w:numPr>
        <w:kinsoku/>
        <w:wordWrap/>
        <w:overflowPunct/>
        <w:topLinePunct w:val="0"/>
        <w:bidi w:val="0"/>
        <w:spacing w:line="540" w:lineRule="exact"/>
        <w:ind w:firstLine="840" w:firstLineChars="300"/>
        <w:jc w:val="both"/>
        <w:textAlignment w:val="auto"/>
        <w:rPr>
          <w:rFonts w:hint="default" w:ascii="宋体" w:hAnsi="宋体"/>
          <w:b/>
          <w:sz w:val="28"/>
          <w:szCs w:val="28"/>
          <w:lang w:val="en-US" w:eastAsia="zh-CN"/>
        </w:rPr>
      </w:pPr>
      <w:r>
        <w:rPr>
          <w:rFonts w:hint="eastAsia" w:ascii="宋体" w:hAnsi="宋体" w:eastAsia="宋体"/>
          <w:sz w:val="28"/>
          <w:szCs w:val="28"/>
        </w:rPr>
        <w:t>乙方提供的设备必须满足招标文件及本合同所规定的要求，具体招标货物清单及质量标准附后（见合同附件）。</w:t>
      </w:r>
    </w:p>
    <w:p w14:paraId="413AE4F9">
      <w:pPr>
        <w:keepNext w:val="0"/>
        <w:keepLines w:val="0"/>
        <w:pageBreakBefore w:val="0"/>
        <w:kinsoku/>
        <w:wordWrap/>
        <w:overflowPunct/>
        <w:topLinePunct w:val="0"/>
        <w:bidi w:val="0"/>
        <w:spacing w:line="540" w:lineRule="exact"/>
        <w:ind w:firstLine="560" w:firstLineChars="200"/>
        <w:textAlignment w:val="auto"/>
        <w:rPr>
          <w:rFonts w:ascii="宋体" w:hAnsi="宋体"/>
          <w:b/>
          <w:sz w:val="28"/>
          <w:szCs w:val="28"/>
        </w:rPr>
      </w:pPr>
      <w:r>
        <w:rPr>
          <w:rFonts w:hint="eastAsia" w:ascii="宋体" w:hAnsi="宋体"/>
          <w:b/>
          <w:sz w:val="28"/>
          <w:szCs w:val="28"/>
          <w:lang w:val="en-US" w:eastAsia="zh-CN"/>
        </w:rPr>
        <w:t>二</w:t>
      </w:r>
      <w:r>
        <w:rPr>
          <w:rFonts w:hint="eastAsia" w:ascii="宋体" w:hAnsi="宋体"/>
          <w:b/>
          <w:sz w:val="28"/>
          <w:szCs w:val="28"/>
        </w:rPr>
        <w:t>、合同总金额</w:t>
      </w:r>
    </w:p>
    <w:p w14:paraId="4F49E63A">
      <w:pPr>
        <w:keepNext w:val="0"/>
        <w:keepLines w:val="0"/>
        <w:pageBreakBefore w:val="0"/>
        <w:kinsoku/>
        <w:wordWrap/>
        <w:overflowPunct/>
        <w:topLinePunct w:val="0"/>
        <w:bidi w:val="0"/>
        <w:snapToGrid w:val="0"/>
        <w:spacing w:line="540" w:lineRule="exact"/>
        <w:ind w:firstLine="560" w:firstLineChars="200"/>
        <w:textAlignment w:val="auto"/>
        <w:rPr>
          <w:rFonts w:ascii="宋体" w:hAnsi="宋体"/>
          <w:b/>
          <w:bCs/>
          <w:sz w:val="28"/>
          <w:szCs w:val="28"/>
          <w:u w:val="single"/>
        </w:rPr>
      </w:pPr>
      <w:r>
        <w:rPr>
          <w:rFonts w:hint="eastAsia" w:ascii="宋体" w:hAnsi="宋体"/>
          <w:sz w:val="28"/>
          <w:szCs w:val="28"/>
        </w:rPr>
        <w:t>乙方提供合同总价为人民币（含税）</w:t>
      </w:r>
      <w:r>
        <w:rPr>
          <w:rFonts w:hint="eastAsia" w:ascii="宋体" w:hAnsi="宋体"/>
          <w:b/>
          <w:bCs/>
          <w:sz w:val="28"/>
          <w:szCs w:val="28"/>
          <w:u w:val="single"/>
          <w:lang w:val="en-US" w:eastAsia="zh-CN"/>
        </w:rPr>
        <w:t xml:space="preserve">                   元</w:t>
      </w:r>
      <w:r>
        <w:rPr>
          <w:rFonts w:hint="eastAsia" w:ascii="宋体" w:hAnsi="宋体"/>
          <w:sz w:val="28"/>
          <w:szCs w:val="28"/>
        </w:rPr>
        <w:t xml:space="preserve"> ，其不含税价</w:t>
      </w:r>
      <w:r>
        <w:rPr>
          <w:rFonts w:hint="eastAsia" w:ascii="宋体" w:hAnsi="宋体"/>
          <w:sz w:val="28"/>
          <w:szCs w:val="28"/>
          <w:u w:val="single"/>
          <w:lang w:val="en-US" w:eastAsia="zh-CN"/>
        </w:rPr>
        <w:t xml:space="preserve">             </w:t>
      </w:r>
      <w:r>
        <w:rPr>
          <w:rFonts w:ascii="宋体" w:hAnsi="宋体"/>
          <w:b/>
          <w:bCs/>
          <w:sz w:val="28"/>
          <w:szCs w:val="28"/>
          <w:u w:val="single"/>
        </w:rPr>
        <w:t>元整(￥: 00.00元)</w:t>
      </w:r>
      <w:r>
        <w:rPr>
          <w:rFonts w:hint="eastAsia" w:ascii="宋体" w:hAnsi="宋体"/>
          <w:b/>
          <w:bCs/>
          <w:sz w:val="28"/>
          <w:szCs w:val="28"/>
        </w:rPr>
        <w:t>，增值税</w:t>
      </w:r>
      <w:r>
        <w:rPr>
          <w:rFonts w:hint="eastAsia" w:ascii="宋体" w:hAnsi="宋体"/>
          <w:b/>
          <w:bCs/>
          <w:sz w:val="28"/>
          <w:szCs w:val="28"/>
          <w:u w:val="single"/>
          <w:lang w:val="en-US" w:eastAsia="zh-CN"/>
        </w:rPr>
        <w:t xml:space="preserve">               </w:t>
      </w:r>
      <w:r>
        <w:rPr>
          <w:rFonts w:ascii="宋体" w:hAnsi="宋体"/>
          <w:b/>
          <w:bCs/>
          <w:sz w:val="28"/>
          <w:szCs w:val="28"/>
          <w:u w:val="single"/>
        </w:rPr>
        <w:t>元整(￥: 00.00元)</w:t>
      </w:r>
      <w:r>
        <w:rPr>
          <w:rFonts w:hint="eastAsia" w:ascii="宋体" w:hAnsi="宋体"/>
          <w:sz w:val="28"/>
          <w:szCs w:val="28"/>
        </w:rPr>
        <w:t>的</w:t>
      </w:r>
      <w:r>
        <w:rPr>
          <w:rFonts w:hint="eastAsia" w:ascii="宋体" w:hAnsi="宋体" w:cs="黑体"/>
          <w:sz w:val="28"/>
          <w:szCs w:val="28"/>
        </w:rPr>
        <w:t>物质设备</w:t>
      </w:r>
      <w:r>
        <w:rPr>
          <w:rFonts w:hint="eastAsia" w:ascii="宋体" w:hAnsi="宋体"/>
          <w:sz w:val="28"/>
          <w:szCs w:val="28"/>
        </w:rPr>
        <w:t>。</w:t>
      </w:r>
    </w:p>
    <w:p w14:paraId="61F6CB0B">
      <w:pPr>
        <w:keepNext w:val="0"/>
        <w:keepLines w:val="0"/>
        <w:pageBreakBefore w:val="0"/>
        <w:kinsoku/>
        <w:wordWrap/>
        <w:overflowPunct/>
        <w:topLinePunct w:val="0"/>
        <w:bidi w:val="0"/>
        <w:spacing w:line="540" w:lineRule="exact"/>
        <w:ind w:firstLine="560" w:firstLineChars="200"/>
        <w:textAlignment w:val="auto"/>
        <w:rPr>
          <w:rFonts w:ascii="宋体" w:hAnsi="宋体"/>
          <w:b/>
          <w:sz w:val="28"/>
          <w:szCs w:val="28"/>
        </w:rPr>
      </w:pPr>
      <w:r>
        <w:rPr>
          <w:rFonts w:hint="eastAsia" w:ascii="宋体" w:hAnsi="宋体"/>
          <w:b/>
          <w:sz w:val="28"/>
          <w:szCs w:val="28"/>
        </w:rPr>
        <w:t>三、交货时间</w:t>
      </w:r>
    </w:p>
    <w:p w14:paraId="1F47AE09">
      <w:pPr>
        <w:keepNext w:val="0"/>
        <w:keepLines w:val="0"/>
        <w:pageBreakBefore w:val="0"/>
        <w:kinsoku/>
        <w:wordWrap/>
        <w:overflowPunct/>
        <w:topLinePunct w:val="0"/>
        <w:bidi w:val="0"/>
        <w:spacing w:line="540" w:lineRule="exact"/>
        <w:ind w:firstLine="560" w:firstLineChars="200"/>
        <w:textAlignment w:val="auto"/>
        <w:rPr>
          <w:rFonts w:ascii="宋体" w:hAnsi="宋体"/>
          <w:sz w:val="28"/>
          <w:szCs w:val="28"/>
        </w:rPr>
      </w:pPr>
      <w:r>
        <w:rPr>
          <w:rFonts w:hint="eastAsia" w:ascii="宋体" w:hAnsi="宋体" w:cs="宋体"/>
          <w:sz w:val="28"/>
          <w:szCs w:val="28"/>
        </w:rPr>
        <w:t>所有</w:t>
      </w:r>
      <w:r>
        <w:rPr>
          <w:rFonts w:hint="eastAsia" w:ascii="宋体" w:hAnsi="宋体" w:cs="黑体"/>
          <w:sz w:val="28"/>
          <w:szCs w:val="28"/>
        </w:rPr>
        <w:t>设备须</w:t>
      </w:r>
      <w:r>
        <w:rPr>
          <w:rFonts w:hint="eastAsia" w:ascii="宋体" w:hAnsi="宋体" w:cs="宋体"/>
          <w:sz w:val="28"/>
          <w:szCs w:val="28"/>
        </w:rPr>
        <w:t>于</w:t>
      </w:r>
      <w:r>
        <w:rPr>
          <w:rFonts w:hint="eastAsia" w:ascii="宋体" w:hAnsi="宋体" w:cs="宋体"/>
          <w:sz w:val="28"/>
          <w:szCs w:val="28"/>
          <w:lang w:val="en-US" w:eastAsia="zh-CN"/>
        </w:rPr>
        <w:t xml:space="preserve">   </w:t>
      </w:r>
      <w:r>
        <w:rPr>
          <w:rFonts w:hint="eastAsia" w:ascii="宋体" w:hAnsi="宋体" w:cs="宋体"/>
          <w:sz w:val="28"/>
          <w:szCs w:val="28"/>
        </w:rPr>
        <w:t>年</w:t>
      </w:r>
      <w:r>
        <w:rPr>
          <w:rFonts w:hint="eastAsia" w:ascii="宋体" w:hAnsi="宋体" w:cs="宋体"/>
          <w:sz w:val="28"/>
          <w:szCs w:val="28"/>
          <w:lang w:val="en-US" w:eastAsia="zh-CN"/>
        </w:rPr>
        <w:t xml:space="preserve">    </w:t>
      </w:r>
      <w:r>
        <w:rPr>
          <w:rFonts w:hint="eastAsia" w:ascii="宋体" w:hAnsi="宋体" w:cs="宋体"/>
          <w:sz w:val="28"/>
          <w:szCs w:val="28"/>
        </w:rPr>
        <w:t>月</w:t>
      </w:r>
      <w:r>
        <w:rPr>
          <w:rFonts w:hint="eastAsia" w:ascii="宋体" w:hAnsi="宋体" w:cs="宋体"/>
          <w:sz w:val="28"/>
          <w:szCs w:val="28"/>
          <w:lang w:val="en-US" w:eastAsia="zh-CN"/>
        </w:rPr>
        <w:t xml:space="preserve">    </w:t>
      </w:r>
      <w:r>
        <w:rPr>
          <w:rFonts w:hint="eastAsia" w:ascii="宋体" w:hAnsi="宋体" w:cs="宋体"/>
          <w:sz w:val="28"/>
          <w:szCs w:val="28"/>
        </w:rPr>
        <w:t>日前</w:t>
      </w:r>
      <w:r>
        <w:rPr>
          <w:rFonts w:hint="eastAsia" w:ascii="宋体" w:hAnsi="宋体"/>
          <w:sz w:val="28"/>
          <w:szCs w:val="28"/>
        </w:rPr>
        <w:t>安装调试完毕并交付使用</w:t>
      </w:r>
      <w:r>
        <w:rPr>
          <w:rFonts w:hint="eastAsia" w:ascii="宋体" w:hAnsi="宋体" w:cs="宋体"/>
          <w:sz w:val="28"/>
          <w:szCs w:val="28"/>
        </w:rPr>
        <w:t>，</w:t>
      </w:r>
      <w:r>
        <w:rPr>
          <w:rFonts w:hint="eastAsia" w:ascii="宋体" w:hAnsi="宋体"/>
          <w:sz w:val="28"/>
          <w:szCs w:val="28"/>
        </w:rPr>
        <w:t>每推迟一天到货，乙方按合同总价</w:t>
      </w:r>
      <w:r>
        <w:rPr>
          <w:rFonts w:hint="eastAsia" w:ascii="宋体" w:hAnsi="宋体"/>
          <w:color w:val="000000"/>
          <w:sz w:val="28"/>
          <w:szCs w:val="28"/>
        </w:rPr>
        <w:t>1‰</w:t>
      </w:r>
      <w:r>
        <w:rPr>
          <w:rFonts w:hint="eastAsia" w:ascii="宋体" w:hAnsi="宋体"/>
          <w:sz w:val="28"/>
          <w:szCs w:val="28"/>
        </w:rPr>
        <w:t>支付违约金，部分交货的按迟延部分计算违约金（违约金在甲方支付乙方货款时从货款中扣除）。逾期履行超过15天，甲方可解除合同，并由乙方承担合同总价10%的违约责任。特殊情况乙方向甲方提出书面陈述，经甲方同意方可适当延长供货期限。</w:t>
      </w:r>
    </w:p>
    <w:p w14:paraId="40D20F1C">
      <w:pPr>
        <w:keepNext w:val="0"/>
        <w:keepLines w:val="0"/>
        <w:pageBreakBefore w:val="0"/>
        <w:kinsoku/>
        <w:wordWrap/>
        <w:overflowPunct/>
        <w:topLinePunct w:val="0"/>
        <w:bidi w:val="0"/>
        <w:spacing w:line="540" w:lineRule="exact"/>
        <w:ind w:firstLine="560" w:firstLineChars="200"/>
        <w:textAlignment w:val="auto"/>
        <w:rPr>
          <w:rFonts w:ascii="宋体" w:hAnsi="宋体"/>
          <w:b/>
          <w:color w:val="auto"/>
          <w:sz w:val="28"/>
          <w:szCs w:val="28"/>
        </w:rPr>
      </w:pPr>
      <w:r>
        <w:rPr>
          <w:rFonts w:hint="eastAsia" w:ascii="宋体" w:hAnsi="宋体"/>
          <w:b/>
          <w:color w:val="auto"/>
          <w:sz w:val="28"/>
          <w:szCs w:val="28"/>
        </w:rPr>
        <w:t>四、付款方式</w:t>
      </w:r>
    </w:p>
    <w:p w14:paraId="3994872A">
      <w:pPr>
        <w:keepNext w:val="0"/>
        <w:keepLines w:val="0"/>
        <w:pageBreakBefore w:val="0"/>
        <w:kinsoku/>
        <w:wordWrap/>
        <w:overflowPunct/>
        <w:topLinePunct w:val="0"/>
        <w:bidi w:val="0"/>
        <w:spacing w:line="540" w:lineRule="exact"/>
        <w:ind w:firstLine="560" w:firstLineChars="200"/>
        <w:textAlignment w:val="auto"/>
        <w:rPr>
          <w:rFonts w:ascii="宋体" w:hAnsi="宋体"/>
          <w:color w:val="auto"/>
          <w:sz w:val="28"/>
          <w:szCs w:val="28"/>
        </w:rPr>
      </w:pPr>
      <w:r>
        <w:rPr>
          <w:rFonts w:hint="eastAsia" w:ascii="宋体" w:hAnsi="宋体"/>
          <w:color w:val="auto"/>
          <w:sz w:val="28"/>
          <w:szCs w:val="28"/>
        </w:rPr>
        <w:t>乙方按合同规定要求提供货物和服务。所有设备（产品）按时到货并安装调试完工后，经甲方验收合格(作为付款程序的验收合格，不等同于认可产品没有任何质量缺陷，也不等同于放弃对乙方的违约责任追究)且办理财务结算手续完毕后一次性支付该项目所有货款的95%，其余5%为交付使用一年后支付。</w:t>
      </w:r>
    </w:p>
    <w:p w14:paraId="2C7A17FB">
      <w:pPr>
        <w:keepNext w:val="0"/>
        <w:keepLines w:val="0"/>
        <w:pageBreakBefore w:val="0"/>
        <w:kinsoku/>
        <w:wordWrap/>
        <w:overflowPunct/>
        <w:topLinePunct w:val="0"/>
        <w:bidi w:val="0"/>
        <w:spacing w:line="540" w:lineRule="exact"/>
        <w:ind w:firstLine="560" w:firstLineChars="200"/>
        <w:textAlignment w:val="auto"/>
        <w:rPr>
          <w:rFonts w:ascii="宋体" w:hAnsi="宋体"/>
          <w:sz w:val="28"/>
          <w:szCs w:val="28"/>
        </w:rPr>
      </w:pPr>
      <w:r>
        <w:rPr>
          <w:rFonts w:hint="eastAsia" w:ascii="宋体" w:hAnsi="宋体"/>
          <w:color w:val="auto"/>
          <w:sz w:val="28"/>
          <w:szCs w:val="28"/>
        </w:rPr>
        <w:t>办理财务结算手续时乙方承诺交予甲方的设备采购发票严格按照合同开出，符合税务机关各项要求，且“销售货物清单”与税务机关留存底单一致，如有不</w:t>
      </w:r>
      <w:r>
        <w:rPr>
          <w:rFonts w:hint="eastAsia" w:ascii="宋体" w:hAnsi="宋体"/>
          <w:sz w:val="28"/>
          <w:szCs w:val="28"/>
        </w:rPr>
        <w:t>符，乙方承担相应责任并赔偿因此给甲方造成的一切损失。</w:t>
      </w:r>
    </w:p>
    <w:p w14:paraId="57EC6906">
      <w:pPr>
        <w:keepNext w:val="0"/>
        <w:keepLines w:val="0"/>
        <w:pageBreakBefore w:val="0"/>
        <w:kinsoku/>
        <w:wordWrap/>
        <w:overflowPunct/>
        <w:topLinePunct w:val="0"/>
        <w:bidi w:val="0"/>
        <w:spacing w:line="540" w:lineRule="exact"/>
        <w:ind w:firstLine="560" w:firstLineChars="200"/>
        <w:textAlignment w:val="auto"/>
        <w:rPr>
          <w:rFonts w:ascii="宋体" w:hAnsi="宋体"/>
          <w:b/>
          <w:sz w:val="28"/>
          <w:szCs w:val="28"/>
        </w:rPr>
      </w:pPr>
      <w:r>
        <w:rPr>
          <w:rFonts w:hint="eastAsia" w:ascii="宋体" w:hAnsi="宋体"/>
          <w:b/>
          <w:sz w:val="28"/>
          <w:szCs w:val="28"/>
        </w:rPr>
        <w:t>五、交货地点</w:t>
      </w:r>
    </w:p>
    <w:p w14:paraId="7190293F">
      <w:pPr>
        <w:keepNext w:val="0"/>
        <w:keepLines w:val="0"/>
        <w:pageBreakBefore w:val="0"/>
        <w:kinsoku/>
        <w:wordWrap/>
        <w:overflowPunct/>
        <w:topLinePunct w:val="0"/>
        <w:bidi w:val="0"/>
        <w:spacing w:line="540" w:lineRule="exact"/>
        <w:ind w:firstLine="560" w:firstLineChars="200"/>
        <w:textAlignment w:val="auto"/>
        <w:rPr>
          <w:rFonts w:ascii="宋体" w:hAnsi="宋体" w:cs="黑体"/>
          <w:sz w:val="28"/>
          <w:szCs w:val="28"/>
        </w:rPr>
      </w:pPr>
      <w:r>
        <w:rPr>
          <w:rFonts w:hint="eastAsia" w:ascii="宋体" w:hAnsi="宋体"/>
          <w:sz w:val="28"/>
          <w:szCs w:val="28"/>
        </w:rPr>
        <w:t>免费摆放至湖南文理学院</w:t>
      </w:r>
      <w:r>
        <w:rPr>
          <w:rFonts w:hint="eastAsia" w:ascii="宋体" w:hAnsi="宋体" w:cs="黑体"/>
          <w:sz w:val="28"/>
          <w:szCs w:val="28"/>
        </w:rPr>
        <w:t>指定地点。</w:t>
      </w:r>
    </w:p>
    <w:p w14:paraId="2B007041">
      <w:pPr>
        <w:keepNext w:val="0"/>
        <w:keepLines w:val="0"/>
        <w:pageBreakBefore w:val="0"/>
        <w:kinsoku/>
        <w:wordWrap/>
        <w:overflowPunct/>
        <w:topLinePunct w:val="0"/>
        <w:bidi w:val="0"/>
        <w:spacing w:line="540" w:lineRule="exact"/>
        <w:ind w:firstLine="560" w:firstLineChars="200"/>
        <w:textAlignment w:val="auto"/>
        <w:rPr>
          <w:rFonts w:ascii="宋体" w:hAnsi="宋体"/>
          <w:b/>
          <w:sz w:val="28"/>
          <w:szCs w:val="28"/>
        </w:rPr>
      </w:pPr>
      <w:r>
        <w:rPr>
          <w:rFonts w:hint="eastAsia" w:ascii="宋体" w:hAnsi="宋体"/>
          <w:b/>
          <w:sz w:val="28"/>
          <w:szCs w:val="28"/>
        </w:rPr>
        <w:t>六、履行方式</w:t>
      </w:r>
    </w:p>
    <w:p w14:paraId="59C079AC">
      <w:pPr>
        <w:keepNext w:val="0"/>
        <w:keepLines w:val="0"/>
        <w:pageBreakBefore w:val="0"/>
        <w:kinsoku/>
        <w:wordWrap/>
        <w:overflowPunct/>
        <w:topLinePunct w:val="0"/>
        <w:bidi w:val="0"/>
        <w:spacing w:line="540" w:lineRule="exact"/>
        <w:ind w:firstLine="560" w:firstLineChars="200"/>
        <w:textAlignment w:val="auto"/>
        <w:rPr>
          <w:rFonts w:ascii="宋体" w:hAnsi="宋体"/>
          <w:sz w:val="28"/>
          <w:szCs w:val="28"/>
        </w:rPr>
      </w:pPr>
      <w:r>
        <w:rPr>
          <w:rFonts w:hint="eastAsia" w:ascii="宋体" w:hAnsi="宋体"/>
          <w:sz w:val="28"/>
          <w:szCs w:val="28"/>
        </w:rPr>
        <w:t>乙方负责运输，所有运费、卸车费、搬运费、运杂费、保险费、税费、安装调试费、技术服务费、保修期内的保修费、相关检测等费用以及完成本项目所需其他费用均包括在合同总价内。本项目为“交钥匙工程”，除合同总价之外，甲方不再承担任何费用。乙方所提供设备在运输和搬运过程中如有损坏、丢失、纠纷或质量安全责任等事由概由乙方负责。</w:t>
      </w:r>
    </w:p>
    <w:p w14:paraId="2CDDB43F">
      <w:pPr>
        <w:keepNext w:val="0"/>
        <w:keepLines w:val="0"/>
        <w:pageBreakBefore w:val="0"/>
        <w:kinsoku/>
        <w:wordWrap/>
        <w:overflowPunct/>
        <w:topLinePunct w:val="0"/>
        <w:bidi w:val="0"/>
        <w:spacing w:line="540" w:lineRule="exact"/>
        <w:ind w:firstLine="560" w:firstLineChars="200"/>
        <w:textAlignment w:val="auto"/>
        <w:rPr>
          <w:rFonts w:ascii="宋体" w:hAnsi="宋体"/>
          <w:b/>
          <w:sz w:val="28"/>
          <w:szCs w:val="28"/>
        </w:rPr>
      </w:pPr>
      <w:r>
        <w:rPr>
          <w:rFonts w:hint="eastAsia" w:ascii="宋体" w:hAnsi="宋体"/>
          <w:b/>
          <w:sz w:val="28"/>
          <w:szCs w:val="28"/>
        </w:rPr>
        <w:t>七、验收方式</w:t>
      </w:r>
    </w:p>
    <w:p w14:paraId="423824CE">
      <w:pPr>
        <w:keepNext w:val="0"/>
        <w:keepLines w:val="0"/>
        <w:pageBreakBefore w:val="0"/>
        <w:kinsoku/>
        <w:wordWrap/>
        <w:overflowPunct/>
        <w:topLinePunct w:val="0"/>
        <w:bidi w:val="0"/>
        <w:spacing w:line="540" w:lineRule="exact"/>
        <w:ind w:firstLine="560" w:firstLineChars="200"/>
        <w:textAlignment w:val="auto"/>
        <w:rPr>
          <w:rFonts w:ascii="宋体" w:hAnsi="宋体"/>
          <w:sz w:val="28"/>
          <w:szCs w:val="28"/>
        </w:rPr>
      </w:pPr>
      <w:r>
        <w:rPr>
          <w:rFonts w:hint="eastAsia" w:ascii="宋体" w:hAnsi="宋体"/>
          <w:sz w:val="28"/>
          <w:szCs w:val="28"/>
        </w:rPr>
        <w:t>所有设备到达指定地点后乙方须通知甲方，由甲方组织有关人员对照合同要求进行验收。</w:t>
      </w:r>
    </w:p>
    <w:p w14:paraId="41E5DE6C">
      <w:pPr>
        <w:keepNext w:val="0"/>
        <w:keepLines w:val="0"/>
        <w:pageBreakBefore w:val="0"/>
        <w:kinsoku/>
        <w:wordWrap/>
        <w:overflowPunct/>
        <w:topLinePunct w:val="0"/>
        <w:bidi w:val="0"/>
        <w:spacing w:line="540" w:lineRule="exact"/>
        <w:ind w:firstLine="560" w:firstLineChars="200"/>
        <w:textAlignment w:val="auto"/>
        <w:rPr>
          <w:rFonts w:ascii="宋体" w:hAnsi="宋体"/>
          <w:b/>
          <w:sz w:val="28"/>
          <w:szCs w:val="28"/>
        </w:rPr>
      </w:pPr>
      <w:r>
        <w:rPr>
          <w:rFonts w:hint="eastAsia" w:ascii="宋体" w:hAnsi="宋体"/>
          <w:b/>
          <w:sz w:val="28"/>
          <w:szCs w:val="28"/>
        </w:rPr>
        <w:t>八、产品质量保证</w:t>
      </w:r>
    </w:p>
    <w:p w14:paraId="104766EF">
      <w:pPr>
        <w:keepNext w:val="0"/>
        <w:keepLines w:val="0"/>
        <w:pageBreakBefore w:val="0"/>
        <w:kinsoku/>
        <w:wordWrap/>
        <w:overflowPunct/>
        <w:topLinePunct w:val="0"/>
        <w:bidi w:val="0"/>
        <w:spacing w:line="540" w:lineRule="exact"/>
        <w:ind w:left="480"/>
        <w:textAlignment w:val="auto"/>
        <w:rPr>
          <w:rFonts w:ascii="宋体" w:hAnsi="宋体"/>
          <w:sz w:val="28"/>
          <w:szCs w:val="28"/>
        </w:rPr>
      </w:pPr>
      <w:r>
        <w:rPr>
          <w:rFonts w:hint="eastAsia" w:ascii="宋体" w:hAnsi="宋体"/>
          <w:sz w:val="28"/>
          <w:szCs w:val="28"/>
        </w:rPr>
        <w:t>1、技术规范及相关产品标准：按国家标准执行。</w:t>
      </w:r>
    </w:p>
    <w:p w14:paraId="34CC824D">
      <w:pPr>
        <w:keepNext w:val="0"/>
        <w:keepLines w:val="0"/>
        <w:pageBreakBefore w:val="0"/>
        <w:kinsoku/>
        <w:wordWrap/>
        <w:overflowPunct/>
        <w:topLinePunct w:val="0"/>
        <w:bidi w:val="0"/>
        <w:spacing w:line="540" w:lineRule="exact"/>
        <w:ind w:left="480"/>
        <w:textAlignment w:val="auto"/>
        <w:rPr>
          <w:rFonts w:ascii="宋体" w:hAnsi="宋体"/>
          <w:sz w:val="28"/>
          <w:szCs w:val="28"/>
        </w:rPr>
      </w:pPr>
      <w:r>
        <w:rPr>
          <w:rFonts w:hint="eastAsia" w:ascii="宋体" w:hAnsi="宋体"/>
          <w:sz w:val="28"/>
          <w:szCs w:val="28"/>
        </w:rPr>
        <w:t>2、所有产品均是厂家原装正品。</w:t>
      </w:r>
    </w:p>
    <w:p w14:paraId="13BDA445">
      <w:pPr>
        <w:keepNext w:val="0"/>
        <w:keepLines w:val="0"/>
        <w:pageBreakBefore w:val="0"/>
        <w:kinsoku/>
        <w:wordWrap/>
        <w:overflowPunct/>
        <w:topLinePunct w:val="0"/>
        <w:bidi w:val="0"/>
        <w:spacing w:line="540" w:lineRule="exact"/>
        <w:ind w:left="480"/>
        <w:textAlignment w:val="auto"/>
        <w:rPr>
          <w:rFonts w:ascii="宋体" w:hAnsi="宋体"/>
          <w:sz w:val="28"/>
          <w:szCs w:val="28"/>
        </w:rPr>
      </w:pPr>
      <w:r>
        <w:rPr>
          <w:rFonts w:hint="eastAsia" w:ascii="宋体" w:hAnsi="宋体"/>
          <w:sz w:val="28"/>
          <w:szCs w:val="28"/>
        </w:rPr>
        <w:t>3、产品“三包”内容：实行包退、包换、包修服务（详见售后服务承诺）。</w:t>
      </w:r>
    </w:p>
    <w:p w14:paraId="1ACD3FF0">
      <w:pPr>
        <w:keepNext w:val="0"/>
        <w:keepLines w:val="0"/>
        <w:pageBreakBefore w:val="0"/>
        <w:kinsoku/>
        <w:wordWrap/>
        <w:overflowPunct/>
        <w:topLinePunct w:val="0"/>
        <w:bidi w:val="0"/>
        <w:spacing w:line="540" w:lineRule="exact"/>
        <w:ind w:firstLine="560" w:firstLineChars="200"/>
        <w:textAlignment w:val="auto"/>
        <w:rPr>
          <w:rFonts w:ascii="宋体" w:hAnsi="宋体"/>
          <w:b/>
          <w:sz w:val="28"/>
          <w:szCs w:val="28"/>
        </w:rPr>
      </w:pPr>
      <w:r>
        <w:rPr>
          <w:rFonts w:hint="eastAsia" w:ascii="宋体" w:hAnsi="宋体"/>
          <w:b/>
          <w:sz w:val="28"/>
          <w:szCs w:val="28"/>
        </w:rPr>
        <w:t>九、违约责任</w:t>
      </w:r>
    </w:p>
    <w:p w14:paraId="70E51AC4">
      <w:pPr>
        <w:keepNext w:val="0"/>
        <w:keepLines w:val="0"/>
        <w:pageBreakBefore w:val="0"/>
        <w:kinsoku/>
        <w:wordWrap/>
        <w:overflowPunct/>
        <w:topLinePunct w:val="0"/>
        <w:bidi w:val="0"/>
        <w:spacing w:line="540" w:lineRule="exact"/>
        <w:ind w:firstLine="560" w:firstLineChars="200"/>
        <w:textAlignment w:val="auto"/>
        <w:rPr>
          <w:rFonts w:ascii="宋体" w:hAnsi="宋体"/>
          <w:sz w:val="28"/>
          <w:szCs w:val="28"/>
        </w:rPr>
      </w:pPr>
      <w:r>
        <w:rPr>
          <w:rFonts w:hint="eastAsia" w:ascii="宋体" w:hAnsi="宋体"/>
          <w:sz w:val="28"/>
          <w:szCs w:val="28"/>
        </w:rPr>
        <w:t>所有设备须与合同所要求的</w:t>
      </w:r>
      <w:r>
        <w:rPr>
          <w:rFonts w:hint="eastAsia" w:ascii="宋体" w:hAnsi="宋体"/>
          <w:color w:val="000000"/>
          <w:sz w:val="28"/>
          <w:szCs w:val="28"/>
        </w:rPr>
        <w:t>质量标准、规格、品牌</w:t>
      </w:r>
      <w:r>
        <w:rPr>
          <w:rFonts w:hint="eastAsia" w:ascii="宋体" w:hAnsi="宋体"/>
          <w:sz w:val="28"/>
          <w:szCs w:val="28"/>
        </w:rPr>
        <w:t>相一致。不一致产品，甲方有权拒收，因此给甲方造成的一切损失由乙方承担。如果甲方通过市场调查，发现乙方存在价格欺诈行为，乙方应赔偿由此造成的一切损失。</w:t>
      </w:r>
    </w:p>
    <w:p w14:paraId="65DB098A">
      <w:pPr>
        <w:keepNext w:val="0"/>
        <w:keepLines w:val="0"/>
        <w:pageBreakBefore w:val="0"/>
        <w:kinsoku/>
        <w:wordWrap/>
        <w:overflowPunct/>
        <w:topLinePunct w:val="0"/>
        <w:bidi w:val="0"/>
        <w:adjustRightInd w:val="0"/>
        <w:snapToGrid w:val="0"/>
        <w:spacing w:line="540" w:lineRule="exact"/>
        <w:ind w:firstLine="560" w:firstLineChars="200"/>
        <w:textAlignment w:val="auto"/>
        <w:rPr>
          <w:rFonts w:ascii="宋体" w:hAnsi="宋体"/>
          <w:sz w:val="28"/>
          <w:szCs w:val="28"/>
        </w:rPr>
      </w:pPr>
      <w:r>
        <w:rPr>
          <w:rFonts w:hint="eastAsia" w:ascii="宋体" w:hAnsi="宋体"/>
          <w:sz w:val="28"/>
          <w:szCs w:val="28"/>
        </w:rPr>
        <w:t>如产品质量瑕疵，乙方应在接到甲方通知后三天内免费维修，经两次以上正常维修或调试仍不能正常使用，或经两次催告后乙方不在限定时间内对质量问题予以处理，甲方可以退货，由乙方返还相应产品的已付货款，并由乙方按相应产品总价格的20%承担违约责任。</w:t>
      </w:r>
    </w:p>
    <w:p w14:paraId="32F434B9">
      <w:pPr>
        <w:keepNext w:val="0"/>
        <w:keepLines w:val="0"/>
        <w:pageBreakBefore w:val="0"/>
        <w:kinsoku/>
        <w:wordWrap/>
        <w:overflowPunct/>
        <w:topLinePunct w:val="0"/>
        <w:bidi w:val="0"/>
        <w:spacing w:line="540" w:lineRule="exact"/>
        <w:ind w:firstLine="560" w:firstLineChars="200"/>
        <w:textAlignment w:val="auto"/>
        <w:rPr>
          <w:rFonts w:ascii="宋体" w:hAnsi="宋体"/>
          <w:b/>
          <w:sz w:val="28"/>
          <w:szCs w:val="28"/>
        </w:rPr>
      </w:pPr>
      <w:r>
        <w:rPr>
          <w:rFonts w:hint="eastAsia" w:ascii="宋体" w:hAnsi="宋体"/>
          <w:b/>
          <w:sz w:val="28"/>
          <w:szCs w:val="28"/>
        </w:rPr>
        <w:t>十、解决争议的方法</w:t>
      </w:r>
    </w:p>
    <w:p w14:paraId="14804F1C">
      <w:pPr>
        <w:keepNext w:val="0"/>
        <w:keepLines w:val="0"/>
        <w:pageBreakBefore w:val="0"/>
        <w:kinsoku/>
        <w:wordWrap/>
        <w:overflowPunct/>
        <w:topLinePunct w:val="0"/>
        <w:bidi w:val="0"/>
        <w:adjustRightInd w:val="0"/>
        <w:snapToGrid w:val="0"/>
        <w:spacing w:line="540" w:lineRule="exact"/>
        <w:ind w:firstLine="560" w:firstLineChars="200"/>
        <w:textAlignment w:val="auto"/>
        <w:rPr>
          <w:rFonts w:ascii="宋体" w:hAnsi="宋体"/>
          <w:sz w:val="28"/>
          <w:szCs w:val="28"/>
        </w:rPr>
      </w:pPr>
      <w:r>
        <w:rPr>
          <w:rFonts w:hint="eastAsia" w:ascii="宋体" w:hAnsi="宋体"/>
          <w:sz w:val="28"/>
          <w:szCs w:val="28"/>
        </w:rPr>
        <w:t>本合同发生争议产生的诉讼，由甲方所在地人民法院管辖。由败诉方按诉讼费承担规则承担相对方因此支出的合理费用，包括但不限于诉讼费、保全费、保全保险费、律师代理费、评估鉴定费、差旅费等等合理费用。</w:t>
      </w:r>
    </w:p>
    <w:p w14:paraId="5DD679C4">
      <w:pPr>
        <w:keepNext w:val="0"/>
        <w:keepLines w:val="0"/>
        <w:pageBreakBefore w:val="0"/>
        <w:kinsoku/>
        <w:wordWrap/>
        <w:overflowPunct/>
        <w:topLinePunct w:val="0"/>
        <w:bidi w:val="0"/>
        <w:spacing w:line="540" w:lineRule="exact"/>
        <w:ind w:firstLine="560" w:firstLineChars="200"/>
        <w:textAlignment w:val="auto"/>
        <w:rPr>
          <w:rFonts w:ascii="宋体" w:hAnsi="宋体"/>
          <w:b/>
          <w:sz w:val="28"/>
          <w:szCs w:val="28"/>
        </w:rPr>
      </w:pPr>
      <w:r>
        <w:rPr>
          <w:rFonts w:hint="eastAsia" w:ascii="宋体" w:hAnsi="宋体"/>
          <w:b/>
          <w:sz w:val="28"/>
          <w:szCs w:val="28"/>
        </w:rPr>
        <w:t>十一、合同生效</w:t>
      </w:r>
    </w:p>
    <w:p w14:paraId="65F69BF7">
      <w:pPr>
        <w:keepNext w:val="0"/>
        <w:keepLines w:val="0"/>
        <w:pageBreakBefore w:val="0"/>
        <w:kinsoku/>
        <w:wordWrap/>
        <w:overflowPunct/>
        <w:topLinePunct w:val="0"/>
        <w:bidi w:val="0"/>
        <w:adjustRightInd w:val="0"/>
        <w:snapToGrid w:val="0"/>
        <w:spacing w:line="540" w:lineRule="exact"/>
        <w:ind w:firstLine="560" w:firstLineChars="200"/>
        <w:textAlignment w:val="auto"/>
        <w:rPr>
          <w:rFonts w:ascii="宋体" w:hAnsi="宋体"/>
          <w:sz w:val="28"/>
          <w:szCs w:val="28"/>
        </w:rPr>
      </w:pPr>
      <w:r>
        <w:rPr>
          <w:rFonts w:hint="eastAsia" w:ascii="宋体" w:hAnsi="宋体"/>
          <w:sz w:val="28"/>
          <w:szCs w:val="28"/>
        </w:rPr>
        <w:t>本合同双方签订之日起生效。本合同一式</w:t>
      </w:r>
      <w:r>
        <w:rPr>
          <w:rFonts w:hint="eastAsia" w:ascii="宋体" w:hAnsi="宋体"/>
          <w:sz w:val="28"/>
          <w:szCs w:val="28"/>
          <w:lang w:val="en-US" w:eastAsia="zh-CN"/>
        </w:rPr>
        <w:t>陆</w:t>
      </w:r>
      <w:r>
        <w:rPr>
          <w:rFonts w:hint="eastAsia" w:ascii="宋体" w:hAnsi="宋体"/>
          <w:sz w:val="28"/>
          <w:szCs w:val="28"/>
        </w:rPr>
        <w:t>份，甲方</w:t>
      </w:r>
      <w:r>
        <w:rPr>
          <w:rFonts w:hint="eastAsia" w:ascii="宋体" w:hAnsi="宋体"/>
          <w:sz w:val="28"/>
          <w:szCs w:val="28"/>
          <w:lang w:val="en-US" w:eastAsia="zh-CN"/>
        </w:rPr>
        <w:t>肆</w:t>
      </w:r>
      <w:r>
        <w:rPr>
          <w:rFonts w:hint="eastAsia" w:ascii="宋体" w:hAnsi="宋体"/>
          <w:sz w:val="28"/>
          <w:szCs w:val="28"/>
        </w:rPr>
        <w:t>份、乙方</w:t>
      </w:r>
      <w:r>
        <w:rPr>
          <w:rFonts w:hint="eastAsia" w:ascii="宋体" w:hAnsi="宋体"/>
          <w:sz w:val="28"/>
          <w:szCs w:val="28"/>
          <w:lang w:val="en-US" w:eastAsia="zh-CN"/>
        </w:rPr>
        <w:t>贰</w:t>
      </w:r>
      <w:r>
        <w:rPr>
          <w:rFonts w:hint="eastAsia" w:ascii="宋体" w:hAnsi="宋体"/>
          <w:sz w:val="28"/>
          <w:szCs w:val="28"/>
        </w:rPr>
        <w:t>份，均具同等法律效力。以下文件是本合同的组成部分，如下述文件之间有任何抵触、矛盾或歧义，应按以下顺序解释：</w:t>
      </w:r>
    </w:p>
    <w:p w14:paraId="0A77233A">
      <w:pPr>
        <w:keepNext w:val="0"/>
        <w:keepLines w:val="0"/>
        <w:pageBreakBefore w:val="0"/>
        <w:kinsoku/>
        <w:wordWrap/>
        <w:overflowPunct/>
        <w:topLinePunct w:val="0"/>
        <w:bidi w:val="0"/>
        <w:adjustRightInd w:val="0"/>
        <w:snapToGrid w:val="0"/>
        <w:spacing w:line="540" w:lineRule="exact"/>
        <w:ind w:firstLine="560" w:firstLineChars="200"/>
        <w:textAlignment w:val="auto"/>
        <w:rPr>
          <w:rFonts w:ascii="宋体" w:hAnsi="宋体"/>
          <w:sz w:val="28"/>
          <w:szCs w:val="28"/>
        </w:rPr>
      </w:pPr>
      <w:r>
        <w:rPr>
          <w:rFonts w:hint="eastAsia" w:ascii="宋体" w:hAnsi="宋体"/>
          <w:sz w:val="28"/>
          <w:szCs w:val="28"/>
        </w:rPr>
        <w:t>（1）本合同签订后，在采购或合同履行过程中乙方作出的承诺以及双方协商达成的变更或补充协议</w:t>
      </w:r>
    </w:p>
    <w:p w14:paraId="0FC73FF4">
      <w:pPr>
        <w:keepNext w:val="0"/>
        <w:keepLines w:val="0"/>
        <w:pageBreakBefore w:val="0"/>
        <w:kinsoku/>
        <w:wordWrap/>
        <w:overflowPunct/>
        <w:topLinePunct w:val="0"/>
        <w:bidi w:val="0"/>
        <w:adjustRightInd w:val="0"/>
        <w:snapToGrid w:val="0"/>
        <w:spacing w:line="540" w:lineRule="exact"/>
        <w:ind w:firstLine="560" w:firstLineChars="200"/>
        <w:textAlignment w:val="auto"/>
        <w:rPr>
          <w:rFonts w:ascii="宋体" w:hAnsi="宋体"/>
          <w:sz w:val="28"/>
          <w:szCs w:val="28"/>
        </w:rPr>
      </w:pPr>
      <w:r>
        <w:rPr>
          <w:rFonts w:hint="eastAsia" w:ascii="宋体" w:hAnsi="宋体"/>
          <w:sz w:val="28"/>
          <w:szCs w:val="28"/>
        </w:rPr>
        <w:t>（2）本合同协议书</w:t>
      </w:r>
      <w:r>
        <w:rPr>
          <w:rFonts w:hint="eastAsia" w:ascii="宋体" w:hAnsi="宋体"/>
          <w:color w:val="000000"/>
          <w:sz w:val="28"/>
          <w:szCs w:val="28"/>
        </w:rPr>
        <w:t>及附件</w:t>
      </w:r>
    </w:p>
    <w:p w14:paraId="73AAA1E6">
      <w:pPr>
        <w:keepNext w:val="0"/>
        <w:keepLines w:val="0"/>
        <w:pageBreakBefore w:val="0"/>
        <w:kinsoku/>
        <w:wordWrap/>
        <w:overflowPunct/>
        <w:topLinePunct w:val="0"/>
        <w:bidi w:val="0"/>
        <w:adjustRightInd w:val="0"/>
        <w:snapToGrid w:val="0"/>
        <w:spacing w:line="540" w:lineRule="exact"/>
        <w:ind w:firstLine="560" w:firstLineChars="200"/>
        <w:textAlignment w:val="auto"/>
        <w:rPr>
          <w:rFonts w:ascii="宋体" w:hAnsi="宋体"/>
          <w:sz w:val="28"/>
          <w:szCs w:val="28"/>
        </w:rPr>
      </w:pPr>
      <w:r>
        <w:rPr>
          <w:rFonts w:hint="eastAsia" w:ascii="宋体" w:hAnsi="宋体"/>
          <w:sz w:val="28"/>
          <w:szCs w:val="28"/>
        </w:rPr>
        <w:t>（3）中标或成交通知书</w:t>
      </w:r>
    </w:p>
    <w:p w14:paraId="0E5BD70D">
      <w:pPr>
        <w:keepNext w:val="0"/>
        <w:keepLines w:val="0"/>
        <w:pageBreakBefore w:val="0"/>
        <w:kinsoku/>
        <w:wordWrap/>
        <w:overflowPunct/>
        <w:topLinePunct w:val="0"/>
        <w:bidi w:val="0"/>
        <w:adjustRightInd w:val="0"/>
        <w:snapToGrid w:val="0"/>
        <w:spacing w:line="540" w:lineRule="exact"/>
        <w:ind w:firstLine="560" w:firstLineChars="200"/>
        <w:textAlignment w:val="auto"/>
        <w:rPr>
          <w:rFonts w:ascii="宋体" w:hAnsi="宋体"/>
          <w:sz w:val="28"/>
          <w:szCs w:val="28"/>
        </w:rPr>
      </w:pPr>
      <w:r>
        <w:rPr>
          <w:rFonts w:hint="eastAsia" w:ascii="宋体" w:hAnsi="宋体"/>
          <w:sz w:val="28"/>
          <w:szCs w:val="28"/>
        </w:rPr>
        <w:t>（4）政府采购合同格式条款</w:t>
      </w:r>
    </w:p>
    <w:p w14:paraId="7B0E2C71">
      <w:pPr>
        <w:keepNext w:val="0"/>
        <w:keepLines w:val="0"/>
        <w:pageBreakBefore w:val="0"/>
        <w:kinsoku/>
        <w:wordWrap/>
        <w:overflowPunct/>
        <w:topLinePunct w:val="0"/>
        <w:bidi w:val="0"/>
        <w:adjustRightInd w:val="0"/>
        <w:snapToGrid w:val="0"/>
        <w:spacing w:line="540" w:lineRule="exact"/>
        <w:ind w:firstLine="560" w:firstLineChars="200"/>
        <w:textAlignment w:val="auto"/>
        <w:rPr>
          <w:rFonts w:ascii="宋体" w:hAnsi="宋体"/>
          <w:sz w:val="28"/>
          <w:szCs w:val="28"/>
        </w:rPr>
      </w:pPr>
      <w:r>
        <w:rPr>
          <w:rFonts w:hint="eastAsia" w:ascii="宋体" w:hAnsi="宋体"/>
          <w:sz w:val="28"/>
          <w:szCs w:val="28"/>
        </w:rPr>
        <w:t>（5）投标文件</w:t>
      </w:r>
    </w:p>
    <w:p w14:paraId="288EEDE0">
      <w:pPr>
        <w:keepNext w:val="0"/>
        <w:keepLines w:val="0"/>
        <w:pageBreakBefore w:val="0"/>
        <w:kinsoku/>
        <w:wordWrap/>
        <w:overflowPunct/>
        <w:topLinePunct w:val="0"/>
        <w:bidi w:val="0"/>
        <w:adjustRightInd w:val="0"/>
        <w:snapToGrid w:val="0"/>
        <w:spacing w:line="540" w:lineRule="exact"/>
        <w:ind w:firstLine="560" w:firstLineChars="200"/>
        <w:textAlignment w:val="auto"/>
        <w:rPr>
          <w:rFonts w:ascii="宋体" w:hAnsi="宋体"/>
          <w:sz w:val="28"/>
          <w:szCs w:val="28"/>
        </w:rPr>
      </w:pPr>
      <w:r>
        <w:rPr>
          <w:rFonts w:hint="eastAsia" w:ascii="宋体" w:hAnsi="宋体"/>
          <w:sz w:val="28"/>
          <w:szCs w:val="28"/>
        </w:rPr>
        <w:t>（6）招标文件</w:t>
      </w:r>
    </w:p>
    <w:p w14:paraId="35A1270C">
      <w:pPr>
        <w:keepNext w:val="0"/>
        <w:keepLines w:val="0"/>
        <w:pageBreakBefore w:val="0"/>
        <w:kinsoku/>
        <w:wordWrap/>
        <w:overflowPunct/>
        <w:topLinePunct w:val="0"/>
        <w:bidi w:val="0"/>
        <w:spacing w:line="540" w:lineRule="exact"/>
        <w:ind w:firstLine="560" w:firstLineChars="200"/>
        <w:textAlignment w:val="auto"/>
        <w:rPr>
          <w:rFonts w:ascii="宋体" w:hAnsi="宋体"/>
          <w:sz w:val="28"/>
          <w:szCs w:val="28"/>
        </w:rPr>
      </w:pPr>
      <w:r>
        <w:rPr>
          <w:rFonts w:hint="eastAsia" w:ascii="宋体" w:hAnsi="宋体"/>
          <w:sz w:val="28"/>
          <w:szCs w:val="28"/>
        </w:rPr>
        <w:t>（7）标准、规范及有关技术文件</w:t>
      </w:r>
    </w:p>
    <w:p w14:paraId="40A5536B">
      <w:pPr>
        <w:keepNext w:val="0"/>
        <w:keepLines w:val="0"/>
        <w:pageBreakBefore w:val="0"/>
        <w:kinsoku/>
        <w:wordWrap/>
        <w:overflowPunct/>
        <w:topLinePunct w:val="0"/>
        <w:bidi w:val="0"/>
        <w:adjustRightInd w:val="0"/>
        <w:snapToGrid w:val="0"/>
        <w:spacing w:line="540" w:lineRule="exact"/>
        <w:textAlignment w:val="auto"/>
        <w:rPr>
          <w:rFonts w:hint="eastAsia" w:ascii="宋体" w:hAnsi="宋体"/>
          <w:b/>
          <w:sz w:val="28"/>
          <w:szCs w:val="28"/>
        </w:rPr>
      </w:pPr>
    </w:p>
    <w:p w14:paraId="000122B2">
      <w:pPr>
        <w:keepNext w:val="0"/>
        <w:keepLines w:val="0"/>
        <w:pageBreakBefore w:val="0"/>
        <w:kinsoku/>
        <w:wordWrap/>
        <w:overflowPunct/>
        <w:topLinePunct w:val="0"/>
        <w:bidi w:val="0"/>
        <w:adjustRightInd w:val="0"/>
        <w:snapToGrid w:val="0"/>
        <w:spacing w:line="540" w:lineRule="exact"/>
        <w:ind w:firstLine="560" w:firstLineChars="200"/>
        <w:textAlignment w:val="auto"/>
        <w:rPr>
          <w:rFonts w:ascii="宋体" w:hAnsi="宋体"/>
          <w:sz w:val="28"/>
          <w:szCs w:val="28"/>
        </w:rPr>
      </w:pPr>
      <w:r>
        <w:rPr>
          <w:rFonts w:hint="eastAsia" w:ascii="宋体" w:hAnsi="宋体"/>
          <w:b/>
          <w:sz w:val="28"/>
          <w:szCs w:val="28"/>
        </w:rPr>
        <w:t>十二</w:t>
      </w:r>
      <w:r>
        <w:rPr>
          <w:rFonts w:hint="eastAsia" w:ascii="宋体" w:hAnsi="宋体"/>
          <w:sz w:val="28"/>
          <w:szCs w:val="28"/>
        </w:rPr>
        <w:t>、本协议明确的双方地址非经书面变更，为法律、非法律文书送达地址及产品送达地址。本协议明确的委托代理人，即合同洽谈、签订、履行的联系人。</w:t>
      </w:r>
    </w:p>
    <w:p w14:paraId="0E7808D4">
      <w:pPr>
        <w:keepNext w:val="0"/>
        <w:keepLines w:val="0"/>
        <w:pageBreakBefore w:val="0"/>
        <w:kinsoku/>
        <w:wordWrap/>
        <w:overflowPunct/>
        <w:topLinePunct w:val="0"/>
        <w:bidi w:val="0"/>
        <w:spacing w:line="540" w:lineRule="exact"/>
        <w:textAlignment w:val="auto"/>
        <w:rPr>
          <w:rFonts w:ascii="宋体" w:hAnsi="宋体"/>
          <w:sz w:val="28"/>
          <w:szCs w:val="28"/>
        </w:rPr>
      </w:pPr>
    </w:p>
    <w:p w14:paraId="28ADA11B">
      <w:pPr>
        <w:keepNext w:val="0"/>
        <w:keepLines w:val="0"/>
        <w:pageBreakBefore w:val="0"/>
        <w:kinsoku/>
        <w:wordWrap/>
        <w:overflowPunct/>
        <w:topLinePunct w:val="0"/>
        <w:bidi w:val="0"/>
        <w:spacing w:line="540" w:lineRule="exact"/>
        <w:textAlignment w:val="auto"/>
        <w:rPr>
          <w:rFonts w:ascii="宋体" w:hAnsi="宋体"/>
          <w:sz w:val="28"/>
          <w:szCs w:val="28"/>
        </w:rPr>
      </w:pPr>
    </w:p>
    <w:p w14:paraId="3D0DC0FA">
      <w:pPr>
        <w:keepNext w:val="0"/>
        <w:keepLines w:val="0"/>
        <w:pageBreakBefore w:val="0"/>
        <w:kinsoku/>
        <w:wordWrap/>
        <w:overflowPunct/>
        <w:topLinePunct w:val="0"/>
        <w:bidi w:val="0"/>
        <w:spacing w:line="540" w:lineRule="exact"/>
        <w:textAlignment w:val="auto"/>
        <w:rPr>
          <w:rFonts w:ascii="宋体" w:hAnsi="宋体"/>
          <w:sz w:val="28"/>
          <w:szCs w:val="28"/>
        </w:rPr>
      </w:pPr>
      <w:r>
        <w:rPr>
          <w:rFonts w:hint="eastAsia" w:ascii="宋体" w:hAnsi="宋体"/>
          <w:sz w:val="28"/>
          <w:szCs w:val="28"/>
        </w:rPr>
        <w:t>甲方（</w:t>
      </w:r>
      <w:r>
        <w:rPr>
          <w:rFonts w:hint="eastAsia" w:ascii="宋体" w:hAnsi="宋体"/>
          <w:sz w:val="28"/>
          <w:szCs w:val="28"/>
          <w:lang w:val="en-US" w:eastAsia="zh-CN"/>
        </w:rPr>
        <w:t>盖</w:t>
      </w:r>
      <w:r>
        <w:rPr>
          <w:rFonts w:hint="eastAsia" w:ascii="宋体" w:hAnsi="宋体"/>
          <w:sz w:val="28"/>
          <w:szCs w:val="28"/>
        </w:rPr>
        <w:t>章）：                       乙方（</w:t>
      </w:r>
      <w:r>
        <w:rPr>
          <w:rFonts w:hint="eastAsia" w:ascii="宋体" w:hAnsi="宋体"/>
          <w:sz w:val="28"/>
          <w:szCs w:val="28"/>
          <w:lang w:val="en-US" w:eastAsia="zh-CN"/>
        </w:rPr>
        <w:t>盖</w:t>
      </w:r>
      <w:r>
        <w:rPr>
          <w:rFonts w:hint="eastAsia" w:ascii="宋体" w:hAnsi="宋体"/>
          <w:sz w:val="28"/>
          <w:szCs w:val="28"/>
        </w:rPr>
        <w:t>章）：</w:t>
      </w:r>
    </w:p>
    <w:p w14:paraId="36593CD5">
      <w:pPr>
        <w:keepNext w:val="0"/>
        <w:keepLines w:val="0"/>
        <w:pageBreakBefore w:val="0"/>
        <w:kinsoku/>
        <w:wordWrap/>
        <w:overflowPunct/>
        <w:topLinePunct w:val="0"/>
        <w:bidi w:val="0"/>
        <w:spacing w:line="540" w:lineRule="exact"/>
        <w:textAlignment w:val="auto"/>
        <w:rPr>
          <w:rFonts w:ascii="宋体" w:hAnsi="宋体"/>
          <w:sz w:val="28"/>
          <w:szCs w:val="28"/>
        </w:rPr>
      </w:pPr>
    </w:p>
    <w:p w14:paraId="19D10333">
      <w:pPr>
        <w:keepNext w:val="0"/>
        <w:keepLines w:val="0"/>
        <w:pageBreakBefore w:val="0"/>
        <w:kinsoku/>
        <w:wordWrap/>
        <w:overflowPunct/>
        <w:topLinePunct w:val="0"/>
        <w:bidi w:val="0"/>
        <w:spacing w:line="540" w:lineRule="exact"/>
        <w:ind w:left="257" w:firstLine="560" w:firstLineChars="200"/>
        <w:textAlignment w:val="auto"/>
        <w:rPr>
          <w:rFonts w:hint="eastAsia" w:ascii="宋体" w:hAnsi="宋体"/>
          <w:sz w:val="28"/>
          <w:szCs w:val="28"/>
        </w:rPr>
      </w:pPr>
      <w:r>
        <w:rPr>
          <w:rFonts w:hint="eastAsia" w:ascii="宋体" w:hAnsi="宋体"/>
          <w:sz w:val="28"/>
          <w:szCs w:val="28"/>
        </w:rPr>
        <w:t xml:space="preserve">                                   </w:t>
      </w:r>
    </w:p>
    <w:p w14:paraId="42346BE3">
      <w:pPr>
        <w:keepNext w:val="0"/>
        <w:keepLines w:val="0"/>
        <w:pageBreakBefore w:val="0"/>
        <w:kinsoku/>
        <w:wordWrap/>
        <w:overflowPunct/>
        <w:topLinePunct w:val="0"/>
        <w:bidi w:val="0"/>
        <w:spacing w:line="540" w:lineRule="exact"/>
        <w:textAlignment w:val="auto"/>
        <w:rPr>
          <w:rFonts w:ascii="宋体" w:hAnsi="宋体"/>
          <w:sz w:val="28"/>
          <w:szCs w:val="28"/>
        </w:rPr>
      </w:pPr>
      <w:r>
        <w:rPr>
          <w:rFonts w:hint="eastAsia" w:ascii="宋体" w:hAnsi="宋体"/>
          <w:sz w:val="28"/>
          <w:szCs w:val="28"/>
        </w:rPr>
        <w:t>法定代表人</w:t>
      </w:r>
      <w:r>
        <w:rPr>
          <w:rFonts w:hint="eastAsia" w:ascii="宋体" w:hAnsi="宋体"/>
          <w:sz w:val="28"/>
          <w:szCs w:val="28"/>
          <w:lang w:val="en-US" w:eastAsia="zh-CN"/>
        </w:rPr>
        <w:t>或授权代表</w:t>
      </w:r>
      <w:r>
        <w:rPr>
          <w:rFonts w:hint="eastAsia" w:ascii="宋体" w:hAnsi="宋体"/>
          <w:sz w:val="28"/>
          <w:szCs w:val="28"/>
        </w:rPr>
        <w:t>：</w:t>
      </w:r>
      <w:r>
        <w:rPr>
          <w:rFonts w:hint="eastAsia" w:ascii="宋体" w:hAnsi="宋体"/>
          <w:sz w:val="28"/>
          <w:szCs w:val="28"/>
          <w:lang w:val="en-US" w:eastAsia="zh-CN"/>
        </w:rPr>
        <w:t xml:space="preserve">             </w:t>
      </w:r>
      <w:r>
        <w:rPr>
          <w:rFonts w:hint="eastAsia" w:ascii="宋体" w:hAnsi="宋体"/>
          <w:sz w:val="28"/>
          <w:szCs w:val="28"/>
        </w:rPr>
        <w:t>法</w:t>
      </w:r>
      <w:r>
        <w:rPr>
          <w:rFonts w:hint="eastAsia" w:ascii="宋体" w:hAnsi="宋体"/>
          <w:sz w:val="28"/>
          <w:szCs w:val="28"/>
          <w:lang w:val="en-US" w:eastAsia="zh-CN"/>
        </w:rPr>
        <w:t>定</w:t>
      </w:r>
      <w:r>
        <w:rPr>
          <w:rFonts w:hint="eastAsia" w:ascii="宋体" w:hAnsi="宋体"/>
          <w:sz w:val="28"/>
          <w:szCs w:val="28"/>
        </w:rPr>
        <w:t>代表</w:t>
      </w:r>
      <w:r>
        <w:rPr>
          <w:rFonts w:hint="eastAsia" w:ascii="宋体" w:hAnsi="宋体"/>
          <w:sz w:val="28"/>
          <w:szCs w:val="28"/>
          <w:lang w:val="en-US" w:eastAsia="zh-CN"/>
        </w:rPr>
        <w:t>人或授权代表</w:t>
      </w:r>
      <w:r>
        <w:rPr>
          <w:rFonts w:hint="eastAsia" w:ascii="宋体" w:hAnsi="宋体"/>
          <w:sz w:val="28"/>
          <w:szCs w:val="28"/>
        </w:rPr>
        <w:t>：</w:t>
      </w:r>
    </w:p>
    <w:p w14:paraId="2DBD04CA">
      <w:pPr>
        <w:keepNext w:val="0"/>
        <w:keepLines w:val="0"/>
        <w:pageBreakBefore w:val="0"/>
        <w:kinsoku/>
        <w:wordWrap/>
        <w:overflowPunct/>
        <w:topLinePunct w:val="0"/>
        <w:bidi w:val="0"/>
        <w:spacing w:line="540" w:lineRule="exact"/>
        <w:textAlignment w:val="auto"/>
        <w:rPr>
          <w:rFonts w:ascii="宋体" w:hAnsi="宋体"/>
          <w:sz w:val="28"/>
          <w:szCs w:val="28"/>
        </w:rPr>
      </w:pPr>
      <w:r>
        <w:rPr>
          <w:rFonts w:hint="eastAsia" w:ascii="宋体" w:hAnsi="宋体"/>
          <w:sz w:val="28"/>
          <w:szCs w:val="28"/>
        </w:rPr>
        <w:t xml:space="preserve">                             </w:t>
      </w:r>
    </w:p>
    <w:p w14:paraId="2925E13A">
      <w:pPr>
        <w:keepNext w:val="0"/>
        <w:keepLines w:val="0"/>
        <w:pageBreakBefore w:val="0"/>
        <w:kinsoku/>
        <w:wordWrap/>
        <w:overflowPunct/>
        <w:topLinePunct w:val="0"/>
        <w:bidi w:val="0"/>
        <w:spacing w:line="540" w:lineRule="exact"/>
        <w:ind w:left="256" w:leftChars="122" w:firstLine="840" w:firstLineChars="300"/>
        <w:textAlignment w:val="auto"/>
        <w:rPr>
          <w:rFonts w:ascii="宋体" w:hAnsi="宋体"/>
          <w:sz w:val="28"/>
          <w:szCs w:val="28"/>
        </w:rPr>
      </w:pPr>
      <w:r>
        <w:rPr>
          <w:rFonts w:hint="eastAsia" w:ascii="宋体" w:hAnsi="宋体"/>
          <w:sz w:val="28"/>
          <w:szCs w:val="28"/>
        </w:rPr>
        <w:t xml:space="preserve">                         </w:t>
      </w:r>
      <w:r>
        <w:rPr>
          <w:rFonts w:hint="eastAsia" w:ascii="宋体" w:hAnsi="宋体"/>
          <w:sz w:val="28"/>
          <w:szCs w:val="28"/>
          <w:lang w:val="en-US" w:eastAsia="zh-CN"/>
        </w:rPr>
        <w:t xml:space="preserve">   </w:t>
      </w:r>
      <w:r>
        <w:rPr>
          <w:rFonts w:hint="eastAsia" w:ascii="宋体" w:hAnsi="宋体"/>
          <w:sz w:val="28"/>
          <w:szCs w:val="28"/>
        </w:rPr>
        <w:t xml:space="preserve">地  址： </w:t>
      </w:r>
    </w:p>
    <w:p w14:paraId="78D518DE">
      <w:pPr>
        <w:keepNext w:val="0"/>
        <w:keepLines w:val="0"/>
        <w:pageBreakBefore w:val="0"/>
        <w:kinsoku/>
        <w:wordWrap/>
        <w:overflowPunct/>
        <w:topLinePunct w:val="0"/>
        <w:bidi w:val="0"/>
        <w:spacing w:line="540" w:lineRule="exact"/>
        <w:textAlignment w:val="auto"/>
        <w:rPr>
          <w:rFonts w:ascii="宋体" w:hAnsi="宋体"/>
          <w:sz w:val="28"/>
          <w:szCs w:val="28"/>
        </w:rPr>
      </w:pPr>
      <w:r>
        <w:rPr>
          <w:rFonts w:hint="eastAsia" w:ascii="宋体" w:hAnsi="宋体"/>
          <w:sz w:val="28"/>
          <w:szCs w:val="28"/>
          <w:lang w:val="en-US" w:eastAsia="zh-CN"/>
        </w:rPr>
        <w:t xml:space="preserve"> </w:t>
      </w:r>
      <w:r>
        <w:rPr>
          <w:rFonts w:hint="eastAsia" w:ascii="宋体" w:hAnsi="宋体"/>
          <w:sz w:val="28"/>
          <w:szCs w:val="28"/>
        </w:rPr>
        <w:t xml:space="preserve">                             </w:t>
      </w:r>
      <w:r>
        <w:rPr>
          <w:rFonts w:hint="eastAsia" w:ascii="宋体" w:hAnsi="宋体"/>
          <w:sz w:val="28"/>
          <w:szCs w:val="28"/>
          <w:lang w:val="en-US" w:eastAsia="zh-CN"/>
        </w:rPr>
        <w:t xml:space="preserve">      </w:t>
      </w:r>
      <w:r>
        <w:rPr>
          <w:rFonts w:hint="eastAsia" w:ascii="宋体" w:hAnsi="宋体"/>
          <w:sz w:val="28"/>
          <w:szCs w:val="28"/>
        </w:rPr>
        <w:t>电  话：</w:t>
      </w:r>
    </w:p>
    <w:p w14:paraId="104C5AAA">
      <w:pPr>
        <w:keepNext w:val="0"/>
        <w:keepLines w:val="0"/>
        <w:pageBreakBefore w:val="0"/>
        <w:kinsoku/>
        <w:wordWrap/>
        <w:overflowPunct/>
        <w:topLinePunct w:val="0"/>
        <w:bidi w:val="0"/>
        <w:spacing w:line="540" w:lineRule="exact"/>
        <w:ind w:left="256" w:leftChars="122" w:firstLine="840" w:firstLineChars="300"/>
        <w:textAlignment w:val="auto"/>
        <w:rPr>
          <w:rFonts w:ascii="宋体" w:hAnsi="宋体"/>
          <w:sz w:val="28"/>
          <w:szCs w:val="28"/>
        </w:rPr>
      </w:pPr>
      <w:r>
        <w:rPr>
          <w:rFonts w:hint="eastAsia" w:ascii="宋体" w:hAnsi="宋体"/>
          <w:sz w:val="28"/>
          <w:szCs w:val="28"/>
        </w:rPr>
        <w:t xml:space="preserve">                            帐  号：</w:t>
      </w:r>
    </w:p>
    <w:p w14:paraId="678EB177">
      <w:pPr>
        <w:keepNext w:val="0"/>
        <w:keepLines w:val="0"/>
        <w:pageBreakBefore w:val="0"/>
        <w:kinsoku/>
        <w:wordWrap/>
        <w:overflowPunct/>
        <w:topLinePunct w:val="0"/>
        <w:bidi w:val="0"/>
        <w:spacing w:line="540" w:lineRule="exact"/>
        <w:ind w:left="257" w:firstLine="560" w:firstLineChars="200"/>
        <w:textAlignment w:val="auto"/>
        <w:rPr>
          <w:rFonts w:ascii="宋体" w:hAnsi="宋体"/>
          <w:sz w:val="28"/>
          <w:szCs w:val="28"/>
        </w:rPr>
      </w:pPr>
      <w:r>
        <w:rPr>
          <w:rFonts w:hint="eastAsia" w:ascii="宋体" w:hAnsi="宋体"/>
          <w:sz w:val="28"/>
          <w:szCs w:val="28"/>
        </w:rPr>
        <w:t xml:space="preserve">                              开户行： </w:t>
      </w:r>
    </w:p>
    <w:p w14:paraId="35D193C4">
      <w:pPr>
        <w:keepNext w:val="0"/>
        <w:keepLines w:val="0"/>
        <w:pageBreakBefore w:val="0"/>
        <w:kinsoku/>
        <w:wordWrap/>
        <w:overflowPunct/>
        <w:topLinePunct w:val="0"/>
        <w:bidi w:val="0"/>
        <w:spacing w:line="540" w:lineRule="exact"/>
        <w:ind w:firstLine="5880" w:firstLineChars="2100"/>
        <w:textAlignment w:val="auto"/>
        <w:rPr>
          <w:rFonts w:ascii="宋体" w:hAnsi="宋体"/>
          <w:sz w:val="28"/>
          <w:szCs w:val="28"/>
        </w:rPr>
      </w:pPr>
    </w:p>
    <w:p w14:paraId="7D8B4787">
      <w:pPr>
        <w:keepNext w:val="0"/>
        <w:keepLines w:val="0"/>
        <w:pageBreakBefore w:val="0"/>
        <w:kinsoku/>
        <w:wordWrap/>
        <w:overflowPunct/>
        <w:topLinePunct w:val="0"/>
        <w:bidi w:val="0"/>
        <w:spacing w:line="540" w:lineRule="exact"/>
        <w:jc w:val="right"/>
        <w:textAlignment w:val="auto"/>
        <w:rPr>
          <w:rFonts w:ascii="宋体" w:hAnsi="宋体"/>
          <w:sz w:val="28"/>
          <w:szCs w:val="28"/>
        </w:rPr>
      </w:pPr>
      <w:r>
        <w:rPr>
          <w:rFonts w:hint="eastAsia" w:ascii="宋体" w:hAnsi="宋体"/>
          <w:sz w:val="28"/>
          <w:szCs w:val="28"/>
        </w:rPr>
        <w:t>年</w:t>
      </w:r>
      <w:r>
        <w:rPr>
          <w:rFonts w:hint="eastAsia" w:ascii="宋体" w:hAnsi="宋体"/>
          <w:sz w:val="28"/>
          <w:szCs w:val="28"/>
          <w:lang w:val="en-US" w:eastAsia="zh-CN"/>
        </w:rPr>
        <w:t xml:space="preserve">   </w:t>
      </w:r>
      <w:r>
        <w:rPr>
          <w:rFonts w:hint="eastAsia" w:ascii="宋体" w:hAnsi="宋体"/>
          <w:sz w:val="28"/>
          <w:szCs w:val="28"/>
        </w:rPr>
        <w:t>月</w:t>
      </w:r>
      <w:r>
        <w:rPr>
          <w:rFonts w:hint="eastAsia" w:ascii="宋体" w:hAnsi="宋体"/>
          <w:sz w:val="28"/>
          <w:szCs w:val="28"/>
          <w:lang w:val="en-US" w:eastAsia="zh-CN"/>
        </w:rPr>
        <w:t xml:space="preserve">     </w:t>
      </w:r>
      <w:r>
        <w:rPr>
          <w:rFonts w:hint="eastAsia" w:ascii="宋体" w:hAnsi="宋体"/>
          <w:sz w:val="28"/>
          <w:szCs w:val="28"/>
        </w:rPr>
        <w:t>日</w:t>
      </w:r>
    </w:p>
    <w:p w14:paraId="713693EC">
      <w:pPr>
        <w:keepNext w:val="0"/>
        <w:keepLines w:val="0"/>
        <w:pageBreakBefore w:val="0"/>
        <w:kinsoku/>
        <w:wordWrap/>
        <w:overflowPunct/>
        <w:topLinePunct w:val="0"/>
        <w:bidi w:val="0"/>
        <w:spacing w:line="540" w:lineRule="exact"/>
        <w:textAlignment w:val="auto"/>
        <w:rPr>
          <w:rFonts w:ascii="宋体" w:hAnsi="宋体"/>
          <w:b/>
          <w:color w:val="000000"/>
          <w:sz w:val="28"/>
          <w:szCs w:val="28"/>
        </w:rPr>
      </w:pPr>
    </w:p>
    <w:p w14:paraId="596CBEAD">
      <w:pPr>
        <w:keepNext w:val="0"/>
        <w:keepLines w:val="0"/>
        <w:pageBreakBefore w:val="0"/>
        <w:kinsoku/>
        <w:wordWrap/>
        <w:overflowPunct/>
        <w:topLinePunct w:val="0"/>
        <w:bidi w:val="0"/>
        <w:spacing w:line="540" w:lineRule="exact"/>
        <w:textAlignment w:val="auto"/>
        <w:rPr>
          <w:rFonts w:ascii="宋体" w:hAnsi="宋体"/>
          <w:b/>
          <w:color w:val="000000"/>
          <w:sz w:val="24"/>
        </w:rPr>
      </w:pPr>
    </w:p>
    <w:p w14:paraId="1041250E">
      <w:pPr>
        <w:keepNext w:val="0"/>
        <w:keepLines w:val="0"/>
        <w:pageBreakBefore w:val="0"/>
        <w:kinsoku/>
        <w:wordWrap/>
        <w:overflowPunct/>
        <w:topLinePunct w:val="0"/>
        <w:bidi w:val="0"/>
        <w:spacing w:line="540" w:lineRule="exact"/>
        <w:textAlignment w:val="auto"/>
        <w:rPr>
          <w:rFonts w:ascii="宋体" w:hAnsi="宋体"/>
          <w:b/>
          <w:color w:val="000000"/>
          <w:sz w:val="24"/>
        </w:rPr>
      </w:pPr>
    </w:p>
    <w:p w14:paraId="1E39E828">
      <w:pPr>
        <w:keepNext w:val="0"/>
        <w:keepLines w:val="0"/>
        <w:pageBreakBefore w:val="0"/>
        <w:kinsoku/>
        <w:wordWrap/>
        <w:overflowPunct/>
        <w:topLinePunct w:val="0"/>
        <w:bidi w:val="0"/>
        <w:spacing w:line="540" w:lineRule="exact"/>
        <w:textAlignment w:val="auto"/>
        <w:rPr>
          <w:rFonts w:ascii="宋体" w:hAnsi="宋体"/>
          <w:b/>
          <w:color w:val="000000"/>
          <w:sz w:val="24"/>
        </w:rPr>
      </w:pPr>
    </w:p>
    <w:p w14:paraId="02850608">
      <w:pPr>
        <w:keepNext w:val="0"/>
        <w:keepLines w:val="0"/>
        <w:pageBreakBefore w:val="0"/>
        <w:kinsoku/>
        <w:wordWrap/>
        <w:overflowPunct/>
        <w:topLinePunct w:val="0"/>
        <w:bidi w:val="0"/>
        <w:spacing w:line="540" w:lineRule="exact"/>
        <w:textAlignment w:val="auto"/>
        <w:rPr>
          <w:rFonts w:ascii="宋体" w:hAnsi="宋体"/>
          <w:b/>
          <w:color w:val="000000"/>
          <w:sz w:val="24"/>
        </w:rPr>
      </w:pPr>
    </w:p>
    <w:p w14:paraId="32FB44A5">
      <w:pPr>
        <w:keepNext w:val="0"/>
        <w:keepLines w:val="0"/>
        <w:pageBreakBefore w:val="0"/>
        <w:kinsoku/>
        <w:wordWrap/>
        <w:overflowPunct/>
        <w:topLinePunct w:val="0"/>
        <w:bidi w:val="0"/>
        <w:spacing w:line="540" w:lineRule="exact"/>
        <w:textAlignment w:val="auto"/>
        <w:rPr>
          <w:rFonts w:ascii="宋体" w:hAnsi="宋体"/>
          <w:b/>
          <w:color w:val="000000"/>
          <w:sz w:val="24"/>
        </w:rPr>
      </w:pPr>
    </w:p>
    <w:p w14:paraId="775510FF">
      <w:pPr>
        <w:keepNext w:val="0"/>
        <w:keepLines w:val="0"/>
        <w:pageBreakBefore w:val="0"/>
        <w:kinsoku/>
        <w:wordWrap/>
        <w:overflowPunct/>
        <w:topLinePunct w:val="0"/>
        <w:bidi w:val="0"/>
        <w:spacing w:line="540" w:lineRule="exact"/>
        <w:textAlignment w:val="auto"/>
        <w:rPr>
          <w:rFonts w:ascii="宋体" w:hAnsi="宋体"/>
          <w:b/>
          <w:color w:val="000000"/>
          <w:sz w:val="24"/>
        </w:rPr>
      </w:pPr>
    </w:p>
    <w:p w14:paraId="12F5D621">
      <w:pPr>
        <w:keepNext w:val="0"/>
        <w:keepLines w:val="0"/>
        <w:pageBreakBefore w:val="0"/>
        <w:kinsoku/>
        <w:wordWrap/>
        <w:overflowPunct/>
        <w:topLinePunct w:val="0"/>
        <w:bidi w:val="0"/>
        <w:spacing w:line="540" w:lineRule="exact"/>
        <w:textAlignment w:val="auto"/>
        <w:rPr>
          <w:rFonts w:ascii="宋体" w:hAnsi="宋体"/>
          <w:b/>
          <w:color w:val="000000"/>
          <w:sz w:val="24"/>
        </w:rPr>
      </w:pPr>
    </w:p>
    <w:p w14:paraId="08E03072">
      <w:pPr>
        <w:keepNext w:val="0"/>
        <w:keepLines w:val="0"/>
        <w:pageBreakBefore w:val="0"/>
        <w:kinsoku/>
        <w:wordWrap/>
        <w:overflowPunct/>
        <w:topLinePunct w:val="0"/>
        <w:bidi w:val="0"/>
        <w:snapToGrid w:val="0"/>
        <w:spacing w:line="540" w:lineRule="exact"/>
        <w:textAlignment w:val="auto"/>
        <w:rPr>
          <w:rFonts w:ascii="宋体" w:hAnsi="宋体"/>
          <w:b/>
          <w:sz w:val="24"/>
        </w:rPr>
      </w:pPr>
      <w:r>
        <w:rPr>
          <w:rFonts w:hint="eastAsia" w:ascii="宋体" w:hAnsi="宋体"/>
          <w:b/>
          <w:sz w:val="24"/>
        </w:rPr>
        <w:t>附表一　供货设备（产品）清单</w:t>
      </w:r>
    </w:p>
    <w:tbl>
      <w:tblPr>
        <w:tblStyle w:val="51"/>
        <w:tblW w:w="9644" w:type="dxa"/>
        <w:tblInd w:w="103" w:type="dxa"/>
        <w:tblLayout w:type="fixed"/>
        <w:tblCellMar>
          <w:top w:w="0" w:type="dxa"/>
          <w:left w:w="108" w:type="dxa"/>
          <w:bottom w:w="0" w:type="dxa"/>
          <w:right w:w="108" w:type="dxa"/>
        </w:tblCellMar>
      </w:tblPr>
      <w:tblGrid>
        <w:gridCol w:w="714"/>
        <w:gridCol w:w="708"/>
        <w:gridCol w:w="710"/>
        <w:gridCol w:w="2409"/>
        <w:gridCol w:w="993"/>
        <w:gridCol w:w="850"/>
        <w:gridCol w:w="992"/>
        <w:gridCol w:w="1134"/>
        <w:gridCol w:w="1134"/>
      </w:tblGrid>
      <w:tr w14:paraId="410C2FCA">
        <w:tblPrEx>
          <w:tblCellMar>
            <w:top w:w="0" w:type="dxa"/>
            <w:left w:w="108" w:type="dxa"/>
            <w:bottom w:w="0" w:type="dxa"/>
            <w:right w:w="108" w:type="dxa"/>
          </w:tblCellMar>
        </w:tblPrEx>
        <w:trPr>
          <w:trHeight w:val="913" w:hRule="atLeast"/>
        </w:trPr>
        <w:tc>
          <w:tcPr>
            <w:tcW w:w="714" w:type="dxa"/>
            <w:tcBorders>
              <w:top w:val="single" w:color="auto" w:sz="4" w:space="0"/>
              <w:left w:val="single" w:color="auto" w:sz="4" w:space="0"/>
              <w:bottom w:val="single" w:color="auto" w:sz="4" w:space="0"/>
              <w:right w:val="single" w:color="auto" w:sz="4" w:space="0"/>
            </w:tcBorders>
            <w:noWrap/>
            <w:vAlign w:val="center"/>
          </w:tcPr>
          <w:p w14:paraId="72A77348">
            <w:pPr>
              <w:keepNext w:val="0"/>
              <w:keepLines w:val="0"/>
              <w:pageBreakBefore w:val="0"/>
              <w:widowControl/>
              <w:kinsoku/>
              <w:wordWrap/>
              <w:overflowPunct/>
              <w:topLinePunct w:val="0"/>
              <w:bidi w:val="0"/>
              <w:spacing w:line="540" w:lineRule="exact"/>
              <w:jc w:val="center"/>
              <w:textAlignment w:val="auto"/>
              <w:rPr>
                <w:rFonts w:ascii="宋体" w:hAnsi="宋体"/>
                <w:b/>
                <w:bCs/>
                <w:kern w:val="0"/>
              </w:rPr>
            </w:pPr>
            <w:r>
              <w:rPr>
                <w:rFonts w:hint="eastAsia" w:ascii="宋体" w:hAnsi="宋体"/>
                <w:b/>
                <w:bCs/>
                <w:kern w:val="0"/>
              </w:rPr>
              <w:t>序号</w:t>
            </w:r>
          </w:p>
        </w:tc>
        <w:tc>
          <w:tcPr>
            <w:tcW w:w="708" w:type="dxa"/>
            <w:tcBorders>
              <w:top w:val="single" w:color="auto" w:sz="4" w:space="0"/>
              <w:left w:val="nil"/>
              <w:bottom w:val="single" w:color="auto" w:sz="4" w:space="0"/>
              <w:right w:val="single" w:color="auto" w:sz="4" w:space="0"/>
            </w:tcBorders>
            <w:vAlign w:val="center"/>
          </w:tcPr>
          <w:p w14:paraId="0A25894B">
            <w:pPr>
              <w:keepNext w:val="0"/>
              <w:keepLines w:val="0"/>
              <w:pageBreakBefore w:val="0"/>
              <w:widowControl/>
              <w:kinsoku/>
              <w:wordWrap/>
              <w:overflowPunct/>
              <w:topLinePunct w:val="0"/>
              <w:bidi w:val="0"/>
              <w:spacing w:line="540" w:lineRule="exact"/>
              <w:jc w:val="center"/>
              <w:textAlignment w:val="auto"/>
              <w:rPr>
                <w:rFonts w:ascii="宋体" w:hAnsi="宋体"/>
                <w:b/>
                <w:bCs/>
                <w:kern w:val="0"/>
              </w:rPr>
            </w:pPr>
            <w:r>
              <w:rPr>
                <w:rFonts w:hint="eastAsia" w:ascii="宋体" w:hAnsi="宋体"/>
                <w:b/>
                <w:bCs/>
                <w:kern w:val="0"/>
              </w:rPr>
              <w:t>设备名称</w:t>
            </w:r>
          </w:p>
        </w:tc>
        <w:tc>
          <w:tcPr>
            <w:tcW w:w="710" w:type="dxa"/>
            <w:tcBorders>
              <w:top w:val="single" w:color="auto" w:sz="4" w:space="0"/>
              <w:left w:val="nil"/>
              <w:bottom w:val="single" w:color="auto" w:sz="4" w:space="0"/>
              <w:right w:val="single" w:color="auto" w:sz="4" w:space="0"/>
            </w:tcBorders>
            <w:vAlign w:val="center"/>
          </w:tcPr>
          <w:p w14:paraId="6471A1A3">
            <w:pPr>
              <w:keepNext w:val="0"/>
              <w:keepLines w:val="0"/>
              <w:pageBreakBefore w:val="0"/>
              <w:widowControl/>
              <w:kinsoku/>
              <w:wordWrap/>
              <w:overflowPunct/>
              <w:topLinePunct w:val="0"/>
              <w:bidi w:val="0"/>
              <w:spacing w:line="540" w:lineRule="exact"/>
              <w:jc w:val="center"/>
              <w:textAlignment w:val="auto"/>
              <w:rPr>
                <w:rFonts w:ascii="宋体" w:hAnsi="宋体"/>
                <w:b/>
                <w:bCs/>
                <w:kern w:val="0"/>
              </w:rPr>
            </w:pPr>
            <w:r>
              <w:rPr>
                <w:rFonts w:hint="eastAsia" w:ascii="宋体" w:hAnsi="宋体"/>
                <w:b/>
                <w:bCs/>
                <w:kern w:val="0"/>
              </w:rPr>
              <w:t>品牌名称</w:t>
            </w:r>
          </w:p>
        </w:tc>
        <w:tc>
          <w:tcPr>
            <w:tcW w:w="2409" w:type="dxa"/>
            <w:tcBorders>
              <w:top w:val="single" w:color="auto" w:sz="4" w:space="0"/>
              <w:left w:val="nil"/>
              <w:bottom w:val="single" w:color="auto" w:sz="4" w:space="0"/>
              <w:right w:val="single" w:color="auto" w:sz="4" w:space="0"/>
            </w:tcBorders>
            <w:vAlign w:val="center"/>
          </w:tcPr>
          <w:p w14:paraId="0A3C611E">
            <w:pPr>
              <w:keepNext w:val="0"/>
              <w:keepLines w:val="0"/>
              <w:pageBreakBefore w:val="0"/>
              <w:widowControl/>
              <w:kinsoku/>
              <w:wordWrap/>
              <w:overflowPunct/>
              <w:topLinePunct w:val="0"/>
              <w:bidi w:val="0"/>
              <w:spacing w:line="540" w:lineRule="exact"/>
              <w:jc w:val="center"/>
              <w:textAlignment w:val="auto"/>
              <w:rPr>
                <w:rFonts w:ascii="宋体" w:hAnsi="宋体"/>
                <w:b/>
                <w:bCs/>
                <w:kern w:val="0"/>
              </w:rPr>
            </w:pPr>
            <w:r>
              <w:rPr>
                <w:rFonts w:hint="eastAsia" w:ascii="宋体" w:hAnsi="宋体"/>
                <w:b/>
                <w:bCs/>
                <w:kern w:val="0"/>
              </w:rPr>
              <w:t>品名、规格、型号</w:t>
            </w:r>
          </w:p>
        </w:tc>
        <w:tc>
          <w:tcPr>
            <w:tcW w:w="993" w:type="dxa"/>
            <w:tcBorders>
              <w:top w:val="single" w:color="auto" w:sz="4" w:space="0"/>
              <w:left w:val="nil"/>
              <w:bottom w:val="single" w:color="auto" w:sz="4" w:space="0"/>
              <w:right w:val="single" w:color="auto" w:sz="4" w:space="0"/>
            </w:tcBorders>
            <w:noWrap/>
            <w:vAlign w:val="center"/>
          </w:tcPr>
          <w:p w14:paraId="2CBBF43F">
            <w:pPr>
              <w:keepNext w:val="0"/>
              <w:keepLines w:val="0"/>
              <w:pageBreakBefore w:val="0"/>
              <w:widowControl/>
              <w:kinsoku/>
              <w:wordWrap/>
              <w:overflowPunct/>
              <w:topLinePunct w:val="0"/>
              <w:bidi w:val="0"/>
              <w:spacing w:line="540" w:lineRule="exact"/>
              <w:jc w:val="center"/>
              <w:textAlignment w:val="auto"/>
              <w:rPr>
                <w:rFonts w:ascii="宋体" w:hAnsi="宋体"/>
                <w:b/>
                <w:bCs/>
                <w:kern w:val="0"/>
              </w:rPr>
            </w:pPr>
            <w:r>
              <w:rPr>
                <w:rFonts w:hint="eastAsia" w:ascii="宋体" w:hAnsi="宋体"/>
                <w:b/>
                <w:bCs/>
                <w:kern w:val="0"/>
              </w:rPr>
              <w:t>数量</w:t>
            </w:r>
          </w:p>
        </w:tc>
        <w:tc>
          <w:tcPr>
            <w:tcW w:w="850" w:type="dxa"/>
            <w:tcBorders>
              <w:top w:val="single" w:color="auto" w:sz="4" w:space="0"/>
              <w:left w:val="nil"/>
              <w:bottom w:val="single" w:color="auto" w:sz="4" w:space="0"/>
              <w:right w:val="single" w:color="auto" w:sz="4" w:space="0"/>
            </w:tcBorders>
            <w:noWrap/>
            <w:vAlign w:val="center"/>
          </w:tcPr>
          <w:p w14:paraId="0E8D88B0">
            <w:pPr>
              <w:keepNext w:val="0"/>
              <w:keepLines w:val="0"/>
              <w:pageBreakBefore w:val="0"/>
              <w:widowControl/>
              <w:kinsoku/>
              <w:wordWrap/>
              <w:overflowPunct/>
              <w:topLinePunct w:val="0"/>
              <w:bidi w:val="0"/>
              <w:spacing w:line="540" w:lineRule="exact"/>
              <w:jc w:val="center"/>
              <w:textAlignment w:val="auto"/>
              <w:rPr>
                <w:rFonts w:ascii="宋体" w:hAnsi="宋体"/>
                <w:b/>
                <w:bCs/>
                <w:kern w:val="0"/>
              </w:rPr>
            </w:pPr>
            <w:r>
              <w:rPr>
                <w:rFonts w:hint="eastAsia" w:ascii="宋体" w:hAnsi="宋体"/>
                <w:b/>
                <w:bCs/>
                <w:kern w:val="0"/>
              </w:rPr>
              <w:t>单位</w:t>
            </w:r>
          </w:p>
        </w:tc>
        <w:tc>
          <w:tcPr>
            <w:tcW w:w="992" w:type="dxa"/>
            <w:tcBorders>
              <w:top w:val="single" w:color="auto" w:sz="4" w:space="0"/>
              <w:left w:val="nil"/>
              <w:bottom w:val="single" w:color="auto" w:sz="4" w:space="0"/>
              <w:right w:val="single" w:color="auto" w:sz="4" w:space="0"/>
            </w:tcBorders>
            <w:noWrap/>
            <w:vAlign w:val="center"/>
          </w:tcPr>
          <w:p w14:paraId="04B15106">
            <w:pPr>
              <w:keepNext w:val="0"/>
              <w:keepLines w:val="0"/>
              <w:pageBreakBefore w:val="0"/>
              <w:widowControl/>
              <w:kinsoku/>
              <w:wordWrap/>
              <w:overflowPunct/>
              <w:topLinePunct w:val="0"/>
              <w:bidi w:val="0"/>
              <w:spacing w:line="540" w:lineRule="exact"/>
              <w:jc w:val="center"/>
              <w:textAlignment w:val="auto"/>
              <w:rPr>
                <w:rFonts w:ascii="宋体" w:hAnsi="宋体"/>
                <w:b/>
                <w:bCs/>
                <w:kern w:val="0"/>
              </w:rPr>
            </w:pPr>
            <w:r>
              <w:rPr>
                <w:rFonts w:hint="eastAsia" w:ascii="宋体" w:hAnsi="宋体"/>
                <w:b/>
                <w:bCs/>
                <w:kern w:val="0"/>
              </w:rPr>
              <w:t>单价</w:t>
            </w:r>
          </w:p>
        </w:tc>
        <w:tc>
          <w:tcPr>
            <w:tcW w:w="1134" w:type="dxa"/>
            <w:tcBorders>
              <w:top w:val="single" w:color="auto" w:sz="4" w:space="0"/>
              <w:left w:val="nil"/>
              <w:bottom w:val="single" w:color="auto" w:sz="4" w:space="0"/>
              <w:right w:val="single" w:color="auto" w:sz="4" w:space="0"/>
            </w:tcBorders>
            <w:noWrap/>
            <w:vAlign w:val="center"/>
          </w:tcPr>
          <w:p w14:paraId="26F4EAB7">
            <w:pPr>
              <w:keepNext w:val="0"/>
              <w:keepLines w:val="0"/>
              <w:pageBreakBefore w:val="0"/>
              <w:widowControl/>
              <w:kinsoku/>
              <w:wordWrap/>
              <w:overflowPunct/>
              <w:topLinePunct w:val="0"/>
              <w:bidi w:val="0"/>
              <w:spacing w:line="540" w:lineRule="exact"/>
              <w:jc w:val="center"/>
              <w:textAlignment w:val="auto"/>
              <w:rPr>
                <w:rFonts w:ascii="宋体" w:hAnsi="宋体"/>
                <w:b/>
                <w:bCs/>
                <w:kern w:val="0"/>
              </w:rPr>
            </w:pPr>
            <w:r>
              <w:rPr>
                <w:rFonts w:hint="eastAsia" w:ascii="宋体" w:hAnsi="宋体"/>
                <w:b/>
                <w:bCs/>
                <w:kern w:val="0"/>
              </w:rPr>
              <w:t>金额</w:t>
            </w:r>
          </w:p>
        </w:tc>
        <w:tc>
          <w:tcPr>
            <w:tcW w:w="1134" w:type="dxa"/>
            <w:tcBorders>
              <w:top w:val="single" w:color="auto" w:sz="4" w:space="0"/>
              <w:left w:val="nil"/>
              <w:bottom w:val="single" w:color="auto" w:sz="4" w:space="0"/>
              <w:right w:val="single" w:color="auto" w:sz="4" w:space="0"/>
            </w:tcBorders>
            <w:noWrap/>
            <w:vAlign w:val="center"/>
          </w:tcPr>
          <w:p w14:paraId="684D0F87">
            <w:pPr>
              <w:keepNext w:val="0"/>
              <w:keepLines w:val="0"/>
              <w:pageBreakBefore w:val="0"/>
              <w:widowControl/>
              <w:kinsoku/>
              <w:wordWrap/>
              <w:overflowPunct/>
              <w:topLinePunct w:val="0"/>
              <w:bidi w:val="0"/>
              <w:spacing w:line="540" w:lineRule="exact"/>
              <w:jc w:val="center"/>
              <w:textAlignment w:val="auto"/>
              <w:rPr>
                <w:rFonts w:ascii="宋体" w:hAnsi="宋体"/>
                <w:b/>
                <w:bCs/>
                <w:kern w:val="0"/>
              </w:rPr>
            </w:pPr>
            <w:r>
              <w:rPr>
                <w:rFonts w:hint="eastAsia" w:ascii="宋体" w:hAnsi="宋体"/>
                <w:b/>
                <w:bCs/>
                <w:kern w:val="0"/>
              </w:rPr>
              <w:t>备注</w:t>
            </w:r>
          </w:p>
        </w:tc>
      </w:tr>
      <w:tr w14:paraId="552DBFDD">
        <w:tblPrEx>
          <w:tblCellMar>
            <w:top w:w="0" w:type="dxa"/>
            <w:left w:w="108" w:type="dxa"/>
            <w:bottom w:w="0" w:type="dxa"/>
            <w:right w:w="108" w:type="dxa"/>
          </w:tblCellMar>
        </w:tblPrEx>
        <w:trPr>
          <w:trHeight w:val="1843" w:hRule="atLeast"/>
        </w:trPr>
        <w:tc>
          <w:tcPr>
            <w:tcW w:w="714" w:type="dxa"/>
            <w:tcBorders>
              <w:top w:val="single" w:color="auto" w:sz="4" w:space="0"/>
              <w:left w:val="single" w:color="auto" w:sz="4" w:space="0"/>
              <w:bottom w:val="single" w:color="auto" w:sz="4" w:space="0"/>
              <w:right w:val="single" w:color="auto" w:sz="4" w:space="0"/>
            </w:tcBorders>
            <w:vAlign w:val="center"/>
          </w:tcPr>
          <w:p w14:paraId="08ACCA76">
            <w:pPr>
              <w:keepNext w:val="0"/>
              <w:keepLines w:val="0"/>
              <w:pageBreakBefore w:val="0"/>
              <w:kinsoku/>
              <w:wordWrap/>
              <w:overflowPunct/>
              <w:topLinePunct w:val="0"/>
              <w:bidi w:val="0"/>
              <w:spacing w:line="540" w:lineRule="exact"/>
              <w:jc w:val="center"/>
              <w:textAlignment w:val="auto"/>
              <w:rPr>
                <w:rFonts w:ascii="宋体" w:hAnsi="宋体"/>
              </w:rPr>
            </w:pPr>
            <w:r>
              <w:rPr>
                <w:rFonts w:hint="eastAsia" w:ascii="宋体" w:hAnsi="宋体"/>
              </w:rPr>
              <w:t>1</w:t>
            </w:r>
          </w:p>
        </w:tc>
        <w:tc>
          <w:tcPr>
            <w:tcW w:w="708" w:type="dxa"/>
            <w:tcBorders>
              <w:top w:val="single" w:color="auto" w:sz="4" w:space="0"/>
              <w:left w:val="single" w:color="auto" w:sz="4" w:space="0"/>
              <w:bottom w:val="single" w:color="auto" w:sz="4" w:space="0"/>
              <w:right w:val="single" w:color="auto" w:sz="4" w:space="0"/>
            </w:tcBorders>
            <w:vAlign w:val="center"/>
          </w:tcPr>
          <w:p w14:paraId="522EB858">
            <w:pPr>
              <w:keepNext w:val="0"/>
              <w:keepLines w:val="0"/>
              <w:pageBreakBefore w:val="0"/>
              <w:kinsoku/>
              <w:wordWrap/>
              <w:overflowPunct/>
              <w:topLinePunct w:val="0"/>
              <w:bidi w:val="0"/>
              <w:spacing w:line="540" w:lineRule="exact"/>
              <w:jc w:val="center"/>
              <w:textAlignment w:val="auto"/>
              <w:rPr>
                <w:rFonts w:ascii="宋体" w:hAnsi="宋体"/>
              </w:rPr>
            </w:pPr>
            <w:r>
              <w:rPr>
                <w:rFonts w:hint="eastAsia" w:ascii="宋体" w:hAnsi="宋体"/>
                <w:sz w:val="24"/>
              </w:rPr>
              <w:t>XXX</w:t>
            </w:r>
          </w:p>
        </w:tc>
        <w:tc>
          <w:tcPr>
            <w:tcW w:w="710" w:type="dxa"/>
            <w:tcBorders>
              <w:top w:val="single" w:color="auto" w:sz="4" w:space="0"/>
              <w:left w:val="single" w:color="auto" w:sz="4" w:space="0"/>
              <w:bottom w:val="single" w:color="auto" w:sz="4" w:space="0"/>
              <w:right w:val="single" w:color="auto" w:sz="4" w:space="0"/>
            </w:tcBorders>
            <w:vAlign w:val="center"/>
          </w:tcPr>
          <w:p w14:paraId="00F0BECF">
            <w:pPr>
              <w:keepNext w:val="0"/>
              <w:keepLines w:val="0"/>
              <w:pageBreakBefore w:val="0"/>
              <w:widowControl/>
              <w:kinsoku/>
              <w:wordWrap/>
              <w:overflowPunct/>
              <w:topLinePunct w:val="0"/>
              <w:bidi w:val="0"/>
              <w:spacing w:line="540" w:lineRule="exact"/>
              <w:jc w:val="center"/>
              <w:textAlignment w:val="auto"/>
              <w:rPr>
                <w:rFonts w:ascii="宋体" w:hAnsi="宋体"/>
                <w:bCs/>
                <w:kern w:val="0"/>
                <w:highlight w:val="yellow"/>
              </w:rPr>
            </w:pPr>
            <w:r>
              <w:rPr>
                <w:rFonts w:hint="eastAsia" w:ascii="宋体" w:hAnsi="宋体" w:cs="宋体"/>
                <w:sz w:val="24"/>
              </w:rPr>
              <w:t>X</w:t>
            </w:r>
          </w:p>
        </w:tc>
        <w:tc>
          <w:tcPr>
            <w:tcW w:w="2409" w:type="dxa"/>
            <w:tcBorders>
              <w:top w:val="single" w:color="auto" w:sz="4" w:space="0"/>
              <w:left w:val="single" w:color="auto" w:sz="4" w:space="0"/>
              <w:bottom w:val="single" w:color="auto" w:sz="4" w:space="0"/>
              <w:right w:val="single" w:color="auto" w:sz="4" w:space="0"/>
            </w:tcBorders>
            <w:vAlign w:val="center"/>
          </w:tcPr>
          <w:p w14:paraId="15D3378C">
            <w:pPr>
              <w:keepNext w:val="0"/>
              <w:keepLines w:val="0"/>
              <w:pageBreakBefore w:val="0"/>
              <w:kinsoku/>
              <w:wordWrap/>
              <w:overflowPunct/>
              <w:topLinePunct w:val="0"/>
              <w:autoSpaceDE w:val="0"/>
              <w:autoSpaceDN w:val="0"/>
              <w:bidi w:val="0"/>
              <w:adjustRightInd w:val="0"/>
              <w:spacing w:line="540" w:lineRule="exact"/>
              <w:jc w:val="left"/>
              <w:textAlignment w:val="auto"/>
              <w:rPr>
                <w:rFonts w:ascii="宋体" w:hAnsi="宋体" w:cs="宋体"/>
                <w:color w:val="000000"/>
                <w:kern w:val="0"/>
                <w:sz w:val="22"/>
                <w:szCs w:val="22"/>
              </w:rPr>
            </w:pPr>
            <w:r>
              <w:rPr>
                <w:rFonts w:hint="eastAsia" w:ascii="宋体" w:hAnsi="宋体"/>
                <w:sz w:val="24"/>
              </w:rPr>
              <w:t>（以复制投标文件中的内容为准）</w:t>
            </w:r>
          </w:p>
        </w:tc>
        <w:tc>
          <w:tcPr>
            <w:tcW w:w="993" w:type="dxa"/>
            <w:tcBorders>
              <w:top w:val="single" w:color="auto" w:sz="4" w:space="0"/>
              <w:left w:val="single" w:color="auto" w:sz="4" w:space="0"/>
              <w:bottom w:val="single" w:color="auto" w:sz="4" w:space="0"/>
              <w:right w:val="single" w:color="auto" w:sz="4" w:space="0"/>
            </w:tcBorders>
            <w:vAlign w:val="center"/>
          </w:tcPr>
          <w:p w14:paraId="530B61AF">
            <w:pPr>
              <w:keepNext w:val="0"/>
              <w:keepLines w:val="0"/>
              <w:pageBreakBefore w:val="0"/>
              <w:widowControl/>
              <w:kinsoku/>
              <w:wordWrap/>
              <w:overflowPunct/>
              <w:topLinePunct w:val="0"/>
              <w:bidi w:val="0"/>
              <w:spacing w:line="540" w:lineRule="exact"/>
              <w:jc w:val="center"/>
              <w:textAlignment w:val="auto"/>
              <w:rPr>
                <w:rFonts w:ascii="宋体" w:hAnsi="宋体"/>
                <w:bCs/>
                <w:kern w:val="0"/>
              </w:rPr>
            </w:pPr>
            <w:r>
              <w:rPr>
                <w:rFonts w:hint="eastAsia" w:ascii="宋体" w:hAnsi="宋体"/>
                <w:sz w:val="24"/>
              </w:rPr>
              <w:t>X</w:t>
            </w:r>
          </w:p>
        </w:tc>
        <w:tc>
          <w:tcPr>
            <w:tcW w:w="850" w:type="dxa"/>
            <w:tcBorders>
              <w:top w:val="single" w:color="auto" w:sz="4" w:space="0"/>
              <w:left w:val="single" w:color="auto" w:sz="4" w:space="0"/>
              <w:bottom w:val="single" w:color="auto" w:sz="4" w:space="0"/>
              <w:right w:val="single" w:color="auto" w:sz="4" w:space="0"/>
            </w:tcBorders>
            <w:vAlign w:val="center"/>
          </w:tcPr>
          <w:p w14:paraId="4E57C281">
            <w:pPr>
              <w:keepNext w:val="0"/>
              <w:keepLines w:val="0"/>
              <w:pageBreakBefore w:val="0"/>
              <w:widowControl/>
              <w:kinsoku/>
              <w:wordWrap/>
              <w:overflowPunct/>
              <w:topLinePunct w:val="0"/>
              <w:bidi w:val="0"/>
              <w:spacing w:line="540" w:lineRule="exact"/>
              <w:jc w:val="center"/>
              <w:textAlignment w:val="auto"/>
              <w:rPr>
                <w:rFonts w:ascii="宋体" w:hAnsi="宋体"/>
                <w:bCs/>
                <w:kern w:val="0"/>
              </w:rPr>
            </w:pPr>
            <w:r>
              <w:rPr>
                <w:rFonts w:hint="eastAsia" w:ascii="宋体" w:hAnsi="宋体"/>
                <w:sz w:val="24"/>
              </w:rPr>
              <w:t>X</w:t>
            </w:r>
          </w:p>
        </w:tc>
        <w:tc>
          <w:tcPr>
            <w:tcW w:w="992" w:type="dxa"/>
            <w:tcBorders>
              <w:top w:val="single" w:color="auto" w:sz="4" w:space="0"/>
              <w:left w:val="single" w:color="auto" w:sz="4" w:space="0"/>
              <w:bottom w:val="single" w:color="auto" w:sz="4" w:space="0"/>
              <w:right w:val="single" w:color="auto" w:sz="4" w:space="0"/>
            </w:tcBorders>
            <w:vAlign w:val="center"/>
          </w:tcPr>
          <w:p w14:paraId="4B522D40">
            <w:pPr>
              <w:keepNext w:val="0"/>
              <w:keepLines w:val="0"/>
              <w:pageBreakBefore w:val="0"/>
              <w:kinsoku/>
              <w:wordWrap/>
              <w:overflowPunct/>
              <w:topLinePunct w:val="0"/>
              <w:bidi w:val="0"/>
              <w:spacing w:line="540" w:lineRule="exact"/>
              <w:jc w:val="center"/>
              <w:textAlignment w:val="auto"/>
              <w:rPr>
                <w:rFonts w:ascii="宋体" w:hAnsi="宋体"/>
              </w:rPr>
            </w:pPr>
            <w:r>
              <w:rPr>
                <w:rFonts w:hint="eastAsia" w:ascii="宋体" w:hAnsi="宋体"/>
                <w:sz w:val="24"/>
              </w:rPr>
              <w:t>X</w:t>
            </w:r>
          </w:p>
        </w:tc>
        <w:tc>
          <w:tcPr>
            <w:tcW w:w="1134" w:type="dxa"/>
            <w:tcBorders>
              <w:top w:val="single" w:color="auto" w:sz="4" w:space="0"/>
              <w:left w:val="single" w:color="auto" w:sz="4" w:space="0"/>
              <w:bottom w:val="single" w:color="auto" w:sz="4" w:space="0"/>
              <w:right w:val="single" w:color="auto" w:sz="4" w:space="0"/>
            </w:tcBorders>
            <w:vAlign w:val="center"/>
          </w:tcPr>
          <w:p w14:paraId="0967E7C5">
            <w:pPr>
              <w:keepNext w:val="0"/>
              <w:keepLines w:val="0"/>
              <w:pageBreakBefore w:val="0"/>
              <w:kinsoku/>
              <w:wordWrap/>
              <w:overflowPunct/>
              <w:topLinePunct w:val="0"/>
              <w:bidi w:val="0"/>
              <w:spacing w:line="540" w:lineRule="exact"/>
              <w:jc w:val="center"/>
              <w:textAlignment w:val="auto"/>
              <w:rPr>
                <w:rFonts w:ascii="宋体" w:hAnsi="宋体"/>
              </w:rPr>
            </w:pPr>
            <w:r>
              <w:rPr>
                <w:rFonts w:hint="eastAsia" w:ascii="宋体" w:hAnsi="宋体"/>
                <w:sz w:val="24"/>
              </w:rPr>
              <w:t>X</w:t>
            </w:r>
          </w:p>
        </w:tc>
        <w:tc>
          <w:tcPr>
            <w:tcW w:w="1134" w:type="dxa"/>
            <w:tcBorders>
              <w:top w:val="single" w:color="auto" w:sz="4" w:space="0"/>
              <w:left w:val="single" w:color="auto" w:sz="4" w:space="0"/>
              <w:bottom w:val="single" w:color="auto" w:sz="4" w:space="0"/>
              <w:right w:val="single" w:color="auto" w:sz="4" w:space="0"/>
            </w:tcBorders>
            <w:vAlign w:val="center"/>
          </w:tcPr>
          <w:p w14:paraId="06ABC75D">
            <w:pPr>
              <w:keepNext w:val="0"/>
              <w:keepLines w:val="0"/>
              <w:pageBreakBefore w:val="0"/>
              <w:widowControl/>
              <w:kinsoku/>
              <w:wordWrap/>
              <w:overflowPunct/>
              <w:topLinePunct w:val="0"/>
              <w:bidi w:val="0"/>
              <w:spacing w:line="540" w:lineRule="exact"/>
              <w:textAlignment w:val="auto"/>
              <w:rPr>
                <w:rFonts w:ascii="宋体" w:hAnsi="宋体"/>
                <w:kern w:val="0"/>
              </w:rPr>
            </w:pPr>
          </w:p>
        </w:tc>
      </w:tr>
      <w:tr w14:paraId="45DA7626">
        <w:tblPrEx>
          <w:tblCellMar>
            <w:top w:w="0" w:type="dxa"/>
            <w:left w:w="108" w:type="dxa"/>
            <w:bottom w:w="0" w:type="dxa"/>
            <w:right w:w="108" w:type="dxa"/>
          </w:tblCellMar>
        </w:tblPrEx>
        <w:trPr>
          <w:trHeight w:val="1843" w:hRule="atLeast"/>
        </w:trPr>
        <w:tc>
          <w:tcPr>
            <w:tcW w:w="714" w:type="dxa"/>
            <w:tcBorders>
              <w:top w:val="single" w:color="auto" w:sz="4" w:space="0"/>
              <w:left w:val="single" w:color="auto" w:sz="4" w:space="0"/>
              <w:bottom w:val="single" w:color="auto" w:sz="4" w:space="0"/>
              <w:right w:val="single" w:color="auto" w:sz="4" w:space="0"/>
            </w:tcBorders>
            <w:vAlign w:val="center"/>
          </w:tcPr>
          <w:p w14:paraId="76DF9E80">
            <w:pPr>
              <w:keepNext w:val="0"/>
              <w:keepLines w:val="0"/>
              <w:pageBreakBefore w:val="0"/>
              <w:kinsoku/>
              <w:wordWrap/>
              <w:overflowPunct/>
              <w:topLinePunct w:val="0"/>
              <w:bidi w:val="0"/>
              <w:spacing w:line="540" w:lineRule="exact"/>
              <w:jc w:val="center"/>
              <w:textAlignment w:val="auto"/>
              <w:rPr>
                <w:rFonts w:hint="eastAsia" w:ascii="宋体" w:hAnsi="宋体" w:eastAsia="宋体"/>
                <w:lang w:eastAsia="zh-CN"/>
              </w:rPr>
            </w:pPr>
            <w:r>
              <w:rPr>
                <w:rFonts w:hint="eastAsia" w:ascii="宋体" w:hAnsi="宋体"/>
                <w:lang w:val="en-US" w:eastAsia="zh-CN"/>
              </w:rPr>
              <w:t>2</w:t>
            </w:r>
          </w:p>
        </w:tc>
        <w:tc>
          <w:tcPr>
            <w:tcW w:w="708" w:type="dxa"/>
            <w:tcBorders>
              <w:top w:val="single" w:color="auto" w:sz="4" w:space="0"/>
              <w:left w:val="single" w:color="auto" w:sz="4" w:space="0"/>
              <w:bottom w:val="single" w:color="auto" w:sz="4" w:space="0"/>
              <w:right w:val="single" w:color="auto" w:sz="4" w:space="0"/>
            </w:tcBorders>
            <w:vAlign w:val="center"/>
          </w:tcPr>
          <w:p w14:paraId="58DD35EB">
            <w:pPr>
              <w:keepNext w:val="0"/>
              <w:keepLines w:val="0"/>
              <w:pageBreakBefore w:val="0"/>
              <w:kinsoku/>
              <w:wordWrap/>
              <w:overflowPunct/>
              <w:topLinePunct w:val="0"/>
              <w:bidi w:val="0"/>
              <w:spacing w:line="540" w:lineRule="exact"/>
              <w:jc w:val="center"/>
              <w:textAlignment w:val="auto"/>
              <w:rPr>
                <w:rFonts w:ascii="宋体" w:hAnsi="宋体"/>
              </w:rPr>
            </w:pPr>
            <w:r>
              <w:rPr>
                <w:rFonts w:hint="eastAsia" w:ascii="宋体" w:hAnsi="宋体"/>
                <w:sz w:val="24"/>
              </w:rPr>
              <w:t>XXX</w:t>
            </w:r>
          </w:p>
        </w:tc>
        <w:tc>
          <w:tcPr>
            <w:tcW w:w="710" w:type="dxa"/>
            <w:tcBorders>
              <w:top w:val="single" w:color="auto" w:sz="4" w:space="0"/>
              <w:left w:val="single" w:color="auto" w:sz="4" w:space="0"/>
              <w:bottom w:val="single" w:color="auto" w:sz="4" w:space="0"/>
              <w:right w:val="single" w:color="auto" w:sz="4" w:space="0"/>
            </w:tcBorders>
            <w:vAlign w:val="center"/>
          </w:tcPr>
          <w:p w14:paraId="46A28699">
            <w:pPr>
              <w:keepNext w:val="0"/>
              <w:keepLines w:val="0"/>
              <w:pageBreakBefore w:val="0"/>
              <w:widowControl/>
              <w:kinsoku/>
              <w:wordWrap/>
              <w:overflowPunct/>
              <w:topLinePunct w:val="0"/>
              <w:bidi w:val="0"/>
              <w:spacing w:line="540" w:lineRule="exact"/>
              <w:jc w:val="center"/>
              <w:textAlignment w:val="auto"/>
              <w:rPr>
                <w:rFonts w:ascii="宋体" w:hAnsi="宋体"/>
                <w:bCs/>
                <w:kern w:val="0"/>
                <w:highlight w:val="yellow"/>
              </w:rPr>
            </w:pPr>
            <w:r>
              <w:rPr>
                <w:rFonts w:hint="eastAsia" w:ascii="宋体" w:hAnsi="宋体" w:cs="宋体"/>
                <w:sz w:val="24"/>
              </w:rPr>
              <w:t>X</w:t>
            </w:r>
          </w:p>
        </w:tc>
        <w:tc>
          <w:tcPr>
            <w:tcW w:w="2409" w:type="dxa"/>
            <w:tcBorders>
              <w:top w:val="single" w:color="auto" w:sz="4" w:space="0"/>
              <w:left w:val="single" w:color="auto" w:sz="4" w:space="0"/>
              <w:bottom w:val="single" w:color="auto" w:sz="4" w:space="0"/>
              <w:right w:val="single" w:color="auto" w:sz="4" w:space="0"/>
            </w:tcBorders>
            <w:vAlign w:val="center"/>
          </w:tcPr>
          <w:p w14:paraId="5D62F152">
            <w:pPr>
              <w:keepNext w:val="0"/>
              <w:keepLines w:val="0"/>
              <w:pageBreakBefore w:val="0"/>
              <w:kinsoku/>
              <w:wordWrap/>
              <w:overflowPunct/>
              <w:topLinePunct w:val="0"/>
              <w:autoSpaceDE w:val="0"/>
              <w:autoSpaceDN w:val="0"/>
              <w:bidi w:val="0"/>
              <w:adjustRightInd w:val="0"/>
              <w:spacing w:line="540" w:lineRule="exact"/>
              <w:jc w:val="left"/>
              <w:textAlignment w:val="auto"/>
              <w:rPr>
                <w:rFonts w:ascii="宋体" w:hAnsi="宋体" w:cs="宋体"/>
                <w:color w:val="000000"/>
                <w:kern w:val="0"/>
                <w:sz w:val="22"/>
                <w:szCs w:val="22"/>
              </w:rPr>
            </w:pPr>
            <w:r>
              <w:rPr>
                <w:rFonts w:hint="eastAsia" w:ascii="宋体" w:hAnsi="宋体"/>
                <w:sz w:val="24"/>
              </w:rPr>
              <w:t>（以复制投标文件中的内容为准）</w:t>
            </w:r>
          </w:p>
        </w:tc>
        <w:tc>
          <w:tcPr>
            <w:tcW w:w="993" w:type="dxa"/>
            <w:tcBorders>
              <w:top w:val="single" w:color="auto" w:sz="4" w:space="0"/>
              <w:left w:val="single" w:color="auto" w:sz="4" w:space="0"/>
              <w:bottom w:val="single" w:color="auto" w:sz="4" w:space="0"/>
              <w:right w:val="single" w:color="auto" w:sz="4" w:space="0"/>
            </w:tcBorders>
            <w:vAlign w:val="center"/>
          </w:tcPr>
          <w:p w14:paraId="004F0CAB">
            <w:pPr>
              <w:keepNext w:val="0"/>
              <w:keepLines w:val="0"/>
              <w:pageBreakBefore w:val="0"/>
              <w:widowControl/>
              <w:kinsoku/>
              <w:wordWrap/>
              <w:overflowPunct/>
              <w:topLinePunct w:val="0"/>
              <w:bidi w:val="0"/>
              <w:spacing w:line="540" w:lineRule="exact"/>
              <w:jc w:val="center"/>
              <w:textAlignment w:val="auto"/>
              <w:rPr>
                <w:rFonts w:ascii="宋体" w:hAnsi="宋体"/>
                <w:bCs/>
                <w:kern w:val="0"/>
              </w:rPr>
            </w:pPr>
            <w:r>
              <w:rPr>
                <w:rFonts w:hint="eastAsia" w:ascii="宋体" w:hAnsi="宋体"/>
                <w:sz w:val="24"/>
              </w:rPr>
              <w:t>X</w:t>
            </w:r>
          </w:p>
        </w:tc>
        <w:tc>
          <w:tcPr>
            <w:tcW w:w="850" w:type="dxa"/>
            <w:tcBorders>
              <w:top w:val="single" w:color="auto" w:sz="4" w:space="0"/>
              <w:left w:val="single" w:color="auto" w:sz="4" w:space="0"/>
              <w:bottom w:val="single" w:color="auto" w:sz="4" w:space="0"/>
              <w:right w:val="single" w:color="auto" w:sz="4" w:space="0"/>
            </w:tcBorders>
            <w:vAlign w:val="center"/>
          </w:tcPr>
          <w:p w14:paraId="2ED7A511">
            <w:pPr>
              <w:keepNext w:val="0"/>
              <w:keepLines w:val="0"/>
              <w:pageBreakBefore w:val="0"/>
              <w:widowControl/>
              <w:kinsoku/>
              <w:wordWrap/>
              <w:overflowPunct/>
              <w:topLinePunct w:val="0"/>
              <w:bidi w:val="0"/>
              <w:spacing w:line="540" w:lineRule="exact"/>
              <w:jc w:val="center"/>
              <w:textAlignment w:val="auto"/>
              <w:rPr>
                <w:rFonts w:ascii="宋体" w:hAnsi="宋体"/>
                <w:bCs/>
                <w:kern w:val="0"/>
              </w:rPr>
            </w:pPr>
            <w:r>
              <w:rPr>
                <w:rFonts w:hint="eastAsia" w:ascii="宋体" w:hAnsi="宋体"/>
                <w:sz w:val="24"/>
              </w:rPr>
              <w:t>X</w:t>
            </w:r>
          </w:p>
        </w:tc>
        <w:tc>
          <w:tcPr>
            <w:tcW w:w="992" w:type="dxa"/>
            <w:tcBorders>
              <w:top w:val="single" w:color="auto" w:sz="4" w:space="0"/>
              <w:left w:val="single" w:color="auto" w:sz="4" w:space="0"/>
              <w:bottom w:val="single" w:color="auto" w:sz="4" w:space="0"/>
              <w:right w:val="single" w:color="auto" w:sz="4" w:space="0"/>
            </w:tcBorders>
            <w:vAlign w:val="center"/>
          </w:tcPr>
          <w:p w14:paraId="01773E87">
            <w:pPr>
              <w:keepNext w:val="0"/>
              <w:keepLines w:val="0"/>
              <w:pageBreakBefore w:val="0"/>
              <w:kinsoku/>
              <w:wordWrap/>
              <w:overflowPunct/>
              <w:topLinePunct w:val="0"/>
              <w:bidi w:val="0"/>
              <w:spacing w:line="540" w:lineRule="exact"/>
              <w:jc w:val="center"/>
              <w:textAlignment w:val="auto"/>
              <w:rPr>
                <w:rFonts w:ascii="宋体" w:hAnsi="宋体"/>
              </w:rPr>
            </w:pPr>
            <w:r>
              <w:rPr>
                <w:rFonts w:hint="eastAsia" w:ascii="宋体" w:hAnsi="宋体"/>
                <w:sz w:val="24"/>
              </w:rPr>
              <w:t>X</w:t>
            </w:r>
          </w:p>
        </w:tc>
        <w:tc>
          <w:tcPr>
            <w:tcW w:w="1134" w:type="dxa"/>
            <w:tcBorders>
              <w:top w:val="single" w:color="auto" w:sz="4" w:space="0"/>
              <w:left w:val="single" w:color="auto" w:sz="4" w:space="0"/>
              <w:bottom w:val="single" w:color="auto" w:sz="4" w:space="0"/>
              <w:right w:val="single" w:color="auto" w:sz="4" w:space="0"/>
            </w:tcBorders>
            <w:vAlign w:val="center"/>
          </w:tcPr>
          <w:p w14:paraId="09501C98">
            <w:pPr>
              <w:keepNext w:val="0"/>
              <w:keepLines w:val="0"/>
              <w:pageBreakBefore w:val="0"/>
              <w:kinsoku/>
              <w:wordWrap/>
              <w:overflowPunct/>
              <w:topLinePunct w:val="0"/>
              <w:bidi w:val="0"/>
              <w:spacing w:line="540" w:lineRule="exact"/>
              <w:jc w:val="center"/>
              <w:textAlignment w:val="auto"/>
              <w:rPr>
                <w:rFonts w:ascii="宋体" w:hAnsi="宋体"/>
              </w:rPr>
            </w:pPr>
            <w:r>
              <w:rPr>
                <w:rFonts w:hint="eastAsia" w:ascii="宋体" w:hAnsi="宋体"/>
                <w:sz w:val="24"/>
              </w:rPr>
              <w:t>X</w:t>
            </w:r>
          </w:p>
        </w:tc>
        <w:tc>
          <w:tcPr>
            <w:tcW w:w="1134" w:type="dxa"/>
            <w:tcBorders>
              <w:top w:val="single" w:color="auto" w:sz="4" w:space="0"/>
              <w:left w:val="single" w:color="auto" w:sz="4" w:space="0"/>
              <w:bottom w:val="single" w:color="auto" w:sz="4" w:space="0"/>
              <w:right w:val="single" w:color="auto" w:sz="4" w:space="0"/>
            </w:tcBorders>
            <w:vAlign w:val="center"/>
          </w:tcPr>
          <w:p w14:paraId="7077C1A5">
            <w:pPr>
              <w:keepNext w:val="0"/>
              <w:keepLines w:val="0"/>
              <w:pageBreakBefore w:val="0"/>
              <w:widowControl/>
              <w:kinsoku/>
              <w:wordWrap/>
              <w:overflowPunct/>
              <w:topLinePunct w:val="0"/>
              <w:bidi w:val="0"/>
              <w:spacing w:line="540" w:lineRule="exact"/>
              <w:textAlignment w:val="auto"/>
              <w:rPr>
                <w:rFonts w:ascii="宋体" w:hAnsi="宋体"/>
                <w:kern w:val="0"/>
              </w:rPr>
            </w:pPr>
          </w:p>
        </w:tc>
      </w:tr>
      <w:tr w14:paraId="788E4269">
        <w:tblPrEx>
          <w:tblCellMar>
            <w:top w:w="0" w:type="dxa"/>
            <w:left w:w="108" w:type="dxa"/>
            <w:bottom w:w="0" w:type="dxa"/>
            <w:right w:w="108" w:type="dxa"/>
          </w:tblCellMar>
        </w:tblPrEx>
        <w:trPr>
          <w:trHeight w:val="1843" w:hRule="atLeast"/>
        </w:trPr>
        <w:tc>
          <w:tcPr>
            <w:tcW w:w="714" w:type="dxa"/>
            <w:tcBorders>
              <w:top w:val="single" w:color="auto" w:sz="4" w:space="0"/>
              <w:left w:val="single" w:color="auto" w:sz="4" w:space="0"/>
              <w:bottom w:val="single" w:color="auto" w:sz="4" w:space="0"/>
              <w:right w:val="single" w:color="auto" w:sz="4" w:space="0"/>
            </w:tcBorders>
            <w:vAlign w:val="center"/>
          </w:tcPr>
          <w:p w14:paraId="20E08296">
            <w:pPr>
              <w:keepNext w:val="0"/>
              <w:keepLines w:val="0"/>
              <w:pageBreakBefore w:val="0"/>
              <w:kinsoku/>
              <w:wordWrap/>
              <w:overflowPunct/>
              <w:topLinePunct w:val="0"/>
              <w:bidi w:val="0"/>
              <w:spacing w:line="540" w:lineRule="exact"/>
              <w:jc w:val="center"/>
              <w:textAlignment w:val="auto"/>
              <w:rPr>
                <w:rFonts w:hint="eastAsia" w:ascii="宋体" w:hAnsi="宋体" w:eastAsia="宋体"/>
                <w:lang w:eastAsia="zh-CN"/>
              </w:rPr>
            </w:pPr>
            <w:r>
              <w:rPr>
                <w:rFonts w:hint="eastAsia" w:ascii="宋体" w:hAnsi="宋体"/>
                <w:lang w:val="en-US" w:eastAsia="zh-CN"/>
              </w:rPr>
              <w:t>3</w:t>
            </w:r>
          </w:p>
        </w:tc>
        <w:tc>
          <w:tcPr>
            <w:tcW w:w="708" w:type="dxa"/>
            <w:tcBorders>
              <w:top w:val="single" w:color="auto" w:sz="4" w:space="0"/>
              <w:left w:val="single" w:color="auto" w:sz="4" w:space="0"/>
              <w:bottom w:val="single" w:color="auto" w:sz="4" w:space="0"/>
              <w:right w:val="single" w:color="auto" w:sz="4" w:space="0"/>
            </w:tcBorders>
            <w:vAlign w:val="center"/>
          </w:tcPr>
          <w:p w14:paraId="70C5DD9B">
            <w:pPr>
              <w:keepNext w:val="0"/>
              <w:keepLines w:val="0"/>
              <w:pageBreakBefore w:val="0"/>
              <w:kinsoku/>
              <w:wordWrap/>
              <w:overflowPunct/>
              <w:topLinePunct w:val="0"/>
              <w:bidi w:val="0"/>
              <w:spacing w:line="540" w:lineRule="exact"/>
              <w:jc w:val="center"/>
              <w:textAlignment w:val="auto"/>
              <w:rPr>
                <w:rFonts w:ascii="宋体" w:hAnsi="宋体"/>
              </w:rPr>
            </w:pPr>
            <w:r>
              <w:rPr>
                <w:rFonts w:hint="eastAsia" w:ascii="宋体" w:hAnsi="宋体"/>
                <w:sz w:val="24"/>
              </w:rPr>
              <w:t>XXX</w:t>
            </w:r>
          </w:p>
        </w:tc>
        <w:tc>
          <w:tcPr>
            <w:tcW w:w="710" w:type="dxa"/>
            <w:tcBorders>
              <w:top w:val="single" w:color="auto" w:sz="4" w:space="0"/>
              <w:left w:val="single" w:color="auto" w:sz="4" w:space="0"/>
              <w:bottom w:val="single" w:color="auto" w:sz="4" w:space="0"/>
              <w:right w:val="single" w:color="auto" w:sz="4" w:space="0"/>
            </w:tcBorders>
            <w:vAlign w:val="center"/>
          </w:tcPr>
          <w:p w14:paraId="79EDE53A">
            <w:pPr>
              <w:keepNext w:val="0"/>
              <w:keepLines w:val="0"/>
              <w:pageBreakBefore w:val="0"/>
              <w:widowControl/>
              <w:kinsoku/>
              <w:wordWrap/>
              <w:overflowPunct/>
              <w:topLinePunct w:val="0"/>
              <w:bidi w:val="0"/>
              <w:spacing w:line="540" w:lineRule="exact"/>
              <w:jc w:val="center"/>
              <w:textAlignment w:val="auto"/>
              <w:rPr>
                <w:rFonts w:ascii="宋体" w:hAnsi="宋体"/>
                <w:bCs/>
                <w:kern w:val="0"/>
                <w:highlight w:val="yellow"/>
              </w:rPr>
            </w:pPr>
            <w:r>
              <w:rPr>
                <w:rFonts w:hint="eastAsia" w:ascii="宋体" w:hAnsi="宋体" w:cs="宋体"/>
                <w:sz w:val="24"/>
              </w:rPr>
              <w:t>X</w:t>
            </w:r>
          </w:p>
        </w:tc>
        <w:tc>
          <w:tcPr>
            <w:tcW w:w="2409" w:type="dxa"/>
            <w:tcBorders>
              <w:top w:val="single" w:color="auto" w:sz="4" w:space="0"/>
              <w:left w:val="single" w:color="auto" w:sz="4" w:space="0"/>
              <w:bottom w:val="single" w:color="auto" w:sz="4" w:space="0"/>
              <w:right w:val="single" w:color="auto" w:sz="4" w:space="0"/>
            </w:tcBorders>
            <w:vAlign w:val="center"/>
          </w:tcPr>
          <w:p w14:paraId="61F9AA27">
            <w:pPr>
              <w:keepNext w:val="0"/>
              <w:keepLines w:val="0"/>
              <w:pageBreakBefore w:val="0"/>
              <w:kinsoku/>
              <w:wordWrap/>
              <w:overflowPunct/>
              <w:topLinePunct w:val="0"/>
              <w:autoSpaceDE w:val="0"/>
              <w:autoSpaceDN w:val="0"/>
              <w:bidi w:val="0"/>
              <w:adjustRightInd w:val="0"/>
              <w:spacing w:line="540" w:lineRule="exact"/>
              <w:jc w:val="left"/>
              <w:textAlignment w:val="auto"/>
              <w:rPr>
                <w:rFonts w:ascii="宋体" w:hAnsi="宋体" w:cs="宋体"/>
                <w:color w:val="000000"/>
                <w:kern w:val="0"/>
                <w:sz w:val="22"/>
                <w:szCs w:val="22"/>
              </w:rPr>
            </w:pPr>
            <w:r>
              <w:rPr>
                <w:rFonts w:hint="eastAsia" w:ascii="宋体" w:hAnsi="宋体"/>
                <w:sz w:val="24"/>
              </w:rPr>
              <w:t>（以复制投标文件中的内容为准）</w:t>
            </w:r>
          </w:p>
        </w:tc>
        <w:tc>
          <w:tcPr>
            <w:tcW w:w="993" w:type="dxa"/>
            <w:tcBorders>
              <w:top w:val="single" w:color="auto" w:sz="4" w:space="0"/>
              <w:left w:val="single" w:color="auto" w:sz="4" w:space="0"/>
              <w:bottom w:val="single" w:color="auto" w:sz="4" w:space="0"/>
              <w:right w:val="single" w:color="auto" w:sz="4" w:space="0"/>
            </w:tcBorders>
            <w:vAlign w:val="center"/>
          </w:tcPr>
          <w:p w14:paraId="02F3F747">
            <w:pPr>
              <w:keepNext w:val="0"/>
              <w:keepLines w:val="0"/>
              <w:pageBreakBefore w:val="0"/>
              <w:widowControl/>
              <w:kinsoku/>
              <w:wordWrap/>
              <w:overflowPunct/>
              <w:topLinePunct w:val="0"/>
              <w:bidi w:val="0"/>
              <w:spacing w:line="540" w:lineRule="exact"/>
              <w:jc w:val="center"/>
              <w:textAlignment w:val="auto"/>
              <w:rPr>
                <w:rFonts w:ascii="宋体" w:hAnsi="宋体"/>
                <w:bCs/>
                <w:kern w:val="0"/>
              </w:rPr>
            </w:pPr>
            <w:r>
              <w:rPr>
                <w:rFonts w:hint="eastAsia" w:ascii="宋体" w:hAnsi="宋体"/>
                <w:sz w:val="24"/>
              </w:rPr>
              <w:t>X</w:t>
            </w:r>
          </w:p>
        </w:tc>
        <w:tc>
          <w:tcPr>
            <w:tcW w:w="850" w:type="dxa"/>
            <w:tcBorders>
              <w:top w:val="single" w:color="auto" w:sz="4" w:space="0"/>
              <w:left w:val="single" w:color="auto" w:sz="4" w:space="0"/>
              <w:bottom w:val="single" w:color="auto" w:sz="4" w:space="0"/>
              <w:right w:val="single" w:color="auto" w:sz="4" w:space="0"/>
            </w:tcBorders>
            <w:vAlign w:val="center"/>
          </w:tcPr>
          <w:p w14:paraId="34B578D1">
            <w:pPr>
              <w:keepNext w:val="0"/>
              <w:keepLines w:val="0"/>
              <w:pageBreakBefore w:val="0"/>
              <w:widowControl/>
              <w:kinsoku/>
              <w:wordWrap/>
              <w:overflowPunct/>
              <w:topLinePunct w:val="0"/>
              <w:bidi w:val="0"/>
              <w:spacing w:line="540" w:lineRule="exact"/>
              <w:jc w:val="center"/>
              <w:textAlignment w:val="auto"/>
              <w:rPr>
                <w:rFonts w:ascii="宋体" w:hAnsi="宋体"/>
                <w:bCs/>
                <w:kern w:val="0"/>
              </w:rPr>
            </w:pPr>
            <w:r>
              <w:rPr>
                <w:rFonts w:hint="eastAsia" w:ascii="宋体" w:hAnsi="宋体"/>
                <w:sz w:val="24"/>
              </w:rPr>
              <w:t>X</w:t>
            </w:r>
          </w:p>
        </w:tc>
        <w:tc>
          <w:tcPr>
            <w:tcW w:w="992" w:type="dxa"/>
            <w:tcBorders>
              <w:top w:val="single" w:color="auto" w:sz="4" w:space="0"/>
              <w:left w:val="single" w:color="auto" w:sz="4" w:space="0"/>
              <w:bottom w:val="single" w:color="auto" w:sz="4" w:space="0"/>
              <w:right w:val="single" w:color="auto" w:sz="4" w:space="0"/>
            </w:tcBorders>
            <w:vAlign w:val="center"/>
          </w:tcPr>
          <w:p w14:paraId="60F55115">
            <w:pPr>
              <w:keepNext w:val="0"/>
              <w:keepLines w:val="0"/>
              <w:pageBreakBefore w:val="0"/>
              <w:kinsoku/>
              <w:wordWrap/>
              <w:overflowPunct/>
              <w:topLinePunct w:val="0"/>
              <w:bidi w:val="0"/>
              <w:spacing w:line="540" w:lineRule="exact"/>
              <w:jc w:val="center"/>
              <w:textAlignment w:val="auto"/>
              <w:rPr>
                <w:rFonts w:ascii="宋体" w:hAnsi="宋体"/>
              </w:rPr>
            </w:pPr>
            <w:r>
              <w:rPr>
                <w:rFonts w:hint="eastAsia" w:ascii="宋体" w:hAnsi="宋体"/>
                <w:sz w:val="24"/>
              </w:rPr>
              <w:t>X</w:t>
            </w:r>
          </w:p>
        </w:tc>
        <w:tc>
          <w:tcPr>
            <w:tcW w:w="1134" w:type="dxa"/>
            <w:tcBorders>
              <w:top w:val="single" w:color="auto" w:sz="4" w:space="0"/>
              <w:left w:val="single" w:color="auto" w:sz="4" w:space="0"/>
              <w:bottom w:val="single" w:color="auto" w:sz="4" w:space="0"/>
              <w:right w:val="single" w:color="auto" w:sz="4" w:space="0"/>
            </w:tcBorders>
            <w:vAlign w:val="center"/>
          </w:tcPr>
          <w:p w14:paraId="548EF1DA">
            <w:pPr>
              <w:keepNext w:val="0"/>
              <w:keepLines w:val="0"/>
              <w:pageBreakBefore w:val="0"/>
              <w:kinsoku/>
              <w:wordWrap/>
              <w:overflowPunct/>
              <w:topLinePunct w:val="0"/>
              <w:bidi w:val="0"/>
              <w:spacing w:line="540" w:lineRule="exact"/>
              <w:jc w:val="center"/>
              <w:textAlignment w:val="auto"/>
              <w:rPr>
                <w:rFonts w:ascii="宋体" w:hAnsi="宋体"/>
              </w:rPr>
            </w:pPr>
            <w:r>
              <w:rPr>
                <w:rFonts w:hint="eastAsia" w:ascii="宋体" w:hAnsi="宋体"/>
                <w:sz w:val="24"/>
              </w:rPr>
              <w:t>X</w:t>
            </w:r>
          </w:p>
        </w:tc>
        <w:tc>
          <w:tcPr>
            <w:tcW w:w="1134" w:type="dxa"/>
            <w:tcBorders>
              <w:top w:val="single" w:color="auto" w:sz="4" w:space="0"/>
              <w:left w:val="single" w:color="auto" w:sz="4" w:space="0"/>
              <w:bottom w:val="single" w:color="auto" w:sz="4" w:space="0"/>
              <w:right w:val="single" w:color="auto" w:sz="4" w:space="0"/>
            </w:tcBorders>
            <w:vAlign w:val="center"/>
          </w:tcPr>
          <w:p w14:paraId="689CEBC2">
            <w:pPr>
              <w:keepNext w:val="0"/>
              <w:keepLines w:val="0"/>
              <w:pageBreakBefore w:val="0"/>
              <w:widowControl/>
              <w:kinsoku/>
              <w:wordWrap/>
              <w:overflowPunct/>
              <w:topLinePunct w:val="0"/>
              <w:bidi w:val="0"/>
              <w:spacing w:line="540" w:lineRule="exact"/>
              <w:textAlignment w:val="auto"/>
              <w:rPr>
                <w:rFonts w:ascii="宋体" w:hAnsi="宋体"/>
                <w:kern w:val="0"/>
              </w:rPr>
            </w:pPr>
          </w:p>
        </w:tc>
      </w:tr>
      <w:tr w14:paraId="4504BD86">
        <w:tblPrEx>
          <w:tblCellMar>
            <w:top w:w="0" w:type="dxa"/>
            <w:left w:w="108" w:type="dxa"/>
            <w:bottom w:w="0" w:type="dxa"/>
            <w:right w:w="108" w:type="dxa"/>
          </w:tblCellMar>
        </w:tblPrEx>
        <w:trPr>
          <w:trHeight w:val="1843" w:hRule="atLeast"/>
        </w:trPr>
        <w:tc>
          <w:tcPr>
            <w:tcW w:w="1422" w:type="dxa"/>
            <w:gridSpan w:val="2"/>
            <w:tcBorders>
              <w:top w:val="single" w:color="auto" w:sz="4" w:space="0"/>
              <w:left w:val="single" w:color="auto" w:sz="4" w:space="0"/>
              <w:bottom w:val="single" w:color="auto" w:sz="4" w:space="0"/>
              <w:right w:val="single" w:color="auto" w:sz="4" w:space="0"/>
            </w:tcBorders>
            <w:vAlign w:val="center"/>
          </w:tcPr>
          <w:p w14:paraId="46D941AD">
            <w:pPr>
              <w:keepNext w:val="0"/>
              <w:keepLines w:val="0"/>
              <w:pageBreakBefore w:val="0"/>
              <w:kinsoku/>
              <w:wordWrap/>
              <w:overflowPunct/>
              <w:topLinePunct w:val="0"/>
              <w:bidi w:val="0"/>
              <w:spacing w:line="540" w:lineRule="exact"/>
              <w:jc w:val="center"/>
              <w:textAlignment w:val="auto"/>
              <w:rPr>
                <w:rFonts w:ascii="宋体" w:hAnsi="宋体"/>
                <w:sz w:val="24"/>
              </w:rPr>
            </w:pPr>
            <w:r>
              <w:rPr>
                <w:rFonts w:hint="eastAsia" w:ascii="宋体" w:hAnsi="宋体"/>
                <w:b/>
                <w:sz w:val="24"/>
              </w:rPr>
              <w:t>合计</w:t>
            </w:r>
          </w:p>
        </w:tc>
        <w:tc>
          <w:tcPr>
            <w:tcW w:w="8222" w:type="dxa"/>
            <w:gridSpan w:val="7"/>
            <w:tcBorders>
              <w:top w:val="single" w:color="auto" w:sz="4" w:space="0"/>
              <w:left w:val="single" w:color="auto" w:sz="4" w:space="0"/>
              <w:bottom w:val="single" w:color="auto" w:sz="4" w:space="0"/>
              <w:right w:val="single" w:color="auto" w:sz="4" w:space="0"/>
            </w:tcBorders>
            <w:vAlign w:val="center"/>
          </w:tcPr>
          <w:p w14:paraId="5B1FC840">
            <w:pPr>
              <w:keepNext w:val="0"/>
              <w:keepLines w:val="0"/>
              <w:pageBreakBefore w:val="0"/>
              <w:widowControl/>
              <w:kinsoku/>
              <w:wordWrap/>
              <w:overflowPunct/>
              <w:topLinePunct w:val="0"/>
              <w:bidi w:val="0"/>
              <w:spacing w:line="540" w:lineRule="exact"/>
              <w:textAlignment w:val="auto"/>
              <w:rPr>
                <w:rFonts w:ascii="宋体" w:hAnsi="宋体"/>
                <w:kern w:val="0"/>
              </w:rPr>
            </w:pPr>
            <w:r>
              <w:rPr>
                <w:rFonts w:hint="eastAsia" w:ascii="宋体" w:hAnsi="宋体"/>
                <w:b/>
                <w:sz w:val="24"/>
              </w:rPr>
              <w:t>大写：</w:t>
            </w:r>
            <w:r>
              <w:rPr>
                <w:rFonts w:hint="eastAsia" w:ascii="宋体" w:hAnsi="宋体"/>
                <w:b/>
                <w:sz w:val="24"/>
                <w:u w:val="single"/>
              </w:rPr>
              <w:t>　　　　　　　　　</w:t>
            </w:r>
            <w:r>
              <w:rPr>
                <w:rFonts w:hint="eastAsia" w:ascii="宋体" w:hAnsi="宋体"/>
                <w:b/>
                <w:sz w:val="24"/>
              </w:rPr>
              <w:t>（小写：　　　元）</w:t>
            </w:r>
          </w:p>
        </w:tc>
      </w:tr>
    </w:tbl>
    <w:p w14:paraId="7ADE4301">
      <w:pPr>
        <w:keepNext w:val="0"/>
        <w:keepLines w:val="0"/>
        <w:pageBreakBefore w:val="0"/>
        <w:kinsoku/>
        <w:wordWrap/>
        <w:overflowPunct/>
        <w:topLinePunct w:val="0"/>
        <w:bidi w:val="0"/>
        <w:snapToGrid w:val="0"/>
        <w:spacing w:line="540" w:lineRule="exact"/>
        <w:textAlignment w:val="auto"/>
        <w:rPr>
          <w:rFonts w:ascii="宋体" w:hAnsi="宋体"/>
          <w:b/>
          <w:sz w:val="24"/>
        </w:rPr>
      </w:pPr>
    </w:p>
    <w:p w14:paraId="3D10D5AD">
      <w:pPr>
        <w:keepNext w:val="0"/>
        <w:keepLines w:val="0"/>
        <w:pageBreakBefore w:val="0"/>
        <w:kinsoku/>
        <w:wordWrap/>
        <w:overflowPunct/>
        <w:topLinePunct w:val="0"/>
        <w:bidi w:val="0"/>
        <w:snapToGrid w:val="0"/>
        <w:spacing w:before="156" w:beforeLines="50" w:line="540" w:lineRule="exact"/>
        <w:jc w:val="right"/>
        <w:textAlignment w:val="auto"/>
        <w:rPr>
          <w:rFonts w:ascii="宋体" w:hAnsi="宋体" w:cs="宋体"/>
          <w:sz w:val="24"/>
        </w:rPr>
      </w:pPr>
    </w:p>
    <w:p w14:paraId="0F0C99FC">
      <w:pPr>
        <w:keepNext w:val="0"/>
        <w:keepLines w:val="0"/>
        <w:pageBreakBefore w:val="0"/>
        <w:kinsoku/>
        <w:wordWrap/>
        <w:overflowPunct/>
        <w:topLinePunct w:val="0"/>
        <w:bidi w:val="0"/>
        <w:snapToGrid w:val="0"/>
        <w:spacing w:before="156" w:beforeLines="50" w:line="540" w:lineRule="exact"/>
        <w:jc w:val="right"/>
        <w:textAlignment w:val="auto"/>
        <w:rPr>
          <w:rFonts w:ascii="宋体" w:hAnsi="宋体" w:cs="宋体"/>
          <w:sz w:val="24"/>
        </w:rPr>
      </w:pPr>
    </w:p>
    <w:p w14:paraId="3C5BC68E">
      <w:pPr>
        <w:keepNext w:val="0"/>
        <w:keepLines w:val="0"/>
        <w:pageBreakBefore w:val="0"/>
        <w:kinsoku/>
        <w:wordWrap/>
        <w:overflowPunct/>
        <w:topLinePunct w:val="0"/>
        <w:bidi w:val="0"/>
        <w:snapToGrid w:val="0"/>
        <w:spacing w:before="156" w:beforeLines="50" w:line="540" w:lineRule="exact"/>
        <w:jc w:val="right"/>
        <w:textAlignment w:val="auto"/>
        <w:rPr>
          <w:rFonts w:ascii="宋体" w:hAnsi="宋体" w:cs="宋体"/>
          <w:sz w:val="24"/>
        </w:rPr>
      </w:pPr>
      <w:r>
        <w:rPr>
          <w:rFonts w:hint="eastAsia" w:ascii="宋体" w:hAnsi="宋体" w:cs="宋体"/>
          <w:sz w:val="24"/>
        </w:rPr>
        <w:t>XXX有限公司</w:t>
      </w:r>
    </w:p>
    <w:p w14:paraId="57A65667">
      <w:pPr>
        <w:keepNext w:val="0"/>
        <w:keepLines w:val="0"/>
        <w:pageBreakBefore w:val="0"/>
        <w:kinsoku/>
        <w:wordWrap/>
        <w:overflowPunct/>
        <w:topLinePunct w:val="0"/>
        <w:bidi w:val="0"/>
        <w:snapToGrid w:val="0"/>
        <w:spacing w:line="540" w:lineRule="exact"/>
        <w:jc w:val="right"/>
        <w:textAlignment w:val="auto"/>
        <w:rPr>
          <w:rFonts w:ascii="宋体" w:hAnsi="宋体"/>
          <w:sz w:val="24"/>
        </w:rPr>
        <w:sectPr>
          <w:headerReference r:id="rId6" w:type="default"/>
          <w:footerReference r:id="rId8" w:type="default"/>
          <w:headerReference r:id="rId7" w:type="even"/>
          <w:footerReference r:id="rId9" w:type="even"/>
          <w:pgSz w:w="11906" w:h="16838"/>
          <w:pgMar w:top="1440" w:right="1080" w:bottom="1440" w:left="1080" w:header="851" w:footer="992" w:gutter="0"/>
          <w:cols w:space="720" w:num="1"/>
          <w:docGrid w:type="linesAndChars" w:linePitch="312" w:charSpace="0"/>
        </w:sectPr>
      </w:pPr>
      <w:r>
        <w:rPr>
          <w:rFonts w:hint="eastAsia" w:ascii="宋体" w:hAnsi="宋体"/>
          <w:sz w:val="24"/>
        </w:rPr>
        <w:t xml:space="preserve">                                                </w:t>
      </w:r>
      <w:r>
        <w:rPr>
          <w:rFonts w:hint="eastAsia" w:ascii="宋体" w:hAnsi="宋体"/>
          <w:sz w:val="24"/>
          <w:lang w:val="en-US" w:eastAsia="zh-CN"/>
        </w:rPr>
        <w:t>XX</w:t>
      </w:r>
      <w:r>
        <w:rPr>
          <w:rFonts w:hint="eastAsia" w:ascii="宋体" w:hAnsi="宋体"/>
          <w:sz w:val="24"/>
        </w:rPr>
        <w:t>年X月X日</w:t>
      </w:r>
    </w:p>
    <w:p w14:paraId="5602E175">
      <w:pPr>
        <w:keepNext w:val="0"/>
        <w:keepLines w:val="0"/>
        <w:pageBreakBefore w:val="0"/>
        <w:kinsoku/>
        <w:wordWrap/>
        <w:overflowPunct/>
        <w:topLinePunct w:val="0"/>
        <w:bidi w:val="0"/>
        <w:snapToGrid w:val="0"/>
        <w:spacing w:line="540" w:lineRule="exact"/>
        <w:textAlignment w:val="auto"/>
        <w:rPr>
          <w:rFonts w:ascii="宋体" w:hAnsi="宋体"/>
          <w:b/>
          <w:sz w:val="24"/>
        </w:rPr>
      </w:pPr>
      <w:r>
        <w:rPr>
          <w:rFonts w:hint="eastAsia" w:ascii="宋体" w:hAnsi="宋体"/>
          <w:b/>
          <w:sz w:val="24"/>
        </w:rPr>
        <w:t xml:space="preserve">附表二　售后服务承诺 </w:t>
      </w:r>
    </w:p>
    <w:p w14:paraId="6D2B3603">
      <w:pPr>
        <w:keepNext w:val="0"/>
        <w:keepLines w:val="0"/>
        <w:pageBreakBefore w:val="0"/>
        <w:kinsoku/>
        <w:wordWrap/>
        <w:overflowPunct/>
        <w:topLinePunct w:val="0"/>
        <w:bidi w:val="0"/>
        <w:snapToGrid w:val="0"/>
        <w:spacing w:line="540" w:lineRule="exact"/>
        <w:ind w:firstLine="480" w:firstLineChars="200"/>
        <w:textAlignment w:val="auto"/>
        <w:rPr>
          <w:rFonts w:ascii="宋体" w:hAnsi="宋体"/>
          <w:b/>
          <w:sz w:val="24"/>
        </w:rPr>
      </w:pPr>
      <w:r>
        <w:rPr>
          <w:rFonts w:hint="eastAsia" w:ascii="宋体" w:hAnsi="宋体"/>
          <w:b/>
          <w:sz w:val="24"/>
        </w:rPr>
        <w:t>(以复制投标文件中的内容为准)</w:t>
      </w:r>
    </w:p>
    <w:p w14:paraId="2D995F4F">
      <w:pPr>
        <w:keepNext w:val="0"/>
        <w:keepLines w:val="0"/>
        <w:pageBreakBefore w:val="0"/>
        <w:kinsoku/>
        <w:wordWrap/>
        <w:overflowPunct/>
        <w:topLinePunct w:val="0"/>
        <w:bidi w:val="0"/>
        <w:snapToGrid w:val="0"/>
        <w:spacing w:line="540" w:lineRule="exact"/>
        <w:jc w:val="right"/>
        <w:textAlignment w:val="auto"/>
        <w:rPr>
          <w:rFonts w:ascii="宋体" w:hAnsi="宋体"/>
          <w:sz w:val="24"/>
        </w:rPr>
      </w:pPr>
    </w:p>
    <w:p w14:paraId="3C61E88C">
      <w:pPr>
        <w:keepNext w:val="0"/>
        <w:keepLines w:val="0"/>
        <w:pageBreakBefore w:val="0"/>
        <w:kinsoku/>
        <w:wordWrap/>
        <w:overflowPunct/>
        <w:topLinePunct w:val="0"/>
        <w:bidi w:val="0"/>
        <w:snapToGrid w:val="0"/>
        <w:spacing w:line="540" w:lineRule="exact"/>
        <w:jc w:val="right"/>
        <w:textAlignment w:val="auto"/>
        <w:rPr>
          <w:rFonts w:ascii="宋体" w:hAnsi="宋体"/>
          <w:sz w:val="24"/>
        </w:rPr>
      </w:pPr>
    </w:p>
    <w:p w14:paraId="34BD9350">
      <w:pPr>
        <w:keepNext w:val="0"/>
        <w:keepLines w:val="0"/>
        <w:pageBreakBefore w:val="0"/>
        <w:kinsoku/>
        <w:wordWrap/>
        <w:overflowPunct/>
        <w:topLinePunct w:val="0"/>
        <w:bidi w:val="0"/>
        <w:snapToGrid w:val="0"/>
        <w:spacing w:line="540" w:lineRule="exact"/>
        <w:jc w:val="right"/>
        <w:textAlignment w:val="auto"/>
        <w:rPr>
          <w:rFonts w:hint="eastAsia" w:ascii="宋体" w:hAnsi="宋体"/>
          <w:sz w:val="24"/>
        </w:rPr>
      </w:pPr>
    </w:p>
    <w:p w14:paraId="62A5F72E">
      <w:pPr>
        <w:keepNext w:val="0"/>
        <w:keepLines w:val="0"/>
        <w:pageBreakBefore w:val="0"/>
        <w:kinsoku/>
        <w:wordWrap/>
        <w:overflowPunct/>
        <w:topLinePunct w:val="0"/>
        <w:bidi w:val="0"/>
        <w:snapToGrid w:val="0"/>
        <w:spacing w:line="540" w:lineRule="exact"/>
        <w:jc w:val="right"/>
        <w:textAlignment w:val="auto"/>
        <w:rPr>
          <w:rFonts w:hint="eastAsia" w:ascii="宋体" w:hAnsi="宋体"/>
          <w:sz w:val="24"/>
        </w:rPr>
      </w:pPr>
    </w:p>
    <w:p w14:paraId="431314BF">
      <w:pPr>
        <w:keepNext w:val="0"/>
        <w:keepLines w:val="0"/>
        <w:pageBreakBefore w:val="0"/>
        <w:kinsoku/>
        <w:wordWrap/>
        <w:overflowPunct/>
        <w:topLinePunct w:val="0"/>
        <w:bidi w:val="0"/>
        <w:snapToGrid w:val="0"/>
        <w:spacing w:line="540" w:lineRule="exact"/>
        <w:jc w:val="right"/>
        <w:textAlignment w:val="auto"/>
        <w:rPr>
          <w:rFonts w:hint="eastAsia" w:ascii="宋体" w:hAnsi="宋体"/>
          <w:sz w:val="24"/>
        </w:rPr>
      </w:pPr>
    </w:p>
    <w:p w14:paraId="3D61FE23">
      <w:pPr>
        <w:keepNext w:val="0"/>
        <w:keepLines w:val="0"/>
        <w:pageBreakBefore w:val="0"/>
        <w:kinsoku/>
        <w:wordWrap/>
        <w:overflowPunct/>
        <w:topLinePunct w:val="0"/>
        <w:bidi w:val="0"/>
        <w:snapToGrid w:val="0"/>
        <w:spacing w:line="540" w:lineRule="exact"/>
        <w:jc w:val="right"/>
        <w:textAlignment w:val="auto"/>
        <w:rPr>
          <w:rFonts w:hint="eastAsia" w:ascii="宋体" w:hAnsi="宋体"/>
          <w:sz w:val="24"/>
        </w:rPr>
      </w:pPr>
    </w:p>
    <w:p w14:paraId="4B5CF002">
      <w:pPr>
        <w:keepNext w:val="0"/>
        <w:keepLines w:val="0"/>
        <w:pageBreakBefore w:val="0"/>
        <w:kinsoku/>
        <w:wordWrap/>
        <w:overflowPunct/>
        <w:topLinePunct w:val="0"/>
        <w:bidi w:val="0"/>
        <w:snapToGrid w:val="0"/>
        <w:spacing w:line="540" w:lineRule="exact"/>
        <w:jc w:val="right"/>
        <w:textAlignment w:val="auto"/>
        <w:rPr>
          <w:rFonts w:hint="eastAsia" w:ascii="宋体" w:hAnsi="宋体"/>
          <w:sz w:val="24"/>
        </w:rPr>
      </w:pPr>
    </w:p>
    <w:p w14:paraId="1457EA6A">
      <w:pPr>
        <w:keepNext w:val="0"/>
        <w:keepLines w:val="0"/>
        <w:pageBreakBefore w:val="0"/>
        <w:kinsoku/>
        <w:wordWrap/>
        <w:overflowPunct/>
        <w:topLinePunct w:val="0"/>
        <w:bidi w:val="0"/>
        <w:snapToGrid w:val="0"/>
        <w:spacing w:line="540" w:lineRule="exact"/>
        <w:jc w:val="right"/>
        <w:textAlignment w:val="auto"/>
        <w:rPr>
          <w:rFonts w:hint="eastAsia" w:ascii="宋体" w:hAnsi="宋体"/>
          <w:sz w:val="24"/>
        </w:rPr>
      </w:pPr>
    </w:p>
    <w:p w14:paraId="7544B9CD">
      <w:pPr>
        <w:keepNext w:val="0"/>
        <w:keepLines w:val="0"/>
        <w:pageBreakBefore w:val="0"/>
        <w:kinsoku/>
        <w:wordWrap/>
        <w:overflowPunct/>
        <w:topLinePunct w:val="0"/>
        <w:bidi w:val="0"/>
        <w:snapToGrid w:val="0"/>
        <w:spacing w:line="540" w:lineRule="exact"/>
        <w:jc w:val="right"/>
        <w:textAlignment w:val="auto"/>
        <w:rPr>
          <w:rFonts w:hint="eastAsia" w:ascii="宋体" w:hAnsi="宋体"/>
          <w:sz w:val="24"/>
        </w:rPr>
      </w:pPr>
    </w:p>
    <w:p w14:paraId="4256ED2F">
      <w:pPr>
        <w:keepNext w:val="0"/>
        <w:keepLines w:val="0"/>
        <w:pageBreakBefore w:val="0"/>
        <w:kinsoku/>
        <w:wordWrap/>
        <w:overflowPunct/>
        <w:topLinePunct w:val="0"/>
        <w:bidi w:val="0"/>
        <w:snapToGrid w:val="0"/>
        <w:spacing w:line="540" w:lineRule="exact"/>
        <w:jc w:val="right"/>
        <w:textAlignment w:val="auto"/>
        <w:rPr>
          <w:rFonts w:hint="eastAsia" w:ascii="宋体" w:hAnsi="宋体"/>
          <w:sz w:val="24"/>
        </w:rPr>
      </w:pPr>
    </w:p>
    <w:p w14:paraId="45A39714">
      <w:pPr>
        <w:keepNext w:val="0"/>
        <w:keepLines w:val="0"/>
        <w:pageBreakBefore w:val="0"/>
        <w:kinsoku/>
        <w:wordWrap/>
        <w:overflowPunct/>
        <w:topLinePunct w:val="0"/>
        <w:bidi w:val="0"/>
        <w:snapToGrid w:val="0"/>
        <w:spacing w:line="540" w:lineRule="exact"/>
        <w:jc w:val="right"/>
        <w:textAlignment w:val="auto"/>
        <w:rPr>
          <w:rFonts w:hint="eastAsia" w:ascii="宋体" w:hAnsi="宋体"/>
          <w:sz w:val="24"/>
        </w:rPr>
      </w:pPr>
    </w:p>
    <w:p w14:paraId="13CFF5B3">
      <w:pPr>
        <w:keepNext w:val="0"/>
        <w:keepLines w:val="0"/>
        <w:pageBreakBefore w:val="0"/>
        <w:kinsoku/>
        <w:wordWrap/>
        <w:overflowPunct/>
        <w:topLinePunct w:val="0"/>
        <w:bidi w:val="0"/>
        <w:snapToGrid w:val="0"/>
        <w:spacing w:line="540" w:lineRule="exact"/>
        <w:jc w:val="right"/>
        <w:textAlignment w:val="auto"/>
        <w:rPr>
          <w:rFonts w:hint="eastAsia" w:ascii="宋体" w:hAnsi="宋体"/>
          <w:sz w:val="24"/>
        </w:rPr>
      </w:pPr>
    </w:p>
    <w:p w14:paraId="6509E9F6">
      <w:pPr>
        <w:keepNext w:val="0"/>
        <w:keepLines w:val="0"/>
        <w:pageBreakBefore w:val="0"/>
        <w:kinsoku/>
        <w:wordWrap/>
        <w:overflowPunct/>
        <w:topLinePunct w:val="0"/>
        <w:bidi w:val="0"/>
        <w:snapToGrid w:val="0"/>
        <w:spacing w:line="540" w:lineRule="exact"/>
        <w:jc w:val="right"/>
        <w:textAlignment w:val="auto"/>
        <w:rPr>
          <w:rFonts w:hint="eastAsia" w:ascii="宋体" w:hAnsi="宋体"/>
          <w:sz w:val="24"/>
        </w:rPr>
      </w:pPr>
    </w:p>
    <w:p w14:paraId="759D9D3E">
      <w:pPr>
        <w:keepNext w:val="0"/>
        <w:keepLines w:val="0"/>
        <w:pageBreakBefore w:val="0"/>
        <w:kinsoku/>
        <w:wordWrap/>
        <w:overflowPunct/>
        <w:topLinePunct w:val="0"/>
        <w:bidi w:val="0"/>
        <w:snapToGrid w:val="0"/>
        <w:spacing w:line="540" w:lineRule="exact"/>
        <w:jc w:val="right"/>
        <w:textAlignment w:val="auto"/>
        <w:rPr>
          <w:rFonts w:hint="eastAsia" w:ascii="宋体" w:hAnsi="宋体"/>
          <w:sz w:val="24"/>
        </w:rPr>
      </w:pPr>
    </w:p>
    <w:p w14:paraId="5BFDAA3C">
      <w:pPr>
        <w:keepNext w:val="0"/>
        <w:keepLines w:val="0"/>
        <w:pageBreakBefore w:val="0"/>
        <w:kinsoku/>
        <w:wordWrap/>
        <w:overflowPunct/>
        <w:topLinePunct w:val="0"/>
        <w:bidi w:val="0"/>
        <w:snapToGrid w:val="0"/>
        <w:spacing w:line="540" w:lineRule="exact"/>
        <w:jc w:val="right"/>
        <w:textAlignment w:val="auto"/>
        <w:rPr>
          <w:rFonts w:hint="eastAsia" w:ascii="宋体" w:hAnsi="宋体"/>
          <w:sz w:val="24"/>
        </w:rPr>
      </w:pPr>
    </w:p>
    <w:p w14:paraId="7BFC8C2A">
      <w:pPr>
        <w:keepNext w:val="0"/>
        <w:keepLines w:val="0"/>
        <w:pageBreakBefore w:val="0"/>
        <w:kinsoku/>
        <w:wordWrap/>
        <w:overflowPunct/>
        <w:topLinePunct w:val="0"/>
        <w:bidi w:val="0"/>
        <w:snapToGrid w:val="0"/>
        <w:spacing w:line="540" w:lineRule="exact"/>
        <w:jc w:val="right"/>
        <w:textAlignment w:val="auto"/>
        <w:rPr>
          <w:rFonts w:ascii="宋体" w:hAnsi="宋体"/>
          <w:sz w:val="24"/>
          <w:u w:val="single"/>
        </w:rPr>
      </w:pPr>
      <w:r>
        <w:rPr>
          <w:rFonts w:hint="eastAsia" w:ascii="宋体" w:hAnsi="宋体"/>
          <w:sz w:val="24"/>
        </w:rPr>
        <w:t>投标单位名称（盖章）:</w:t>
      </w:r>
      <w:r>
        <w:rPr>
          <w:rFonts w:hint="eastAsia" w:ascii="宋体" w:hAnsi="宋体"/>
          <w:sz w:val="24"/>
          <w:u w:val="single"/>
        </w:rPr>
        <w:t>xxxx</w:t>
      </w:r>
    </w:p>
    <w:p w14:paraId="1E1C6327">
      <w:pPr>
        <w:keepNext w:val="0"/>
        <w:keepLines w:val="0"/>
        <w:pageBreakBefore w:val="0"/>
        <w:kinsoku/>
        <w:wordWrap/>
        <w:overflowPunct/>
        <w:topLinePunct w:val="0"/>
        <w:bidi w:val="0"/>
        <w:snapToGrid w:val="0"/>
        <w:spacing w:line="540" w:lineRule="exact"/>
        <w:ind w:firstLine="720"/>
        <w:jc w:val="right"/>
        <w:textAlignment w:val="auto"/>
        <w:rPr>
          <w:rFonts w:ascii="宋体" w:hAnsi="宋体"/>
          <w:sz w:val="24"/>
        </w:rPr>
      </w:pPr>
      <w:r>
        <w:rPr>
          <w:rFonts w:hint="eastAsia" w:ascii="宋体" w:hAnsi="宋体"/>
          <w:sz w:val="24"/>
          <w:lang w:val="en-US" w:eastAsia="zh-CN"/>
        </w:rPr>
        <w:t>xxxx</w:t>
      </w:r>
      <w:r>
        <w:rPr>
          <w:rFonts w:hint="eastAsia" w:ascii="宋体" w:hAnsi="宋体"/>
          <w:sz w:val="24"/>
        </w:rPr>
        <w:t>年x月x日</w:t>
      </w:r>
    </w:p>
    <w:p w14:paraId="7F2D576A">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0C7BC85D">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7ADBF5A5">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67FA318B">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404287DA">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36BECA70">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6FF76353">
      <w:pPr>
        <w:keepNext w:val="0"/>
        <w:keepLines w:val="0"/>
        <w:pageBreakBefore w:val="0"/>
        <w:kinsoku/>
        <w:wordWrap/>
        <w:overflowPunct/>
        <w:topLinePunct w:val="0"/>
        <w:bidi w:val="0"/>
        <w:snapToGrid w:val="0"/>
        <w:spacing w:line="540" w:lineRule="exact"/>
        <w:jc w:val="left"/>
        <w:textAlignment w:val="auto"/>
        <w:rPr>
          <w:rFonts w:ascii="宋体" w:hAnsi="宋体"/>
          <w:sz w:val="24"/>
        </w:rPr>
      </w:pPr>
      <w:r>
        <w:rPr>
          <w:rFonts w:hint="eastAsia" w:ascii="宋体" w:hAnsi="宋体"/>
          <w:sz w:val="24"/>
        </w:rPr>
        <w:t>营业执照：</w:t>
      </w:r>
    </w:p>
    <w:p w14:paraId="3167B428">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327EA980">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51EC0840">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1A5BED20">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31368E9A">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2862D215">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3D5B6EC6">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1974D379">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6099EFE8">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0DA4A870">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1EF69387">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3A71B1F5">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12BE1E1D">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3AC4AEAC">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1DF8D542">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687B7D77">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45DFF63E">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2A4AF09B">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5B6D3C0A">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5DE4D976">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46A992A6">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5DCEA385">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3A4AFD76">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5E084756">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1F2E38E7">
      <w:pPr>
        <w:keepNext w:val="0"/>
        <w:keepLines w:val="0"/>
        <w:pageBreakBefore w:val="0"/>
        <w:kinsoku/>
        <w:wordWrap/>
        <w:overflowPunct/>
        <w:topLinePunct w:val="0"/>
        <w:bidi w:val="0"/>
        <w:snapToGrid w:val="0"/>
        <w:spacing w:line="540" w:lineRule="exact"/>
        <w:jc w:val="left"/>
        <w:textAlignment w:val="auto"/>
        <w:rPr>
          <w:rFonts w:ascii="宋体" w:hAnsi="宋体"/>
          <w:sz w:val="24"/>
        </w:rPr>
      </w:pPr>
      <w:r>
        <w:rPr>
          <w:rFonts w:hint="eastAsia" w:ascii="宋体" w:hAnsi="宋体"/>
          <w:sz w:val="24"/>
        </w:rPr>
        <w:t>法人身份证明：</w:t>
      </w:r>
    </w:p>
    <w:p w14:paraId="123313F1">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4962964A">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3C161525">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64323EF6">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6B5A264E">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10AE8330">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7D75AAE8">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701E18C4">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0C45C4BE">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4638217C">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491D928E">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43A7301F">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3C299EE3">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3609E12E">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62B10E4F">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083467E7">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34A0C5C5">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1AD121F7">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36A4B120">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649C7173">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43A2A040">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62B74B44">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13C31405">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19044525">
      <w:pPr>
        <w:keepNext w:val="0"/>
        <w:keepLines w:val="0"/>
        <w:pageBreakBefore w:val="0"/>
        <w:kinsoku/>
        <w:wordWrap/>
        <w:overflowPunct/>
        <w:topLinePunct w:val="0"/>
        <w:bidi w:val="0"/>
        <w:snapToGrid w:val="0"/>
        <w:spacing w:line="540" w:lineRule="exact"/>
        <w:jc w:val="left"/>
        <w:textAlignment w:val="auto"/>
        <w:rPr>
          <w:rFonts w:ascii="宋体" w:hAnsi="宋体"/>
          <w:sz w:val="24"/>
        </w:rPr>
      </w:pPr>
    </w:p>
    <w:p w14:paraId="6136C4E1">
      <w:pPr>
        <w:keepNext w:val="0"/>
        <w:keepLines w:val="0"/>
        <w:pageBreakBefore w:val="0"/>
        <w:kinsoku/>
        <w:wordWrap/>
        <w:overflowPunct/>
        <w:topLinePunct w:val="0"/>
        <w:bidi w:val="0"/>
        <w:snapToGrid w:val="0"/>
        <w:spacing w:line="540" w:lineRule="exact"/>
        <w:jc w:val="left"/>
        <w:textAlignment w:val="auto"/>
        <w:rPr>
          <w:rFonts w:ascii="宋体" w:hAnsi="宋体"/>
          <w:sz w:val="24"/>
        </w:rPr>
      </w:pPr>
      <w:r>
        <w:rPr>
          <w:rFonts w:hint="eastAsia" w:ascii="宋体" w:hAnsi="宋体"/>
          <w:sz w:val="24"/>
        </w:rPr>
        <w:t>委托书：</w:t>
      </w:r>
    </w:p>
    <w:p w14:paraId="48B49E44">
      <w:pPr>
        <w:keepNext w:val="0"/>
        <w:keepLines w:val="0"/>
        <w:pageBreakBefore w:val="0"/>
        <w:kinsoku/>
        <w:wordWrap/>
        <w:overflowPunct/>
        <w:topLinePunct w:val="0"/>
        <w:bidi w:val="0"/>
        <w:spacing w:line="540" w:lineRule="exact"/>
        <w:textAlignment w:val="auto"/>
        <w:rPr>
          <w:rFonts w:ascii="宋体" w:hAnsi="宋体"/>
          <w:b/>
          <w:color w:val="000000"/>
          <w:sz w:val="24"/>
        </w:rPr>
      </w:pPr>
    </w:p>
    <w:p w14:paraId="376418AB">
      <w:pPr>
        <w:keepNext w:val="0"/>
        <w:keepLines w:val="0"/>
        <w:pageBreakBefore w:val="0"/>
        <w:kinsoku/>
        <w:wordWrap/>
        <w:overflowPunct/>
        <w:topLinePunct w:val="0"/>
        <w:bidi w:val="0"/>
        <w:spacing w:line="540" w:lineRule="exact"/>
        <w:textAlignment w:val="auto"/>
        <w:rPr>
          <w:rFonts w:ascii="宋体" w:hAnsi="宋体"/>
          <w:b/>
          <w:color w:val="000000"/>
          <w:sz w:val="24"/>
        </w:rPr>
      </w:pPr>
    </w:p>
    <w:p w14:paraId="468943EB">
      <w:pPr>
        <w:snapToGrid w:val="0"/>
        <w:spacing w:line="440" w:lineRule="exact"/>
        <w:jc w:val="left"/>
        <w:rPr>
          <w:rFonts w:hint="eastAsia" w:ascii="宋体" w:hAnsi="宋体"/>
          <w:color w:val="auto"/>
          <w:sz w:val="24"/>
          <w:szCs w:val="24"/>
        </w:rPr>
      </w:pPr>
    </w:p>
    <w:p w14:paraId="49F01B9D">
      <w:pPr>
        <w:spacing w:line="440" w:lineRule="exact"/>
        <w:ind w:firstLine="5400" w:firstLineChars="2250"/>
        <w:rPr>
          <w:rFonts w:hint="eastAsia" w:ascii="宋体" w:hAnsi="宋体"/>
          <w:color w:val="auto"/>
          <w:sz w:val="24"/>
        </w:rPr>
      </w:pPr>
    </w:p>
    <w:p w14:paraId="70AF4468">
      <w:pPr>
        <w:spacing w:line="480" w:lineRule="exact"/>
        <w:rPr>
          <w:color w:val="auto"/>
        </w:rPr>
      </w:pPr>
    </w:p>
    <w:p w14:paraId="0658C44A">
      <w:pPr>
        <w:spacing w:line="480" w:lineRule="exact"/>
        <w:rPr>
          <w:color w:val="auto"/>
        </w:rPr>
      </w:pPr>
    </w:p>
    <w:p w14:paraId="20FAC79E">
      <w:pPr>
        <w:pStyle w:val="66"/>
        <w:rPr>
          <w:color w:val="auto"/>
        </w:rPr>
        <w:sectPr>
          <w:headerReference r:id="rId10" w:type="default"/>
          <w:footerReference r:id="rId11" w:type="default"/>
          <w:pgSz w:w="11906" w:h="16838"/>
          <w:pgMar w:top="1440" w:right="1797" w:bottom="1440" w:left="1797"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p>
    <w:p w14:paraId="29FEEA57">
      <w:pPr>
        <w:adjustRightInd w:val="0"/>
        <w:snapToGrid w:val="0"/>
        <w:jc w:val="center"/>
        <w:outlineLvl w:val="0"/>
        <w:rPr>
          <w:color w:val="auto"/>
        </w:rPr>
      </w:pPr>
      <w:bookmarkStart w:id="33" w:name="_Toc21986"/>
      <w:r>
        <w:rPr>
          <w:rFonts w:hint="eastAsia" w:ascii="宋体" w:hAnsi="宋体"/>
          <w:b/>
          <w:bCs/>
          <w:color w:val="auto"/>
          <w:sz w:val="32"/>
          <w:szCs w:val="32"/>
        </w:rPr>
        <w:t xml:space="preserve">第五章 </w:t>
      </w:r>
      <w:r>
        <w:rPr>
          <w:rFonts w:hint="eastAsia" w:ascii="宋体" w:hAnsi="宋体"/>
          <w:b/>
          <w:color w:val="auto"/>
          <w:sz w:val="32"/>
          <w:szCs w:val="32"/>
        </w:rPr>
        <w:t>采购需求</w:t>
      </w:r>
      <w:bookmarkEnd w:id="33"/>
    </w:p>
    <w:p w14:paraId="6D4EDF57">
      <w:pPr>
        <w:pStyle w:val="292"/>
        <w:keepNext/>
        <w:keepLines/>
        <w:adjustRightInd w:val="0"/>
        <w:snapToGrid w:val="0"/>
        <w:spacing w:before="156" w:beforeLines="50" w:line="360" w:lineRule="auto"/>
        <w:jc w:val="center"/>
        <w:outlineLvl w:val="1"/>
        <w:rPr>
          <w:rFonts w:hint="default" w:ascii="黑体" w:hAnsi="黑体" w:eastAsia="黑体"/>
          <w:b/>
          <w:bCs/>
          <w:color w:val="auto"/>
          <w:sz w:val="28"/>
          <w:szCs w:val="28"/>
          <w:lang w:val="en-US" w:eastAsia="zh-CN"/>
        </w:rPr>
      </w:pPr>
      <w:r>
        <w:rPr>
          <w:rFonts w:hint="eastAsia" w:ascii="黑体" w:hAnsi="黑体" w:eastAsia="黑体"/>
          <w:b/>
          <w:bCs/>
          <w:color w:val="auto"/>
          <w:sz w:val="28"/>
          <w:szCs w:val="28"/>
          <w:lang w:val="en-US" w:eastAsia="zh-CN"/>
        </w:rPr>
        <w:t>采购计划</w:t>
      </w:r>
    </w:p>
    <w:tbl>
      <w:tblPr>
        <w:tblStyle w:val="51"/>
        <w:tblW w:w="50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6"/>
        <w:gridCol w:w="2642"/>
        <w:gridCol w:w="1419"/>
        <w:gridCol w:w="1314"/>
        <w:gridCol w:w="2434"/>
      </w:tblGrid>
      <w:tr w14:paraId="513D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1" w:hRule="atLeast"/>
          <w:jc w:val="center"/>
        </w:trPr>
        <w:tc>
          <w:tcPr>
            <w:tcW w:w="377" w:type="pct"/>
            <w:tcBorders>
              <w:bottom w:val="single" w:color="auto" w:sz="4" w:space="0"/>
              <w:right w:val="single" w:color="000000" w:sz="4" w:space="0"/>
            </w:tcBorders>
            <w:vAlign w:val="center"/>
          </w:tcPr>
          <w:p w14:paraId="75880770">
            <w:pPr>
              <w:jc w:val="center"/>
              <w:rPr>
                <w:rFonts w:hint="eastAsia" w:ascii="宋体" w:hAnsi="宋体" w:eastAsia="宋体" w:cs="宋体"/>
                <w:b/>
                <w:color w:val="auto"/>
                <w:sz w:val="21"/>
                <w:szCs w:val="21"/>
              </w:rPr>
            </w:pPr>
            <w:r>
              <w:rPr>
                <w:rFonts w:hint="eastAsia" w:ascii="宋体" w:hAnsi="宋体" w:eastAsia="宋体" w:cs="宋体"/>
                <w:b/>
                <w:color w:val="auto"/>
                <w:sz w:val="21"/>
                <w:szCs w:val="21"/>
                <w:lang w:val="en-US" w:eastAsia="zh-CN"/>
              </w:rPr>
              <w:t>包</w:t>
            </w:r>
            <w:r>
              <w:rPr>
                <w:rFonts w:hint="eastAsia" w:ascii="宋体" w:hAnsi="宋体" w:eastAsia="宋体" w:cs="宋体"/>
                <w:b/>
                <w:color w:val="auto"/>
                <w:sz w:val="21"/>
                <w:szCs w:val="21"/>
              </w:rPr>
              <w:t>号</w:t>
            </w:r>
          </w:p>
        </w:tc>
        <w:tc>
          <w:tcPr>
            <w:tcW w:w="1564" w:type="pct"/>
            <w:tcBorders>
              <w:left w:val="single" w:color="000000" w:sz="4" w:space="0"/>
              <w:bottom w:val="single" w:color="auto" w:sz="4" w:space="0"/>
              <w:right w:val="single" w:color="000000" w:sz="4" w:space="0"/>
            </w:tcBorders>
            <w:vAlign w:val="center"/>
          </w:tcPr>
          <w:p w14:paraId="1C69B65E">
            <w:pPr>
              <w:jc w:val="center"/>
              <w:rPr>
                <w:rFonts w:hint="eastAsia" w:ascii="宋体" w:hAnsi="宋体" w:eastAsia="宋体" w:cs="宋体"/>
                <w:b/>
                <w:color w:val="auto"/>
                <w:sz w:val="21"/>
                <w:szCs w:val="21"/>
              </w:rPr>
            </w:pPr>
            <w:r>
              <w:rPr>
                <w:rFonts w:hint="eastAsia" w:ascii="宋体" w:hAnsi="宋体" w:eastAsia="宋体" w:cs="宋体"/>
                <w:b/>
                <w:color w:val="auto"/>
                <w:sz w:val="21"/>
                <w:szCs w:val="21"/>
                <w:lang w:val="en-US" w:eastAsia="zh-CN"/>
              </w:rPr>
              <w:t>包段</w:t>
            </w:r>
            <w:r>
              <w:rPr>
                <w:rFonts w:hint="eastAsia" w:ascii="宋体" w:hAnsi="宋体" w:eastAsia="宋体" w:cs="宋体"/>
                <w:b/>
                <w:color w:val="auto"/>
                <w:sz w:val="21"/>
                <w:szCs w:val="21"/>
              </w:rPr>
              <w:t>名称</w:t>
            </w:r>
          </w:p>
        </w:tc>
        <w:tc>
          <w:tcPr>
            <w:tcW w:w="840" w:type="pct"/>
            <w:tcBorders>
              <w:left w:val="single" w:color="auto" w:sz="4" w:space="0"/>
              <w:bottom w:val="single" w:color="auto" w:sz="4" w:space="0"/>
              <w:right w:val="single" w:color="000000" w:sz="4" w:space="0"/>
            </w:tcBorders>
            <w:vAlign w:val="center"/>
          </w:tcPr>
          <w:p w14:paraId="4FC6601F">
            <w:pPr>
              <w:jc w:val="center"/>
              <w:rPr>
                <w:rFonts w:hint="default" w:ascii="宋体" w:hAnsi="宋体" w:eastAsia="宋体" w:cs="宋体"/>
                <w:b/>
                <w:color w:val="auto"/>
                <w:sz w:val="21"/>
                <w:szCs w:val="21"/>
                <w:lang w:val="en-US" w:eastAsia="zh-CN"/>
              </w:rPr>
            </w:pPr>
            <w:r>
              <w:rPr>
                <w:rFonts w:hint="eastAsia" w:ascii="宋体" w:hAnsi="宋体" w:cs="宋体"/>
                <w:b/>
                <w:color w:val="auto"/>
                <w:sz w:val="21"/>
                <w:szCs w:val="21"/>
                <w:lang w:val="en-US" w:eastAsia="zh-CN"/>
              </w:rPr>
              <w:t>详细技术要求</w:t>
            </w:r>
          </w:p>
        </w:tc>
        <w:tc>
          <w:tcPr>
            <w:tcW w:w="778" w:type="pct"/>
            <w:tcBorders>
              <w:left w:val="single" w:color="000000" w:sz="4" w:space="0"/>
              <w:bottom w:val="single" w:color="auto" w:sz="4" w:space="0"/>
              <w:right w:val="single" w:color="000000" w:sz="4" w:space="0"/>
            </w:tcBorders>
            <w:vAlign w:val="center"/>
          </w:tcPr>
          <w:p w14:paraId="29261A7C">
            <w:pPr>
              <w:jc w:val="center"/>
              <w:rPr>
                <w:rFonts w:hint="eastAsia" w:ascii="宋体" w:hAnsi="宋体" w:eastAsia="宋体" w:cs="宋体"/>
                <w:b/>
                <w:color w:val="auto"/>
                <w:sz w:val="21"/>
                <w:szCs w:val="21"/>
              </w:rPr>
            </w:pPr>
            <w:r>
              <w:rPr>
                <w:rFonts w:hint="eastAsia" w:ascii="宋体" w:hAnsi="宋体" w:eastAsia="宋体" w:cs="宋体"/>
                <w:b/>
                <w:color w:val="auto"/>
                <w:sz w:val="21"/>
                <w:szCs w:val="21"/>
                <w:lang w:val="en-US" w:eastAsia="zh-CN"/>
              </w:rPr>
              <w:t>预算金额</w:t>
            </w:r>
          </w:p>
        </w:tc>
        <w:tc>
          <w:tcPr>
            <w:tcW w:w="1438" w:type="pct"/>
            <w:tcBorders>
              <w:left w:val="single" w:color="000000" w:sz="4" w:space="0"/>
              <w:bottom w:val="single" w:color="auto" w:sz="4" w:space="0"/>
              <w:right w:val="single" w:color="000000" w:sz="4" w:space="0"/>
            </w:tcBorders>
            <w:vAlign w:val="center"/>
          </w:tcPr>
          <w:p w14:paraId="7E301E76">
            <w:pPr>
              <w:jc w:val="center"/>
              <w:rPr>
                <w:rFonts w:hint="default" w:ascii="宋体" w:hAnsi="宋体" w:eastAsia="宋体" w:cs="宋体"/>
                <w:b/>
                <w:color w:val="auto"/>
                <w:sz w:val="21"/>
                <w:szCs w:val="21"/>
                <w:lang w:val="en-US" w:eastAsia="zh-CN"/>
              </w:rPr>
            </w:pPr>
            <w:r>
              <w:rPr>
                <w:rFonts w:hint="eastAsia" w:ascii="宋体" w:hAnsi="宋体" w:cs="宋体"/>
                <w:b/>
                <w:color w:val="auto"/>
                <w:sz w:val="21"/>
                <w:szCs w:val="21"/>
                <w:lang w:val="en-US" w:eastAsia="zh-CN"/>
              </w:rPr>
              <w:t>核心产品</w:t>
            </w:r>
          </w:p>
        </w:tc>
      </w:tr>
      <w:tr w14:paraId="30A9A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377" w:type="pct"/>
            <w:vAlign w:val="center"/>
          </w:tcPr>
          <w:p w14:paraId="5F81A098">
            <w:pPr>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w:t>
            </w:r>
          </w:p>
        </w:tc>
        <w:tc>
          <w:tcPr>
            <w:tcW w:w="1564" w:type="pct"/>
            <w:vAlign w:val="center"/>
          </w:tcPr>
          <w:p w14:paraId="59DBDA7B">
            <w:pPr>
              <w:jc w:val="center"/>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儿童发展与游戏实训室</w:t>
            </w:r>
          </w:p>
        </w:tc>
        <w:tc>
          <w:tcPr>
            <w:tcW w:w="840" w:type="pct"/>
            <w:vAlign w:val="center"/>
          </w:tcPr>
          <w:p w14:paraId="2C88B6A0">
            <w:pPr>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详见清单</w:t>
            </w:r>
          </w:p>
        </w:tc>
        <w:tc>
          <w:tcPr>
            <w:tcW w:w="778" w:type="pct"/>
            <w:shd w:val="clear" w:color="auto" w:fill="auto"/>
            <w:vAlign w:val="center"/>
          </w:tcPr>
          <w:p w14:paraId="722521A4">
            <w:pPr>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270148元</w:t>
            </w:r>
          </w:p>
        </w:tc>
        <w:tc>
          <w:tcPr>
            <w:tcW w:w="1438" w:type="pct"/>
            <w:vAlign w:val="center"/>
          </w:tcPr>
          <w:p w14:paraId="176F4FFE">
            <w:pPr>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精品课程资源</w:t>
            </w:r>
          </w:p>
        </w:tc>
      </w:tr>
      <w:tr w14:paraId="3D84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377" w:type="pct"/>
            <w:vAlign w:val="center"/>
          </w:tcPr>
          <w:p w14:paraId="79BBF327">
            <w:pPr>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2</w:t>
            </w:r>
          </w:p>
        </w:tc>
        <w:tc>
          <w:tcPr>
            <w:tcW w:w="1564" w:type="pct"/>
            <w:vAlign w:val="center"/>
          </w:tcPr>
          <w:p w14:paraId="59839673">
            <w:pPr>
              <w:jc w:val="center"/>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儿童心理与行为分析实训室</w:t>
            </w:r>
          </w:p>
        </w:tc>
        <w:tc>
          <w:tcPr>
            <w:tcW w:w="840" w:type="pct"/>
            <w:vAlign w:val="center"/>
          </w:tcPr>
          <w:p w14:paraId="17DB0370">
            <w:pPr>
              <w:jc w:val="center"/>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详见清单</w:t>
            </w:r>
          </w:p>
        </w:tc>
        <w:tc>
          <w:tcPr>
            <w:tcW w:w="778" w:type="pct"/>
            <w:shd w:val="clear" w:color="auto" w:fill="auto"/>
            <w:vAlign w:val="center"/>
          </w:tcPr>
          <w:p w14:paraId="1159E616">
            <w:pPr>
              <w:jc w:val="center"/>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402701.8元</w:t>
            </w:r>
          </w:p>
        </w:tc>
        <w:tc>
          <w:tcPr>
            <w:tcW w:w="1438" w:type="pct"/>
            <w:vAlign w:val="center"/>
          </w:tcPr>
          <w:p w14:paraId="7DA94167">
            <w:pPr>
              <w:jc w:val="center"/>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AI心理数字人（便携版）</w:t>
            </w:r>
          </w:p>
        </w:tc>
      </w:tr>
      <w:tr w14:paraId="1E33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377" w:type="pct"/>
            <w:vAlign w:val="center"/>
          </w:tcPr>
          <w:p w14:paraId="677A1ED7">
            <w:pPr>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3</w:t>
            </w:r>
          </w:p>
        </w:tc>
        <w:tc>
          <w:tcPr>
            <w:tcW w:w="1564" w:type="pct"/>
            <w:vAlign w:val="center"/>
          </w:tcPr>
          <w:p w14:paraId="457A9E5A">
            <w:pPr>
              <w:jc w:val="center"/>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儿童科学教育实训室</w:t>
            </w:r>
          </w:p>
        </w:tc>
        <w:tc>
          <w:tcPr>
            <w:tcW w:w="840" w:type="pct"/>
            <w:vAlign w:val="center"/>
          </w:tcPr>
          <w:p w14:paraId="04FDAE4E">
            <w:pPr>
              <w:jc w:val="center"/>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详见清单</w:t>
            </w:r>
          </w:p>
        </w:tc>
        <w:tc>
          <w:tcPr>
            <w:tcW w:w="778" w:type="pct"/>
            <w:shd w:val="clear" w:color="auto" w:fill="auto"/>
            <w:vAlign w:val="center"/>
          </w:tcPr>
          <w:p w14:paraId="676F75A9">
            <w:pPr>
              <w:jc w:val="center"/>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412997元</w:t>
            </w:r>
          </w:p>
        </w:tc>
        <w:tc>
          <w:tcPr>
            <w:tcW w:w="1438" w:type="pct"/>
            <w:vAlign w:val="center"/>
          </w:tcPr>
          <w:p w14:paraId="775C7852">
            <w:pPr>
              <w:jc w:val="center"/>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虚拟科学馆</w:t>
            </w:r>
          </w:p>
        </w:tc>
      </w:tr>
      <w:tr w14:paraId="33F5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5000" w:type="pct"/>
            <w:gridSpan w:val="5"/>
            <w:tcBorders>
              <w:bottom w:val="single" w:color="auto" w:sz="4" w:space="0"/>
            </w:tcBorders>
            <w:vAlign w:val="center"/>
          </w:tcPr>
          <w:p w14:paraId="420C52F0">
            <w:pPr>
              <w:jc w:val="center"/>
              <w:rPr>
                <w:rFonts w:hint="default" w:ascii="宋体" w:hAnsi="宋体" w:cs="宋体"/>
                <w:color w:val="auto"/>
                <w:sz w:val="21"/>
                <w:szCs w:val="21"/>
                <w:lang w:val="en-US" w:eastAsia="zh-CN"/>
              </w:rPr>
            </w:pPr>
            <w:r>
              <w:rPr>
                <w:rFonts w:hint="eastAsia" w:ascii="宋体" w:hAnsi="宋体" w:cs="宋体"/>
                <w:b/>
                <w:bCs/>
                <w:color w:val="auto"/>
                <w:sz w:val="21"/>
                <w:szCs w:val="21"/>
                <w:lang w:val="en-US" w:eastAsia="zh-CN"/>
              </w:rPr>
              <w:t>备注：本项目各包产品关于外形尺寸的表述允许±5%的偏差，不视为负偏离。</w:t>
            </w:r>
          </w:p>
        </w:tc>
      </w:tr>
    </w:tbl>
    <w:p w14:paraId="13C0838D">
      <w:pPr>
        <w:rPr>
          <w:color w:val="auto"/>
        </w:rPr>
      </w:pPr>
    </w:p>
    <w:p w14:paraId="5FE90801">
      <w:pPr>
        <w:pStyle w:val="3"/>
        <w:adjustRightInd w:val="0"/>
        <w:snapToGrid w:val="0"/>
        <w:spacing w:before="156" w:beforeLines="50" w:line="240" w:lineRule="auto"/>
        <w:jc w:val="center"/>
        <w:rPr>
          <w:color w:val="auto"/>
        </w:rPr>
      </w:pPr>
      <w:bookmarkStart w:id="34" w:name="_Toc31507"/>
      <w:r>
        <w:rPr>
          <w:rFonts w:hint="eastAsia" w:ascii="黑体" w:hAnsi="黑体" w:eastAsia="黑体"/>
          <w:color w:val="auto"/>
          <w:sz w:val="28"/>
          <w:szCs w:val="28"/>
        </w:rPr>
        <w:t>第一节 采购清单</w:t>
      </w:r>
      <w:bookmarkEnd w:id="34"/>
    </w:p>
    <w:p w14:paraId="271F9CBE">
      <w:pPr>
        <w:rPr>
          <w:color w:val="auto"/>
        </w:rPr>
      </w:pPr>
    </w:p>
    <w:tbl>
      <w:tblPr>
        <w:tblStyle w:val="51"/>
        <w:tblW w:w="531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6"/>
        <w:gridCol w:w="1020"/>
        <w:gridCol w:w="1748"/>
        <w:gridCol w:w="4170"/>
        <w:gridCol w:w="718"/>
        <w:gridCol w:w="637"/>
      </w:tblGrid>
      <w:tr w14:paraId="54CA7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6"/>
            <w:tcBorders>
              <w:top w:val="nil"/>
              <w:left w:val="nil"/>
              <w:bottom w:val="nil"/>
              <w:right w:val="nil"/>
            </w:tcBorders>
            <w:shd w:val="clear" w:color="auto" w:fill="FFFFFF"/>
            <w:noWrap/>
            <w:vAlign w:val="center"/>
          </w:tcPr>
          <w:p w14:paraId="5192FC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36"/>
                <w:szCs w:val="36"/>
                <w:u w:val="none"/>
              </w:rPr>
            </w:pPr>
            <w:r>
              <w:rPr>
                <w:rFonts w:hint="eastAsia" w:ascii="宋体" w:hAnsi="宋体" w:eastAsia="宋体" w:cs="宋体"/>
                <w:b/>
                <w:bCs/>
                <w:i w:val="0"/>
                <w:iCs w:val="0"/>
                <w:color w:val="auto"/>
                <w:kern w:val="0"/>
                <w:sz w:val="36"/>
                <w:szCs w:val="36"/>
                <w:u w:val="none"/>
                <w:lang w:val="en-US" w:eastAsia="zh-CN" w:bidi="ar"/>
              </w:rPr>
              <w:t>儿童发展与游戏实训室清单表</w:t>
            </w:r>
          </w:p>
        </w:tc>
      </w:tr>
      <w:tr w14:paraId="0FAB9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0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61810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7D99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区域</w:t>
            </w:r>
            <w:r>
              <w:rPr>
                <w:rFonts w:hint="eastAsia" w:ascii="宋体" w:hAnsi="宋体" w:eastAsia="宋体" w:cs="宋体"/>
                <w:b/>
                <w:bCs/>
                <w:i w:val="0"/>
                <w:iCs w:val="0"/>
                <w:color w:val="auto"/>
                <w:kern w:val="0"/>
                <w:sz w:val="22"/>
                <w:szCs w:val="22"/>
                <w:u w:val="none"/>
                <w:lang w:val="en-US" w:eastAsia="zh-CN" w:bidi="ar"/>
              </w:rPr>
              <w:br w:type="textWrapping"/>
            </w:r>
            <w:r>
              <w:rPr>
                <w:rFonts w:hint="eastAsia" w:ascii="宋体" w:hAnsi="宋体" w:eastAsia="宋体" w:cs="宋体"/>
                <w:b/>
                <w:bCs/>
                <w:i w:val="0"/>
                <w:iCs w:val="0"/>
                <w:color w:val="auto"/>
                <w:kern w:val="0"/>
                <w:sz w:val="22"/>
                <w:szCs w:val="22"/>
                <w:u w:val="none"/>
                <w:lang w:val="en-US" w:eastAsia="zh-CN" w:bidi="ar"/>
              </w:rPr>
              <w:t>名称</w:t>
            </w:r>
          </w:p>
        </w:tc>
        <w:tc>
          <w:tcPr>
            <w:tcW w:w="98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3C987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中文品名</w:t>
            </w:r>
          </w:p>
        </w:tc>
        <w:tc>
          <w:tcPr>
            <w:tcW w:w="235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6E9D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详细参数</w:t>
            </w:r>
          </w:p>
        </w:tc>
        <w:tc>
          <w:tcPr>
            <w:tcW w:w="40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EE68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数量</w:t>
            </w:r>
          </w:p>
        </w:tc>
        <w:tc>
          <w:tcPr>
            <w:tcW w:w="35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C4182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w:t>
            </w:r>
          </w:p>
        </w:tc>
      </w:tr>
      <w:tr w14:paraId="6F32C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AB3D1A">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97D302">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B6F751">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235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09B028">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4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C20F51">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7F55A3">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r>
      <w:tr w14:paraId="4ECE9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F53D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FCAC3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数学区</w:t>
            </w: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EFBC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投币</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1770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尺寸：29.5*14.5*6.7cm,</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材质：优质木材</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43F4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5913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53D4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8DEC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BAFF24">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41FF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100串珠</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5B78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尺寸：25*15.5*2.3cm，</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材质：亚克力</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2346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1A5C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7FF69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58B4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241ADD">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A0CF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立方珠链</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32F3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尺寸：38*14.5*22cm，</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材质：亚克力+铜丝</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90DA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E3DA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B53D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FB93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5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359A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感官区</w:t>
            </w:r>
          </w:p>
        </w:tc>
        <w:tc>
          <w:tcPr>
            <w:tcW w:w="334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C12A4C">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利旧听，嗅，触，视，味等</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03F3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7088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p>
        </w:tc>
      </w:tr>
      <w:tr w14:paraId="7CAC4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E789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EABBB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生活区</w:t>
            </w: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58D6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打开关上</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DD1C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红色六角盒一个，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复古袋子4个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74B3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7501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50AC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7F3E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75EF99">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3A11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拧瓶盖</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4238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藏青色六角盒一个，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塑料瓶子7个。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3F89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9E62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2D170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D608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92B411">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7695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晾衣服架</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1327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教具构成：晾衣服工作</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01BB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7D3A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FB7E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3441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06F5A8">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0752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拧螺丝工作</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CE8B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一个托盘，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4枚木质螺丝，螺母</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2281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5EAA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D8D5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6"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6485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DD0812">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CA05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串珠—串木珠</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262B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方形木盒一个，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鱼线绳子一根，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小珠子一包。</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5041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04CB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31B9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F8C7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3EC346">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3E8D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开锁工作</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BD50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5种种不同款式的锁，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一个小盘，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一个小号木托盘。</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88C0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9511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635EE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F452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B1F92B">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8674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扫的工作</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0BB9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短柄小扫把一个，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簸箕一个，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四方瓷盘一个，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中孔小木盘一个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E08F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0A38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6EBC8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8F64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40E941">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9B30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折布</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D960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尺寸：26*26cm，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材质：布料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3ED7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C1C4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0912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5E93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B01EAE">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14AE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倒物—对倒</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1B2E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教具构成：中孔小木盘，陶瓷壶2个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3200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CE31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2D71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1FEE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37A594">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53B5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倒物—倒物</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553E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教具构成：陶瓷壶一个，小陶碟2个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FE7C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1126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0C3C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9180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E70345">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4366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勺子舀羊毛球</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5B49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一短柄勺，两个瓷碟，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一包羊毛球。包装方式：白盒</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E8C1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99E6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2B221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2985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0858EC">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4EB6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夹子夹羊毛球</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7EFF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瓷碟2个，不锈钢夹子一个，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彩色毛球10个，中孔小木盘</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3F90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B14A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557A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E2D3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C39A39">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BA91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筷子夹羊毛球</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B15D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瓷碟2个，筷子二根，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筷子托一个，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彩色毛球10个，中孔小木盘</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2FA1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E14A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061B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4600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A14607">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2C40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镊子夹豆子</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EDF8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瓷碟一个，镊子一个，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豆子托三个，中孔小木盘一个。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452A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7D42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7D27D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F1BC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EEFF9A">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7503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夹子夹豆子</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F004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瓷碟一个，夹子一个，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豆子托一个，中孔小木盘一个。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698E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512B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6046E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9015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19DA3A">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E1BB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移水—海绵移水</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C41B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玻璃碗二个，玻璃碟一个，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木浆海绵一个，小号托盘一个。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6946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C0E1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4E1D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6453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4FECA9">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941E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倒水—对倒</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90DA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玻璃壶二个，木浆海绵一个，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小号托盘一个。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2041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94C4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5A5C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128C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AB6178">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1FF1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倒水—倒水</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688E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玻璃壶一个，玻璃碟二个，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木浆海绵一个，小号托盘一个。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5421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8C95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774D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F363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83C0B0">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221E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倒水—漏斗倒水</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8CEE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玻璃壶一个，玻璃瓶二个，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木浆海绵一个，不锈钢漏斗一个，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小号托盘一个。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1F6C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6E8F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7369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314D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0D7E3D">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9C8D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移水—滴管移水</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3347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玻璃杯二个，滴管一个，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木浆海绵一个，小号托盘一个。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89C3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BED5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7F8BB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1CE9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D910C1">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7E5E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移水—针管移水</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2F0E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玻璃杯二个，针管一个，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木浆海绵一个，小号托盘一个。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CB4A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A805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4A23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DC1E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FB00C4">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70D6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打泡泡套装</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1CE1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瓷壶一个，喷壶一个，瓷碗一个，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打蛋器一个，布垫一个，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中号托盘一个。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3295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8218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2BD0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6B9A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36282C">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39B4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垃圾分类</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D7BE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垃圾桶四个，卡片一套，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卡片收纳盒一个，打蛋器一个，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中号榉木托盘一个。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9F56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13C4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F8F1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8C9F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7ADC3D">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38D3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量杯工作组</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6D69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玻璃量杯5个（5ml、10ml、25ml、</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50ml、100ml），小号榉木托盘一个。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1F21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02FD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0D90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0A27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62CCD5">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C625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一分为二</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9BC2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玻璃碟二个，夹子一个，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毛线球一包，大碟一个，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小号榉木托盘一个。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75A9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F853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FE35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2316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54D477">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D77A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一分为三</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8C9B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玻璃碟三个，夹子一个，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毛线球一包，大碟一个，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小号榉木托盘一个。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7908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F8ED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0183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90CB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8544D4">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357B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敲的工作</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750C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软木塞3个，图钉一盒，</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木锤一个，中孔小木盘一个。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78B8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0092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4896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71E6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F2566F">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17B4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二指抓</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B8C4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一个带孔木质底座，9个小圆柱，</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可嵌入底座的圆孔，锻炼宝宝手指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灵活性，精准度，材质：多层板。</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包装方式：白盒</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B57B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ECD1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4E12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DEEC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D09A02">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202E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二指塞球</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FF3D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一个塑料托盘，一个塑料圆碗，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二指塞盘一个， 毛球9颗</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FF3A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2C55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11BE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FF91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78373B">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4F39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掸灰尘</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F222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共计2件产品，羊毛一团，篮子一个。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E0D7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B868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E788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C3F5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552C3D">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32E5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桌面清洁</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BEAF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共计2件产品，刷子一个，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小号榉木托盘一个。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AFFE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CC9B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2AB6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597A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A69CA9">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983B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儿童拖把 小/大</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8779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共计1件产品，木柄把拖一个（小：总长80cm，大：总长95cm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BC5A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79FF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A24C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58BE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943A56">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C052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清洁工具</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BB53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共计3件产品，长柄扫把1个，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拖把一个，小扫把一个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1060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D019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5418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EA1D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C0D26C">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787E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擦桌子</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F515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共计3件产品，天然希腊海绵1个，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陶瓷粉碟子1个 ，手套抹布1个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794C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A5E0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3F84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2214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060D96">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829A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洗桌子</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C507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教具的构成：共计10件产品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，天然希腊海绵1个，不锈钢桶1个，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手套抹布1个，儿童围裙1个，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不绣钢碟子*3个， 不绣钢碗1个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不绣钢杯1个 ，桌面刷1个。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大号白盘一个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36C6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046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3E8A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684B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07E7D0">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7538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洗餐具</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02FE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教具构成：米色铁盆2个，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米色水桶1个，米色水壶1个，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透明皂盒1个，海绵1个，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米色毛巾1条，透明塑料瓶1个，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木柄清洁刷1个，亚克力托盘1个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，餐具沥水架1套，玻璃杯沥水架1套</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6169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1C0E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35C1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224E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AB1026">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C723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洗布</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8CFA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教具的构成：共计10件产品，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铁盆*2个， 铁桶1个 ，取水壶一个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榉木搓衣板1个，儿童围裙1个，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手套抹布1个，碟子1个，塑料篮2个。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7524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D51D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48AC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8D8C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D6DC11">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651E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晾布</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3CCB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共计2件产品，夹子一包。</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08B3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924C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3E9C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5F0D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1FD665">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DA26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削铅笔</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85CE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一削笔刀，一个小刷子，一个小碟，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一个小号高端白盘</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2686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1DBE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9B16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305E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5CF39A">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DBF0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擦亮木器</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B55C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一个垫子，一个小瓶，一个木碟，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一个手抹布，一个海绵，</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一个小号高端白盘</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7F0F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BBAA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0FB2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2018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41</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76C821">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AB5E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擦亮金属</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5107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一个垫子，一个小瓶，一个金属碟，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一个手抹布，一个小号高端白盘</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EA15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FF53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0067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1610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74613C">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8F64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擦亮镜子</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D99A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一个垫子，，一个小瓶，一个小刷，</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一个手抹布，一个镜子，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一个小号高端白盘</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F51E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0648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7DFBD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0288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A36447">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7547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清洁玻璃窗</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CF34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共计4件产品：1个清洁提篮，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1个喷水壶，高端纯绵毛巾，</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1个刮窗器。</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D40F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B832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4002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6071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1F09FA">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1FF4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插花</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7FC4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共计10件产品：1个大号中孔木托盘，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1个天然海绵，不绣钢漏斗，杯垫，</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取水壶，插花器，玻璃瓶</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FDB8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7C57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7B87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AB16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337CC3">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7144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浇水套装</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201A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共计4件产品：有孔托盘1个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天然希腊海绵1个，陶瓷绿碟子1个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晒水壶1个。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2733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38B1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6751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8D5E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46</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D7E184">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2EAD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叶子清洗套装</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69AB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共计4件产品：有孔托盘1个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抹布1个 ，陶瓷绿碟子1个，晒水壶1个。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528E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E756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62917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FD67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47</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A22B6C">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AAE9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照顾植物套装</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5E75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共计7件产品：有孔托盘1个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天然希腊海绵1个，陶瓷绿碟子1个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晒水壶1个，,喷水壶1个，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剪刀一个，篮子一个。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E8D9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65B1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718C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9EB0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48</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7B13F0">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07C3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种植发芽</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6AC4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共计15件产品：托盘1个 花卉瓶3个，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碟子1个 ，瓶子1个，花卉牌3个,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种子一包，沥水盘1个，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工具三个，篮子一个。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1BC5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C877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7B8EC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D99E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C52A88">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185F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洗手</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4794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共计7件产品，围裙1个，抺布一块，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小毛巾一块， 碟子一个，铁盆*1个，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铁桶1个 ，取水壶一个 </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96E3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C54B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7C91D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84B9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CE54FD">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6513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刷牙</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AE49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6倍牙齿模型一个，牙刷一个，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杯子一个，小蝶2个，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木桨海绵一个，白色托盘一个。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A245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2661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21AE8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DD00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51</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BC6387">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2AC2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清洁鞋子</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673A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1个刷子，1个中孔小号木盘。</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5554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4396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3CEC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FEEB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9A3429">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B4E0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擦亮鞋子</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3925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共计5个产品：1个刷子，1盒鞋蜡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1个手指抹布，1个擦球，</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1个中孔小号木盘。</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B6DD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3F23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2F09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14FC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3C128C">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4BB2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洗鞋子</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957D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1个中孔小号木盘，1个刷子，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1个蝶子 ，1个手指抹布，1个瓶子。</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1972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C71F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2D67D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2858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2E6D62">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BC66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擦鞋套装</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B234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教具的构成：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共计6件产品：1个刷子，1个垫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1个手指抹布，1盒鞋油，1个鞋刷子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，1个中孔小号木盘。</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FF94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9D83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6D3F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7AB1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C82399">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BF98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原木梳妆组合</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3A56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挂袋尺寸：71*60cm蓝色蕾丝桌布80*80cm</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16C5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B1DD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CF3B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D0E1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56</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8E1AE0">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E9C3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砧板组合</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5598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大砧板尺寸：22.5*16.5cm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带手柄砧板尺寸：30*13.5cm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小砧板尺寸：14*10.5cm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BA4D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B380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66276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9EBD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57</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A91637">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BC77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洗果蔬</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0082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水果篮一个，大号碟子一个，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小号洗碟子一个，布垫一个，夹子一个，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小号碟子一个，高端白盘一个。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D1D3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1AD7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2A586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A1B5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D60D3F">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4BE4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果蔬磨泥</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F9D6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木勺子一个，大号碟子一个，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小号碟子二个，高端白盘一个。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A1E3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C823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8AF0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AF3D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E04710">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6D1F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剥果皮</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92D9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不锈钢小夹子一个，切板一个，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圆碗一个，圆盘一个，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小筐一个，高端白盘一个。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F23A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762F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8525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62B1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32380A">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0A29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舀果肉</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702F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高端白盘一个，圆碗一个，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勺子一个，圆盘一个，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A4A5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082F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DACF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755D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61</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041E8F">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ED26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削皮与切</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39B0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高端白盘一个，圆碗一个，圆盘一个，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刮皮刀一个，夹子一个，安全切刀一个，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砧板一个，方盘一个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ED35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021E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2B01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2E11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E5EB1E">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91B7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剥皮与切</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C479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高端白盘一个，圆碗一个，圆盘一个，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夹子一个，安全切刀一个，砧板一个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，玻璃椭圆盘一个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34FB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BFC3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E7E7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9B4C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EFEE45">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5D9B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分割苹果</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EC70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高端白盘一个，圆碗一个，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圆盘一个，夹子一个，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切苹果器一个，玻璃碗一个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5425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DF78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6100A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E88C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7E8A56">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8737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剪葱花</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B5B0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高端白盘一个，长方形木板一个，不锈钢圆头小剪刀一个，玻璃椭圆盘一个，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圆碗一个，迷你圆碗一个。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AD47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E204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4213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A34C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65</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275C90">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FE61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大蒜去皮</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9D45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高端白盘一个，大圆碗一个，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小圆碗一个，砧板一个，小竹碟一个，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硅胶去皮器一个。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7756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07D6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69097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901C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66</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54709F">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8CD2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烘培</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502A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围裙套装一个，烘焙模具一套，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擀面杖一个塑料刮板一个，定时器一个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，黄硅胶刷一个，不锈钢打蛋器一个，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木勺一个，亚克力盆一个，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大白塑料盒两个，长方形收纳盒一个。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FA95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3E9F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ECF6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4218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67</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F26674">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A60B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涂抹果酱</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6647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高端白盘一个，迷你圆碗一个，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圆盘一个，木板一个，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果酱刀一个，方盘一个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7C3A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D33D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9093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FF8D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68</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A397EE">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6749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做饭团</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1B5F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高端白盘一个，亚克力罐一个，迷你圆碗一个，圆碗一个，食物夹一个，饭团器一个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BE0F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54F8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3962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E9F0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69</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D496D4">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A3A9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榨果汁</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C028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高端白盘一个，砧板一个，榨汁器一个，玻璃杯一个，圆碗两个，船形玻璃盘一个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F32F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6DC3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ECF5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112E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B48FD7">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3383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切鸡蛋</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DCB6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高端白盘一个，木蛋杯一个，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切蛋器一个，砧板一个，圆碗一个，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椭圆碗一个，食物夹一个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4626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C7F2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62FAE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31AF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3E8EDE">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420A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切香蕉</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CC11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砧板一个，不锈钢花头夹一个，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安全切刀一个，船形玻璃盘一个，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高端白盘一个，香蕉模具一个，圆碗一个，圆盘一个。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498D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5CFB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2E88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3D70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BE7813">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9591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切草莓</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F208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高端白盘一个，不锈钢夹子一个，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塑料砧板一个，圆碗 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迷你圆碗一个，圆盘一个，草莓模具一个。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EA62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71B7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19B8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1F9B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F3B33B">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37C7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撬开果壳</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9FEB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木托盘一个，方瓷碟一个，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花形碟一个，椭圆瓷碟一个，开口器一个。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6461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9C9A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C017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E395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8E5910">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1A47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夹开瓜子壳</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1655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木托盘一个，方瓷碟一个，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花形碟一个，椭圆瓷碟一个，坚果钳一个。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1096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F974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09DC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2684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75</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D811F1">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9BAD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敲开果壳</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3CCD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木托盘一个，方瓷碟一个，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椭圆瓷碟一个，椭圆木盘一个，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不锈钢锤子一个。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B53B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7FBB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A6BE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8D00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76</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AA89D4">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5D98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研磨鸡蛋壳</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C0CB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木托盘一个，瓷罐一个，研磨碗一个，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软毛小刷子一个，圆形杯垫一个，陶瓷雕花一个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1A2E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4881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D26E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A2FF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77</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0A23C8">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96B4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用餐套装</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1E52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硅胶餐垫一个，不锈钢勺子一个，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不锈钢叉子一个，双耳盘一个，玻璃杯一个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F652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C058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DBCC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E199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78</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5A6158">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F827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颜色配对</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F905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单个小桶尺寸：4.5*4.7cm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材质：铁皮、羊毛</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F942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6387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2742D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1260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79</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BBE416">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A8F0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盘扣配对</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5394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材质：木质</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053D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5245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4407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7F82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D8E9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 xml:space="preserve"> 科学区</w:t>
            </w: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8DBC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谷物分类</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30F4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木托盘一个，尖头镊子一个，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12格塑料盒，方形盒一个。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E3DF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520F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27D5F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FE10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7A8C70">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66BB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放大镜</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C06D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尺寸：24.5*24cm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6CAD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B2AF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032E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5AD6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6E3BB5">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A43B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万花筒</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4322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木托盘一个，方木碟一个，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万花图案纸，万花筒一个。</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90EA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0053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1AA8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3EB7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34E057">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C077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磁铁</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50EE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教具构成：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木托盘一个，毛毡垫一个，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卡片、竹碟、布袋、磁铁、荷木环各一个，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磁性组合。</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16FF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2B03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B325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1C49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6C9D97">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09DD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伏与沉</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1005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尺寸：25*20cm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材质：实木+玻璃</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8BE7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CB96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DD04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C8FC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C71214">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293C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沙滩及贝壳探索</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6C68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尺寸：25*20cm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材质:实木+贝壳</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16AD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9315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E22F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7DCF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FB3C27">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658C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火山爆发</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2FDC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包装尺寸：22.7*15.5cm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材质：安全食品级</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57A6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7272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A3B0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E6E0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F2D8ED">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69CE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工程车套装</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91BF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尺寸：30*20cm </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材质：木质+塑料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A62E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D737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A941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59AF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D50131">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2EE7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五金工具套装</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1288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木托盘尺寸：30*20*4cm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材质：木质+塑料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4DDE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FA1D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68028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3A46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A2DD93">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A3D1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杂粮</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DF92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尺寸：30*20cm </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材质：木质+塑料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1DCE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60D5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6EF9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B630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85A93F">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E752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真实物品：文房四宝</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97CD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托盘尺寸：20*30cm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材质：木制</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9DF9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CAF4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9A69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AF1F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1697BC">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CC12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真实物品：贝壳</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6C41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托盘尺寸：20*30cm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材质：木制</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CD69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49DE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F62F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9159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6545E2">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4CD6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旧物利用</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8A9E8A">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2"/>
                <w:szCs w:val="22"/>
                <w:u w:val="none"/>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9A98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A3E3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p>
        </w:tc>
      </w:tr>
      <w:tr w14:paraId="29CA3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9C2E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697EB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艺术区</w:t>
            </w: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11F9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旧物利用</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FD5502">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2"/>
                <w:szCs w:val="22"/>
                <w:u w:val="none"/>
              </w:rPr>
            </w:pP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5073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D47C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p>
        </w:tc>
      </w:tr>
      <w:tr w14:paraId="2D462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A869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70C6F8">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74A4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刺的工作</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FA61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材质：榉木+纸，托盘尺寸：20*25*3cm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5B6B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7896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7AE0F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CD13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4E272B">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5645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蜡笔涂鸦</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7953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材质：托盘尺寸：20*30cm,材质：木制</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5C69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8815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CE1D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FE7F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0BD9AB">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AA3C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剪纸</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9F36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材质：榉木+纸，托盘尺寸：25*20*3cm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1444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19DC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FE6A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70D7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38216A">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BCF6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水彩涂鸦</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8ADB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小塑料盒尺寸：18*13*4.5cm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平把密胺托盘尺寸：25.5*19*3cm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CA5A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E5B7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A9CE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9898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6A3890">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341F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缝纫套装</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E734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尺寸：托盘20*15*4cm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,材质：木制</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90EB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130C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95D9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8B38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CC456E">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C694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绕绳</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92AB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尺寸：托盘20*15*4cm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,材质：木制</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8E37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55E5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1E47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09F7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8F7C42">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B781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压花工作套装</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F891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尺寸：托盘25*20*4cm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,教具包含：</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压花器，亚克力盒，尖头镊子</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7B84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A9F9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6177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FB5E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2668BA">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DF06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小印章</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8BF9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尺寸：托盘20*15*4cm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教具包含：圆竹碟，印泥，印章</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1787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7240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243D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0081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6A729F">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1248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手指画</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7B77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托盘尺寸：20*25cm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,白色密胺托盘</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38BD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B588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A966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6B22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AF4E0B">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4FAD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小黑板涂鸦</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0C5C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黑板尺寸：18*25.5</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,材质：木制</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FEEC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724B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656D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577C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DA57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语言区</w:t>
            </w: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AB75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青蛙的成长周期</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F4EF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9CF6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6E87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281A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9C55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59A6BF">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46C3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鱼的成长周期</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96BF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8E97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9834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0364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CE92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82F924">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311F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海龟的成长周期</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7F87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509C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8CAE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77B80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87E3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AC2CDE">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E3DA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蝴蝶的成长周期</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8F64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A1EA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0B66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7FA33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DFFD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79B7A5">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88E3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公鸡的成长周期</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8F71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3C8C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E6BA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26394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DF61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67FE2B">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BB8D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蝉的成长周期</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F1CD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2ECA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E456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06C5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0F86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25CBE9">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BC44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蜻蜓的成长周期</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C261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2DA7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0277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6DCB1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67CD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00F22F">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C71B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蚂蚁的成长周期</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B296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F4A5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7CFE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13CC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6F2A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A58603">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084A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七星瓢虫成长周期</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F9D9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66DC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5C50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25555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212B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22FD69">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FDE5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种子的成长周期</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D2DA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9BD0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2D4B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0041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2231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DCFB4D">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E411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鳄鱼的成长周期</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9EBF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2747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AC5B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4D4D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F1BD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60891A">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BE11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昆虫套装</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14D5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E3CC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9E0A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B2D2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043F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FCC567">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75FB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海洋动物套装</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BFD2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A382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CE74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7A130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AC4C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AB7F29">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BDB3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家禽家畜套装</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0B06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1C38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77DB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35D9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DBB5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09F5C0">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B42B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野生动物套装（一）</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5BEC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87DD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A21E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4E4A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C650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41D2E3">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2295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野生动物套装（二）</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45E7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091E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6EA7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BF82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C988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E0DB00">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9E8F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鸟类套装（一）</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58B2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D2CC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A13B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216A3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EAA4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05DE01">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B42B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鸟类套装（二）</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A08D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605F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8784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6A0C3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8FF6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CB6272">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4171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十二生肖套装</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7608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,材质：木+塑料</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F28A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91D3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957E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BA04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DB85C2">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D6DC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复制品：衣物</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78A8B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1.托盘尺寸：37*28.2*11.6CMcm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包含：帽子、围巾、手套、套衫、</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外套、长裤、袜子、雪地靴、草编</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E35C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47D9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3791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3FC0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148844">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8C13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西洋乐器</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C1B61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1.托盘材质：榉木+多层板（底）。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2.托盘尺寸：25*20cm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3.乐器材质:榉木、金属</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4.乐器尺寸：萨克斯8.5cm、圆号5.5cm、太阳号6.5cm、巴立东8cm、长号8.5cm、长笛7.5cm</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3E79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C3B5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8CA8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80ED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47D4F4">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AD1B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中式乐器</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E42D4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1.托盘材质：榉木+多层板（底）。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2.托盘尺寸：25*20cm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3.乐器材质:木制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4.乐器尺寸：中阮(ruan)长10.5CM、板胡10.1CM、琵琶10.3CM、二胡10CM、三弦琴10.3CM</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56C6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D39C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6B9F5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2D6B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AF35F9">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283B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完全对应：缝纫</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C57E6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剪刀、缝纫球、线一卷、扣子、拉链、缝纫用品完全对应卡片1组、榉木托盘1个尺寸:托盘:30*20cm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卡片:17*12.5cm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0B8B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A6F3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42F6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6639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FB120A">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30C3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完全对应：梳妆用品</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F0AD2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镜子、梳子、发箍、发夹、梳妆用品完全对应卡片1组、中号榉木托盘尺寸:长30cm*宽20cm*高5.2cm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59D9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956B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0738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5CBA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1261C3">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9A53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完全对应：文具</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1B137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橡皮、尺子、铅笔、纸、透明胶梳妆用品完全对应卡片1组、榉木托盘1个尺寸:托盘:30*20cm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卡片:17*12.5cm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9926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EA85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7506F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3659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338AAD">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4F0D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家具-卫生间</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A82EF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1.材质：榉木+多层板（底）。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2.托盘尺寸：25*20cm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3卫生间家具三件套，浴缸，马桶尺寸：5*6*3.5CM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，洗手台尺寸：8.5*6*3.5CM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B354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3FB4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9BD6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0261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039C25">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6D83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家具-餐厅</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4E701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1.材质：榉木+多层板（底）。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2.托盘尺寸：25*20cm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3.餐厅家具七件套，餐桌尺寸：φ4.5CM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，餐椅尺寸：6.4*4*3CM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，柜子尺寸：1.5*6.3.5CM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，灶台尺寸：10.2*11*4.7CM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7F57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D5C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2F97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DD42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9B4D03">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7FCD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家具-客厅</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1EC62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1.材质：榉木+多层板（底）。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2.托盘尺寸：25*20cm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3.客厅家具六件套，长沙发尺寸：12*6.5*5CM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，单人沙发尺寸：8*6.5*5CM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，茶几尺寸：10*5*4CM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，电视尺寸：8.5*7*3CM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，落地灯尺寸：11.5*4.5CM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B2EF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30A9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F2E2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7748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33ABE8">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1BDC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家具-卧室</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348B1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1.材质：榉木+多层板（底）。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2.托盘尺寸：25*20cm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3.卧室家具四件套，床尺寸：14.5*11*5.5CM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，梳妆台尺寸：9.5*6.4CM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，床头柜尺寸：4*4*3CM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，小台灯尺寸：3*2.5CM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59D3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6B99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2CA3C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78BF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DD652D">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C46C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开锁练习</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BD2C2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材质：榉木+多层板</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尺寸：30.2*12.2*13.8CM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9914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AD71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2517F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A24D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CE5E99">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909A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拼音活动箱</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B32CB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1.材质：榉木+其他木质。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2.包装尺寸：52*39*4cm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3.功能：学习认识汉语拼音字母。</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4.规格：28对，56张pvc卡片</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E7C9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9AD5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63C5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ADCE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1717A9">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54A6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声调</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48473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材质：榉木+多层板</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尺寸：23*31CM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规格：18个常用量词，54张</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51D7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69C3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695DC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CC4E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63C550">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A908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近反义词</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15814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近返词组合套装：收纳筐+量词卡片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材质：仿藤编+纸质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尺寸：29*15.5*9CM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3DFD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5D79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7E1AD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750A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148E09">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FB4E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量词</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2FCA1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量词组合套装：收纳筐+量词卡片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材质：仿藤编+纸质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尺寸：29*15.5*9CM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AC22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E8E6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3EB84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32F3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40875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家具</w:t>
            </w: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AC96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四层教具架（实木）</w:t>
            </w:r>
            <w:r>
              <w:rPr>
                <w:rStyle w:val="294"/>
                <w:color w:val="auto"/>
                <w:lang w:val="en-US" w:eastAsia="zh-CN" w:bidi="ar"/>
              </w:rPr>
              <w:t>每个区域大概5-6个柜子</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BF9A2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尺寸：长*宽*高120*30*80cm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BB5A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4DCC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r>
      <w:tr w14:paraId="4D812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207C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F5CE0B">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7605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大长桌（实木）</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4F6CF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规格：长*宽*高1600*700*750mm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高度：75</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6D19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BAEA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w:t>
            </w:r>
          </w:p>
        </w:tc>
      </w:tr>
      <w:tr w14:paraId="4CC28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8610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15AA63">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BF9D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学生椅（实木）</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4BC4E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规格:长*宽*高 50*45*78cm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BB8A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D0F4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把</w:t>
            </w:r>
          </w:p>
        </w:tc>
      </w:tr>
      <w:tr w14:paraId="7D9EA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7E40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40F212">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0DD7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上课演示长桌（实木）</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3F632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规格:长*宽*高1200*600*600mm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5F42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336A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w:t>
            </w:r>
          </w:p>
        </w:tc>
      </w:tr>
      <w:tr w14:paraId="281CD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344B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13ABE2">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62FC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桌布</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9536E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规格：长*宽*高1600*700*750mm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8A04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CA17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r>
      <w:tr w14:paraId="61829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CB1B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3708E6">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A49C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15格工作毯架（榉木）</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9910A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材质：榉木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尺寸：58*35*44</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0768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4680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r>
      <w:tr w14:paraId="0A57F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6AD7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EF888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书籍</w:t>
            </w: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43DF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蒙台梭利幼儿教育法</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42574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1.尺寸：23*16*2cm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2.功能：研究了蒙特梭利教育中国化的问题，让世界的人们更好的理解童年，更加理解儿童是怎样工作学习的，也让家长们知道如何科学的育儿。</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5A2D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BED7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w:t>
            </w:r>
          </w:p>
        </w:tc>
      </w:tr>
      <w:tr w14:paraId="29580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D703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99A9CF">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CA7F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蒙台梭利数学教育</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6F899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1.尺寸：17*23*1cm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功能：其中《蒙台梭利数学教育》从蒙台梭利数学教学理念和宗旨出发，讲解蒙台梭利教学法和数学教具在教学中的应用，突出蒙台梭利博士所强调的“循序渐进”的法则，介绍蒙台梭利数学教育教学的理论思想、数学教具的应用及操作方法，并对其加以延伸和变化。书中数学教具种类齐全，讲解详细，言语表达严谨，条理清晰，操作规范，使用性强，并配有图片说明，容易理解，是蒙台梭利教师不可缺少的、实用型工具书，深入一线教师的欢迎。</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EDB9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3030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w:t>
            </w:r>
          </w:p>
        </w:tc>
      </w:tr>
      <w:tr w14:paraId="65033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BDF2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0869F6">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3704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蒙台梭利感觉教育</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D81C3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1.尺寸：23*17*1cm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功能：本书详细介绍了蒙台梭利博士对日常生活教育内容的四大部分的划分：第一部分，帮助孩子训练基本动作和技能。第二部分，给孩子介绍如何照顾自己。第三部分，给孩子介绍如何照顾环境。第四部分，如何帮助孩子培养社交礼仪和优雅的行为习惯。其中还贯穿介绍了蒙台梭利日常生活教育理论思想、教具应用操作以及延伸变化等。教具操作种类齐全，讲解详细，条理清晰，并配有大量图片说明，实用性强，容易理解，是蒙台梭利教师深受喜爱的日常生活教育工具书。</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166A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9FD3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w:t>
            </w:r>
          </w:p>
        </w:tc>
      </w:tr>
      <w:tr w14:paraId="62523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D075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DFC7FD">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9D92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蒙台梭利科学教育</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530B9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1.尺寸：23*17*2cm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功能：本书遵循了蒙台梭利科学文化教育理念的宗旨，既保证了国际标准化的科学文化教育体系，又加入了CMS讲师自行设计的一些蒙台梭利科学文化知识与方法，论述的内容涉及到了八大领域——植物学，动物学，科学实验，地理学，地质学，天文学，历史学，人物生理学等。内容规范实用，简练且有趣味性，并有所创新，是当今国内蒙台梭利教师与家长的重要参考书。</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295E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4AC0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w:t>
            </w:r>
          </w:p>
        </w:tc>
      </w:tr>
      <w:tr w14:paraId="6B1CF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BA49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51BD99">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DBF9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蒙台梭利语言教育</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D480C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1.尺寸：23*17*2cm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功能：本书遵循蒙台梭利博士的语言教育理念，并结合考虑中文与外语的实质上差异，中国蒙台梭利协会专家组多年来对蒙台梭利教育在我国的研究与实践，调整和完善了适合幼儿学习汉语语言的具体规则和方法，从听、说、写、读四个方面，详细讲解了蒙台梭利中文教学应用的全过程，成为蒙台梭利教育界第一本重要的中文语言教育指导用书。</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706E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D061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w:t>
            </w:r>
          </w:p>
        </w:tc>
      </w:tr>
      <w:tr w14:paraId="3D59F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32D1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C540D8">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2F00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蒙台梭利日常生活教育</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C761C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1.尺寸：23*17*2cm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功能：本书详细介绍了蒙台梭利博士对日常生活教育内容的四大部分的划分：第一部分，帮助孩子训练基本动作和技能。第二部分，给孩子介绍如何照顾自己。第三部分，给孩子介绍如何照顾环境。第四部分，如何帮助孩子培养社交礼仪和优雅的行为习惯。其中还贯穿介绍了蒙台梭利日常生活教育理论思想、教具应用操作以及延伸变化等。教具操作种类齐全，讲解详细，条理清晰，并配有大量图片说明，实用性强，容易理解，是蒙台梭利教师深受喜爱的日常生活教育工具书。</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A483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DCC7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w:t>
            </w:r>
          </w:p>
        </w:tc>
      </w:tr>
      <w:tr w14:paraId="08699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8B27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3AD3C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环创材料</w:t>
            </w: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7821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环创壁画</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8A4ED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材质：雪弗板</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尺寸：40*40CM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3621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3D48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6DE23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C503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E104D6">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3ECC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挂画1</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0FFF2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材质：kt板+金色pvc边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尺寸：40*60CM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2D6F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D913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幅</w:t>
            </w:r>
          </w:p>
        </w:tc>
      </w:tr>
      <w:tr w14:paraId="5EB24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3D77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315200">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C2D9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挂画2</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B2EEE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材质：实木装饰画，金色边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尺寸：40*60CM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0E35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105A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幅</w:t>
            </w:r>
          </w:p>
        </w:tc>
      </w:tr>
      <w:tr w14:paraId="407FA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DF87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5D0FCE">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B423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蒙氏触摸墙</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D4FC2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相框尺寸：20*20CM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。包含12个相框，3个主题字</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5FF7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9AF9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B7DE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6823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F92A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阅读区</w:t>
            </w: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AADF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坐垫</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6EB96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尺寸：50*45cm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钢木</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661D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5022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r>
      <w:tr w14:paraId="1FC42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9278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7EC004">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109D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儿童桌</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253C5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材质：实木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尺寸：120cm*60cm*50cm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百分百纯实木，环保耐用，木蜡油涂装，承重强。专为儿童研制，方便活动。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用途：用于幼儿阅读使用。</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BCFA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9529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w:t>
            </w:r>
          </w:p>
        </w:tc>
      </w:tr>
      <w:tr w14:paraId="54B9B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0ACE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3CFFA8">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E360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书柜</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B82E1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材质：进口松木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尺寸：≤473*24*152cm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新西兰松木15mm特AA级，由不同尺寸松木柜拼成，可随意组合。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用途：用于摆放绘本书刊</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83BE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A649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05B9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79C6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97D621">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8CEB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麋鹿置物架</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A0F00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长</w:t>
            </w:r>
            <w:r>
              <w:rPr>
                <w:rFonts w:hint="eastAsia" w:ascii="宋体" w:hAnsi="宋体" w:cs="宋体"/>
                <w:i w:val="0"/>
                <w:iCs w:val="0"/>
                <w:color w:val="auto"/>
                <w:kern w:val="0"/>
                <w:sz w:val="22"/>
                <w:szCs w:val="22"/>
                <w:u w:val="none"/>
                <w:lang w:val="en-US" w:eastAsia="zh-CN" w:bidi="ar"/>
              </w:rPr>
              <w:t>不小于</w:t>
            </w:r>
            <w:r>
              <w:rPr>
                <w:rFonts w:hint="eastAsia" w:ascii="宋体" w:hAnsi="宋体" w:eastAsia="宋体" w:cs="宋体"/>
                <w:i w:val="0"/>
                <w:iCs w:val="0"/>
                <w:color w:val="auto"/>
                <w:kern w:val="0"/>
                <w:sz w:val="22"/>
                <w:szCs w:val="22"/>
                <w:u w:val="none"/>
                <w:lang w:val="en-US" w:eastAsia="zh-CN" w:bidi="ar"/>
              </w:rPr>
              <w:t>1.56m，高</w:t>
            </w:r>
            <w:r>
              <w:rPr>
                <w:rFonts w:hint="eastAsia" w:ascii="宋体" w:hAnsi="宋体" w:cs="宋体"/>
                <w:i w:val="0"/>
                <w:iCs w:val="0"/>
                <w:color w:val="auto"/>
                <w:kern w:val="0"/>
                <w:sz w:val="22"/>
                <w:szCs w:val="22"/>
                <w:u w:val="none"/>
                <w:lang w:val="en-US" w:eastAsia="zh-CN" w:bidi="ar"/>
              </w:rPr>
              <w:t>不小于</w:t>
            </w:r>
            <w:r>
              <w:rPr>
                <w:rFonts w:hint="eastAsia" w:ascii="宋体" w:hAnsi="宋体" w:eastAsia="宋体" w:cs="宋体"/>
                <w:i w:val="0"/>
                <w:iCs w:val="0"/>
                <w:color w:val="auto"/>
                <w:kern w:val="0"/>
                <w:sz w:val="22"/>
                <w:szCs w:val="22"/>
                <w:u w:val="none"/>
                <w:lang w:val="en-US" w:eastAsia="zh-CN" w:bidi="ar"/>
              </w:rPr>
              <w:t>1.16m，转头麋鹿造型置物架，水曲柳色调，作为木工工艺的大型代表展示作品供幼儿欣赏了解木工美学，进而培养幼儿的审美。</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BADF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10C3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r>
      <w:tr w14:paraId="424DF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DDC2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815F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音箱设备</w:t>
            </w: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CFFA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音箱</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8C051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两分频系统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1、不小于1×8"低频单元</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2、不小于1×1"高音单元</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3、额定功率不小于150W/8Ω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4、特性灵敏度不小于93dB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5、最大声压级不小于120dB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6、额定频率范围（-10dB）70Hz-20000Hz</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7、覆盖角度（H×V）：60°×40°</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C8D6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FAB8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只</w:t>
            </w:r>
          </w:p>
        </w:tc>
      </w:tr>
      <w:tr w14:paraId="21D02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42BB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4DD21C">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61C9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功放</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04AF4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1、额定功率：≥2×200W/8Ω，2×300W/4Ω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2、频率响应：20Hz～20kHz ±1dB；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3、输入灵敏度：0dBu（775mV）；</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4、输入阻抗：平衡20kΩ，非平衡10kΩ；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5、总谐波失真(1kHz)：≤0.1%；</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6、信噪比(A计权)：≥100dB；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7、串音衰减(1kHz)：≥70dB；</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5F2D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B9C4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r>
      <w:tr w14:paraId="53949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34FB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3AA076">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3547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调音台</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0BE08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1、至少4路MIC/LINE，2组立体声输入，2路效果返回输入（2路 6.35接口），1路USB、蓝牙输入</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2、至少2路主输出，2路编组输出，2路辅助输出，1路效果输出，1路立体声耳机输出，1组立体声录音输出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3、内置效果器，内置多媒体播放器 （配遥控器），支持牙接收功能，支持USB播放，可直接播放WAV、MP3双格式音乐，PC声卡</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4、频率响应：20Hz～20kHz（±1dB）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5、总谐波失真：≤0.05%@0dBu，1kHz</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6、信噪比≥98dB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7、串音≥60dB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8、话筒增益：≥50dB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9、线路增益：≥50dB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10、最大输出电平：≥18dBu</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13E3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CDB5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r>
      <w:tr w14:paraId="1A4DA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A711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0EEF3A">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B5CF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无线话筒1手持1头戴</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C0C3F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采用UHF双通道设计，运用高精度锁相环频率合成PLL技术，传输更稳定；2、接收机采用不小于1.8寸TFT彩色显示屏，多个通道频道号、频率、电量、音量、音频电平一目了然；3、接收机内置啸叫抑制，可根据需要开启或关闭；4、接收机内置不小于4种EQ模式——直通、低切、高切及用户模式，其中用户模式可灵活调节不小于13段 EQ增益，适配更多场合使用；5、接收机采用真分集接收技术，CPU自动选讯，保证接收稳定，有效预防断频；6、使用无声轻触电源开关，有效避免开关噪声；7、使用红外对频方式，话筒红外窗口对准主机红外发射口进行对频；8、采用动态随机ID设计，杜绝串频，接收机只接收最后一次对频的发射器；9、接收机预置多组规避干扰的频率，有效提高多套同时使用的安装效率；10、发射器带不小于1寸LCD显示屏，外形简洁稳重，抗静电设计；11、专业动圈式拾音头，语音清晰保真；12、发射器采用2节AA电池供电，可连续发言8小时以上，待机10小时以上。提供省级及以上电子产品监督检验所检测报告复印件加盖制造商公章，中标后原件备查。</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CAE3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893D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A626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8982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8875BC">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4958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电源时序器</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F5833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1、LED数码管，可实时显示当前电压，编辑通道状态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2、不少于8路通道每通道额定2.2KW电源，通道延时1秒</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3、采用新国标5孔电源插座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4、配置RS232接口，支持外部中控设备控制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5、配置RS485级联接口，最大支持32台设备级联</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6、通道支持时序开、时序关、直通等状态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7、可控电源路数：≥8路</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8、时序通道：默认1秒</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9、通道额定输出电流：≥10A</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10、整机额定总输出电流：≥25A</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9EF0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AA22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r>
      <w:tr w14:paraId="03230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75E8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63ECC8">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6FFF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机柜</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AF166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600*800*1200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豪华机柜</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49FA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4CEA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r>
      <w:tr w14:paraId="23D80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F349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CE6DC7">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BEEF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音箱支架</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BC6C2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1、多功能壁装支架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2、水平方向可调≥45°</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3、垂直方向可调≥30°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4、最大载重不小于20KG</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A339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7CDC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r>
      <w:tr w14:paraId="1DD81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86C5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712C18">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1E1B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音频连接线</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9BD95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定制卡侬公母头</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C3D8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00E3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根</w:t>
            </w:r>
          </w:p>
        </w:tc>
      </w:tr>
      <w:tr w14:paraId="4FE3E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D5E6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888DCD">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0174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音箱线</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8FAD7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2*150支金银线</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9A04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0371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卷</w:t>
            </w:r>
          </w:p>
        </w:tc>
      </w:tr>
      <w:tr w14:paraId="4B573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B960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0F3070">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409D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辅材及其它</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47007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满足本次建设所需地插、管材、转接头、PDU、打标签、扎带、音频接头等</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FE40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36A2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批</w:t>
            </w:r>
          </w:p>
        </w:tc>
      </w:tr>
      <w:tr w14:paraId="3BA5E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58D0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945FD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教学设备</w:t>
            </w: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FB2B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交互智能平板</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9B1F0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 交互平板显示尺寸≧98英寸，物理分辨率：3840*2160    2、 屏体采用D-LED直下式背光。触控分辨率32768*32768(提供国家权威检测机构出具的产品检测报告证明)    3、 交互平板表面玻璃应采用高强度AG防眩钢化玻璃，玻璃厚度≤4mm，硬度可达莫氏7级；    4、 采用先进人机交互红外触控技术，在Windows及安卓系统下均支持50点触控；      5、交互平板前面板至少具备1路HDMI接口（非转接），2路USB接口，1路USB Type-c接口；   6、 交互平板后置标配HDMI输入≥2路，HDMI输出≥1路支持安卓和其他信号通道下信号输出；   7、 交互平板整机具备前置物理电脑还原物理按键，针孔式设计防止误操作，并具有中文标识便于识别。  8、 前置接口面板支持前拆，在不需要拆下整机打开背板的情况下进行前拆维护。(提供国家权威检测机构出具的产品检测报告证明)。   9、 扬声器采用针孔阵列发声设计，位于设备下边框，采用2.2声道6个发声单元音箱，功率可达80W；扬声器最低谐振频率≤100Hz    10、 交互平板扬声器支持接入无线扩音麦克风，麦克风扩音不影响交互平板自身多媒体信号播放，可混音后通过屏体内置音箱播出   11、 内置一体化超高清5K摄像头，内置8阵列麦克风,单颗摄像头有效像素＞1900W，可输出分辨率≥5000*3000的图片与视频，支持搭配AI软件实现自动点名点数功能；   12、 交互平板全通道支持纸质护眼模式，可实现画面纸质纹理的实时调整，如素描纸、宣纸等；支持透明度与色温调节；显示画面各像素点灰度不规则，减少背景干扰；   13、 交互平板背光系统支持DC调光，多级亮度调节，无闪烁背光能防止眼睛疲劳；  14、 交互平板依据GB 21520-2023，达到1级能效。  教学辅助系统功能   15、 交互平板具备≥12核国产化芯片驱动， Android 系统版本≥14.0，RAM≥4G,ROM≥32G；   16、 整机可一键进行硬件自检，包括对系统内存、存储、触摸系统、光感系统、内置电脑等进行状态提示及故障提示；   17、 交互平板可通过多指长按屏幕达到息屏及屏幕唤醒功能，可根据实际教学应用开启或关闭此功能；   18、 交互平板采用标准80pin插拔式电脑模块接口；OPS电脑配置要求CPU采用8核12线程，兼容 8G内存。兼容固态硬盘 256GB，2G独显。</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A179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B690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r>
      <w:tr w14:paraId="042E6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A332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0983D5">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6174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多媒体讲台+教师椅</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C5A5F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1、讲台尺寸：长*宽*高（mm）上层：900*600*280，下层：620*540*650；（允许正负5mm偏离）；</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2、钢木结合，采用圆弧设计；</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3、桌面采用木黄色耐划木质材料，采用9mm高密度纤维板，密度大于720kg/立方米；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4、前侧抽屉采用双层设计，隐藏式导轨，为保障导轨的寿命，导轨需符合GB/T 10125-2012盐雾检测和QB/T2454-2013耐久性检测。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讲桌采用分体式设计，下层采用拼装结构，讲桌内置固定螺丝孔位，安装简单，运输轻便。下层前后门采用整门设计，不做对开，四面留有敲落过线孔，下层右侧预留86盒安装孔；为考虑散热，三个方向(除底座后门外)都采用竖排国标散热孔。教师椅子国产定制按需配</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59B0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24AB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E554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09AD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4749C6">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6C4C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精品课程资源</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0F6F6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一）内容描述日常教学的过程中，由于专业的特殊性，有一些内容是较难通过课堂讲述表现出来或通过实训实习体会的。另外学前教育专业的人才培养的周期长、内容多，需要大量的案例资源作为教学的补充。蒙台梭利教学法是一种全面提升儿童素质，发展儿童潜能的教育方法。蒙台梭利教具是蒙台梭利教育的重要组成部分，以幼儿为中心，把握儿童的敏感期，激发儿童的潜能，培养孩子的独立、专心、协调、秩序等习性，蒙氏教育体系复杂，对于幼儿教师的能力要求更高。本资源库系统内容包括蒙台梭利教具的相关教学内容，涵盖日常生活训练区教具、蒙台梭利感官区教具、蒙台梭利数学区教具及科学文化区域教具的教学相关数字资源。补充教学理论、教学方法、教学案例，通过强化教学设计整合多样化数字资源配套教学，从而提升课程教学质量，达到教学效果最优化，</w:t>
            </w:r>
          </w:p>
          <w:p w14:paraId="06E1874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视频不少于36个</w:t>
            </w:r>
            <w:r>
              <w:rPr>
                <w:rFonts w:hint="eastAsia" w:ascii="宋体" w:hAnsi="宋体" w:eastAsia="宋体" w:cs="宋体"/>
                <w:i w:val="0"/>
                <w:iCs w:val="0"/>
                <w:color w:val="auto"/>
                <w:kern w:val="0"/>
                <w:sz w:val="21"/>
                <w:szCs w:val="21"/>
                <w:u w:val="none"/>
                <w:lang w:val="en-US" w:eastAsia="zh-CN" w:bidi="ar"/>
              </w:rPr>
              <w:t>（此项需提供内容截图）</w:t>
            </w:r>
            <w:r>
              <w:rPr>
                <w:rFonts w:hint="eastAsia" w:ascii="宋体" w:hAnsi="宋体" w:eastAsia="宋体" w:cs="宋体"/>
                <w:i w:val="0"/>
                <w:iCs w:val="0"/>
                <w:color w:val="auto"/>
                <w:kern w:val="0"/>
                <w:sz w:val="22"/>
                <w:szCs w:val="22"/>
                <w:u w:val="none"/>
                <w:lang w:val="en-US" w:eastAsia="zh-CN" w:bidi="ar"/>
              </w:rPr>
              <w:t>，课件不少于36个，教案不少于36节</w:t>
            </w:r>
            <w:r>
              <w:rPr>
                <w:rFonts w:hint="eastAsia" w:ascii="宋体" w:hAnsi="宋体" w:eastAsia="宋体" w:cs="宋体"/>
                <w:i w:val="0"/>
                <w:iCs w:val="0"/>
                <w:color w:val="auto"/>
                <w:kern w:val="0"/>
                <w:sz w:val="21"/>
                <w:szCs w:val="21"/>
                <w:u w:val="none"/>
                <w:lang w:val="en-US" w:eastAsia="zh-CN" w:bidi="ar"/>
              </w:rPr>
              <w:t>（此项需提供内容截图）</w:t>
            </w:r>
            <w:r>
              <w:rPr>
                <w:rFonts w:hint="eastAsia" w:ascii="宋体" w:hAnsi="宋体" w:eastAsia="宋体" w:cs="宋体"/>
                <w:i w:val="0"/>
                <w:iCs w:val="0"/>
                <w:color w:val="auto"/>
                <w:kern w:val="0"/>
                <w:sz w:val="22"/>
                <w:szCs w:val="22"/>
                <w:u w:val="none"/>
                <w:lang w:val="en-US" w:eastAsia="zh-CN" w:bidi="ar"/>
              </w:rPr>
              <w:t xml:space="preserve">。  </w:t>
            </w:r>
          </w:p>
          <w:p w14:paraId="3466D22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（二）内容要求  1、软件需支持在虚拟仿真环境中实现高精度建模，确保模型在不同比例下都能保持细节完整性和精细度，保证模型的显示效果。  2、采用先进的渲染技术如自适应分辨率渲染、动态光照优化等，确保在不同场景，不同设备下，内容画面质量的效果，同时，采用先进的画面显优化算法，降低硬件和备备的运行负担。  3、软件应支持快速和高精度的场景的加载，确保在大型场景中能够快速、流畅地进行漫游和交互操作，同时提供多种加载优化选项，以满足不同硬件配置的需求。  4、软件从底层上进行优化，预留主流设备的接口，支持本地化部署，可支持市场上多种主流的PC、VR、AR、MR等设备，能够满足不同场景不同用户的应用，使用户能够更自然、直观地与虚拟场景中的模型进行互动，支持部署不少于100台终端。  5、软件应具备智能辅助功能，如操作引导航、智能提示等，帮助用户更快速、更准确地完成实验操作和模型观察。同时，软件提供详细的操作手册和软件说明，方便用户随时查阅和学习。   （三）、内容参数   1、软件的开发基于专业教学标准、实训室建设标准等要求进行规划和开发，保证软件内容的准确性和标准性。   2、场景和内容的搭建以真实的幼儿园、保育中心、托育中心为原型，包括但不限于户外游乐区、教学楼、室内阅读区、教学区以及走廊、成长教室、亲子教室、音乐教室、绘画教室、休息睡房、游泳区等，构建内容场景模型。以第一视角出现在场景中，可在场景中进行漫游、行走、观看以及使用交互设备进行拿取、放下、拖拽、放大、缩小等操作。</w:t>
            </w:r>
            <w:r>
              <w:rPr>
                <w:rFonts w:hint="eastAsia" w:ascii="宋体" w:hAnsi="宋体" w:eastAsia="宋体" w:cs="宋体"/>
                <w:i w:val="0"/>
                <w:iCs w:val="0"/>
                <w:color w:val="auto"/>
                <w:kern w:val="0"/>
                <w:sz w:val="21"/>
                <w:szCs w:val="21"/>
                <w:u w:val="none"/>
                <w:lang w:val="en-US" w:eastAsia="zh-CN" w:bidi="ar"/>
              </w:rPr>
              <w:t>（此项需提供内容截图）</w:t>
            </w:r>
            <w:r>
              <w:rPr>
                <w:rFonts w:hint="eastAsia" w:ascii="宋体" w:hAnsi="宋体" w:eastAsia="宋体" w:cs="宋体"/>
                <w:i w:val="0"/>
                <w:iCs w:val="0"/>
                <w:color w:val="auto"/>
                <w:kern w:val="0"/>
                <w:sz w:val="22"/>
                <w:szCs w:val="22"/>
                <w:u w:val="none"/>
                <w:lang w:val="en-US" w:eastAsia="zh-CN" w:bidi="ar"/>
              </w:rPr>
              <w:t xml:space="preserve">   3、按照不同学龄的教学特点、教具和功能等要求，可在场景中提供大班教室、中班教室、小班教室、亲子早教、蒙台梭利教室等区域，场景可实现自由漫游和行走。</w:t>
            </w:r>
            <w:r>
              <w:rPr>
                <w:rFonts w:hint="eastAsia" w:ascii="宋体" w:hAnsi="宋体" w:eastAsia="宋体" w:cs="宋体"/>
                <w:i w:val="0"/>
                <w:iCs w:val="0"/>
                <w:color w:val="auto"/>
                <w:kern w:val="0"/>
                <w:sz w:val="21"/>
                <w:szCs w:val="21"/>
                <w:u w:val="none"/>
                <w:lang w:val="en-US" w:eastAsia="zh-CN" w:bidi="ar"/>
              </w:rPr>
              <w:t>（此项需提供内容截图）</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0919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F068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71D19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8D40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429B9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实训室环境改造</w:t>
            </w: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5903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吊顶</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8B025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1、吊顶材料(吊顶以顶面下来65公分)两间为130平方。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2、使用8角吊筋.拉码头.快吊。                                                                                            3、使用38主龙骨.110x38。                                                                                                                                             4、使用32铅龙骨.主龙骨.负龙骨。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5、周围墙边线条25x2.5。</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6、使用600x600矿棉板。</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7、每平方使用1根吊筋。                                         8、教室内局部电线路改造，插座面板，开槽，电源线辅材等。</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7915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138</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103F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平方</w:t>
            </w:r>
          </w:p>
        </w:tc>
      </w:tr>
      <w:tr w14:paraId="2E110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4E6B0C">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2"/>
                <w:szCs w:val="22"/>
                <w:u w:val="none"/>
              </w:rPr>
            </w:pP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4D44CB">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805F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面板灯</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FA618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600*600mm（拆旧装新）</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C68D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D4AF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盏</w:t>
            </w:r>
          </w:p>
        </w:tc>
      </w:tr>
      <w:tr w14:paraId="71231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C425CC">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2"/>
                <w:szCs w:val="22"/>
                <w:u w:val="none"/>
              </w:rPr>
            </w:pP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F549C7">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D475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窗帘盒</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303FC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超大窗帘盒:长1000*宽4.2*高22cm(材料生态板)</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844C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97E8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米</w:t>
            </w:r>
          </w:p>
        </w:tc>
      </w:tr>
      <w:tr w14:paraId="71FCA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3242F3">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2"/>
                <w:szCs w:val="22"/>
                <w:u w:val="none"/>
              </w:rPr>
            </w:pP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A52B86">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142A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消防喷头改方向</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50387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消防喷头方向及移烟感器等</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C22B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B448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r>
      <w:tr w14:paraId="0B7F7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A125DB">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2"/>
                <w:szCs w:val="22"/>
                <w:u w:val="none"/>
              </w:rPr>
            </w:pP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449860">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9A2E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包管</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3ABCB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1、12厘板   2、膏板2张   3、钉子胶  4、木工</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4762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428D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根</w:t>
            </w:r>
          </w:p>
        </w:tc>
      </w:tr>
      <w:tr w14:paraId="49C9E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53D2F7">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2"/>
                <w:szCs w:val="22"/>
                <w:u w:val="none"/>
              </w:rPr>
            </w:pP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04A855">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BAD9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贴瓷砖</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1C30F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包消防管后需贴和原有墙面同色系瓷砖800x400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、辅材及瓦工</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178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6849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块</w:t>
            </w:r>
          </w:p>
        </w:tc>
      </w:tr>
      <w:tr w14:paraId="2B1FF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85B263">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2"/>
                <w:szCs w:val="22"/>
                <w:u w:val="none"/>
              </w:rPr>
            </w:pP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DC68EF">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736C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货物搬运</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DCF4C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材料设备上楼，卫生清理整体保洁等杂项</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0C34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B9DF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批</w:t>
            </w:r>
          </w:p>
        </w:tc>
      </w:tr>
      <w:tr w14:paraId="2E8F7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7224DF">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2"/>
                <w:szCs w:val="22"/>
                <w:u w:val="none"/>
              </w:rPr>
            </w:pP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5CAA5C">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E469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窗帘</w:t>
            </w:r>
          </w:p>
        </w:tc>
        <w:tc>
          <w:tcPr>
            <w:tcW w:w="2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85130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1、双面雪山绒布，门幅：280-320cm 零甲醛.抗菌.防霉.防污。                2、静音滑轨、配件等。</w:t>
            </w:r>
          </w:p>
        </w:tc>
        <w:tc>
          <w:tcPr>
            <w:tcW w:w="4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1FCF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3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3F72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米</w:t>
            </w:r>
          </w:p>
        </w:tc>
      </w:tr>
      <w:tr w14:paraId="23E96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6"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3187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4113" w:type="pct"/>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A5F55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含税材料包干价</w:t>
            </w:r>
          </w:p>
        </w:tc>
      </w:tr>
    </w:tbl>
    <w:p w14:paraId="3CDB5990">
      <w:pPr>
        <w:rPr>
          <w:color w:val="auto"/>
        </w:rPr>
      </w:pPr>
    </w:p>
    <w:p w14:paraId="778DFA5B">
      <w:pPr>
        <w:rPr>
          <w:color w:val="auto"/>
        </w:rPr>
      </w:pPr>
      <w:r>
        <w:rPr>
          <w:rFonts w:hint="eastAsia"/>
          <w:color w:val="auto"/>
        </w:rPr>
        <w:t>本项目</w:t>
      </w:r>
      <w:r>
        <w:rPr>
          <w:rFonts w:hint="eastAsia"/>
          <w:color w:val="auto"/>
          <w:lang w:val="en-US" w:eastAsia="zh-CN"/>
        </w:rPr>
        <w:t>包</w:t>
      </w:r>
      <w:r>
        <w:rPr>
          <w:rFonts w:hint="eastAsia"/>
          <w:color w:val="auto"/>
        </w:rPr>
        <w:t>核心产品：精品课程资源。</w:t>
      </w:r>
    </w:p>
    <w:p w14:paraId="63EE98F7">
      <w:pPr>
        <w:bidi w:val="0"/>
      </w:pPr>
    </w:p>
    <w:p w14:paraId="73C1F45D">
      <w:pPr>
        <w:bidi w:val="0"/>
        <w:rPr>
          <w:rFonts w:hint="eastAsia"/>
        </w:rPr>
      </w:pPr>
    </w:p>
    <w:tbl>
      <w:tblPr>
        <w:tblStyle w:val="51"/>
        <w:tblW w:w="535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6"/>
        <w:gridCol w:w="1302"/>
        <w:gridCol w:w="5687"/>
        <w:gridCol w:w="727"/>
        <w:gridCol w:w="667"/>
      </w:tblGrid>
      <w:tr w14:paraId="2227F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5"/>
            <w:tcBorders>
              <w:top w:val="nil"/>
              <w:left w:val="nil"/>
              <w:bottom w:val="nil"/>
              <w:right w:val="nil"/>
            </w:tcBorders>
            <w:shd w:val="clear" w:color="auto" w:fill="auto"/>
            <w:vAlign w:val="center"/>
          </w:tcPr>
          <w:p w14:paraId="1DD543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40"/>
                <w:szCs w:val="40"/>
                <w:u w:val="none"/>
              </w:rPr>
            </w:pPr>
            <w:r>
              <w:rPr>
                <w:rFonts w:hint="eastAsia" w:ascii="宋体" w:hAnsi="宋体" w:eastAsia="宋体" w:cs="宋体"/>
                <w:b/>
                <w:bCs/>
                <w:i w:val="0"/>
                <w:iCs w:val="0"/>
                <w:color w:val="auto"/>
                <w:kern w:val="0"/>
                <w:sz w:val="40"/>
                <w:szCs w:val="40"/>
                <w:u w:val="none"/>
                <w:lang w:val="en-US" w:eastAsia="zh-CN" w:bidi="ar"/>
              </w:rPr>
              <w:t>儿童心理与行为分析实训室</w:t>
            </w:r>
          </w:p>
        </w:tc>
      </w:tr>
      <w:tr w14:paraId="242F6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2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CA28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7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D190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名称</w:t>
            </w:r>
          </w:p>
        </w:tc>
        <w:tc>
          <w:tcPr>
            <w:tcW w:w="31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6977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参   数</w:t>
            </w:r>
          </w:p>
        </w:tc>
        <w:tc>
          <w:tcPr>
            <w:tcW w:w="4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AA2C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数量</w:t>
            </w:r>
          </w:p>
        </w:tc>
        <w:tc>
          <w:tcPr>
            <w:tcW w:w="3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EC3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w:t>
            </w:r>
          </w:p>
        </w:tc>
      </w:tr>
      <w:tr w14:paraId="20208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DA7EE">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7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FC164">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31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F898C">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31572">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344F7">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b/>
                <w:bCs/>
                <w:i w:val="0"/>
                <w:iCs w:val="0"/>
                <w:color w:val="auto"/>
                <w:sz w:val="22"/>
                <w:szCs w:val="22"/>
                <w:u w:val="none"/>
              </w:rPr>
            </w:pPr>
          </w:p>
        </w:tc>
      </w:tr>
      <w:tr w14:paraId="74B4A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AD2D1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房间1：学前儿童游戏治疗室   核心用途：沙盘游戏治疗教学、个案教学、房树人绘画、家庭格盘分析等游戏活动</w:t>
            </w:r>
          </w:p>
        </w:tc>
      </w:tr>
      <w:tr w14:paraId="1803C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4FF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5C5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沙盘</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94A16">
            <w:pPr>
              <w:keepNext w:val="0"/>
              <w:keepLines w:val="0"/>
              <w:pageBreakBefore w:val="0"/>
              <w:widowControl/>
              <w:suppressLineNumbers w:val="0"/>
              <w:kinsoku/>
              <w:wordWrap/>
              <w:overflowPunct/>
              <w:topLinePunct w:val="0"/>
              <w:autoSpaceDE/>
              <w:autoSpaceDN/>
              <w:bidi w:val="0"/>
              <w:adjustRightInd w:val="0"/>
              <w:snapToGrid w:val="0"/>
              <w:jc w:val="both"/>
              <w:textAlignment w:val="top"/>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利旧、学院现有</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35265">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2"/>
                <w:szCs w:val="22"/>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9EC75">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2"/>
                <w:szCs w:val="22"/>
                <w:u w:val="none"/>
              </w:rPr>
            </w:pPr>
          </w:p>
        </w:tc>
      </w:tr>
      <w:tr w14:paraId="18864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FA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9D8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沙盘</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top"/>
          </w:tcPr>
          <w:p w14:paraId="6D5E2EED">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产品组件：沙盘训练系统由沙盘、沙子、放置架、沙具、沙盘管理软件共5大部份组成。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一、沙盘：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1、实木标准沙盘：一个；外径尺寸60.5(±2cm)×75.5(±2cm)×9.5(±0.5cm)，总高度68cm±2cm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2、颜色：外侧涂深颜色或木本色，内侧涂蓝色，带防水膜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3、放置架：木制标准放置架一个。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4、沙盘材质为木质，沙盘甲醛释放量须符合国家要求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二、沙子：专用细沙，数量≥15kg/袋×1袋；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三、沙具柜：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1、尺寸175（±2 cm）×56（±2 cm）×24.5（±1 cm），层数≥5层，数量1个，颜色：自然木纹色；</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*2、沙具柜甲醛释放量须符合国家要求。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四、沙具：</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种类≥18大类（宗教类、风车、灯塔等标志类、公共标识类、交通工具类、公共建筑类、桥栅栏类、日月等自然物类、贝壳山石类、现实中人物类、空想人物类虚拟人物、恐龙怪兽类、家具、日用品类、水生动物、野生动物类、家禽家畜类、草坪类、植物类、军队类）。沙具至少包含汽车大巴火车、少林功夫、实验小学、坦克 、小恐龙、洋房、职业人物、琴棋书画、七个小矮人、鹿、空想人物、假山、婚礼门、风车、恩爱老人、栅栏、大蒜头、厨房餐具、兵马俑、贝壳、狮身人面像、太阳、草坪、海星、蝙蝠、秦始皇、梳妆台、小杂树、玉带桥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2、数量≥600个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3、材质：木质、陶瓷、塑料、玻璃、橡胶等多样</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4、颜色：五彩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五、沙盘训练软件：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可分类对沙盘训练分析图片、视频以及文字资料进行管理。可以进行连续性对比观察分析。常见的沙具样图及配置明细，极大的方便沙盘的工作开展。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六、系统功能：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1、系统可用于呈现使用者的潜意识内容，“提供意识和无意识合作的桥梁”；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2、系统是非语言交流的工具，帮助使用者表达内心的想法，促进人际沟通。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B35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8EB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D052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21E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57B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创意沙画</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B850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1、沙画台主要由LED灯和亚克力板组成，色彩丰富，具有良好的透光性。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2、沙画台配置4MM厚钢化玻璃，抗撞击，不易破碎。</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3、航空箱加固，抗撞击耐高温，保护箱内LED灯。</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D8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E11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D38F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D9E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49B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AI心理数字人（便携版）</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8EBB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AI心理数字人是一种智能化和数字化心理健康专业设备，集智能机器学习、深度学习、自然语言处理、情感识别和分析、知识图谱和智能推荐、数据分析和模型优化、决策和推理等特点。通过专业技术，AI数字人能够理解用户的情感和语言表达，提供个性化的心理支持和建议，不断优化和改进系统性能，提高智能化水平和用户体验。AI心理数字人是打造一个“AI心理健康中心”的空间，形成心理测评预警、减压放松、心理素质训练认知偏误训练、AI心理咨询及服务等心理健康闭环服务。</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一、配置要求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1、AI心理数字人移动端   （1）屏幕：≥10英寸，120Hz高刷新率，P3色域   （2）分辨率：2560*1600 </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 xml:space="preserve"> （3）CPU：骁龙865及以上，八核，运行内存：6G，内存容量：64G及以上  （4）系统：Android，屏占比：84%及以上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（5）摄像头：前置800w，后置1300w，扬声器数量：4个  （6）连接方式：支持Wi-Fi6、双Wi-Fi技术，蓝牙  （7）其它：多点触控、指南针、霍尔传感器、GPS导航，陀螺仪，重力感应  2、AI心理数字人系统  （1）系统组成：AI心理数字人至少包含评测室、咨询室、训练室、冥想室和数字人互动中心功能室组成。所有的功能室都可以360度左右旋转以及不同程度的上下旋转。  （2）本产品免3年服务费。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二、AI心理数字人功能要求：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1、可以通过账号、人脸识别进行登录，可以展示三维建模场景,实现场景360度旋转，可展示页面功能菜单，点击菜单可进入相关功能页面。</w:t>
            </w:r>
            <w:r>
              <w:rPr>
                <w:rFonts w:hint="eastAsia"/>
                <w:color w:val="auto"/>
                <w:lang w:val="en-US" w:eastAsia="zh-CN"/>
              </w:rPr>
              <w:t>（提供第三方测试机构出具的可反映上述功能的测试报告复印件）</w:t>
            </w:r>
          </w:p>
          <w:p w14:paraId="3A53E48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2、评测室含自助评测、AI情绪识别和心理档案三大功能，包含如下（1）（2）（3）：</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（1）自助评测：包括心理健康、校园家庭、情绪观念、人际关系量表，通过测评得出量表类型分析和统计，并生成报告。 （2）AI情绪识别：可以与机器人进行语音、文字的问答互动， 可通过图片识别表情， 并生成分析报告。（3）心理档案：可以查看心理档案，包括我的测评、我的涂鸦、我的格盘等。</w:t>
            </w:r>
            <w:r>
              <w:rPr>
                <w:rFonts w:hint="eastAsia"/>
                <w:color w:val="auto"/>
                <w:lang w:val="en-US" w:eastAsia="zh-CN"/>
              </w:rPr>
              <w:t>（提供第三方测试机构出具的可反映上述（1）-（3）项功能的测试报告复印件）</w:t>
            </w:r>
          </w:p>
          <w:p w14:paraId="74AF5B4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咨询室是一个360度可旋转的智能交互场所。来访者可以在个体咨询室里与数字人心理老师自由沟通、体验和咨询。涵括心理100问（包含与数字人心理师自由心理咨询）、咨询师介绍（包含咨询预约）、我的预约、留言信箱和咨询个案五大模块。（1）心理100问：通过设计导航式提问和渐进式提问为不擅长提问或者初次接触心理学的用户提供问题模板；同时包含与数字人心理师自由心理咨询。（2）咨询室具有咨询预约、我的预约、留言信箱、咨询师≥4模块，具体包含如下①②③④：①咨询预约：可以选择不同类型的老师进行咨询预约，咨询方式包括当面、文字、语音、视频。②我的预约：可以查看我的预约信息，包括预约时间、预约状态。③留言信箱：可以在线与心理老师进行留言互动。④咨询师:可以展示数字咨询师，可与数字咨询师进行语音、文字的问答互动。</w:t>
            </w:r>
            <w:r>
              <w:rPr>
                <w:rFonts w:hint="eastAsia"/>
                <w:color w:val="auto"/>
                <w:lang w:val="en-US" w:eastAsia="zh-CN"/>
              </w:rPr>
              <w:t>（提供第三方测试机构出具的可反映上述①-④项功能的测试报告复印件）</w:t>
            </w:r>
          </w:p>
          <w:p w14:paraId="737FA31D">
            <w:pP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可以观看和学习≥12种咨询个案。4、训练室包括专注力训练、认知偏误训练、情绪认知管理等≥3种，具体包含如下（1）（2）（3）：（1）专注力训练：包括大脑活跃度训练、阿尔法波训练、脑波疗愈音频训练、伽马波训练、提升脑力训练等≥5种训练。（2）认知偏误训练：可以提供认知偏误互动训练，包括认知偏误之确认偏误、认知偏误之锚定偏误、认知偏误之负面偏误、 认知偏误之非此即彼谬误、 认知偏误之以偏概全等≥5训练。（3）情绪认知管理：可以与机器 人进行语音、文字的问答交互。</w:t>
            </w:r>
            <w:r>
              <w:rPr>
                <w:rFonts w:hint="eastAsia"/>
                <w:color w:val="auto"/>
                <w:lang w:val="en-US" w:eastAsia="zh-CN"/>
              </w:rPr>
              <w:t>（提供第三方测试机构出具的可反映上述（1）-（3）项功能的测试报告复印件）</w:t>
            </w:r>
          </w:p>
          <w:p w14:paraId="4379802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color w:val="auto"/>
                <w:lang w:val="en-US" w:eastAsia="zh-CN"/>
              </w:rPr>
            </w:pPr>
            <w:r>
              <w:rPr>
                <w:rFonts w:hint="eastAsia" w:ascii="宋体" w:hAnsi="宋体" w:eastAsia="宋体" w:cs="宋体"/>
                <w:i w:val="0"/>
                <w:iCs w:val="0"/>
                <w:color w:val="auto"/>
                <w:kern w:val="0"/>
                <w:sz w:val="22"/>
                <w:szCs w:val="22"/>
                <w:u w:val="none"/>
                <w:lang w:val="en-US" w:eastAsia="zh-CN" w:bidi="ar"/>
              </w:rPr>
              <w:t>5、冥想室包含心理音乐、正念冥想和心理减压功能。（1）心理音乐、正念冥想、心理减压具体包含如下①②③功能模块：①心理音乐：可以提供心理音乐训练，包括舒缓放松、专注力、疗愈、全脑开发、个人发展、睡眠音乐等≥6种训练。②正念冥想：可以提供正念冥想训练，包括冥想训练、正念认知疗法、睡前冥想等≥3种训练。③心理减压：可以提供心理减压训练，包括肌肉放松、催眠放松、冥想放松、自我调节等≥5种训练。</w:t>
            </w:r>
            <w:r>
              <w:rPr>
                <w:rFonts w:hint="eastAsia"/>
                <w:color w:val="auto"/>
                <w:lang w:val="en-US" w:eastAsia="zh-CN"/>
              </w:rPr>
              <w:t>（提供第三方测试机构出具的可反映上述①-③项功能的测试报告复印件）</w:t>
            </w:r>
          </w:p>
          <w:p w14:paraId="5C1920D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（2）可以与数字冥想师进行语音、文字的问答交互。</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A1C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8C3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64CD9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457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E1F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欧卡</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F1B0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欧卡潜意识心灵图卡是一种用于心理咨询和治疗的工具。它包含了一系列的图片，每张图片都代表着一种特定的情绪、感觉或经验。通过让个体或团体选择、描述和解释这些图片，心理专业人士可以获取更多关于个体或团体潜意识和心灵状态的信息，从而帮助他们了解和处理自己的情绪和问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以下是欧卡潜意识心灵图卡的一些常用参数描述：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1.图片内容：每张图片所代表的情绪、感觉或经验应该明确而具体，以便个体能够准确地选择和描述它们。</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2.图片数量：通常，欧卡潜意识心灵图卡会包含88张图卡和88张字卡，形成7744种组合方式，以确保能够涵盖个体可能遇到的各种情绪和经验。</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3.图片排列：图片可以按照特定的顺序排列，以便引导个体在选择和描述时有一个逻辑的流程。也可以将图片随机排列，以避免个体受到先前选择的影响。</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4.图片大小：图片的大小适中，以便个体能够清晰地看到并选择它们。</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5.图片质量：图片的质量清晰，以便个体能够准确地观察和描述其中的细节。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6.图片功能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团队探索：欧卡开放式探索功能，尝尝被应用在团队建立共识上，透过图卡的视觉化，让团队看清现状、确认目标、指定行动方案，甚至可以让成员透过图卡直觉联想互相连结，碰撞出新思维、新创意，进而达成团队目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个人探索：①自我认知：通过使用欧卡潜意识心灵图卡，个人可以更好地认识和理解自己的内在感受、需求和价值观。这种自我认知有助于提高个人的自我意识和自我理解能力。②探索潜意识：欧卡潜意识心灵图卡可以帮助个人深入探索潜意识层面的思维、情感和欲望。通过这种探索，个人可以更好地理解自己的内心世界，从而更好地应对和处理各种情绪和挑战。③解决问题：欧卡潜意识心灵图卡可以作为一个工具，帮助个人思考和解决问题。使用这些卡片，个人可以通过触发自己的潜意识思维来发现新的解决方案和创意。④情绪调节：使用欧卡潜意识心灵图卡可以促进个人情绪的调节和管理。通过与卡片互动，个人可以更好地理解和表达自己的情绪，从而提高情绪的稳定性和自我调节能力。</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7.使用指导：说明书给心理专业人士提供了清晰明确的使用指导，包括如何引导个体或团体选择、描述和解释图片，以及如何有效地分析和解读这些信息。</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094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F3A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A2BA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563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F4F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宣泄羊角球</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14C2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羊角状球形环保产品，材质：PVC；参考规格：40-65cm。</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E10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91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r>
      <w:tr w14:paraId="2EAE5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3BB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43D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心理挂图</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8D8D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1、高级实木裱框挂图，可选择自然奇妙景观类、心理健康教育类、双歧错觉类、励志类、风景类等等类型中的挂图。</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2、参考规格：≥64*48.5（cm）。</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72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1A5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w:t>
            </w:r>
          </w:p>
        </w:tc>
      </w:tr>
      <w:tr w14:paraId="2E8DD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FB591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房间2：儿童潜能开发+心理实训+个案咨询</w:t>
            </w:r>
          </w:p>
        </w:tc>
      </w:tr>
      <w:tr w14:paraId="6CE1C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ED0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F8A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潜能开发训练系统--逻辑思维训练</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EDAE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1、情绪逻辑认知训练、逻辑关系训练、特征检索训练，每组训练方案须涵盖6组训练主题，每个主题须匹配至少4种以上的活动主题及活动。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训练要求至少涵盖：表情认知训练（情绪识别）、逆向思维训练（不一样）、生物逻辑训练、特征检索训练、数字运算训练、逻辑关系训练（分类整理）、事件逻辑训练、数字逻辑训练、数字逻辑训练、逻辑关系训练（如看名分类、看名找类同、看图找分类）、特征检索训练（如看图片找选手）、时钟认知训练（看钟表认时间）、数字逻辑训练（如扑克连连减）、策划逻辑训练、快速检索训练树、特征检索训练、特征计数训练、数字逻辑训练、逻辑判断训练、策划逻辑训练、特征检索训练（如找不同、找瓢虫、捉迷藏）、颜色记忆训练、特征记忆训练、多元空间训练、空间整合训练、精确定位训练（打靶训练营）、精确定位训练（捉虫）。</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3、系统至少包括管理登录、方案向导、训练查询、数据导入等功能。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4、每个游戏内容需有游戏案例指导，且有“开始”、“暂停”按钮。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5、生成训练方案后，即时创建用户，无需在后台进行二次添加。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6、报告可多种形式呈现如文字和图例帮助指导同步，用户可自定义导入数据。</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A17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76F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24D44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85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2B2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潜能开发训练系统--手眼脑协调训练</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28F8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一、训练项目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增强儿童手眼结合、左右手协调、视觉追随、动作抑制等各方面的协调、平衡能力。在提高反应速度的同时，还可促进儿童大脑抑制功能，从而防止或控制儿童的多动行为，有国家版权局颁发的软件著作权证明材料。</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2、包含内容要有“精细动作 (小画家)”：要求儿童对目标刺激物的变化做出连续的追踪，根据其变化的规则性或不规则性的趋势对自己的动作不断进行调节，以保持反应的准确性，有省部级心理咨询与心理治疗专业委员会提供的证明合格材料。</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3、系统至少包括管理登录、方案向导、训练查询、数据导入等功能。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二、系统功能特点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1、系统功能：方案设置灵活 、内容调整方便、反馈及时、报告多样、帮助指导同步。</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2、系统特点：专业性、针对性、系统性、趣味性、知识性、有效性、操作便捷。</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B63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9C9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CFE1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1A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329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智能型动作稳定仪</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2B6D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1、主要功能：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1)使用户了解自己的动作的稳定性和平衡性，辅助评估心理稳定水平。可用于运动员初级选拔、平衡性测试，也可用于问题儿童和神经受损患者的康复治疗和效果检测。包含三项测试内容，凹槽、九孔和悬空。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 主要特点：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 智能型仪器一般由测试区、控制区、底盘等三大部分构成。测试区与控制区一体化设计，便于仪器存储与操作。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 控制区包括彩色液晶触摸显示屏、微型扬声器等。液晶触摸屏具有学号输入、操作提示、结果呈现等功能；内置微型扬声器，与显示屏同步播放语音指导以及其他声音信号提示。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a. 仪器具有存储功能，可存10000条测试信息，输入学号自动显示姓名；</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b. 文字提示结合语音指导，无需主试，个体可独立操作；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c. 实时呈现结果数据，无需连接电脑，用户即可看到自己的当前测试结果。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 底盘侧面装有耳机插孔，操作时可选择插入耳机避免相互影响。</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 USB标准接口，可通过U盘，实现名单导入、数据导出等功能。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1)凹槽型为宽度渐变的S型狭缝槽，槽边上方有cm刻度，下边有以mm分段的狭缝宽度值。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2)九孔型为孔径渐次缩减的九个空洞，孔眼边有以mm为单位的孔径值。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3)其中的3.5mm孔眼专用于测试手悬空时的稳定能力。</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4)内置测笔及彩色液晶触摸屏操作，兼具语音与文字提示，无需主试，个人可独立操作。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5)包含三项测试内容，凹槽、九孔、悬空测试。</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452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166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DEEC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701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BC2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智能型镜画仪</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4402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1.镜画仪主机由镜画图案板、镜面与遮板组件和底盘三大部件组成。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2.图案板：包括六角形、六边形2块（测试时二择一），每块有大小图案各一（可选择外圈或内圈）；图案板尺寸不小于180mm*180mm。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3.镜画图案设置中途防漏传感区，具有防止违规操作的功能。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4.镜面与遮板组件，镜面与遮板可各自绕支架轴任意转动，支架固定在底盘的前边缘之上。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5.底盘上左侧图案区可配装任意一种图案板。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6.内置测笔及彩色液晶触摸屏操作，兼具语音与文字提示，无需主试，个人可独立操作。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7.产品具有计算机软件著作权登记证书</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D0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E7D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5B06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10B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F8F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智能型注意力集中仪</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0EC1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1.构成：主机、无线测笔。</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2.目标靶体：两轨迹圆上的带状红色靶体，通过多面镜反射实现红外信号接收。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3.无线测笔作红外发射，由主机作接收的采集模式，有专利证书；红外光超音频调制，具有优异的抗干扰性能。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4.主机带有测笔收纳槽，方便存放。</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5.轨道直径：大圈158mm；小圈103mm；靶体尺寸：12mm×12mm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；目标转速：20rpm。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6.干扰环境包括声音干扰和光干扰两种。在轨迹圆周四角均装有变色的LED灯作为测试用干扰光源，干扰光源：LED色灯4个；利用微型扬声器播放噪声，干扰声源：&gt;-12dB。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7.最大定时：9999s；脱靶计次：0 ～ 999次。</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外形尺寸：425×270×90mm；重量：2.3kg。</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E78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E66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76C2C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CED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183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电脑主机</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02F3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不低于配置：i5-9400FCPU/主板H311M-W3/8G1600内存条/480G固态/2G显卡/航嘉电源</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302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CF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B4A8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AC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E32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咨询沙发茶几套装</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3BE9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利旧、学院现有</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576E">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2"/>
                <w:szCs w:val="22"/>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CB0C3">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2"/>
                <w:szCs w:val="22"/>
                <w:u w:val="none"/>
              </w:rPr>
            </w:pPr>
          </w:p>
        </w:tc>
      </w:tr>
      <w:tr w14:paraId="73D29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AAC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107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心理挂图</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1E1F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1、高级实木裱框挂图，可选择自然奇妙景观类、心理健康教育类、双歧错觉类、励志类、风景类等等类型中的挂图。</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2、参考规格：≥64*48.5（cm）。</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30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2CE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w:t>
            </w:r>
          </w:p>
        </w:tc>
      </w:tr>
      <w:tr w14:paraId="769CA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7FA53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房间3：学术研讨+减压放松+宣泄区    （用途：情绪宣泄、减压放松、兼会议研讨）</w:t>
            </w:r>
          </w:p>
        </w:tc>
      </w:tr>
      <w:tr w14:paraId="18EFF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009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EE7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宣泄人</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25A2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利旧、学院现有</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31593">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2"/>
                <w:szCs w:val="22"/>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532A2">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iCs w:val="0"/>
                <w:color w:val="auto"/>
                <w:sz w:val="22"/>
                <w:szCs w:val="22"/>
                <w:u w:val="none"/>
              </w:rPr>
            </w:pPr>
          </w:p>
        </w:tc>
      </w:tr>
      <w:tr w14:paraId="05CEF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F0C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4A4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数字减压脑波放松系统</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top"/>
          </w:tcPr>
          <w:p w14:paraId="3F00DC2A">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系统通过脑波牵引诱、放松训练、 音乐疗法等心理减压放松理论，结合舒曼波、α波频率，极大地提高人体身心和谐连接，从意念频率、音波频率双管齐下，从而达到消除负面情绪与内在冲突的目的，起到心理压力调节、提高心理健康水平的作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一、配置要求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1、数字减压脑波放松专用计算机配置：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屏幕：10.1寸、电容式触摸屏，多点触控。品牌平板触屏电脑。（2）≥4G运行内存，≥64G以上固态硬盘，Win10操作系统。（3）电池：容量26.6Wh；充电器：100V-240V自适应交流电源供应器。（4）接口：USB*1，耳机麦克风二合一*1，TF读卡器*1，Micro HDMI*1，DC*1，Type-c*1（单数据传输）。（5）网络：无线Wifi，蓝牙4.0。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（6）处理器：英特尔新一代双线程处理器，采用14nm制程。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生理指标采集系统：由于自主神经系统的活动，当机体处于某种情绪状态时，其内部会发生一系列的生理变化，系统通过血氧饱和度、脉率等实时监测，智能评估放松情况、判断减压放松的有效性，并生成生理指标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3、数字减压脑波放松系统软件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至少包含脑波放松、身心调适、放松训练、音乐减压、心理世界等≥5种功能模块。（2）脑波放松至少包含舒曼波音乐放松、α波音乐放松、数字减压放松、音乐疗愈、养生音乐5种放松训练类型（3）根据训练者个人特质不同，选择不同的放松音乐、放松环境及放松时长，通过聆听环境音乐，可以减轻主观疲劳感，变得舒心放松，从而改善与训练者主观情绪有关的自律神经功能。（4）至少包括呼吸放松、意象放松、肌肉放松、催眠放松四种放松指导语，并监测放松者生理指标。通过放松指导语的运用，可以很快地使训练者心跳和和呼吸节奏减慢，氧耗降低，从而有效消除紧张状态。（5）身心调适：至少包括3种身心调适场景，并监测放松者生理指标。通过对身心调适训练场景的模拟，对训练者进行心理控制和调节，从而最大限度地发挥个人潜力，维护心理平衡，消除负性心理。（6）放松训练：可以实现呼吸放松、意象放松、肌肉放松3种心理素质放松训练。（7）音乐减压：包含个性音乐、情绪音乐、自由欣赏音乐等功能，系统由专业的解压音乐组成，要求提供国家版权局出具的解压音乐作品登记证明材料*（8）心理世界：可以实现催眠用摇摆钟视频、太空遐想视频、心理图片、经典眩晕视频、鼻腔放松视频等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4、放松训练座椅</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优质太空硅合胶片，持续润滑和耐磨无摩擦噪音。（2）肩腰双向贴合，软软地舒适。贴合人体工程学的靠背，靠面弧度柔舒适，绗缝线则齐整而美观。（3）扶手处包制圆满而光泽感十足，贴合手肘处的舒适度和整体的美观。（4）专用合金钢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二、系统功能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自动分析放松者在放松训练前的各项生理指标。2、全程实时监测放松者生理指标，判断放松效果。3、多种放松类型和音频组合，营造完美放松情境，生理指标实时监测和量化评估报告。4、多种图文并茂实用放松方法，有效地辅助学习和掌握缓解压力、放松心情的方法。5、通过多种心理视频引导、多种心理图片进行专业性放松。6、通过可视化的训练场景反馈，有效学会在压力情境中更好地调控心理情绪。</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000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F66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60A52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A4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8B2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心理挂图</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9A97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1、高级实木裱框挂图，可选择自然奇妙景观类、心理健康教育类、双歧错觉类、励志类、风景类等等类型中的挂图。</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2、参考规格：≥64*48.5（cm）。</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37D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BF2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w:t>
            </w:r>
          </w:p>
        </w:tc>
      </w:tr>
      <w:tr w14:paraId="253E7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D262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房间4：心理实训区+亲子互动区+会议研讨区+团体辅导区+行为观察区+阅读区</w:t>
            </w:r>
          </w:p>
        </w:tc>
      </w:tr>
      <w:tr w14:paraId="3658B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519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E6B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素质拓展箱</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top"/>
          </w:tcPr>
          <w:p w14:paraId="06DA4F16">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素质拓展训练游戏是心理工作重要的内容之一，游戏设计结合了投射效应、马斯洛层次需求理论、移情效应、沉浸感理论、情绪心理理论等心理学效应理论，通过团体内人际交互作用，促使个体在交往中通过观察、学习和体验，认识自我、探讨自我、接纳自我、调整和改善人际的关系，学习态度和行为方式，以发展良好的生活适应的助人过程。心理游戏是开展心理健康活动必不可少的一环，同时也可以有效地帮助用户解决集体建设中面对的如环境适应性、成功激励、合作竞争、创新拓展等难题。因此正逐步在学校、公检法、部队、企业等各行各业团队中兴起。相关的指导手册、活动器材及相关培训等都是开展工作的必须工具。</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一、素质拓展游戏活动列表：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齐头并进：本活动是一种需要团队协作的游戏，参与者需要共同解决问题、分工合作和达成共同目标。这样的游戏在心理学上有一些有趣的意义：首先，该游戏可以帮助参与者发展团队合作和协作的能力，其次，可以培养参与者的问题解决和创新思维能力，此外可以增强参与者的领导力和决策能力。</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感恩的心：本活动可以促进积极情绪和心理健康。通过参与活动，参与者被鼓励思考和表达感激之情。这可以帮助他们关注和意识到自己周围的积极和值得感恩的事物，增加积极情绪和幸福感。研究表明，感激和感恩的态度与心理健康、幸福感和满意度有着密切的联系。</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3、突破雷阵；旨在训练打破思维定势，增强体验者的责任意识、风险意识、团队意识，体会分工是相对的，合作是绝对的。</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4、穿越火线：本活动可以帮助参与者发展团队合作和协作能力 、问题解决和创新思维能力、反应速度和决策能力以及提高参与者的情绪管理和团队意识。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盗梦空间：是一种考验人的意志和智慧、挖掘人的潜能和培养团队协作精神的运动。它的每一项让每个人在心灵和精神上都有一个新的超越，重新认识自我、认识生命，使我明白一个人的能力是有限的，但意志和精神的力量是无限的。</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6、能量传输：本活动可以帮助参与者发展团队合作和协作能力，培养问题解决和创新思维能力，增强沟通和交流能力，以及提高情绪管理和团队意识。这些能力对于个人的发展和团队的成功都非常重要。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无敌风火轮：本活动是一个培养体验者团队精神的户外素质拓展活动，通过活动将培养体验者的团队合作能力、组织计划与协调能力，培养大家服从指挥、一丝不苟的工作态度、队员间的相互信任和理解以及每个成员的规则意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8、鼓动人心： 本活动可以帮助参与者增强自我认知和自信心，提高团队合作和领导能力，发展应对挑战和压力的能力，以及提高情绪管理和团队意识。这些能力对于个人的成长和发展都非常重要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9、蛟龙出海：本活动可以帮助参与者发展团队合作能力、问题解决和决策能力，提高情绪管理和应对压力的能力，以及增强沟通和交流能力。这些能力对于个人的职业发展和人际关系的建立都非常重要。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10、同心杆：同心杆游戏具有重要的心理学意义，它不仅可以提高参与者的感知运动能力、问题解决能力、团体合作精神、还可以缓解压力、稳定情绪并激发意识潜能。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二、产品特点：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行李箱式手提箱:因游戏产品具有一定重量，采用行李箱式存放箱，底部带滚轮，可拖行，减少户外活动负担，方便老师携带开展团体活动。2、团体活动器材:基本包含活动所需的全部道具（除特殊仪器外）；所配置道具大多可重复利用，避免浪费。</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A6B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07C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1F92B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273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AF5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表达性艺术心理辅导工具包</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7DCB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表达性艺术心理辅导工具包由表达性艺术心理辅导专业工具、艺术心理辅导工具箱、专业指导手册等三部分组成。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一、工具包:</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1、工具箱尺寸</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（1）舞蹈包≥635mm±30mm*485mm±30mm*185mm±30mm；（2）绘画包≥900mm±30mm*350mm±30mm*150mm±30mm；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（3）音乐包≥495mm±30mm*475mm±30mm*185mm±30mm；（4）纸工包≥430mm±30mm*310mm±30mm*183mm±30mm；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（5）软陶包≥570mm±30mm*425mm±30mm*385mm±30mm；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2、工具包内容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艺术表达性心理辅导工具总计≥116个：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（1）舞蹈包：包括跳舞毯、舞蹈扇、竖纹三色扇子、手摇花球、舞蹈练功垫、瑜伽球、砖头瑜珈垫7种工具；（2）绘画包：包括8格梅花型调色碟、素描画板、儿童磁性画板、米字格画毡、国画宣纸 （1刀100张）、马克专用本、剪刀等34种工具；（3）纸工包：包括橡皮、圆规、邹纸器、花边剪刀、双脚钉、彩珠大头针、压花器（雪花型、星形、梅花形）等27种工具；（4）音乐包：包括八音木敲琴、十三音铝板琴、原木响板、手柄响板、齿木、加沟双响筒、奥尔夫三音梆子等28种工具；（5）软陶包：包括家用电烤箱、小刀片、红皮塑形工具三件套、三件人型不锈钢工具、黄杨木塑型工具、软陶亮光油、金粉等20种工具。</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二、专业指导手册:</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包括舞蹈、绘画、纸工、音乐和软陶4本专用指导手册，每个手册包括每个活动的名称、目的、时间、道具、场地、程序以及注意事项的详细介绍。艺术表达性心理辅导指导活动方案总计≥47个：1、舞蹈包≥6个活动：快乐的舞毯舞、蝴蝶找花、稻草人、昏眩调息法、瑜伽放松法、瑜伽姿势；*2、绘画包≥15个活动  画情绪、自画像、心中的我和理想的我、我的T恤衫、风景构成法、我生命中的一条河、房树人绘画、画人测试之“画一个雨中的人”、画树测试——树木人格测试、房屋绘画法、九分割统合绘画、画我的家庭、我今天的情绪、团体涂鸦绘画、粘贴画。</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3、纸工包≥9个活动  拉手小人、洞洞窗花、纸壁挂、四废物变成宝、小叮当开车、小蛇、园真快乐、拉拉手做游戏、小刺猬。</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4、音乐包≥10个活动  森林音乐会、三只小猪、卖汤圆、打击乐《头发、肩膀、膝盖、脚》、拔根芦柴花、啤酒桶波尔卡、郊游、小星星、奥尔夫音乐“龟兔赛跑”、月光长廊；  5、软陶包≥7个活动  软陶玫瑰花贺卡、软陶奶瓶的制作、软陶天鹅的制作、软陶饼干制作、软陶逼真可爱的小草莓、软陶人偶制作教程、用软陶做愤怒的小鸟卡通玩偶；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三、功能特点：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1、科学的心理理论支持  表达性艺术心理辅导工具包基于艺术、音乐、舞蹈、绘画等专业的心理学原理，根据心理学家丰富的心理辅导经验，精心设计。2、五类百余种专业器材  表达性艺术心理辅导工具包包含音乐、舞蹈、绘画、纸工、软陶五大常见的艺术心理辅导形式所需的经典工具器材，总计百余种，满足了不同艺术表达心理辅导方式的需要，提高心理辅导效率。3、丰富的专业指导方案  针对每种形式的艺术心理辅导包，产品提供了专业的指导手册，包含音乐包、舞蹈包、绘画包、纸工包和软陶包表达性艺术心理辅导指导方案共计近50个。4、广泛的适用群体范围  表达性艺术心理辅导工具包工具器材不仅适用于低年龄阶段的来访者，对于成人来访者也同样适用。对于需要在人格、智力、情绪认知和行为等改善的群体的辅导都具有良好的效果，适用场地不受限制，室内室外均可。</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B15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EF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2CBDF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BF2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6D6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团体桌</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AA1E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6边形桌桌尺寸：1200*1200*750mm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。1.钢架托板：采用优质高精度一级冷轧钢板经冲压折弯工艺一体成型，300*45</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，壁厚2.5mm，表面采用防锈静电喷涂处理，实用牢固，承受力大。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折叠机构：桌子两侧采用压铸一体成型铝接头，表面经防锈静电喷涂处理，内置高强耐磨粉末冶金合金材料舌芯+铝芯+弹簧折叠装置，中间配制内六角管传动轴连接铝芯，外侧配置优质ABS一体成型旋钮开关，任何一侧只需轻轻一扭便可折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3.台脚： 立柱采用优质高精度一级冷轧钢圆形钢管414*Ø50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，壁厚1.2mm，底脚采用优质铝合金型材经模具压铸一体成型，530*35*45</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，壁厚3.0mm，表面采用防锈静电喷涂处理，实用牢固，承受力大，脚轮采用PU万向刹车轮。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4.横梁：采用优质高精度一级冷轧钢圆管Ø50，壁厚1.0mm，表面采用防锈静电喷涂处理，实用牢固，承受力大。（横梁长度跟随定制尺寸变化）</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5.书网：采用优质Ø15圆管，壁厚0.8mm，由注塑塑料件与圆管组合而成，表面采用防锈静电喷涂处理，实用牢固，承受力大。(此款书网为选配项，长度跟随定制尺寸变化）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6.板材：采用优质三聚氰胺饰面，EO级刨花板基材，经过防虫、防潮、防腐处理，表面防刮耐磨。台面厚度25mm，PVC胶边，防火、耐磨、防污、牢固耐用。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7.环保要求：产品通过针对桌体钣金、桌面木板（含涂层）等部件甲醛释放量、重金属含量等9项有害物质的检测，其中产品重金属、甲醛、符合GB/T 3325-2024检验标准，提供合法有效的、网络可查的检测报告并加盖公章，提供合法来源渠道证明材料和售后支持服务证明。</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445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366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77FC3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E7F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5F1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折叠椅</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5C75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折叠椅尺寸：420*450*830mm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。1、塑料材质：PP原材料一次性注塑成形，坚固耐用、无公害、抗紫外线、抗静电。                                    2、钢管材质：A3铁，高强度、韧性好。（前后脚支架：厚1.0mm×宽14mm×长24mm(旦管)。</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3、表面喷涂材质：热固性粉末涂料，由树脂、助剂、颜料（白银色）、填料组成，防锈、耐腐蚀、耐高温、光洁度好、美观。</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07C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54</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0A9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把</w:t>
            </w:r>
          </w:p>
        </w:tc>
      </w:tr>
      <w:tr w14:paraId="602B0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26D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8EA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心理图书</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5D62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心理图书、绘本类相关</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B3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04F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w:t>
            </w:r>
          </w:p>
        </w:tc>
      </w:tr>
      <w:tr w14:paraId="7449F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FE0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C9A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异形组合书柜</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B428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柜子尺寸：4400*300*1600mm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。1、基材：采用优质 E1 级环保（背板）18厚，（侧板+层板）25厚实木多层板，采用三聚氰胺纸高温贴压,具有防水、防潮、防交叉感染、耐磨性能强；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2、封边：采用优质 1.5mm 厚 PVC 封边条，全自动封边机完成封边；</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10E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695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组</w:t>
            </w:r>
          </w:p>
        </w:tc>
      </w:tr>
      <w:tr w14:paraId="0BD0F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D0D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B51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办公桌椅（定制）</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1897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1、总尺寸：1300*600*750mm/1600(高)</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1、基材：采用E0级优质多层板，表面平整细腻、吸音和隔音、绝热、不翘曲、不开裂、防潮、防虫、防腐特殊处理，抗弯力强，不变形。含水率、胶合强度、握螺钉力、甲醛释放量、密度等指标均符合检测标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2、饰面：采用优质三聚氰胺浸渍纸，硬度大、耐磨、耐热、耐水性强，耐腐蚀，易清洗，甲醛释放量≤0.5mg/L。</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3、胶水：采用环保热熔胶，无毒无味，粘合力强，具流动性，耐寒性强，恢复后常温后物理性能、化学性能不变。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4、封边：采用优质PVC封边条，表面平滑、无起泡、光泽度适中、硬度合理、弹性高、耐磨性强、纹路清晰；耐干热性，耐磨性，耐老化性，甲醛释放量符合QB/T 4463-2013 《家具用封边条技术要求》标准且检验结论合格。</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5、五金配件：采用优质五金配件，导轨、门铰、锁具、拉手、三合一等五金配件。</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54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AE7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FDB8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DF1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62E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绘本架</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AAA2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材质：松木 80*30*90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D27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AEF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r>
      <w:tr w14:paraId="4A5F0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B12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1F7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心理挂图</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B8C0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1、高级实木裱框挂图，可选择自然奇妙景观类、心理健康教育类、双歧错觉类、励志类、风景类等等类型中的挂图。</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2、参考规格：≥64*48.5（cm）。</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97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AB5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w:t>
            </w:r>
          </w:p>
        </w:tc>
      </w:tr>
      <w:tr w14:paraId="1761E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D23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82E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86寸交互智能平板</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9FC5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1、交互平板屏幕显示尺寸≧86英寸，≥178°可视角度，分辨率：3840*2160 ，支持50点同时触控及书写。</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2、整机屏体具有物理防蓝光，背光系统支持DC调光方式和在不同光照环境下智能亮度调节，背光无闪烁，防止眼镜疲劳。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3、整机支持纸质护眼模式，符合《GB 40070-2021儿童青少年学习用品近视防控卫生要求》。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4、交互平板设计有放置粉笔及教鞭等工具的笔槽，前置面板至少1个标准HDMI接口、≥2个USB3.0接口、≥1个Type-c、无线麦克风接口且前置接口面板可单独前拆。（提供具有CMA或CNAS标识的检测报告复印件）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5、交互平板前置物理按键≥8个可实现录课、音量加减、窗口关闭、触控开关、及电脑还原等功能。（需提供CMA或CNAS认证检测机构出具的检测报告）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6、内置嵌入式系统采用国产12核以上CPU芯片，系统版本不低于Android 14，内存≥4GB，存储空间≥32GB,。（提供CMA或CNAS认证测机构出具的检测报告）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7、交互平板具有≥1900W像素摄像头，支持搭配AI软件实现自动点名点数及巡课功能。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8、交互平板内置非独立外扩展的8阵列麦克风，拾音角度≥180°,可用于对教室环境音频进行采集、远程喊话，拾音距离≥12m;支持标准、教室、影音等多种音效模式。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9、为满足教学扩声需求，交互平板采用采用针孔阵列发声设计，2.2声道音箱6个发声单元，峰值功率≥80W。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10、为方便管理，交互平板支持密码锁屏和移动端二维码扫码解锁锁屏等多种方式锁屏功能。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12、整机内置无线网接发模块，可作网络连接及AP热点使用，有线和无线可同时接入，多个用户同时连接使用。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13、可实现无线传屏功能，可将外部电脑设备的视频、音频、触控、信号无线传至交互设备上。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14、内置电脑CPU采用8核处理器；内存：≥8G DDR4；硬盘：≥256G SSD固态硬盘；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15、交互平板提供叁年原厂质保售后服务。</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教学应用软件: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1、内置专属教学系统，通过滑动桌面可实现windows系统和教学系统的切换。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2、具备AI教学管理功能包括AI一键备课、教学资源、课程设计等教学功能模块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3、教师课件可保存到云盘空间，云盘存储空间不少于200GB存储容量。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4、交互平板左右两侧可提供教学应用的软件快捷键，如打开/返回桌面、屏幕显示下移半屏模式、多屏互动等常用教学工具；</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5、交互平板具有快捷应用悬浮菜单，两指可快速调用悬浮菜单，可添加多个常用教学授课工具（书写笔、AI互动软件）等。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6、思维导图：提供多种思维导图模板如逻辑图、鱼骨图、组织结构图，可增删或拖拽编辑内容、节点，并支持在节点上插入课件页面、图片、音视频、文档等附件、及网页链接等；</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C8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143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r>
      <w:tr w14:paraId="0A091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1E8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1E1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移动支架</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CE35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移动支架采用冷轧钢板承重:100kg适合，75"-86"平板,, 可调节高度颜色：黑色粉喷纱纹，全方位刹车功能的稳固万向调节大轮方便您随心所欲移动或是停止推车。</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941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1D7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4A600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C3B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AFE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升降移动讲台</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F1FD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1.最大承重：60kg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2.桌面：MDF吸塑板，7580*40*18MM </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 xml:space="preserve">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3.立柱/桌脚：铁，喷粉，象牙白                                                                                                                                                            4.轮子：2.0’万向轮，2轮可锁定。</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D55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42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257A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857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83F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音箱</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FDBD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1、不小于4×3.5"全频单元</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2、额定功率不小于150W/8Ω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3、特性灵敏度不小于93dB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4、最大声压级不小于121dB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5、额定频率范围（-10dB）110Hz-18000Hz</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6、覆盖角度（H×V）：120°×60</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D8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0A1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只</w:t>
            </w:r>
          </w:p>
        </w:tc>
      </w:tr>
      <w:tr w14:paraId="0ADC6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CE7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7A1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功放</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45FF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1、额定功率：≥2×200W/8Ω，2×300W/4Ω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2、频率响应：20Hz～20kHz ±1dB；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3、输入灵敏度：0dBu（775mV）；</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4、输入阻抗：平衡20kΩ，非平衡10kΩ；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5、总谐波失真(1kHz)：≤0.1%；</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6、信噪比(A计权)：≥100dB；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7、串音衰减(1kHz)：≥70dB；</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EB1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2CE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r>
      <w:tr w14:paraId="1F603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85B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5C0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无线话筒1手持1头戴</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7016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采用UHF双通道设计，运用高精度锁相环频率合成PLL技术，传输更稳定；2、接收机采用不小于1.8寸TFT彩色显示屏，多个通道频道号、频率、电量、音量、音频电平一目了然；3、接收机内置啸叫抑制，可根据需要开启或关闭；4、接收机内置不小于4种EQ模式——直通、低切、高切及用户模式，其中用户模式可灵活调节不小于13段 EQ增益，适配更多场合使用；5、接收机采用真分集接收技术，CPU自动选讯，保证接收稳定，有效预防断频；6、使用无声轻触电源开关，有效避免开关噪声；7、使用红外对频方式，话筒红外窗口对准主机红外发射口进行对频；8、采用动态随机ID设计，杜绝串频，接收机只接收最后一次对频的发射器；9、接收机预置多组规避干扰的频率，有效提高多套同时使用的安装效率；10、发射器带不小于1寸LCD显示屏，外形简洁稳重，抗静电设计；11、专业动圈式拾音头，语音清晰保真；12、发射器采用2节AA电池供电，可连续发言8小时以上，待机10小时以上。提供省级及以上电子产品监督检验所检测报告复印件加盖制造商公章，中标后原件备查。</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A87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4A7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022ED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2A6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415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电源时序器</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89EC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1、LED数码管，可实时显示当前电压，编辑通道状态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2、不少于8路通道每通道额定2.2KW电源，通道延时1秒</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3、采用新国标5孔电源插座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4、配置RS232接口，支持外部中控设备控制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5、配置RS485级联接口，最大支持32台设备级联</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6、通道支持时序开、时序关、直通等状态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7、可控电源路数：≥8路</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8、时序通道：默认1秒</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9、通道额定输出电流：≥10A</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10、整机额定总输出电流：≥25A</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613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02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r>
      <w:tr w14:paraId="4A040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4B1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93A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调音台</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2481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1、4路MIC/LINE，2组立体声输入，2路效果返回输入（2路 6.35接口），1路USB、蓝牙输入</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2、至少2路主输出，2路编组输出，2路辅助输出，1路效果输出，1路立体声耳机输出，1组立体声录音输出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3、内置效果器，内置多媒体播放器 （配遥控器），支持牙接收功能，支持USB播放，可直接播放WAV、MP3双格式音乐，PC声卡</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4、频率响应：20Hz～20kHz（±1dB）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5、总谐波失真：≤0.05%@0dBu，1kHz</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6、信噪比≥98dB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7、串音≥60dB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8、话筒增益：≥50dB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9、线路增益：≥50dB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10、最大输出电平：≥18dBu</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DEB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D4C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r>
      <w:tr w14:paraId="1A884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C67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55F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机柜</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178A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600*800*1200 </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豪华机柜</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7C7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3BC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r>
      <w:tr w14:paraId="11F99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34D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B16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音箱支架</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F0AD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1、多功能壁装支架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2、水平方向可调≥45°</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3、垂直方向可调≥30°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4、最大载重不小于20KG</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FE1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362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r>
      <w:tr w14:paraId="6F0F2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CFC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44D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音频连接线</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B53F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定制卡侬公母头</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B13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358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根</w:t>
            </w:r>
          </w:p>
        </w:tc>
      </w:tr>
      <w:tr w14:paraId="61ED5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418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608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音箱线</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80D1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2*150支金银线</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298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0EF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米</w:t>
            </w:r>
          </w:p>
        </w:tc>
      </w:tr>
      <w:tr w14:paraId="6AD97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5D1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BD2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高清录播终端</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13D0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1、主机架构：需采用嵌入式架构，标准1U机架式设计，便于机柜安装</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2、高度集成：具备录制、直播、导播、自动跟踪、音频编码、视频编码、音频处理、视频处理、存储、互动、AI分析等多项功能；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3、硬件性能：需采用高性能低功耗处理器，核心数≥8，核心频率≥2.4GHz，整机功耗≤50W，正常工作状态下噪音≤20dB（A），内置GPU与NPU协处理器，AI算力≥6Tops；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4、相关接口：需具有摄像机接口≥3路，支持POE供电，HDMI输入≥2路，HDMI输出≥2路，Line输入≥2路，Line输出≥2路，Mic接口≥6路，支持麦克风供电，USB接口≥2路，网络接口≥1路，控制接口≥1路；</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5、UVC\UAC功能：需支持UVC和UAC协议，通过主机USB接口可以实现图像和声音同步输出，最大支持4K视频输出，兼容主流视频会议软件；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6、课程录制：需支持分段录制与同步录制功能，支持高低双码流录制，具备电影模式和资源模式等多种录制模式，能够自定义设置4K、1080P、720P等视频分辨率、帧率以及码流；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7、课堂直播：需支持不少于4路直播，可选择主码流或子码流信号源，可自定义直播录制分辨率和码率；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8、画面导播：需支持本地导播、浏览器导播以及客户端软件导播等多种导播方式，具备全自动、半自动与手动三种导播跟踪模式；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9.边缘计算：主机内置AI课堂行为和AI课堂语音实时分析能力。</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10、视音频编码：需支持H.264视频编码协议，AAC音频编码协议，RTMP、RTSP、RTP、TS视频传输协议，H.323、SIP、BFCP、WebRTC视频通信协议，以及MP4、TS视频封装格式；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11、音频处理：需支持AEC回声抑制、AGC自动增益、ANS噪声抑制、EQ均衡、AI降噪、音频闪避等音频处理功能；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12、本地存储：不少于1TB内置存储，并支持录像文件循环覆盖功能，录播硬盘在已存储90%的空间时，再次启动录制将删除录播内现存时间最早的录像文件；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13、互动能力：需内置音视频互动功能，无需额外部署互动服务器类设备即可实现“1+3”的互动能力，并提供“授课模式”及“会议模式”两种互动模式；</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30A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877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r>
      <w:tr w14:paraId="570EC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8AE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D3F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录播应用软件</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755C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1、导播方式：需支持本地导播、浏览器网络导播以及客户端软件导播等多种导播方式；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2、画面预览：需支持视频画面实时预览，可对接入摄像机画面进行上下左右移动、放大缩小变焦以及预置位设定等操作，并可自定义视频信号源标签；</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3、视频处理：需支持二分屏、三分屏、画中画以及自定义画面布局，内置多种转场特技效果，可自定义添加Logo、字幕以及片头片尾；</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4、音量调节：需支持音频实时监看，并能够实时调整不同通道输入输出的音量大小，可分别对录制和直播进行一键静音操作；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5、视频录制：需支持分段录制与同步录制功能，同时支持高低双码流录制，具备电影模式和资源模式等多种录制模式，可自定义设置录制的分辨率、帧率以及码流；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6、直播模式：需支持RTMP直播、TS直播、集控推流直播等不少于3种直播模式，以满足不同场景下的直播需求；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7、多流直播：需支持不少于4路RTMP同步推流，可自定义选择主码流或子码流进行推流直播，并能够自定义配置视频的分辨率、帧率和码率；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8、音频处理：需支持AEC回声抑制、AGC自动增益、ANS噪声抑制、EQ均衡、AI降噪等多种音频处理功能，能够针对录播模式与互动模式分别保存不同的预设效果；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9、音频闪避：需支持自动识别人物声音与多媒体声音并动态调节其他音源的音量，避免音源间相互干扰，确保视频教师声音清晰可闻；</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10、麦克风接入：需支持接入无线麦克风，可根据实际使用场景自定义配置无线麦克风的频段，并可通过添加无线麦设备白名单实现精准接入管理；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11、音视频互动：需支持H.323、SIP 、BFCP、WebRTC等视音频互动协议，可实现“1+3”的互动能力，并具备“授课互动”及“会议互动”两种互动模式；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12、双流互动：需支持将教学场景信号与电脑课件信号以互相独立的信号进行传输，在互动过程中主讲端可对其余互动参与者的发言权限进行控制，支持单人禁言以及全场禁言；</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13、通讯录与短号：需支持对接获取互动云系统的通讯录数据，可通过通讯录或短号快速呼叫或常见互动课堂；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14、录像管理：需支持在线查看已录制的视频文件，并可按录制时间进行排序和按关键字检索查看，也支持对视频文件进行在线播放、下载、删除和FTP上传；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15、测绘信息:需支持检测灯光亮度、色温，混响时间，实时查看当前CPU温度，磁盘空间占用情况，网络质量以及运维保障信息；</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16、用户管理：需支持用户管理，可创建管理员账号与普通用户账号，并可分别设置用户权限，普通权限用户无法进行配置参数修改；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17、启动管理：需支持定时休眠或定时唤醒，可配置关机、休眠、工作等不同的上电启动模式；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18、要求软件在出厂时内嵌于终端中，且应具备自主知识产权，提供计算机软件著作权登记证书复印件并加盖原厂公章或投标专用章。</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6C0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5AB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5B6B8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BA5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CB4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摄像机</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895B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1、传感器：尺寸≥1/2.5英寸，有效像素≥1100万，最大可支持3840×2160视频分辨率；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2、快门速度：要求支持高速与慢速快门速度，最快不小于1/10000s，最慢不小于1/20s；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3、视场角：支持水平视场角≥80°，垂直视场角≥50°；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4、视频编码：要求支持H.265、H.264高清视频编码协议；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5、视频接口：要求具备RJ45≥1；</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6、音频编码：要求支持OPUS、G.711A、AAC等常用音频编码协议；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7、其他接口：USB Type-A≥1；RJ45网络接口≥1；</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8、数字降噪：支持2D/3D数字降噪，信噪比≥55dB；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9、电子云镜：支持电子云镜技术，单镜头拍摄可输出“全景”、“特写”双信号画面至录播主机；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10、AI跟踪：内置AI跟踪分析功能，无需辅助跟踪摄像头即可完成对象跟踪捕捉，支持学生全景和特写切换跟踪模式；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11、要求与搭配的录播主机实现基于一条双绞线即可实现POE或POC供电、信号控制、视频信号传输；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12、要求摄像机与课堂录播巡课终端为同一品牌。</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D3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F8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r>
      <w:tr w14:paraId="7DAC9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524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31B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高清摄像机传输处理软件</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C18C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1、摄像机传输处理软件采用B/S架构，支持通用浏览器直接访问进行管理。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2、支持网络参数设置与修改，支持一键恢复默认参数。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3、支持曝光模式设置功能，包括自动、手动。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4、支持抗闪烁频率、动态范围、光圈、快门参数设置。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5、支持自动白平衡设置功能，红、蓝增益可调。</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6、支持噪声抑制设置功能，支持2D、3D降噪。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7、支持摄像机图像质量调节功能，包括亮度、对比度、色调、饱和度。</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19C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040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r>
      <w:tr w14:paraId="21DEF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166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C4E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拾音话筒</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6EA2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1、指向性：超心型；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2、频率响应：40Hz—16kHz；</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3、灵敏度≥-7dB±1dB；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4、最大声压级≥100dB；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5、信噪比≥60dB；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6、动态范围≥75dB；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7、使用电源：POE供电。</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466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6FC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w:t>
            </w:r>
          </w:p>
        </w:tc>
      </w:tr>
      <w:tr w14:paraId="2DC63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7D3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867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辅材及其它</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C049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满足本次建设所需地插、管材、转接头、PDU、打标签、扎带、高清数据线、路由器网线、音频接头等</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18E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1D3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批</w:t>
            </w:r>
          </w:p>
        </w:tc>
      </w:tr>
      <w:tr w14:paraId="0992D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BFE98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实训室环境改造（409/410/411/306共4间）</w:t>
            </w:r>
          </w:p>
        </w:tc>
      </w:tr>
      <w:tr w14:paraId="55B0B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EB2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50E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吊顶</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6A7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1、吊顶材料(吊顶以顶面下来65公分)4间为117平方。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2、使用8角吊筋.拉码头.快吊。                                                                                            3、使用38主龙骨.110x38。                                                                                                                                             4、使用32铅龙骨.主龙骨.负龙骨。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5、周围墙边线条25x2.5。</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6、使用600x600矿棉板</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7、每平方使用1根吊筋。</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341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117</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182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平方</w:t>
            </w:r>
          </w:p>
        </w:tc>
      </w:tr>
      <w:tr w14:paraId="064A5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B09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7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426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面板灯</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086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600*600mm（拆旧装新）</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C0F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E68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盏</w:t>
            </w:r>
          </w:p>
        </w:tc>
      </w:tr>
      <w:tr w14:paraId="68A92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F28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7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6C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窗帘盒</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74A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409室窗帘盒：长580*宽4.2*高22cm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。410室窗帘盒：长580*宽4.2*高22cm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。410室窗帘盒:长360*宽4.2*高22cm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。411室窗帘盒:长360*宽4.2*高22cm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。306室窗帘盒:长360*宽4.2*高22cm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。(材料生态板)</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3F3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16.6</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0CA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米</w:t>
            </w:r>
          </w:p>
        </w:tc>
      </w:tr>
      <w:tr w14:paraId="658C4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F9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D50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消防喷头改方向</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BC0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消防喷头方向及移烟感器等（含新下喷头）</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857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083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r>
      <w:tr w14:paraId="1F689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598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C1D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409包管</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B37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1、12厘板   2、膏板2张   3、钉子胶  4、木工</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0B3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EE0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根</w:t>
            </w:r>
          </w:p>
        </w:tc>
      </w:tr>
      <w:tr w14:paraId="665E8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5A9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7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56C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贴瓷砖</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AAE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包消防管后需贴和原有墙面同色系瓷砖800x400、辅材及瓦工</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219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9C7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块</w:t>
            </w:r>
          </w:p>
        </w:tc>
      </w:tr>
      <w:tr w14:paraId="3B10D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357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159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409改门方向</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2DE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拆门、装门及胶</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816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828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扇</w:t>
            </w:r>
          </w:p>
        </w:tc>
      </w:tr>
      <w:tr w14:paraId="05B20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36B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7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E8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货物搬运</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289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4间材料设备上楼，卫生清理整体保洁等杂项</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251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F64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批</w:t>
            </w:r>
          </w:p>
        </w:tc>
      </w:tr>
      <w:tr w14:paraId="49249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221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553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窗帘</w:t>
            </w:r>
          </w:p>
        </w:tc>
        <w:tc>
          <w:tcPr>
            <w:tcW w:w="3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D2F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1、双面雪山绒布，门幅：280-320cm 零甲醛.抗菌.防霉.防污。2、静音滑轨、配件等。</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707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48</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D9A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米</w:t>
            </w:r>
          </w:p>
        </w:tc>
      </w:tr>
      <w:tr w14:paraId="77147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B6F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39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67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含税材料包干价</w:t>
            </w:r>
          </w:p>
        </w:tc>
      </w:tr>
    </w:tbl>
    <w:p w14:paraId="569B8208">
      <w:pPr>
        <w:bidi w:val="0"/>
        <w:rPr>
          <w:rFonts w:hint="eastAsia"/>
        </w:rPr>
      </w:pPr>
    </w:p>
    <w:p w14:paraId="311AE97F">
      <w:pPr>
        <w:bidi w:val="0"/>
        <w:rPr>
          <w:rFonts w:hint="eastAsia"/>
        </w:rPr>
      </w:pPr>
      <w:r>
        <w:rPr>
          <w:rFonts w:hint="eastAsia"/>
          <w:color w:val="auto"/>
        </w:rPr>
        <w:t>本项目</w:t>
      </w:r>
      <w:r>
        <w:rPr>
          <w:rFonts w:hint="eastAsia"/>
          <w:color w:val="auto"/>
          <w:lang w:val="en-US" w:eastAsia="zh-CN"/>
        </w:rPr>
        <w:t>包</w:t>
      </w:r>
      <w:r>
        <w:rPr>
          <w:rFonts w:hint="eastAsia"/>
          <w:color w:val="auto"/>
        </w:rPr>
        <w:t>核心产品：AI心理数字人（便携版）。</w:t>
      </w:r>
    </w:p>
    <w:p w14:paraId="5084E2B6">
      <w:pPr>
        <w:bidi w:val="0"/>
        <w:rPr>
          <w:rFonts w:hint="eastAsia"/>
        </w:rPr>
      </w:pPr>
    </w:p>
    <w:p w14:paraId="1B9F241E">
      <w:pPr>
        <w:bidi w:val="0"/>
        <w:rPr>
          <w:rFonts w:hint="eastAsia"/>
        </w:rPr>
      </w:pPr>
    </w:p>
    <w:p w14:paraId="17ECEF4E">
      <w:pPr>
        <w:bidi w:val="0"/>
        <w:rPr>
          <w:rFonts w:hint="eastAsia"/>
        </w:rPr>
      </w:pPr>
    </w:p>
    <w:p w14:paraId="6FCF82D0">
      <w:pPr>
        <w:bidi w:val="0"/>
        <w:rPr>
          <w:rFonts w:hint="eastAsia"/>
        </w:rPr>
      </w:pPr>
    </w:p>
    <w:tbl>
      <w:tblPr>
        <w:tblStyle w:val="51"/>
        <w:tblW w:w="537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6"/>
        <w:gridCol w:w="1101"/>
        <w:gridCol w:w="674"/>
        <w:gridCol w:w="691"/>
        <w:gridCol w:w="5812"/>
      </w:tblGrid>
      <w:tr w14:paraId="48546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5"/>
            <w:tcBorders>
              <w:top w:val="nil"/>
              <w:left w:val="single" w:color="000000" w:sz="8" w:space="0"/>
              <w:bottom w:val="nil"/>
              <w:right w:val="nil"/>
            </w:tcBorders>
            <w:shd w:val="clear" w:color="auto" w:fill="auto"/>
            <w:vAlign w:val="center"/>
          </w:tcPr>
          <w:p w14:paraId="7D661A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36"/>
                <w:szCs w:val="36"/>
                <w:u w:val="none"/>
              </w:rPr>
            </w:pPr>
            <w:r>
              <w:rPr>
                <w:rFonts w:hint="eastAsia" w:ascii="宋体" w:hAnsi="宋体" w:eastAsia="宋体" w:cs="宋体"/>
                <w:b/>
                <w:bCs/>
                <w:i w:val="0"/>
                <w:iCs w:val="0"/>
                <w:color w:val="auto"/>
                <w:kern w:val="0"/>
                <w:sz w:val="36"/>
                <w:szCs w:val="36"/>
                <w:u w:val="none"/>
                <w:lang w:val="en-US" w:eastAsia="zh-CN" w:bidi="ar"/>
              </w:rPr>
              <w:t>儿童科学教育实训室</w:t>
            </w:r>
          </w:p>
        </w:tc>
      </w:tr>
      <w:tr w14:paraId="019CC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6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15422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6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F15D3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设备名称</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C431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数量</w:t>
            </w:r>
          </w:p>
        </w:tc>
        <w:tc>
          <w:tcPr>
            <w:tcW w:w="38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0757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w:t>
            </w:r>
          </w:p>
        </w:tc>
        <w:tc>
          <w:tcPr>
            <w:tcW w:w="325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8B37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技术规格及功能要求</w:t>
            </w:r>
          </w:p>
        </w:tc>
      </w:tr>
      <w:tr w14:paraId="770F2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36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E4231C">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c>
          <w:tcPr>
            <w:tcW w:w="6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AC6339">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7555C3">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c>
          <w:tcPr>
            <w:tcW w:w="38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AFD02A">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c>
          <w:tcPr>
            <w:tcW w:w="325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A075C3">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r>
      <w:tr w14:paraId="7967A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E8C091">
            <w:pPr>
              <w:keepNext w:val="0"/>
              <w:keepLines w:val="0"/>
              <w:pageBreakBefore w:val="0"/>
              <w:widowControl/>
              <w:kinsoku/>
              <w:wordWrap/>
              <w:overflowPunct/>
              <w:topLinePunct w:val="0"/>
              <w:autoSpaceDE/>
              <w:autoSpaceDN/>
              <w:bidi w:val="0"/>
              <w:adjustRightInd w:val="0"/>
              <w:snapToGrid w:val="0"/>
              <w:spacing w:after="0"/>
              <w:jc w:val="left"/>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一、基础设备</w:t>
            </w:r>
          </w:p>
        </w:tc>
      </w:tr>
      <w:tr w14:paraId="02255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35A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36E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操作台</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676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A3F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7F96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规格：1630x800x825 </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 xml:space="preserve"> E0级刨花板，近色直边，椅面25MM，优质钢架</w:t>
            </w:r>
          </w:p>
        </w:tc>
      </w:tr>
      <w:tr w14:paraId="56F30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3B6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865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实训长桌</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FE8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0BC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63F1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规格：2100*1200*750 </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 xml:space="preserve"> E0级刨花板，近色直边，台面25MM，中间木盒面板25MM，其余16MM厚。按图纸造型，无背板，无书</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架，优质钢架。</w:t>
            </w:r>
          </w:p>
        </w:tc>
      </w:tr>
      <w:tr w14:paraId="228B1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4C8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73A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实训凳</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B3C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315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CD26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1.椅架为框架结构，采用优质高精度一级冷轧钢管组合焊接成型，25*25方形钢管</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，壁厚1.0mm，表面采用防锈静电喷涂处理，实用牢固，承受力大，底部加配有ABS固定脚垫。</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2.板材：采用优质三聚氰胺饰面，E0级刨花板基材，经过防虫、防潮、防腐处理，表面防刮耐磨。板材厚度15mm，PVC胶边，具防火、耐磨、防污、牢固耐用。</w:t>
            </w:r>
          </w:p>
        </w:tc>
      </w:tr>
      <w:tr w14:paraId="68BBA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BE6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272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仪器柜</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356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285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22BE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规格：1200*500*1800 </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E0级多层实木板，近色直边，面板、层板、底板</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25MM，背板16MM，底下带30H调节脚</w:t>
            </w:r>
          </w:p>
        </w:tc>
      </w:tr>
      <w:tr w14:paraId="2995C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A78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65F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交互式平板</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F81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D20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E014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一、屏体硬件：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1.整机采用≥65英寸超高清LED液晶屏，显示比例16:9，分辨率3840×2160，屏幕采⽤≤3mm钢化玻璃保护，表⾯硬度≥石墨硬度9H或莫氏硬度7级，透光率不低于91%，雾度≤8%；</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2.整机左、右、下三边框皆具备磁吸功能，边框任意位置可吸附具备磁吸功能的书写笔，吸附稳定不掉落，磁吸拉力≥60g，方便教具的收纳管理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红外触控技术支持Windows系统及安卓系统中进行50点或以上触控，触摸分辨率32768*32768，整机系统支持书写触控延迟≤25ms，触控书写功能集成预测算法，支持多档预测速度可调节，在书写速度≥50cm/s，支持笔迹距离笔的距离小于20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4.为充分满足用户实际使用需求，前置面板需具有以下输入接口：≥2路双通道USB3.0接口、≥1路USB Type-C全功能通道接口，后置≥1路HDMI接口、≥1路USB 接口等接口；</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整机支持发出频率为18kHz-22kHz超声波信号，智能手机和笔记本电脑接收超声波信号后可以自动识别附近投屏设备，点击对应设备即可完成投屏操作，配套教学应用APP可通过wifi直连技术，近场发现附近大屏设备，无需扫码、账号密码输入步骤，即可直接连接并登录大屏设备，基于统一身份认证机制可实现其他软件免登录操作。（提供具有CNAS或CMA标识的检测报告复印件加盖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6.交互平板具有物理开机防蓝光功能，蓝光危害为RGO豁免级，通过由中国标准化研究院制定的视觉舒适度（VICO）体系认证，并达到视觉舒适度A +级或以上标准；（提权威机构出具的检测报告复印件并加公章）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整机内置2.2声道扬声器4阵列麦克风，扬声器采用模块化设计，无需打开背板即可单独拆卸，最大功率≥84W，最低谐振频率≤85Hz，影院模式下具备环绕声功能，听力模式下具备人声语言增强功能，支持三挡强弱调节，通过算法提取视频/音频中的语言进行效果增强，在不增加音量的情况下提升语言清晰度，扩声系统语言传输指数（STIPA）≥0.75。（提供具有CNAS或CMA标识的检测报告复印件加盖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8.整机内置双WiFi6无线网卡和蓝牙Bluetooth 5.4标准模块，在PC通道及安卓通道各具备一颗WiFi6无线芯片，PC和安卓通道均可通过大屏发送WiFi6热点以及连接WiFi6的路由器，无线模块（Wi-Fi和蓝牙）采用独立模块化设计，无需拆卸整机后壳即可独立拆装。</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整机内置语音助手，通过整机麦克风及智能笔以唤醒词调起语音助手，支持语音交互的方式调节整机音量、亮度，语音操控打开系统已安装应用如：白板、浏览器、计算器、画板，语音搜索指定网页内容，支持选择网页中的视频进行播放或暂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10.整机上边框内置非独立摄像头，支持拍摄＞1600 万像素数的照片和视频，摄像头支持人脸识别、清点人数、随机抽人；识别所有人数显示标记，然后随机抽选，同时显示标记不少于60人，摄像头支持环境色温判断，根据环境调节合适的显示图像效果。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11.整机具备班级视力检测功能，学⽣站在距离屏幕前5m处，可通过⼿势识别方式来标识方向进行视力测试，测试完成后可直接⽣成视⼒检测结果，并建⽴学⽣视⼒档案，对学⽣视⼒情况进⾏管理。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12.整机关机状态下，通过长按电源键进入设置界面后，可点击屏幕选择故障检测、系统还原功能，系统还原可单独还原PC系统单独还原整机系统。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二、教学辅助系统：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1.整机采用≥12核国产化嵌入式芯片，CPU≥8核，整机嵌入式系统版本≥Android 15，主频≥1.6GHz，内存≥2GB，DDR最大速率≥2666MT/S，存储空间≥32GB，整机CPU芯片，WIFI与蓝牙芯片、摄像头图像处理芯片、均采用国产自主芯片；（提供具有CNAS或CMA标识的检测报告复印件加盖公章）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整机内置交互式白板软件支持汉字语音测评功能，通过整机拾音麦进行用户声音采集分析，判断用户发音是否标准。内置智能语音转文字工具，支持实时拾取整机系统播放的音视频源内容并进行文字转译，支持将整机内置麦克风拾取的语音进行文字转译，以悬浮字幕形式将转译文字显示在屏幕上。（提供具有CNAS标识的检测报告复印件加盖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3.为满足教学场景使用需求需具备弹窗拦截、冰点还原功能，弹窗拦截支持手动拦截、截图拦截、超级拦截三种方式，冰点还原支持创设系统还原点，可根据教学需求自由选择磁盘分区设立还原点和取消还原点；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整机支持在无任何外部设备的情况下，实时录制用户朗读内容，识别用户声纹并进行统一身份登录，支持智能书写功能，书写文字自动识别为标准印刷体，支持图形识别功能，可将多种手绘图形转化为矩形、三角形、圆形标准图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整机自带书写美化能力，智能识别批注的书写轨迹，进行笔锋智能美化，模拟纸上书写的起笔、行笔和收笔效果，内置文字快剪功能，支持微课录制结束后提取视频中的文字，按照提取出的文字，对视频进行快速视频剪辑。</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6.整机内置AR授课工具，支持对视频展台所采集的画面中叠加动态的3D 模型，支持对整机页面显示的题目或视频展台所采集的题目内容进行识别。</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整机内置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提供具有CNAS或CMA标识的检测报告复印件加盖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三、内置电脑：</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1.内置电脑模块采用按压式开关最新40pin万兆高速传输接口，传输速率≥10Gbps；2.CPU采用Intel不低于第12代酷睿I5处理器；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3.内存：≥8G DDR4；4.硬盘：≥256G SSD固态硬盘；接口：整机非外扩展具备3个USB接口；具有独立非外扩展的视频输出接口：≥1路HDMI等；</w:t>
            </w:r>
          </w:p>
        </w:tc>
      </w:tr>
      <w:tr w14:paraId="203B0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AF8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166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光能黑板</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100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58C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383A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一、硬件要求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1、触控一体机两侧各放置一块光能黑板。单块光能黑板≥1290（长）*1150（高）mm。下边框具有可调节托板，可根据触控一体机高度进行调整至与触控一体机高度平齐，兼具置物功能。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2、考虑黑板的边角安全因素，黑板四角应为圆角，且径向半径不小于4mm，法向半径不小于0.3mm。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3、边框采用铝合金材质，坚固耐用，具有较好的耐腐蚀特性。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4、黑板侧面应采用侧封板，用于遮挡光能黑板与墙面间的缝隙，侧封板在非拆除形式下，能够调整侧封板与墙面的闭合距离，便于安装及后期调节。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5、无需专用耗材，采用多种笔杆均可在板面进行书写，消除了粉笔粉尘对师生构成的健康隐患。可擦写次数不低于10万次。</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6、板面应无频闪、无背光，上膜不应产生眩光。板书笔迹平视可视距离≥20米，可视角度≥150°。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7、光能黑板的光泽度不高于30光泽单位。</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8、为减少老师书写的疲劳感，板面粗糙度Sa≤0.3um。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9、书写板上膜应经过抗紫外线工艺处理，波长小于380nm的紫外线阻隔率不低于99.5%。</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10、一键擦除时间不大于1.5秒，擦除应无断点、无死角等，擦除后应无明显残留痕迹。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11、为方便使用，可使用板擦和手势对板书进行局部擦除，局部擦除时间不大于0.4秒，擦除应无断点、无死角等，擦除后应无明显残留痕迹，且非擦除区域不受影响。</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12、黑板内设有电压调整机制，支持自动感应调整，也支持通过手势按压书写板板面的特定位置，调节局部擦除的灵敏度，适应不同用户的使用需求。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13、最大工作电流（瞬间电流）不得超过1000mA。</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14、黑板表面具有暗格，用以提供给师生在书写板书时的直线参照，可避免板书歪斜。黑板表面可吸附磁贴、磁扣等教学工具，便于老师教学使用。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15、光能黑板电磁场强度符合国家《工作场所有害因素职业接触限值物理因素》确认的：工频电场≤5000V/m，磁感应强度≤100uT的限量。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16、为让老师能够快速调取交互软件，方便使用功能，光能黑板的左侧或右侧应具有触摸快捷键。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二、软件要求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1、左、右光能黑板可与触控一体机进行互动，将光能黑板的内容与触控一体机无缝连接，教师在光能黑板上的书写内容可同步显示在触控一体机上。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2、为便于老师记忆和操作，板书界面与电脑桌面/PPT课件之间，可以来回切换，方便快捷。</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3、可以通过触摸快捷键快速切换单页和多页显示：单板书写时，可单页面显示（此时只有一块黑板界面）；多板同时书写时，可多页面同时显示。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4、当不需要板书传输到软件显示界面时，可以使用分屏功能，断开黑板与大屏的传输，使其成为互不影响的多块黑板。</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5、设置不同的软件端笔迹颜色，可实现老师对于教学重点的标识及批注；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保存后的板书可以上下翻页，也可以通过触摸快捷键，快速预览所有已经存储的板书内容。当点击光能黑板上的上下翻页时，仅对当前光能黑板的同传内容进行上下翻页，而不影响另一块光能黑板的同传界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7、对板书的电子文档进行分享，可以存储在本地PC端，同时生成二维码，便于师生扫码获取。</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8、可以对课堂的板书和讲解进行录制，生成视频文档，利于学生课后复习回放。</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9、支持导入PPT课件，可以在同传软件上同时显示出PPT课件和板书的记录文本。</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10、具备打印功能，可连接打印机将保存的板书文档传输至打印机打印，方便灵活。</w:t>
            </w:r>
          </w:p>
        </w:tc>
      </w:tr>
      <w:tr w14:paraId="39658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A53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D90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录制主机</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0E1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FB8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DE75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1.主机采用一体化嵌入式硬件设计，集成度极高，设备高度不高于1U；</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★2.视频输入接口:提供不低于4路HD SDI视频输入接口、3路HDMI输入（提供产品接口图片，加盖生产厂家公章）；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3.视频输出接口：提供不低于2路HDMI视频输出接口，分别支持本地导播和本地直播画面输出；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4.音频接口：支持不少于2路3.5mm输入和2路3.5mm输出；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5.网络接口：支持不少于1个千兆网络接口；</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6.控制接口：支持不少于6个凤凰端子COM口，支持RS232控制协议；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7.其他接口：DC12V电源接口，不少于4个USB接口，其中至少一个支持USB3.0；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8.录播主机内置不小于1T硬盘；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9.录播主机支持多种控制方式：如专用触控屏/远程WEB后台管理系统控制/中控系统/导播键盘等方式；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录播主机支持本地和远程两种方式进行录播功能操作。本地录制控制，显示器直接录播主机，插入鼠标键盘即可实现导播操作，开机即录制界面，无需手动打开录制软件；远程方式使用B/S架构设计，远程操控无需安装任何软件和插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11.录制界面分为信号显示区，录播控制区和功能设置区，界面布局简洁清晰，提供良好的用户体验；</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12.为便于操作，录制时系统提供PGM主播窗口和PVW预监窗口，便于在PVW预监窗口中调试好画面再切入PGM主播窗口；</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★13.系统支持3路导入预备视频素材，在录制过程中随时插入预备视频画面（提供软件功能截图并加盖厂家公章）；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14.系统支持一键录制、暂停、直播功能，并单独显示录制和直播时长；</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15.支持自动、手动、半自动三种导播模式；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★16.系统内置RTMP直播服务器，单台录播主机支持不少于50路（1080P，2M码流，30帧）直播并发，并支持将直播流推送到第三方流媒体服务器（提供软件功能截图并加盖厂家公章）；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17.支持7路资源通道单独直播，支持导播通道主辅两种不同码流直播，本机直播并发超100路，同时支持向资源管理平台或者第三方直播平台推流直播，进行大规模直播，支持TS/RTSP/RTMP三种直播协议（提供软件功能截图并加盖厂家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18.系统支持H.264视频编码协议和ACC音频编码协议，录制码率支持512Kbps—60Mbps（可调），外网直播码率支持512Kbps—8Mbps（可调），帧率支持25 Fps、30 Fps、50 Fps、60Fps；支持音频输入检测和音量调整功能，并在系统界面中显示音量大小；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19.系统支持字幕功能，并支持不少于5条字幕预设功能；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20. 系统支持课件点播预览功能，并支持视频编辑功能，可对视频进行剪辑合并重新命名生产微课视频，并对微课进行分类保存；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★21.系统支持内外网两种IP分别设置，保障局域网和公网的双向连接，并支持进行公网连接测试功能（提供软件功能截图并加盖厂家公章）；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22.系统支持多种视频文件下载功能，可在web管理页面远程下载到本地电脑，也可通过USB接口拷贝；</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23.基于B/S架构，采用HTML5技术，通过浏览器即可访问，无需安装任何插件和客户端；</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24.远程导播系统支持定时录制和自动课表录制，可预先设置录制任务的具体时间，系统按时自动完成录制，无需手工操作；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25.系统支持PTZ云台控制，支持不少于4路通道云台控制，每路通道不少于8个预置位设置；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26.支持全屏、双分屏、画中画、三分屏、多分屏画面等不少于8种分屏设置，多分屏显示下支持快速自定义画面布局，同时支持淡入淡出等至少15种切换特效；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27.支持台标、片头片尾、标题、字幕、时间等OSD信息设置及一键应用；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28.支持远程定时开关机、手动重启；</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29.支持开始录制前主讲人、编号、视频名称等录制信息预设置，也可在点击录制时弹出提示窗口；</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30.具备硬盘保护机制，硬盘剩余空间低于5%时，提示空间已满；支持一键格式化硬盘。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31.系统支持远程互动模式，单机支持1对3进行局域网远程互动，支持主机、听讲身份互换；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32.系统支持标准H.323/SIP互动协议，支持对接MCU进行远程大规模互动，支持双流互动模式，听讲可同时观看主讲的视频和电脑课件画面；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33.系统支持HDMI输入信号进行自动图像检测，无需在主机电脑端安装任何插件即可实现电脑课件信号的自动切换，支持阈值，触发，切换停留时长等设置，支持一键锁定课件画面；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★34.支持对接变送器，在主机本地界面实时显示温度、湿度、CO2浓度、PM2.5浓度、PM10浓度。支持手动设置CO2浓度、PM2.5浓度、PM10浓度报警值，环境超过报警值自动红字报警（提供软件功能截图并加盖厂家公章）。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★35.支持读取指定地区当天/次日天气预报、气象预警信息；支持设置考试倒计时、考试提醒；支持发布学校紧急通知；所有内容可配置以浮窗方法实时显示在主屏（提供软件功能截图并加盖厂家公章）。</w:t>
            </w:r>
          </w:p>
        </w:tc>
      </w:tr>
      <w:tr w14:paraId="013B2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2C0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1C6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教师高清摄像机</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654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FEB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7FAA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1.传感器类型:1/2.5英寸, CMOS, 有效像素：851万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2.焦距:f=4mm(学生)/8mm（老师）, 视场角: 78度/42度</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3.自动对焦:支持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4.电子快门:1/30s ~ 1/10000s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5.白平衡:自动, 室内, 室外, 一键式, 手动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6.数字降噪:2D, 3D数字降噪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7.背光补偿 支持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8.PoE供电 支持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9.网络接口 1路,  RJ45: 10M/100M/1000M 自适应以太网</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10.控制接口 1路,RS232</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11.电源接口 DC 12V</w:t>
            </w:r>
          </w:p>
        </w:tc>
      </w:tr>
      <w:tr w14:paraId="35D1A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483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15C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学生高清摄像机</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AFA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5E5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B5D5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1.传感器类型:1/2.5英寸, CMOS, 有效像素：851万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2.焦距:f=4mm(学生)/8mm（老师）, 视场角: 78度/42度</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3.自动对焦:支持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4.电子快门:1/30s ~ 1/10000s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5.白平衡:自动, 室内, 室外, 一键式, 手动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6.数字降噪:2D, 3D数字降噪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7.背光补偿 支持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8.PoE供电 支持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9.网络接口 1路,  RJ45: 10M/100M/1000M 自适应以太网</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10.控制接口 1路,RS232</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11.电源接口 DC 12V</w:t>
            </w:r>
          </w:p>
        </w:tc>
      </w:tr>
      <w:tr w14:paraId="4998D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CC4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E9B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教师可视化触控面板</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FF0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1CC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C10F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1.配备10.1寸高清触控大屏，工业级设计，采用最新3D画质数字处理电路，安装于教师讲台上，教师可以实时观看高清录课状态；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2.支持触屏控制录播开始录制、暂停、停止录制、直播、VGA锁定等功能；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3.支持触屏控制手动、自动、半自动录制，支持信号切换控制，同时支持远程互动信号的切换控制；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4.支持片头片尾、字幕、OSD、台标等一键应用；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5.接口参数：1路HDMI、1路VGA、1路USB2.0</w:t>
            </w:r>
          </w:p>
        </w:tc>
      </w:tr>
      <w:tr w14:paraId="7EF84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79F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14D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全向麦</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5BC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E4F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DED6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1.高灵敏度、大动态、宽频带优质拾音器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2.工作电压：DC12V,工作电流：15mA</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3.频率范围：100－10000HZ</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4.频率响应：2.5dB\输出阻抗：600欧\输出电平：0～6V</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5.拾音面积：3米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6.指向特性：单一指向/双指向性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7.灵 敏 度：－35dB(10.0 mV e 1V at 1 Pa)</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8.麦 克 风：KaBoni高级互补增强数字电容麦克风</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9.外壳材质：合金</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10.环境温度：-20℃ ～ 75℃</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11.特 点：采用坚固的合金底座及双层金属网罩设计，语音清晰自然、声音洪亮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12.安装方式：吸顶安装、墙壁安装、桌面安装</w:t>
            </w:r>
          </w:p>
        </w:tc>
      </w:tr>
      <w:tr w14:paraId="17B2E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57F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9A9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功放音箱</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28A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009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2056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功放：</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1、输入电平：话筒（非平衡输入）：Mic1-Mic2  5mV（插口自带5V极化电源）；Mic3  300mV。</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线路（非平衡输入）：Line1-Line3  300mV。</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2、输入阻抗：话筒：Mic1-Mic2  600Ω；Mic3  10KΩ。线路：10KΩ。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3、输出电平：非平衡0dB，最大+6dB。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4、输出阻抗：线路：≤100Ω（非平衡）。</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5、频率响应：20Hz-20KHz。</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6、失真度：＜0.1%（1KHz，1/3功率输出）。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8、高低音调控制：高音：10KHz，0－-14dB。低音：100Hz，0－-14dB。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9、噪声电平： 1）线路输出：≤1mV。 2）功放输出：≤20mV。</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10、保护功能：交流保护；直流输出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11、电源供应：AC210V-230V~50Hz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音箱：</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1、独特的二路二分频保护线路系统，增强式的高音模式保护。</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2、箱体采用纳米濆漆工艺防潮耐磨，配置专业6.5寸低音和3寸高音，效果逼真动人。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3、单元配置高音 HI: 3寸 低音 LOW: 6.5寸  分频类型: 二分频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4、频率响应：65Hz-17KHz；</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5、额定功率：60W，阻抗：4Ω；</w:t>
            </w:r>
          </w:p>
        </w:tc>
      </w:tr>
      <w:tr w14:paraId="7AF08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47" w:type="pct"/>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CABF242">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 xml:space="preserve">第1部分 生命科学系列   </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702604">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r>
      <w:tr w14:paraId="57C60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61C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E3C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生物数码互动显微系统</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EF9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5381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C0BD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一、基本配置：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显微镜单体x1</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显微镜底座x1</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数据线x1</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生物标本x10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标本固定夹x2</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培养皿x2</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采集瓶x3</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镊子x1</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滴管x1</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工具收纳盒x1</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标本采集盒x1</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观察记录册x1</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科普书籍x1</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空白载玻片与盖玻片x10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材质：ABS、PC、航空铝合金</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像素规格：200wCMOS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芯片分辨率：1600*1200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屏幕尺寸：4.3寸高清IPS屏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显示屏分辨率800*480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放大倍率：1-800X</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调焦方式：旋钮式对焦</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工作温度：-10°C-45°C</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视频录制格式:Mp4</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存储空间：32GB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升降高度:40cm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产品重量:约0.65kg</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三、功能特点：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1、智能拍照录像：自带拍照录像系统，内置32GB超大存储，轻松标记、记录实验过程。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2、Wi-Fi数据同步传输：记录内容同步上传APP</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3、智能光照染色：多彩底光照射染色更便捷</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4、多段混合变焦：两种放大倍率看清更多细节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5、双模式设计：室内户外都能用，户外可拆下单体直接观察，室内可秒变立式观察模式。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6、双重光源补光：可根据环境明暗变化智能调节亮度，透明/非透明物质都能看。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7、键智能投屏：支持一键投屏，影像无延迟，方便和他人一起共享探究成果。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8、多设备兼容：高性能交互体验，一键与平板、笔记本电脑和台式电脑等进行连接。</w:t>
            </w:r>
          </w:p>
        </w:tc>
      </w:tr>
      <w:tr w14:paraId="5C7EB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A97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22A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孕育生命</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F76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9AC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5EDB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规格：500×350×250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,材质ABS。一、基本配置：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1、妊娠胚胎发育过程模型:192*110*290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2、大模型：1套，主控板：采用国产的高性能芯片作为主控芯片。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二、实验过程：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1、观察妊娠胚胎发育过程模型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2、向大模型提问：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1. 人类受精卵形成的部位是哪里？</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 受精卵着床的部位是哪里？</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 胎儿在母体中生活的“房间”叫什么？</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 胎儿和母体进行物质交换的器官是什么？</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 连接胎儿和胎盘的结构是什么？</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 胎儿在母体内是否用肺呼吸？</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 怀孕多少周左右胎儿基本发育成熟？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 胚胎发育到第几周开始称为胎儿？</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 胎儿在羊水中生活，羊水的主要作用是什么？</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 胎儿最早出现心跳大约在怀孕第几周？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 胎儿的性别由什么决定？</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 母体的哪些物质可以通过胎盘传给胎儿？</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13. 胎儿排出的代谢废物主要通过什么排到母体外？</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14. 怀孕初期，母体最先出现的明显信号通常是什么？</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15. 胎儿在母体里大约多久会出现胎动？</w:t>
            </w:r>
          </w:p>
        </w:tc>
      </w:tr>
      <w:tr w14:paraId="0494F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CF8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CADD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化石</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353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9B0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30C77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1、主控板：采用国产的高性能芯片作为主控芯片。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2、500×350×120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3、一体机：屏幕：120*80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4、“化石解说数字人 ”1套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二、科学原理：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地理——化石标本展示了远古时代的珍贵化石：三叶虫纲的王冠虫化石、腕足动物的贝壳化石，植物化石。通过大模型智能体的语音文本互动讲解，您将轻松了解这些古生物的演化历史和生活环境。简洁易懂的科普内容，与您一起探索地球生命的起源与发展，感受科技带来的全新互动体验。立即开启这段奇妙的时光之旅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三、操作方法：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通过语音互动，打开或关闭“化石”，也可以与“化石解说数字人 ”进行对话。</w:t>
            </w:r>
          </w:p>
        </w:tc>
      </w:tr>
      <w:tr w14:paraId="41AAD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347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508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人体躯干</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33A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F39E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4BB6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规格：160*70*320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。可以逐件分折开来,了解人体主要内脏器官的结构和形状:如心，肝，肺,胃肠,脊柱，胸骨手骨，大腿肌肉，头部肌肉等在人体中的位置和形状。</w:t>
            </w:r>
          </w:p>
        </w:tc>
      </w:tr>
      <w:tr w14:paraId="29763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55E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8AF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骨骼模型2型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917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E2FF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079D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100*100*280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 18件支撑条、6底座*1照光盒*1骨骼胶片*4问题咭*10健康食物咭*10转盘*1人体骨骼海报*1证书说明书可以逐件分折开来，了解人体骨骼的结构和形状 : 如头骨,颈椎骨,脊椎骨,肋骨,手臂骨,腿骨,脚掌骨,手掌骨等在人体中的位置和形状.</w:t>
            </w:r>
          </w:p>
        </w:tc>
      </w:tr>
      <w:tr w14:paraId="25937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6E5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167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牙齿模型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79A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CA80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6F69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规格：110*110*190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。可以逐件分折开来 , 了解人体牙齿和牙床的结构和形状: 如切牙,恒牙,磨牙,虎牙等在牙床中的位置和形状以及乳牙,蛀牙的形状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基本配置：恒齿模型*1组乳齿模型*1组坏牙模型*1只海报*1问题咭*10健康食物咭*10牙齿排列咭*2证书* 1说明书</w:t>
            </w:r>
          </w:p>
        </w:tc>
      </w:tr>
      <w:tr w14:paraId="683DC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B5F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4AE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人的大脑</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367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252C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3644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9片脑模型、脑体比转向轮、你知道吗卡片 x10、健康食品卡x10、脑海报、底座、使用说明书</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基本配置：脑部模型*9组座*1脑部海报*1问题咭* 10健康食物咭*10脑部与人体比例转盘*1证书*1说明书</w:t>
            </w:r>
          </w:p>
        </w:tc>
      </w:tr>
      <w:tr w14:paraId="76081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0B4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052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心脏模型2型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327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1FA4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E1E6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规格：110*110*160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。心脏模型*1，血管模型*3，组座*1，问题卡* 10，健康食物卡*10。可以逐件分折开来 , 了解人体心脏的结构和形状: 如左心室/右心室/左心房/右心房/心肌/心血管等在心脏中的位置和形状。</w:t>
            </w:r>
          </w:p>
        </w:tc>
      </w:tr>
      <w:tr w14:paraId="23ED3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6E4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A5A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肺呼吸模型2型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CFF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BAA3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006D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规格：110*110*180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，可以逐件分折开来，了解人体呼吸系统的结构和形状: 如左肺/右肺/气管/支气管等在呼吸系统中的位置和形状，另外还配有一个灯箱 , 用于观看配套的菲林片。</w:t>
            </w:r>
          </w:p>
        </w:tc>
      </w:tr>
      <w:tr w14:paraId="7A38E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4B0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30A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眼球模型2型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A86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B4C3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F6F5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120*120*160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.可以逐件分折开来，了解人体眼球的结构和形状: 如角膜,虹膜,瞳孔,晶状体,视网膜,视神经等在眼球中的位置和形状，</w:t>
            </w:r>
          </w:p>
        </w:tc>
      </w:tr>
      <w:tr w14:paraId="6257A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C6C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E33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昆虫腹部观察镜</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CD7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2C05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52F8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规格：利用平面镜可以观察昆虫的腹部,探究课题：可观察昆虫腹部</w:t>
            </w:r>
          </w:p>
        </w:tc>
      </w:tr>
      <w:tr w14:paraId="11BB5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DDA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28F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动物解剖-蜗牛</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958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7A39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A4A7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产品尺寸：22*16*9.5cm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零件数量：32个</w:t>
            </w:r>
          </w:p>
        </w:tc>
      </w:tr>
      <w:tr w14:paraId="6B857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D36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6DA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动物解剖-青蛙</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DBE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E265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C2A9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产品尺寸：16.6*16*15cm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零件数量：31个</w:t>
            </w:r>
          </w:p>
        </w:tc>
      </w:tr>
      <w:tr w14:paraId="32253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BF2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106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昆虫研究</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32B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F2F9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BA92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一、基本配置：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高杯容器1个、管子2个、螺口式盖子1个、透明杯1个、说明书1份、观察箱1个、透气盖子1个、漏斗1个、镊子1个、放大镜1个、复眼模拟器1个、捕虫网连接杆2个、捕虫网1个、农场透明组件2个、、农场活塞帽2个、农场底座1个、农场顶盖1个、农场小环2个、捕虫网连接头1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二、课程：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通过课程讲解，揭示昆虫的神秘世界。</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01.捕捉昆虫</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02.捕虫吸管</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03.微小生物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04.昆虫陷阱</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05.蚂蚁农场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06.昆虫结构(理论)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07.昆虫复眼</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08.漂浮别针</w:t>
            </w:r>
          </w:p>
        </w:tc>
      </w:tr>
      <w:tr w14:paraId="6E8F2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A95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485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观察鸡蛋的孵化过程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0BF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18F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18510">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产品尺寸:530*350*260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21个蛋/套，模拟小鸡胚胎发育全过程：1.血岛形成；2.出现血管，心脏开始跳动；3.蚊子形的胚胎和血管；4个蜘蛛形的胚胎和血管；5.除血管外，可明显看到黑色的眼点，俗称“单珠”；6.可以看到两个圆团(一个是头部另一个是弯曲增大的躯干)，俗称“双珠”；7.出现口腔，具有鸟类特征，翅、喙明显；8.易看到胚胎，从背面看蛋转动时两边卵黄不易晃动；9.背部出现绒毛，食道、胃、肝、肾形成；10.尿囊在蛋的背面合拢；11.从背面看，血管加粗.；12.从背面看，血管粗.颜色深两边卵黄在蛋的大头连接；13.头部被毛绒覆盖；14.头部被绒毛覆盖</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颈部鳞明显；15.眼睑闭合；16.从背面看，蛋的大小暗而小头亮；蛋内黑影部分随着胚龄的增长而逐日加大，小头发亮的部分随着胚龄的增长而逐日缩，17.蛋自基本被胚胎、18.气室向一方倾斜；19.卵黄全部纳入富强眼睛开始睁开，景部压迫气室；20.肺部愈合！开始出壳；21.出壳完毕。</w:t>
            </w:r>
          </w:p>
        </w:tc>
      </w:tr>
      <w:tr w14:paraId="4B428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4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6C6EC4">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 xml:space="preserve">第2部分 地球与空间科学 </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9D9FB">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r>
      <w:tr w14:paraId="5C456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2B4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EB7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智能地球仪3型</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289E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9DD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BF13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规格：球直径：</w:t>
            </w:r>
            <w:r>
              <w:rPr>
                <w:rFonts w:hint="eastAsia" w:ascii="宋体" w:hAnsi="宋体" w:cs="宋体"/>
                <w:i w:val="0"/>
                <w:iCs w:val="0"/>
                <w:color w:val="auto"/>
                <w:kern w:val="0"/>
                <w:sz w:val="22"/>
                <w:szCs w:val="22"/>
                <w:u w:val="none"/>
                <w:lang w:val="en-US" w:eastAsia="zh-CN" w:bidi="ar"/>
              </w:rPr>
              <w:t>不小于</w:t>
            </w:r>
            <w:r>
              <w:rPr>
                <w:rFonts w:hint="eastAsia" w:ascii="宋体" w:hAnsi="宋体" w:eastAsia="宋体" w:cs="宋体"/>
                <w:i w:val="0"/>
                <w:iCs w:val="0"/>
                <w:color w:val="auto"/>
                <w:kern w:val="0"/>
                <w:sz w:val="22"/>
                <w:szCs w:val="22"/>
                <w:u w:val="none"/>
                <w:lang w:val="en-US" w:eastAsia="zh-CN" w:bidi="ar"/>
              </w:rPr>
              <w:t>250、控制器1个:7寸屏幕,具有WiFi功能和蓝牙功能；VR眼镜1个，点读笔1支。</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1、探究主题：恐龙大陆、动物世界、世界建筑、世界美食、世界国家、太阳系、天气现象、环球名校、世界名人、航天航空、著名景点、海洋生物、地球结构、野生动物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2、打开地球仪，地球仪内部为火山结构，可探究7个火山结构问题。</w:t>
            </w:r>
          </w:p>
        </w:tc>
      </w:tr>
      <w:tr w14:paraId="12F1D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BBA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2FB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体验地震台3型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0B3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B64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1962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一、展品用材：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1.展台：钣金结构、围板≥1.2mm冷轧板，表面喷塑。</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2.台面：木质，厚度≧15mm，拷漆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3.说明牌：亚克力UV喷绘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4．一体机：屏幕19寸，内存4G ，硬盘：128G</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5．模拟地震台1个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6.软件1套。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二、操作说明：</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1、动画演示：地震是怎么形成的？</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2、动画演示：地震会产生哪些危害？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3、动画演示：地震时应该如何自救？</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4、体验地震台可测试8个不同级别的地震强度，并配备了30个形状和大小不同的塑料建筑砖。搭建不同形状的建筑物，在屏幕上分别选择不同级别的地震强度测试不同建筑物是否倒塌或是依然坚固</w:t>
            </w:r>
          </w:p>
        </w:tc>
      </w:tr>
      <w:tr w14:paraId="74EEA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C60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AF0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天文望远镜3型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13C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816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AD52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一、基本配套置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图像传感器 SONY-CMOS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主平台 双频双发MTK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像元尺寸 6.52mm </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最大分辨率 4k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无线传输速率 867Mbps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光学光圈 f/6.1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光学焦距 500mm+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电池容量 1600mAh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充电电源 DC5V-1A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充电接口 type-C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应用程序 Android/iOS/Windows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传输方式 802.11 ac Wi-Fi&amp;USB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产品尺寸 688mm*410mm*197mm </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高清摄像 Max-4k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视频录制格式 Mp4</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调焦方式 机械式星减速调节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三脚架高度 两段伸缩式565mm、1030mm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二、功能与特点：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1、人镜分离 ，使用APP查看，大屏实时观测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2、一键拍照录像。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2、长焦距、大光圈。</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3、自带wIFI热点。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4、前沿滤光工艺 FMC多层镀膜，多层绿膜降低不适光穿透镜片画质柔和不晕眼</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5、MTK算法平台搭载SONY芯片，低耗能，性能强，速率高。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6、可调节多种画质长曝光、对比度、饱和度，可手动调节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7、Type-C速冲 ，大容量锂电池超长续航。</w:t>
            </w:r>
          </w:p>
        </w:tc>
      </w:tr>
      <w:tr w14:paraId="54401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4E3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C9D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月相变化演示仪3型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A2E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6D4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3994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外形不小于：φ220mm×180mm，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选择农历的日期后固定，就会看到当天月亮所呈的月相。旋转圆盘，使太阳形状的把柄对准晚上所要观测月亮的时间，月亮图标所停的位置就是当天观测时间月亮的位置。探究课题：月亮的方位和升起降落的时间，了解月球的运动变化规律。</w:t>
            </w:r>
          </w:p>
        </w:tc>
      </w:tr>
      <w:tr w14:paraId="2973D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A05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575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月球仪</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299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6CB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21D9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尺寸：直径不小于150㎜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探究课题：了解月球的基本概况和详细的地理、地质结构</w:t>
            </w:r>
          </w:p>
        </w:tc>
      </w:tr>
      <w:tr w14:paraId="503B3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4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E1A2F9">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第3部分 物质科学</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9A00B">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r>
      <w:tr w14:paraId="3E6EA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4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346F9E">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 xml:space="preserve">1、电磁学系列 </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68CD3">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r>
      <w:tr w14:paraId="4D469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E11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A19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光电盘</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7F7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35F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5684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规格：500×350×100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1、大模型1套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2、光电盘1套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一、科学原理：本展品是融合等离子体物理与人工智能技术的科学教育装置，通过高压电场激发惰性气体产生绚丽的辉光放电现象，并集成交互功能实现智能响应与教育引导。本产品既保留了传统光电盘的视觉魅力，又增加了语音交互、教学辅助等智能化功能，是科学教育与科技体验的创新结合。</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二、操作方法：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通过语音互动，打开或关闭“光电盘”，可以与“光电盘”智能对话。。</w:t>
            </w:r>
          </w:p>
        </w:tc>
      </w:tr>
      <w:tr w14:paraId="13F02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E00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356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辉光球</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244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8B6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03CB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规格：500×350×150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1、大模型1套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2、辉光球1套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科学原理：本展品是融合等离子体物理与人工智能技术的科学教育装置，通过高压电场激发惰性气体产生绚丽的辉光放电现象，并集成交互功能实现智能响应与教育引导。本产品既保留了传统辉光球的视觉魅力，又增加了语音交互、教学辅助等智能化功能，是科学教育与科技体验的创新结合。</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二、操作方法：通过语音互动，打开或关闭"辉光球"，可以与"辉光球"智能对话。</w:t>
            </w:r>
          </w:p>
        </w:tc>
      </w:tr>
      <w:tr w14:paraId="07525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9E4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F3C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人体导电</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024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BE7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F873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规格：500×350×120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1、大模型1套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2、人体导电1套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一、科学原理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“人体导”电产品是一款基于人体导电原理设计，融合人工智能交互技术的科普体验设备。旨在以趣味互动的方式，向用户生动展示人体导电这一物理现象，并通过技术深入讲解相关科学知识。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二、操作方法：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1、通过语音互动，打开或关闭“人体导电”，也可以与“人体导电”智能对话。</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2、打开“人体导电”时，用手指触摸仪器上的两个触点，电路就接通了，灯就会被点亮。</w:t>
            </w:r>
          </w:p>
        </w:tc>
      </w:tr>
      <w:tr w14:paraId="0ED58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8B4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10A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磁共振</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B46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843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B82A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规格：500×350×100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1、大模型1套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2、磁共振1套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一、科学原理：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“磁共振”产品是一款基于电磁感应现象原理设计，融合人工智能交互技术的体验设备。旨在以趣味互动的方式，向学生生动展示电磁感应现象这一物理现象，并通过技术深入讲解相关科学知识。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二、操作方法：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1、通过语音互动，打开或关闭“磁共振”，也可以与“磁共振”智能对话。</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2、打开“磁共振”时，把特制塑料球放入人，按下开关，就会看到电磁现象。</w:t>
            </w:r>
          </w:p>
        </w:tc>
      </w:tr>
      <w:tr w14:paraId="03EDA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4E5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DA7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温柔电击</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5B9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A5C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9CB6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规格：500×350×90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1、大模型1套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2、温柔电击1套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一、科学原理：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温柔电击”产品是一款基于自感现象原理设计，融合人工智能交互技术的体验设备。旨在以趣味互动的方式，向学生生动展示自感现象这一物理现象，并通过技术深入讲解相关科学知识。本展品组成包括控制系统、电源、开关、变压器线圈。当用手同时去触两个电极时，相当于使人体与线圈并联。闭合开关时，通过人体的电流很小，而线圈中的电流很大。但当开关断开时，通过线圈中的电流将由较大的数值突然变为零，使得线圈周围的磁场也突然变为零，磁场的突然变化，产生“自感”现象，在线圈两端产生很高的电压，此时与线圈串联的人体，就会有强烈电击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二、操作说明：</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1、通过语音互动，打开或关闭“温柔电击”，也可以与“温柔电击”智能对话。</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2、打开“温柔电击”时，单手或双手接触金属手印（电极），按下“启动”按钮，感受电击 。</w:t>
            </w:r>
          </w:p>
        </w:tc>
      </w:tr>
      <w:tr w14:paraId="3DE8A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CC2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6D0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风力发电</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F54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A8E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A92B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规格：500×350×120mm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 xml:space="preserve">,材质ABS。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1、大模型1套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2、风力发电1套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一、科学原理：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风力发电”产品是一款把风的动能转变成机械动能，再把机械能转化为电力动能,融合人工智能交互技术的体验设备。旨在以趣味互动的方式，向学生生动展示风力发电这一物理现象，并通过技术深入讲解相关科学知识。展项由控制系统、齿轮箱、发电机等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二、操作方法：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1、通过语音互动，打开或关闭“风力发电”，也可以与“风力发电 ”智能对话。</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2、打开“风力发电 ”时，观看发电机工作过程。</w:t>
            </w:r>
          </w:p>
        </w:tc>
      </w:tr>
      <w:tr w14:paraId="0BE56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DBD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E957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发电蘑菇</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2E7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DFF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09F2D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产品尺寸:530*350*260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1、大模型1套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2、发电蘑菇1套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一、科学原理：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发电蘑菇”产品是一款通过变化的磁场在导体中产生电动势，从而驱动电子转动形成电流,融合人工智能交互技术的体验设备。旨在以趣味互动的方式，向学生生动展示电磁感应这一物理现象，并通过技术深入讲解相关科学知识。展项由控制系统、蘑菇头、LED灯珠、强磁、发电线圈等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二、操作方法：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1、通过语音互动，打开或关闭“发电蘑菇”，也可以与“发电蘑菇 ”智能对话。</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2、打开“发电蘑菇”时，观看发电蘑菇发电的工作过程。</w:t>
            </w:r>
          </w:p>
        </w:tc>
      </w:tr>
      <w:tr w14:paraId="3191A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392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856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雅各布天梯</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57E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B26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C968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规格：500×350×350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1、大模型1套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2、雅各布天梯1套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一、科学原理：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“雅各布天梯”产品是一款展示电离和电场的作用，从而展示电能的转化和传递过程，融合人工智能交互技术的体验设备。通过技术深入讲解相关科学知识。展项由控制系统、</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变压器、</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羊角电极、</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驱动电路等构成。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二、操作方法：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1、通过语音互动，打开或关闭“雅各布天梯”，也可以与“雅各布天梯 ”智能对话。</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2、打开“雅各布天梯”时，观看雅各布天梯的工作过程，研究空气击穿产生电弧并向上爬升的现象。</w:t>
            </w:r>
          </w:p>
        </w:tc>
      </w:tr>
      <w:tr w14:paraId="5EC9D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B66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669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手蓄电池</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9A8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C3A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629F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规格：500×350×120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1、大模型1套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2、手蓄电池1套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一、科学原理：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“手蓄电池”产品是一款利用人体汗液作为电解质，通过不同金属（如铝和铜）的化学反应产生电流，融合人工智能交互技术的体验设备。通过技术深入讲解相关科学知识。展项由控制系统、</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手按键、电压表头等构成。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二、操作方法：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1、通过语音互动，打开或关闭“手蓄电池”，也可以与“手蓄电池 ”智能对话。</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2、打开“手蓄电池”时，双手分别和铜铝手杆紧密接触，观察电压表头的指针运动情况。</w:t>
            </w:r>
          </w:p>
        </w:tc>
      </w:tr>
      <w:tr w14:paraId="424E1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70D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026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会爬墙的列车</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475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0D8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D624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规格:400×300×230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,列车安装了磁铁,利用磁力爬墙。</w:t>
            </w:r>
          </w:p>
        </w:tc>
      </w:tr>
      <w:tr w14:paraId="1B40F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D5A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168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电磁加速器3型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29A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7B6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A520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规格：Φ400×100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，展项由小球运动轨道、加速装置以及展台构成，模拟了粒子加速器的基本原理。</w:t>
            </w:r>
          </w:p>
        </w:tc>
      </w:tr>
      <w:tr w14:paraId="47CC2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F5B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04C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电磁小车</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E18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FAC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A718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一、基本配置：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基座、转盘、电磁铁组件、转盘支架、转盘轴、支架轴盖、开关组件、前轮连杆、漆包线、车轮X4、驱动轮、调速轴（小)、调速轴（大)、车轮轴x2、嫁皮筋、LED灯、磁铁、螺丝起子、负极弹片、带帽螺丝、AA电池 (清自备1节)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永久磁铁转到干簧管附近时，产生磁场，干簧管闭合通电,电磁铁产生磁性,电磁铁产生的磁性和永久磁铁的磁性相互排斥，轮子开始转动。当永久磁铁远离干簧管后,干簧管断开,电磁铁失去磁性,如此往复使轮子不断转动，从而驱动小车前进。。</w:t>
            </w:r>
          </w:p>
        </w:tc>
      </w:tr>
      <w:tr w14:paraId="34F2A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57E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C88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旋转的银蛋3型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EAB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FBD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6927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规格：250×250×150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，圆盘下方放置四个线圈，在通上电后会产生旋转磁场，而旋转磁场会使金属蛋中产生感应电流，并形成磁场，两个磁场相互作用使金属蛋旋转起来。</w:t>
            </w:r>
          </w:p>
        </w:tc>
      </w:tr>
      <w:tr w14:paraId="206B0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2A4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1B6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悬浮电动机3型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3EF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6D9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72A5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产品尺寸:530*350*260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磁悬浮电动机的核心是磁悬浮系统，由永磁体和电磁体两部分组成。永磁体产生静态磁场，电磁体通电产生动态磁场，两者磁场相互作用产生斥力或吸力，使转子在空气中悬浮并旋转。</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转子上的线圈由转子自身的太阳能电池供电。</w:t>
            </w:r>
          </w:p>
        </w:tc>
      </w:tr>
      <w:tr w14:paraId="30A1D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FAE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876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小球圆周运动</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CE5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D7A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CF54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规格：120*80*170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，展项由钢球、圆形状轨道装置组成。打开电源开关，将钢球放入轨道，在磁力的作用下，钢球作圆周运动运动。</w:t>
            </w:r>
          </w:p>
        </w:tc>
      </w:tr>
      <w:tr w14:paraId="421DC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3B8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CF1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磁悬转轮</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BFF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979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81AA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 340×240×95</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探究课题:认识磁极间的相互作用</w:t>
            </w:r>
          </w:p>
        </w:tc>
      </w:tr>
      <w:tr w14:paraId="37F84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7EB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EC2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海狮戏球</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57C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D1E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2AE0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尺寸:150x130x130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探究课题:探究磁铁之间的相互作用</w:t>
            </w:r>
          </w:p>
        </w:tc>
      </w:tr>
      <w:tr w14:paraId="79D68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770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E23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手摇式发电机</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153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689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1227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尺寸：150x100x150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探究课题：探究机械能转变成电能的过程，了解发电的几种方式。</w:t>
            </w:r>
          </w:p>
        </w:tc>
      </w:tr>
      <w:tr w14:paraId="1D948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1A2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090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电磁弹簧振子</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57E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E8A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7B4E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cs="宋体"/>
                <w:b w:val="0"/>
                <w:bCs w:val="0"/>
                <w:color w:val="auto"/>
                <w:sz w:val="21"/>
                <w:szCs w:val="21"/>
                <w:lang w:val="en-US" w:eastAsia="zh-CN"/>
              </w:rPr>
            </w:pPr>
            <w:r>
              <w:rPr>
                <w:rFonts w:hint="eastAsia" w:ascii="宋体" w:hAnsi="宋体" w:eastAsia="宋体" w:cs="宋体"/>
                <w:i w:val="0"/>
                <w:iCs w:val="0"/>
                <w:color w:val="auto"/>
                <w:kern w:val="0"/>
                <w:sz w:val="22"/>
                <w:szCs w:val="22"/>
                <w:u w:val="none"/>
                <w:lang w:val="en-US" w:eastAsia="zh-CN" w:bidi="ar"/>
              </w:rPr>
              <w:t>尺寸:340x240x700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p w14:paraId="0588FC3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探究课题:手持闭合金属铝环套在振子下端，尽可能使振子处于环的中央。上 下移动闭合金属铝环，可看到振子也慢慢上下运动起来;不断加大闭合金属环上下移动的速度，观察到振子的振动并不一定随之加快，而是时快时慢;在振动最激烈的时候，把闭合金属铝环置于振子下方不动，可观察到振子振动迅速减慢并最终停止。改用塑料环或不闭合的铝环套，复上述实验，可观察到振子纹丝不动;手拉一-下振子使其振动起来,将塑料环或不闭合的铝环置于振子下方不动，发现不影响振子的振动。</w:t>
            </w:r>
          </w:p>
        </w:tc>
      </w:tr>
      <w:tr w14:paraId="3BE01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7E9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785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静电感应起电机</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F7E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EEB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36EB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cs="宋体"/>
                <w:b w:val="0"/>
                <w:bCs w:val="0"/>
                <w:color w:val="auto"/>
                <w:sz w:val="21"/>
                <w:szCs w:val="21"/>
                <w:lang w:val="en-US" w:eastAsia="zh-CN"/>
              </w:rPr>
            </w:pPr>
            <w:r>
              <w:rPr>
                <w:rFonts w:hint="eastAsia" w:ascii="宋体" w:hAnsi="宋体" w:eastAsia="宋体" w:cs="宋体"/>
                <w:i w:val="0"/>
                <w:iCs w:val="0"/>
                <w:color w:val="auto"/>
                <w:kern w:val="0"/>
                <w:sz w:val="22"/>
                <w:szCs w:val="22"/>
                <w:u w:val="none"/>
                <w:lang w:val="en-US" w:eastAsia="zh-CN" w:bidi="ar"/>
              </w:rPr>
              <w:t xml:space="preserve">尺寸:底长295*底宽185* </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p>
          <w:p w14:paraId="7D9C5AC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总高340 mm，感应起电机旋转盘由两块圆形有机玻璃叠在一起组成，中有空隙，每块向外的表面上都贴有铝片，铝片以圆心为中心对称分布。由于两盘分别与两个受动轮固定，并依靠皮带与驱动轮相连，由于两根皮带中有一根中间有交叉，因此转动驱动轮时两盘转向相反。</w:t>
            </w:r>
          </w:p>
        </w:tc>
      </w:tr>
      <w:tr w14:paraId="3DBDC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14A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A23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静电转轮</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D45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B8D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F906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规格：245*160*160mm，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由底脚、高密度板底板、上盖板、放电针固定柱、放电针、塑料筒组成。支架和上盖板采用有机玻璃材料，探究物理学静电原理。</w:t>
            </w:r>
          </w:p>
        </w:tc>
      </w:tr>
      <w:tr w14:paraId="0C64C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3AA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619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火焰发电</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E16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D8E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00C0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规格：330*230*220mm，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由底座、康铜丝、铁丝、微安表以及酒精灯（自备）等组成。加热电热丝可发电，用电流表指示产生电流的大小。</w:t>
            </w:r>
          </w:p>
        </w:tc>
      </w:tr>
      <w:tr w14:paraId="63B19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058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EE08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多彩的手印</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DB9D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F25B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C5809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规格：385*250mm，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温度测量范围28-33度，手感变色，温度不同显示不同的颜色，形成多彩的手掌印。</w:t>
            </w:r>
          </w:p>
        </w:tc>
      </w:tr>
      <w:tr w14:paraId="5CFC4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A17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DF2E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电磁制动器</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0850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B736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台</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19569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规格：240*200*160mm，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由金属转盘（连有马达）、永久磁铁、活动支架、底座、保护罩组成。探究磁场、感生电流、感应磁三者产生相互作用的关系。</w:t>
            </w:r>
          </w:p>
        </w:tc>
      </w:tr>
      <w:tr w14:paraId="6EB6B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2FC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82E8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动量倍增演示仪</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0C5A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7AAE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D64FE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规格：弧形轨道*4，直形轨道*4，磁力座*4，外抛座*1，内抛座*1，红色铁球*5，绿色铁球*4，黄色铁球*4，橙色铁球*4。</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1、利用直形轨道、磁力座和外抛座组建磁力外抛球轨道，把红色铁球推向磁力座，最左边的绿色铁球会沿着轨道向外弹射出去。</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2、利用直形轨道、磁力座和内抛座组建磁力内抛球轨道，把红色铁球推向磁力座，最左边的绿色铁球会沿着轨道向内弹射回来。</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3、利用直形轨道、磁力座和外抛座组建磁力轨道，把红色铁球推向磁力座，中间会经过四级的加速然后将红色铁球弹射出去。</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 利用弧形轨道、直形轨道和磁力座组建环形磁力轨道。把红色铁球推向磁力座，最左边的绿色铁球会沿着轨道向外弹射出去，并绕一圈后撞上红色铁球，进而继续将最外边的铁球弹射出去。</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功能：演示钢球在滚动槽中发生碰撞传递动量，在磁场力的作用下演示钢球实现动量增加，演示钢球在磁场中相继加速、动量交换，实现动量倍增的演示。</w:t>
            </w:r>
          </w:p>
        </w:tc>
      </w:tr>
      <w:tr w14:paraId="12B4C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4CC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1C74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滚球运动</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9D10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02DB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D1C7C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一、基本配置：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驱动线圈2个，小球1个。不锈钢轨道2根，底板1块，红外对管1套。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二、实验：</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当小球滚到驱动线圈外侧时，红外对管检测到小球的到来，于是驱动线圈通电产生强磁场，瞬间把钢珠往线圈中线部位强力磁场吸引(通电线圈中间部位磁场强度最大)随着小球被吸引，小球离开了红外对管检测线圈断电失去磁场，小球靠惯性滚动到另一侧线圈……周而复始，小球永不停息.</w:t>
            </w:r>
          </w:p>
        </w:tc>
      </w:tr>
      <w:tr w14:paraId="3E043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DC9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07C7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电路迷宫</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A00F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D302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6C8CC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规格：265*200*35</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搭建电路，根据显示屏出现的已知电路棋子，通过摆放剩下的电路棋子和投影火箭，使正负极形成一个闭合电路，即投影星空图。</w:t>
            </w:r>
          </w:p>
        </w:tc>
      </w:tr>
      <w:tr w14:paraId="22B21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BED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A313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太阳能直升机2型</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4535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E417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D5740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主螺旋桨、尾螺旋桨、支架、左侧机身 、右侧机身 、起降橇 x 2 、尾翼、尾梁 、 机窗 x 5、太阳能电池板、发动机、支撑管。</w:t>
            </w:r>
          </w:p>
        </w:tc>
      </w:tr>
      <w:tr w14:paraId="0F7E7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5CD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DEEC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平衡球2型</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1131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7241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E8FF4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规格:500×350×380,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将底部的小球向上提起,两个小球相互吸引处于平衡状态时,灯体就会被点亮；将底部小球放回灯体底座处，小球吸附在底座，灯光熄灭。</w:t>
            </w:r>
          </w:p>
        </w:tc>
      </w:tr>
      <w:tr w14:paraId="17083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798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B176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新能源综合实验平台（学生分组实验）</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5E85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7F02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BCA2A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规格：280×320×230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，太阳能板：70×70×10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；化学能：35×35×100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；风能：290×80×80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；手摇发电机：100×50×50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；电能存储模块1个；二极管2个；蜂鸣器1个，接线柱10个，选择开关1个（6种选择）；显示屏：65×25</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由太阳能或化学能或风能或手摇发电机产生电能时，可以存储，可以使蜂鸣器发出声音，可以使二极管发光，可以使风叶转动。该模型集太阳能、风能、化学能和手摇发电应用于一体，集中展示了各种新能源的应用。</w:t>
            </w:r>
          </w:p>
        </w:tc>
      </w:tr>
      <w:tr w14:paraId="0D90B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F90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4D03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趣味电学实验盒</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8849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C5CE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356B7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规格：可开展超级静电、电磁感应、疯狂指南针、活力气泡、闪亮灯泡、植物发电、易拉罐小汽车和导电警报器等实验。</w:t>
            </w:r>
          </w:p>
        </w:tc>
      </w:tr>
      <w:tr w14:paraId="53137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D54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0C3E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电磁实验盒3型</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DCA4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F590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013E1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基本配置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马达、风扇叶片、风扇支架、马达架、底板、发光二极管、开关板、金属板、弹簧接头×4、电阻器、塑料板、布、蜂鸣器、铁棒、铁棒线圈、马达线圈、金属杆、发电机支架×2、可调节螺钉、可调节螺钉弹簧、可调节螺钉旋钮、可调节螺钉接线片、螺丝夹持器、螺母、铃铛、铃铛支架、铁轴线圈、短铁棒固定钉、锤子、锤子止动器、锤子支架、短铁棒、金属支架、砂纸、线轴、光传感器、光电池、二极管、磁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二、可开展实验</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静电、导体与绝缘体、制作一台风扇、电阻、二极管、制作灯光、制作莫尔斯代码电报机、光控报警器、制作一个铃铛、制作一个电磁铁、制作马达、太阳能电池。</w:t>
            </w:r>
          </w:p>
        </w:tc>
      </w:tr>
      <w:tr w14:paraId="4B060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F91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1C43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电和磁实验盒2号</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E9CD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FEF3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780F0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规格：137个零件。可以拼装跑车、电学谜宫、飞盘、钓鱼、直升机、灯塔等10种模型，通过自己动手拼装与进行实验，启发学生对电与磁基础科学的概念与架构。</w:t>
            </w:r>
          </w:p>
        </w:tc>
      </w:tr>
      <w:tr w14:paraId="75434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90F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525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悬浮电动机3型</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7EF5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39D7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034C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产品尺寸:530*350*260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500×350×70,材质ABS。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磁悬浮电动机的核心是磁悬浮系统，由永磁体和电磁体两部分组成。永磁体产生静态磁场，电磁体通电产生动态磁场，两者磁场相互作用产生斥力或吸力，使转子在空气中悬浮并旋转。</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转子上的线圈由转子自身的太阳能电池供电。</w:t>
            </w:r>
          </w:p>
        </w:tc>
      </w:tr>
      <w:tr w14:paraId="6A6CA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4F0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68E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小球圆周运动</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A2E6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629D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3648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规格：120*80*170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，展项由钢球、圆形状轨道装置组成。打开电源开关，将钢球放入轨道，在磁力的作用下，钢球作圆周运动运动。</w:t>
            </w:r>
          </w:p>
        </w:tc>
      </w:tr>
      <w:tr w14:paraId="41489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D0A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5CA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滚球运动</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707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49F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D7BB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一、基本配置：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驱动线圈2个，小球1个。不锈钢轨道2根，底板1块，红外对管1套。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二、实验：</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当小球滚到驱动线圈外侧时，红外对管检测到小球的到来，于是驱动线圈通电产生强磁场，瞬间把钢珠往线圈中线部位强力磁场吸引(通电线圈中间部位磁场强度最大)随着小球被吸引，小球离开了红外对管检测线圈断电失去磁场，小球靠惯性滚动到另一侧线圈……周而复始，小球永不停息.</w:t>
            </w:r>
          </w:p>
        </w:tc>
      </w:tr>
      <w:tr w14:paraId="6CC5E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B81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6AC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太阳能电磁钟摆</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D02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B2C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E88C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规格：500×350×400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，材质：ABS.太阳能板</w:t>
            </w:r>
            <w:r>
              <w:rPr>
                <w:rFonts w:hint="eastAsia" w:ascii="宋体" w:hAnsi="宋体" w:cs="宋体"/>
                <w:i w:val="0"/>
                <w:iCs w:val="0"/>
                <w:color w:val="auto"/>
                <w:kern w:val="0"/>
                <w:sz w:val="22"/>
                <w:szCs w:val="22"/>
                <w:u w:val="none"/>
                <w:lang w:val="en-US" w:eastAsia="zh-CN" w:bidi="ar"/>
              </w:rPr>
              <w:t>不小于</w:t>
            </w:r>
            <w:r>
              <w:rPr>
                <w:rFonts w:hint="eastAsia" w:ascii="宋体" w:hAnsi="宋体" w:eastAsia="宋体" w:cs="宋体"/>
                <w:i w:val="0"/>
                <w:iCs w:val="0"/>
                <w:color w:val="auto"/>
                <w:kern w:val="0"/>
                <w:sz w:val="22"/>
                <w:szCs w:val="22"/>
                <w:u w:val="none"/>
                <w:lang w:val="en-US" w:eastAsia="zh-CN" w:bidi="ar"/>
              </w:rPr>
              <w:t>长度100mm，太阳能转化为电能，驱动钟摆摆动。</w:t>
            </w:r>
          </w:p>
        </w:tc>
      </w:tr>
      <w:tr w14:paraId="4A991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47" w:type="pct"/>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DBF3A88">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 xml:space="preserve">2、力学系列 </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F123B7">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r>
      <w:tr w14:paraId="7360E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AB0C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EBEE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旋涡</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3B4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9A1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DFB1C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1、主控板：采用国产的高性能芯片作为主控芯片。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2、500×350×120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3、一体机：屏幕：120*80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4、“旋涡解说数字人 ”1套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二、科学原理：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水旋涡是液体快速旋转形成的螺旋状流动。当水从容器底部排出时，水流因速度差异产生旋转：中心水流快，外层水流受容器壁摩擦减速，最终形成空心涡旋。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三、操作方法：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通过语音互动，打开或关闭“旋涡”，也可以与“旋涡解说数字人 ”进行对话。</w:t>
            </w:r>
          </w:p>
        </w:tc>
      </w:tr>
      <w:tr w14:paraId="7CFFC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15D0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108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听话的小球</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1AE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40E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BC93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规格：500×350×300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一、基本配置：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1、主控板1块。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2、一体机：屏幕：120*80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3、“听话的小球解说数字人 ”1套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4、听话的小球1套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二、科学原理：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“听话的小球 ”产品是一款基于伯努利原理设计，融合人工智能交互技术的体验设备。旨在以趣味互动的方式，向学生生动展示伯努利原理这一物理现象，并通过技术深入讲解相关科学知识。从垂直口喷出的高速气流顶起小球向上运动。气流周围的空气流速慢，压强大，使小球保留在气流中间。喷口处的气流速度快，压强小，因而引起下水平管内的气体向喷口处流动。为维持气流的平衡，上管口处吸入空气，同时也吸入了喷口喷出的气流，由此形成环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三、操作方法：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1、通过互动，“听话的小球解说数字人 ”回答有关问题。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2、打开“听话的小球 ”时，调节风速，观察小球在气流中的运动情况。</w:t>
            </w:r>
          </w:p>
        </w:tc>
      </w:tr>
      <w:tr w14:paraId="5BF5D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993D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AE1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大鹰飞翔</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779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722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4764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规格：500×350×300mm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大鹰：392*140*230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，材质：，树脂材料，钢质，铜质等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一、实验原理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通过机械齿轮结构宣传流动，使大鹰翅膀飞翔起来。</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二、操作方法：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打开电源开关，机械齿轮结构就开始运作，大鹰翅膀飞翔起来。</w:t>
            </w:r>
          </w:p>
        </w:tc>
      </w:tr>
      <w:tr w14:paraId="65F30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8CFF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BE8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石油采油磕头机</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C3C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B57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D54B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规格：500*350*290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一、基本配置：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1、石油采油磕头机：248*88*228</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2、大模型：1套，主控板：采用国产的高性能芯片作为主控芯片。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二、实验过程：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1、观察石油采油磕头机模型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2、向大模型提问：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1. 为什么它被称为“磕头机”？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2. 磕头机是如何将石油抽上来的？</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3. 磕头机主要由哪几部分组成？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4. 为什么磕头机上要有巨大的平衡块？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5. 如何调整磕头机的冲次（每分钟摆动次数）？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6. 磕头机最突出的优点是什么？</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7. 磕头机的主要缺点有哪些？</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三、科学原理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石油采油磕头机核心工作原理是将电动机的旋转运动，通过机械机构转化为抽油杆的上下往复运动，从而驱动井下的深井泵，将原油从地层中提取到地面。</w:t>
            </w:r>
          </w:p>
        </w:tc>
      </w:tr>
      <w:tr w14:paraId="28536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DEB5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CBE9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趣味动感鱼</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29AC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FA38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B7C10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规格：320×240×280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，利用杠杆原理和齿轮传动：马达传动，通过一个轮盘和连杆机构，将动能传递到塑胶鱼身内的活动杆上，做往复运动，鱼的嘴、尾、背鳍，胸鳍就摆动起来</w:t>
            </w:r>
          </w:p>
        </w:tc>
      </w:tr>
      <w:tr w14:paraId="35ACC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2580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60EE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升国旗奏国歌</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D7DF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0534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88F87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规格：350X350X1150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，能奏国歌。</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探究问题：能够通过观察，描述滑轮构造上的特点；能够识别动滑轮和定滑轮；能够就两种滑轮的不同作用提出假设并开展科学探究活动；会做滑轮的实验，并通过数据分析，解释定滑轮和动滑轮的作用。</w:t>
            </w:r>
          </w:p>
        </w:tc>
      </w:tr>
      <w:tr w14:paraId="199C7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1E2D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DDCA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万有引力2型</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0640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7C82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FD910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规格：Φ180×365</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，小球在容器表面上绕中心轴做水平圆周运动，形象地模拟了太阳系中星球围绕太阳的运行。</w:t>
            </w:r>
          </w:p>
        </w:tc>
      </w:tr>
      <w:tr w14:paraId="72A30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4E1E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A4CA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怪坡（会爬坡的锥体）</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A2C0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24F2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840ED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尺寸:900×380×200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探究课题：研究重心降低可使物体的势能转化为动能</w:t>
            </w:r>
          </w:p>
        </w:tc>
      </w:tr>
      <w:tr w14:paraId="55FFB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FE5B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7C95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动物下坡</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5FA5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4F72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50400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规格：袋鼠1个，兔子1个，恐龙1个，坡道1个。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演示：袋鼠下坡；，兔子下坡；恐龙下坡。</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探究课题：研究物体结构、重心与运动的关系</w:t>
            </w:r>
          </w:p>
        </w:tc>
      </w:tr>
      <w:tr w14:paraId="7D046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E07C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E326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钢球爬坡3型</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5457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B9E3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F90B0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规格：300*110*65</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钢球实际上是沿着自身重心下降的方向运动，只是轨道的斜率给观察者以向上运动的错觉。但当钢球具有一定速度时，这个动能可以提供钢球继续向上运动的能量，此时钢球才是真正的向上运动，也就是动能转化为重力势能的过程。</w:t>
            </w:r>
          </w:p>
        </w:tc>
      </w:tr>
      <w:tr w14:paraId="4F402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0C96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5838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龙卷风3型</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60E4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A70D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506FA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规格：电动机，瓶子，电池盒，基座，螺旋浆，泡沫粒。</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探究问题：本实验通过水流旋涡来模拟龙卷风，直观了解龙卷风的形成及形状。</w:t>
            </w:r>
          </w:p>
        </w:tc>
      </w:tr>
      <w:tr w14:paraId="2F7AA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6433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3112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会翻跟头的魔丸</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8670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1B41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8C165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尺寸:600x200x240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探究课题：探究魔丸能够翻跟斗的条件</w:t>
            </w:r>
          </w:p>
        </w:tc>
      </w:tr>
      <w:tr w14:paraId="275AE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8FF2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DA1C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飞机为何飞起来</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7247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850B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4FEBD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尺寸:340x240x450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探究课题：研究风力对机翼的作用</w:t>
            </w:r>
          </w:p>
        </w:tc>
      </w:tr>
      <w:tr w14:paraId="7FD93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BFE5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8EB8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北京鸟巢模型</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8A80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BA35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0B0BE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230X180X65，天然的鸟巢往往修建在三条甚至更多的树枝分叉的位置,树枝如同钢梁一样支撑着它,当大树晃动时,盆状鸟巢比其他形状更难以倾覆。北京"鸟巢”正是仿照天然鸟巢而建,其地基有效支撑这个巨大的建筑,起到类似于树干和树枝的作用,稳固了它的基础。</w:t>
            </w:r>
          </w:p>
        </w:tc>
      </w:tr>
      <w:tr w14:paraId="26FA7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D92D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A41D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旋转木马2型</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81A3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0814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3110B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规格：顶面盖x 1 、上顶部x 1、下顶部x 1、中央杆x 2、台x 1、底盘x 1、下底环x 1、曲型轨道x 1、木马配件x 8、太阳能电池板x 1、装饰贴纸x 8、木马贴纸x 8</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功能：用强烈的阳光或者明亮的电灯照亮电池板，转台会转动，音乐响起。</w:t>
            </w:r>
          </w:p>
        </w:tc>
      </w:tr>
      <w:tr w14:paraId="05642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AB41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ECF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仿生大鹏</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A787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DECB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B927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产品尺寸:530*350*260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材质：树脂材料，木质，钢质，铜质等.部分配件有进行美化喷漆，部分配件有进行数控加工，主体为树脂材料上金和银配色或纯黑配色，这样起到减重作用减少电机的负载降低。</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操作说明：</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打开电源开关，观看大鹏飞行时扇动翅膀的动作。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科学原理：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通过两根连杆，一端连接翅膀，另一端连接齿轮，利用齿轮传动来带动大鹏翅膀进行运动，从而模拟大鹏飞行时扇动翅膀的动作。</w:t>
            </w:r>
          </w:p>
        </w:tc>
      </w:tr>
      <w:tr w14:paraId="69087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12CD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48E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弹跳小球</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B55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C80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F7D1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规格尺寸：220×115×180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，底座1个，木质；漏斗1个，木质；抛物线形状轨道1根，材质：金属；小钢球3个。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功能：将小球放入木质漏斗，在重力和台面的作用下，小球沿着以圆台球中心为焦点的椭圆轨迹滚动。由于台面和小球间摩擦力的作用，小球滚动的椭圆轨迹在不断缩小，最终落入台面中心的小洞。然后落入抛物线形状轨道，小球滚到轨道末端，弹跳返回漏斗，周而复始，小球一直在运行。</w:t>
            </w:r>
          </w:p>
        </w:tc>
      </w:tr>
      <w:tr w14:paraId="165F5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D2F3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BF79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液体流速比较实验仪</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21F3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32DC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64064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规格：370*280*190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功能：液体流速比较。</w:t>
            </w:r>
          </w:p>
        </w:tc>
      </w:tr>
      <w:tr w14:paraId="11E56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4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E5A54D">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3、光学系列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F4FE5">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r>
      <w:tr w14:paraId="18869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B35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492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光学实验箱</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C23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1C6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箱</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917B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【外包装箱参数】                                                                                                                                                               1、规格：500×400×180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                                                                                                                                                              2、材质：采用进口PP、ABS树脂材原料，材料环保无毒无味。                                                                                                                                            3、堆积方式：可多个叠加紧密摆放 ，无需仪器柜，节约实验室空间。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4、优质环保材质内衬，嵌入式专槽定位。</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5、底部防滑落设计，确保实验安全。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【主要配置】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光源、平面镜、曲面镜、三棱镜、光学镜片套件（含光学底座）、颜料三原色、显微镜模型、照相机模型、望远镜模型、潜望镜、光的三原色合成演示装置、万花筒、小孔成像组件、视觉暂留演示套件（包含7种图像）、彩绘轮（要求DIY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其中： ①平面镜：8*10cm（可透明观测）</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；曲面镜:6*14cm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；②显微镜模型:放大倍率60倍；望远镜模型:倍率30倍；③光的三原色合成演示装置:由电池盒、光源盒两部分组成，电池盒11*8*2.5cm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，使用光源为红、绿、篮发光芯片，，三个光源能独立开关； ④光学镜片套件（含镜片和底座）:双凸透镜一只ф40，F=100mm；双凸透镜一只ф30，F=50mm；平凸透镜一只ф50，F=300mm；凹透镜一只ф30，F=-75mm；光源一套（6V3W灯泡、聚光透镜），白屏、字屏各一片，底座三只，插杆五根，蜡烛台一个；⑤潜望镜:长29.5cm，外观镜片直径3cm。趣味小实验或者探究活动：1、光的传播实验；2、平面镜成像原理实验；3、曲面镜成像实验；4、光的反射实验；5、光的色散实验；6、照相机原理实验；7、望远镜原理实验；8、显微镜原理实验；9、幻灯机原理实验；10、视觉暂留现象演示实验；11、万花筒组装实验；12、颜料三原色原理；13、小孔成像探究。</w:t>
            </w:r>
          </w:p>
        </w:tc>
      </w:tr>
      <w:tr w14:paraId="5E4A0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668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E0D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动画杯3型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7C8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E67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93FE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规格：135×135×220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，了解动画放映机原理。</w:t>
            </w:r>
          </w:p>
        </w:tc>
      </w:tr>
      <w:tr w14:paraId="23B49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002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C18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新型小孔成像</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BE7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B5F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BC09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规格：抽拉式,长</w:t>
            </w:r>
            <w:r>
              <w:rPr>
                <w:rFonts w:hint="eastAsia" w:ascii="宋体" w:hAnsi="宋体" w:cs="宋体"/>
                <w:i w:val="0"/>
                <w:iCs w:val="0"/>
                <w:color w:val="auto"/>
                <w:kern w:val="0"/>
                <w:sz w:val="22"/>
                <w:szCs w:val="22"/>
                <w:u w:val="none"/>
                <w:lang w:val="en-US" w:eastAsia="zh-CN" w:bidi="ar"/>
              </w:rPr>
              <w:t>不小于</w:t>
            </w:r>
            <w:r>
              <w:rPr>
                <w:rFonts w:hint="eastAsia" w:ascii="宋体" w:hAnsi="宋体" w:eastAsia="宋体" w:cs="宋体"/>
                <w:i w:val="0"/>
                <w:iCs w:val="0"/>
                <w:color w:val="auto"/>
                <w:kern w:val="0"/>
                <w:sz w:val="22"/>
                <w:szCs w:val="22"/>
                <w:u w:val="none"/>
                <w:lang w:val="en-US" w:eastAsia="zh-CN" w:bidi="ar"/>
              </w:rPr>
              <w:t>600,直径</w:t>
            </w:r>
            <w:r>
              <w:rPr>
                <w:rFonts w:hint="eastAsia" w:ascii="宋体" w:hAnsi="宋体" w:cs="宋体"/>
                <w:i w:val="0"/>
                <w:iCs w:val="0"/>
                <w:color w:val="auto"/>
                <w:kern w:val="0"/>
                <w:sz w:val="22"/>
                <w:szCs w:val="22"/>
                <w:u w:val="none"/>
                <w:lang w:val="en-US" w:eastAsia="zh-CN" w:bidi="ar"/>
              </w:rPr>
              <w:t>不小于</w:t>
            </w:r>
            <w:r>
              <w:rPr>
                <w:rFonts w:hint="eastAsia" w:ascii="宋体" w:hAnsi="宋体" w:eastAsia="宋体" w:cs="宋体"/>
                <w:i w:val="0"/>
                <w:iCs w:val="0"/>
                <w:color w:val="auto"/>
                <w:kern w:val="0"/>
                <w:sz w:val="22"/>
                <w:szCs w:val="22"/>
                <w:u w:val="none"/>
                <w:lang w:val="en-US" w:eastAsia="zh-CN" w:bidi="ar"/>
              </w:rPr>
              <w:t>60，电源1个，自带指示灯(L型)作为观察物，可定量调节测量物距和像距。探究小孔成像的原理</w:t>
            </w:r>
          </w:p>
        </w:tc>
      </w:tr>
      <w:tr w14:paraId="41DAC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EF5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F47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空中成像</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F73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12F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E2A4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规格：500×350×220mm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，采用塑料成型底座，旋转直径径13.6cm，通过32+1位交替闪烁的LED灯可以展现出一幅图画、动画时钟显示或文字信息，显示信息可通过上位机更换。</w:t>
            </w:r>
          </w:p>
        </w:tc>
      </w:tr>
      <w:tr w14:paraId="51367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65D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AEB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穿墙而过</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33A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7AF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9461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规格：560×135×170mm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，采用木质地板，亚克力护板，透明有机玻璃管、两篇垂直偏振片、一个钢球组成。产品采用特种光学材料错位组合后，而产生的视错觉。</w:t>
            </w:r>
          </w:p>
        </w:tc>
      </w:tr>
      <w:tr w14:paraId="0E6FA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2DD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D3A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魔 箱</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AC2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AB4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05D6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尺寸：300×300×320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探究课题：研究平面镜成像原理的应用</w:t>
            </w:r>
          </w:p>
        </w:tc>
      </w:tr>
      <w:tr w14:paraId="44779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AA2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642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电动调色盘</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C2C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2D9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3C62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尺寸：260×230×180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探究课题：探究七色光合成白色光现象</w:t>
            </w:r>
          </w:p>
        </w:tc>
      </w:tr>
      <w:tr w14:paraId="25101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C7F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244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彩色旋转反射灯</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337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53B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56AF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规格：250×250×300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上端有四根同样弯曲的有机玻璃棒。旋转的时候，将展品水平放置，在四根有机棒的同一个水平面上、同一位置各取一点，由于这四点，旋转时轨迹有个时间差，固然四根弯曲有机棒不会相互碰撞；有机棒内部，大小相同的有机棒内部有无数的气泡。底座下面的彩色光，通过这些气泡泡的无数次反射，将光反射至有机棒的各个位置，固形成一个美丽的彩色旋转反射灯</w:t>
            </w:r>
          </w:p>
        </w:tc>
      </w:tr>
      <w:tr w14:paraId="7F368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DAE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FBD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百页窗模型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C29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67D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6B7F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格：外形：540×330×670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，铝质叶片：350×27</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，20片实现功能：天亮自动开启，天黑自动关闭。</w:t>
            </w:r>
          </w:p>
        </w:tc>
      </w:tr>
      <w:tr w14:paraId="735DE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52C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638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调光玻璃</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DA9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741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9966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规格:400×300×380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,接通液晶玻璃的电源时，参与者可清楚地看到玻璃后方平面镜上所呈的自己的镜像，关闭液晶玻璃的电源时，参与者无法看到玻璃后方的情景。</w:t>
            </w:r>
          </w:p>
        </w:tc>
      </w:tr>
      <w:tr w14:paraId="2E97F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F8A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242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变脸魔箱</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F6D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794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F437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尺寸：500×400×420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探究课题：光的反射或折射。</w:t>
            </w:r>
          </w:p>
        </w:tc>
      </w:tr>
      <w:tr w14:paraId="34DC7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E02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84C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多像镜2型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4E6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8D4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FC5F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一、基本配置:底板×1、镜面×2、说明书×1、1/2卡片×16面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1/4卡片×12面、任意卡片×8面、空白卡片×4面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1/2对称卡片：将1/2卡片放在180°的镜面下旋转,每张卡片都将得到2个具象图形。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1/4卡片：将1/4卡片放在90°的镜面下旋转,每张卡片都将得到4个具象图形。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任意卡片：每张卡片在不同角度下旋转变换出千变万化的图案,列举了分别在镜面为30°或60°的角度下旋转卡片得到漂亮的图案.</w:t>
            </w:r>
          </w:p>
        </w:tc>
      </w:tr>
      <w:tr w14:paraId="2D49F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DFC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5EBD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玄机杯</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28EC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F820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338E5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规格：直径75，高75，</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材质：陶瓷</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探究问题：空杯时什么也看不见，斟上酒或水，杯底立即显现出栩栩如生的仙人图，为什么？</w:t>
            </w:r>
          </w:p>
        </w:tc>
      </w:tr>
      <w:tr w14:paraId="768C2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388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C426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摸不到的花</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4D63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A32E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07547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规格：500*500*730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 打开电源开关，就可以看到花在转动，但摸不到花。</w:t>
            </w:r>
          </w:p>
        </w:tc>
      </w:tr>
      <w:tr w14:paraId="00358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777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720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时光隧道</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FE2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906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D797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规格：500×350×150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，材质：ABS.镀膜玻璃、亚克力。两面装镀半透膜的玻璃;。</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1、大模型1套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2、时光隧道1套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一、科学原理：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“时光隧道”是一款融合先进光学技术、人工智能交互与沉浸式体验的实验装置，通过无限反射原理与动态光影效果，创造穿越时空的视觉幻象。同时，增加了语音交互、教学辅助等智能化功能。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二、操作方法：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1、通过语音互动，打开或关闭"时光隧道“，也可以与"时光隧道"智能对话。</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2、打开时"光隧道"时，LED灯经多次反射成像，可观察到无限长的“隧道”。</w:t>
            </w:r>
          </w:p>
        </w:tc>
      </w:tr>
      <w:tr w14:paraId="196CF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55B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9BD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电影原理</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997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F58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A3CD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规格：500×350×100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,材质ABS。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1、大模型1套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2、时光隧道1套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一、科学原理：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“电影原理 ”产品是一款基于视觉暂留特性设计，融合人工智能交互技术的体验设备。旨在以趣味互动的方式，向学生生动展示视觉暂留特性这一物理现象，并通过技术深入讲解相关科学知识。展项由控制系统、转盘、频闪灯、动画图片组等构成。电影是利用人眼大约 0.1 秒的视觉暂留作用，把一幅幅连续动作的静止图像按一定速度依次展现在人的眼前，使人感觉到静止图像就像是活动的一样。</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二、操作方法：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1、通过语音互动，打开或关闭“电影原理 ”，也可以与“电影原理 ”智能对话。</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2、打开“电影原理 ”时，转动转盘，观看动画的形成，注意圆盘转速的快慢，使电影的效果最好。</w:t>
            </w:r>
          </w:p>
        </w:tc>
      </w:tr>
      <w:tr w14:paraId="66ECF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4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051B49">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 xml:space="preserve">4、声学系列 </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083A0">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r>
      <w:tr w14:paraId="05624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DC9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F47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太阳能收音机</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84A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D87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7C5A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前盖板 × 1、 后盖板 × 1、支架 × 2、天线帽 × 1、天线基座 × 1、天线管× 2、旋钮 × 2、扩音器盖 × 1、前面板 × 1、扩音器 × 1、无线电模块 × 1、太阳能电池板 × 1、电池箱 × 1、金属旋钮 × 1</w:t>
            </w:r>
          </w:p>
        </w:tc>
      </w:tr>
      <w:tr w14:paraId="24E1B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A22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A01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神奇乐器</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6B1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996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3B41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一、基本配置：水果连接电线、拨动开关(关/高/低)、 乐器选择开关、扬声器、LED电源指示灯、电池盒。</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二、功能：用电子的方来模拟敲琴的声音，琴的高低声可以进行选择。以各种水果做为触发开关，有八个节拍的输入端。使用选择开关挑选要演奏的乐器:钢琴、木琴、小提琴吉他.</w:t>
            </w:r>
          </w:p>
        </w:tc>
      </w:tr>
      <w:tr w14:paraId="4B6ED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E1D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0F0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无线电台</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385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B3D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AECA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规格：主要装置：无线电台和收音机。通过发射装置，可以把摩斯密码、歌声或语音通过FM广播发送，然后通过收音机进行接收。发射有效范围：10米</w:t>
            </w:r>
          </w:p>
        </w:tc>
      </w:tr>
      <w:tr w14:paraId="0A37E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B2E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191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声音的能量</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D90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D73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F85B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规格：320×240×120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，声音的能量控制电路的通断。</w:t>
            </w:r>
          </w:p>
        </w:tc>
      </w:tr>
      <w:tr w14:paraId="0E46D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6A3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297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声音的奥秘</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09E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DF0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DF70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规格：580×220×480mm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，由铝棒，铝板，小锤及高密度板支架、底座构成。用小木锤分别敲击不同的铝棒或铝板，探索音乐节奏及旋律。</w:t>
            </w:r>
          </w:p>
        </w:tc>
      </w:tr>
      <w:tr w14:paraId="19D7F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F67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1AE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鱼洗实验器</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D19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33B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CDCC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规格：φ380×200mm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，由仿古鱼洗盆，木质底座，四个支撑三角铁构成。</w:t>
            </w:r>
          </w:p>
        </w:tc>
      </w:tr>
      <w:tr w14:paraId="19472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D17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BEF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无弦琴</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F47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226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86FF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规格：340×250×350mm</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，采用亚克力材料，由多组光敏元件、信号源、发声装置等组成，每对光敏元件相当于一根琴弦，当用手拨动时会像乐器一样发出悦耳的音乐声。探究光敏传感器的特点及应用。</w:t>
            </w:r>
          </w:p>
        </w:tc>
      </w:tr>
      <w:tr w14:paraId="3358D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4DF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667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超声雾化</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DDD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0A1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41CA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规格：Φ250×110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，由超声波发生器、彩灯、亚克力底座、透明有机管组成。探究超声波对液体的作用及超声雾化现象的原理及应用。</w:t>
            </w:r>
          </w:p>
        </w:tc>
      </w:tr>
      <w:tr w14:paraId="129AC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E2C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345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音乐编钟</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61F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104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B2D7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尺寸：下层长：385，上层长：285，通体高：235</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编钟是我国古代的一种打击乐器，用青铜铸成，它由大小不同的扁圆钟按照音调高低的次序排列起来，悬挂在一个巨大的钟架上，用丁字形的木锤和长形的棒分别敲打铜钟，能发出不同的乐音。因为每个钟的音调不同，按音谱敲打，可以演奏出美妙的乐曲。</w:t>
            </w:r>
          </w:p>
        </w:tc>
      </w:tr>
      <w:tr w14:paraId="736DE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399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DE4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孔雀开屏</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8C3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0AB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28BB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规格:280x180x215</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 探究课题：声控原理。</w:t>
            </w:r>
          </w:p>
        </w:tc>
      </w:tr>
      <w:tr w14:paraId="43DD7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1CF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8352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雪浪声波</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200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FED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DA03E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规格：500x350x300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，底盒: 500×350×70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 xml:space="preserve">,材质ABS。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一、科学原理：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雪浪声波”产品是一款基于声音的驻波现象设计，融合人工智能交互技术的体验设备。旨在以趣味互动的方式，向学生生动展示声音的驻波这一物理现象，并通过技术深入讲解相关科学知识。展项由控制系统、电子琴、小碎泡沫等构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二、操作方法：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1、通过语音互动，打开或关闭“雪浪声波 ”，也可以与“雪浪声波 ”智能对话。</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2、打开“雪浪声波 ”时，调电子琴上的音量，弹奏电子琴，观察电子琴上方透明管中的泡沫球，比较在不同声音高低中所看到的泡沫球的状态。</w:t>
            </w:r>
          </w:p>
        </w:tc>
      </w:tr>
      <w:tr w14:paraId="5F192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4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D73909">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第4部分  设计与技术科学</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41F3F">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r>
      <w:tr w14:paraId="60999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4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E8593A">
            <w:pPr>
              <w:keepNext w:val="0"/>
              <w:keepLines w:val="0"/>
              <w:pageBreakBefore w:val="0"/>
              <w:widowControl/>
              <w:kinsoku/>
              <w:wordWrap/>
              <w:overflowPunct/>
              <w:topLinePunct w:val="0"/>
              <w:autoSpaceDE/>
              <w:autoSpaceDN/>
              <w:bidi w:val="0"/>
              <w:adjustRightInd w:val="0"/>
              <w:snapToGrid w:val="0"/>
              <w:spacing w:after="0"/>
              <w:jc w:val="left"/>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1、脑机接口技术</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4F0D5">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r>
      <w:tr w14:paraId="64F41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D10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117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脑机接口技术-脑控飞机</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CD4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07E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9F9F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规格: 700*700*1000</w:t>
            </w:r>
            <w:r>
              <w:rPr>
                <w:rFonts w:hint="eastAsia" w:ascii="宋体" w:hAnsi="宋体" w:cs="宋体"/>
                <w:i w:val="0"/>
                <w:iCs w:val="0"/>
                <w:color w:val="auto"/>
                <w:kern w:val="0"/>
                <w:sz w:val="22"/>
                <w:szCs w:val="22"/>
                <w:u w:val="none"/>
                <w:lang w:val="en-US" w:eastAsia="zh-CN" w:bidi="ar"/>
              </w:rPr>
              <w:t>，</w:t>
            </w:r>
            <w:r>
              <w:rPr>
                <w:rFonts w:hint="eastAsia" w:ascii="宋体" w:hAnsi="宋体" w:cs="宋体"/>
                <w:b w:val="0"/>
                <w:bCs w:val="0"/>
                <w:color w:val="auto"/>
                <w:sz w:val="21"/>
                <w:szCs w:val="21"/>
                <w:lang w:val="en-US" w:eastAsia="zh-CN"/>
              </w:rPr>
              <w:t>允许±5%的偏差</w:t>
            </w:r>
            <w:r>
              <w:rPr>
                <w:rFonts w:hint="eastAsia" w:ascii="宋体" w:hAnsi="宋体" w:eastAsia="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一、展品用材：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 面板：木质，厚度≧15mm，拷漆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2.脑波头环1套,飞机1架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3.一体机1台，屏幕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4.说明牌：亚克力UV喷绘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注意力越高，喷泉就喷的越高；反之，注意力不集中，喷泉就越低。通过互动提升专注力.</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三、科学原理：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测量大脑中的电活动，跟踪轻微面部动作，并将这些信号转换为指令以控制其动作。通过意念来控制飞机起飞以及调整高度。意念专注力达到一定值后，</w:t>
            </w:r>
          </w:p>
        </w:tc>
      </w:tr>
      <w:tr w14:paraId="50364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FF1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F72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脑机接口技术-脑控吹球比赛</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9B2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8C2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544F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规格: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一、展品用材：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1.面板：木质，厚度≧15mm，拷漆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2.脑波头环2套, 会吹球的小动物2个.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3.说明牌：亚克力UV喷绘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二、实验过程：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玩家1和玩家2分别带上头盔，站在仪器的两端；将小球放在小动物鼻孔口。</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集中专注力启动小动物吹球，注意力越高，小球就吹的越高；反之，注意力不集中，小球就越低或者不启动。看谁的球吹得高？</w:t>
            </w:r>
          </w:p>
        </w:tc>
      </w:tr>
      <w:tr w14:paraId="2B896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47" w:type="pct"/>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4571277">
            <w:pPr>
              <w:keepNext w:val="0"/>
              <w:keepLines w:val="0"/>
              <w:pageBreakBefore w:val="0"/>
              <w:widowControl/>
              <w:kinsoku/>
              <w:wordWrap/>
              <w:overflowPunct/>
              <w:topLinePunct w:val="0"/>
              <w:autoSpaceDE/>
              <w:autoSpaceDN/>
              <w:bidi w:val="0"/>
              <w:adjustRightInd w:val="0"/>
              <w:snapToGrid w:val="0"/>
              <w:spacing w:after="0"/>
              <w:jc w:val="left"/>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2、VR技术</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67764D">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r>
      <w:tr w14:paraId="69296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ADF7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1FB8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虚拟科学馆</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DDBF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CAF3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828F0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虚拟科学馆依据小学科学课本的教学要求，通过小学科学虚拟展示系统，帮助学生更好了解世界万物及大自然中的一些科学现象，该系统集成了生物、地理、科技、天文、科学实验、科学教学6大教学知识模块，知识模块含有图文、3D模型、视频等知识点的介绍。</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一、系统功能：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1、进入首页6个图标，对应本软件的6个内容的分类，分别是生物、地理、科技、天文、实验、教学。点击任一个图标进入内容列表页；</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2、可在搜索框输入关键字进行内容检索；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3、软件中包含4种格式文件，分别是模型、视频、图片、语音文字讲解；</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4、在模型文件展示时，可选择模型动作。例如霸王龙模型中，可选择奔跑、咬、甩尾巴、放松等动作。也可选择动作的执行速度。还可以拖动进度条选择动作的定格；</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5、模型支持大小调节、旋转操作；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6、模型中支持显示各部位的文字标签，且标签与模型在缩放和旋转时同步；</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7、在任意内容页面均可调出语音文字讲解弹窗，对当前知识点进行详细讲解。</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二、课程资源：</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1、生物栏目包含生物种类不少于270个知识点，其中包含植物、动物、微生物、细胞、人体、恐龙主题知识。每种生物均有模型、图片、视频、音频讲解。</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2、地理栏目共计不少于48个地理知识点。其中包含地貌、天气、矿石、能源、土壤主题知识。每个知识点均有模型、图片、视频、音频讲解。</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3、科技栏目共计不少于29个知识点。其中包含第一次工业革命，第二次工业革命，第三次工业革命主题知识。每个知识点均有模型、图片、视频、音频讲解。</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4、天文栏目共计不少于43个知识点。包含各类探测器、卫星、空间站、火箭、星体主题知识。每个知识点均有模型、图片、视频、音频讲解。</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5、天文栏目另含有全天星图，可360度查看天空中的星座。每个星座标注区域与连线。</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6、教学栏目共计不少于183个课件，覆盖人教版小学科学全套教学内容。</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7、实验栏目共计不少于96个互动题材，涵盖小学科学教学知识点。每个年级不少于16个题材，每个题材包含一套可用于手工操作的实验包，说明书，和操作指导视频。</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8、具体内容包含：</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生物-植物：鼓藻、石莼、水绵、新月藻、衣藻、栅藻、海带、鹿角菜、裙带菜、石花菜、紫菜、葫芦藓、泥炭藓、墙藓、里白、鳞毛蕨、肾蕨、铁线蕨、侧柏、苏铁、油松、水杉、荔枝、木瓜、豌豆、菜豆、玉米、草莓、橙子、番茄、橄榄树、樱桃、荷花、红薯、红树、胡萝卜、花生、黄豆、梨果仙人掌、玫瑰、柠檬树、苹果、桃子、芹菜、土豆、西番莲、西瓜、向日葵、生姜、水稻、竹子、香蕉、小麦、洋葱、椰子、珙桐、叶片的结构、叶芽的结构、根尖的结构、桃花的基本结构。</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生物-动物：鳗鲡、小丑鱼、鲫鱼、蝠鲼、大嘴鲈、鲨鱼、魟鱼、旗鱼、金鱼、大西洋鲟、丹顶鹤、白头海雕、鸽子、蛇鹫、麻雀、绿头鸭、蜂鸟、家燕、鸵鸟、母鸡、巴布亚企鹅、蓝喉金刚鹦鹉、绿树蛙、大鲵、青蛙、火蝾螈、飞行壁虎、鳄鱼、海龟、科莫多巨蜥、球蟒、绿鬣蜥、叙利亚刺尾蜥、安哥洛卡象龟、蝙蝠、大象、大猩猩、袋鼠、双峰骆驼、狗、美洲豹、海豚、河马、虎、虎鲸、蓝鲸、马、水獭、山羊、家鼠、长颈鹿、狮子、浣熊、梅花鹿、大熊猫、耳廓狐、麝牛、豹猫、斑鬣狗、犀牛、北极熊、袋熊、斑马、非洲野水牛、变形虫、草履虫、眼虫、海葵、水母、水螅、绦虫、涡虫、血吸虫、钩虫、蛔虫、线虫、蚯蚓、沙蚕、蛭、河蚌、扇贝、蜗牛、乌贼、章鱼、鱿鱼、蜜蜂、蝴蝶、黄蜂、蟑螂、蚂蚁、蜻蜓、蚊子、黄腿食蚜蝇、招潮蟹、蜈蚣、蝎子、蜘蛛、罗氏沼虾、潮虫。</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（3）生物-微生物：杆菌、酵母菌、螺旋菌、球菌、细菌结构、生物膜、木耳、牛肝菌、香菇、银耳、毒蝇伞、大肠杆菌噬菌体、腺病毒、烟草花叶病毒。</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（4）生物-细胞：植物细胞、叶绿体、动物细胞、肌肉细胞、神经细胞、DNA结构、细胞核、高尔基体、线粒体、内质网、蓝藻。</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生物-人：北京猿人复原像、北京猿人头盖骨、黑猩猩、婆罗洲猩猩、长臂猿、睾丸、精子、卵巢、卵细胞、男性生殖系统、女性内生殖系统、胎儿期、胃、小肠绒毛、消化系统、肝脏、牙齿、胰脏、呼吸系统、气管、肺泡、红细胞、三种血管关系、心脏外形、淋巴系统、淋巴结、脾脏、血管、汗腺、泌尿系统、肾、尿液的形成、大脑、耳朵、内分泌腺、眼球、神经系统、屈肘动作、伸肘动作、人体骨骼、人体肌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生物-恐龙：无齿翼龙、霸王龙、剑龙、沧龙、三角龙、甲龙、马门溪龙、棘龙、冥河龙、蛇颈龙、阿拉摩龙、阿马加龙、埃德蒙顿龙、奥沙拉龙、驰龙、慈母龙、钉状龙、风神翼龙、副栉龙、高棘龙、冠龙、厚鼻龙、戟龙、剑角龙、角鼻龙、巨盗龙、恐手龙、昆卡猎龙、雷龙、棱齿龙、镰刀龙、龙王龙、南方巨兽龙、牛角龙、食肉牛龙、禽龙、鲨齿龙、伤齿龙、似鳄龙、似鸡龙、双嵴龙、腕龙、蜥结龙、纤角龙、秀颌龙、异特龙、犹他盗龙、原角龙、圆顶龙、栉龙、肿头龙、重爪龙。</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（7）地理-地貌: 喀斯特地貌、断层地貌、流水地貌、黄土地貌、风蚀地貌、丹霞地貌、冰川地貌、火山地貌、地震模型、海岸地貌、富士山。</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（8）地理-天气：阴、晴、小雨、中雨、大雨、暴雨、雷阵雨、多云、小雪、中雪、大雪、暴雪、台风。</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（9）地理-矿石：黄铁矿、铅锌矿、硅线石、蛇纹石、辉锑矿、硅灰石、黄铜矿、萤石、石英、滑石、长石、玄武岩、花岗岩、砾岩、页岩、石英岩、蓝铜矿、方解石。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（10）地理-能源：风力发电、太阳能发电、海洋研究船、水电站。</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（11）地理-土壤：森林土壤剖面、耕作土壤剖面。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（12）科技-第一次工业革命：飞梭、珍妮纺纱机、瓦特蒸汽机、蒸汽脱粒机、蒸汽机轮船、“火箭号”蒸汽机车、莫尔斯电报机。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13）科技-第二次工业革命：发电机（直流）、特斯拉交流发电机（交流）、爱迪生电灯、电影放映机、早期留声机、奥托内燃机、格拉姆电动机、贝塞麦转炉炼钢、卡尔本茨汽车、贝尔电话、马可尼无线电报机、飞行者1号、石油开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（14）科技-第三次工业革命：苏联斯普特尼克一号人造卫星、美国哥伦比亚航天飞机、核反应堆工作原理、天宫一号、硬盘驱动器、光盘驱动器、电路板、天眼、超级计算机。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15）天文-探测器、卫星、空间站、运载火箭：阿波罗11号指挥舱、阿波罗11号登月舱、月球9号、嫦娥1号、嫦娥3号、嫦娥5号、玉兔号、火星奥德赛探测器、火星快车空间探测器、火星勘测轨道飞行器、TGO轨道飞行器、MAVEN火星探测器、好奇号、洞察号、毅力号、机遇号、机智号、天问一号、祝融号、旅行者号、卡西尼号、金星7号、伽利略号、ENVISAT卫星、哈勃空间望远镜、和平号空间站、国际空间站、天宫空间站、长征2F、长征3B、长征5B、长征7号。</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（16）天文-星体：水星剖面、金星剖面、地球剖面、火星剖面、木星剖面、土星剖面、天王星剖面、海王星剖面、地球自转、地球绕日公转、太阳系、地月系。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（17）教学：</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一年级上：科学真有趣、袋子里面有什么、相同和不同、金鱼、猫和兔、常见的家养动物、它们是用什么做的、不一样的材料、纸制品、常见的工具等。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年级：养植物、谁的植物长得好、我们离不开植物、水、把它们放进水里、空气、拉力、推力、巧用力、认识船、设计和制作小船、改进小船、各种各样的天气、天气与生活、天气早知道、太阳升起来了、月亮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年级：多种多样的食物、食物的营养、食物的消化、饮食与健康、盐和糖的溶解、把盐析出来、把它们分离、手电筒的秘密、开关、电路出了什么故障、电与我们、呼吸与空气、呼吸器官、保护呼吸器官、建筑中的材料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四年级：鸟和哺乳动物、动物的分类、我国的珍稀动物、动物的繁殖、用种子繁殖、不用种子怎样繁殖、水受热遇冷会怎样、固体也热胀冷缩吗、空气的热胀冷缩、水的分布、水结冰了、水的沸腾、声音的产生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五年级：壶是怎样传热的、水是怎样热起来的、炉火周围的热现象、保温和散热、孩子与父母、植物的后代与亲代、灭绝的远古动物、水中的微小生物、显微镜下的细胞、多种多样的微生物、预防传染病、光的传播、光的反射、彩虹、认识太阳能热水器、制作简易太阳能热水器、改进与交流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六年级：生锈与防锈、蜡烛的燃烧、颜色变化、植物的简单分类、植物的光合作用、食物链、水到哪里去了、雾和云、露和霜、雨和雪、水在自然界的循环、各种各样的自然资源、煤、石油和天然气、风能和水能、自然资源的开发与保护、走进植物工厂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（18）实验：</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一年级：听诊器、算盘、洗发香波、自制小台灯、万花筒、磁铁指南针、磁铁走迷宫、永动笔、磁悬浮、不倒翁、大气压力、扫地机器人、木质小风扇、气球直升机、旋转陀螺、反冲小车。</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二年级：溶解过滤、气体热胀冷缩、会飞的球、滑轮测力器、液压机械手、打气筒、潜水艇、明轮船(塑料)、风向标(椴木)、造雪实验、创意吸尘器、甩干机、哈哈镜、静电飞雪、3D眼镜、齿轮传动。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三年级：溶解过滤、光纤灯、电路实验、木质小风扇、小丑走钢丝、倍力桥、谁开的花早、饮水鸟、水往玻璃上爬、马德堡半球、变大变小、摩擦力、打捞沉船、水的浮力、风力小车、空气浆动力。</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四年级：种子发芽、自制温度计、气体热胀冷缩、蒸汽船、土电话、橡皮筋吉他、下雨报警器、日地月模型、自制小钟表、日晷、人体导电、反冲气垫、简易天平、连通器、水陆两栖车、平衡鹰。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五年级：化石、小孔成像、幻影灯、潜望镜、平面镜光、红绿灯、电路串并联、抢答器、电磁铁、自制电动机、水果电池、笼中鸟、简易天平、滑轮测力器、国旗台、轱辘井。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六年级：灭火器、淀粉与碘酒、茶水变色、酸碱认知、手摇发电机、地震报警仪、望远镜、三轮摩托车、人体骨骼、双轨怪坡、沉与浮的变化、简易天平、迷你两驱小车、穿越火线、液压机械手、扫地机器人。</w:t>
            </w:r>
          </w:p>
        </w:tc>
      </w:tr>
      <w:tr w14:paraId="6D343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82CF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6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FFB1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虚拟现实头盔</w:t>
            </w:r>
          </w:p>
        </w:tc>
        <w:tc>
          <w:tcPr>
            <w:tcW w:w="3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9245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9170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4AC82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1、CPU ：高通XR2，Kryo 585核心，8核64位，最高主频 2.84GHz，7nm制程工艺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2、内存：6GB RAM，LPDDR4X</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3、闪存：UFS3.0 128GB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4、WIFI：2X2 MIMO WIFI6 802.11 b/g/n/ac/ax，2.4G/5G双频</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 蓝牙：BT5.1</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6、系统：Android 10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7、屏幕：5.5 inch x 1 SFR TFT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8、分辨率：3664x1920，PPI：773</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9、刷新率：72/90Hz</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10、视场角：98°</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11、透镜：菲涅尔</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12、护眼模式：通过TUV低蓝光认证，可以在系统设置中开启该功能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13、9轴传感器：1KHz采样频率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14、P-senor：人脸佩戴感应</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15、手柄：6DoF体感手柄 x 2，支持光学定位，支持线性振动马达</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16、机身按键：电源键，APP键（返回键），确认键，Home键，音量加，音量减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17、人体工程设计：前置头盔和后置电池组成更为合理的力学分担设计，佩戴面部舒适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18、电池容量：5300mAh</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19、扬声器：内置双立体声喇叭</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20、USB Type-C 3.0：USB3.0数据传输；5V/1A OTG 扩展供电能力</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21、Led灯：三色Led显示开机，关机，充电状态</w:t>
            </w:r>
          </w:p>
        </w:tc>
      </w:tr>
      <w:tr w14:paraId="017A6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747" w:type="pct"/>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3EB4BE1">
            <w:pPr>
              <w:keepNext w:val="0"/>
              <w:keepLines w:val="0"/>
              <w:pageBreakBefore w:val="0"/>
              <w:widowControl/>
              <w:kinsoku/>
              <w:wordWrap/>
              <w:overflowPunct/>
              <w:topLinePunct w:val="0"/>
              <w:autoSpaceDE/>
              <w:autoSpaceDN/>
              <w:bidi w:val="0"/>
              <w:adjustRightInd w:val="0"/>
              <w:snapToGrid w:val="0"/>
              <w:spacing w:after="0"/>
              <w:jc w:val="left"/>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 xml:space="preserve">3、人工智能系列 </w:t>
            </w:r>
          </w:p>
        </w:tc>
        <w:tc>
          <w:tcPr>
            <w:tcW w:w="325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95C58E">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r>
      <w:tr w14:paraId="67AD1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0661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5EA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通识教育实验箱1型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14C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A03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BE5A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一、基本技术参数：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图形化编程。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模块具有多方向磁吸接口，模块之间采用磁吸连接。图形化编程。蓝牙主控*1、电池*1、光线传感器*1、声音传感器*1、双按钮开关"1、蜂鸣器*1、LED矩阵*1、可调彩灯*1、舵机*1、项目搭建卡纸(份) *1、乐高兼容底座*4、可调彩灯灯罩*3、伺服舵机*1、舵机配件包*1、塑料铆钉盒*1、连接线*3、螺丝刀*1、USB数据线(500mm) *1。</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二、课程：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课程1：设计防盗警报器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课程2：设计幸运转盘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课程3：设计太空人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课程4：设计游戏机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课程5：设计小夜灯</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课程6：设计音量尺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课程7：设计音乐观察仪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课程8：设计舞蹈章鱼</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课程9：设计独眼怪。</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课程10：遥控机械臂</w:t>
            </w:r>
          </w:p>
        </w:tc>
      </w:tr>
      <w:tr w14:paraId="7357C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9F94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39A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通识教育实验箱2型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05E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62A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6063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一、基本技术参数：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模块之间采用磁吸连接。</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传感模块：包含按键、开关、声音传感、红外对管、光强传感。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处理模块：包含录放、智能控制、扩展、连接线。</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执行模块：包含单色灯、蜂鸣器、扬声器、减速电机。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电源模块：可接入积木组合体的任意位置，为整个系统供电。</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152个颗粒。</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一、课程：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课程陀螺发射器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课程1：设计电风扇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课程2：设计小台灯</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课程3：设计道闸</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课程4：设计留声机礼盒</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课程5：设计听话的小车</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课程6：设计夜晚路灯</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课程7：设计旋转飞椅</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课程8：设计摩天轮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课程9：设计稻草人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课程10：设计唱片机</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课程11：设计布谷鸟时钟。</w:t>
            </w:r>
          </w:p>
        </w:tc>
      </w:tr>
      <w:tr w14:paraId="1FD1B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8E66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3D7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通识教育实验箱3型</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451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7AD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9632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一、基本配置：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图形化编程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主控板*1、扩展板*1、数据线*2、18650锂电池*1、Sugar-LED*3、Sugar-按键*1、Sugar-光敏*1、Sugar-灰度*1、Sugar-电位器*1、Sugar-霍尔*1、Sugar-温湿度*1、Sugar-PIR*1、Sugar-摇杆*1、Suagr-激光测距*1、2kg舵机*1、2KG电机*1、套件积木包*1、套件纸板*1、连接线*8、Robotbit底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主控板主频240MHz，配备4MB Flash和8MB RAM </w:t>
            </w:r>
            <w:r>
              <w:rPr>
                <w:rFonts w:hint="eastAsia" w:ascii="宋体" w:hAnsi="宋体" w:eastAsia="宋体" w:cs="宋体"/>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屏幕</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：160×128分辨率TFT彩屏，支持图形化显示</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 xml:space="preserve">  </w:t>
            </w:r>
            <w:r>
              <w:rPr>
                <w:rFonts w:hint="eastAsia" w:ascii="宋体" w:hAnsi="宋体" w:eastAsia="宋体" w:cs="宋体"/>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接口</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 xml:space="preserve">：2路串口、2路I2C、4路编程IO接口（兼容方糖模块） </w:t>
            </w:r>
            <w:r>
              <w:rPr>
                <w:rFonts w:hint="eastAsia" w:ascii="宋体" w:hAnsi="宋体" w:eastAsia="宋体" w:cs="宋体"/>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传感器</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：板载加速度传感器、光敏传感器、麦克风</w:t>
            </w:r>
            <w:r>
              <w:rPr>
                <w:rFonts w:hint="eastAsia" w:ascii="宋体" w:hAnsi="宋体" w:eastAsia="宋体" w:cs="宋体"/>
                <w:i w:val="0"/>
                <w:iCs w:val="0"/>
                <w:color w:val="auto"/>
                <w:kern w:val="0"/>
                <w:sz w:val="22"/>
                <w:szCs w:val="22"/>
                <w:u w:val="none"/>
                <w:lang w:val="en-US" w:eastAsia="zh-CN" w:bidi="ar"/>
              </w:rPr>
              <w:br w:type="textWrapping"/>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网络</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：支持Wi-Fi物联网通讯和2.4G内网组网</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 xml:space="preserve">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电源</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：Type-C充电，内置450mAh锂电池，支持4档电量显示</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 xml:space="preserve">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结构</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：全塑料外壳，符合乐高插销标准尺寸（56×56×21.5mm）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编程支持 同时支持KittenBlock图形化编程和Python代码编程</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 xml:space="preserve">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三、课程：</w:t>
            </w:r>
            <w:r>
              <w:rPr>
                <w:rFonts w:hint="default" w:ascii="Times New Roman" w:hAnsi="Times New Roman" w:eastAsia="宋体" w:cs="Times New Roman"/>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 、电子时钟：了解人工智能及语音识别；掌握未设置及语音识别；掌握获取网络时间的方法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 、 懒人闹钟：认识物联网及其应用；了解执行流程；了解平台的应用设计</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 、事件提醒：了解人工智能及语音识别；掌握 WIFI 设置及语音识别；掌握未来版获取网络时间的方法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4、居家小助手：掌握温湿度模块和舵机的使用；掌握高德天气的使用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 激光测距仪：了解激光测距的原理及应用；掌握激光测距模块的使用；掌握按键模块的使用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6、迎宾机器人：了解红外线及其相关应用；掌握 人体感应模块的使用；了解应用场景规划</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 、 烹饪闹钟：了解继电器的原理及常见应用；掌握继电器模块的使用；掌握 LED 模块的使用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8、简易保险箱：了解映射的含义及应用；掌握映射的使用；掌握变量运算的方法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 防盗保险箱：了解霍尔传感器的原理及应用；掌握霍尔模块的使用；掌握 MQTT 的收发方法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 新能源汽车：了解常见汽车结构；掌握电机的使用；掌握摇杆模块的两种控制方式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 交通指挥灯：了解交通指挥灯的运行逻辑；了解人工智能在交通灯中的应用；了解智慧交通的概念</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 智能照明灯：了解光敏传感器的原理及应用；掌握亮度模块的使用；了解智慧城市的概念</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13、智慧停车场： 解灰度模块的原理；掌握灰度模块的使用；掌握应用场景规划</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14、 毕业议题： 展示优秀毕业作品；公布毕业设计要求及流程；指导学生制作作品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15、 毕业设计：指导学生制作的作品；作品的检验及迭代；毕业展示模拟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16、 毕业展示： 作品展示及讲解；优秀案例及团队评选；课程回顾第二个课程表（16 课时）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17、 秘密行动：认识未来版；了解未来版基础使用；掌握 A、B 按键的使用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18、体征监测：了解光的三原色；认识全彩灯珠；掌握全彩灯珠的程序编写</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19、 电子铭牌：了解平面直角坐标系；认识未来版的 TFT 彩屏；掌握彩屏的程序编写</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20、全息地图：了解像素、位图和分辨率；认识海龟制图；掌握海龟绘图的程序编写</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21、 要塞穿越：了解声音的产生与传播；认识麦克风；掌握麦克风使用及图片上传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22、时空机器：了解声音的三要素；认识无源蜂鸣器；掌握蜂鸣器的程序编写</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23、光照监测：了解光、光强及光照强度；认识光敏传感器；掌握亮度检测的程序编写</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24、温度监测：了解温度及测温方式；认识温度传感器；掌握温度检测的程序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25、空中搜查：了解三轴加速度计；认识姿态及姿态角；掌握姿态检测的程序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26、超重预警：了解加速度；认识空间直角坐标系；掌握加速度检测的程序编写</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27、方向指引：了解地球的磁场；认识指南针；掌握指南针的程序编写</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28、 陨石探测：了解磁力及磁场；认识磁力计；掌握磁力检测的程序编写</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29、 陨石销毁：了解无线通讯；认识 2.4GHz WiFi 通讯；掌握板间无线通讯</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30、 行动落幕： 掌握未来版的 WIFI 设置；了解人工智能；掌握未来版语音识别功能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31、重返未来： 认识物联网及 MQTT；掌握 MQTT 数据收发的方法；掌握 IOT 平台数据查看及发送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32、重建家园：认识 OneNET 物联网平台；了解数据可视化；掌握应用程序界面的设计</w:t>
            </w:r>
          </w:p>
        </w:tc>
      </w:tr>
      <w:tr w14:paraId="008BF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4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E77D6A">
            <w:pPr>
              <w:keepNext w:val="0"/>
              <w:keepLines w:val="0"/>
              <w:pageBreakBefore w:val="0"/>
              <w:widowControl/>
              <w:kinsoku/>
              <w:wordWrap/>
              <w:overflowPunct/>
              <w:topLinePunct w:val="0"/>
              <w:autoSpaceDE/>
              <w:autoSpaceDN/>
              <w:bidi w:val="0"/>
              <w:adjustRightInd w:val="0"/>
              <w:snapToGrid w:val="0"/>
              <w:spacing w:after="0"/>
              <w:jc w:val="left"/>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4、智慧墙</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92203">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r>
      <w:tr w14:paraId="0A3A2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CEA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BA6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试试手气</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D81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E54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A070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1、主控板：采用国产的高性能芯片作为主控芯片。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2、六边形框，边长230，对角线长450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二、功能：揭秘街头“转盘”骗人的数学道理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三、实验过程：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1、通过语音互动，打开或关闭“试试手”，也可以与“试试手气 ”进行对话。</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打开“试试手”时，按住“开始”按钮，转盘指示灯顺序亮起，并越转越快，松开时，停在任意一个数字位置上；选择顺时针或逆时针计数，按照抽到的数字移动几步（所在的位置包含在计数内），看看你最后会中奖，还是罚款。</w:t>
            </w:r>
          </w:p>
        </w:tc>
      </w:tr>
      <w:tr w14:paraId="63978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FC6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D6A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猜中思想</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E42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5E7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块</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607F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1、主控板：采用国产的高性能芯片作为主控芯片。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2、六边形框，边长230，对角线长450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二、功能：理解二分法解决问题的过程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三、实验过程：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1、通过语音互动，打开或关闭“猜中思想”，也可以与“猜中思想”进行对话。</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2、打开“猜中思想”时，按下开始键进行实验：</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在两行数字中选择包含自己心中所想数字的一行，按下数码管对应的红色按钮。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  最多选择3次，数码管就会显示出你心中所想的数字。</w:t>
            </w:r>
          </w:p>
        </w:tc>
      </w:tr>
      <w:tr w14:paraId="17717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4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E2AE75">
            <w:pPr>
              <w:keepNext w:val="0"/>
              <w:keepLines w:val="0"/>
              <w:pageBreakBefore w:val="0"/>
              <w:widowControl/>
              <w:kinsoku/>
              <w:wordWrap/>
              <w:overflowPunct/>
              <w:topLinePunct w:val="0"/>
              <w:autoSpaceDE/>
              <w:autoSpaceDN/>
              <w:bidi w:val="0"/>
              <w:adjustRightInd w:val="0"/>
              <w:snapToGrid w:val="0"/>
              <w:spacing w:after="0"/>
              <w:jc w:val="left"/>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三、环境改造</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BF02D">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b/>
                <w:bCs/>
                <w:i w:val="0"/>
                <w:iCs w:val="0"/>
                <w:color w:val="auto"/>
                <w:sz w:val="22"/>
                <w:szCs w:val="22"/>
                <w:u w:val="none"/>
              </w:rPr>
            </w:pPr>
          </w:p>
        </w:tc>
      </w:tr>
      <w:tr w14:paraId="4772C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C48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9C6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艺术软膜天花吊顶</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682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3DA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平米</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EC21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改消防喷淋，原来消防喷淋朝上，现在要改朝下。艺术造型吊顶材料：轻钢龙骨75平方、石膏板33张、12厘板20张、9厘板15张、刮力子粉3面、软膜天花20平方、铜灯50个、窗帘盒（大芯板、石膏板）、电线（2.5和1.5）等</w:t>
            </w:r>
          </w:p>
        </w:tc>
      </w:tr>
      <w:tr w14:paraId="734D5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0B7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CF8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地胶</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597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64</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1F5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平米</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D104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PVC地胶；厚度：2MM；耐磨层：0.3；防火性能：B1；耐磨级别：T；防滑性能：R9；绝缘系数：&gt;50kΩ；静电性能：&lt;2kv。</w:t>
            </w:r>
          </w:p>
        </w:tc>
      </w:tr>
      <w:tr w14:paraId="0E0DB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42B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EBD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封包水管</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622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526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9E03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教室4个角都有水管要进行封包，采用12厘板打底，12厘板6张 ，外面用石膏板封面，石膏板6张，再贴瓷砖1.2米高；瓷砖胶和墙漆等</w:t>
            </w:r>
          </w:p>
        </w:tc>
      </w:tr>
      <w:tr w14:paraId="41CA7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F6D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CD1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拆除双开门</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E9A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C13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EB38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双开门 2.2米高、1.6米宽</w:t>
            </w:r>
          </w:p>
        </w:tc>
      </w:tr>
      <w:tr w14:paraId="6B0A9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E42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3A9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封闭双开门</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4F8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279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87AA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采用砖、黄沙、水泥门封闭双开门，贴瓷砖1.2米高、宽1.6米</w:t>
            </w:r>
          </w:p>
        </w:tc>
      </w:tr>
      <w:tr w14:paraId="3D4EC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596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33F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单开门</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E2C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FBF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3CB7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定制  宽0.9米、高2.2米，单开门颜色与双开门颜色一致</w:t>
            </w:r>
          </w:p>
        </w:tc>
      </w:tr>
      <w:tr w14:paraId="0A62D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367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1A7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移配电箱</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073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B42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BA88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4平方电线50米，2.5平方电线40米</w:t>
            </w:r>
          </w:p>
        </w:tc>
      </w:tr>
      <w:tr w14:paraId="0FF1E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331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8A8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窗帘</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60C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97F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米</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4D2F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窗帘定制 宽6米、高3.2米， 窗帘采用0.05MM复合全遮光布，达到B1级阻燃标准。</w:t>
            </w:r>
          </w:p>
        </w:tc>
      </w:tr>
      <w:tr w14:paraId="66FEE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AFA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3AC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拆吊扇、日光灯</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B59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011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008D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吊扇4把、日光灯10盏</w:t>
            </w:r>
          </w:p>
        </w:tc>
      </w:tr>
      <w:tr w14:paraId="7A175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F9F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10C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刷墙漆</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3D1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028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平米</w:t>
            </w:r>
          </w:p>
        </w:tc>
        <w:tc>
          <w:tcPr>
            <w:tcW w:w="3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97A2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100平方刷墙漆</w:t>
            </w:r>
          </w:p>
        </w:tc>
      </w:tr>
    </w:tbl>
    <w:p w14:paraId="037AA471">
      <w:pPr>
        <w:bidi w:val="0"/>
        <w:rPr>
          <w:rFonts w:hint="eastAsia"/>
          <w:color w:val="auto"/>
        </w:rPr>
      </w:pPr>
    </w:p>
    <w:p w14:paraId="407A1DB1">
      <w:pPr>
        <w:bidi w:val="0"/>
        <w:rPr>
          <w:rFonts w:hint="eastAsia"/>
          <w:color w:val="auto"/>
        </w:rPr>
      </w:pPr>
      <w:r>
        <w:rPr>
          <w:rFonts w:hint="eastAsia"/>
          <w:color w:val="auto"/>
        </w:rPr>
        <w:t>本项目</w:t>
      </w:r>
      <w:r>
        <w:rPr>
          <w:rFonts w:hint="eastAsia"/>
          <w:color w:val="auto"/>
          <w:lang w:val="en-US" w:eastAsia="zh-CN"/>
        </w:rPr>
        <w:t>包</w:t>
      </w:r>
      <w:r>
        <w:rPr>
          <w:rFonts w:hint="eastAsia"/>
          <w:color w:val="auto"/>
        </w:rPr>
        <w:t>核心产品：虚拟科学馆。</w:t>
      </w:r>
    </w:p>
    <w:p w14:paraId="4B75DD6C">
      <w:pPr>
        <w:bidi w:val="0"/>
        <w:rPr>
          <w:rFonts w:hint="eastAsia"/>
        </w:rPr>
      </w:pPr>
    </w:p>
    <w:p w14:paraId="4853D198">
      <w:pPr>
        <w:rPr>
          <w:color w:val="auto"/>
        </w:rPr>
        <w:sectPr>
          <w:pgSz w:w="11906" w:h="16838"/>
          <w:pgMar w:top="1440" w:right="1797" w:bottom="1440" w:left="1797"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p>
    <w:p w14:paraId="1B1518B6">
      <w:pPr>
        <w:pStyle w:val="3"/>
        <w:adjustRightInd w:val="0"/>
        <w:snapToGrid w:val="0"/>
        <w:spacing w:before="156" w:beforeLines="50" w:line="240" w:lineRule="auto"/>
        <w:jc w:val="center"/>
        <w:rPr>
          <w:color w:val="auto"/>
        </w:rPr>
      </w:pPr>
      <w:bookmarkStart w:id="35" w:name="_Toc30709"/>
      <w:r>
        <w:rPr>
          <w:rFonts w:hint="eastAsia" w:ascii="黑体" w:hAnsi="黑体" w:eastAsia="黑体"/>
          <w:color w:val="auto"/>
          <w:sz w:val="28"/>
          <w:szCs w:val="28"/>
        </w:rPr>
        <w:t>第二节 实施</w:t>
      </w:r>
      <w:r>
        <w:rPr>
          <w:rFonts w:ascii="黑体" w:hAnsi="黑体" w:eastAsia="黑体"/>
          <w:color w:val="auto"/>
          <w:sz w:val="28"/>
          <w:szCs w:val="28"/>
        </w:rPr>
        <w:t>要求</w:t>
      </w:r>
      <w:bookmarkEnd w:id="35"/>
    </w:p>
    <w:p w14:paraId="20F29AD9">
      <w:pPr>
        <w:adjustRightInd w:val="0"/>
        <w:snapToGrid w:val="0"/>
        <w:spacing w:line="336" w:lineRule="auto"/>
        <w:ind w:firstLine="480" w:firstLineChars="200"/>
        <w:rPr>
          <w:rFonts w:ascii="宋体" w:hAnsi="宋体"/>
          <w:b/>
          <w:color w:val="auto"/>
          <w:sz w:val="24"/>
        </w:rPr>
      </w:pPr>
    </w:p>
    <w:p w14:paraId="5AE95094">
      <w:pPr>
        <w:pStyle w:val="292"/>
        <w:adjustRightInd w:val="0"/>
        <w:snapToGrid w:val="0"/>
        <w:spacing w:line="360" w:lineRule="auto"/>
        <w:ind w:firstLine="470" w:firstLineChars="196"/>
        <w:rPr>
          <w:rFonts w:ascii="宋体" w:hAnsi="宋体" w:cs="宋体"/>
          <w:b/>
          <w:color w:val="auto"/>
          <w:sz w:val="24"/>
          <w:szCs w:val="24"/>
        </w:rPr>
      </w:pPr>
      <w:r>
        <w:rPr>
          <w:rFonts w:hint="eastAsia" w:ascii="宋体" w:hAnsi="宋体" w:cs="宋体"/>
          <w:b/>
          <w:color w:val="auto"/>
          <w:sz w:val="24"/>
          <w:szCs w:val="24"/>
        </w:rPr>
        <w:t>一、项目实施要求：</w:t>
      </w:r>
    </w:p>
    <w:p w14:paraId="3984AC3A">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1.1供应商提供的产品须符合采购人和采购人上级部门关于本项目的各项要求。</w:t>
      </w:r>
    </w:p>
    <w:p w14:paraId="1ECF2180">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1.2项目实施地点：采购人指定地点。</w:t>
      </w:r>
    </w:p>
    <w:p w14:paraId="4D721C13">
      <w:pPr>
        <w:pStyle w:val="292"/>
        <w:adjustRightInd w:val="0"/>
        <w:snapToGrid w:val="0"/>
        <w:spacing w:line="360" w:lineRule="auto"/>
        <w:ind w:firstLine="480" w:firstLineChars="200"/>
        <w:rPr>
          <w:color w:val="auto"/>
        </w:rPr>
      </w:pPr>
      <w:r>
        <w:rPr>
          <w:rFonts w:hint="eastAsia" w:ascii="宋体" w:hAnsi="宋体" w:cs="宋体"/>
          <w:bCs/>
          <w:color w:val="auto"/>
          <w:sz w:val="24"/>
          <w:szCs w:val="24"/>
        </w:rPr>
        <w:t>★1.3付款方式：乙方按合同规定要求提供货物和服务。所有设备（产品）按时到货并安装调试完工后，经甲方验收合格(作为付款程序的验收合格，不等同于认可产品没有任何质量缺陷，也不等同于放弃对乙方的违约责任追究)且办理财务结算手续完毕后一次性支付该项目所有货款的95%，其余5%为交付使用一年后支付。</w:t>
      </w:r>
    </w:p>
    <w:p w14:paraId="7D006F0C">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★1.4交货时间：合同签订后</w:t>
      </w:r>
      <w:r>
        <w:rPr>
          <w:rFonts w:hint="eastAsia" w:ascii="宋体" w:hAnsi="宋体" w:cs="宋体"/>
          <w:bCs/>
          <w:color w:val="auto"/>
          <w:sz w:val="24"/>
          <w:szCs w:val="24"/>
          <w:lang w:val="en-US" w:eastAsia="zh-CN"/>
        </w:rPr>
        <w:t>30日</w:t>
      </w:r>
      <w:r>
        <w:rPr>
          <w:rFonts w:hint="eastAsia" w:ascii="宋体" w:hAnsi="宋体" w:cs="宋体"/>
          <w:bCs/>
          <w:color w:val="auto"/>
          <w:sz w:val="24"/>
          <w:szCs w:val="24"/>
        </w:rPr>
        <w:t>内到货并安装调试完毕。</w:t>
      </w:r>
    </w:p>
    <w:p w14:paraId="48493676">
      <w:pPr>
        <w:pStyle w:val="292"/>
        <w:adjustRightInd w:val="0"/>
        <w:snapToGrid w:val="0"/>
        <w:spacing w:line="360" w:lineRule="auto"/>
        <w:ind w:firstLine="480" w:firstLineChars="200"/>
        <w:rPr>
          <w:rFonts w:ascii="宋体" w:hAnsi="宋体" w:cs="宋体"/>
          <w:b/>
          <w:color w:val="auto"/>
          <w:sz w:val="24"/>
          <w:szCs w:val="24"/>
        </w:rPr>
      </w:pPr>
      <w:r>
        <w:rPr>
          <w:rFonts w:hint="eastAsia" w:ascii="宋体" w:hAnsi="宋体" w:cs="宋体"/>
          <w:b/>
          <w:color w:val="auto"/>
          <w:sz w:val="24"/>
          <w:szCs w:val="24"/>
        </w:rPr>
        <w:t>二、报价要求：</w:t>
      </w:r>
    </w:p>
    <w:p w14:paraId="502A312D">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bCs/>
          <w:color w:val="auto"/>
          <w:sz w:val="24"/>
          <w:szCs w:val="24"/>
        </w:rPr>
        <w:t>★2.1</w:t>
      </w:r>
      <w:r>
        <w:rPr>
          <w:rFonts w:hint="eastAsia" w:ascii="宋体" w:hAnsi="宋体" w:cs="宋体"/>
          <w:color w:val="auto"/>
          <w:sz w:val="24"/>
          <w:szCs w:val="24"/>
        </w:rPr>
        <w:t>投标报价应包含产品、运输、安装调试、备品备件、培训验收、质保期内</w:t>
      </w:r>
      <w:r>
        <w:rPr>
          <w:rFonts w:hint="eastAsia" w:ascii="宋体" w:hAnsi="宋体" w:cs="宋体"/>
          <w:bCs/>
          <w:color w:val="auto"/>
          <w:sz w:val="24"/>
          <w:szCs w:val="24"/>
        </w:rPr>
        <w:t>保修维护、</w:t>
      </w:r>
      <w:r>
        <w:rPr>
          <w:rFonts w:hint="eastAsia" w:ascii="宋体" w:hAnsi="宋体" w:cs="宋体"/>
          <w:color w:val="auto"/>
          <w:sz w:val="24"/>
          <w:szCs w:val="24"/>
        </w:rPr>
        <w:t>人工工资、保险、税金等所有费用，如一旦成交，在项目实施中出现任何遗漏，均由中标人免费提供，采购人不再支付其他费用。</w:t>
      </w:r>
    </w:p>
    <w:p w14:paraId="6DBCB9E9">
      <w:pPr>
        <w:pStyle w:val="292"/>
        <w:adjustRightInd w:val="0"/>
        <w:snapToGrid w:val="0"/>
        <w:spacing w:line="360" w:lineRule="auto"/>
        <w:ind w:firstLine="480" w:firstLineChars="200"/>
        <w:rPr>
          <w:rFonts w:ascii="宋体" w:hAnsi="宋体" w:cs="宋体"/>
          <w:b/>
          <w:bCs/>
          <w:color w:val="auto"/>
          <w:sz w:val="24"/>
          <w:szCs w:val="24"/>
        </w:rPr>
      </w:pPr>
      <w:r>
        <w:rPr>
          <w:rFonts w:hint="eastAsia" w:ascii="宋体" w:hAnsi="宋体" w:cs="宋体"/>
          <w:b/>
          <w:bCs/>
          <w:color w:val="auto"/>
          <w:sz w:val="24"/>
          <w:szCs w:val="24"/>
        </w:rPr>
        <w:t>三、供货要求：</w:t>
      </w:r>
    </w:p>
    <w:p w14:paraId="45671868">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3.1中标人必须严格按照投标清单提供有厂家质保的正规渠道产品，且包含正常使用时所需的附件、工具等；</w:t>
      </w:r>
    </w:p>
    <w:p w14:paraId="20D58798">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3.2中标人负责产品到交货地点的全部运输，包括装卸及现场搬运等；</w:t>
      </w:r>
    </w:p>
    <w:p w14:paraId="61ECFC1B">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3.3中标人负责产品的保管，直至项目验收合格；</w:t>
      </w:r>
    </w:p>
    <w:p w14:paraId="066336DF">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3.4中标人负责其派出的服务人员的人身意外保险，配备至少3名服务人员为本项目实施提供服务，其中至少有一名类似项目经验丰富的项目经理；</w:t>
      </w:r>
    </w:p>
    <w:p w14:paraId="0BF7B462">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3.5中标人应根据采购人的要求将所提供的产品或者货物送到指定的地点，并安装调试完毕验收合格；</w:t>
      </w:r>
    </w:p>
    <w:p w14:paraId="3C494F16">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3.6中标人送达产品及进行安装调试，应和采购人单位取得联系，以便采购人单位安排验货和配合安装调试等工作。中标人须加强安装调试过程的组织管理，所有安装调试人员须遵守文明安全操作的有关规章制度，持证上岗；</w:t>
      </w:r>
    </w:p>
    <w:p w14:paraId="13E50F93">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3.7项目完成后，中标人应将项目有关的全部资料，包括产品资料、技术文档及采购人要求的相关资料等移交采购人。</w:t>
      </w:r>
    </w:p>
    <w:p w14:paraId="508A4ED4">
      <w:pPr>
        <w:pStyle w:val="292"/>
        <w:adjustRightInd w:val="0"/>
        <w:snapToGrid w:val="0"/>
        <w:spacing w:line="360" w:lineRule="auto"/>
        <w:ind w:firstLine="480" w:firstLineChars="200"/>
        <w:rPr>
          <w:rFonts w:ascii="宋体" w:hAnsi="宋体" w:cs="宋体"/>
          <w:b/>
          <w:bCs/>
          <w:color w:val="auto"/>
          <w:sz w:val="24"/>
          <w:szCs w:val="24"/>
        </w:rPr>
      </w:pPr>
      <w:r>
        <w:rPr>
          <w:rFonts w:hint="eastAsia" w:ascii="宋体" w:hAnsi="宋体" w:cs="宋体"/>
          <w:b/>
          <w:bCs/>
          <w:color w:val="auto"/>
          <w:sz w:val="24"/>
          <w:szCs w:val="24"/>
        </w:rPr>
        <w:t>四、组织架构及进度管理：</w:t>
      </w:r>
    </w:p>
    <w:p w14:paraId="6FFE0E4D">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4.1组建项目实施领导小组，明确工作职责，落实和具体工作内容，梳理需求，完善标准体系，按质按量履行项目实施内容。按项目组织架构进行项目的实施和交付，配备经验丰富的项目队伍，以确保项目施工质量和工期。</w:t>
      </w:r>
    </w:p>
    <w:p w14:paraId="3DA95BBB">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4.2制定合理的进度计划，合理安排各工作项的工期，明确分工，做好工序无缝衔接，确保按期完成任务。</w:t>
      </w:r>
    </w:p>
    <w:p w14:paraId="3EFDC038">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4.3中标人在项目实施中，必须遵守招标人的管理要求，接受有关单位的监督，严格遵守国家的相关实施规范。</w:t>
      </w:r>
    </w:p>
    <w:p w14:paraId="3AE27A14">
      <w:pPr>
        <w:pStyle w:val="292"/>
        <w:adjustRightInd w:val="0"/>
        <w:snapToGrid w:val="0"/>
        <w:spacing w:line="360" w:lineRule="auto"/>
        <w:ind w:firstLine="480" w:firstLineChars="200"/>
        <w:rPr>
          <w:rFonts w:ascii="宋体" w:hAnsi="宋体" w:cs="宋体"/>
          <w:b/>
          <w:bCs/>
          <w:color w:val="auto"/>
          <w:sz w:val="24"/>
          <w:szCs w:val="24"/>
        </w:rPr>
      </w:pPr>
      <w:r>
        <w:rPr>
          <w:rFonts w:hint="eastAsia" w:ascii="宋体" w:hAnsi="宋体" w:cs="宋体"/>
          <w:color w:val="auto"/>
          <w:sz w:val="24"/>
          <w:szCs w:val="24"/>
        </w:rPr>
        <w:t>4.4拟任本项目的项目负责人等关键岗位人员必须按时在岗。</w:t>
      </w:r>
    </w:p>
    <w:p w14:paraId="3772F59F">
      <w:pPr>
        <w:pStyle w:val="292"/>
        <w:adjustRightInd w:val="0"/>
        <w:snapToGrid w:val="0"/>
        <w:spacing w:line="360" w:lineRule="auto"/>
        <w:ind w:firstLine="480" w:firstLineChars="200"/>
        <w:rPr>
          <w:rFonts w:ascii="宋体" w:hAnsi="宋体" w:cs="宋体"/>
          <w:b/>
          <w:bCs/>
          <w:color w:val="auto"/>
          <w:sz w:val="24"/>
          <w:szCs w:val="24"/>
        </w:rPr>
      </w:pPr>
      <w:r>
        <w:rPr>
          <w:rFonts w:hint="eastAsia" w:ascii="宋体" w:hAnsi="宋体" w:cs="宋体"/>
          <w:b/>
          <w:bCs/>
          <w:color w:val="auto"/>
          <w:sz w:val="24"/>
          <w:szCs w:val="24"/>
        </w:rPr>
        <w:t>五、质量保证：</w:t>
      </w:r>
    </w:p>
    <w:p w14:paraId="3DD7215B">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 xml:space="preserve">5.1投标产品必须是符合国家技术规范和质量标准的合格产品，满足采购人的使用需求，并具有可靠的质量服务体系和安全服务体系，质量可靠、使用安全。 </w:t>
      </w:r>
    </w:p>
    <w:p w14:paraId="2C1C4B4C">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★5.2质保期：项目整体质保3年（采购清单或国家标准另有要求的按最高标准执行）。</w:t>
      </w:r>
    </w:p>
    <w:p w14:paraId="1E9F3D7F">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bCs/>
          <w:color w:val="auto"/>
          <w:sz w:val="24"/>
          <w:szCs w:val="24"/>
        </w:rPr>
        <w:t>5.3质保期从验收合格之日起开始计算。</w:t>
      </w:r>
    </w:p>
    <w:p w14:paraId="660105C7">
      <w:pPr>
        <w:pStyle w:val="292"/>
        <w:adjustRightInd w:val="0"/>
        <w:snapToGrid w:val="0"/>
        <w:spacing w:line="360" w:lineRule="auto"/>
        <w:ind w:firstLine="480" w:firstLineChars="200"/>
        <w:rPr>
          <w:rFonts w:ascii="宋体" w:hAnsi="宋体" w:cs="宋体"/>
          <w:b/>
          <w:bCs/>
          <w:color w:val="auto"/>
          <w:sz w:val="24"/>
          <w:szCs w:val="24"/>
        </w:rPr>
      </w:pPr>
      <w:r>
        <w:rPr>
          <w:rFonts w:hint="eastAsia" w:ascii="宋体" w:hAnsi="宋体" w:cs="宋体"/>
          <w:b/>
          <w:bCs/>
          <w:color w:val="auto"/>
          <w:sz w:val="24"/>
          <w:szCs w:val="24"/>
        </w:rPr>
        <w:t>六、售后服务：</w:t>
      </w:r>
    </w:p>
    <w:p w14:paraId="7494E9F9">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6.1中标人要严格按照采购人要求提供售后服务，建立专门的售后服务小组，并配备相应的专业技术人员和设施设备，要求原厂服务的必须按要求提供原厂售后服务。</w:t>
      </w:r>
    </w:p>
    <w:p w14:paraId="3AC91BDB">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6.2质保期内出现任何质量问题（人为破坏或自然灾害等不可抗力除外），由中标人负责免费（免全部工时费、材料费、管理费、财务费等）更换或维修；中标人未及时履行售后服务义务的，采购人有权另行选择第三方进行维修，产生费用由中标人承担，采购人可以从质量保证金中予以扣除。</w:t>
      </w:r>
    </w:p>
    <w:p w14:paraId="65682157">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6.3在质保期内必须为最终用户提供全天候的技术服务支持，负责解答用户在产品使用中遇到的问题，并及时提出解决问题的建议和操作方法。技术服务热线支持应是中文服务。</w:t>
      </w:r>
    </w:p>
    <w:p w14:paraId="103F8891">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6.4备件服务：提供产品所需更换的任何备品备件，质保期内所有部件均为原厂商备件。中标人不能因为产品停产而拒绝提供备品备件，应提供相应的解决方案和同类档次规格的备品备件。</w:t>
      </w:r>
    </w:p>
    <w:p w14:paraId="7BD83FA9">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6.5产品在质量保证期内使用发生故障时，中标人在接到采购人故障通知后应及时响应（2小时响应，24小时内解决问题），不得影响正常使用（如果不能及时解决，应及时提供备件替代直至问题解决），所发生的一切费用由中标人承担。</w:t>
      </w:r>
    </w:p>
    <w:p w14:paraId="3773FF9A">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6.6质量保证期结束后，中标人有义务配合采购人在产品使用地指定有能力的代理人或供应商自行对所提供产品进行维护和修理。如需更换零配件的，应不超过市场平均价予以供应。</w:t>
      </w:r>
    </w:p>
    <w:p w14:paraId="1E0E6C91">
      <w:pPr>
        <w:pStyle w:val="292"/>
        <w:adjustRightInd w:val="0"/>
        <w:snapToGrid w:val="0"/>
        <w:spacing w:line="360" w:lineRule="auto"/>
        <w:ind w:firstLine="480" w:firstLineChars="200"/>
        <w:rPr>
          <w:rFonts w:ascii="宋体" w:hAnsi="宋体" w:cs="宋体"/>
          <w:b/>
          <w:bCs/>
          <w:color w:val="auto"/>
          <w:sz w:val="24"/>
          <w:szCs w:val="24"/>
        </w:rPr>
      </w:pPr>
      <w:r>
        <w:rPr>
          <w:rFonts w:hint="eastAsia" w:ascii="宋体" w:hAnsi="宋体" w:cs="宋体"/>
          <w:color w:val="auto"/>
          <w:sz w:val="24"/>
          <w:szCs w:val="24"/>
        </w:rPr>
        <w:t>6.7售后服务人员必须树立让用户满意是检验服务工作的最终标准的服务理念，要竭尽全力为用户服务。在服务过程中，积极、热情、耐心地解答用户提出的各种问题，认真传授维修保养常识。对用户的问题无法解决时，应予耐心解释，并及时报告。</w:t>
      </w:r>
    </w:p>
    <w:p w14:paraId="24A461DD">
      <w:pPr>
        <w:pStyle w:val="292"/>
        <w:adjustRightInd w:val="0"/>
        <w:snapToGrid w:val="0"/>
        <w:spacing w:line="360" w:lineRule="auto"/>
        <w:ind w:firstLine="470" w:firstLineChars="196"/>
        <w:rPr>
          <w:rFonts w:ascii="宋体" w:hAnsi="宋体" w:cs="宋体"/>
          <w:b/>
          <w:color w:val="auto"/>
          <w:sz w:val="24"/>
          <w:szCs w:val="24"/>
        </w:rPr>
      </w:pPr>
      <w:r>
        <w:rPr>
          <w:rFonts w:hint="eastAsia" w:ascii="宋体" w:hAnsi="宋体" w:cs="宋体"/>
          <w:b/>
          <w:color w:val="auto"/>
          <w:sz w:val="24"/>
          <w:szCs w:val="24"/>
        </w:rPr>
        <w:t>七、培训服务：</w:t>
      </w:r>
    </w:p>
    <w:p w14:paraId="6AFE3478">
      <w:pPr>
        <w:pStyle w:val="292"/>
        <w:adjustRightInd w:val="0"/>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7.1中标人负责为采购人指定的有关技术人员提供维护、维修、现场使用培训。</w:t>
      </w:r>
    </w:p>
    <w:p w14:paraId="684C50CA">
      <w:pPr>
        <w:pStyle w:val="292"/>
        <w:adjustRightInd w:val="0"/>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7.2中标人向采购人技术人员提供的维护、维修、使用培训不少于两次。</w:t>
      </w:r>
    </w:p>
    <w:p w14:paraId="11E12FD5">
      <w:pPr>
        <w:pStyle w:val="292"/>
        <w:adjustRightInd w:val="0"/>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7.3中标人提供详细的培训计划表。</w:t>
      </w:r>
    </w:p>
    <w:p w14:paraId="7F12B3B2">
      <w:pPr>
        <w:pStyle w:val="292"/>
        <w:adjustRightInd w:val="0"/>
        <w:snapToGrid w:val="0"/>
        <w:spacing w:line="360" w:lineRule="auto"/>
        <w:ind w:firstLine="480" w:firstLineChars="200"/>
        <w:rPr>
          <w:rFonts w:ascii="宋体" w:hAnsi="宋体" w:cs="宋体"/>
          <w:b/>
          <w:bCs/>
          <w:color w:val="auto"/>
          <w:sz w:val="24"/>
          <w:szCs w:val="24"/>
        </w:rPr>
      </w:pPr>
      <w:r>
        <w:rPr>
          <w:rFonts w:hint="eastAsia" w:ascii="宋体" w:hAnsi="宋体" w:cs="宋体"/>
          <w:b/>
          <w:bCs/>
          <w:color w:val="auto"/>
          <w:sz w:val="24"/>
          <w:szCs w:val="24"/>
        </w:rPr>
        <w:t>八、安全文明施工：</w:t>
      </w:r>
    </w:p>
    <w:p w14:paraId="461941DD">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8.1执行政府有关文明施工规定，进行经常性的文明施工教育，完善安全文明施工制度建设。</w:t>
      </w:r>
    </w:p>
    <w:p w14:paraId="7CD5EA2B">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8.2必要时在施工红线内，作周边隔离或安全警示标语、标志。</w:t>
      </w:r>
    </w:p>
    <w:p w14:paraId="0461E869">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8.3责成值班人员打扫环境，看护好绿化，市政等公用设备，不因施工受到损坏。</w:t>
      </w:r>
    </w:p>
    <w:p w14:paraId="7AB2ED1F">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8.4各种材料必须按施工要求位置堆放整齐，保证施工通道平整、畅通，垃圾及时清运，做到工完场地清。</w:t>
      </w:r>
    </w:p>
    <w:p w14:paraId="0C8B5372">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8.5采取防粉尘、防噪音措施，把粉尘和噪音降到最低程度。</w:t>
      </w:r>
    </w:p>
    <w:p w14:paraId="22F826D9">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8.6施工现场灭严禁赌博，打架斗殴。</w:t>
      </w:r>
    </w:p>
    <w:p w14:paraId="3921D2B8">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8.7施工人员进场，应进行登记造册，签订安全承诺书，遵守采购人有关管理规定。</w:t>
      </w:r>
    </w:p>
    <w:p w14:paraId="0B5AE5A2">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8.8加强施工现场防火教育，落实消防措施，配备足够的灭火器材。</w:t>
      </w:r>
    </w:p>
    <w:p w14:paraId="49EEDCE0">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8.9对项目施工过程中可能发生的紧急情况、事故等应有明确的预案和措施。</w:t>
      </w:r>
    </w:p>
    <w:p w14:paraId="64F9C768">
      <w:pPr>
        <w:pStyle w:val="292"/>
        <w:adjustRightInd w:val="0"/>
        <w:snapToGrid w:val="0"/>
        <w:spacing w:line="360" w:lineRule="auto"/>
        <w:ind w:firstLine="480" w:firstLineChars="200"/>
        <w:rPr>
          <w:rFonts w:ascii="宋体" w:hAnsi="宋体" w:cs="宋体"/>
          <w:b/>
          <w:bCs/>
          <w:color w:val="auto"/>
          <w:sz w:val="24"/>
          <w:szCs w:val="24"/>
        </w:rPr>
      </w:pPr>
      <w:r>
        <w:rPr>
          <w:rFonts w:hint="eastAsia" w:ascii="宋体" w:hAnsi="宋体" w:cs="宋体"/>
          <w:b/>
          <w:bCs/>
          <w:color w:val="auto"/>
          <w:sz w:val="24"/>
          <w:szCs w:val="24"/>
        </w:rPr>
        <w:t>九、验收标准和方法：</w:t>
      </w:r>
    </w:p>
    <w:p w14:paraId="54602EE8">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9.1本项目按照一般程序进行验收。</w:t>
      </w:r>
    </w:p>
    <w:p w14:paraId="0EFBF3FC">
      <w:pPr>
        <w:pStyle w:val="292"/>
        <w:adjustRightInd w:val="0"/>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9.2项目验收国家有强制性规定的，按国家规定执行，验收费用由中标人承担，验收报告作为申请付款的凭证之一。</w:t>
      </w:r>
    </w:p>
    <w:p w14:paraId="7A74FF69">
      <w:pPr>
        <w:pStyle w:val="292"/>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9.3验收过程中产生纠纷的，由质量技术监督部门认定的检测机构检测,如为中标人原因造成的，由中标人承担检测费用；否则，由采购人承担。</w:t>
      </w:r>
    </w:p>
    <w:p w14:paraId="482EA559">
      <w:pPr>
        <w:adjustRightInd w:val="0"/>
        <w:snapToGrid w:val="0"/>
        <w:spacing w:line="336" w:lineRule="auto"/>
        <w:ind w:firstLine="480" w:firstLineChars="200"/>
        <w:rPr>
          <w:rStyle w:val="162"/>
          <w:color w:val="auto"/>
          <w:sz w:val="32"/>
          <w:szCs w:val="32"/>
        </w:rPr>
      </w:pPr>
      <w:r>
        <w:rPr>
          <w:rFonts w:hint="eastAsia" w:ascii="宋体" w:hAnsi="宋体" w:cs="宋体"/>
          <w:color w:val="auto"/>
          <w:sz w:val="24"/>
        </w:rPr>
        <w:t>9.4项目验收不合格，由成交人返工直至合格，有关返工、再行验收，以及给采购人造成的损失等费用由成交人承担。连续两次项目验收不合格的，采购人可终止合同，另行按规定选择其他供应商采购，由此带来的一切损失由中标人承担。</w:t>
      </w:r>
    </w:p>
    <w:p w14:paraId="6567A52D">
      <w:pPr>
        <w:rPr>
          <w:color w:val="auto"/>
        </w:rPr>
      </w:pPr>
      <w:bookmarkStart w:id="36" w:name="_Toc25823"/>
    </w:p>
    <w:p w14:paraId="36FE27EA">
      <w:pPr>
        <w:rPr>
          <w:color w:val="auto"/>
        </w:rPr>
      </w:pPr>
    </w:p>
    <w:p w14:paraId="51A08DFC">
      <w:pPr>
        <w:rPr>
          <w:color w:val="auto"/>
        </w:rPr>
      </w:pPr>
    </w:p>
    <w:p w14:paraId="0002E7D6">
      <w:pPr>
        <w:rPr>
          <w:color w:val="auto"/>
        </w:rPr>
      </w:pPr>
      <w:r>
        <w:rPr>
          <w:rFonts w:hint="eastAsia"/>
          <w:color w:val="auto"/>
        </w:rPr>
        <w:br w:type="page"/>
      </w:r>
    </w:p>
    <w:p w14:paraId="5B0F9B74">
      <w:pPr>
        <w:jc w:val="center"/>
        <w:rPr>
          <w:rFonts w:ascii="宋体" w:hAnsi="宋体"/>
          <w:b/>
          <w:color w:val="auto"/>
          <w:szCs w:val="44"/>
        </w:rPr>
      </w:pPr>
      <w:r>
        <w:rPr>
          <w:rStyle w:val="162"/>
          <w:rFonts w:hint="eastAsia"/>
          <w:color w:val="auto"/>
          <w:sz w:val="32"/>
          <w:szCs w:val="32"/>
        </w:rPr>
        <w:t>第六章 响应文件组成</w:t>
      </w:r>
      <w:bookmarkEnd w:id="36"/>
    </w:p>
    <w:p w14:paraId="3EEF4A3F">
      <w:pPr>
        <w:adjustRightInd w:val="0"/>
        <w:snapToGrid w:val="0"/>
        <w:ind w:firstLine="640" w:firstLineChars="200"/>
        <w:jc w:val="center"/>
        <w:rPr>
          <w:rFonts w:ascii="宋体" w:hAnsi="宋体"/>
          <w:b/>
          <w:color w:val="auto"/>
          <w:sz w:val="32"/>
          <w:szCs w:val="32"/>
        </w:rPr>
      </w:pPr>
    </w:p>
    <w:p w14:paraId="07B8D485">
      <w:pPr>
        <w:spacing w:line="340" w:lineRule="exact"/>
        <w:rPr>
          <w:rFonts w:ascii="宋体" w:hAnsi="宋体"/>
          <w:color w:val="auto"/>
        </w:rPr>
      </w:pPr>
      <w:r>
        <w:rPr>
          <w:rFonts w:hint="eastAsia" w:ascii="宋体" w:hAnsi="宋体"/>
          <w:color w:val="auto"/>
        </w:rPr>
        <w:t>供应商的响应文件应包含以下部分：</w:t>
      </w:r>
    </w:p>
    <w:p w14:paraId="04852AD1">
      <w:pPr>
        <w:adjustRightInd w:val="0"/>
        <w:snapToGrid w:val="0"/>
        <w:spacing w:line="340" w:lineRule="exact"/>
        <w:jc w:val="left"/>
        <w:rPr>
          <w:rFonts w:ascii="宋体" w:hAnsi="宋体"/>
          <w:b/>
          <w:color w:val="auto"/>
          <w:szCs w:val="21"/>
        </w:rPr>
      </w:pPr>
    </w:p>
    <w:p w14:paraId="654225F5">
      <w:pPr>
        <w:adjustRightInd w:val="0"/>
        <w:snapToGrid w:val="0"/>
        <w:spacing w:line="340" w:lineRule="exact"/>
        <w:jc w:val="left"/>
        <w:rPr>
          <w:rFonts w:ascii="宋体" w:hAnsi="宋体" w:cs="宋体"/>
          <w:b/>
          <w:color w:val="auto"/>
          <w:szCs w:val="21"/>
        </w:rPr>
      </w:pPr>
      <w:r>
        <w:rPr>
          <w:rFonts w:hint="eastAsia" w:ascii="宋体" w:hAnsi="宋体" w:cs="宋体"/>
          <w:b/>
          <w:color w:val="auto"/>
          <w:szCs w:val="21"/>
        </w:rPr>
        <w:t>一、磋商响应声明</w:t>
      </w:r>
    </w:p>
    <w:p w14:paraId="46BA0031">
      <w:pPr>
        <w:adjustRightInd w:val="0"/>
        <w:snapToGrid w:val="0"/>
        <w:spacing w:line="340" w:lineRule="exact"/>
        <w:ind w:firstLine="420" w:firstLineChars="200"/>
        <w:jc w:val="left"/>
        <w:rPr>
          <w:rFonts w:ascii="宋体" w:hAnsi="宋体" w:cs="宋体"/>
          <w:color w:val="auto"/>
          <w:szCs w:val="21"/>
        </w:rPr>
      </w:pPr>
      <w:r>
        <w:rPr>
          <w:rFonts w:hint="eastAsia" w:ascii="宋体" w:hAnsi="宋体" w:cs="宋体"/>
          <w:color w:val="auto"/>
          <w:szCs w:val="21"/>
        </w:rPr>
        <w:t>附件1：承诺函</w:t>
      </w:r>
    </w:p>
    <w:p w14:paraId="226546D3">
      <w:pPr>
        <w:adjustRightInd w:val="0"/>
        <w:snapToGrid w:val="0"/>
        <w:spacing w:line="340" w:lineRule="exact"/>
        <w:ind w:firstLine="420" w:firstLineChars="200"/>
        <w:jc w:val="left"/>
        <w:rPr>
          <w:rFonts w:ascii="宋体" w:hAnsi="宋体" w:cs="宋体"/>
          <w:color w:val="auto"/>
          <w:szCs w:val="21"/>
        </w:rPr>
      </w:pPr>
      <w:r>
        <w:rPr>
          <w:rFonts w:hint="eastAsia" w:ascii="宋体" w:hAnsi="宋体" w:cs="宋体"/>
          <w:color w:val="auto"/>
          <w:szCs w:val="21"/>
        </w:rPr>
        <w:t>附件2：法定代表人身份证明</w:t>
      </w:r>
    </w:p>
    <w:p w14:paraId="643120E0">
      <w:pPr>
        <w:adjustRightInd w:val="0"/>
        <w:snapToGrid w:val="0"/>
        <w:spacing w:line="340" w:lineRule="exact"/>
        <w:ind w:firstLine="420" w:firstLineChars="200"/>
        <w:jc w:val="left"/>
        <w:rPr>
          <w:rFonts w:ascii="宋体" w:hAnsi="宋体" w:cs="宋体"/>
          <w:color w:val="auto"/>
          <w:szCs w:val="21"/>
        </w:rPr>
      </w:pPr>
      <w:r>
        <w:rPr>
          <w:rFonts w:hint="eastAsia" w:ascii="宋体" w:hAnsi="宋体" w:cs="宋体"/>
          <w:color w:val="auto"/>
          <w:szCs w:val="21"/>
        </w:rPr>
        <w:t>附件3：法定代表人授权书</w:t>
      </w:r>
    </w:p>
    <w:p w14:paraId="3053FDDE">
      <w:pPr>
        <w:adjustRightInd w:val="0"/>
        <w:snapToGrid w:val="0"/>
        <w:spacing w:line="340" w:lineRule="exact"/>
        <w:jc w:val="left"/>
        <w:rPr>
          <w:rFonts w:ascii="宋体" w:hAnsi="宋体" w:cs="宋体"/>
          <w:b/>
          <w:color w:val="auto"/>
          <w:szCs w:val="21"/>
        </w:rPr>
      </w:pPr>
      <w:r>
        <w:rPr>
          <w:rFonts w:hint="eastAsia" w:ascii="宋体" w:hAnsi="宋体" w:cs="宋体"/>
          <w:b/>
          <w:color w:val="auto"/>
          <w:szCs w:val="21"/>
        </w:rPr>
        <w:t>二、保证金</w:t>
      </w:r>
    </w:p>
    <w:p w14:paraId="12EB2BBD">
      <w:pPr>
        <w:adjustRightInd w:val="0"/>
        <w:snapToGrid w:val="0"/>
        <w:spacing w:line="340" w:lineRule="exact"/>
        <w:ind w:firstLine="420" w:firstLineChars="200"/>
        <w:jc w:val="left"/>
        <w:rPr>
          <w:rFonts w:ascii="宋体" w:hAnsi="宋体" w:cs="宋体"/>
          <w:b/>
          <w:bCs/>
          <w:color w:val="auto"/>
          <w:szCs w:val="21"/>
        </w:rPr>
      </w:pPr>
      <w:r>
        <w:rPr>
          <w:rFonts w:hint="eastAsia" w:ascii="宋体" w:hAnsi="宋体" w:cs="宋体"/>
          <w:color w:val="auto"/>
          <w:szCs w:val="21"/>
        </w:rPr>
        <w:t>附件4：</w:t>
      </w:r>
      <w:r>
        <w:rPr>
          <w:rFonts w:hint="eastAsia" w:ascii="宋体" w:hAnsi="宋体" w:cs="宋体"/>
          <w:bCs/>
          <w:color w:val="auto"/>
          <w:szCs w:val="21"/>
        </w:rPr>
        <w:t>采购代理服务费承诺书</w:t>
      </w:r>
    </w:p>
    <w:p w14:paraId="66DA69E5">
      <w:pPr>
        <w:adjustRightInd w:val="0"/>
        <w:snapToGrid w:val="0"/>
        <w:spacing w:line="340" w:lineRule="exact"/>
        <w:jc w:val="left"/>
        <w:rPr>
          <w:rFonts w:ascii="宋体" w:hAnsi="宋体" w:cs="宋体"/>
          <w:b/>
          <w:color w:val="auto"/>
          <w:szCs w:val="21"/>
        </w:rPr>
      </w:pPr>
      <w:r>
        <w:rPr>
          <w:rFonts w:hint="eastAsia" w:ascii="宋体" w:hAnsi="宋体" w:cs="宋体"/>
          <w:b/>
          <w:color w:val="auto"/>
          <w:szCs w:val="21"/>
        </w:rPr>
        <w:t>三、供应商的资格证明材料</w:t>
      </w:r>
    </w:p>
    <w:p w14:paraId="00600D13">
      <w:pPr>
        <w:adjustRightInd w:val="0"/>
        <w:snapToGrid w:val="0"/>
        <w:spacing w:line="340" w:lineRule="exact"/>
        <w:ind w:firstLine="420" w:firstLineChars="200"/>
        <w:jc w:val="left"/>
        <w:rPr>
          <w:rFonts w:ascii="宋体" w:hAnsi="宋体" w:cs="宋体"/>
          <w:color w:val="auto"/>
          <w:szCs w:val="21"/>
        </w:rPr>
      </w:pPr>
      <w:r>
        <w:rPr>
          <w:rFonts w:hint="eastAsia" w:ascii="宋体" w:hAnsi="宋体" w:cs="宋体"/>
          <w:color w:val="auto"/>
          <w:szCs w:val="21"/>
        </w:rPr>
        <w:t>附件5：供应商基本情况表</w:t>
      </w:r>
    </w:p>
    <w:p w14:paraId="7A72B006">
      <w:pPr>
        <w:adjustRightInd w:val="0"/>
        <w:snapToGrid w:val="0"/>
        <w:spacing w:line="340" w:lineRule="exact"/>
        <w:ind w:firstLine="420" w:firstLineChars="200"/>
        <w:jc w:val="left"/>
        <w:rPr>
          <w:rFonts w:ascii="宋体" w:hAnsi="宋体" w:cs="宋体"/>
          <w:color w:val="auto"/>
          <w:szCs w:val="21"/>
        </w:rPr>
      </w:pPr>
      <w:r>
        <w:rPr>
          <w:rFonts w:hint="eastAsia" w:ascii="宋体" w:hAnsi="宋体" w:cs="宋体"/>
          <w:color w:val="auto"/>
          <w:szCs w:val="21"/>
        </w:rPr>
        <w:t>附件5-1：联合体协议</w:t>
      </w:r>
    </w:p>
    <w:p w14:paraId="19D8BFB5">
      <w:pPr>
        <w:adjustRightInd w:val="0"/>
        <w:snapToGrid w:val="0"/>
        <w:spacing w:line="340" w:lineRule="exact"/>
        <w:ind w:firstLine="420" w:firstLineChars="200"/>
        <w:rPr>
          <w:rFonts w:ascii="宋体" w:hAnsi="宋体" w:cs="宋体"/>
          <w:color w:val="auto"/>
          <w:szCs w:val="21"/>
        </w:rPr>
      </w:pPr>
      <w:r>
        <w:rPr>
          <w:rFonts w:hint="eastAsia" w:ascii="宋体" w:hAnsi="宋体" w:cs="宋体"/>
          <w:color w:val="auto"/>
          <w:szCs w:val="21"/>
        </w:rPr>
        <w:t>附件6：供应商资格证明材料</w:t>
      </w:r>
    </w:p>
    <w:p w14:paraId="0DC2DB72">
      <w:pPr>
        <w:pStyle w:val="28"/>
        <w:adjustRightInd w:val="0"/>
        <w:snapToGrid w:val="0"/>
        <w:spacing w:line="340" w:lineRule="exact"/>
        <w:rPr>
          <w:rFonts w:hAnsi="宋体" w:cs="宋体"/>
          <w:b/>
          <w:color w:val="auto"/>
        </w:rPr>
      </w:pPr>
      <w:r>
        <w:rPr>
          <w:rFonts w:hint="eastAsia" w:hAnsi="宋体" w:cs="宋体"/>
          <w:b/>
          <w:color w:val="auto"/>
        </w:rPr>
        <w:t>四、服务方案</w:t>
      </w:r>
    </w:p>
    <w:p w14:paraId="23535AB9">
      <w:pPr>
        <w:adjustRightInd w:val="0"/>
        <w:snapToGrid w:val="0"/>
        <w:spacing w:line="340" w:lineRule="exact"/>
        <w:rPr>
          <w:rFonts w:ascii="宋体" w:hAnsi="宋体" w:cs="宋体"/>
          <w:b/>
          <w:color w:val="auto"/>
        </w:rPr>
      </w:pPr>
      <w:r>
        <w:rPr>
          <w:rFonts w:hint="eastAsia" w:hAnsi="宋体" w:cs="宋体"/>
          <w:b/>
          <w:color w:val="auto"/>
        </w:rPr>
        <w:t>五、</w:t>
      </w:r>
      <w:r>
        <w:rPr>
          <w:rFonts w:hint="eastAsia" w:ascii="宋体" w:hAnsi="宋体" w:cs="宋体"/>
          <w:b/>
          <w:color w:val="auto"/>
        </w:rPr>
        <w:t>技术/商务响应与偏离表</w:t>
      </w:r>
    </w:p>
    <w:p w14:paraId="45404F08">
      <w:pPr>
        <w:adjustRightInd w:val="0"/>
        <w:snapToGrid w:val="0"/>
        <w:spacing w:line="340" w:lineRule="exact"/>
        <w:rPr>
          <w:rFonts w:ascii="宋体" w:hAnsi="宋体" w:cs="宋体"/>
          <w:b/>
          <w:color w:val="auto"/>
        </w:rPr>
      </w:pPr>
      <w:r>
        <w:rPr>
          <w:rFonts w:hint="eastAsia" w:ascii="宋体" w:hAnsi="宋体" w:cs="宋体"/>
          <w:b/>
          <w:color w:val="auto"/>
        </w:rPr>
        <w:t>六、享受政府采购政策优惠的证明资料</w:t>
      </w:r>
    </w:p>
    <w:p w14:paraId="5EB49D1A">
      <w:pPr>
        <w:adjustRightInd w:val="0"/>
        <w:snapToGrid w:val="0"/>
        <w:spacing w:line="340" w:lineRule="exact"/>
        <w:ind w:firstLine="420" w:firstLineChars="200"/>
        <w:rPr>
          <w:rFonts w:ascii="宋体" w:hAnsi="宋体" w:cs="宋体"/>
          <w:bCs/>
          <w:color w:val="auto"/>
        </w:rPr>
      </w:pPr>
      <w:r>
        <w:rPr>
          <w:rFonts w:hint="eastAsia" w:ascii="宋体" w:hAnsi="宋体" w:cs="宋体"/>
          <w:bCs/>
          <w:color w:val="auto"/>
        </w:rPr>
        <w:t>附件7：中小企业声明函</w:t>
      </w:r>
    </w:p>
    <w:p w14:paraId="084DD659">
      <w:pPr>
        <w:adjustRightInd w:val="0"/>
        <w:snapToGrid w:val="0"/>
        <w:spacing w:line="340" w:lineRule="exact"/>
        <w:ind w:firstLine="420" w:firstLineChars="200"/>
        <w:rPr>
          <w:rFonts w:ascii="宋体" w:hAnsi="宋体" w:cs="宋体"/>
          <w:b/>
          <w:color w:val="auto"/>
        </w:rPr>
      </w:pPr>
      <w:r>
        <w:rPr>
          <w:rFonts w:hint="eastAsia" w:ascii="宋体" w:hAnsi="宋体" w:cs="宋体"/>
          <w:bCs/>
          <w:color w:val="auto"/>
        </w:rPr>
        <w:t>附件7-1：残疾人福利性单位声明函</w:t>
      </w:r>
    </w:p>
    <w:p w14:paraId="48525BCC">
      <w:pPr>
        <w:pStyle w:val="28"/>
        <w:adjustRightInd w:val="0"/>
        <w:snapToGrid w:val="0"/>
        <w:spacing w:line="340" w:lineRule="exact"/>
        <w:ind w:firstLine="420" w:firstLineChars="200"/>
        <w:rPr>
          <w:rFonts w:hAnsi="宋体" w:cs="宋体"/>
          <w:bCs/>
          <w:color w:val="auto"/>
        </w:rPr>
      </w:pPr>
      <w:r>
        <w:rPr>
          <w:rFonts w:hint="eastAsia" w:hAnsi="宋体" w:cs="宋体"/>
          <w:bCs/>
          <w:color w:val="auto"/>
        </w:rPr>
        <w:t>附件7-2：监狱企业证明资料</w:t>
      </w:r>
    </w:p>
    <w:p w14:paraId="41E4932E">
      <w:pPr>
        <w:pStyle w:val="28"/>
        <w:adjustRightInd w:val="0"/>
        <w:snapToGrid w:val="0"/>
        <w:spacing w:line="340" w:lineRule="exact"/>
        <w:ind w:firstLine="420" w:firstLineChars="200"/>
        <w:rPr>
          <w:rFonts w:hAnsi="宋体" w:cs="宋体"/>
          <w:bCs/>
          <w:color w:val="auto"/>
        </w:rPr>
      </w:pPr>
      <w:r>
        <w:rPr>
          <w:rFonts w:hint="eastAsia" w:hAnsi="宋体" w:cs="宋体"/>
          <w:bCs/>
          <w:color w:val="auto"/>
        </w:rPr>
        <w:t>附件8：“节能产品”、“环境标志产品”证明材料</w:t>
      </w:r>
    </w:p>
    <w:p w14:paraId="7753B888">
      <w:pPr>
        <w:pStyle w:val="28"/>
        <w:adjustRightInd w:val="0"/>
        <w:snapToGrid w:val="0"/>
        <w:spacing w:line="340" w:lineRule="exact"/>
        <w:rPr>
          <w:rFonts w:hAnsi="宋体" w:cs="宋体"/>
          <w:b/>
          <w:color w:val="auto"/>
        </w:rPr>
      </w:pPr>
      <w:r>
        <w:rPr>
          <w:rFonts w:hint="eastAsia" w:hAnsi="宋体" w:cs="宋体"/>
          <w:b/>
          <w:color w:val="auto"/>
        </w:rPr>
        <w:t>七、报价一览表及报价文件</w:t>
      </w:r>
    </w:p>
    <w:p w14:paraId="7E3FB465">
      <w:pPr>
        <w:adjustRightInd w:val="0"/>
        <w:snapToGrid w:val="0"/>
        <w:spacing w:line="340" w:lineRule="exact"/>
        <w:ind w:firstLine="420" w:firstLineChars="200"/>
        <w:jc w:val="left"/>
        <w:rPr>
          <w:rFonts w:ascii="宋体" w:hAnsi="宋体" w:cs="宋体"/>
          <w:color w:val="auto"/>
          <w:szCs w:val="21"/>
        </w:rPr>
      </w:pPr>
      <w:r>
        <w:rPr>
          <w:rFonts w:hint="eastAsia" w:ascii="宋体" w:hAnsi="宋体" w:cs="宋体"/>
          <w:color w:val="auto"/>
          <w:szCs w:val="21"/>
        </w:rPr>
        <w:t>附件9：</w:t>
      </w:r>
      <w:r>
        <w:rPr>
          <w:rFonts w:hint="eastAsia" w:ascii="宋体" w:hAnsi="宋体" w:cs="宋体"/>
          <w:bCs/>
          <w:color w:val="auto"/>
          <w:szCs w:val="21"/>
        </w:rPr>
        <w:t>报价文件</w:t>
      </w:r>
    </w:p>
    <w:p w14:paraId="431FF269">
      <w:pPr>
        <w:pStyle w:val="28"/>
        <w:adjustRightInd w:val="0"/>
        <w:snapToGrid w:val="0"/>
        <w:spacing w:line="340" w:lineRule="exact"/>
        <w:rPr>
          <w:rFonts w:hAnsi="宋体" w:cs="宋体"/>
          <w:b/>
          <w:color w:val="auto"/>
        </w:rPr>
      </w:pPr>
      <w:r>
        <w:rPr>
          <w:rFonts w:hint="eastAsia" w:hAnsi="宋体" w:cs="宋体"/>
          <w:b/>
          <w:color w:val="auto"/>
        </w:rPr>
        <w:t>八、供应商认为需提供的其它资料</w:t>
      </w:r>
    </w:p>
    <w:p w14:paraId="3435D424">
      <w:pPr>
        <w:pStyle w:val="28"/>
        <w:adjustRightInd w:val="0"/>
        <w:snapToGrid w:val="0"/>
        <w:spacing w:line="340" w:lineRule="exact"/>
        <w:rPr>
          <w:rFonts w:hAnsi="宋体" w:cs="宋体"/>
          <w:b/>
          <w:color w:val="auto"/>
        </w:rPr>
      </w:pPr>
      <w:r>
        <w:rPr>
          <w:rFonts w:hint="eastAsia" w:hAnsi="宋体" w:cs="宋体"/>
          <w:b/>
          <w:color w:val="auto"/>
        </w:rPr>
        <w:t>九、最后报价</w:t>
      </w:r>
    </w:p>
    <w:p w14:paraId="2D6FB63E">
      <w:pPr>
        <w:spacing w:line="360" w:lineRule="exact"/>
        <w:jc w:val="center"/>
        <w:rPr>
          <w:rFonts w:ascii="宋体" w:hAnsi="宋体"/>
          <w:b/>
          <w:color w:val="auto"/>
          <w:sz w:val="32"/>
          <w:szCs w:val="32"/>
        </w:rPr>
      </w:pPr>
    </w:p>
    <w:p w14:paraId="5232100C">
      <w:pPr>
        <w:spacing w:line="360" w:lineRule="exact"/>
        <w:jc w:val="center"/>
        <w:rPr>
          <w:rFonts w:ascii="宋体" w:hAnsi="宋体"/>
          <w:b/>
          <w:color w:val="auto"/>
          <w:sz w:val="32"/>
          <w:szCs w:val="32"/>
        </w:rPr>
      </w:pPr>
    </w:p>
    <w:p w14:paraId="5FEBDBA3">
      <w:pPr>
        <w:rPr>
          <w:rFonts w:ascii="宋体" w:hAnsi="宋体"/>
          <w:b/>
          <w:color w:val="auto"/>
          <w:sz w:val="32"/>
          <w:szCs w:val="32"/>
        </w:rPr>
      </w:pPr>
    </w:p>
    <w:p w14:paraId="6B1DB321">
      <w:pPr>
        <w:rPr>
          <w:color w:val="auto"/>
        </w:rPr>
      </w:pPr>
    </w:p>
    <w:p w14:paraId="5DBE9B30">
      <w:pPr>
        <w:spacing w:line="360" w:lineRule="exact"/>
        <w:jc w:val="center"/>
        <w:rPr>
          <w:rFonts w:ascii="宋体" w:hAnsi="宋体"/>
          <w:b/>
          <w:color w:val="auto"/>
          <w:sz w:val="32"/>
          <w:szCs w:val="32"/>
        </w:rPr>
      </w:pPr>
    </w:p>
    <w:p w14:paraId="0CC7A10A">
      <w:pPr>
        <w:spacing w:line="360" w:lineRule="exact"/>
        <w:jc w:val="center"/>
        <w:rPr>
          <w:rFonts w:ascii="宋体" w:hAnsi="宋体"/>
          <w:b/>
          <w:color w:val="auto"/>
          <w:sz w:val="32"/>
          <w:szCs w:val="32"/>
        </w:rPr>
      </w:pPr>
    </w:p>
    <w:p w14:paraId="55F27FDC">
      <w:pPr>
        <w:rPr>
          <w:color w:val="auto"/>
        </w:rPr>
      </w:pPr>
    </w:p>
    <w:p w14:paraId="088C7037">
      <w:pPr>
        <w:spacing w:line="360" w:lineRule="exact"/>
        <w:jc w:val="center"/>
        <w:rPr>
          <w:rFonts w:ascii="宋体" w:hAnsi="宋体"/>
          <w:b/>
          <w:color w:val="auto"/>
          <w:sz w:val="32"/>
          <w:szCs w:val="32"/>
        </w:rPr>
      </w:pPr>
    </w:p>
    <w:p w14:paraId="49B9BB41">
      <w:pPr>
        <w:spacing w:line="360" w:lineRule="exact"/>
        <w:rPr>
          <w:rFonts w:ascii="宋体" w:hAnsi="宋体"/>
          <w:b/>
          <w:color w:val="auto"/>
          <w:sz w:val="32"/>
          <w:szCs w:val="32"/>
        </w:rPr>
      </w:pPr>
    </w:p>
    <w:p w14:paraId="5D8990C9">
      <w:pPr>
        <w:pStyle w:val="36"/>
        <w:rPr>
          <w:color w:val="auto"/>
        </w:rPr>
      </w:pPr>
    </w:p>
    <w:p w14:paraId="6D07ED5E">
      <w:pPr>
        <w:spacing w:line="360" w:lineRule="exact"/>
        <w:jc w:val="center"/>
        <w:rPr>
          <w:rFonts w:ascii="宋体" w:hAnsi="宋体"/>
          <w:b/>
          <w:color w:val="auto"/>
          <w:sz w:val="32"/>
          <w:szCs w:val="32"/>
        </w:rPr>
      </w:pPr>
    </w:p>
    <w:p w14:paraId="6D2A4701">
      <w:pPr>
        <w:spacing w:line="360" w:lineRule="exact"/>
        <w:jc w:val="center"/>
        <w:rPr>
          <w:rFonts w:ascii="宋体" w:hAnsi="宋体"/>
          <w:b/>
          <w:color w:val="auto"/>
          <w:sz w:val="32"/>
          <w:szCs w:val="32"/>
        </w:rPr>
      </w:pPr>
      <w:bookmarkStart w:id="37" w:name="_Toc14556"/>
      <w:bookmarkStart w:id="38" w:name="_Toc23438"/>
    </w:p>
    <w:p w14:paraId="622E154C">
      <w:pPr>
        <w:spacing w:line="360" w:lineRule="exact"/>
        <w:jc w:val="center"/>
        <w:outlineLvl w:val="1"/>
        <w:rPr>
          <w:rFonts w:ascii="宋体" w:hAnsi="宋体"/>
          <w:b/>
          <w:color w:val="auto"/>
          <w:sz w:val="32"/>
          <w:szCs w:val="32"/>
        </w:rPr>
      </w:pPr>
      <w:bookmarkStart w:id="39" w:name="_Toc14497"/>
      <w:r>
        <w:rPr>
          <w:rFonts w:hint="eastAsia" w:ascii="宋体" w:hAnsi="宋体"/>
          <w:b/>
          <w:color w:val="auto"/>
          <w:sz w:val="32"/>
          <w:szCs w:val="32"/>
        </w:rPr>
        <w:t>一、磋商响应声明</w:t>
      </w:r>
      <w:bookmarkEnd w:id="37"/>
      <w:bookmarkEnd w:id="38"/>
      <w:bookmarkEnd w:id="39"/>
    </w:p>
    <w:p w14:paraId="5556052A">
      <w:pPr>
        <w:adjustRightInd w:val="0"/>
        <w:snapToGrid w:val="0"/>
        <w:spacing w:line="360" w:lineRule="auto"/>
        <w:rPr>
          <w:rFonts w:ascii="宋体" w:hAnsi="宋体"/>
          <w:color w:val="auto"/>
          <w:sz w:val="24"/>
        </w:rPr>
      </w:pPr>
    </w:p>
    <w:p w14:paraId="6D58F539">
      <w:pPr>
        <w:adjustRightInd w:val="0"/>
        <w:snapToGrid w:val="0"/>
        <w:spacing w:line="360" w:lineRule="auto"/>
        <w:rPr>
          <w:rFonts w:ascii="宋体" w:hAnsi="宋体"/>
          <w:color w:val="auto"/>
          <w:szCs w:val="21"/>
        </w:rPr>
      </w:pPr>
      <w:r>
        <w:rPr>
          <w:rFonts w:hint="eastAsia" w:ascii="宋体" w:hAnsi="宋体"/>
          <w:color w:val="auto"/>
          <w:szCs w:val="21"/>
        </w:rPr>
        <w:t>致常德众益项目管理咨询有限公司：</w:t>
      </w:r>
    </w:p>
    <w:p w14:paraId="71C55632">
      <w:pPr>
        <w:adjustRightInd w:val="0"/>
        <w:snapToGrid w:val="0"/>
        <w:spacing w:line="360" w:lineRule="auto"/>
        <w:ind w:firstLine="420" w:firstLineChars="200"/>
        <w:rPr>
          <w:rFonts w:ascii="宋体" w:hAnsi="宋体"/>
          <w:color w:val="auto"/>
          <w:szCs w:val="21"/>
        </w:rPr>
      </w:pPr>
    </w:p>
    <w:p w14:paraId="756614CB">
      <w:pPr>
        <w:adjustRightInd w:val="0"/>
        <w:snapToGrid w:val="0"/>
        <w:spacing w:line="360" w:lineRule="auto"/>
        <w:ind w:firstLine="420" w:firstLineChars="200"/>
        <w:rPr>
          <w:rFonts w:ascii="宋体" w:hAnsi="宋体"/>
          <w:color w:val="auto"/>
          <w:szCs w:val="21"/>
          <w:u w:val="single"/>
        </w:rPr>
      </w:pPr>
      <w:r>
        <w:rPr>
          <w:rFonts w:hint="eastAsia" w:ascii="宋体" w:hAnsi="宋体"/>
          <w:color w:val="auto"/>
          <w:szCs w:val="21"/>
        </w:rPr>
        <w:t>我方已仔细研究了</w:t>
      </w:r>
      <w:r>
        <w:rPr>
          <w:rFonts w:hint="eastAsia" w:ascii="宋体" w:hAnsi="宋体"/>
          <w:color w:val="auto"/>
          <w:szCs w:val="21"/>
          <w:u w:val="single"/>
        </w:rPr>
        <w:t xml:space="preserve">                    (</w:t>
      </w:r>
      <w:r>
        <w:rPr>
          <w:rFonts w:hint="eastAsia" w:ascii="宋体" w:hAnsi="宋体"/>
          <w:color w:val="auto"/>
          <w:szCs w:val="21"/>
        </w:rPr>
        <w:t>项目名称)的竞争性磋商文件（</w:t>
      </w:r>
      <w:r>
        <w:rPr>
          <w:rFonts w:hint="eastAsia" w:ascii="宋体" w:hAnsi="宋体"/>
          <w:color w:val="auto"/>
          <w:szCs w:val="21"/>
          <w:lang w:eastAsia="zh-CN"/>
        </w:rPr>
        <w:t>政府采购编号</w:t>
      </w: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rPr>
        <w:t xml:space="preserve"> ；委托代理编号</w:t>
      </w:r>
      <w:r>
        <w:rPr>
          <w:rFonts w:hint="eastAsia" w:ascii="宋体" w:hAnsi="宋体"/>
          <w:color w:val="auto"/>
          <w:szCs w:val="21"/>
          <w:u w:val="single"/>
        </w:rPr>
        <w:t xml:space="preserve">           </w:t>
      </w:r>
      <w:r>
        <w:rPr>
          <w:rFonts w:hint="eastAsia" w:ascii="宋体" w:hAnsi="宋体"/>
          <w:color w:val="auto"/>
          <w:szCs w:val="21"/>
        </w:rPr>
        <w:t>；</w:t>
      </w:r>
      <w:r>
        <w:rPr>
          <w:rFonts w:hint="eastAsia" w:ascii="宋体" w:hAnsi="宋体"/>
          <w:color w:val="auto"/>
          <w:szCs w:val="21"/>
          <w:lang w:val="en-US" w:eastAsia="zh-CN"/>
        </w:rPr>
        <w:t>包</w:t>
      </w:r>
      <w:r>
        <w:rPr>
          <w:rFonts w:hint="eastAsia" w:ascii="宋体" w:hAnsi="宋体"/>
          <w:color w:val="auto"/>
          <w:szCs w:val="21"/>
        </w:rPr>
        <w:t>号</w:t>
      </w:r>
      <w:r>
        <w:rPr>
          <w:rFonts w:hint="eastAsia" w:ascii="宋体" w:hAnsi="宋体"/>
          <w:color w:val="auto"/>
          <w:szCs w:val="21"/>
          <w:u w:val="single"/>
        </w:rPr>
        <w:t xml:space="preserve">           </w:t>
      </w:r>
      <w:r>
        <w:rPr>
          <w:rFonts w:hint="eastAsia" w:ascii="宋体" w:hAnsi="宋体"/>
          <w:color w:val="auto"/>
          <w:szCs w:val="21"/>
        </w:rPr>
        <w:t>）的全部内容，</w:t>
      </w:r>
      <w:r>
        <w:rPr>
          <w:rFonts w:hint="eastAsia" w:ascii="宋体" w:hAnsi="宋体"/>
          <w:color w:val="auto"/>
        </w:rPr>
        <w:t>知悉参加竞争性磋商采购活动的风险，我方承诺接受磋商文件的全部条款且无任何异议。</w:t>
      </w:r>
    </w:p>
    <w:p w14:paraId="590FF5DA">
      <w:pPr>
        <w:pStyle w:val="28"/>
        <w:adjustRightInd w:val="0"/>
        <w:snapToGrid w:val="0"/>
        <w:spacing w:line="360" w:lineRule="auto"/>
        <w:ind w:firstLine="420" w:firstLineChars="200"/>
        <w:rPr>
          <w:rFonts w:hAnsi="宋体"/>
          <w:color w:val="auto"/>
        </w:rPr>
      </w:pPr>
      <w:r>
        <w:rPr>
          <w:rFonts w:hint="eastAsia" w:hAnsi="宋体"/>
          <w:color w:val="auto"/>
        </w:rPr>
        <w:t>一、我方同意在磋商文件中规定的提交首次响应文件截止时间起</w:t>
      </w:r>
      <w:r>
        <w:rPr>
          <w:rFonts w:hint="eastAsia" w:hAnsi="宋体"/>
          <w:color w:val="auto"/>
          <w:u w:val="single"/>
        </w:rPr>
        <w:t xml:space="preserve">    </w:t>
      </w:r>
      <w:r>
        <w:rPr>
          <w:rFonts w:hint="eastAsia" w:hAnsi="宋体"/>
          <w:color w:val="auto"/>
        </w:rPr>
        <w:t>日内(响应文件有效期)遵守本响应文件中的承诺且在此期限期满之前均具有法律约束力。</w:t>
      </w:r>
    </w:p>
    <w:p w14:paraId="41774070">
      <w:pPr>
        <w:pStyle w:val="28"/>
        <w:adjustRightInd w:val="0"/>
        <w:snapToGrid w:val="0"/>
        <w:spacing w:line="360" w:lineRule="auto"/>
        <w:ind w:firstLine="420" w:firstLineChars="200"/>
        <w:rPr>
          <w:rFonts w:hAnsi="宋体"/>
          <w:bCs/>
          <w:color w:val="auto"/>
        </w:rPr>
      </w:pPr>
      <w:r>
        <w:rPr>
          <w:rFonts w:hint="eastAsia" w:hAnsi="宋体"/>
          <w:color w:val="auto"/>
        </w:rPr>
        <w:t>二、我方提交响应文件正本</w:t>
      </w:r>
      <w:r>
        <w:rPr>
          <w:rFonts w:hint="eastAsia" w:hAnsi="宋体"/>
          <w:color w:val="auto"/>
          <w:u w:val="single"/>
        </w:rPr>
        <w:t xml:space="preserve">      </w:t>
      </w:r>
      <w:r>
        <w:rPr>
          <w:rFonts w:hint="eastAsia" w:hAnsi="宋体"/>
          <w:color w:val="auto"/>
        </w:rPr>
        <w:t>份和副本</w:t>
      </w:r>
      <w:r>
        <w:rPr>
          <w:rFonts w:hint="eastAsia" w:hAnsi="宋体"/>
          <w:color w:val="auto"/>
          <w:u w:val="single"/>
        </w:rPr>
        <w:t xml:space="preserve">      </w:t>
      </w:r>
      <w:r>
        <w:rPr>
          <w:rFonts w:hint="eastAsia" w:hAnsi="宋体"/>
          <w:color w:val="auto"/>
        </w:rPr>
        <w:t>份，电子文件</w:t>
      </w:r>
      <w:r>
        <w:rPr>
          <w:rFonts w:hint="eastAsia" w:hAnsi="宋体"/>
          <w:color w:val="auto"/>
          <w:u w:val="single"/>
        </w:rPr>
        <w:t xml:space="preserve">      </w:t>
      </w:r>
      <w:r>
        <w:rPr>
          <w:rFonts w:hint="eastAsia" w:hAnsi="宋体"/>
          <w:color w:val="auto"/>
        </w:rPr>
        <w:t>份，并保证响应文件提供的数据和材料是真实、准确的。否则，愿承担《政府采购法》</w:t>
      </w:r>
      <w:r>
        <w:rPr>
          <w:rFonts w:hint="eastAsia" w:hAnsi="宋体"/>
          <w:bCs/>
          <w:color w:val="auto"/>
        </w:rPr>
        <w:t>第七十七条规定的法律责任。</w:t>
      </w:r>
    </w:p>
    <w:p w14:paraId="5F92EE2B">
      <w:pPr>
        <w:pStyle w:val="28"/>
        <w:adjustRightInd w:val="0"/>
        <w:snapToGrid w:val="0"/>
        <w:spacing w:line="360" w:lineRule="auto"/>
        <w:ind w:firstLine="420" w:firstLineChars="200"/>
        <w:rPr>
          <w:rFonts w:hAnsi="宋体"/>
          <w:color w:val="auto"/>
        </w:rPr>
      </w:pPr>
      <w:r>
        <w:rPr>
          <w:rFonts w:hint="eastAsia" w:hAnsi="宋体"/>
          <w:color w:val="auto"/>
        </w:rPr>
        <w:t>三、我方愿意向贵方提供任何与本项采购有关的数据、情况和技术资料。若贵方需要，我方愿意提供我方作出的一切承诺的证明材料。</w:t>
      </w:r>
    </w:p>
    <w:p w14:paraId="0E34B7BB">
      <w:pPr>
        <w:pStyle w:val="28"/>
        <w:adjustRightInd w:val="0"/>
        <w:snapToGrid w:val="0"/>
        <w:spacing w:line="360" w:lineRule="auto"/>
        <w:ind w:firstLine="420" w:firstLineChars="200"/>
        <w:rPr>
          <w:rFonts w:hAnsi="宋体"/>
          <w:color w:val="auto"/>
        </w:rPr>
      </w:pPr>
      <w:r>
        <w:rPr>
          <w:rFonts w:hint="eastAsia" w:hAnsi="宋体"/>
          <w:color w:val="auto"/>
        </w:rPr>
        <w:t>四、我方愿意按磋商文件规定和磋商小组要求重新提交响应文件和最后报价。</w:t>
      </w:r>
    </w:p>
    <w:p w14:paraId="5700318F">
      <w:pPr>
        <w:pStyle w:val="28"/>
        <w:adjustRightInd w:val="0"/>
        <w:snapToGrid w:val="0"/>
        <w:spacing w:line="360" w:lineRule="auto"/>
        <w:ind w:firstLine="420" w:firstLineChars="200"/>
        <w:rPr>
          <w:rFonts w:hAnsi="宋体"/>
          <w:color w:val="auto"/>
        </w:rPr>
      </w:pPr>
      <w:r>
        <w:rPr>
          <w:rFonts w:hint="eastAsia" w:hAnsi="宋体"/>
          <w:color w:val="auto"/>
        </w:rPr>
        <w:t>五、我方承诺遵守《中华人民共和国政府采购法》的有关规定，保证在获得成交资格后，按照磋商文件确定的事项签订政府采购合同，履行双方所签订的合同，并承担合同规定的责任和义务。</w:t>
      </w:r>
    </w:p>
    <w:p w14:paraId="282E7A05">
      <w:pPr>
        <w:pStyle w:val="28"/>
        <w:adjustRightInd w:val="0"/>
        <w:snapToGrid w:val="0"/>
        <w:spacing w:line="360" w:lineRule="auto"/>
        <w:ind w:firstLine="420" w:firstLineChars="200"/>
        <w:rPr>
          <w:rFonts w:hAnsi="宋体"/>
          <w:color w:val="auto"/>
        </w:rPr>
      </w:pPr>
    </w:p>
    <w:p w14:paraId="126D9850">
      <w:pPr>
        <w:adjustRightInd w:val="0"/>
        <w:snapToGrid w:val="0"/>
        <w:spacing w:line="360" w:lineRule="auto"/>
        <w:ind w:right="24"/>
        <w:rPr>
          <w:rFonts w:ascii="宋体" w:hAnsi="宋体"/>
          <w:bCs/>
          <w:color w:val="auto"/>
          <w:szCs w:val="21"/>
        </w:rPr>
      </w:pPr>
    </w:p>
    <w:p w14:paraId="6252562A">
      <w:pPr>
        <w:adjustRightInd w:val="0"/>
        <w:snapToGrid w:val="0"/>
        <w:spacing w:line="360" w:lineRule="auto"/>
        <w:ind w:right="24"/>
        <w:rPr>
          <w:rFonts w:ascii="宋体" w:hAnsi="宋体"/>
          <w:bCs/>
          <w:color w:val="auto"/>
          <w:szCs w:val="21"/>
        </w:rPr>
      </w:pPr>
    </w:p>
    <w:p w14:paraId="2CB88787">
      <w:pPr>
        <w:adjustRightInd w:val="0"/>
        <w:snapToGrid w:val="0"/>
        <w:spacing w:line="360" w:lineRule="auto"/>
        <w:ind w:right="24"/>
        <w:rPr>
          <w:rFonts w:ascii="宋体" w:hAnsi="宋体"/>
          <w:bCs/>
          <w:color w:val="auto"/>
          <w:szCs w:val="21"/>
        </w:rPr>
      </w:pPr>
      <w:r>
        <w:rPr>
          <w:rFonts w:hint="eastAsia" w:ascii="宋体" w:hAnsi="宋体"/>
          <w:bCs/>
          <w:color w:val="auto"/>
          <w:szCs w:val="21"/>
        </w:rPr>
        <w:t>附件1：承诺函</w:t>
      </w:r>
    </w:p>
    <w:p w14:paraId="766AD743">
      <w:pPr>
        <w:adjustRightInd w:val="0"/>
        <w:snapToGrid w:val="0"/>
        <w:spacing w:line="360" w:lineRule="auto"/>
        <w:ind w:right="24"/>
        <w:rPr>
          <w:rFonts w:ascii="宋体" w:hAnsi="宋体"/>
          <w:color w:val="auto"/>
          <w:szCs w:val="21"/>
        </w:rPr>
      </w:pPr>
      <w:r>
        <w:rPr>
          <w:rFonts w:hint="eastAsia" w:ascii="宋体" w:hAnsi="宋体"/>
          <w:bCs/>
          <w:color w:val="auto"/>
          <w:szCs w:val="21"/>
        </w:rPr>
        <w:t>附件2：</w:t>
      </w:r>
      <w:r>
        <w:rPr>
          <w:rFonts w:hint="eastAsia" w:ascii="宋体" w:hAnsi="宋体"/>
          <w:color w:val="auto"/>
          <w:szCs w:val="21"/>
        </w:rPr>
        <w:t>法定代表人身份证明(法定代表人参加磋商)</w:t>
      </w:r>
    </w:p>
    <w:p w14:paraId="66A5C1D0">
      <w:pPr>
        <w:adjustRightInd w:val="0"/>
        <w:snapToGrid w:val="0"/>
        <w:spacing w:line="360" w:lineRule="auto"/>
        <w:ind w:right="24"/>
        <w:rPr>
          <w:rFonts w:ascii="宋体" w:hAnsi="宋体"/>
          <w:color w:val="auto"/>
          <w:szCs w:val="21"/>
        </w:rPr>
      </w:pPr>
      <w:r>
        <w:rPr>
          <w:rFonts w:hint="eastAsia" w:ascii="宋体" w:hAnsi="宋体"/>
          <w:bCs/>
          <w:color w:val="auto"/>
          <w:szCs w:val="21"/>
        </w:rPr>
        <w:t>附件3</w:t>
      </w:r>
      <w:r>
        <w:rPr>
          <w:rFonts w:hint="eastAsia" w:ascii="宋体" w:hAnsi="宋体"/>
          <w:color w:val="auto"/>
          <w:szCs w:val="21"/>
        </w:rPr>
        <w:t>：法定代表人授权书(委托代理人参加磋商)</w:t>
      </w:r>
    </w:p>
    <w:p w14:paraId="107A65B2">
      <w:pPr>
        <w:pStyle w:val="28"/>
        <w:adjustRightInd w:val="0"/>
        <w:snapToGrid w:val="0"/>
        <w:spacing w:line="360" w:lineRule="auto"/>
        <w:rPr>
          <w:rFonts w:hAnsi="宋体"/>
          <w:color w:val="auto"/>
        </w:rPr>
      </w:pPr>
    </w:p>
    <w:p w14:paraId="3F7EE8BE">
      <w:pPr>
        <w:pStyle w:val="28"/>
        <w:adjustRightInd w:val="0"/>
        <w:snapToGrid w:val="0"/>
        <w:spacing w:line="360" w:lineRule="auto"/>
        <w:rPr>
          <w:rFonts w:hAnsi="宋体"/>
          <w:color w:val="auto"/>
        </w:rPr>
      </w:pPr>
    </w:p>
    <w:p w14:paraId="6C46B2AF">
      <w:pPr>
        <w:pStyle w:val="28"/>
        <w:adjustRightInd w:val="0"/>
        <w:snapToGrid w:val="0"/>
        <w:spacing w:line="360" w:lineRule="auto"/>
        <w:rPr>
          <w:rFonts w:hAnsi="宋体"/>
          <w:color w:val="auto"/>
        </w:rPr>
      </w:pPr>
    </w:p>
    <w:p w14:paraId="623FC0CF">
      <w:pPr>
        <w:pStyle w:val="28"/>
        <w:adjustRightInd w:val="0"/>
        <w:snapToGrid w:val="0"/>
        <w:spacing w:line="360" w:lineRule="auto"/>
        <w:rPr>
          <w:rFonts w:hAnsi="宋体"/>
          <w:color w:val="auto"/>
        </w:rPr>
      </w:pPr>
      <w:r>
        <w:rPr>
          <w:rFonts w:hint="eastAsia" w:hAnsi="宋体"/>
          <w:color w:val="auto"/>
        </w:rPr>
        <w:t>供应商名称(盖单位章)：</w:t>
      </w:r>
    </w:p>
    <w:p w14:paraId="17BA7426">
      <w:pPr>
        <w:adjustRightInd w:val="0"/>
        <w:snapToGrid w:val="0"/>
        <w:spacing w:line="360" w:lineRule="auto"/>
        <w:rPr>
          <w:rFonts w:ascii="宋体" w:hAnsi="宋体"/>
          <w:color w:val="auto"/>
          <w:szCs w:val="21"/>
        </w:rPr>
      </w:pPr>
      <w:r>
        <w:rPr>
          <w:rFonts w:hint="eastAsia" w:ascii="宋体" w:hAnsi="宋体"/>
          <w:color w:val="auto"/>
          <w:szCs w:val="21"/>
        </w:rPr>
        <w:t>法定代表人或其委托代理人 (签字)：</w:t>
      </w:r>
      <w:r>
        <w:rPr>
          <w:rFonts w:hint="eastAsia" w:ascii="宋体" w:hAnsi="宋体"/>
          <w:color w:val="auto"/>
          <w:szCs w:val="21"/>
          <w:u w:val="single"/>
        </w:rPr>
        <w:t xml:space="preserve">            </w:t>
      </w:r>
    </w:p>
    <w:p w14:paraId="7A1BFC2A">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67830316">
      <w:pPr>
        <w:rPr>
          <w:color w:val="auto"/>
        </w:rPr>
      </w:pPr>
    </w:p>
    <w:p w14:paraId="1FEE9E5E">
      <w:pPr>
        <w:rPr>
          <w:color w:val="auto"/>
        </w:rPr>
      </w:pPr>
    </w:p>
    <w:p w14:paraId="45252916">
      <w:pPr>
        <w:rPr>
          <w:color w:val="auto"/>
        </w:rPr>
      </w:pPr>
    </w:p>
    <w:p w14:paraId="6E220E16">
      <w:pPr>
        <w:rPr>
          <w:color w:val="auto"/>
        </w:rPr>
      </w:pPr>
    </w:p>
    <w:p w14:paraId="581E05E6">
      <w:pPr>
        <w:adjustRightInd w:val="0"/>
        <w:snapToGrid w:val="0"/>
        <w:spacing w:line="360" w:lineRule="auto"/>
        <w:ind w:right="24"/>
        <w:rPr>
          <w:rFonts w:ascii="宋体" w:hAnsi="宋体"/>
          <w:b/>
          <w:bCs/>
          <w:color w:val="auto"/>
          <w:sz w:val="24"/>
        </w:rPr>
      </w:pPr>
    </w:p>
    <w:p w14:paraId="52A729ED">
      <w:pPr>
        <w:adjustRightInd w:val="0"/>
        <w:snapToGrid w:val="0"/>
        <w:spacing w:line="360" w:lineRule="auto"/>
        <w:ind w:right="24"/>
        <w:rPr>
          <w:rFonts w:ascii="宋体" w:hAnsi="宋体"/>
          <w:b/>
          <w:bCs/>
          <w:color w:val="auto"/>
          <w:sz w:val="24"/>
        </w:rPr>
      </w:pPr>
      <w:r>
        <w:rPr>
          <w:rFonts w:hint="eastAsia" w:ascii="宋体" w:hAnsi="宋体"/>
          <w:b/>
          <w:bCs/>
          <w:color w:val="auto"/>
          <w:sz w:val="24"/>
        </w:rPr>
        <w:t>附件1</w:t>
      </w:r>
    </w:p>
    <w:p w14:paraId="03F7535E">
      <w:pPr>
        <w:adjustRightInd w:val="0"/>
        <w:snapToGrid w:val="0"/>
        <w:spacing w:line="360" w:lineRule="auto"/>
        <w:jc w:val="center"/>
        <w:rPr>
          <w:rFonts w:ascii="宋体" w:hAnsi="宋体"/>
          <w:b/>
          <w:color w:val="auto"/>
          <w:sz w:val="24"/>
        </w:rPr>
      </w:pPr>
      <w:bookmarkStart w:id="40" w:name="_Toc29244"/>
      <w:bookmarkStart w:id="41" w:name="_Toc9869"/>
      <w:bookmarkStart w:id="42" w:name="_Toc27798"/>
      <w:r>
        <w:rPr>
          <w:rFonts w:hint="eastAsia" w:ascii="宋体" w:hAnsi="宋体"/>
          <w:b/>
          <w:color w:val="auto"/>
          <w:sz w:val="24"/>
        </w:rPr>
        <w:t>承诺函</w:t>
      </w:r>
      <w:bookmarkEnd w:id="40"/>
      <w:bookmarkEnd w:id="41"/>
      <w:bookmarkEnd w:id="42"/>
    </w:p>
    <w:p w14:paraId="5836375C">
      <w:pPr>
        <w:adjustRightInd w:val="0"/>
        <w:snapToGrid w:val="0"/>
        <w:spacing w:line="360" w:lineRule="auto"/>
        <w:ind w:firstLine="413" w:firstLineChars="197"/>
        <w:rPr>
          <w:rFonts w:ascii="宋体" w:hAnsi="宋体"/>
          <w:color w:val="auto"/>
          <w:szCs w:val="21"/>
        </w:rPr>
      </w:pPr>
    </w:p>
    <w:p w14:paraId="58A346E9">
      <w:pPr>
        <w:widowControl/>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我们，</w:t>
      </w:r>
      <w:r>
        <w:rPr>
          <w:rFonts w:hint="eastAsia" w:ascii="宋体" w:hAnsi="宋体"/>
          <w:color w:val="auto"/>
          <w:szCs w:val="21"/>
          <w:u w:val="single"/>
        </w:rPr>
        <w:t xml:space="preserve">                 </w:t>
      </w:r>
      <w:r>
        <w:rPr>
          <w:rFonts w:hint="eastAsia" w:ascii="宋体" w:hAnsi="宋体"/>
          <w:color w:val="auto"/>
          <w:szCs w:val="21"/>
        </w:rPr>
        <w:t>（供应商名称）已认真阅读</w:t>
      </w:r>
      <w:r>
        <w:rPr>
          <w:rFonts w:hint="eastAsia" w:ascii="宋体" w:hAnsi="宋体" w:cs="宋体"/>
          <w:color w:val="auto"/>
          <w:kern w:val="0"/>
          <w:szCs w:val="21"/>
        </w:rPr>
        <w:t>《中华人民共和国政府采购法》及《</w:t>
      </w:r>
      <w:r>
        <w:rPr>
          <w:rFonts w:hint="eastAsia" w:ascii="宋体" w:hAnsi="宋体"/>
          <w:color w:val="auto"/>
          <w:szCs w:val="21"/>
        </w:rPr>
        <w:t>竞争性磋商文件</w:t>
      </w:r>
      <w:r>
        <w:rPr>
          <w:rFonts w:hint="eastAsia" w:ascii="宋体" w:hAnsi="宋体" w:cs="宋体"/>
          <w:color w:val="auto"/>
          <w:kern w:val="0"/>
          <w:szCs w:val="21"/>
        </w:rPr>
        <w:t>》[</w:t>
      </w:r>
      <w:r>
        <w:rPr>
          <w:rFonts w:hint="eastAsia" w:ascii="宋体" w:hAnsi="宋体"/>
          <w:color w:val="auto"/>
          <w:szCs w:val="21"/>
          <w:u w:val="single"/>
        </w:rPr>
        <w:t xml:space="preserve">                        </w:t>
      </w:r>
      <w:r>
        <w:rPr>
          <w:rFonts w:hint="eastAsia" w:ascii="宋体" w:hAnsi="宋体"/>
          <w:color w:val="auto"/>
          <w:szCs w:val="21"/>
        </w:rPr>
        <w:t>（项目名称），</w:t>
      </w:r>
      <w:r>
        <w:rPr>
          <w:rFonts w:hint="eastAsia" w:ascii="宋体" w:hAnsi="宋体"/>
          <w:color w:val="auto"/>
          <w:szCs w:val="21"/>
          <w:lang w:eastAsia="zh-CN"/>
        </w:rPr>
        <w:t>政府采购编号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，委托代理编号：</w:t>
      </w:r>
      <w:r>
        <w:rPr>
          <w:rFonts w:hint="eastAsia" w:ascii="宋体" w:hAnsi="宋体"/>
          <w:color w:val="auto"/>
          <w:szCs w:val="21"/>
          <w:u w:val="single"/>
        </w:rPr>
        <w:t xml:space="preserve">            </w:t>
      </w:r>
      <w:r>
        <w:rPr>
          <w:rFonts w:hint="eastAsia" w:ascii="宋体" w:hAnsi="宋体"/>
          <w:color w:val="auto"/>
          <w:szCs w:val="21"/>
        </w:rPr>
        <w:t>]相关内容，知悉供应商参加政府采购活动应当具备的条件。此次按《竞争性磋商文件》要求提交的供应商资格证明材料及其它相关证明材料，已经认真核对和检查，全部内容真实、合法、准确和完整，我们对此负责，并愿承担由此引起的法律责任。</w:t>
      </w:r>
    </w:p>
    <w:p w14:paraId="258B7B8D">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 xml:space="preserve">一、我方在此声明： </w:t>
      </w:r>
    </w:p>
    <w:p w14:paraId="50F3EEB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（一）我方与采购人或采购代理机构不存在</w:t>
      </w:r>
      <w:r>
        <w:rPr>
          <w:rFonts w:hint="eastAsia" w:ascii="宋体" w:hAnsi="宋体"/>
          <w:bCs/>
          <w:color w:val="auto"/>
          <w:szCs w:val="21"/>
        </w:rPr>
        <w:t>隶属关系或者其他利害关系</w:t>
      </w:r>
      <w:r>
        <w:rPr>
          <w:rFonts w:hint="eastAsia" w:ascii="宋体" w:hAnsi="宋体"/>
          <w:color w:val="auto"/>
          <w:szCs w:val="21"/>
        </w:rPr>
        <w:t>。</w:t>
      </w:r>
    </w:p>
    <w:p w14:paraId="590B8BF8">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（二）我方与参加本项目的其他供应商不存在控股、关联关系，或者与其他供应商法定代表人（或者负责人）为同一人。</w:t>
      </w:r>
    </w:p>
    <w:p w14:paraId="543BDEAD">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（三）我方未为本项目前期准备提供设计或咨询服务。</w:t>
      </w:r>
    </w:p>
    <w:p w14:paraId="45C16FC7">
      <w:pPr>
        <w:pStyle w:val="28"/>
        <w:adjustRightInd w:val="0"/>
        <w:snapToGrid w:val="0"/>
        <w:spacing w:line="360" w:lineRule="auto"/>
        <w:ind w:firstLine="420" w:firstLineChars="200"/>
        <w:rPr>
          <w:rFonts w:hAnsi="宋体"/>
          <w:color w:val="auto"/>
        </w:rPr>
      </w:pPr>
      <w:r>
        <w:rPr>
          <w:rFonts w:hint="eastAsia" w:hAnsi="宋体"/>
          <w:color w:val="auto"/>
        </w:rPr>
        <w:t>二、我方承诺（承诺期：成立三年以上的，为提交首次响应文件截止时间前三年内；成立不足三年的，为实际时间）：</w:t>
      </w:r>
    </w:p>
    <w:p w14:paraId="4B4F149C">
      <w:pPr>
        <w:adjustRightInd w:val="0"/>
        <w:snapToGrid w:val="0"/>
        <w:spacing w:line="360" w:lineRule="auto"/>
        <w:ind w:left="1" w:firstLine="420" w:firstLineChars="200"/>
        <w:rPr>
          <w:rFonts w:ascii="宋体" w:hAnsi="宋体"/>
          <w:color w:val="auto"/>
          <w:szCs w:val="21"/>
        </w:rPr>
      </w:pPr>
      <w:r>
        <w:rPr>
          <w:rFonts w:hint="eastAsia" w:ascii="宋体" w:hAnsi="宋体"/>
          <w:bCs/>
          <w:color w:val="auto"/>
          <w:szCs w:val="21"/>
        </w:rPr>
        <w:t>（一）我方</w:t>
      </w:r>
      <w:r>
        <w:rPr>
          <w:rFonts w:hint="eastAsia" w:ascii="宋体" w:hAnsi="宋体"/>
          <w:color w:val="auto"/>
          <w:szCs w:val="21"/>
        </w:rPr>
        <w:t>依法缴纳了各项税费及各项社会保障资金，没有偷税、漏税及欠缴行为。</w:t>
      </w:r>
    </w:p>
    <w:p w14:paraId="3F7F0889">
      <w:pPr>
        <w:adjustRightInd w:val="0"/>
        <w:snapToGrid w:val="0"/>
        <w:spacing w:line="360" w:lineRule="auto"/>
        <w:ind w:firstLine="420" w:firstLineChars="200"/>
        <w:rPr>
          <w:rFonts w:ascii="宋体" w:hAnsi="宋体"/>
          <w:bCs/>
          <w:color w:val="auto"/>
          <w:szCs w:val="21"/>
        </w:rPr>
      </w:pPr>
      <w:r>
        <w:rPr>
          <w:rFonts w:hint="eastAsia" w:ascii="宋体" w:hAnsi="宋体"/>
          <w:bCs/>
          <w:color w:val="auto"/>
          <w:szCs w:val="21"/>
        </w:rPr>
        <w:t>（二）我方在经营活动中没有存在下列重大违法记录：</w:t>
      </w:r>
    </w:p>
    <w:p w14:paraId="5A523057">
      <w:pPr>
        <w:adjustRightInd w:val="0"/>
        <w:snapToGrid w:val="0"/>
        <w:spacing w:line="360" w:lineRule="auto"/>
        <w:ind w:firstLine="420" w:firstLineChars="200"/>
        <w:rPr>
          <w:rFonts w:ascii="宋体" w:hAnsi="宋体"/>
          <w:bCs/>
          <w:color w:val="auto"/>
          <w:szCs w:val="21"/>
        </w:rPr>
      </w:pPr>
      <w:r>
        <w:rPr>
          <w:rFonts w:hint="eastAsia" w:ascii="宋体" w:hAnsi="宋体"/>
          <w:bCs/>
          <w:color w:val="auto"/>
          <w:szCs w:val="21"/>
        </w:rPr>
        <w:t>1、受到刑事处罚；</w:t>
      </w:r>
    </w:p>
    <w:p w14:paraId="4A810E96">
      <w:pPr>
        <w:adjustRightInd w:val="0"/>
        <w:snapToGrid w:val="0"/>
        <w:spacing w:line="360" w:lineRule="auto"/>
        <w:ind w:firstLine="420" w:firstLineChars="200"/>
        <w:rPr>
          <w:rFonts w:ascii="宋体" w:hAnsi="宋体"/>
          <w:bCs/>
          <w:color w:val="auto"/>
          <w:szCs w:val="21"/>
        </w:rPr>
      </w:pPr>
      <w:r>
        <w:rPr>
          <w:rFonts w:hint="eastAsia" w:ascii="宋体" w:hAnsi="宋体"/>
          <w:bCs/>
          <w:color w:val="auto"/>
          <w:szCs w:val="21"/>
        </w:rPr>
        <w:t>2、受到责令停产停业、在一至三年内禁止参加政府采购活动、暂扣或者吊销许可证、暂扣或者吊销执照、较大数额罚款的行政处罚。</w:t>
      </w:r>
    </w:p>
    <w:p w14:paraId="11F8EE8D">
      <w:pPr>
        <w:adjustRightInd w:val="0"/>
        <w:snapToGrid w:val="0"/>
        <w:spacing w:line="360" w:lineRule="auto"/>
        <w:ind w:firstLine="420" w:firstLineChars="200"/>
        <w:rPr>
          <w:rFonts w:ascii="宋体" w:hAnsi="宋体"/>
          <w:bCs/>
          <w:color w:val="auto"/>
          <w:szCs w:val="21"/>
        </w:rPr>
      </w:pPr>
    </w:p>
    <w:p w14:paraId="5021644C">
      <w:pPr>
        <w:spacing w:line="400" w:lineRule="exact"/>
        <w:ind w:firstLine="3502" w:firstLineChars="1668"/>
        <w:rPr>
          <w:rFonts w:ascii="宋体" w:hAnsi="宋体"/>
          <w:color w:val="auto"/>
          <w:szCs w:val="21"/>
          <w:u w:val="single"/>
        </w:rPr>
      </w:pPr>
      <w:r>
        <w:rPr>
          <w:rFonts w:hint="eastAsia" w:ascii="宋体" w:hAnsi="宋体"/>
          <w:color w:val="auto"/>
          <w:szCs w:val="21"/>
        </w:rPr>
        <w:t>供应商名称（盖单位章）：</w:t>
      </w:r>
      <w:r>
        <w:rPr>
          <w:rFonts w:hint="eastAsia" w:ascii="宋体" w:hAnsi="宋体"/>
          <w:color w:val="auto"/>
          <w:szCs w:val="21"/>
          <w:u w:val="single"/>
        </w:rPr>
        <w:t xml:space="preserve">                 </w:t>
      </w:r>
    </w:p>
    <w:p w14:paraId="1D4BC330">
      <w:pPr>
        <w:spacing w:line="400" w:lineRule="exact"/>
        <w:ind w:firstLine="3502" w:firstLineChars="1668"/>
        <w:rPr>
          <w:rFonts w:ascii="宋体" w:hAnsi="宋体"/>
          <w:color w:val="auto"/>
          <w:szCs w:val="21"/>
          <w:u w:val="single"/>
        </w:rPr>
      </w:pPr>
      <w:r>
        <w:rPr>
          <w:rFonts w:hint="eastAsia" w:ascii="宋体" w:hAnsi="宋体"/>
          <w:color w:val="auto"/>
          <w:szCs w:val="21"/>
        </w:rPr>
        <w:t>法定代表人（签名）：</w:t>
      </w:r>
      <w:r>
        <w:rPr>
          <w:rFonts w:hint="eastAsia" w:ascii="宋体" w:hAnsi="宋体"/>
          <w:color w:val="auto"/>
          <w:szCs w:val="21"/>
          <w:u w:val="single"/>
        </w:rPr>
        <w:t xml:space="preserve">                </w:t>
      </w:r>
    </w:p>
    <w:p w14:paraId="6F19BF41">
      <w:pPr>
        <w:spacing w:line="400" w:lineRule="exact"/>
        <w:ind w:firstLine="3502" w:firstLineChars="1668"/>
        <w:rPr>
          <w:rFonts w:ascii="宋体" w:hAnsi="宋体"/>
          <w:color w:val="auto"/>
          <w:szCs w:val="21"/>
        </w:rPr>
      </w:pPr>
      <w:r>
        <w:rPr>
          <w:rFonts w:hint="eastAsia" w:ascii="宋体" w:hAnsi="宋体"/>
          <w:color w:val="auto"/>
          <w:szCs w:val="21"/>
        </w:rPr>
        <w:t xml:space="preserve">日    期：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77147501">
      <w:pPr>
        <w:adjustRightInd w:val="0"/>
        <w:snapToGrid w:val="0"/>
        <w:spacing w:line="360" w:lineRule="auto"/>
        <w:ind w:right="24"/>
        <w:rPr>
          <w:rFonts w:ascii="宋体" w:hAnsi="宋体"/>
          <w:bCs/>
          <w:color w:val="auto"/>
          <w:sz w:val="32"/>
          <w:szCs w:val="32"/>
        </w:rPr>
      </w:pPr>
    </w:p>
    <w:p w14:paraId="5AC3244F">
      <w:pPr>
        <w:adjustRightInd w:val="0"/>
        <w:snapToGrid w:val="0"/>
        <w:spacing w:line="360" w:lineRule="auto"/>
        <w:ind w:right="24"/>
        <w:rPr>
          <w:rFonts w:ascii="宋体" w:hAnsi="宋体"/>
          <w:bCs/>
          <w:color w:val="auto"/>
          <w:sz w:val="32"/>
          <w:szCs w:val="32"/>
        </w:rPr>
      </w:pPr>
    </w:p>
    <w:p w14:paraId="73F58EF8">
      <w:pPr>
        <w:adjustRightInd w:val="0"/>
        <w:snapToGrid w:val="0"/>
        <w:spacing w:line="360" w:lineRule="auto"/>
        <w:ind w:right="24"/>
        <w:rPr>
          <w:rFonts w:ascii="宋体" w:hAnsi="宋体"/>
          <w:bCs/>
          <w:color w:val="auto"/>
          <w:sz w:val="32"/>
          <w:szCs w:val="32"/>
        </w:rPr>
      </w:pPr>
    </w:p>
    <w:p w14:paraId="53B6EE30">
      <w:pPr>
        <w:adjustRightInd w:val="0"/>
        <w:snapToGrid w:val="0"/>
        <w:spacing w:line="360" w:lineRule="auto"/>
        <w:ind w:right="24"/>
        <w:rPr>
          <w:rFonts w:ascii="宋体" w:hAnsi="宋体"/>
          <w:bCs/>
          <w:color w:val="auto"/>
          <w:sz w:val="32"/>
          <w:szCs w:val="32"/>
        </w:rPr>
      </w:pPr>
    </w:p>
    <w:p w14:paraId="07ED13F3">
      <w:pPr>
        <w:adjustRightInd w:val="0"/>
        <w:snapToGrid w:val="0"/>
        <w:spacing w:line="360" w:lineRule="auto"/>
        <w:ind w:right="24"/>
        <w:rPr>
          <w:rFonts w:ascii="宋体" w:hAnsi="宋体"/>
          <w:bCs/>
          <w:color w:val="auto"/>
          <w:sz w:val="32"/>
          <w:szCs w:val="32"/>
        </w:rPr>
      </w:pPr>
    </w:p>
    <w:p w14:paraId="6359D26E">
      <w:pPr>
        <w:adjustRightInd w:val="0"/>
        <w:snapToGrid w:val="0"/>
        <w:spacing w:before="156" w:beforeLines="50" w:line="360" w:lineRule="auto"/>
        <w:rPr>
          <w:rFonts w:ascii="宋体" w:hAnsi="宋体"/>
          <w:b/>
          <w:bCs/>
          <w:color w:val="auto"/>
          <w:sz w:val="24"/>
        </w:rPr>
      </w:pPr>
    </w:p>
    <w:p w14:paraId="48218446">
      <w:pPr>
        <w:adjustRightInd w:val="0"/>
        <w:snapToGrid w:val="0"/>
        <w:spacing w:before="156" w:beforeLines="50" w:line="360" w:lineRule="auto"/>
        <w:rPr>
          <w:rFonts w:ascii="宋体" w:hAnsi="宋体"/>
          <w:b/>
          <w:bCs/>
          <w:color w:val="auto"/>
          <w:sz w:val="24"/>
        </w:rPr>
      </w:pPr>
      <w:r>
        <w:rPr>
          <w:rFonts w:hint="eastAsia" w:ascii="宋体" w:hAnsi="宋体"/>
          <w:b/>
          <w:bCs/>
          <w:color w:val="auto"/>
          <w:sz w:val="24"/>
        </w:rPr>
        <w:t>附件2</w:t>
      </w:r>
    </w:p>
    <w:p w14:paraId="49FAF218">
      <w:pPr>
        <w:jc w:val="center"/>
        <w:rPr>
          <w:rFonts w:ascii="宋体" w:hAnsi="宋体"/>
          <w:b/>
          <w:color w:val="auto"/>
          <w:sz w:val="24"/>
        </w:rPr>
      </w:pPr>
      <w:bookmarkStart w:id="43" w:name="_Toc5002"/>
      <w:bookmarkStart w:id="44" w:name="_Toc7380"/>
      <w:bookmarkStart w:id="45" w:name="_Toc18035"/>
      <w:r>
        <w:rPr>
          <w:rFonts w:hint="eastAsia" w:ascii="宋体" w:hAnsi="宋体"/>
          <w:b/>
          <w:color w:val="auto"/>
          <w:sz w:val="24"/>
        </w:rPr>
        <w:t>法定代表人身份证明</w:t>
      </w:r>
      <w:bookmarkEnd w:id="43"/>
      <w:bookmarkEnd w:id="44"/>
      <w:bookmarkEnd w:id="45"/>
    </w:p>
    <w:p w14:paraId="53F14475">
      <w:pPr>
        <w:snapToGrid w:val="0"/>
        <w:spacing w:line="480" w:lineRule="auto"/>
        <w:rPr>
          <w:rFonts w:ascii="宋体" w:hAnsi="宋体"/>
          <w:color w:val="auto"/>
          <w:szCs w:val="21"/>
        </w:rPr>
      </w:pPr>
    </w:p>
    <w:p w14:paraId="16D3FBC1">
      <w:pPr>
        <w:autoSpaceDE w:val="0"/>
        <w:autoSpaceDN w:val="0"/>
        <w:adjustRightInd w:val="0"/>
        <w:snapToGrid w:val="0"/>
        <w:spacing w:before="156" w:beforeLines="50" w:line="360" w:lineRule="auto"/>
        <w:jc w:val="left"/>
        <w:rPr>
          <w:rFonts w:ascii="宋体" w:hAnsi="宋体" w:cs="宋体"/>
          <w:color w:val="auto"/>
          <w:kern w:val="0"/>
          <w:szCs w:val="21"/>
        </w:rPr>
      </w:pPr>
      <w:r>
        <w:rPr>
          <w:rFonts w:hint="eastAsia" w:ascii="宋体" w:hAnsi="宋体"/>
          <w:color w:val="auto"/>
          <w:szCs w:val="21"/>
        </w:rPr>
        <w:t>供应商</w:t>
      </w:r>
      <w:r>
        <w:rPr>
          <w:rFonts w:hint="eastAsia" w:ascii="宋体" w:hAnsi="宋体" w:cs="宋体"/>
          <w:color w:val="auto"/>
          <w:kern w:val="0"/>
          <w:szCs w:val="21"/>
        </w:rPr>
        <w:t>名称：</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33A0774D">
      <w:pPr>
        <w:autoSpaceDE w:val="0"/>
        <w:autoSpaceDN w:val="0"/>
        <w:adjustRightInd w:val="0"/>
        <w:snapToGrid w:val="0"/>
        <w:spacing w:before="156" w:beforeLines="50" w:line="360" w:lineRule="auto"/>
        <w:jc w:val="left"/>
        <w:rPr>
          <w:rFonts w:ascii="宋体" w:hAnsi="宋体" w:cs="宋体"/>
          <w:color w:val="auto"/>
          <w:kern w:val="0"/>
          <w:szCs w:val="21"/>
        </w:rPr>
      </w:pPr>
      <w:r>
        <w:rPr>
          <w:rFonts w:hint="eastAsia" w:ascii="宋体" w:hAnsi="宋体" w:cs="宋体"/>
          <w:color w:val="auto"/>
          <w:kern w:val="0"/>
          <w:szCs w:val="21"/>
        </w:rPr>
        <w:t>注册号：</w:t>
      </w:r>
      <w:r>
        <w:rPr>
          <w:rFonts w:hint="eastAsia" w:ascii="宋体" w:hAnsi="宋体" w:cs="宋体"/>
          <w:color w:val="auto"/>
          <w:kern w:val="0"/>
          <w:szCs w:val="21"/>
          <w:u w:val="single"/>
        </w:rPr>
        <w:t xml:space="preserve">                  </w:t>
      </w:r>
    </w:p>
    <w:p w14:paraId="55D95865">
      <w:pPr>
        <w:autoSpaceDE w:val="0"/>
        <w:autoSpaceDN w:val="0"/>
        <w:adjustRightInd w:val="0"/>
        <w:snapToGrid w:val="0"/>
        <w:spacing w:before="156" w:beforeLines="50" w:line="360" w:lineRule="auto"/>
        <w:jc w:val="left"/>
        <w:rPr>
          <w:rFonts w:ascii="宋体" w:hAnsi="宋体" w:cs="宋体"/>
          <w:color w:val="auto"/>
          <w:kern w:val="0"/>
          <w:szCs w:val="21"/>
        </w:rPr>
      </w:pPr>
      <w:r>
        <w:rPr>
          <w:rFonts w:hint="eastAsia" w:ascii="宋体" w:hAnsi="宋体" w:cs="宋体"/>
          <w:color w:val="auto"/>
          <w:kern w:val="0"/>
          <w:szCs w:val="21"/>
        </w:rPr>
        <w:t>注册地址：</w:t>
      </w:r>
      <w:r>
        <w:rPr>
          <w:rFonts w:hint="eastAsia" w:ascii="宋体" w:hAnsi="宋体" w:cs="宋体"/>
          <w:color w:val="auto"/>
          <w:kern w:val="0"/>
          <w:szCs w:val="21"/>
          <w:u w:val="single"/>
        </w:rPr>
        <w:t xml:space="preserve">                                    </w:t>
      </w:r>
    </w:p>
    <w:p w14:paraId="307C2F1D">
      <w:pPr>
        <w:autoSpaceDE w:val="0"/>
        <w:autoSpaceDN w:val="0"/>
        <w:adjustRightInd w:val="0"/>
        <w:snapToGrid w:val="0"/>
        <w:spacing w:before="156" w:beforeLines="50" w:line="360" w:lineRule="auto"/>
        <w:jc w:val="left"/>
        <w:rPr>
          <w:rFonts w:ascii="宋体" w:hAnsi="宋体" w:cs="宋体"/>
          <w:color w:val="auto"/>
          <w:kern w:val="0"/>
          <w:szCs w:val="21"/>
        </w:rPr>
      </w:pPr>
      <w:r>
        <w:rPr>
          <w:rFonts w:hint="eastAsia" w:ascii="宋体" w:hAnsi="宋体" w:cs="宋体"/>
          <w:color w:val="auto"/>
          <w:kern w:val="0"/>
          <w:szCs w:val="21"/>
        </w:rPr>
        <w:t xml:space="preserve">成立时间：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年 </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日</w:t>
      </w:r>
    </w:p>
    <w:p w14:paraId="2BFEC7FE">
      <w:pPr>
        <w:autoSpaceDE w:val="0"/>
        <w:autoSpaceDN w:val="0"/>
        <w:adjustRightInd w:val="0"/>
        <w:snapToGrid w:val="0"/>
        <w:spacing w:before="156" w:beforeLines="50" w:line="360" w:lineRule="auto"/>
        <w:jc w:val="left"/>
        <w:rPr>
          <w:rFonts w:ascii="宋体" w:hAnsi="宋体" w:cs="宋体"/>
          <w:color w:val="auto"/>
          <w:kern w:val="0"/>
          <w:szCs w:val="21"/>
          <w:u w:val="single"/>
        </w:rPr>
      </w:pPr>
      <w:r>
        <w:rPr>
          <w:rFonts w:hint="eastAsia" w:ascii="宋体" w:hAnsi="宋体" w:cs="宋体"/>
          <w:color w:val="auto"/>
          <w:kern w:val="0"/>
          <w:szCs w:val="21"/>
        </w:rPr>
        <w:t>经营期限：</w:t>
      </w:r>
      <w:r>
        <w:rPr>
          <w:rFonts w:hint="eastAsia" w:ascii="宋体" w:hAnsi="宋体" w:cs="宋体"/>
          <w:color w:val="auto"/>
          <w:kern w:val="0"/>
          <w:szCs w:val="21"/>
          <w:u w:val="single"/>
        </w:rPr>
        <w:t xml:space="preserve">                  </w:t>
      </w:r>
    </w:p>
    <w:p w14:paraId="3024B189">
      <w:pPr>
        <w:autoSpaceDE w:val="0"/>
        <w:autoSpaceDN w:val="0"/>
        <w:adjustRightInd w:val="0"/>
        <w:snapToGrid w:val="0"/>
        <w:spacing w:before="156" w:beforeLines="50" w:line="360" w:lineRule="auto"/>
        <w:jc w:val="left"/>
        <w:rPr>
          <w:rFonts w:ascii="宋体" w:hAnsi="宋体" w:cs="宋体"/>
          <w:color w:val="auto"/>
          <w:kern w:val="0"/>
          <w:szCs w:val="21"/>
          <w:u w:val="single"/>
        </w:rPr>
      </w:pPr>
      <w:r>
        <w:rPr>
          <w:rFonts w:hint="eastAsia" w:ascii="宋体" w:hAnsi="宋体" w:cs="宋体"/>
          <w:color w:val="auto"/>
          <w:kern w:val="0"/>
          <w:szCs w:val="21"/>
        </w:rPr>
        <w:t>经营范围：主营：</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；兼营：</w:t>
      </w:r>
      <w:r>
        <w:rPr>
          <w:rFonts w:hint="eastAsia" w:ascii="宋体" w:hAnsi="宋体" w:cs="宋体"/>
          <w:color w:val="auto"/>
          <w:kern w:val="0"/>
          <w:szCs w:val="21"/>
          <w:u w:val="single"/>
        </w:rPr>
        <w:t xml:space="preserve">              </w:t>
      </w:r>
    </w:p>
    <w:p w14:paraId="4D9EA1A9">
      <w:pPr>
        <w:autoSpaceDE w:val="0"/>
        <w:autoSpaceDN w:val="0"/>
        <w:adjustRightInd w:val="0"/>
        <w:snapToGrid w:val="0"/>
        <w:spacing w:before="156" w:beforeLines="50" w:line="360" w:lineRule="auto"/>
        <w:jc w:val="left"/>
        <w:rPr>
          <w:rFonts w:ascii="宋体" w:hAnsi="宋体" w:cs="宋体"/>
          <w:color w:val="auto"/>
          <w:kern w:val="0"/>
          <w:szCs w:val="21"/>
        </w:rPr>
      </w:pPr>
      <w:r>
        <w:rPr>
          <w:rFonts w:hint="eastAsia" w:ascii="宋体" w:hAnsi="宋体" w:cs="宋体"/>
          <w:color w:val="auto"/>
          <w:kern w:val="0"/>
          <w:szCs w:val="21"/>
        </w:rPr>
        <w:t>姓名：</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性别：</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年龄：</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系</w:t>
      </w:r>
      <w:r>
        <w:rPr>
          <w:rFonts w:hint="eastAsia" w:ascii="宋体" w:hAnsi="宋体" w:cs="宋体"/>
          <w:color w:val="auto"/>
          <w:kern w:val="0"/>
          <w:szCs w:val="21"/>
          <w:u w:val="single"/>
        </w:rPr>
        <w:t xml:space="preserve">      </w:t>
      </w:r>
      <w:r>
        <w:rPr>
          <w:rFonts w:hint="eastAsia" w:ascii="宋体" w:hAnsi="宋体" w:cs="宋体"/>
          <w:color w:val="auto"/>
          <w:kern w:val="0"/>
          <w:szCs w:val="21"/>
        </w:rPr>
        <w:t>（</w:t>
      </w:r>
      <w:r>
        <w:rPr>
          <w:rFonts w:hint="eastAsia" w:ascii="宋体" w:hAnsi="宋体"/>
          <w:color w:val="auto"/>
          <w:szCs w:val="21"/>
        </w:rPr>
        <w:t>供应商</w:t>
      </w:r>
      <w:r>
        <w:rPr>
          <w:rFonts w:hint="eastAsia" w:ascii="宋体" w:hAnsi="宋体" w:cs="宋体"/>
          <w:color w:val="auto"/>
          <w:kern w:val="0"/>
          <w:szCs w:val="21"/>
        </w:rPr>
        <w:t>名称）的法定代表人。</w:t>
      </w:r>
    </w:p>
    <w:p w14:paraId="50E9340D">
      <w:pPr>
        <w:autoSpaceDE w:val="0"/>
        <w:autoSpaceDN w:val="0"/>
        <w:adjustRightInd w:val="0"/>
        <w:snapToGrid w:val="0"/>
        <w:spacing w:before="156" w:beforeLines="50" w:line="360" w:lineRule="auto"/>
        <w:jc w:val="left"/>
        <w:rPr>
          <w:rFonts w:ascii="宋体" w:hAnsi="宋体" w:cs="宋体"/>
          <w:color w:val="auto"/>
          <w:kern w:val="0"/>
          <w:szCs w:val="21"/>
        </w:rPr>
      </w:pPr>
      <w:r>
        <w:rPr>
          <w:rFonts w:hint="eastAsia" w:ascii="宋体" w:hAnsi="宋体" w:cs="宋体"/>
          <w:color w:val="auto"/>
          <w:kern w:val="0"/>
          <w:szCs w:val="21"/>
        </w:rPr>
        <w:t>特此证明。</w:t>
      </w:r>
    </w:p>
    <w:p w14:paraId="7332597D">
      <w:pPr>
        <w:autoSpaceDE w:val="0"/>
        <w:autoSpaceDN w:val="0"/>
        <w:adjustRightInd w:val="0"/>
        <w:snapToGrid w:val="0"/>
        <w:spacing w:before="156" w:beforeLines="50" w:line="360" w:lineRule="auto"/>
        <w:jc w:val="left"/>
        <w:rPr>
          <w:rFonts w:ascii="宋体" w:hAnsi="宋体" w:cs="宋体"/>
          <w:color w:val="auto"/>
          <w:kern w:val="0"/>
          <w:szCs w:val="21"/>
        </w:rPr>
      </w:pPr>
      <w:r>
        <w:rPr>
          <w:rFonts w:hint="eastAsia" w:ascii="宋体" w:hAnsi="宋体"/>
          <w:color w:val="auto"/>
          <w:szCs w:val="21"/>
        </w:rPr>
        <w:t>附：法定代表人身份证复印件</w:t>
      </w:r>
    </w:p>
    <w:p w14:paraId="430BB26D">
      <w:pPr>
        <w:snapToGrid w:val="0"/>
        <w:spacing w:line="480" w:lineRule="auto"/>
        <w:rPr>
          <w:rFonts w:ascii="宋体" w:hAnsi="宋体"/>
          <w:color w:val="auto"/>
          <w:szCs w:val="21"/>
        </w:rPr>
      </w:pPr>
    </w:p>
    <w:p w14:paraId="3C8A2CEA">
      <w:pPr>
        <w:snapToGrid w:val="0"/>
        <w:rPr>
          <w:rFonts w:ascii="宋体" w:hAnsi="宋体"/>
          <w:color w:val="auto"/>
          <w:szCs w:val="21"/>
        </w:rPr>
      </w:pPr>
    </w:p>
    <w:p w14:paraId="52380C95">
      <w:pPr>
        <w:snapToGrid w:val="0"/>
        <w:rPr>
          <w:rFonts w:ascii="宋体" w:hAnsi="宋体"/>
          <w:color w:val="auto"/>
          <w:szCs w:val="21"/>
        </w:rPr>
      </w:pPr>
    </w:p>
    <w:p w14:paraId="59896234">
      <w:pPr>
        <w:snapToGrid w:val="0"/>
        <w:rPr>
          <w:rFonts w:ascii="宋体" w:hAnsi="宋体"/>
          <w:color w:val="auto"/>
          <w:szCs w:val="21"/>
        </w:rPr>
      </w:pPr>
    </w:p>
    <w:p w14:paraId="59CDF320">
      <w:pPr>
        <w:snapToGrid w:val="0"/>
        <w:rPr>
          <w:rFonts w:ascii="宋体" w:hAnsi="宋体"/>
          <w:color w:val="auto"/>
          <w:szCs w:val="21"/>
        </w:rPr>
      </w:pPr>
    </w:p>
    <w:p w14:paraId="0C5E7595">
      <w:pPr>
        <w:adjustRightInd w:val="0"/>
        <w:snapToGrid w:val="0"/>
        <w:spacing w:line="360" w:lineRule="auto"/>
        <w:rPr>
          <w:rFonts w:ascii="宋体" w:hAnsi="宋体"/>
          <w:color w:val="auto"/>
          <w:szCs w:val="21"/>
        </w:rPr>
      </w:pPr>
    </w:p>
    <w:p w14:paraId="75117102">
      <w:pPr>
        <w:adjustRightInd w:val="0"/>
        <w:snapToGrid w:val="0"/>
        <w:spacing w:line="360" w:lineRule="auto"/>
        <w:ind w:right="420"/>
        <w:rPr>
          <w:rFonts w:ascii="宋体" w:hAnsi="宋体"/>
          <w:color w:val="auto"/>
          <w:szCs w:val="21"/>
        </w:rPr>
      </w:pPr>
      <w:r>
        <w:rPr>
          <w:rFonts w:hint="eastAsia" w:ascii="宋体" w:hAnsi="宋体"/>
          <w:color w:val="auto"/>
          <w:szCs w:val="21"/>
        </w:rPr>
        <w:t>供应商名称（盖单位章）：</w:t>
      </w:r>
    </w:p>
    <w:p w14:paraId="69034854">
      <w:pPr>
        <w:adjustRightInd w:val="0"/>
        <w:snapToGrid w:val="0"/>
        <w:spacing w:line="360" w:lineRule="auto"/>
        <w:ind w:right="420"/>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 xml:space="preserve">日      </w:t>
      </w:r>
    </w:p>
    <w:p w14:paraId="609310B0">
      <w:pPr>
        <w:adjustRightInd w:val="0"/>
        <w:snapToGrid w:val="0"/>
        <w:spacing w:before="156" w:beforeLines="50" w:line="360" w:lineRule="auto"/>
        <w:rPr>
          <w:rFonts w:ascii="宋体" w:hAnsi="宋体"/>
          <w:color w:val="auto"/>
          <w:szCs w:val="21"/>
        </w:rPr>
      </w:pPr>
    </w:p>
    <w:p w14:paraId="2A4E926F">
      <w:pPr>
        <w:adjustRightInd w:val="0"/>
        <w:snapToGrid w:val="0"/>
        <w:spacing w:before="156" w:beforeLines="50" w:line="360" w:lineRule="auto"/>
        <w:rPr>
          <w:rFonts w:ascii="宋体" w:hAnsi="宋体"/>
          <w:color w:val="auto"/>
          <w:szCs w:val="21"/>
        </w:rPr>
      </w:pPr>
    </w:p>
    <w:p w14:paraId="6746F58E">
      <w:pPr>
        <w:adjustRightInd w:val="0"/>
        <w:snapToGrid w:val="0"/>
        <w:spacing w:before="156" w:beforeLines="50" w:line="360" w:lineRule="auto"/>
        <w:rPr>
          <w:rFonts w:ascii="宋体" w:hAnsi="宋体"/>
          <w:b/>
          <w:color w:val="auto"/>
          <w:sz w:val="24"/>
        </w:rPr>
      </w:pPr>
      <w:r>
        <w:rPr>
          <w:rFonts w:hint="eastAsia" w:ascii="宋体" w:hAnsi="宋体"/>
          <w:color w:val="auto"/>
          <w:szCs w:val="21"/>
        </w:rPr>
        <w:br w:type="page"/>
      </w:r>
      <w:r>
        <w:rPr>
          <w:rFonts w:hint="eastAsia" w:ascii="宋体" w:hAnsi="宋体"/>
          <w:b/>
          <w:bCs/>
          <w:color w:val="auto"/>
          <w:sz w:val="24"/>
        </w:rPr>
        <w:t>附件3</w:t>
      </w:r>
    </w:p>
    <w:p w14:paraId="7FFCA04A">
      <w:pPr>
        <w:jc w:val="center"/>
        <w:rPr>
          <w:rFonts w:ascii="宋体" w:hAnsi="宋体"/>
          <w:b/>
          <w:color w:val="auto"/>
          <w:sz w:val="24"/>
        </w:rPr>
      </w:pPr>
      <w:bookmarkStart w:id="46" w:name="_Toc8103"/>
      <w:bookmarkStart w:id="47" w:name="_Toc15764"/>
      <w:bookmarkStart w:id="48" w:name="_Toc8381"/>
      <w:r>
        <w:rPr>
          <w:rFonts w:hint="eastAsia" w:ascii="宋体" w:hAnsi="宋体"/>
          <w:b/>
          <w:color w:val="auto"/>
          <w:sz w:val="24"/>
        </w:rPr>
        <w:t>法定代表人授权书</w:t>
      </w:r>
      <w:bookmarkEnd w:id="46"/>
      <w:bookmarkEnd w:id="47"/>
      <w:bookmarkEnd w:id="48"/>
    </w:p>
    <w:p w14:paraId="57D8D0E9">
      <w:pPr>
        <w:adjustRightInd w:val="0"/>
        <w:snapToGrid w:val="0"/>
        <w:spacing w:line="360" w:lineRule="auto"/>
        <w:jc w:val="center"/>
        <w:rPr>
          <w:rFonts w:ascii="宋体" w:hAnsi="宋体"/>
          <w:b/>
          <w:color w:val="auto"/>
          <w:sz w:val="28"/>
          <w:szCs w:val="28"/>
        </w:rPr>
      </w:pPr>
    </w:p>
    <w:p w14:paraId="05493E47">
      <w:pPr>
        <w:autoSpaceDE w:val="0"/>
        <w:autoSpaceDN w:val="0"/>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本人</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（姓名、职务）系</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olor w:val="auto"/>
          <w:szCs w:val="21"/>
        </w:rPr>
        <w:t>供应商</w:t>
      </w:r>
      <w:r>
        <w:rPr>
          <w:rFonts w:hint="eastAsia" w:ascii="宋体" w:hAnsi="宋体" w:cs="宋体"/>
          <w:color w:val="auto"/>
          <w:kern w:val="0"/>
          <w:szCs w:val="21"/>
        </w:rPr>
        <w:t>名称）的法定代表人，现授权</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（姓名、职务）为我方代理人。代理人根据授权，以我方名义：(1)签署、澄清、补正、修改、撤回、提交</w:t>
      </w:r>
      <w:r>
        <w:rPr>
          <w:rFonts w:hint="eastAsia" w:ascii="宋体" w:hAnsi="宋体" w:cs="宋体"/>
          <w:color w:val="auto"/>
          <w:kern w:val="0"/>
          <w:szCs w:val="21"/>
          <w:u w:val="single"/>
        </w:rPr>
        <w:t xml:space="preserve">                     </w:t>
      </w:r>
      <w:r>
        <w:rPr>
          <w:rFonts w:hint="eastAsia" w:ascii="宋体" w:hAnsi="宋体" w:cs="宋体"/>
          <w:color w:val="auto"/>
          <w:kern w:val="0"/>
          <w:szCs w:val="21"/>
        </w:rPr>
        <w:t>（项目名称、</w:t>
      </w:r>
      <w:r>
        <w:rPr>
          <w:rFonts w:hint="eastAsia" w:ascii="宋体" w:hAnsi="宋体"/>
          <w:color w:val="auto"/>
          <w:szCs w:val="21"/>
          <w:lang w:eastAsia="zh-CN"/>
        </w:rPr>
        <w:t>政府采购编号</w:t>
      </w:r>
      <w:r>
        <w:rPr>
          <w:rFonts w:hint="eastAsia" w:ascii="宋体" w:hAnsi="宋体" w:cs="宋体"/>
          <w:color w:val="auto"/>
          <w:kern w:val="0"/>
          <w:szCs w:val="21"/>
        </w:rPr>
        <w:t>、委托代理编号）响应文件；(2)签署并重新提交响应文件及最后报价；(3)退出磋商；(4)签订合同和处理有关事宜，其法律后果由我方承担。</w:t>
      </w:r>
    </w:p>
    <w:p w14:paraId="1820735D">
      <w:pPr>
        <w:autoSpaceDE w:val="0"/>
        <w:autoSpaceDN w:val="0"/>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委托期限：</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7D29D515">
      <w:pPr>
        <w:spacing w:line="360" w:lineRule="auto"/>
        <w:ind w:firstLine="435"/>
        <w:rPr>
          <w:rFonts w:ascii="宋体" w:hAnsi="宋体" w:cs="宋体"/>
          <w:color w:val="auto"/>
          <w:kern w:val="0"/>
          <w:szCs w:val="21"/>
        </w:rPr>
      </w:pPr>
      <w:r>
        <w:rPr>
          <w:rFonts w:hint="eastAsia" w:ascii="宋体" w:hAnsi="宋体" w:cs="宋体"/>
          <w:color w:val="auto"/>
          <w:kern w:val="0"/>
          <w:szCs w:val="21"/>
        </w:rPr>
        <w:t>代理人无转委托权。</w:t>
      </w:r>
    </w:p>
    <w:p w14:paraId="15F7929B">
      <w:pPr>
        <w:spacing w:line="360" w:lineRule="auto"/>
        <w:ind w:firstLine="435"/>
        <w:rPr>
          <w:rFonts w:ascii="宋体" w:hAnsi="宋体"/>
          <w:color w:val="auto"/>
          <w:szCs w:val="21"/>
        </w:rPr>
      </w:pPr>
      <w:r>
        <w:rPr>
          <w:rFonts w:hint="eastAsia" w:ascii="宋体" w:hAnsi="宋体"/>
          <w:color w:val="auto"/>
          <w:szCs w:val="21"/>
        </w:rPr>
        <w:t>本授权书于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日签字生效，特此声明。</w:t>
      </w:r>
    </w:p>
    <w:p w14:paraId="37018A72">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附：委托代理人身份证复印件及法定代表人身份证明(附件2，原件)</w:t>
      </w:r>
    </w:p>
    <w:p w14:paraId="1DE41B26">
      <w:pPr>
        <w:adjustRightInd w:val="0"/>
        <w:snapToGrid w:val="0"/>
        <w:spacing w:line="360" w:lineRule="auto"/>
        <w:ind w:right="420"/>
        <w:rPr>
          <w:rFonts w:ascii="宋体" w:hAnsi="宋体"/>
          <w:color w:val="auto"/>
          <w:szCs w:val="21"/>
        </w:rPr>
      </w:pPr>
    </w:p>
    <w:p w14:paraId="6BDCE2EA">
      <w:pPr>
        <w:adjustRightInd w:val="0"/>
        <w:snapToGrid w:val="0"/>
        <w:spacing w:line="360" w:lineRule="auto"/>
        <w:ind w:right="420"/>
        <w:rPr>
          <w:rFonts w:ascii="宋体" w:hAnsi="宋体"/>
          <w:color w:val="auto"/>
          <w:szCs w:val="21"/>
        </w:rPr>
      </w:pPr>
    </w:p>
    <w:p w14:paraId="7845743E">
      <w:pPr>
        <w:adjustRightInd w:val="0"/>
        <w:snapToGrid w:val="0"/>
        <w:spacing w:line="360" w:lineRule="auto"/>
        <w:ind w:right="420"/>
        <w:rPr>
          <w:rFonts w:ascii="宋体" w:hAnsi="宋体"/>
          <w:color w:val="auto"/>
          <w:szCs w:val="21"/>
        </w:rPr>
      </w:pPr>
    </w:p>
    <w:p w14:paraId="1AF1170B">
      <w:pPr>
        <w:adjustRightInd w:val="0"/>
        <w:snapToGrid w:val="0"/>
        <w:spacing w:line="360" w:lineRule="auto"/>
        <w:ind w:right="420"/>
        <w:rPr>
          <w:rFonts w:ascii="宋体" w:hAnsi="宋体"/>
          <w:color w:val="auto"/>
          <w:szCs w:val="21"/>
        </w:rPr>
      </w:pPr>
    </w:p>
    <w:p w14:paraId="366E5CFB">
      <w:pPr>
        <w:adjustRightInd w:val="0"/>
        <w:snapToGrid w:val="0"/>
        <w:spacing w:line="360" w:lineRule="auto"/>
        <w:ind w:right="420"/>
        <w:rPr>
          <w:rFonts w:ascii="宋体" w:hAnsi="宋体"/>
          <w:color w:val="auto"/>
          <w:szCs w:val="21"/>
        </w:rPr>
      </w:pPr>
    </w:p>
    <w:p w14:paraId="0CBED082">
      <w:pPr>
        <w:adjustRightInd w:val="0"/>
        <w:snapToGrid w:val="0"/>
        <w:spacing w:line="360" w:lineRule="auto"/>
        <w:ind w:right="420"/>
        <w:rPr>
          <w:rFonts w:ascii="宋体" w:hAnsi="宋体"/>
          <w:color w:val="auto"/>
          <w:szCs w:val="21"/>
        </w:rPr>
      </w:pPr>
    </w:p>
    <w:p w14:paraId="1FC16FF2">
      <w:pPr>
        <w:adjustRightInd w:val="0"/>
        <w:snapToGrid w:val="0"/>
        <w:spacing w:line="360" w:lineRule="auto"/>
        <w:ind w:right="420"/>
        <w:rPr>
          <w:rFonts w:ascii="宋体" w:hAnsi="宋体"/>
          <w:color w:val="auto"/>
          <w:szCs w:val="21"/>
        </w:rPr>
      </w:pPr>
    </w:p>
    <w:p w14:paraId="2B2DFBF4">
      <w:pPr>
        <w:adjustRightInd w:val="0"/>
        <w:snapToGrid w:val="0"/>
        <w:spacing w:line="360" w:lineRule="auto"/>
        <w:ind w:right="420"/>
        <w:rPr>
          <w:rFonts w:ascii="宋体" w:hAnsi="宋体"/>
          <w:color w:val="auto"/>
          <w:szCs w:val="21"/>
        </w:rPr>
      </w:pPr>
    </w:p>
    <w:p w14:paraId="150E61EC">
      <w:pPr>
        <w:adjustRightInd w:val="0"/>
        <w:snapToGrid w:val="0"/>
        <w:spacing w:line="360" w:lineRule="auto"/>
        <w:ind w:right="420"/>
        <w:rPr>
          <w:rFonts w:ascii="宋体" w:hAnsi="宋体"/>
          <w:color w:val="auto"/>
          <w:szCs w:val="21"/>
        </w:rPr>
      </w:pPr>
      <w:r>
        <w:rPr>
          <w:rFonts w:hint="eastAsia" w:ascii="宋体" w:hAnsi="宋体"/>
          <w:color w:val="auto"/>
          <w:szCs w:val="21"/>
        </w:rPr>
        <w:t>法定代表人（签字）：</w:t>
      </w:r>
      <w:r>
        <w:rPr>
          <w:rFonts w:hint="eastAsia" w:ascii="宋体" w:hAnsi="宋体"/>
          <w:color w:val="auto"/>
          <w:szCs w:val="21"/>
          <w:u w:val="single"/>
        </w:rPr>
        <w:t xml:space="preserve">                     </w:t>
      </w:r>
    </w:p>
    <w:p w14:paraId="271D7951">
      <w:pPr>
        <w:adjustRightInd w:val="0"/>
        <w:snapToGrid w:val="0"/>
        <w:spacing w:line="360" w:lineRule="auto"/>
        <w:ind w:right="420"/>
        <w:rPr>
          <w:rFonts w:ascii="宋体" w:hAnsi="宋体"/>
          <w:color w:val="auto"/>
          <w:szCs w:val="21"/>
        </w:rPr>
      </w:pPr>
      <w:r>
        <w:rPr>
          <w:rFonts w:hint="eastAsia" w:ascii="宋体" w:hAnsi="宋体"/>
          <w:color w:val="auto"/>
          <w:szCs w:val="21"/>
        </w:rPr>
        <w:t>委托代理人（签字）：</w:t>
      </w:r>
      <w:r>
        <w:rPr>
          <w:rFonts w:hint="eastAsia" w:ascii="宋体" w:hAnsi="宋体"/>
          <w:color w:val="auto"/>
          <w:szCs w:val="21"/>
          <w:u w:val="single"/>
        </w:rPr>
        <w:t xml:space="preserve">                     </w:t>
      </w:r>
    </w:p>
    <w:p w14:paraId="5EDB9F25">
      <w:pPr>
        <w:adjustRightInd w:val="0"/>
        <w:snapToGrid w:val="0"/>
        <w:spacing w:line="360" w:lineRule="auto"/>
        <w:ind w:right="24"/>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13FE2CBF">
      <w:pPr>
        <w:spacing w:line="360" w:lineRule="exact"/>
        <w:rPr>
          <w:rFonts w:ascii="宋体" w:hAnsi="宋体"/>
          <w:b/>
          <w:color w:val="auto"/>
        </w:rPr>
      </w:pPr>
    </w:p>
    <w:p w14:paraId="7B44C704">
      <w:pPr>
        <w:spacing w:line="360" w:lineRule="exact"/>
        <w:rPr>
          <w:rFonts w:ascii="宋体" w:hAnsi="宋体"/>
          <w:b/>
          <w:color w:val="auto"/>
        </w:rPr>
      </w:pPr>
    </w:p>
    <w:p w14:paraId="5EC557A3">
      <w:pPr>
        <w:spacing w:line="360" w:lineRule="exact"/>
        <w:rPr>
          <w:rFonts w:ascii="宋体" w:hAnsi="宋体"/>
          <w:b/>
          <w:color w:val="auto"/>
        </w:rPr>
      </w:pPr>
    </w:p>
    <w:p w14:paraId="18181E9C">
      <w:pPr>
        <w:spacing w:line="360" w:lineRule="exact"/>
        <w:rPr>
          <w:rFonts w:ascii="宋体" w:hAnsi="宋体"/>
          <w:b/>
          <w:color w:val="auto"/>
        </w:rPr>
      </w:pPr>
    </w:p>
    <w:p w14:paraId="1C35D2CE">
      <w:pPr>
        <w:spacing w:line="360" w:lineRule="exact"/>
        <w:jc w:val="center"/>
        <w:outlineLvl w:val="1"/>
        <w:rPr>
          <w:rFonts w:ascii="宋体" w:hAnsi="宋体"/>
          <w:b/>
          <w:color w:val="auto"/>
          <w:sz w:val="32"/>
          <w:szCs w:val="32"/>
        </w:rPr>
      </w:pPr>
      <w:r>
        <w:rPr>
          <w:color w:val="auto"/>
        </w:rPr>
        <w:br w:type="page"/>
      </w:r>
      <w:bookmarkStart w:id="49" w:name="_Toc17727"/>
      <w:bookmarkStart w:id="50" w:name="_Toc24136"/>
      <w:bookmarkStart w:id="51" w:name="_Toc7072"/>
      <w:r>
        <w:rPr>
          <w:rFonts w:hint="eastAsia" w:ascii="宋体" w:hAnsi="宋体"/>
          <w:b/>
          <w:color w:val="auto"/>
          <w:sz w:val="32"/>
          <w:szCs w:val="32"/>
        </w:rPr>
        <w:t>二、保证金</w:t>
      </w:r>
      <w:bookmarkEnd w:id="49"/>
      <w:bookmarkEnd w:id="50"/>
      <w:bookmarkEnd w:id="51"/>
    </w:p>
    <w:p w14:paraId="07C82DC3">
      <w:pPr>
        <w:pStyle w:val="28"/>
        <w:adjustRightInd w:val="0"/>
        <w:snapToGrid w:val="0"/>
        <w:spacing w:before="156" w:beforeLines="50" w:line="360" w:lineRule="auto"/>
        <w:rPr>
          <w:rFonts w:hAnsi="宋体"/>
          <w:color w:val="auto"/>
        </w:rPr>
      </w:pPr>
    </w:p>
    <w:p w14:paraId="3FB64DD3">
      <w:pPr>
        <w:rPr>
          <w:rFonts w:ascii="宋体" w:hAnsi="宋体"/>
          <w:color w:val="auto"/>
        </w:rPr>
      </w:pPr>
      <w:r>
        <w:rPr>
          <w:rFonts w:hint="eastAsia" w:ascii="宋体" w:hAnsi="宋体"/>
          <w:color w:val="auto"/>
        </w:rPr>
        <w:t>注：按磋商文件要求提供。</w:t>
      </w:r>
    </w:p>
    <w:p w14:paraId="40E6855B">
      <w:pPr>
        <w:adjustRightInd w:val="0"/>
        <w:snapToGrid w:val="0"/>
        <w:spacing w:line="360" w:lineRule="auto"/>
        <w:rPr>
          <w:rFonts w:ascii="宋体" w:hAnsi="宋体"/>
          <w:bCs/>
          <w:color w:val="auto"/>
          <w:szCs w:val="21"/>
        </w:rPr>
      </w:pPr>
    </w:p>
    <w:p w14:paraId="51883B4F">
      <w:pPr>
        <w:spacing w:line="480" w:lineRule="exact"/>
        <w:rPr>
          <w:rFonts w:ascii="宋体" w:hAnsi="宋体"/>
          <w:b/>
          <w:color w:val="auto"/>
          <w:sz w:val="24"/>
        </w:rPr>
      </w:pPr>
      <w:r>
        <w:rPr>
          <w:rFonts w:hint="eastAsia" w:ascii="宋体" w:hAnsi="宋体"/>
          <w:color w:val="auto"/>
          <w:sz w:val="24"/>
        </w:rPr>
        <w:br w:type="page"/>
      </w:r>
      <w:r>
        <w:rPr>
          <w:rFonts w:hint="eastAsia" w:ascii="宋体" w:hAnsi="宋体"/>
          <w:b/>
          <w:color w:val="auto"/>
          <w:sz w:val="24"/>
        </w:rPr>
        <w:t>附件4</w:t>
      </w:r>
    </w:p>
    <w:p w14:paraId="1C72C80D">
      <w:pPr>
        <w:spacing w:line="480" w:lineRule="exact"/>
        <w:jc w:val="center"/>
        <w:rPr>
          <w:rFonts w:ascii="宋体" w:hAnsi="宋体"/>
          <w:b/>
          <w:bCs/>
          <w:color w:val="auto"/>
          <w:sz w:val="24"/>
        </w:rPr>
      </w:pPr>
      <w:r>
        <w:rPr>
          <w:rFonts w:hint="eastAsia" w:ascii="宋体" w:hAnsi="宋体"/>
          <w:b/>
          <w:bCs/>
          <w:color w:val="auto"/>
          <w:sz w:val="24"/>
        </w:rPr>
        <w:t>采购代理服务费承诺书</w:t>
      </w:r>
    </w:p>
    <w:p w14:paraId="5A553453">
      <w:pPr>
        <w:spacing w:line="480" w:lineRule="exact"/>
        <w:jc w:val="center"/>
        <w:rPr>
          <w:rFonts w:ascii="宋体" w:hAnsi="宋体"/>
          <w:bCs/>
          <w:color w:val="auto"/>
          <w:sz w:val="36"/>
          <w:szCs w:val="36"/>
        </w:rPr>
      </w:pPr>
    </w:p>
    <w:p w14:paraId="261C7727">
      <w:pPr>
        <w:adjustRightInd w:val="0"/>
        <w:snapToGrid w:val="0"/>
        <w:spacing w:line="360" w:lineRule="auto"/>
        <w:rPr>
          <w:rFonts w:ascii="宋体" w:hAnsi="宋体"/>
          <w:color w:val="auto"/>
          <w:szCs w:val="21"/>
          <w:u w:val="single"/>
        </w:rPr>
      </w:pPr>
      <w:r>
        <w:rPr>
          <w:rFonts w:hint="eastAsia" w:ascii="宋体" w:hAnsi="宋体" w:cs="仿宋_GB2312"/>
          <w:color w:val="auto"/>
          <w:szCs w:val="21"/>
        </w:rPr>
        <w:t>致</w:t>
      </w:r>
      <w:r>
        <w:rPr>
          <w:rFonts w:hint="eastAsia" w:ascii="宋体" w:hAnsi="宋体" w:cs="仿宋_GB2312"/>
          <w:color w:val="auto"/>
          <w:szCs w:val="21"/>
          <w:u w:val="single"/>
        </w:rPr>
        <w:t xml:space="preserve">                 </w:t>
      </w:r>
      <w:r>
        <w:rPr>
          <w:rFonts w:hint="eastAsia" w:ascii="宋体" w:hAnsi="宋体" w:cs="仿宋_GB2312"/>
          <w:color w:val="auto"/>
          <w:szCs w:val="21"/>
        </w:rPr>
        <w:t xml:space="preserve"> （采购代理机构）：</w:t>
      </w:r>
    </w:p>
    <w:p w14:paraId="21DA615D">
      <w:pPr>
        <w:adjustRightInd w:val="0"/>
        <w:snapToGrid w:val="0"/>
        <w:spacing w:line="360" w:lineRule="auto"/>
        <w:ind w:firstLine="420" w:firstLineChars="200"/>
        <w:rPr>
          <w:rFonts w:ascii="宋体" w:hAnsi="宋体" w:cs="仿宋_GB2312"/>
          <w:color w:val="auto"/>
          <w:szCs w:val="21"/>
        </w:rPr>
      </w:pPr>
    </w:p>
    <w:p w14:paraId="279409AB">
      <w:pPr>
        <w:adjustRightInd w:val="0"/>
        <w:snapToGrid w:val="0"/>
        <w:spacing w:line="360" w:lineRule="auto"/>
        <w:ind w:firstLine="420" w:firstLineChars="200"/>
        <w:rPr>
          <w:rFonts w:ascii="宋体" w:hAnsi="宋体"/>
          <w:color w:val="auto"/>
          <w:szCs w:val="21"/>
        </w:rPr>
      </w:pPr>
      <w:r>
        <w:rPr>
          <w:rFonts w:hint="eastAsia" w:ascii="宋体" w:hAnsi="宋体" w:cs="仿宋_GB2312"/>
          <w:color w:val="auto"/>
          <w:szCs w:val="21"/>
        </w:rPr>
        <w:t>我们在贵单位组织的</w:t>
      </w:r>
      <w:r>
        <w:rPr>
          <w:rFonts w:hint="eastAsia" w:ascii="宋体" w:hAnsi="宋体"/>
          <w:color w:val="auto"/>
          <w:szCs w:val="21"/>
        </w:rPr>
        <w:t>（项目名称：</w:t>
      </w:r>
      <w:r>
        <w:rPr>
          <w:rFonts w:hint="eastAsia" w:ascii="宋体" w:hAnsi="宋体"/>
          <w:color w:val="auto"/>
          <w:szCs w:val="21"/>
          <w:u w:val="single"/>
        </w:rPr>
        <w:t xml:space="preserve">          </w:t>
      </w:r>
      <w:r>
        <w:rPr>
          <w:rFonts w:hint="eastAsia" w:ascii="宋体" w:hAnsi="宋体"/>
          <w:color w:val="auto"/>
          <w:szCs w:val="21"/>
        </w:rPr>
        <w:t xml:space="preserve"> ，</w:t>
      </w:r>
      <w:r>
        <w:rPr>
          <w:rFonts w:hint="eastAsia" w:ascii="宋体" w:hAnsi="宋体" w:cs="仿宋_GB2312"/>
          <w:color w:val="auto"/>
          <w:szCs w:val="21"/>
        </w:rPr>
        <w:t>采购代理编号：</w:t>
      </w:r>
      <w:r>
        <w:rPr>
          <w:rFonts w:hint="eastAsia" w:ascii="宋体" w:hAnsi="宋体"/>
          <w:color w:val="auto"/>
          <w:szCs w:val="21"/>
          <w:u w:val="single"/>
        </w:rPr>
        <w:t xml:space="preserve">         </w:t>
      </w:r>
      <w:r>
        <w:rPr>
          <w:rFonts w:hint="eastAsia" w:ascii="宋体" w:hAnsi="宋体"/>
          <w:color w:val="auto"/>
          <w:szCs w:val="21"/>
        </w:rPr>
        <w:t>）</w:t>
      </w:r>
      <w:r>
        <w:rPr>
          <w:rFonts w:hint="eastAsia" w:ascii="宋体" w:hAnsi="宋体" w:cs="仿宋_GB2312"/>
          <w:color w:val="auto"/>
          <w:szCs w:val="21"/>
        </w:rPr>
        <w:t>竞争性磋商采购中若获中标（成交），我们保证在收到中标通知书后5 个工作日内，按磋商文件的规定，以转账或现金，向贵公司一次性支付采购代理服务费用。否则，</w:t>
      </w:r>
      <w:r>
        <w:rPr>
          <w:rFonts w:hint="eastAsia" w:ascii="宋体" w:hAnsi="宋体"/>
          <w:color w:val="auto"/>
          <w:szCs w:val="21"/>
        </w:rPr>
        <w:t>由此产生的一切法律后果和责任由我公司承担。我公司声明放弃对此提出任何异议和追索的权利。</w:t>
      </w:r>
    </w:p>
    <w:p w14:paraId="6A2E6DE3">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特此承诺。</w:t>
      </w:r>
    </w:p>
    <w:p w14:paraId="0F26830A">
      <w:pPr>
        <w:adjustRightInd w:val="0"/>
        <w:snapToGrid w:val="0"/>
        <w:spacing w:line="360" w:lineRule="auto"/>
        <w:rPr>
          <w:rFonts w:asciiTheme="minorEastAsia" w:hAnsiTheme="minorEastAsia" w:eastAsiaTheme="minorEastAsia"/>
          <w:color w:val="auto"/>
          <w:szCs w:val="21"/>
        </w:rPr>
      </w:pPr>
    </w:p>
    <w:tbl>
      <w:tblPr>
        <w:tblStyle w:val="5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7"/>
      </w:tblGrid>
      <w:tr w14:paraId="43C5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7" w:type="dxa"/>
          </w:tcPr>
          <w:p w14:paraId="1F56112B">
            <w:pPr>
              <w:adjustRightInd w:val="0"/>
              <w:snapToGrid w:val="0"/>
              <w:spacing w:line="360" w:lineRule="auto"/>
              <w:jc w:val="center"/>
              <w:rPr>
                <w:rFonts w:ascii="黑体" w:hAnsi="黑体" w:eastAsia="黑体"/>
                <w:color w:val="auto"/>
                <w:kern w:val="0"/>
                <w:sz w:val="28"/>
                <w:szCs w:val="28"/>
                <w:u w:val="single"/>
              </w:rPr>
            </w:pPr>
            <w:r>
              <w:rPr>
                <w:rFonts w:ascii="黑体" w:hAnsi="黑体" w:eastAsia="黑体"/>
                <w:color w:val="auto"/>
                <w:kern w:val="0"/>
                <w:sz w:val="28"/>
                <w:szCs w:val="28"/>
                <w:u w:val="single"/>
              </w:rPr>
              <w:t>开具</w:t>
            </w:r>
            <w:r>
              <w:rPr>
                <w:rFonts w:hint="eastAsia" w:ascii="黑体" w:hAnsi="黑体" w:eastAsia="黑体"/>
                <w:color w:val="auto"/>
                <w:kern w:val="0"/>
                <w:sz w:val="28"/>
                <w:szCs w:val="28"/>
                <w:u w:val="single"/>
              </w:rPr>
              <w:t>发票信息</w:t>
            </w:r>
          </w:p>
          <w:p w14:paraId="478DD9F5">
            <w:pPr>
              <w:adjustRightInd w:val="0"/>
              <w:snapToGrid w:val="0"/>
              <w:spacing w:line="360" w:lineRule="auto"/>
              <w:ind w:firstLine="420" w:firstLineChars="200"/>
              <w:rPr>
                <w:rFonts w:asciiTheme="minorEastAsia" w:hAnsiTheme="minorEastAsia" w:eastAsiaTheme="minorEastAsia"/>
                <w:color w:val="auto"/>
                <w:kern w:val="0"/>
                <w:sz w:val="20"/>
                <w:szCs w:val="21"/>
              </w:rPr>
            </w:pPr>
            <w:r>
              <w:rPr>
                <w:rFonts w:asciiTheme="minorEastAsia" w:hAnsiTheme="minorEastAsia" w:eastAsiaTheme="minorEastAsia"/>
                <w:color w:val="auto"/>
                <w:kern w:val="0"/>
                <w:szCs w:val="21"/>
              </w:rPr>
              <w:t>□</w:t>
            </w:r>
            <w:r>
              <w:rPr>
                <w:rFonts w:hint="eastAsia" w:asciiTheme="minorEastAsia" w:hAnsiTheme="minorEastAsia" w:eastAsiaTheme="minorEastAsia"/>
                <w:color w:val="auto"/>
                <w:kern w:val="0"/>
                <w:szCs w:val="21"/>
              </w:rPr>
              <w:t xml:space="preserve"> </w:t>
            </w:r>
            <w:r>
              <w:rPr>
                <w:rFonts w:asciiTheme="minorEastAsia" w:hAnsiTheme="minorEastAsia" w:eastAsiaTheme="minorEastAsia"/>
                <w:color w:val="auto"/>
                <w:kern w:val="0"/>
                <w:szCs w:val="21"/>
              </w:rPr>
              <w:t>增值税普通发票</w:t>
            </w:r>
          </w:p>
          <w:p w14:paraId="08636A40">
            <w:pPr>
              <w:adjustRightInd w:val="0"/>
              <w:snapToGrid w:val="0"/>
              <w:spacing w:line="360" w:lineRule="auto"/>
              <w:ind w:firstLine="420" w:firstLineChars="200"/>
              <w:rPr>
                <w:rFonts w:asciiTheme="minorEastAsia" w:hAnsiTheme="minorEastAsia" w:eastAsiaTheme="minorEastAsia"/>
                <w:color w:val="auto"/>
                <w:kern w:val="0"/>
                <w:sz w:val="20"/>
                <w:szCs w:val="21"/>
              </w:rPr>
            </w:pPr>
            <w:r>
              <w:rPr>
                <w:rFonts w:asciiTheme="minorEastAsia" w:hAnsiTheme="minorEastAsia" w:eastAsiaTheme="minorEastAsia"/>
                <w:color w:val="auto"/>
                <w:kern w:val="0"/>
                <w:szCs w:val="21"/>
              </w:rPr>
              <w:t>单位名称：</w:t>
            </w:r>
            <w:r>
              <w:rPr>
                <w:rFonts w:hint="eastAsia" w:ascii="宋体" w:hAnsi="宋体"/>
                <w:color w:val="auto"/>
                <w:kern w:val="0"/>
                <w:sz w:val="20"/>
                <w:szCs w:val="21"/>
                <w:u w:val="single"/>
              </w:rPr>
              <w:t xml:space="preserve">                   </w:t>
            </w:r>
          </w:p>
          <w:p w14:paraId="02119791">
            <w:pPr>
              <w:adjustRightInd w:val="0"/>
              <w:snapToGrid w:val="0"/>
              <w:spacing w:line="360" w:lineRule="auto"/>
              <w:ind w:firstLine="420" w:firstLineChars="200"/>
              <w:rPr>
                <w:rFonts w:asciiTheme="minorEastAsia" w:hAnsiTheme="minorEastAsia" w:eastAsiaTheme="minorEastAsia"/>
                <w:color w:val="auto"/>
                <w:kern w:val="0"/>
                <w:sz w:val="20"/>
                <w:szCs w:val="21"/>
              </w:rPr>
            </w:pPr>
            <w:r>
              <w:rPr>
                <w:rFonts w:asciiTheme="minorEastAsia" w:hAnsiTheme="minorEastAsia" w:eastAsiaTheme="minorEastAsia"/>
                <w:color w:val="auto"/>
                <w:kern w:val="0"/>
                <w:szCs w:val="21"/>
              </w:rPr>
              <w:t>纳税人识别号：</w:t>
            </w:r>
            <w:r>
              <w:rPr>
                <w:rFonts w:hint="eastAsia" w:ascii="宋体" w:hAnsi="宋体"/>
                <w:color w:val="auto"/>
                <w:kern w:val="0"/>
                <w:sz w:val="20"/>
                <w:szCs w:val="21"/>
                <w:u w:val="single"/>
              </w:rPr>
              <w:t xml:space="preserve">                   </w:t>
            </w:r>
          </w:p>
          <w:p w14:paraId="14FFBDFD">
            <w:pPr>
              <w:adjustRightInd w:val="0"/>
              <w:snapToGrid w:val="0"/>
              <w:spacing w:line="360" w:lineRule="auto"/>
              <w:ind w:firstLine="420" w:firstLineChars="200"/>
              <w:rPr>
                <w:rFonts w:asciiTheme="minorEastAsia" w:hAnsiTheme="minorEastAsia" w:eastAsiaTheme="minorEastAsia"/>
                <w:color w:val="auto"/>
                <w:kern w:val="0"/>
                <w:sz w:val="20"/>
                <w:szCs w:val="21"/>
              </w:rPr>
            </w:pPr>
            <w:r>
              <w:rPr>
                <w:rFonts w:asciiTheme="minorEastAsia" w:hAnsiTheme="minorEastAsia" w:eastAsiaTheme="minorEastAsia"/>
                <w:color w:val="auto"/>
                <w:kern w:val="0"/>
                <w:szCs w:val="21"/>
              </w:rPr>
              <w:t>地址：</w:t>
            </w:r>
            <w:r>
              <w:rPr>
                <w:rFonts w:hint="eastAsia" w:ascii="宋体" w:hAnsi="宋体"/>
                <w:color w:val="auto"/>
                <w:kern w:val="0"/>
                <w:sz w:val="20"/>
                <w:szCs w:val="21"/>
                <w:u w:val="single"/>
              </w:rPr>
              <w:t xml:space="preserve">                   </w:t>
            </w:r>
          </w:p>
          <w:p w14:paraId="5F8D752D">
            <w:pPr>
              <w:adjustRightInd w:val="0"/>
              <w:snapToGrid w:val="0"/>
              <w:spacing w:line="360" w:lineRule="auto"/>
              <w:ind w:firstLine="420" w:firstLineChars="200"/>
              <w:rPr>
                <w:rFonts w:asciiTheme="minorEastAsia" w:hAnsiTheme="minorEastAsia" w:eastAsiaTheme="minorEastAsia"/>
                <w:color w:val="auto"/>
                <w:kern w:val="0"/>
                <w:sz w:val="20"/>
                <w:szCs w:val="21"/>
              </w:rPr>
            </w:pPr>
            <w:r>
              <w:rPr>
                <w:rFonts w:asciiTheme="minorEastAsia" w:hAnsiTheme="minorEastAsia" w:eastAsiaTheme="minorEastAsia"/>
                <w:color w:val="auto"/>
                <w:kern w:val="0"/>
                <w:szCs w:val="21"/>
              </w:rPr>
              <w:t>电话：</w:t>
            </w:r>
            <w:r>
              <w:rPr>
                <w:rFonts w:hint="eastAsia" w:ascii="宋体" w:hAnsi="宋体"/>
                <w:color w:val="auto"/>
                <w:kern w:val="0"/>
                <w:sz w:val="20"/>
                <w:szCs w:val="21"/>
                <w:u w:val="single"/>
              </w:rPr>
              <w:t xml:space="preserve">                   </w:t>
            </w:r>
          </w:p>
          <w:p w14:paraId="73252833">
            <w:pPr>
              <w:adjustRightInd w:val="0"/>
              <w:snapToGrid w:val="0"/>
              <w:spacing w:line="360" w:lineRule="auto"/>
              <w:ind w:firstLine="420" w:firstLineChars="200"/>
              <w:rPr>
                <w:rFonts w:asciiTheme="minorEastAsia" w:hAnsiTheme="minorEastAsia" w:eastAsiaTheme="minorEastAsia"/>
                <w:color w:val="auto"/>
                <w:kern w:val="0"/>
                <w:sz w:val="20"/>
                <w:szCs w:val="21"/>
              </w:rPr>
            </w:pPr>
            <w:r>
              <w:rPr>
                <w:rFonts w:asciiTheme="minorEastAsia" w:hAnsiTheme="minorEastAsia" w:eastAsiaTheme="minorEastAsia"/>
                <w:color w:val="auto"/>
                <w:kern w:val="0"/>
                <w:szCs w:val="21"/>
              </w:rPr>
              <w:t>开户行：</w:t>
            </w:r>
            <w:r>
              <w:rPr>
                <w:rFonts w:hint="eastAsia" w:ascii="宋体" w:hAnsi="宋体"/>
                <w:color w:val="auto"/>
                <w:kern w:val="0"/>
                <w:sz w:val="20"/>
                <w:szCs w:val="21"/>
                <w:u w:val="single"/>
              </w:rPr>
              <w:t xml:space="preserve">                   </w:t>
            </w:r>
          </w:p>
          <w:p w14:paraId="7800B49C">
            <w:pPr>
              <w:adjustRightInd w:val="0"/>
              <w:snapToGrid w:val="0"/>
              <w:spacing w:line="360" w:lineRule="auto"/>
              <w:ind w:firstLine="420" w:firstLineChars="200"/>
              <w:rPr>
                <w:rFonts w:asciiTheme="minorEastAsia" w:hAnsiTheme="minorEastAsia" w:eastAsiaTheme="minorEastAsia"/>
                <w:color w:val="auto"/>
                <w:kern w:val="0"/>
                <w:sz w:val="20"/>
                <w:szCs w:val="21"/>
              </w:rPr>
            </w:pPr>
            <w:r>
              <w:rPr>
                <w:rFonts w:asciiTheme="minorEastAsia" w:hAnsiTheme="minorEastAsia" w:eastAsiaTheme="minorEastAsia"/>
                <w:color w:val="auto"/>
                <w:kern w:val="0"/>
                <w:szCs w:val="21"/>
              </w:rPr>
              <w:t>账号：</w:t>
            </w:r>
            <w:r>
              <w:rPr>
                <w:rFonts w:hint="eastAsia" w:ascii="宋体" w:hAnsi="宋体"/>
                <w:color w:val="auto"/>
                <w:kern w:val="0"/>
                <w:sz w:val="20"/>
                <w:szCs w:val="21"/>
                <w:u w:val="single"/>
              </w:rPr>
              <w:t xml:space="preserve">                   </w:t>
            </w:r>
          </w:p>
        </w:tc>
      </w:tr>
    </w:tbl>
    <w:p w14:paraId="2D8E1268">
      <w:pPr>
        <w:adjustRightInd w:val="0"/>
        <w:snapToGrid w:val="0"/>
        <w:spacing w:line="360" w:lineRule="auto"/>
        <w:ind w:firstLine="420" w:firstLineChars="200"/>
        <w:rPr>
          <w:rFonts w:asciiTheme="minorEastAsia" w:hAnsiTheme="minorEastAsia" w:eastAsiaTheme="minorEastAsia"/>
          <w:color w:val="auto"/>
          <w:szCs w:val="21"/>
        </w:rPr>
      </w:pPr>
    </w:p>
    <w:p w14:paraId="61815814">
      <w:pPr>
        <w:adjustRightInd w:val="0"/>
        <w:snapToGrid w:val="0"/>
        <w:spacing w:line="360" w:lineRule="auto"/>
        <w:rPr>
          <w:rFonts w:ascii="宋体" w:hAnsi="宋体" w:cs="仿宋_GB2312"/>
          <w:color w:val="auto"/>
          <w:szCs w:val="21"/>
        </w:rPr>
      </w:pPr>
      <w:r>
        <w:rPr>
          <w:rFonts w:ascii="宋体" w:hAnsi="宋体" w:cs="仿宋_GB2312"/>
          <w:color w:val="auto"/>
          <w:szCs w:val="21"/>
        </w:rPr>
        <w:t xml:space="preserve">           </w:t>
      </w:r>
    </w:p>
    <w:p w14:paraId="55C24974">
      <w:pPr>
        <w:adjustRightInd w:val="0"/>
        <w:snapToGrid w:val="0"/>
        <w:spacing w:line="360" w:lineRule="auto"/>
        <w:rPr>
          <w:rFonts w:ascii="宋体" w:hAnsi="宋体"/>
          <w:color w:val="auto"/>
          <w:szCs w:val="21"/>
          <w:u w:val="single"/>
        </w:rPr>
      </w:pPr>
      <w:r>
        <w:rPr>
          <w:rFonts w:hint="eastAsia" w:ascii="宋体" w:hAnsi="宋体"/>
          <w:color w:val="auto"/>
          <w:szCs w:val="21"/>
        </w:rPr>
        <w:t>供应商名称（盖单位章）：</w:t>
      </w:r>
      <w:r>
        <w:rPr>
          <w:rFonts w:hint="eastAsia" w:ascii="宋体" w:hAnsi="宋体"/>
          <w:color w:val="auto"/>
          <w:szCs w:val="21"/>
          <w:u w:val="single"/>
        </w:rPr>
        <w:t xml:space="preserve">                             </w:t>
      </w:r>
    </w:p>
    <w:p w14:paraId="763D1F3B">
      <w:pPr>
        <w:adjustRightInd w:val="0"/>
        <w:snapToGrid w:val="0"/>
        <w:spacing w:line="360" w:lineRule="auto"/>
        <w:rPr>
          <w:rFonts w:ascii="宋体" w:hAnsi="宋体"/>
          <w:color w:val="auto"/>
          <w:szCs w:val="21"/>
        </w:rPr>
      </w:pPr>
      <w:r>
        <w:rPr>
          <w:rFonts w:hint="eastAsia" w:cs="微软雅黑" w:asciiTheme="minorEastAsia" w:hAnsiTheme="minorEastAsia" w:eastAsiaTheme="minorEastAsia"/>
          <w:color w:val="auto"/>
          <w:spacing w:val="-2"/>
          <w:kern w:val="0"/>
          <w:szCs w:val="21"/>
        </w:rPr>
        <w:t xml:space="preserve">法定代表人或其委托代理人 </w:t>
      </w:r>
      <w:r>
        <w:rPr>
          <w:rFonts w:hint="eastAsia" w:ascii="宋体" w:hAnsi="宋体"/>
          <w:color w:val="auto"/>
          <w:szCs w:val="21"/>
        </w:rPr>
        <w:t>（签字或印章）：</w:t>
      </w:r>
      <w:r>
        <w:rPr>
          <w:rFonts w:hint="eastAsia" w:ascii="宋体" w:hAnsi="宋体"/>
          <w:color w:val="auto"/>
          <w:szCs w:val="21"/>
          <w:u w:val="single"/>
        </w:rPr>
        <w:t xml:space="preserve">                     </w:t>
      </w:r>
    </w:p>
    <w:p w14:paraId="3A8D9DAB">
      <w:pPr>
        <w:adjustRightInd w:val="0"/>
        <w:snapToGrid w:val="0"/>
        <w:spacing w:before="50"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437DAF1D">
      <w:pPr>
        <w:pStyle w:val="28"/>
        <w:adjustRightInd w:val="0"/>
        <w:snapToGrid w:val="0"/>
        <w:spacing w:before="156" w:beforeLines="50" w:line="360" w:lineRule="auto"/>
        <w:rPr>
          <w:rFonts w:hAnsi="宋体"/>
          <w:color w:val="auto"/>
        </w:rPr>
      </w:pPr>
    </w:p>
    <w:p w14:paraId="3880B6D1">
      <w:pPr>
        <w:pStyle w:val="28"/>
        <w:adjustRightInd w:val="0"/>
        <w:snapToGrid w:val="0"/>
        <w:spacing w:before="156" w:beforeLines="50" w:line="360" w:lineRule="auto"/>
        <w:rPr>
          <w:rFonts w:hAnsi="宋体"/>
          <w:color w:val="auto"/>
        </w:rPr>
      </w:pPr>
      <w:r>
        <w:rPr>
          <w:rFonts w:hint="eastAsia" w:hAnsi="宋体"/>
          <w:b/>
          <w:bCs/>
          <w:color w:val="auto"/>
          <w:sz w:val="28"/>
          <w:szCs w:val="28"/>
        </w:rPr>
        <w:t>备注：采购代理服务费由采购人支付的无需提供。</w:t>
      </w:r>
    </w:p>
    <w:p w14:paraId="4CECC69A">
      <w:pPr>
        <w:pStyle w:val="28"/>
        <w:adjustRightInd w:val="0"/>
        <w:snapToGrid w:val="0"/>
        <w:spacing w:before="156" w:beforeLines="50" w:line="360" w:lineRule="auto"/>
        <w:rPr>
          <w:rFonts w:hAnsi="宋体"/>
          <w:color w:val="auto"/>
        </w:rPr>
      </w:pPr>
    </w:p>
    <w:p w14:paraId="34FB23FE">
      <w:pPr>
        <w:pStyle w:val="28"/>
        <w:adjustRightInd w:val="0"/>
        <w:snapToGrid w:val="0"/>
        <w:spacing w:before="156" w:beforeLines="50" w:line="360" w:lineRule="auto"/>
        <w:rPr>
          <w:rFonts w:hAnsi="宋体"/>
          <w:color w:val="auto"/>
        </w:rPr>
      </w:pPr>
    </w:p>
    <w:p w14:paraId="3B119FE1">
      <w:pPr>
        <w:pStyle w:val="28"/>
        <w:adjustRightInd w:val="0"/>
        <w:snapToGrid w:val="0"/>
        <w:spacing w:before="156" w:beforeLines="50" w:line="360" w:lineRule="auto"/>
        <w:rPr>
          <w:rFonts w:hAnsi="宋体"/>
          <w:color w:val="auto"/>
        </w:rPr>
      </w:pPr>
    </w:p>
    <w:p w14:paraId="1B570DC6">
      <w:pPr>
        <w:adjustRightInd w:val="0"/>
        <w:snapToGrid w:val="0"/>
        <w:spacing w:line="360" w:lineRule="auto"/>
        <w:jc w:val="center"/>
        <w:rPr>
          <w:rFonts w:ascii="宋体" w:hAnsi="宋体"/>
          <w:b/>
          <w:color w:val="auto"/>
          <w:sz w:val="32"/>
          <w:szCs w:val="32"/>
        </w:rPr>
      </w:pPr>
    </w:p>
    <w:p w14:paraId="335F05FC">
      <w:pPr>
        <w:adjustRightInd w:val="0"/>
        <w:snapToGrid w:val="0"/>
        <w:spacing w:line="360" w:lineRule="auto"/>
        <w:jc w:val="center"/>
        <w:outlineLvl w:val="1"/>
        <w:rPr>
          <w:rFonts w:ascii="宋体" w:hAnsi="宋体"/>
          <w:b/>
          <w:bCs/>
          <w:color w:val="auto"/>
          <w:sz w:val="32"/>
          <w:szCs w:val="32"/>
        </w:rPr>
      </w:pPr>
      <w:bookmarkStart w:id="52" w:name="_Toc8046"/>
      <w:bookmarkStart w:id="53" w:name="_Toc21771"/>
      <w:bookmarkStart w:id="54" w:name="_Toc31039"/>
      <w:r>
        <w:rPr>
          <w:rFonts w:hint="eastAsia" w:ascii="宋体" w:hAnsi="宋体"/>
          <w:b/>
          <w:color w:val="auto"/>
          <w:sz w:val="32"/>
          <w:szCs w:val="32"/>
        </w:rPr>
        <w:t>三、供应商</w:t>
      </w:r>
      <w:r>
        <w:rPr>
          <w:rFonts w:hint="eastAsia" w:ascii="宋体" w:hAnsi="宋体"/>
          <w:b/>
          <w:bCs/>
          <w:color w:val="auto"/>
          <w:sz w:val="32"/>
          <w:szCs w:val="32"/>
        </w:rPr>
        <w:t>的资格证明材料</w:t>
      </w:r>
      <w:bookmarkEnd w:id="52"/>
      <w:bookmarkEnd w:id="53"/>
      <w:bookmarkEnd w:id="54"/>
    </w:p>
    <w:p w14:paraId="358C4287">
      <w:pPr>
        <w:spacing w:line="480" w:lineRule="exact"/>
        <w:rPr>
          <w:rFonts w:ascii="宋体" w:hAnsi="宋体"/>
          <w:b/>
          <w:color w:val="auto"/>
          <w:sz w:val="24"/>
        </w:rPr>
      </w:pPr>
      <w:r>
        <w:rPr>
          <w:rFonts w:hint="eastAsia" w:ascii="宋体" w:hAnsi="宋体"/>
          <w:b/>
          <w:color w:val="auto"/>
          <w:sz w:val="24"/>
        </w:rPr>
        <w:t>附件5</w:t>
      </w:r>
    </w:p>
    <w:p w14:paraId="7272BF86">
      <w:pPr>
        <w:adjustRightInd w:val="0"/>
        <w:snapToGrid w:val="0"/>
        <w:spacing w:line="360" w:lineRule="auto"/>
        <w:jc w:val="center"/>
        <w:rPr>
          <w:rFonts w:ascii="宋体" w:hAnsi="宋体"/>
          <w:b/>
          <w:color w:val="auto"/>
          <w:sz w:val="24"/>
        </w:rPr>
      </w:pPr>
      <w:r>
        <w:rPr>
          <w:rFonts w:hint="eastAsia" w:ascii="宋体" w:hAnsi="宋体"/>
          <w:b/>
          <w:color w:val="auto"/>
          <w:sz w:val="24"/>
        </w:rPr>
        <w:t>供应商基本情况表</w:t>
      </w:r>
    </w:p>
    <w:p w14:paraId="36135BA5">
      <w:pPr>
        <w:adjustRightInd w:val="0"/>
        <w:snapToGrid w:val="0"/>
        <w:spacing w:line="360" w:lineRule="auto"/>
        <w:rPr>
          <w:rFonts w:ascii="宋体" w:hAnsi="宋体"/>
          <w:color w:val="auto"/>
          <w:szCs w:val="21"/>
        </w:rPr>
      </w:pPr>
      <w:r>
        <w:rPr>
          <w:rFonts w:hint="eastAsia" w:ascii="宋体" w:hAnsi="宋体"/>
          <w:color w:val="auto"/>
          <w:szCs w:val="21"/>
        </w:rPr>
        <w:t>盖供应商单位章</w:t>
      </w:r>
    </w:p>
    <w:tbl>
      <w:tblPr>
        <w:tblStyle w:val="51"/>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780"/>
        <w:gridCol w:w="725"/>
        <w:gridCol w:w="850"/>
        <w:gridCol w:w="590"/>
        <w:gridCol w:w="294"/>
        <w:gridCol w:w="1083"/>
        <w:gridCol w:w="1329"/>
        <w:gridCol w:w="2101"/>
      </w:tblGrid>
      <w:tr w14:paraId="575933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2038" w:type="dxa"/>
            <w:gridSpan w:val="3"/>
            <w:tcBorders>
              <w:top w:val="double" w:color="auto" w:sz="4" w:space="0"/>
              <w:left w:val="double" w:color="auto" w:sz="4" w:space="0"/>
              <w:bottom w:val="single" w:color="auto" w:sz="6" w:space="0"/>
              <w:right w:val="single" w:color="auto" w:sz="6" w:space="0"/>
            </w:tcBorders>
            <w:vAlign w:val="center"/>
          </w:tcPr>
          <w:p w14:paraId="08805227">
            <w:pPr>
              <w:topLinePunct/>
              <w:spacing w:line="440" w:lineRule="exact"/>
              <w:jc w:val="center"/>
              <w:rPr>
                <w:rFonts w:ascii="宋体" w:hAnsi="宋体"/>
                <w:color w:val="auto"/>
                <w:szCs w:val="21"/>
              </w:rPr>
            </w:pPr>
            <w:r>
              <w:rPr>
                <w:rFonts w:hint="eastAsia" w:ascii="宋体" w:hAnsi="宋体"/>
                <w:color w:val="auto"/>
                <w:szCs w:val="21"/>
              </w:rPr>
              <w:t>供应商名称</w:t>
            </w:r>
          </w:p>
        </w:tc>
        <w:tc>
          <w:tcPr>
            <w:tcW w:w="3542" w:type="dxa"/>
            <w:gridSpan w:val="5"/>
            <w:tcBorders>
              <w:top w:val="double" w:color="auto" w:sz="4" w:space="0"/>
              <w:left w:val="single" w:color="auto" w:sz="6" w:space="0"/>
              <w:bottom w:val="single" w:color="auto" w:sz="6" w:space="0"/>
              <w:right w:val="single" w:color="auto" w:sz="6" w:space="0"/>
            </w:tcBorders>
            <w:vAlign w:val="center"/>
          </w:tcPr>
          <w:p w14:paraId="6D665AB3">
            <w:pPr>
              <w:topLinePunct/>
              <w:spacing w:line="440" w:lineRule="exact"/>
              <w:jc w:val="center"/>
              <w:rPr>
                <w:rFonts w:ascii="宋体" w:hAnsi="宋体"/>
                <w:color w:val="auto"/>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2832239F">
            <w:pPr>
              <w:topLinePunct/>
              <w:spacing w:line="440" w:lineRule="exact"/>
              <w:jc w:val="center"/>
              <w:rPr>
                <w:rFonts w:ascii="宋体" w:hAnsi="宋体"/>
                <w:color w:val="auto"/>
                <w:szCs w:val="21"/>
              </w:rPr>
            </w:pPr>
            <w:r>
              <w:rPr>
                <w:rFonts w:hint="eastAsia" w:ascii="宋体" w:hAnsi="宋体"/>
                <w:color w:val="auto"/>
                <w:szCs w:val="21"/>
              </w:rPr>
              <w:t>法定代表人</w:t>
            </w:r>
          </w:p>
        </w:tc>
        <w:tc>
          <w:tcPr>
            <w:tcW w:w="2101" w:type="dxa"/>
            <w:tcBorders>
              <w:top w:val="double" w:color="auto" w:sz="4" w:space="0"/>
              <w:left w:val="single" w:color="auto" w:sz="6" w:space="0"/>
              <w:bottom w:val="single" w:color="auto" w:sz="6" w:space="0"/>
              <w:right w:val="double" w:color="auto" w:sz="4" w:space="0"/>
            </w:tcBorders>
            <w:vAlign w:val="center"/>
          </w:tcPr>
          <w:p w14:paraId="28C7F791">
            <w:pPr>
              <w:topLinePunct/>
              <w:spacing w:line="440" w:lineRule="exact"/>
              <w:jc w:val="center"/>
              <w:rPr>
                <w:rFonts w:ascii="宋体" w:hAnsi="宋体"/>
                <w:color w:val="auto"/>
                <w:szCs w:val="21"/>
              </w:rPr>
            </w:pPr>
          </w:p>
        </w:tc>
      </w:tr>
      <w:tr w14:paraId="035204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2038" w:type="dxa"/>
            <w:gridSpan w:val="3"/>
            <w:tcBorders>
              <w:top w:val="single" w:color="auto" w:sz="6" w:space="0"/>
              <w:left w:val="double" w:color="auto" w:sz="4" w:space="0"/>
              <w:bottom w:val="single" w:color="auto" w:sz="6" w:space="0"/>
              <w:right w:val="single" w:color="auto" w:sz="6" w:space="0"/>
            </w:tcBorders>
            <w:vAlign w:val="center"/>
          </w:tcPr>
          <w:p w14:paraId="3FCEC101">
            <w:pPr>
              <w:topLinePunct/>
              <w:spacing w:line="440" w:lineRule="exact"/>
              <w:jc w:val="center"/>
              <w:rPr>
                <w:rFonts w:ascii="宋体" w:hAnsi="宋体"/>
                <w:color w:val="auto"/>
                <w:szCs w:val="21"/>
              </w:rPr>
            </w:pPr>
            <w:r>
              <w:rPr>
                <w:rFonts w:hint="eastAsia" w:ascii="宋体" w:hAnsi="宋体"/>
                <w:color w:val="auto"/>
                <w:szCs w:val="21"/>
              </w:rPr>
              <w:t>统一社会信用代码</w:t>
            </w:r>
          </w:p>
        </w:tc>
        <w:tc>
          <w:tcPr>
            <w:tcW w:w="3542" w:type="dxa"/>
            <w:gridSpan w:val="5"/>
            <w:tcBorders>
              <w:top w:val="single" w:color="auto" w:sz="6" w:space="0"/>
              <w:left w:val="single" w:color="auto" w:sz="6" w:space="0"/>
              <w:bottom w:val="single" w:color="auto" w:sz="6" w:space="0"/>
              <w:right w:val="single" w:color="auto" w:sz="6" w:space="0"/>
            </w:tcBorders>
            <w:vAlign w:val="center"/>
          </w:tcPr>
          <w:p w14:paraId="756BCC2D">
            <w:pPr>
              <w:topLinePunct/>
              <w:spacing w:line="440" w:lineRule="exact"/>
              <w:jc w:val="center"/>
              <w:rPr>
                <w:rFonts w:ascii="宋体" w:hAnsi="宋体"/>
                <w:color w:val="auto"/>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78440AC">
            <w:pPr>
              <w:topLinePunct/>
              <w:spacing w:line="440" w:lineRule="exact"/>
              <w:jc w:val="center"/>
              <w:rPr>
                <w:rFonts w:ascii="宋体" w:hAnsi="宋体"/>
                <w:color w:val="auto"/>
                <w:szCs w:val="21"/>
              </w:rPr>
            </w:pPr>
            <w:r>
              <w:rPr>
                <w:rFonts w:hint="eastAsia" w:ascii="宋体" w:hAnsi="宋体"/>
                <w:color w:val="auto"/>
                <w:szCs w:val="21"/>
              </w:rPr>
              <w:t>邮政编码</w:t>
            </w:r>
          </w:p>
        </w:tc>
        <w:tc>
          <w:tcPr>
            <w:tcW w:w="2101" w:type="dxa"/>
            <w:tcBorders>
              <w:top w:val="single" w:color="auto" w:sz="6" w:space="0"/>
              <w:left w:val="single" w:color="auto" w:sz="6" w:space="0"/>
              <w:bottom w:val="single" w:color="auto" w:sz="6" w:space="0"/>
              <w:right w:val="double" w:color="auto" w:sz="4" w:space="0"/>
            </w:tcBorders>
            <w:vAlign w:val="center"/>
          </w:tcPr>
          <w:p w14:paraId="278E49F2">
            <w:pPr>
              <w:topLinePunct/>
              <w:spacing w:line="440" w:lineRule="exact"/>
              <w:jc w:val="center"/>
              <w:rPr>
                <w:rFonts w:ascii="宋体" w:hAnsi="宋体"/>
                <w:color w:val="auto"/>
                <w:szCs w:val="21"/>
              </w:rPr>
            </w:pPr>
          </w:p>
        </w:tc>
      </w:tr>
      <w:tr w14:paraId="40303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2038" w:type="dxa"/>
            <w:gridSpan w:val="3"/>
            <w:tcBorders>
              <w:top w:val="single" w:color="auto" w:sz="6" w:space="0"/>
              <w:left w:val="double" w:color="auto" w:sz="4" w:space="0"/>
              <w:bottom w:val="single" w:color="auto" w:sz="6" w:space="0"/>
              <w:right w:val="single" w:color="auto" w:sz="6" w:space="0"/>
            </w:tcBorders>
            <w:vAlign w:val="center"/>
          </w:tcPr>
          <w:p w14:paraId="0EE3759C">
            <w:pPr>
              <w:topLinePunct/>
              <w:spacing w:line="440" w:lineRule="exact"/>
              <w:jc w:val="center"/>
              <w:rPr>
                <w:rFonts w:ascii="宋体" w:hAnsi="宋体"/>
                <w:color w:val="auto"/>
                <w:szCs w:val="21"/>
              </w:rPr>
            </w:pPr>
            <w:r>
              <w:rPr>
                <w:rFonts w:hint="eastAsia" w:ascii="宋体" w:hAnsi="宋体"/>
                <w:color w:val="auto"/>
                <w:szCs w:val="21"/>
              </w:rPr>
              <w:t>委托代理人</w:t>
            </w:r>
          </w:p>
        </w:tc>
        <w:tc>
          <w:tcPr>
            <w:tcW w:w="3542" w:type="dxa"/>
            <w:gridSpan w:val="5"/>
            <w:tcBorders>
              <w:top w:val="single" w:color="auto" w:sz="6" w:space="0"/>
              <w:left w:val="single" w:color="auto" w:sz="6" w:space="0"/>
              <w:bottom w:val="single" w:color="auto" w:sz="6" w:space="0"/>
              <w:right w:val="single" w:color="auto" w:sz="6" w:space="0"/>
            </w:tcBorders>
            <w:vAlign w:val="center"/>
          </w:tcPr>
          <w:p w14:paraId="262D2F25">
            <w:pPr>
              <w:topLinePunct/>
              <w:spacing w:line="440" w:lineRule="exact"/>
              <w:jc w:val="center"/>
              <w:rPr>
                <w:rFonts w:ascii="宋体" w:hAnsi="宋体"/>
                <w:color w:val="auto"/>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0D593AA6">
            <w:pPr>
              <w:topLinePunct/>
              <w:spacing w:line="440" w:lineRule="exact"/>
              <w:jc w:val="center"/>
              <w:rPr>
                <w:rFonts w:ascii="宋体" w:hAnsi="宋体"/>
                <w:color w:val="auto"/>
                <w:szCs w:val="21"/>
              </w:rPr>
            </w:pPr>
            <w:r>
              <w:rPr>
                <w:rFonts w:hint="eastAsia" w:ascii="宋体" w:hAnsi="宋体"/>
                <w:color w:val="auto"/>
                <w:szCs w:val="21"/>
              </w:rPr>
              <w:t>电子邮箱</w:t>
            </w:r>
          </w:p>
        </w:tc>
        <w:tc>
          <w:tcPr>
            <w:tcW w:w="2101" w:type="dxa"/>
            <w:tcBorders>
              <w:top w:val="single" w:color="auto" w:sz="6" w:space="0"/>
              <w:left w:val="single" w:color="auto" w:sz="6" w:space="0"/>
              <w:bottom w:val="single" w:color="auto" w:sz="6" w:space="0"/>
              <w:right w:val="double" w:color="auto" w:sz="4" w:space="0"/>
            </w:tcBorders>
            <w:vAlign w:val="center"/>
          </w:tcPr>
          <w:p w14:paraId="724B0375">
            <w:pPr>
              <w:topLinePunct/>
              <w:spacing w:line="440" w:lineRule="exact"/>
              <w:jc w:val="center"/>
              <w:rPr>
                <w:rFonts w:ascii="宋体" w:hAnsi="宋体"/>
                <w:color w:val="auto"/>
                <w:szCs w:val="21"/>
              </w:rPr>
            </w:pPr>
          </w:p>
        </w:tc>
      </w:tr>
      <w:tr w14:paraId="12C797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2038" w:type="dxa"/>
            <w:gridSpan w:val="3"/>
            <w:tcBorders>
              <w:top w:val="single" w:color="auto" w:sz="6" w:space="0"/>
              <w:left w:val="double" w:color="auto" w:sz="4" w:space="0"/>
              <w:bottom w:val="single" w:color="auto" w:sz="6" w:space="0"/>
              <w:right w:val="single" w:color="auto" w:sz="6" w:space="0"/>
            </w:tcBorders>
            <w:vAlign w:val="center"/>
          </w:tcPr>
          <w:p w14:paraId="13BA97C2">
            <w:pPr>
              <w:topLinePunct/>
              <w:spacing w:line="440" w:lineRule="exact"/>
              <w:jc w:val="center"/>
              <w:rPr>
                <w:rFonts w:ascii="宋体" w:hAnsi="宋体"/>
                <w:color w:val="auto"/>
                <w:szCs w:val="21"/>
              </w:rPr>
            </w:pPr>
            <w:r>
              <w:rPr>
                <w:rFonts w:hint="eastAsia" w:ascii="宋体" w:hAnsi="宋体"/>
                <w:color w:val="auto"/>
                <w:szCs w:val="21"/>
              </w:rPr>
              <w:t>上年营业收入</w:t>
            </w:r>
          </w:p>
        </w:tc>
        <w:tc>
          <w:tcPr>
            <w:tcW w:w="3542" w:type="dxa"/>
            <w:gridSpan w:val="5"/>
            <w:tcBorders>
              <w:top w:val="single" w:color="auto" w:sz="6" w:space="0"/>
              <w:left w:val="single" w:color="auto" w:sz="6" w:space="0"/>
              <w:bottom w:val="single" w:color="auto" w:sz="6" w:space="0"/>
              <w:right w:val="single" w:color="auto" w:sz="6" w:space="0"/>
            </w:tcBorders>
            <w:vAlign w:val="center"/>
          </w:tcPr>
          <w:p w14:paraId="51DF2CF7">
            <w:pPr>
              <w:topLinePunct/>
              <w:spacing w:line="440" w:lineRule="exact"/>
              <w:jc w:val="center"/>
              <w:rPr>
                <w:rFonts w:ascii="宋体" w:hAnsi="宋体"/>
                <w:color w:val="auto"/>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E0678D3">
            <w:pPr>
              <w:topLinePunct/>
              <w:spacing w:line="440" w:lineRule="exact"/>
              <w:jc w:val="center"/>
              <w:rPr>
                <w:rFonts w:ascii="宋体" w:hAnsi="宋体"/>
                <w:color w:val="auto"/>
                <w:szCs w:val="21"/>
              </w:rPr>
            </w:pPr>
            <w:r>
              <w:rPr>
                <w:rFonts w:hint="eastAsia" w:ascii="宋体" w:hAnsi="宋体"/>
                <w:color w:val="auto"/>
                <w:szCs w:val="21"/>
              </w:rPr>
              <w:t>员工总人数</w:t>
            </w:r>
          </w:p>
        </w:tc>
        <w:tc>
          <w:tcPr>
            <w:tcW w:w="2101" w:type="dxa"/>
            <w:tcBorders>
              <w:top w:val="single" w:color="auto" w:sz="6" w:space="0"/>
              <w:left w:val="single" w:color="auto" w:sz="6" w:space="0"/>
              <w:bottom w:val="single" w:color="auto" w:sz="6" w:space="0"/>
              <w:right w:val="double" w:color="auto" w:sz="4" w:space="0"/>
            </w:tcBorders>
            <w:vAlign w:val="center"/>
          </w:tcPr>
          <w:p w14:paraId="35B9D5EB">
            <w:pPr>
              <w:topLinePunct/>
              <w:spacing w:line="440" w:lineRule="exact"/>
              <w:jc w:val="center"/>
              <w:rPr>
                <w:rFonts w:ascii="宋体" w:hAnsi="宋体"/>
                <w:color w:val="auto"/>
                <w:szCs w:val="21"/>
              </w:rPr>
            </w:pPr>
          </w:p>
        </w:tc>
      </w:tr>
      <w:tr w14:paraId="2C6EC9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09DAC788">
            <w:pPr>
              <w:topLinePunct/>
              <w:spacing w:line="440" w:lineRule="exact"/>
              <w:jc w:val="center"/>
              <w:rPr>
                <w:rFonts w:ascii="宋体" w:hAnsi="宋体"/>
                <w:color w:val="auto"/>
                <w:szCs w:val="21"/>
              </w:rPr>
            </w:pPr>
            <w:r>
              <w:rPr>
                <w:rFonts w:hint="eastAsia" w:ascii="宋体" w:hAnsi="宋体"/>
                <w:color w:val="auto"/>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519994EC">
            <w:pPr>
              <w:topLinePunct/>
              <w:spacing w:line="440" w:lineRule="exact"/>
              <w:jc w:val="center"/>
              <w:rPr>
                <w:rFonts w:ascii="宋体" w:hAnsi="宋体"/>
                <w:color w:val="auto"/>
                <w:szCs w:val="21"/>
              </w:rPr>
            </w:pPr>
            <w:r>
              <w:rPr>
                <w:rFonts w:hint="eastAsia" w:ascii="宋体" w:hAnsi="宋体"/>
                <w:color w:val="auto"/>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C93DAAF">
            <w:pPr>
              <w:topLinePunct/>
              <w:spacing w:line="440" w:lineRule="exact"/>
              <w:jc w:val="center"/>
              <w:rPr>
                <w:rFonts w:ascii="宋体" w:hAnsi="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0C9DED65">
            <w:pPr>
              <w:topLinePunct/>
              <w:spacing w:line="440" w:lineRule="exact"/>
              <w:ind w:firstLine="105" w:firstLineChars="50"/>
              <w:jc w:val="center"/>
              <w:rPr>
                <w:rFonts w:ascii="宋体" w:hAnsi="宋体"/>
                <w:color w:val="auto"/>
                <w:szCs w:val="21"/>
              </w:rPr>
            </w:pPr>
            <w:r>
              <w:rPr>
                <w:rFonts w:hint="eastAsia" w:ascii="宋体" w:hAnsi="宋体"/>
                <w:color w:val="auto"/>
                <w:szCs w:val="21"/>
              </w:rPr>
              <w:t>注册地址</w:t>
            </w: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645A1A44">
            <w:pPr>
              <w:topLinePunct/>
              <w:spacing w:line="440" w:lineRule="exact"/>
              <w:ind w:firstLine="105" w:firstLineChars="50"/>
              <w:jc w:val="center"/>
              <w:rPr>
                <w:rFonts w:ascii="宋体" w:hAnsi="宋体"/>
                <w:color w:val="auto"/>
                <w:szCs w:val="21"/>
              </w:rPr>
            </w:pPr>
          </w:p>
        </w:tc>
      </w:tr>
      <w:tr w14:paraId="1642BF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58528B79">
            <w:pPr>
              <w:widowControl/>
              <w:jc w:val="left"/>
              <w:rPr>
                <w:rFonts w:ascii="宋体" w:hAnsi="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66300948">
            <w:pPr>
              <w:topLinePunct/>
              <w:spacing w:line="440" w:lineRule="exact"/>
              <w:jc w:val="center"/>
              <w:rPr>
                <w:rFonts w:ascii="宋体" w:hAnsi="宋体"/>
                <w:color w:val="auto"/>
                <w:szCs w:val="21"/>
              </w:rPr>
            </w:pPr>
            <w:r>
              <w:rPr>
                <w:rFonts w:hint="eastAsia" w:ascii="宋体" w:hAnsi="宋体"/>
                <w:color w:val="auto"/>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469541E9">
            <w:pPr>
              <w:topLinePunct/>
              <w:spacing w:line="440" w:lineRule="exact"/>
              <w:jc w:val="center"/>
              <w:rPr>
                <w:rFonts w:ascii="宋体" w:hAnsi="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4F3D6D04">
            <w:pPr>
              <w:topLinePunct/>
              <w:spacing w:line="440" w:lineRule="exact"/>
              <w:ind w:firstLine="105" w:firstLineChars="50"/>
              <w:jc w:val="center"/>
              <w:rPr>
                <w:rFonts w:ascii="宋体" w:hAnsi="宋体"/>
                <w:color w:val="auto"/>
                <w:szCs w:val="21"/>
              </w:rPr>
            </w:pPr>
            <w:r>
              <w:rPr>
                <w:rFonts w:hint="eastAsia" w:ascii="宋体" w:hAnsi="宋体"/>
                <w:color w:val="auto"/>
                <w:szCs w:val="21"/>
              </w:rPr>
              <w:t>发证日期</w:t>
            </w: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1E7182E6">
            <w:pPr>
              <w:topLinePunct/>
              <w:spacing w:line="440" w:lineRule="exact"/>
              <w:ind w:firstLine="105" w:firstLineChars="50"/>
              <w:jc w:val="center"/>
              <w:rPr>
                <w:rFonts w:ascii="宋体" w:hAnsi="宋体"/>
                <w:color w:val="auto"/>
                <w:szCs w:val="21"/>
              </w:rPr>
            </w:pPr>
          </w:p>
        </w:tc>
      </w:tr>
      <w:tr w14:paraId="375D6C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1BACB15C">
            <w:pPr>
              <w:widowControl/>
              <w:jc w:val="left"/>
              <w:rPr>
                <w:rFonts w:ascii="宋体" w:hAnsi="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1692AE4D">
            <w:pPr>
              <w:topLinePunct/>
              <w:spacing w:line="440" w:lineRule="exact"/>
              <w:jc w:val="center"/>
              <w:rPr>
                <w:rFonts w:ascii="宋体" w:hAnsi="宋体"/>
                <w:color w:val="auto"/>
                <w:szCs w:val="21"/>
              </w:rPr>
            </w:pPr>
            <w:r>
              <w:rPr>
                <w:rFonts w:hint="eastAsia" w:ascii="宋体" w:hAnsi="宋体"/>
                <w:color w:val="auto"/>
                <w:szCs w:val="21"/>
              </w:rPr>
              <w:t>营业范围（主营）</w:t>
            </w:r>
          </w:p>
        </w:tc>
        <w:tc>
          <w:tcPr>
            <w:tcW w:w="6247" w:type="dxa"/>
            <w:gridSpan w:val="6"/>
            <w:tcBorders>
              <w:top w:val="single" w:color="auto" w:sz="6" w:space="0"/>
              <w:left w:val="single" w:color="auto" w:sz="6" w:space="0"/>
              <w:bottom w:val="single" w:color="auto" w:sz="6" w:space="0"/>
              <w:right w:val="double" w:color="auto" w:sz="4" w:space="0"/>
            </w:tcBorders>
            <w:vAlign w:val="center"/>
          </w:tcPr>
          <w:p w14:paraId="220EF9E2">
            <w:pPr>
              <w:topLinePunct/>
              <w:spacing w:line="440" w:lineRule="exact"/>
              <w:ind w:firstLine="105" w:firstLineChars="50"/>
              <w:jc w:val="center"/>
              <w:rPr>
                <w:rFonts w:ascii="宋体" w:hAnsi="宋体"/>
                <w:color w:val="auto"/>
                <w:szCs w:val="21"/>
              </w:rPr>
            </w:pPr>
          </w:p>
        </w:tc>
      </w:tr>
      <w:tr w14:paraId="4EB1A2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3FD8A1B0">
            <w:pPr>
              <w:widowControl/>
              <w:jc w:val="left"/>
              <w:rPr>
                <w:rFonts w:ascii="宋体" w:hAnsi="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28481BB6">
            <w:pPr>
              <w:topLinePunct/>
              <w:spacing w:line="440" w:lineRule="exact"/>
              <w:jc w:val="center"/>
              <w:rPr>
                <w:rFonts w:ascii="宋体" w:hAnsi="宋体"/>
                <w:color w:val="auto"/>
                <w:szCs w:val="21"/>
              </w:rPr>
            </w:pPr>
            <w:r>
              <w:rPr>
                <w:rFonts w:hint="eastAsia" w:ascii="宋体" w:hAnsi="宋体"/>
                <w:color w:val="auto"/>
                <w:szCs w:val="21"/>
              </w:rPr>
              <w:t>营业范围（兼营）</w:t>
            </w:r>
          </w:p>
        </w:tc>
        <w:tc>
          <w:tcPr>
            <w:tcW w:w="6247" w:type="dxa"/>
            <w:gridSpan w:val="6"/>
            <w:tcBorders>
              <w:top w:val="single" w:color="auto" w:sz="6" w:space="0"/>
              <w:left w:val="single" w:color="auto" w:sz="6" w:space="0"/>
              <w:bottom w:val="single" w:color="auto" w:sz="6" w:space="0"/>
              <w:right w:val="double" w:color="auto" w:sz="4" w:space="0"/>
            </w:tcBorders>
            <w:vAlign w:val="center"/>
          </w:tcPr>
          <w:p w14:paraId="65DE19DC">
            <w:pPr>
              <w:topLinePunct/>
              <w:spacing w:line="440" w:lineRule="exact"/>
              <w:ind w:firstLine="105" w:firstLineChars="50"/>
              <w:jc w:val="center"/>
              <w:rPr>
                <w:rFonts w:ascii="宋体" w:hAnsi="宋体"/>
                <w:color w:val="auto"/>
                <w:szCs w:val="21"/>
              </w:rPr>
            </w:pPr>
          </w:p>
        </w:tc>
      </w:tr>
      <w:tr w14:paraId="51E90D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2A831A00">
            <w:pPr>
              <w:topLinePunct/>
              <w:spacing w:line="440" w:lineRule="exact"/>
              <w:jc w:val="center"/>
              <w:rPr>
                <w:rFonts w:ascii="宋体" w:hAnsi="宋体"/>
                <w:color w:val="auto"/>
                <w:szCs w:val="21"/>
              </w:rPr>
            </w:pPr>
            <w:r>
              <w:rPr>
                <w:rFonts w:hint="eastAsia" w:ascii="宋体" w:hAnsi="宋体"/>
                <w:color w:val="auto"/>
                <w:szCs w:val="21"/>
              </w:rPr>
              <w:t>基本账户开户行及账号</w:t>
            </w:r>
          </w:p>
        </w:tc>
        <w:tc>
          <w:tcPr>
            <w:tcW w:w="6247" w:type="dxa"/>
            <w:gridSpan w:val="6"/>
            <w:tcBorders>
              <w:top w:val="single" w:color="auto" w:sz="6" w:space="0"/>
              <w:left w:val="single" w:color="auto" w:sz="6" w:space="0"/>
              <w:bottom w:val="single" w:color="auto" w:sz="6" w:space="0"/>
              <w:right w:val="double" w:color="auto" w:sz="4" w:space="0"/>
            </w:tcBorders>
            <w:vAlign w:val="center"/>
          </w:tcPr>
          <w:p w14:paraId="0E43C2C2">
            <w:pPr>
              <w:topLinePunct/>
              <w:spacing w:line="440" w:lineRule="exact"/>
              <w:jc w:val="center"/>
              <w:rPr>
                <w:rFonts w:ascii="宋体" w:hAnsi="宋体"/>
                <w:color w:val="auto"/>
                <w:szCs w:val="21"/>
              </w:rPr>
            </w:pPr>
          </w:p>
        </w:tc>
      </w:tr>
      <w:tr w14:paraId="3964E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7634F5A2">
            <w:pPr>
              <w:topLinePunct/>
              <w:spacing w:line="440" w:lineRule="exact"/>
              <w:jc w:val="center"/>
              <w:rPr>
                <w:rFonts w:ascii="宋体" w:hAnsi="宋体"/>
                <w:color w:val="auto"/>
                <w:szCs w:val="21"/>
              </w:rPr>
            </w:pPr>
            <w:r>
              <w:rPr>
                <w:rFonts w:hint="eastAsia" w:ascii="宋体" w:hAnsi="宋体"/>
                <w:color w:val="auto"/>
                <w:szCs w:val="21"/>
              </w:rPr>
              <w:t>税务登记机关</w:t>
            </w:r>
          </w:p>
        </w:tc>
        <w:tc>
          <w:tcPr>
            <w:tcW w:w="6247" w:type="dxa"/>
            <w:gridSpan w:val="6"/>
            <w:tcBorders>
              <w:top w:val="single" w:color="auto" w:sz="6" w:space="0"/>
              <w:left w:val="single" w:color="auto" w:sz="6" w:space="0"/>
              <w:bottom w:val="single" w:color="auto" w:sz="6" w:space="0"/>
              <w:right w:val="double" w:color="auto" w:sz="4" w:space="0"/>
            </w:tcBorders>
            <w:vAlign w:val="center"/>
          </w:tcPr>
          <w:p w14:paraId="5E4C7CC6">
            <w:pPr>
              <w:topLinePunct/>
              <w:spacing w:line="440" w:lineRule="exact"/>
              <w:jc w:val="center"/>
              <w:rPr>
                <w:rFonts w:ascii="宋体" w:hAnsi="宋体"/>
                <w:color w:val="auto"/>
                <w:szCs w:val="21"/>
              </w:rPr>
            </w:pPr>
          </w:p>
        </w:tc>
      </w:tr>
      <w:tr w14:paraId="2EB132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582CF24E">
            <w:pPr>
              <w:topLinePunct/>
              <w:spacing w:line="440" w:lineRule="exact"/>
              <w:jc w:val="center"/>
              <w:rPr>
                <w:rFonts w:ascii="宋体" w:hAnsi="宋体"/>
                <w:color w:val="auto"/>
                <w:szCs w:val="21"/>
              </w:rPr>
            </w:pPr>
            <w:r>
              <w:rPr>
                <w:rFonts w:hint="eastAsia" w:ascii="宋体" w:hAnsi="宋体"/>
                <w:color w:val="auto"/>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FCACF07">
            <w:pPr>
              <w:topLinePunct/>
              <w:spacing w:line="440" w:lineRule="exact"/>
              <w:jc w:val="center"/>
              <w:rPr>
                <w:rFonts w:ascii="宋体" w:hAnsi="宋体"/>
                <w:color w:val="auto"/>
                <w:szCs w:val="21"/>
              </w:rPr>
            </w:pPr>
            <w:r>
              <w:rPr>
                <w:rFonts w:hint="eastAsia" w:ascii="宋体" w:hAnsi="宋体"/>
                <w:color w:val="auto"/>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771B7560">
            <w:pPr>
              <w:topLinePunct/>
              <w:spacing w:line="440" w:lineRule="exact"/>
              <w:jc w:val="center"/>
              <w:rPr>
                <w:rFonts w:ascii="宋体" w:hAnsi="宋体"/>
                <w:color w:val="auto"/>
                <w:szCs w:val="21"/>
              </w:rPr>
            </w:pPr>
            <w:r>
              <w:rPr>
                <w:rFonts w:hint="eastAsia" w:ascii="宋体" w:hAnsi="宋体"/>
                <w:color w:val="auto"/>
                <w:szCs w:val="21"/>
              </w:rPr>
              <w:t>发证机关</w:t>
            </w: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0FD6AE75">
            <w:pPr>
              <w:topLinePunct/>
              <w:spacing w:line="440" w:lineRule="exact"/>
              <w:jc w:val="center"/>
              <w:rPr>
                <w:rFonts w:ascii="宋体" w:hAnsi="宋体"/>
                <w:color w:val="auto"/>
                <w:szCs w:val="21"/>
              </w:rPr>
            </w:pPr>
            <w:r>
              <w:rPr>
                <w:rFonts w:hint="eastAsia" w:ascii="宋体" w:hAnsi="宋体"/>
                <w:color w:val="auto"/>
                <w:szCs w:val="21"/>
              </w:rPr>
              <w:t>有效期</w:t>
            </w:r>
          </w:p>
        </w:tc>
      </w:tr>
      <w:tr w14:paraId="73AF3E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45C4F5D3">
            <w:pPr>
              <w:topLinePunct/>
              <w:spacing w:line="440" w:lineRule="exact"/>
              <w:jc w:val="center"/>
              <w:rPr>
                <w:rFonts w:ascii="宋体" w:hAnsi="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6C3AF0F">
            <w:pPr>
              <w:topLinePunct/>
              <w:spacing w:line="440" w:lineRule="exact"/>
              <w:jc w:val="center"/>
              <w:rPr>
                <w:rFonts w:ascii="宋体" w:hAnsi="宋体"/>
                <w:color w:val="auto"/>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ED3CCEC">
            <w:pPr>
              <w:topLinePunct/>
              <w:spacing w:line="440" w:lineRule="exact"/>
              <w:jc w:val="center"/>
              <w:rPr>
                <w:rFonts w:ascii="宋体" w:hAnsi="宋体"/>
                <w:color w:val="auto"/>
                <w:szCs w:val="21"/>
              </w:rPr>
            </w:pP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6CB6F68B">
            <w:pPr>
              <w:topLinePunct/>
              <w:spacing w:line="440" w:lineRule="exact"/>
              <w:jc w:val="center"/>
              <w:rPr>
                <w:rFonts w:ascii="宋体" w:hAnsi="宋体"/>
                <w:color w:val="auto"/>
                <w:szCs w:val="21"/>
              </w:rPr>
            </w:pPr>
          </w:p>
        </w:tc>
      </w:tr>
      <w:tr w14:paraId="61B772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CBF57EA">
            <w:pPr>
              <w:topLinePunct/>
              <w:spacing w:line="440" w:lineRule="exact"/>
              <w:jc w:val="center"/>
              <w:rPr>
                <w:rFonts w:ascii="宋体" w:hAnsi="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9D36522">
            <w:pPr>
              <w:topLinePunct/>
              <w:spacing w:line="440" w:lineRule="exact"/>
              <w:jc w:val="center"/>
              <w:rPr>
                <w:rFonts w:ascii="宋体" w:hAnsi="宋体"/>
                <w:color w:val="auto"/>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4661F894">
            <w:pPr>
              <w:topLinePunct/>
              <w:spacing w:line="440" w:lineRule="exact"/>
              <w:jc w:val="center"/>
              <w:rPr>
                <w:rFonts w:ascii="宋体" w:hAnsi="宋体"/>
                <w:color w:val="auto"/>
                <w:szCs w:val="21"/>
              </w:rPr>
            </w:pP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6B8DC0B8">
            <w:pPr>
              <w:topLinePunct/>
              <w:spacing w:line="440" w:lineRule="exact"/>
              <w:jc w:val="center"/>
              <w:rPr>
                <w:rFonts w:ascii="宋体" w:hAnsi="宋体"/>
                <w:color w:val="auto"/>
                <w:szCs w:val="21"/>
              </w:rPr>
            </w:pPr>
          </w:p>
        </w:tc>
      </w:tr>
      <w:tr w14:paraId="201DC1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314C7399">
            <w:pPr>
              <w:topLinePunct/>
              <w:spacing w:line="440" w:lineRule="exact"/>
              <w:jc w:val="center"/>
              <w:rPr>
                <w:rFonts w:ascii="宋体" w:hAnsi="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03FC6429">
            <w:pPr>
              <w:topLinePunct/>
              <w:spacing w:line="440" w:lineRule="exact"/>
              <w:jc w:val="center"/>
              <w:rPr>
                <w:rFonts w:ascii="宋体" w:hAnsi="宋体"/>
                <w:color w:val="auto"/>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5C28F50B">
            <w:pPr>
              <w:topLinePunct/>
              <w:spacing w:line="440" w:lineRule="exact"/>
              <w:jc w:val="center"/>
              <w:rPr>
                <w:rFonts w:ascii="宋体" w:hAnsi="宋体"/>
                <w:color w:val="auto"/>
                <w:szCs w:val="21"/>
              </w:rPr>
            </w:pP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3EA33C76">
            <w:pPr>
              <w:topLinePunct/>
              <w:spacing w:line="440" w:lineRule="exact"/>
              <w:jc w:val="center"/>
              <w:rPr>
                <w:rFonts w:ascii="宋体" w:hAnsi="宋体"/>
                <w:color w:val="auto"/>
                <w:szCs w:val="21"/>
              </w:rPr>
            </w:pPr>
          </w:p>
        </w:tc>
      </w:tr>
      <w:tr w14:paraId="5BEA19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14B58CA1">
            <w:pPr>
              <w:topLinePunct/>
              <w:spacing w:line="440" w:lineRule="exact"/>
              <w:jc w:val="center"/>
              <w:rPr>
                <w:rFonts w:ascii="宋体" w:hAnsi="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1D1F345">
            <w:pPr>
              <w:topLinePunct/>
              <w:spacing w:line="440" w:lineRule="exact"/>
              <w:jc w:val="center"/>
              <w:rPr>
                <w:rFonts w:ascii="宋体" w:hAnsi="宋体"/>
                <w:color w:val="auto"/>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4363A70D">
            <w:pPr>
              <w:topLinePunct/>
              <w:spacing w:line="440" w:lineRule="exact"/>
              <w:jc w:val="center"/>
              <w:rPr>
                <w:rFonts w:ascii="宋体" w:hAnsi="宋体"/>
                <w:color w:val="auto"/>
                <w:szCs w:val="21"/>
              </w:rPr>
            </w:pPr>
          </w:p>
        </w:tc>
        <w:tc>
          <w:tcPr>
            <w:tcW w:w="3430" w:type="dxa"/>
            <w:gridSpan w:val="2"/>
            <w:tcBorders>
              <w:top w:val="single" w:color="auto" w:sz="6" w:space="0"/>
              <w:left w:val="single" w:color="auto" w:sz="6" w:space="0"/>
              <w:bottom w:val="single" w:color="auto" w:sz="6" w:space="0"/>
              <w:right w:val="double" w:color="auto" w:sz="4" w:space="0"/>
            </w:tcBorders>
            <w:vAlign w:val="center"/>
          </w:tcPr>
          <w:p w14:paraId="599D1816">
            <w:pPr>
              <w:topLinePunct/>
              <w:spacing w:line="440" w:lineRule="exact"/>
              <w:jc w:val="center"/>
              <w:rPr>
                <w:rFonts w:ascii="宋体" w:hAnsi="宋体"/>
                <w:color w:val="auto"/>
                <w:szCs w:val="21"/>
              </w:rPr>
            </w:pPr>
          </w:p>
        </w:tc>
      </w:tr>
      <w:tr w14:paraId="71245E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2" w:hRule="atLeast"/>
        </w:trPr>
        <w:tc>
          <w:tcPr>
            <w:tcW w:w="1258" w:type="dxa"/>
            <w:gridSpan w:val="2"/>
            <w:tcBorders>
              <w:top w:val="single" w:color="auto" w:sz="6" w:space="0"/>
              <w:left w:val="double" w:color="auto" w:sz="4" w:space="0"/>
              <w:bottom w:val="double" w:color="auto" w:sz="4" w:space="0"/>
              <w:right w:val="single" w:color="auto" w:sz="6" w:space="0"/>
            </w:tcBorders>
            <w:vAlign w:val="center"/>
          </w:tcPr>
          <w:p w14:paraId="49A556E0">
            <w:pPr>
              <w:topLinePunct/>
              <w:spacing w:line="440" w:lineRule="exact"/>
              <w:jc w:val="center"/>
              <w:rPr>
                <w:rFonts w:ascii="宋体" w:hAnsi="宋体"/>
                <w:color w:val="auto"/>
                <w:szCs w:val="21"/>
              </w:rPr>
            </w:pPr>
            <w:r>
              <w:rPr>
                <w:rFonts w:hint="eastAsia" w:ascii="宋体" w:hAnsi="宋体"/>
                <w:color w:val="auto"/>
                <w:szCs w:val="21"/>
              </w:rPr>
              <w:t>备注</w:t>
            </w:r>
          </w:p>
        </w:tc>
        <w:tc>
          <w:tcPr>
            <w:tcW w:w="7752" w:type="dxa"/>
            <w:gridSpan w:val="8"/>
            <w:tcBorders>
              <w:top w:val="single" w:color="auto" w:sz="6" w:space="0"/>
              <w:left w:val="single" w:color="auto" w:sz="6" w:space="0"/>
              <w:bottom w:val="double" w:color="auto" w:sz="4" w:space="0"/>
              <w:right w:val="double" w:color="auto" w:sz="4" w:space="0"/>
            </w:tcBorders>
            <w:vAlign w:val="center"/>
          </w:tcPr>
          <w:p w14:paraId="2085FEEB">
            <w:pPr>
              <w:topLinePunct/>
              <w:spacing w:line="440" w:lineRule="exact"/>
              <w:rPr>
                <w:rFonts w:ascii="宋体" w:hAnsi="宋体"/>
                <w:color w:val="auto"/>
                <w:szCs w:val="21"/>
              </w:rPr>
            </w:pPr>
          </w:p>
        </w:tc>
      </w:tr>
    </w:tbl>
    <w:p w14:paraId="640A5B48">
      <w:pPr>
        <w:spacing w:line="480" w:lineRule="exact"/>
        <w:rPr>
          <w:rFonts w:ascii="宋体" w:hAnsi="宋体"/>
          <w:b/>
          <w:color w:val="auto"/>
          <w:sz w:val="24"/>
        </w:rPr>
      </w:pPr>
      <w:r>
        <w:rPr>
          <w:rFonts w:hint="eastAsia" w:ascii="宋体" w:hAnsi="宋体"/>
          <w:b/>
          <w:color w:val="auto"/>
          <w:sz w:val="24"/>
        </w:rPr>
        <w:br w:type="page"/>
      </w:r>
      <w:r>
        <w:rPr>
          <w:rFonts w:hint="eastAsia" w:ascii="宋体" w:hAnsi="宋体"/>
          <w:b/>
          <w:color w:val="auto"/>
          <w:sz w:val="24"/>
        </w:rPr>
        <w:t>附件5-1 联合体协议（格式）</w:t>
      </w:r>
    </w:p>
    <w:p w14:paraId="46F25B80">
      <w:pPr>
        <w:adjustRightInd w:val="0"/>
        <w:snapToGrid w:val="0"/>
        <w:spacing w:before="156" w:beforeLines="50" w:line="360" w:lineRule="auto"/>
        <w:rPr>
          <w:rFonts w:ascii="宋体" w:hAnsi="宋体"/>
          <w:color w:val="auto"/>
          <w:szCs w:val="21"/>
        </w:rPr>
      </w:pPr>
    </w:p>
    <w:p w14:paraId="2DD308D1">
      <w:pPr>
        <w:adjustRightInd w:val="0"/>
        <w:snapToGrid w:val="0"/>
        <w:spacing w:before="156" w:beforeLines="50" w:line="360" w:lineRule="auto"/>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w:t>
      </w:r>
      <w:r>
        <w:rPr>
          <w:rFonts w:hint="eastAsia" w:ascii="宋体" w:hAnsi="宋体"/>
          <w:color w:val="auto"/>
          <w:szCs w:val="21"/>
        </w:rPr>
        <w:t>采购人）：</w:t>
      </w:r>
    </w:p>
    <w:p w14:paraId="0BD0D71C">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经研究，我们决定自愿组成联合体共同参加</w:t>
      </w:r>
      <w:r>
        <w:rPr>
          <w:rFonts w:hint="eastAsia" w:ascii="宋体" w:hAnsi="宋体"/>
          <w:color w:val="auto"/>
          <w:szCs w:val="21"/>
          <w:u w:val="single"/>
        </w:rPr>
        <w:t xml:space="preserve">                    </w:t>
      </w:r>
      <w:r>
        <w:rPr>
          <w:rFonts w:hint="eastAsia" w:ascii="宋体" w:hAnsi="宋体"/>
          <w:color w:val="auto"/>
          <w:szCs w:val="21"/>
        </w:rPr>
        <w:t>（项目名称、</w:t>
      </w:r>
      <w:r>
        <w:rPr>
          <w:rFonts w:hint="eastAsia" w:ascii="宋体" w:hAnsi="宋体"/>
          <w:color w:val="auto"/>
          <w:szCs w:val="21"/>
          <w:lang w:eastAsia="zh-CN"/>
        </w:rPr>
        <w:t>政府采购编号</w:t>
      </w:r>
      <w:r>
        <w:rPr>
          <w:rFonts w:hint="eastAsia" w:ascii="宋体" w:hAnsi="宋体"/>
          <w:color w:val="auto"/>
          <w:szCs w:val="21"/>
        </w:rPr>
        <w:t>、采购代理机构编号）项目的投标。现就联合体投标事宜订立如下协议：</w:t>
      </w:r>
    </w:p>
    <w:p w14:paraId="7EC165D3">
      <w:pPr>
        <w:adjustRightInd w:val="0"/>
        <w:snapToGrid w:val="0"/>
        <w:spacing w:before="156" w:beforeLines="50" w:line="360" w:lineRule="auto"/>
        <w:ind w:firstLine="420" w:firstLineChars="200"/>
        <w:rPr>
          <w:rFonts w:ascii="宋体" w:hAnsi="宋体"/>
          <w:color w:val="auto"/>
          <w:szCs w:val="21"/>
          <w:u w:val="single"/>
        </w:rPr>
      </w:pPr>
      <w:r>
        <w:rPr>
          <w:rFonts w:hint="eastAsia" w:ascii="宋体" w:hAnsi="宋体"/>
          <w:color w:val="auto"/>
          <w:szCs w:val="21"/>
        </w:rPr>
        <w:t>一、联合体基本信息：</w:t>
      </w:r>
      <w:r>
        <w:rPr>
          <w:rFonts w:hint="eastAsia" w:ascii="宋体" w:hAnsi="宋体"/>
          <w:color w:val="auto"/>
          <w:szCs w:val="21"/>
          <w:u w:val="single"/>
        </w:rPr>
        <w:t xml:space="preserve">                </w:t>
      </w:r>
      <w:r>
        <w:rPr>
          <w:rFonts w:hint="eastAsia" w:ascii="宋体" w:hAnsi="宋体"/>
          <w:color w:val="auto"/>
          <w:szCs w:val="21"/>
        </w:rPr>
        <w:t>（各方公司名称、地址、注册资金、营业执照、法定代表人姓名）</w:t>
      </w:r>
    </w:p>
    <w:p w14:paraId="664CE297">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二、</w:t>
      </w:r>
      <w:r>
        <w:rPr>
          <w:rFonts w:hint="eastAsia" w:ascii="宋体" w:hAnsi="宋体"/>
          <w:color w:val="auto"/>
          <w:szCs w:val="21"/>
          <w:u w:val="single"/>
        </w:rPr>
        <w:t xml:space="preserve">       </w:t>
      </w:r>
      <w:r>
        <w:rPr>
          <w:rFonts w:hint="eastAsia" w:ascii="宋体" w:hAnsi="宋体"/>
          <w:color w:val="auto"/>
          <w:szCs w:val="21"/>
        </w:rPr>
        <w:t>（某成员单位名称）为</w:t>
      </w:r>
      <w:r>
        <w:rPr>
          <w:rFonts w:hint="eastAsia" w:ascii="宋体" w:hAnsi="宋体"/>
          <w:color w:val="auto"/>
          <w:szCs w:val="21"/>
          <w:u w:val="single"/>
        </w:rPr>
        <w:t xml:space="preserve">        </w:t>
      </w:r>
      <w:r>
        <w:rPr>
          <w:rFonts w:hint="eastAsia" w:ascii="宋体" w:hAnsi="宋体"/>
          <w:color w:val="auto"/>
          <w:szCs w:val="21"/>
        </w:rPr>
        <w:t>（联合体名称）牵头人。</w:t>
      </w:r>
    </w:p>
    <w:p w14:paraId="03B4AF26">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三、联合体牵头人合法代表联合体各成员负责本项目响应文件编制活动，代表联合体提交和接收相关的资料、信息及指示，并处理与投标或成交有关的一切事务；联合体中标或成交后，联合体牵头人负责合同订立和合同实施阶段的主办、组织和协调工作。</w:t>
      </w:r>
    </w:p>
    <w:p w14:paraId="6F4BFBA0">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四．联合体将严格按照磋商文件的各项要求，递交响应文件，参加投标，履行中标或成交义务和中标或成交后的合同，并向采购人承担连带责任。</w:t>
      </w:r>
    </w:p>
    <w:p w14:paraId="3918EE4B">
      <w:pPr>
        <w:adjustRightInd w:val="0"/>
        <w:snapToGrid w:val="0"/>
        <w:spacing w:before="156" w:beforeLines="50" w:line="360" w:lineRule="auto"/>
        <w:ind w:firstLine="420" w:firstLineChars="200"/>
        <w:rPr>
          <w:rFonts w:ascii="宋体" w:hAnsi="宋体"/>
          <w:color w:val="auto"/>
          <w:szCs w:val="21"/>
          <w:u w:val="single"/>
        </w:rPr>
      </w:pPr>
      <w:r>
        <w:rPr>
          <w:rFonts w:hint="eastAsia" w:ascii="宋体" w:hAnsi="宋体"/>
          <w:color w:val="auto"/>
          <w:szCs w:val="21"/>
        </w:rPr>
        <w:t>五、联合体各成员单位内部的职责分工如下：</w:t>
      </w:r>
      <w:r>
        <w:rPr>
          <w:rFonts w:hint="eastAsia" w:ascii="宋体" w:hAnsi="宋体"/>
          <w:color w:val="auto"/>
          <w:szCs w:val="21"/>
          <w:u w:val="single"/>
        </w:rPr>
        <w:t xml:space="preserve">             </w:t>
      </w:r>
      <w:r>
        <w:rPr>
          <w:rFonts w:hint="eastAsia" w:ascii="宋体" w:hAnsi="宋体"/>
          <w:color w:val="auto"/>
          <w:szCs w:val="21"/>
        </w:rPr>
        <w:t>。按照本条上述分工，联合体成员单位各自所承担的合同工作量比例如下：</w:t>
      </w:r>
      <w:r>
        <w:rPr>
          <w:rFonts w:hint="eastAsia" w:ascii="宋体" w:hAnsi="宋体"/>
          <w:color w:val="auto"/>
          <w:szCs w:val="21"/>
          <w:u w:val="single"/>
        </w:rPr>
        <w:t xml:space="preserve">               </w:t>
      </w:r>
      <w:r>
        <w:rPr>
          <w:rFonts w:hint="eastAsia" w:ascii="宋体" w:hAnsi="宋体"/>
          <w:color w:val="auto"/>
          <w:szCs w:val="21"/>
        </w:rPr>
        <w:t>。</w:t>
      </w:r>
    </w:p>
    <w:p w14:paraId="26FB416E">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六、本协议书自签署之日起生效，合同履行完毕后自动失效。</w:t>
      </w:r>
    </w:p>
    <w:p w14:paraId="0BD0C2B8">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七、本协议书一式</w:t>
      </w:r>
      <w:r>
        <w:rPr>
          <w:rFonts w:hint="eastAsia" w:ascii="宋体" w:hAnsi="宋体"/>
          <w:color w:val="auto"/>
          <w:szCs w:val="21"/>
          <w:u w:val="single"/>
        </w:rPr>
        <w:t xml:space="preserve">    </w:t>
      </w:r>
      <w:r>
        <w:rPr>
          <w:rFonts w:hint="eastAsia" w:ascii="宋体" w:hAnsi="宋体"/>
          <w:color w:val="auto"/>
          <w:szCs w:val="21"/>
        </w:rPr>
        <w:t>份，联合体成员和采购人各执一份。</w:t>
      </w:r>
    </w:p>
    <w:p w14:paraId="0D3F63D2">
      <w:pPr>
        <w:adjustRightInd w:val="0"/>
        <w:snapToGrid w:val="0"/>
        <w:spacing w:before="156" w:beforeLines="50" w:line="360" w:lineRule="auto"/>
        <w:ind w:firstLine="420" w:firstLineChars="200"/>
        <w:rPr>
          <w:rFonts w:ascii="宋体" w:hAnsi="宋体"/>
          <w:color w:val="auto"/>
          <w:szCs w:val="21"/>
        </w:rPr>
      </w:pPr>
    </w:p>
    <w:p w14:paraId="5470EAFD">
      <w:pPr>
        <w:adjustRightInd w:val="0"/>
        <w:snapToGrid w:val="0"/>
        <w:spacing w:before="156" w:beforeLines="50" w:line="360" w:lineRule="auto"/>
        <w:rPr>
          <w:rFonts w:ascii="宋体" w:hAnsi="宋体"/>
          <w:color w:val="auto"/>
          <w:szCs w:val="21"/>
        </w:rPr>
      </w:pPr>
      <w:r>
        <w:rPr>
          <w:rFonts w:hint="eastAsia" w:ascii="宋体" w:hAnsi="宋体"/>
          <w:color w:val="auto"/>
          <w:szCs w:val="21"/>
        </w:rPr>
        <w:t>牵头人名称（盖单位章）：</w:t>
      </w:r>
    </w:p>
    <w:p w14:paraId="2087F0BC">
      <w:pPr>
        <w:adjustRightInd w:val="0"/>
        <w:snapToGrid w:val="0"/>
        <w:spacing w:before="156" w:beforeLines="50" w:line="360" w:lineRule="auto"/>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p>
    <w:p w14:paraId="78E232AB">
      <w:pPr>
        <w:adjustRightInd w:val="0"/>
        <w:snapToGrid w:val="0"/>
        <w:spacing w:before="156" w:beforeLines="50" w:line="360" w:lineRule="auto"/>
        <w:rPr>
          <w:rFonts w:ascii="宋体" w:hAnsi="宋体"/>
          <w:color w:val="auto"/>
          <w:szCs w:val="21"/>
        </w:rPr>
      </w:pPr>
    </w:p>
    <w:p w14:paraId="30FB7428">
      <w:pPr>
        <w:adjustRightInd w:val="0"/>
        <w:snapToGrid w:val="0"/>
        <w:spacing w:before="156" w:beforeLines="50" w:line="360" w:lineRule="auto"/>
        <w:rPr>
          <w:rFonts w:ascii="宋体" w:hAnsi="宋体"/>
          <w:color w:val="auto"/>
          <w:szCs w:val="21"/>
        </w:rPr>
      </w:pPr>
      <w:r>
        <w:rPr>
          <w:rFonts w:hint="eastAsia" w:ascii="宋体" w:hAnsi="宋体"/>
          <w:color w:val="auto"/>
          <w:szCs w:val="21"/>
        </w:rPr>
        <w:t>成员名称（盖单位章）：</w:t>
      </w:r>
    </w:p>
    <w:p w14:paraId="488AC376">
      <w:pPr>
        <w:adjustRightInd w:val="0"/>
        <w:snapToGrid w:val="0"/>
        <w:spacing w:before="156" w:beforeLines="50" w:line="360" w:lineRule="auto"/>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p>
    <w:p w14:paraId="4FAD7DA5">
      <w:pPr>
        <w:adjustRightInd w:val="0"/>
        <w:snapToGrid w:val="0"/>
        <w:spacing w:before="156" w:beforeLines="50" w:line="360" w:lineRule="auto"/>
        <w:rPr>
          <w:rFonts w:ascii="宋体" w:hAnsi="宋体"/>
          <w:color w:val="auto"/>
          <w:szCs w:val="21"/>
          <w:u w:val="single"/>
        </w:rPr>
      </w:pPr>
    </w:p>
    <w:p w14:paraId="52EB0901">
      <w:pPr>
        <w:adjustRightInd w:val="0"/>
        <w:snapToGrid w:val="0"/>
        <w:spacing w:before="156" w:beforeLines="50" w:line="360" w:lineRule="auto"/>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 xml:space="preserve">日  </w:t>
      </w:r>
    </w:p>
    <w:p w14:paraId="04A5E4C9">
      <w:pPr>
        <w:adjustRightInd w:val="0"/>
        <w:snapToGrid w:val="0"/>
        <w:spacing w:before="156" w:beforeLines="50" w:line="360" w:lineRule="auto"/>
        <w:rPr>
          <w:rFonts w:ascii="仿宋_GB2312" w:hAnsi="宋体" w:eastAsia="仿宋_GB2312"/>
          <w:color w:val="auto"/>
          <w:szCs w:val="21"/>
        </w:rPr>
      </w:pPr>
      <w:r>
        <w:rPr>
          <w:rFonts w:hint="eastAsia" w:ascii="仿宋_GB2312" w:hAnsi="宋体" w:eastAsia="仿宋_GB2312"/>
          <w:b/>
          <w:color w:val="auto"/>
          <w:szCs w:val="21"/>
        </w:rPr>
        <w:t>备注</w:t>
      </w:r>
      <w:r>
        <w:rPr>
          <w:rFonts w:hint="eastAsia" w:ascii="仿宋_GB2312" w:hAnsi="宋体" w:eastAsia="仿宋_GB2312"/>
          <w:color w:val="auto"/>
          <w:szCs w:val="21"/>
        </w:rPr>
        <w:t>：本协议书由委托代理人签字的，应附法定代表人签字的授权委托书。</w:t>
      </w:r>
    </w:p>
    <w:p w14:paraId="1518FCBD">
      <w:pPr>
        <w:adjustRightInd w:val="0"/>
        <w:snapToGrid w:val="0"/>
        <w:spacing w:before="156" w:beforeLines="50" w:line="360" w:lineRule="auto"/>
        <w:rPr>
          <w:rFonts w:ascii="宋体" w:hAnsi="宋体"/>
          <w:b/>
          <w:color w:val="auto"/>
          <w:sz w:val="24"/>
        </w:rPr>
      </w:pPr>
      <w:r>
        <w:rPr>
          <w:rFonts w:hint="eastAsia" w:ascii="宋体" w:hAnsi="宋体"/>
          <w:b/>
          <w:color w:val="auto"/>
          <w:sz w:val="24"/>
        </w:rPr>
        <w:br w:type="page"/>
      </w:r>
      <w:bookmarkStart w:id="55" w:name="_Toc25309"/>
      <w:bookmarkStart w:id="56" w:name="_Toc10077"/>
      <w:bookmarkStart w:id="57" w:name="_Toc32234"/>
      <w:r>
        <w:rPr>
          <w:rFonts w:hint="eastAsia" w:ascii="宋体" w:hAnsi="宋体"/>
          <w:b/>
          <w:color w:val="auto"/>
          <w:sz w:val="24"/>
        </w:rPr>
        <w:t>附件6：供应商资格证明材料</w:t>
      </w:r>
      <w:bookmarkEnd w:id="55"/>
      <w:bookmarkEnd w:id="56"/>
      <w:bookmarkEnd w:id="57"/>
    </w:p>
    <w:p w14:paraId="09D9F088">
      <w:pPr>
        <w:rPr>
          <w:color w:val="auto"/>
        </w:rPr>
      </w:pPr>
    </w:p>
    <w:p w14:paraId="1E2FED9F">
      <w:pPr>
        <w:widowControl/>
        <w:adjustRightInd w:val="0"/>
        <w:snapToGrid w:val="0"/>
        <w:spacing w:line="360" w:lineRule="auto"/>
        <w:jc w:val="center"/>
        <w:rPr>
          <w:rFonts w:ascii="黑体" w:hAnsi="仿宋" w:eastAsia="黑体" w:cs="宋体"/>
          <w:b/>
          <w:color w:val="auto"/>
          <w:sz w:val="24"/>
        </w:rPr>
      </w:pPr>
      <w:r>
        <w:rPr>
          <w:rFonts w:hint="eastAsia" w:ascii="黑体" w:hAnsi="仿宋" w:eastAsia="黑体" w:cs="宋体"/>
          <w:b/>
          <w:color w:val="auto"/>
          <w:sz w:val="24"/>
        </w:rPr>
        <w:t>（1）法人或者其他组织的营业执照等主体资格证明文件，自然人的身份证明</w:t>
      </w:r>
    </w:p>
    <w:p w14:paraId="7FC6AD37">
      <w:pPr>
        <w:widowControl/>
        <w:adjustRightInd w:val="0"/>
        <w:snapToGrid w:val="0"/>
        <w:spacing w:before="156" w:beforeLines="50" w:line="360" w:lineRule="auto"/>
        <w:jc w:val="left"/>
        <w:rPr>
          <w:rFonts w:cs="宋体" w:asciiTheme="minorEastAsia" w:hAnsiTheme="minorEastAsia" w:eastAsiaTheme="minorEastAsia"/>
          <w:color w:val="auto"/>
          <w:szCs w:val="21"/>
        </w:rPr>
      </w:pPr>
    </w:p>
    <w:p w14:paraId="5ABE2B2F">
      <w:pPr>
        <w:adjustRightInd w:val="0"/>
        <w:snapToGrid w:val="0"/>
        <w:spacing w:before="156" w:beforeLines="50" w:line="360" w:lineRule="auto"/>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注：</w:t>
      </w:r>
    </w:p>
    <w:p w14:paraId="76C9F8FA">
      <w:pPr>
        <w:adjustRightInd w:val="0"/>
        <w:snapToGrid w:val="0"/>
        <w:spacing w:before="156" w:beforeLines="50" w:line="360" w:lineRule="auto"/>
        <w:ind w:firstLine="420" w:firstLineChars="200"/>
        <w:rPr>
          <w:rFonts w:asciiTheme="minorEastAsia" w:hAnsiTheme="minorEastAsia"/>
          <w:color w:val="auto"/>
        </w:rPr>
      </w:pPr>
      <w:r>
        <w:rPr>
          <w:rFonts w:hint="eastAsia" w:cs="宋体" w:asciiTheme="minorEastAsia" w:hAnsiTheme="minorEastAsia" w:eastAsiaTheme="minorEastAsia"/>
          <w:color w:val="auto"/>
          <w:szCs w:val="21"/>
        </w:rPr>
        <w:t>①</w:t>
      </w:r>
      <w:r>
        <w:rPr>
          <w:rFonts w:hint="eastAsia" w:asciiTheme="minorEastAsia" w:hAnsiTheme="minorEastAsia" w:eastAsiaTheme="minorEastAsia"/>
          <w:color w:val="auto"/>
        </w:rPr>
        <w:t>供应商</w:t>
      </w:r>
      <w:r>
        <w:rPr>
          <w:rFonts w:hint="eastAsia" w:asciiTheme="minorEastAsia" w:hAnsiTheme="minorEastAsia"/>
          <w:color w:val="auto"/>
        </w:rPr>
        <w:t>为法人的，应提交营业执照或法人登记证书的复印件；</w:t>
      </w:r>
    </w:p>
    <w:p w14:paraId="10048440">
      <w:pPr>
        <w:adjustRightInd w:val="0"/>
        <w:snapToGrid w:val="0"/>
        <w:spacing w:before="156" w:beforeLines="50" w:line="360" w:lineRule="auto"/>
        <w:ind w:firstLine="420" w:firstLineChars="200"/>
        <w:rPr>
          <w:rFonts w:asciiTheme="minorEastAsia" w:hAnsiTheme="minorEastAsia"/>
          <w:color w:val="auto"/>
        </w:rPr>
      </w:pPr>
      <w:r>
        <w:rPr>
          <w:rFonts w:hint="eastAsia" w:cs="宋体" w:asciiTheme="minorEastAsia" w:hAnsiTheme="minorEastAsia" w:eastAsiaTheme="minorEastAsia"/>
          <w:color w:val="auto"/>
          <w:szCs w:val="21"/>
        </w:rPr>
        <w:t>②</w:t>
      </w:r>
      <w:r>
        <w:rPr>
          <w:rFonts w:hint="eastAsia" w:asciiTheme="minorEastAsia" w:hAnsiTheme="minorEastAsia" w:eastAsiaTheme="minorEastAsia"/>
          <w:color w:val="auto"/>
        </w:rPr>
        <w:t>供应商</w:t>
      </w:r>
      <w:r>
        <w:rPr>
          <w:rFonts w:hint="eastAsia" w:asciiTheme="minorEastAsia" w:hAnsiTheme="minorEastAsia"/>
          <w:color w:val="auto"/>
        </w:rPr>
        <w:t>为非法人组织的，应提交依法登记证书复印件；</w:t>
      </w:r>
    </w:p>
    <w:p w14:paraId="6F59E112">
      <w:pPr>
        <w:adjustRightInd w:val="0"/>
        <w:snapToGrid w:val="0"/>
        <w:spacing w:before="156" w:beforeLines="50" w:line="360" w:lineRule="auto"/>
        <w:ind w:firstLine="420" w:firstLineChars="200"/>
        <w:rPr>
          <w:rFonts w:asciiTheme="minorEastAsia" w:hAnsiTheme="minorEastAsia"/>
          <w:color w:val="auto"/>
        </w:rPr>
      </w:pPr>
      <w:r>
        <w:rPr>
          <w:rFonts w:hint="eastAsia" w:cs="宋体" w:asciiTheme="minorEastAsia" w:hAnsiTheme="minorEastAsia" w:eastAsiaTheme="minorEastAsia"/>
          <w:color w:val="auto"/>
          <w:szCs w:val="21"/>
        </w:rPr>
        <w:t>③</w:t>
      </w:r>
      <w:r>
        <w:rPr>
          <w:rFonts w:hint="eastAsia" w:asciiTheme="minorEastAsia" w:hAnsiTheme="minorEastAsia" w:eastAsiaTheme="minorEastAsia"/>
          <w:color w:val="auto"/>
        </w:rPr>
        <w:t>供应商</w:t>
      </w:r>
      <w:r>
        <w:rPr>
          <w:rFonts w:hint="eastAsia" w:asciiTheme="minorEastAsia" w:hAnsiTheme="minorEastAsia"/>
          <w:color w:val="auto"/>
        </w:rPr>
        <w:t>为个体工商户的，应提交个体工商户营业执照复印件；</w:t>
      </w:r>
    </w:p>
    <w:p w14:paraId="3E111A24">
      <w:pPr>
        <w:adjustRightInd w:val="0"/>
        <w:snapToGrid w:val="0"/>
        <w:spacing w:before="156" w:beforeLines="50" w:line="360" w:lineRule="auto"/>
        <w:ind w:firstLine="420" w:firstLineChars="200"/>
        <w:rPr>
          <w:rFonts w:asciiTheme="minorEastAsia" w:hAnsiTheme="minorEastAsia"/>
          <w:color w:val="auto"/>
        </w:rPr>
      </w:pPr>
      <w:r>
        <w:rPr>
          <w:rFonts w:hint="eastAsia" w:cs="宋体" w:asciiTheme="minorEastAsia" w:hAnsiTheme="minorEastAsia" w:eastAsiaTheme="minorEastAsia"/>
          <w:color w:val="auto"/>
          <w:szCs w:val="21"/>
        </w:rPr>
        <w:t>④</w:t>
      </w:r>
      <w:r>
        <w:rPr>
          <w:rFonts w:hint="eastAsia" w:asciiTheme="minorEastAsia" w:hAnsiTheme="minorEastAsia" w:eastAsiaTheme="minorEastAsia"/>
          <w:color w:val="auto"/>
        </w:rPr>
        <w:t>供应商</w:t>
      </w:r>
      <w:r>
        <w:rPr>
          <w:rFonts w:hint="eastAsia" w:asciiTheme="minorEastAsia" w:hAnsiTheme="minorEastAsia"/>
          <w:color w:val="auto"/>
        </w:rPr>
        <w:t>为自然人的，应提交自然人的身份证明复印件。</w:t>
      </w:r>
    </w:p>
    <w:p w14:paraId="6619E51F">
      <w:pPr>
        <w:adjustRightInd w:val="0"/>
        <w:snapToGrid w:val="0"/>
        <w:spacing w:before="156" w:beforeLines="50" w:line="360" w:lineRule="auto"/>
        <w:rPr>
          <w:rFonts w:ascii="宋体" w:hAnsi="宋体"/>
          <w:bCs/>
          <w:color w:val="auto"/>
          <w:szCs w:val="21"/>
        </w:rPr>
      </w:pPr>
    </w:p>
    <w:p w14:paraId="187BFA8D">
      <w:pPr>
        <w:adjustRightInd w:val="0"/>
        <w:snapToGrid w:val="0"/>
        <w:spacing w:before="156" w:beforeLines="50" w:line="360" w:lineRule="auto"/>
        <w:rPr>
          <w:rFonts w:ascii="宋体" w:hAnsi="宋体"/>
          <w:b/>
          <w:color w:val="auto"/>
          <w:szCs w:val="21"/>
        </w:rPr>
      </w:pPr>
    </w:p>
    <w:p w14:paraId="71C29423">
      <w:pPr>
        <w:adjustRightInd w:val="0"/>
        <w:snapToGrid w:val="0"/>
        <w:spacing w:before="156" w:beforeLines="50" w:line="360" w:lineRule="auto"/>
        <w:rPr>
          <w:rFonts w:ascii="宋体" w:hAnsi="宋体"/>
          <w:b/>
          <w:color w:val="auto"/>
          <w:szCs w:val="21"/>
        </w:rPr>
      </w:pPr>
    </w:p>
    <w:p w14:paraId="3A96B2EC">
      <w:pPr>
        <w:adjustRightInd w:val="0"/>
        <w:snapToGrid w:val="0"/>
        <w:spacing w:before="156" w:beforeLines="50" w:line="360" w:lineRule="auto"/>
        <w:rPr>
          <w:rFonts w:ascii="宋体" w:hAnsi="宋体"/>
          <w:b/>
          <w:color w:val="auto"/>
          <w:szCs w:val="21"/>
        </w:rPr>
      </w:pPr>
    </w:p>
    <w:p w14:paraId="52AD1F57">
      <w:pPr>
        <w:adjustRightInd w:val="0"/>
        <w:snapToGrid w:val="0"/>
        <w:spacing w:before="156" w:beforeLines="50" w:line="360" w:lineRule="auto"/>
        <w:rPr>
          <w:rFonts w:ascii="宋体" w:hAnsi="宋体"/>
          <w:b/>
          <w:color w:val="auto"/>
          <w:szCs w:val="21"/>
        </w:rPr>
      </w:pPr>
    </w:p>
    <w:p w14:paraId="2C98B3D4">
      <w:pPr>
        <w:adjustRightInd w:val="0"/>
        <w:snapToGrid w:val="0"/>
        <w:spacing w:before="156" w:beforeLines="50" w:line="360" w:lineRule="auto"/>
        <w:rPr>
          <w:rFonts w:ascii="宋体" w:hAnsi="宋体"/>
          <w:b/>
          <w:color w:val="auto"/>
          <w:szCs w:val="21"/>
        </w:rPr>
      </w:pPr>
    </w:p>
    <w:p w14:paraId="40B50BB2">
      <w:pPr>
        <w:adjustRightInd w:val="0"/>
        <w:snapToGrid w:val="0"/>
        <w:spacing w:before="156" w:beforeLines="50" w:line="360" w:lineRule="auto"/>
        <w:rPr>
          <w:rFonts w:ascii="宋体" w:hAnsi="宋体"/>
          <w:b/>
          <w:color w:val="auto"/>
          <w:szCs w:val="21"/>
        </w:rPr>
      </w:pPr>
    </w:p>
    <w:p w14:paraId="241CD1AF">
      <w:pPr>
        <w:adjustRightInd w:val="0"/>
        <w:snapToGrid w:val="0"/>
        <w:spacing w:before="156" w:beforeLines="50" w:line="360" w:lineRule="auto"/>
        <w:rPr>
          <w:rFonts w:ascii="宋体" w:hAnsi="宋体"/>
          <w:b/>
          <w:color w:val="auto"/>
          <w:szCs w:val="21"/>
        </w:rPr>
      </w:pPr>
    </w:p>
    <w:p w14:paraId="37DC8817">
      <w:pPr>
        <w:adjustRightInd w:val="0"/>
        <w:snapToGrid w:val="0"/>
        <w:spacing w:before="156" w:beforeLines="50" w:line="360" w:lineRule="auto"/>
        <w:rPr>
          <w:rFonts w:ascii="宋体" w:hAnsi="宋体"/>
          <w:b/>
          <w:color w:val="auto"/>
          <w:szCs w:val="21"/>
        </w:rPr>
      </w:pPr>
    </w:p>
    <w:p w14:paraId="7E31B4AC">
      <w:pPr>
        <w:adjustRightInd w:val="0"/>
        <w:snapToGrid w:val="0"/>
        <w:spacing w:before="156" w:beforeLines="50" w:line="360" w:lineRule="auto"/>
        <w:rPr>
          <w:rFonts w:ascii="宋体" w:hAnsi="宋体"/>
          <w:b/>
          <w:color w:val="auto"/>
          <w:szCs w:val="21"/>
        </w:rPr>
      </w:pPr>
    </w:p>
    <w:p w14:paraId="35FB3E7A">
      <w:pPr>
        <w:adjustRightInd w:val="0"/>
        <w:snapToGrid w:val="0"/>
        <w:spacing w:before="156" w:beforeLines="50" w:line="360" w:lineRule="auto"/>
        <w:rPr>
          <w:rFonts w:ascii="宋体" w:hAnsi="宋体"/>
          <w:b/>
          <w:color w:val="auto"/>
          <w:szCs w:val="21"/>
        </w:rPr>
      </w:pPr>
    </w:p>
    <w:p w14:paraId="0941453A">
      <w:pPr>
        <w:adjustRightInd w:val="0"/>
        <w:snapToGrid w:val="0"/>
        <w:spacing w:before="156" w:beforeLines="50" w:line="360" w:lineRule="auto"/>
        <w:rPr>
          <w:rFonts w:ascii="宋体" w:hAnsi="宋体"/>
          <w:b/>
          <w:color w:val="auto"/>
          <w:szCs w:val="21"/>
        </w:rPr>
      </w:pPr>
    </w:p>
    <w:p w14:paraId="6F469F2F">
      <w:pPr>
        <w:adjustRightInd w:val="0"/>
        <w:snapToGrid w:val="0"/>
        <w:spacing w:before="156" w:beforeLines="50" w:line="360" w:lineRule="auto"/>
        <w:rPr>
          <w:rFonts w:ascii="宋体" w:hAnsi="宋体"/>
          <w:b/>
          <w:color w:val="auto"/>
          <w:szCs w:val="21"/>
        </w:rPr>
      </w:pPr>
    </w:p>
    <w:p w14:paraId="1D6EA9B3">
      <w:pPr>
        <w:adjustRightInd w:val="0"/>
        <w:snapToGrid w:val="0"/>
        <w:spacing w:before="156" w:beforeLines="50" w:line="360" w:lineRule="auto"/>
        <w:rPr>
          <w:rFonts w:ascii="宋体" w:hAnsi="宋体"/>
          <w:b/>
          <w:color w:val="auto"/>
          <w:szCs w:val="21"/>
        </w:rPr>
      </w:pPr>
    </w:p>
    <w:p w14:paraId="7B50C0D0">
      <w:pPr>
        <w:adjustRightInd w:val="0"/>
        <w:snapToGrid w:val="0"/>
        <w:spacing w:before="156" w:beforeLines="50" w:line="360" w:lineRule="auto"/>
        <w:rPr>
          <w:rFonts w:ascii="宋体" w:hAnsi="宋体"/>
          <w:b/>
          <w:color w:val="auto"/>
          <w:szCs w:val="21"/>
        </w:rPr>
      </w:pPr>
    </w:p>
    <w:p w14:paraId="396335FC">
      <w:pPr>
        <w:adjustRightInd w:val="0"/>
        <w:snapToGrid w:val="0"/>
        <w:spacing w:before="156" w:beforeLines="50" w:line="360" w:lineRule="auto"/>
        <w:rPr>
          <w:rFonts w:ascii="宋体" w:hAnsi="宋体"/>
          <w:b/>
          <w:color w:val="auto"/>
          <w:szCs w:val="21"/>
        </w:rPr>
      </w:pPr>
    </w:p>
    <w:p w14:paraId="0A55FF22">
      <w:pPr>
        <w:widowControl/>
        <w:adjustRightInd w:val="0"/>
        <w:snapToGrid w:val="0"/>
        <w:spacing w:line="360" w:lineRule="auto"/>
        <w:jc w:val="left"/>
        <w:rPr>
          <w:rFonts w:ascii="黑体" w:hAnsi="仿宋" w:eastAsia="黑体" w:cs="宋体"/>
          <w:b/>
          <w:color w:val="auto"/>
          <w:sz w:val="24"/>
        </w:rPr>
      </w:pPr>
      <w:r>
        <w:rPr>
          <w:rFonts w:hint="eastAsia" w:ascii="宋体" w:hAnsi="宋体" w:cs="宋体"/>
          <w:b/>
          <w:color w:val="auto"/>
          <w:sz w:val="24"/>
        </w:rPr>
        <w:t>（2）湖南省政府采购供应商资格承诺函(格式)</w:t>
      </w:r>
    </w:p>
    <w:p w14:paraId="01D4E43C">
      <w:pPr>
        <w:rPr>
          <w:color w:val="auto"/>
        </w:rPr>
      </w:pPr>
    </w:p>
    <w:p w14:paraId="1DF946BE">
      <w:pPr>
        <w:widowControl/>
        <w:adjustRightInd w:val="0"/>
        <w:snapToGrid w:val="0"/>
        <w:spacing w:before="156" w:beforeLines="50" w:line="360" w:lineRule="auto"/>
        <w:jc w:val="center"/>
        <w:rPr>
          <w:rFonts w:cs="宋体" w:asciiTheme="minorEastAsia" w:hAnsiTheme="minorEastAsia" w:eastAsiaTheme="minorEastAsia"/>
          <w:color w:val="auto"/>
          <w:szCs w:val="21"/>
        </w:rPr>
      </w:pPr>
      <w:r>
        <w:rPr>
          <w:rFonts w:hint="eastAsia" w:ascii="黑体" w:hAnsi="仿宋" w:eastAsia="黑体" w:cs="宋体"/>
          <w:b/>
          <w:color w:val="auto"/>
          <w:sz w:val="28"/>
          <w:szCs w:val="28"/>
        </w:rPr>
        <w:t>湖南省政府采购供应商资格承诺函(格式)</w:t>
      </w:r>
    </w:p>
    <w:p w14:paraId="5060FB61">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56D4C7C">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按照《政府采购促进中小企业发展管理办法》(财库〔2020〕46号),本公司企业规模为: 大型口中型口小型□微型□。</w:t>
      </w:r>
    </w:p>
    <w:p w14:paraId="56C7B11E">
      <w:pPr>
        <w:widowControl/>
        <w:spacing w:before="156"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□本公司自愿入驻湖南省政府采购电子卖场,遵守《湖南省政府采购电子卖场管理办法》(湘财购〔2019〕27号),如违反承诺,同意金融机构将增信保证划缴国库(非电子卖场采购活动项目不需勾选)。</w:t>
      </w:r>
    </w:p>
    <w:p w14:paraId="5035CEE0">
      <w:pPr>
        <w:widowControl/>
        <w:spacing w:before="156" w:beforeLines="50" w:line="360" w:lineRule="auto"/>
        <w:ind w:firstLine="420" w:firstLineChars="200"/>
        <w:jc w:val="left"/>
        <w:rPr>
          <w:rFonts w:ascii="宋体" w:hAnsi="宋体" w:cs="宋体"/>
          <w:color w:val="auto"/>
          <w:szCs w:val="21"/>
        </w:rPr>
      </w:pPr>
    </w:p>
    <w:p w14:paraId="21219576">
      <w:pPr>
        <w:widowControl/>
        <w:spacing w:before="156" w:beforeLines="50" w:line="360" w:lineRule="auto"/>
        <w:ind w:firstLine="5040" w:firstLineChars="2400"/>
        <w:jc w:val="left"/>
        <w:rPr>
          <w:rFonts w:ascii="宋体" w:hAnsi="宋体" w:cs="宋体"/>
          <w:color w:val="auto"/>
          <w:szCs w:val="21"/>
        </w:rPr>
      </w:pPr>
      <w:r>
        <w:rPr>
          <w:rFonts w:hint="eastAsia" w:ascii="宋体" w:hAnsi="宋体" w:cs="宋体"/>
          <w:color w:val="auto"/>
          <w:szCs w:val="21"/>
        </w:rPr>
        <w:t>公司(单位)名称(盖章)：</w:t>
      </w:r>
    </w:p>
    <w:p w14:paraId="25FA9739">
      <w:pPr>
        <w:widowControl/>
        <w:spacing w:before="156" w:beforeLines="50" w:line="360" w:lineRule="auto"/>
        <w:ind w:firstLine="4830" w:firstLineChars="2300"/>
        <w:jc w:val="left"/>
        <w:rPr>
          <w:rFonts w:ascii="宋体" w:hAnsi="宋体" w:cs="宋体"/>
          <w:color w:val="auto"/>
          <w:szCs w:val="21"/>
        </w:rPr>
      </w:pP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年</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月</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日</w:t>
      </w:r>
    </w:p>
    <w:p w14:paraId="2FF5278E">
      <w:pPr>
        <w:widowControl/>
        <w:spacing w:before="156" w:beforeLines="50" w:line="360" w:lineRule="auto"/>
        <w:ind w:firstLine="420" w:firstLineChars="200"/>
        <w:jc w:val="left"/>
        <w:rPr>
          <w:rFonts w:ascii="宋体" w:hAnsi="宋体" w:cs="宋体"/>
          <w:color w:val="auto"/>
          <w:szCs w:val="21"/>
        </w:rPr>
      </w:pPr>
    </w:p>
    <w:p w14:paraId="529EA5BE">
      <w:pPr>
        <w:pStyle w:val="46"/>
        <w:spacing w:before="0" w:beforeAutospacing="0" w:after="0" w:afterAutospacing="0" w:line="360" w:lineRule="auto"/>
        <w:jc w:val="both"/>
        <w:rPr>
          <w:color w:val="auto"/>
          <w:sz w:val="21"/>
          <w:szCs w:val="21"/>
        </w:rPr>
      </w:pPr>
      <w:r>
        <w:rPr>
          <w:rFonts w:hint="eastAsia"/>
          <w:color w:val="auto"/>
          <w:sz w:val="21"/>
          <w:szCs w:val="21"/>
        </w:rPr>
        <w:t>机构代码：</w:t>
      </w:r>
      <w:r>
        <w:rPr>
          <w:rFonts w:hint="eastAsia"/>
          <w:color w:val="auto"/>
          <w:sz w:val="21"/>
          <w:szCs w:val="21"/>
          <w:u w:val="single"/>
        </w:rPr>
        <w:t>      </w:t>
      </w:r>
      <w:r>
        <w:rPr>
          <w:rFonts w:hint="eastAsia"/>
          <w:color w:val="auto"/>
          <w:sz w:val="21"/>
          <w:szCs w:val="21"/>
        </w:rPr>
        <w:t>、注册登记机构：</w:t>
      </w:r>
      <w:r>
        <w:rPr>
          <w:rFonts w:hint="eastAsia"/>
          <w:color w:val="auto"/>
          <w:sz w:val="21"/>
          <w:szCs w:val="21"/>
          <w:u w:val="single"/>
        </w:rPr>
        <w:t>      </w:t>
      </w:r>
      <w:r>
        <w:rPr>
          <w:rFonts w:hint="eastAsia"/>
          <w:color w:val="auto"/>
          <w:sz w:val="21"/>
          <w:szCs w:val="21"/>
        </w:rPr>
        <w:t>、日期：</w:t>
      </w:r>
      <w:r>
        <w:rPr>
          <w:rFonts w:hint="eastAsia"/>
          <w:color w:val="auto"/>
          <w:sz w:val="21"/>
          <w:szCs w:val="21"/>
          <w:u w:val="single"/>
        </w:rPr>
        <w:t>      </w:t>
      </w:r>
      <w:r>
        <w:rPr>
          <w:rFonts w:hint="eastAsia"/>
          <w:color w:val="auto"/>
          <w:sz w:val="21"/>
          <w:szCs w:val="21"/>
        </w:rPr>
        <w:t>、</w:t>
      </w:r>
    </w:p>
    <w:p w14:paraId="24B8807B">
      <w:pPr>
        <w:pStyle w:val="46"/>
        <w:spacing w:before="0" w:beforeAutospacing="0" w:after="0" w:afterAutospacing="0" w:line="360" w:lineRule="auto"/>
        <w:jc w:val="both"/>
        <w:rPr>
          <w:color w:val="auto"/>
          <w:sz w:val="21"/>
          <w:szCs w:val="21"/>
        </w:rPr>
      </w:pPr>
      <w:r>
        <w:rPr>
          <w:rFonts w:hint="eastAsia"/>
          <w:color w:val="auto"/>
          <w:sz w:val="21"/>
          <w:szCs w:val="21"/>
        </w:rPr>
        <w:t>有效期：</w:t>
      </w:r>
      <w:r>
        <w:rPr>
          <w:rFonts w:hint="eastAsia"/>
          <w:color w:val="auto"/>
          <w:sz w:val="21"/>
          <w:szCs w:val="21"/>
          <w:u w:val="single"/>
        </w:rPr>
        <w:t>      </w:t>
      </w:r>
      <w:r>
        <w:rPr>
          <w:rFonts w:hint="eastAsia"/>
          <w:color w:val="auto"/>
          <w:sz w:val="21"/>
          <w:szCs w:val="21"/>
        </w:rPr>
        <w:t>、注册资本：</w:t>
      </w:r>
      <w:r>
        <w:rPr>
          <w:rFonts w:hint="eastAsia"/>
          <w:color w:val="auto"/>
          <w:sz w:val="21"/>
          <w:szCs w:val="21"/>
          <w:u w:val="single"/>
        </w:rPr>
        <w:t>      </w:t>
      </w:r>
      <w:r>
        <w:rPr>
          <w:rFonts w:hint="eastAsia"/>
          <w:color w:val="auto"/>
          <w:sz w:val="21"/>
          <w:szCs w:val="21"/>
        </w:rPr>
        <w:t>、地址：</w:t>
      </w:r>
      <w:r>
        <w:rPr>
          <w:rFonts w:hint="eastAsia"/>
          <w:color w:val="auto"/>
          <w:sz w:val="21"/>
          <w:szCs w:val="21"/>
          <w:u w:val="single"/>
        </w:rPr>
        <w:t>      </w:t>
      </w:r>
      <w:r>
        <w:rPr>
          <w:rFonts w:hint="eastAsia"/>
          <w:color w:val="auto"/>
          <w:sz w:val="21"/>
          <w:szCs w:val="21"/>
        </w:rPr>
        <w:t>、经济行业：</w:t>
      </w:r>
      <w:r>
        <w:rPr>
          <w:rFonts w:hint="eastAsia"/>
          <w:color w:val="auto"/>
          <w:sz w:val="21"/>
          <w:szCs w:val="21"/>
          <w:u w:val="single"/>
        </w:rPr>
        <w:t>      </w:t>
      </w:r>
      <w:r>
        <w:rPr>
          <w:rFonts w:hint="eastAsia"/>
          <w:color w:val="auto"/>
          <w:sz w:val="21"/>
          <w:szCs w:val="21"/>
        </w:rPr>
        <w:t>、经济性质：</w:t>
      </w:r>
      <w:r>
        <w:rPr>
          <w:rFonts w:hint="eastAsia"/>
          <w:color w:val="auto"/>
          <w:sz w:val="21"/>
          <w:szCs w:val="21"/>
          <w:u w:val="single"/>
        </w:rPr>
        <w:t>      </w:t>
      </w:r>
    </w:p>
    <w:p w14:paraId="68265297">
      <w:pPr>
        <w:pStyle w:val="46"/>
        <w:spacing w:before="0" w:beforeAutospacing="0" w:after="0" w:afterAutospacing="0" w:line="360" w:lineRule="auto"/>
        <w:jc w:val="both"/>
        <w:rPr>
          <w:color w:val="auto"/>
          <w:sz w:val="21"/>
          <w:szCs w:val="21"/>
        </w:rPr>
      </w:pPr>
    </w:p>
    <w:p w14:paraId="05200538">
      <w:pPr>
        <w:pStyle w:val="46"/>
        <w:spacing w:before="0" w:beforeAutospacing="0" w:after="0" w:afterAutospacing="0" w:line="360" w:lineRule="auto"/>
        <w:jc w:val="both"/>
        <w:rPr>
          <w:color w:val="auto"/>
          <w:sz w:val="21"/>
          <w:szCs w:val="21"/>
        </w:rPr>
      </w:pPr>
      <w:r>
        <w:rPr>
          <w:rFonts w:hint="eastAsia"/>
          <w:color w:val="auto"/>
          <w:sz w:val="21"/>
          <w:szCs w:val="21"/>
        </w:rPr>
        <w:t>法定代表人（负责人）姓名（签字）：</w:t>
      </w:r>
      <w:r>
        <w:rPr>
          <w:rFonts w:hint="eastAsia"/>
          <w:color w:val="auto"/>
          <w:sz w:val="21"/>
          <w:szCs w:val="21"/>
          <w:u w:val="single"/>
        </w:rPr>
        <w:t>     </w:t>
      </w:r>
      <w:r>
        <w:rPr>
          <w:rFonts w:hint="eastAsia"/>
          <w:color w:val="auto"/>
          <w:sz w:val="21"/>
          <w:szCs w:val="21"/>
        </w:rPr>
        <w:t>、身份证号：</w:t>
      </w:r>
      <w:r>
        <w:rPr>
          <w:rFonts w:hint="eastAsia"/>
          <w:color w:val="auto"/>
          <w:sz w:val="21"/>
          <w:szCs w:val="21"/>
          <w:u w:val="single"/>
        </w:rPr>
        <w:t>     </w:t>
      </w:r>
      <w:r>
        <w:rPr>
          <w:rFonts w:hint="eastAsia"/>
          <w:color w:val="auto"/>
          <w:sz w:val="21"/>
          <w:szCs w:val="21"/>
        </w:rPr>
        <w:t>、手机号：</w:t>
      </w:r>
      <w:r>
        <w:rPr>
          <w:rFonts w:hint="eastAsia"/>
          <w:color w:val="auto"/>
          <w:sz w:val="21"/>
          <w:szCs w:val="21"/>
          <w:u w:val="single"/>
        </w:rPr>
        <w:t>     </w:t>
      </w:r>
    </w:p>
    <w:p w14:paraId="28C8826B">
      <w:pPr>
        <w:spacing w:line="360" w:lineRule="auto"/>
        <w:rPr>
          <w:color w:val="auto"/>
        </w:rPr>
      </w:pPr>
      <w:r>
        <w:rPr>
          <w:rFonts w:hint="eastAsia"/>
          <w:color w:val="auto"/>
          <w:szCs w:val="21"/>
        </w:rPr>
        <w:t>授权代表人姓名（签字）：</w:t>
      </w:r>
      <w:r>
        <w:rPr>
          <w:rFonts w:hint="eastAsia"/>
          <w:color w:val="auto"/>
          <w:szCs w:val="21"/>
          <w:u w:val="single"/>
        </w:rPr>
        <w:t>              </w:t>
      </w:r>
      <w:r>
        <w:rPr>
          <w:rFonts w:hint="eastAsia"/>
          <w:color w:val="auto"/>
          <w:szCs w:val="21"/>
        </w:rPr>
        <w:t>、身份证号：</w:t>
      </w:r>
      <w:r>
        <w:rPr>
          <w:rFonts w:hint="eastAsia"/>
          <w:color w:val="auto"/>
          <w:szCs w:val="21"/>
          <w:u w:val="single"/>
        </w:rPr>
        <w:t>              </w:t>
      </w:r>
      <w:r>
        <w:rPr>
          <w:rFonts w:hint="eastAsia"/>
          <w:color w:val="auto"/>
          <w:szCs w:val="21"/>
        </w:rPr>
        <w:t>、手机号：</w:t>
      </w:r>
      <w:r>
        <w:rPr>
          <w:rFonts w:hint="eastAsia"/>
          <w:color w:val="auto"/>
          <w:szCs w:val="21"/>
          <w:u w:val="single"/>
        </w:rPr>
        <w:t>              </w:t>
      </w:r>
    </w:p>
    <w:p w14:paraId="2E072F53">
      <w:pPr>
        <w:rPr>
          <w:color w:val="auto"/>
        </w:rPr>
      </w:pPr>
    </w:p>
    <w:p w14:paraId="666931A9">
      <w:pPr>
        <w:adjustRightInd w:val="0"/>
        <w:snapToGrid w:val="0"/>
        <w:spacing w:before="156" w:beforeLines="50" w:line="360" w:lineRule="auto"/>
        <w:jc w:val="center"/>
        <w:rPr>
          <w:rFonts w:ascii="宋体" w:hAnsi="宋体"/>
          <w:b/>
          <w:color w:val="auto"/>
          <w:szCs w:val="21"/>
        </w:rPr>
      </w:pPr>
    </w:p>
    <w:p w14:paraId="3152CA02">
      <w:pPr>
        <w:adjustRightInd w:val="0"/>
        <w:snapToGrid w:val="0"/>
        <w:spacing w:before="156" w:beforeLines="50" w:line="360" w:lineRule="auto"/>
        <w:jc w:val="center"/>
        <w:rPr>
          <w:rFonts w:ascii="宋体" w:hAnsi="宋体"/>
          <w:b/>
          <w:color w:val="auto"/>
          <w:szCs w:val="21"/>
        </w:rPr>
      </w:pPr>
    </w:p>
    <w:p w14:paraId="0331DC5C">
      <w:pPr>
        <w:adjustRightInd w:val="0"/>
        <w:snapToGrid w:val="0"/>
        <w:spacing w:before="156" w:beforeLines="50" w:line="360" w:lineRule="auto"/>
        <w:jc w:val="center"/>
        <w:rPr>
          <w:rFonts w:ascii="宋体" w:hAnsi="宋体"/>
          <w:b/>
          <w:color w:val="auto"/>
          <w:szCs w:val="21"/>
        </w:rPr>
      </w:pPr>
    </w:p>
    <w:p w14:paraId="6AC3920E">
      <w:pPr>
        <w:adjustRightInd w:val="0"/>
        <w:snapToGrid w:val="0"/>
        <w:spacing w:before="156" w:beforeLines="50" w:line="360" w:lineRule="auto"/>
        <w:jc w:val="center"/>
        <w:rPr>
          <w:rFonts w:ascii="宋体" w:hAnsi="宋体"/>
          <w:b/>
          <w:color w:val="auto"/>
          <w:szCs w:val="21"/>
        </w:rPr>
      </w:pPr>
      <w:r>
        <w:rPr>
          <w:rFonts w:hint="eastAsia" w:ascii="宋体" w:hAnsi="宋体"/>
          <w:b/>
          <w:color w:val="auto"/>
          <w:szCs w:val="21"/>
        </w:rPr>
        <w:t xml:space="preserve"> </w:t>
      </w:r>
    </w:p>
    <w:p w14:paraId="02E6640F">
      <w:pPr>
        <w:adjustRightInd w:val="0"/>
        <w:snapToGrid w:val="0"/>
        <w:spacing w:before="156" w:beforeLines="50" w:line="360" w:lineRule="auto"/>
        <w:jc w:val="center"/>
        <w:rPr>
          <w:rFonts w:ascii="宋体" w:hAnsi="宋体"/>
          <w:b/>
          <w:color w:val="auto"/>
          <w:szCs w:val="21"/>
        </w:rPr>
      </w:pPr>
      <w:r>
        <w:rPr>
          <w:rFonts w:hint="eastAsia" w:ascii="宋体" w:hAnsi="宋体"/>
          <w:b/>
          <w:color w:val="auto"/>
          <w:szCs w:val="21"/>
        </w:rPr>
        <w:br w:type="page"/>
      </w:r>
      <w:bookmarkStart w:id="58" w:name="_Toc32304"/>
      <w:bookmarkStart w:id="59" w:name="_Toc29175"/>
      <w:bookmarkStart w:id="60" w:name="_Toc25103"/>
      <w:r>
        <w:rPr>
          <w:rFonts w:hint="eastAsia" w:ascii="黑体" w:hAnsi="仿宋" w:eastAsia="黑体" w:cs="宋体"/>
          <w:b/>
          <w:color w:val="auto"/>
          <w:sz w:val="28"/>
          <w:szCs w:val="28"/>
        </w:rPr>
        <w:t>(3)</w:t>
      </w:r>
      <w:bookmarkEnd w:id="58"/>
      <w:bookmarkEnd w:id="59"/>
      <w:bookmarkEnd w:id="60"/>
      <w:r>
        <w:rPr>
          <w:rFonts w:hint="eastAsia" w:ascii="黑体" w:hAnsi="仿宋" w:eastAsia="黑体" w:cs="宋体"/>
          <w:b/>
          <w:color w:val="auto"/>
          <w:sz w:val="28"/>
          <w:szCs w:val="28"/>
        </w:rPr>
        <w:t>符合特定资格条件证明材料或者情况说明</w:t>
      </w:r>
    </w:p>
    <w:p w14:paraId="69265B27">
      <w:pPr>
        <w:rPr>
          <w:color w:val="auto"/>
        </w:rPr>
      </w:pPr>
    </w:p>
    <w:p w14:paraId="26476A04">
      <w:pPr>
        <w:rPr>
          <w:color w:val="auto"/>
        </w:rPr>
      </w:pPr>
    </w:p>
    <w:p w14:paraId="43175334">
      <w:pPr>
        <w:rPr>
          <w:color w:val="auto"/>
        </w:rPr>
      </w:pPr>
    </w:p>
    <w:p w14:paraId="66B38BEF">
      <w:pPr>
        <w:rPr>
          <w:color w:val="auto"/>
        </w:rPr>
      </w:pPr>
    </w:p>
    <w:p w14:paraId="5BF457EE">
      <w:pPr>
        <w:rPr>
          <w:color w:val="auto"/>
        </w:rPr>
      </w:pPr>
    </w:p>
    <w:p w14:paraId="632A5D11">
      <w:pPr>
        <w:rPr>
          <w:color w:val="auto"/>
        </w:rPr>
      </w:pPr>
    </w:p>
    <w:p w14:paraId="550F7133">
      <w:pPr>
        <w:adjustRightInd w:val="0"/>
        <w:snapToGrid w:val="0"/>
        <w:spacing w:before="156" w:beforeLines="50" w:line="360" w:lineRule="auto"/>
        <w:jc w:val="center"/>
        <w:rPr>
          <w:rFonts w:ascii="宋体" w:hAnsi="宋体"/>
          <w:b/>
          <w:color w:val="auto"/>
          <w:sz w:val="32"/>
          <w:szCs w:val="32"/>
        </w:rPr>
      </w:pPr>
    </w:p>
    <w:p w14:paraId="2862297F">
      <w:pPr>
        <w:adjustRightInd w:val="0"/>
        <w:snapToGrid w:val="0"/>
        <w:spacing w:before="156" w:beforeLines="50" w:line="360" w:lineRule="auto"/>
        <w:jc w:val="center"/>
        <w:rPr>
          <w:rFonts w:ascii="宋体" w:hAnsi="宋体"/>
          <w:b/>
          <w:color w:val="auto"/>
          <w:sz w:val="32"/>
          <w:szCs w:val="32"/>
        </w:rPr>
      </w:pPr>
    </w:p>
    <w:p w14:paraId="68F11139">
      <w:pPr>
        <w:adjustRightInd w:val="0"/>
        <w:snapToGrid w:val="0"/>
        <w:spacing w:before="156" w:beforeLines="50" w:line="360" w:lineRule="auto"/>
        <w:jc w:val="center"/>
        <w:rPr>
          <w:rFonts w:ascii="宋体" w:hAnsi="宋体"/>
          <w:b/>
          <w:color w:val="auto"/>
          <w:sz w:val="32"/>
          <w:szCs w:val="32"/>
        </w:rPr>
      </w:pPr>
    </w:p>
    <w:p w14:paraId="5BE2DB52">
      <w:pPr>
        <w:adjustRightInd w:val="0"/>
        <w:snapToGrid w:val="0"/>
        <w:spacing w:before="156" w:beforeLines="50" w:line="360" w:lineRule="auto"/>
        <w:jc w:val="center"/>
        <w:rPr>
          <w:rFonts w:ascii="宋体" w:hAnsi="宋体"/>
          <w:b/>
          <w:color w:val="auto"/>
          <w:sz w:val="32"/>
          <w:szCs w:val="32"/>
        </w:rPr>
      </w:pPr>
    </w:p>
    <w:p w14:paraId="251038EC">
      <w:pPr>
        <w:rPr>
          <w:rFonts w:ascii="宋体" w:hAnsi="宋体"/>
          <w:b/>
          <w:color w:val="auto"/>
          <w:sz w:val="32"/>
          <w:szCs w:val="32"/>
        </w:rPr>
      </w:pPr>
      <w:bookmarkStart w:id="61" w:name="_Toc9896"/>
      <w:bookmarkStart w:id="62" w:name="_Toc22416"/>
      <w:r>
        <w:rPr>
          <w:rFonts w:hint="eastAsia" w:ascii="宋体" w:hAnsi="宋体"/>
          <w:b/>
          <w:color w:val="auto"/>
          <w:sz w:val="32"/>
          <w:szCs w:val="32"/>
        </w:rPr>
        <w:br w:type="page"/>
      </w:r>
    </w:p>
    <w:bookmarkEnd w:id="61"/>
    <w:bookmarkEnd w:id="62"/>
    <w:p w14:paraId="12806B09">
      <w:pPr>
        <w:spacing w:line="360" w:lineRule="exact"/>
        <w:jc w:val="center"/>
        <w:outlineLvl w:val="1"/>
        <w:rPr>
          <w:rFonts w:ascii="宋体" w:hAnsi="宋体"/>
          <w:b/>
          <w:color w:val="auto"/>
          <w:sz w:val="32"/>
          <w:szCs w:val="32"/>
        </w:rPr>
      </w:pPr>
      <w:bookmarkStart w:id="63" w:name="_Toc22537"/>
      <w:bookmarkStart w:id="64" w:name="_Toc7255"/>
      <w:bookmarkStart w:id="65" w:name="_Toc30854"/>
      <w:r>
        <w:rPr>
          <w:rFonts w:hint="eastAsia" w:ascii="宋体" w:hAnsi="宋体"/>
          <w:b/>
          <w:color w:val="auto"/>
          <w:sz w:val="32"/>
          <w:szCs w:val="32"/>
        </w:rPr>
        <w:t>四、服务方案</w:t>
      </w:r>
      <w:bookmarkEnd w:id="63"/>
      <w:bookmarkEnd w:id="64"/>
      <w:bookmarkEnd w:id="65"/>
    </w:p>
    <w:p w14:paraId="0F3CD194">
      <w:pPr>
        <w:spacing w:line="360" w:lineRule="exact"/>
        <w:jc w:val="center"/>
        <w:rPr>
          <w:rFonts w:ascii="宋体" w:hAnsi="宋体"/>
          <w:b/>
          <w:color w:val="auto"/>
          <w:sz w:val="32"/>
          <w:szCs w:val="32"/>
        </w:rPr>
      </w:pPr>
    </w:p>
    <w:p w14:paraId="373B5059">
      <w:pPr>
        <w:spacing w:line="360" w:lineRule="exact"/>
        <w:jc w:val="center"/>
        <w:rPr>
          <w:rFonts w:ascii="宋体" w:hAnsi="宋体"/>
          <w:b/>
          <w:color w:val="auto"/>
          <w:sz w:val="32"/>
          <w:szCs w:val="32"/>
        </w:rPr>
      </w:pPr>
    </w:p>
    <w:p w14:paraId="61731B52">
      <w:pPr>
        <w:spacing w:line="360" w:lineRule="exact"/>
        <w:rPr>
          <w:rFonts w:ascii="仿宋" w:hAnsi="仿宋" w:eastAsia="仿宋" w:cs="仿宋"/>
          <w:b/>
          <w:color w:val="auto"/>
          <w:sz w:val="28"/>
          <w:szCs w:val="28"/>
        </w:rPr>
      </w:pPr>
      <w:r>
        <w:rPr>
          <w:rFonts w:hint="eastAsia" w:ascii="仿宋" w:hAnsi="仿宋" w:eastAsia="仿宋" w:cs="仿宋"/>
          <w:b/>
          <w:color w:val="auto"/>
          <w:sz w:val="28"/>
          <w:szCs w:val="28"/>
        </w:rPr>
        <w:t>注：由供应商根据采购需求和磋商评分标准自行编制，格式自拟。</w:t>
      </w:r>
    </w:p>
    <w:p w14:paraId="137303F1">
      <w:pPr>
        <w:spacing w:line="360" w:lineRule="exact"/>
        <w:jc w:val="center"/>
        <w:rPr>
          <w:rFonts w:ascii="宋体" w:hAnsi="宋体"/>
          <w:b/>
          <w:color w:val="auto"/>
          <w:sz w:val="32"/>
          <w:szCs w:val="32"/>
        </w:rPr>
      </w:pPr>
    </w:p>
    <w:p w14:paraId="4EEA835C">
      <w:pPr>
        <w:spacing w:line="360" w:lineRule="exact"/>
        <w:jc w:val="center"/>
        <w:rPr>
          <w:rFonts w:ascii="宋体" w:hAnsi="宋体"/>
          <w:b/>
          <w:color w:val="auto"/>
          <w:sz w:val="32"/>
          <w:szCs w:val="32"/>
        </w:rPr>
      </w:pPr>
    </w:p>
    <w:p w14:paraId="0A62C43B">
      <w:pPr>
        <w:spacing w:line="360" w:lineRule="exact"/>
        <w:jc w:val="center"/>
        <w:rPr>
          <w:rFonts w:ascii="宋体" w:hAnsi="宋体"/>
          <w:b/>
          <w:color w:val="auto"/>
          <w:sz w:val="32"/>
          <w:szCs w:val="32"/>
        </w:rPr>
      </w:pPr>
    </w:p>
    <w:p w14:paraId="1D0496B1">
      <w:pPr>
        <w:spacing w:line="360" w:lineRule="exact"/>
        <w:jc w:val="center"/>
        <w:rPr>
          <w:rFonts w:ascii="宋体" w:hAnsi="宋体"/>
          <w:b/>
          <w:color w:val="auto"/>
          <w:sz w:val="32"/>
          <w:szCs w:val="32"/>
        </w:rPr>
      </w:pPr>
    </w:p>
    <w:p w14:paraId="36B8E015">
      <w:pPr>
        <w:spacing w:line="360" w:lineRule="exact"/>
        <w:jc w:val="center"/>
        <w:rPr>
          <w:rFonts w:ascii="宋体" w:hAnsi="宋体"/>
          <w:b/>
          <w:color w:val="auto"/>
          <w:sz w:val="32"/>
          <w:szCs w:val="32"/>
        </w:rPr>
      </w:pPr>
    </w:p>
    <w:p w14:paraId="79FFE305">
      <w:pPr>
        <w:spacing w:line="360" w:lineRule="exact"/>
        <w:jc w:val="center"/>
        <w:rPr>
          <w:rFonts w:ascii="宋体" w:hAnsi="宋体"/>
          <w:b/>
          <w:color w:val="auto"/>
          <w:sz w:val="32"/>
          <w:szCs w:val="32"/>
        </w:rPr>
      </w:pPr>
    </w:p>
    <w:p w14:paraId="64A341C4">
      <w:pPr>
        <w:spacing w:line="360" w:lineRule="exact"/>
        <w:jc w:val="center"/>
        <w:rPr>
          <w:rFonts w:ascii="宋体" w:hAnsi="宋体"/>
          <w:b/>
          <w:color w:val="auto"/>
          <w:sz w:val="32"/>
          <w:szCs w:val="32"/>
        </w:rPr>
      </w:pPr>
    </w:p>
    <w:p w14:paraId="62EE26D5">
      <w:pPr>
        <w:spacing w:line="360" w:lineRule="exact"/>
        <w:jc w:val="center"/>
        <w:rPr>
          <w:rFonts w:ascii="宋体" w:hAnsi="宋体"/>
          <w:b/>
          <w:color w:val="auto"/>
          <w:sz w:val="32"/>
          <w:szCs w:val="32"/>
        </w:rPr>
      </w:pPr>
    </w:p>
    <w:p w14:paraId="5DE70103">
      <w:pPr>
        <w:spacing w:line="360" w:lineRule="exact"/>
        <w:jc w:val="center"/>
        <w:rPr>
          <w:rFonts w:ascii="宋体" w:hAnsi="宋体"/>
          <w:b/>
          <w:color w:val="auto"/>
          <w:sz w:val="32"/>
          <w:szCs w:val="32"/>
        </w:rPr>
      </w:pPr>
    </w:p>
    <w:p w14:paraId="6643A4CF">
      <w:pPr>
        <w:spacing w:line="360" w:lineRule="exact"/>
        <w:jc w:val="center"/>
        <w:rPr>
          <w:rFonts w:ascii="宋体" w:hAnsi="宋体"/>
          <w:b/>
          <w:color w:val="auto"/>
          <w:sz w:val="32"/>
          <w:szCs w:val="32"/>
        </w:rPr>
      </w:pPr>
    </w:p>
    <w:p w14:paraId="4910108C">
      <w:pPr>
        <w:spacing w:line="360" w:lineRule="exact"/>
        <w:jc w:val="center"/>
        <w:rPr>
          <w:rFonts w:ascii="宋体" w:hAnsi="宋体"/>
          <w:b/>
          <w:color w:val="auto"/>
          <w:sz w:val="32"/>
          <w:szCs w:val="32"/>
        </w:rPr>
      </w:pPr>
    </w:p>
    <w:p w14:paraId="5237E6D5">
      <w:pPr>
        <w:spacing w:line="360" w:lineRule="exact"/>
        <w:jc w:val="center"/>
        <w:rPr>
          <w:rFonts w:ascii="宋体" w:hAnsi="宋体"/>
          <w:b/>
          <w:color w:val="auto"/>
          <w:sz w:val="32"/>
          <w:szCs w:val="32"/>
        </w:rPr>
      </w:pPr>
    </w:p>
    <w:p w14:paraId="778420D6">
      <w:pPr>
        <w:spacing w:line="360" w:lineRule="exact"/>
        <w:jc w:val="center"/>
        <w:rPr>
          <w:rFonts w:ascii="宋体" w:hAnsi="宋体"/>
          <w:b/>
          <w:color w:val="auto"/>
          <w:sz w:val="32"/>
          <w:szCs w:val="32"/>
        </w:rPr>
      </w:pPr>
    </w:p>
    <w:p w14:paraId="2E76F66E">
      <w:pPr>
        <w:spacing w:line="360" w:lineRule="exact"/>
        <w:jc w:val="center"/>
        <w:rPr>
          <w:rFonts w:ascii="宋体" w:hAnsi="宋体"/>
          <w:b/>
          <w:color w:val="auto"/>
          <w:sz w:val="32"/>
          <w:szCs w:val="32"/>
        </w:rPr>
      </w:pPr>
    </w:p>
    <w:p w14:paraId="17D5BF56">
      <w:pPr>
        <w:spacing w:line="360" w:lineRule="exact"/>
        <w:jc w:val="center"/>
        <w:rPr>
          <w:rFonts w:ascii="宋体" w:hAnsi="宋体"/>
          <w:b/>
          <w:color w:val="auto"/>
          <w:sz w:val="32"/>
          <w:szCs w:val="32"/>
        </w:rPr>
      </w:pPr>
    </w:p>
    <w:p w14:paraId="11CFEC1F">
      <w:pPr>
        <w:spacing w:line="360" w:lineRule="exact"/>
        <w:jc w:val="center"/>
        <w:rPr>
          <w:rFonts w:ascii="宋体" w:hAnsi="宋体"/>
          <w:b/>
          <w:color w:val="auto"/>
          <w:sz w:val="32"/>
          <w:szCs w:val="32"/>
        </w:rPr>
      </w:pPr>
    </w:p>
    <w:p w14:paraId="0022DE95">
      <w:pPr>
        <w:spacing w:line="360" w:lineRule="exact"/>
        <w:jc w:val="center"/>
        <w:rPr>
          <w:rFonts w:ascii="宋体" w:hAnsi="宋体"/>
          <w:b/>
          <w:color w:val="auto"/>
          <w:sz w:val="32"/>
          <w:szCs w:val="32"/>
        </w:rPr>
      </w:pPr>
    </w:p>
    <w:p w14:paraId="2A04A41F">
      <w:pPr>
        <w:spacing w:line="360" w:lineRule="exact"/>
        <w:jc w:val="center"/>
        <w:rPr>
          <w:rFonts w:ascii="宋体" w:hAnsi="宋体"/>
          <w:b/>
          <w:color w:val="auto"/>
          <w:sz w:val="32"/>
          <w:szCs w:val="32"/>
        </w:rPr>
      </w:pPr>
    </w:p>
    <w:p w14:paraId="5AA77AD9">
      <w:pPr>
        <w:spacing w:line="360" w:lineRule="exact"/>
        <w:jc w:val="center"/>
        <w:rPr>
          <w:rFonts w:ascii="宋体" w:hAnsi="宋体"/>
          <w:b/>
          <w:color w:val="auto"/>
          <w:sz w:val="32"/>
          <w:szCs w:val="32"/>
        </w:rPr>
      </w:pPr>
    </w:p>
    <w:p w14:paraId="4F537604">
      <w:pPr>
        <w:spacing w:line="360" w:lineRule="exact"/>
        <w:jc w:val="center"/>
        <w:rPr>
          <w:rFonts w:ascii="宋体" w:hAnsi="宋体"/>
          <w:b/>
          <w:color w:val="auto"/>
          <w:sz w:val="32"/>
          <w:szCs w:val="32"/>
        </w:rPr>
      </w:pPr>
    </w:p>
    <w:p w14:paraId="074F3F6E">
      <w:pPr>
        <w:spacing w:line="360" w:lineRule="exact"/>
        <w:jc w:val="center"/>
        <w:rPr>
          <w:rFonts w:ascii="宋体" w:hAnsi="宋体"/>
          <w:b/>
          <w:color w:val="auto"/>
          <w:sz w:val="32"/>
          <w:szCs w:val="32"/>
        </w:rPr>
      </w:pPr>
    </w:p>
    <w:p w14:paraId="0B7AF2F5">
      <w:pPr>
        <w:spacing w:line="360" w:lineRule="exact"/>
        <w:jc w:val="center"/>
        <w:rPr>
          <w:rFonts w:ascii="宋体" w:hAnsi="宋体"/>
          <w:b/>
          <w:color w:val="auto"/>
          <w:sz w:val="32"/>
          <w:szCs w:val="32"/>
        </w:rPr>
      </w:pPr>
    </w:p>
    <w:p w14:paraId="06D2A86F">
      <w:pPr>
        <w:spacing w:line="360" w:lineRule="exact"/>
        <w:jc w:val="center"/>
        <w:rPr>
          <w:rFonts w:ascii="宋体" w:hAnsi="宋体"/>
          <w:b/>
          <w:color w:val="auto"/>
          <w:sz w:val="32"/>
          <w:szCs w:val="32"/>
        </w:rPr>
      </w:pPr>
    </w:p>
    <w:p w14:paraId="4661C880">
      <w:pPr>
        <w:spacing w:line="360" w:lineRule="exact"/>
        <w:jc w:val="center"/>
        <w:rPr>
          <w:rFonts w:ascii="宋体" w:hAnsi="宋体"/>
          <w:b/>
          <w:color w:val="auto"/>
          <w:sz w:val="32"/>
          <w:szCs w:val="32"/>
        </w:rPr>
      </w:pPr>
    </w:p>
    <w:p w14:paraId="343CD2F6">
      <w:pPr>
        <w:spacing w:line="360" w:lineRule="exact"/>
        <w:jc w:val="center"/>
        <w:rPr>
          <w:rFonts w:ascii="宋体" w:hAnsi="宋体"/>
          <w:b/>
          <w:color w:val="auto"/>
          <w:sz w:val="32"/>
          <w:szCs w:val="32"/>
        </w:rPr>
      </w:pPr>
    </w:p>
    <w:p w14:paraId="1E482A33">
      <w:pPr>
        <w:spacing w:line="360" w:lineRule="exact"/>
        <w:jc w:val="center"/>
        <w:rPr>
          <w:rFonts w:ascii="宋体" w:hAnsi="宋体"/>
          <w:b/>
          <w:color w:val="auto"/>
          <w:sz w:val="32"/>
          <w:szCs w:val="32"/>
        </w:rPr>
      </w:pPr>
    </w:p>
    <w:p w14:paraId="0D387A79">
      <w:pPr>
        <w:spacing w:line="360" w:lineRule="exact"/>
        <w:jc w:val="center"/>
        <w:rPr>
          <w:rFonts w:ascii="宋体" w:hAnsi="宋体"/>
          <w:b/>
          <w:color w:val="auto"/>
          <w:sz w:val="32"/>
          <w:szCs w:val="32"/>
        </w:rPr>
      </w:pPr>
    </w:p>
    <w:p w14:paraId="751EF7C8">
      <w:pPr>
        <w:spacing w:line="360" w:lineRule="exact"/>
        <w:jc w:val="center"/>
        <w:rPr>
          <w:rFonts w:ascii="宋体" w:hAnsi="宋体"/>
          <w:b/>
          <w:color w:val="auto"/>
          <w:sz w:val="32"/>
          <w:szCs w:val="32"/>
        </w:rPr>
      </w:pPr>
    </w:p>
    <w:p w14:paraId="6B0CBCB9">
      <w:pPr>
        <w:spacing w:line="360" w:lineRule="exact"/>
        <w:jc w:val="center"/>
        <w:rPr>
          <w:rFonts w:ascii="宋体" w:hAnsi="宋体"/>
          <w:b/>
          <w:color w:val="auto"/>
          <w:sz w:val="32"/>
          <w:szCs w:val="32"/>
        </w:rPr>
      </w:pPr>
    </w:p>
    <w:p w14:paraId="1C370A91">
      <w:pPr>
        <w:spacing w:line="360" w:lineRule="exact"/>
        <w:jc w:val="center"/>
        <w:rPr>
          <w:rFonts w:ascii="宋体" w:hAnsi="宋体"/>
          <w:b/>
          <w:color w:val="auto"/>
          <w:sz w:val="32"/>
          <w:szCs w:val="32"/>
        </w:rPr>
      </w:pPr>
    </w:p>
    <w:p w14:paraId="202C070F">
      <w:pPr>
        <w:spacing w:line="360" w:lineRule="exact"/>
        <w:jc w:val="center"/>
        <w:rPr>
          <w:rFonts w:ascii="宋体" w:hAnsi="宋体"/>
          <w:b/>
          <w:color w:val="auto"/>
          <w:sz w:val="32"/>
          <w:szCs w:val="32"/>
        </w:rPr>
      </w:pPr>
    </w:p>
    <w:p w14:paraId="55D98647">
      <w:pPr>
        <w:spacing w:line="360" w:lineRule="exact"/>
        <w:jc w:val="center"/>
        <w:rPr>
          <w:rFonts w:ascii="宋体" w:hAnsi="宋体"/>
          <w:b/>
          <w:color w:val="auto"/>
          <w:sz w:val="32"/>
          <w:szCs w:val="32"/>
        </w:rPr>
      </w:pPr>
    </w:p>
    <w:p w14:paraId="452A328A">
      <w:pPr>
        <w:spacing w:line="360" w:lineRule="exact"/>
        <w:jc w:val="center"/>
        <w:rPr>
          <w:rFonts w:ascii="宋体" w:hAnsi="宋体"/>
          <w:b/>
          <w:color w:val="auto"/>
          <w:sz w:val="32"/>
          <w:szCs w:val="32"/>
        </w:rPr>
      </w:pPr>
    </w:p>
    <w:p w14:paraId="54948417">
      <w:pPr>
        <w:spacing w:line="360" w:lineRule="exact"/>
        <w:jc w:val="center"/>
        <w:rPr>
          <w:rFonts w:ascii="宋体" w:hAnsi="宋体"/>
          <w:b/>
          <w:color w:val="auto"/>
          <w:sz w:val="32"/>
          <w:szCs w:val="32"/>
        </w:rPr>
      </w:pPr>
    </w:p>
    <w:p w14:paraId="0D5F595E">
      <w:pPr>
        <w:spacing w:line="360" w:lineRule="exact"/>
        <w:jc w:val="center"/>
        <w:outlineLvl w:val="1"/>
        <w:rPr>
          <w:rFonts w:ascii="宋体" w:hAnsi="宋体"/>
          <w:b/>
          <w:color w:val="auto"/>
          <w:sz w:val="32"/>
          <w:szCs w:val="32"/>
        </w:rPr>
      </w:pPr>
      <w:bookmarkStart w:id="66" w:name="_Toc13626"/>
      <w:bookmarkStart w:id="67" w:name="_Toc23545"/>
      <w:bookmarkStart w:id="68" w:name="_Toc28254"/>
      <w:r>
        <w:rPr>
          <w:rFonts w:hint="eastAsia" w:ascii="宋体" w:hAnsi="宋体"/>
          <w:b/>
          <w:color w:val="auto"/>
          <w:sz w:val="32"/>
          <w:szCs w:val="32"/>
        </w:rPr>
        <w:t>五、技术/商务响应与偏离表</w:t>
      </w:r>
      <w:bookmarkEnd w:id="66"/>
      <w:bookmarkEnd w:id="67"/>
      <w:bookmarkEnd w:id="68"/>
    </w:p>
    <w:p w14:paraId="4CBEB739">
      <w:pPr>
        <w:adjustRightInd w:val="0"/>
        <w:snapToGrid w:val="0"/>
        <w:ind w:left="-88" w:leftChars="-42" w:firstLine="315" w:firstLineChars="150"/>
        <w:rPr>
          <w:rFonts w:ascii="宋体" w:hAnsi="宋体"/>
          <w:color w:val="auto"/>
          <w:szCs w:val="21"/>
        </w:rPr>
      </w:pPr>
    </w:p>
    <w:p w14:paraId="165CDEB7">
      <w:pPr>
        <w:adjustRightInd w:val="0"/>
        <w:snapToGrid w:val="0"/>
        <w:ind w:left="-88" w:leftChars="-42" w:firstLine="315" w:firstLineChars="150"/>
        <w:rPr>
          <w:rFonts w:ascii="宋体" w:hAnsi="宋体"/>
          <w:bCs/>
          <w:color w:val="auto"/>
          <w:szCs w:val="21"/>
        </w:rPr>
      </w:pPr>
      <w:r>
        <w:rPr>
          <w:rFonts w:hint="eastAsia" w:ascii="宋体" w:hAnsi="宋体"/>
          <w:color w:val="auto"/>
          <w:szCs w:val="21"/>
          <w:lang w:eastAsia="zh-CN"/>
        </w:rPr>
        <w:t>政府采购编号</w:t>
      </w: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rPr>
        <w:t xml:space="preserve">                               包号： </w:t>
      </w:r>
      <w:r>
        <w:rPr>
          <w:rFonts w:hint="eastAsia" w:ascii="宋体" w:hAnsi="宋体"/>
          <w:color w:val="auto"/>
          <w:szCs w:val="21"/>
          <w:u w:val="single"/>
        </w:rPr>
        <w:t xml:space="preserve">       </w:t>
      </w:r>
      <w:r>
        <w:rPr>
          <w:rFonts w:hint="eastAsia" w:ascii="宋体" w:hAnsi="宋体"/>
          <w:bCs/>
          <w:color w:val="auto"/>
          <w:szCs w:val="21"/>
        </w:rPr>
        <w:t xml:space="preserve">    </w:t>
      </w:r>
    </w:p>
    <w:tbl>
      <w:tblPr>
        <w:tblStyle w:val="51"/>
        <w:tblW w:w="950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517"/>
        <w:gridCol w:w="1119"/>
      </w:tblGrid>
      <w:tr w14:paraId="683FD9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tcBorders>
              <w:top w:val="double" w:color="auto" w:sz="4" w:space="0"/>
              <w:left w:val="double" w:color="auto" w:sz="4" w:space="0"/>
              <w:bottom w:val="single" w:color="auto" w:sz="6" w:space="0"/>
              <w:right w:val="single" w:color="auto" w:sz="6" w:space="0"/>
            </w:tcBorders>
            <w:vAlign w:val="center"/>
          </w:tcPr>
          <w:p w14:paraId="43995D09">
            <w:pPr>
              <w:adjustRightInd w:val="0"/>
              <w:snapToGrid w:val="0"/>
              <w:ind w:left="-88" w:leftChars="-42"/>
              <w:jc w:val="center"/>
              <w:rPr>
                <w:rFonts w:ascii="宋体" w:hAnsi="宋体"/>
                <w:bCs/>
                <w:color w:val="auto"/>
                <w:szCs w:val="21"/>
              </w:rPr>
            </w:pPr>
            <w:r>
              <w:rPr>
                <w:rFonts w:hint="eastAsia" w:ascii="宋体" w:hAnsi="宋体"/>
                <w:bCs/>
                <w:color w:val="auto"/>
                <w:szCs w:val="21"/>
              </w:rPr>
              <w:t>序号</w:t>
            </w:r>
          </w:p>
        </w:tc>
        <w:tc>
          <w:tcPr>
            <w:tcW w:w="1685" w:type="dxa"/>
            <w:tcBorders>
              <w:top w:val="double" w:color="auto" w:sz="4" w:space="0"/>
              <w:left w:val="single" w:color="auto" w:sz="6" w:space="0"/>
              <w:bottom w:val="single" w:color="auto" w:sz="6" w:space="0"/>
              <w:right w:val="single" w:color="auto" w:sz="6" w:space="0"/>
            </w:tcBorders>
            <w:vAlign w:val="center"/>
          </w:tcPr>
          <w:p w14:paraId="77EA4148">
            <w:pPr>
              <w:adjustRightInd w:val="0"/>
              <w:snapToGrid w:val="0"/>
              <w:ind w:left="-88" w:leftChars="-42"/>
              <w:jc w:val="center"/>
              <w:rPr>
                <w:rFonts w:ascii="宋体" w:hAnsi="宋体"/>
                <w:color w:val="auto"/>
                <w:szCs w:val="21"/>
              </w:rPr>
            </w:pPr>
            <w:r>
              <w:rPr>
                <w:rFonts w:hint="eastAsia" w:ascii="宋体" w:hAnsi="宋体"/>
                <w:color w:val="auto"/>
                <w:szCs w:val="21"/>
              </w:rPr>
              <w:t>磋商文件条目号</w:t>
            </w:r>
          </w:p>
        </w:tc>
        <w:tc>
          <w:tcPr>
            <w:tcW w:w="1948" w:type="dxa"/>
            <w:tcBorders>
              <w:top w:val="double" w:color="auto" w:sz="4" w:space="0"/>
              <w:left w:val="single" w:color="auto" w:sz="6" w:space="0"/>
              <w:bottom w:val="single" w:color="auto" w:sz="6" w:space="0"/>
              <w:right w:val="single" w:color="auto" w:sz="6" w:space="0"/>
            </w:tcBorders>
            <w:vAlign w:val="center"/>
          </w:tcPr>
          <w:p w14:paraId="006C16D8">
            <w:pPr>
              <w:adjustRightInd w:val="0"/>
              <w:snapToGrid w:val="0"/>
              <w:ind w:left="-88" w:leftChars="-42"/>
              <w:jc w:val="center"/>
              <w:rPr>
                <w:rFonts w:ascii="宋体" w:hAnsi="宋体"/>
                <w:color w:val="auto"/>
                <w:szCs w:val="21"/>
              </w:rPr>
            </w:pPr>
            <w:r>
              <w:rPr>
                <w:rFonts w:hint="eastAsia" w:ascii="宋体" w:hAnsi="宋体"/>
                <w:color w:val="auto"/>
                <w:szCs w:val="21"/>
              </w:rPr>
              <w:t>磋商文件的条款</w:t>
            </w:r>
          </w:p>
        </w:tc>
        <w:tc>
          <w:tcPr>
            <w:tcW w:w="2600" w:type="dxa"/>
            <w:tcBorders>
              <w:top w:val="double" w:color="auto" w:sz="4" w:space="0"/>
              <w:left w:val="single" w:color="auto" w:sz="6" w:space="0"/>
              <w:bottom w:val="single" w:color="auto" w:sz="6" w:space="0"/>
              <w:right w:val="single" w:color="auto" w:sz="6" w:space="0"/>
            </w:tcBorders>
            <w:vAlign w:val="center"/>
          </w:tcPr>
          <w:p w14:paraId="41418D9E">
            <w:pPr>
              <w:adjustRightInd w:val="0"/>
              <w:snapToGrid w:val="0"/>
              <w:ind w:left="-88" w:leftChars="-42"/>
              <w:jc w:val="center"/>
              <w:rPr>
                <w:rFonts w:ascii="宋体" w:hAnsi="宋体"/>
                <w:color w:val="auto"/>
                <w:szCs w:val="21"/>
              </w:rPr>
            </w:pPr>
            <w:r>
              <w:rPr>
                <w:rFonts w:hint="eastAsia" w:ascii="宋体" w:hAnsi="宋体"/>
                <w:color w:val="auto"/>
                <w:szCs w:val="21"/>
              </w:rPr>
              <w:t>响应文件的条款</w:t>
            </w:r>
          </w:p>
        </w:tc>
        <w:tc>
          <w:tcPr>
            <w:tcW w:w="1517" w:type="dxa"/>
            <w:tcBorders>
              <w:top w:val="double" w:color="auto" w:sz="4" w:space="0"/>
              <w:left w:val="single" w:color="auto" w:sz="6" w:space="0"/>
              <w:bottom w:val="single" w:color="auto" w:sz="6" w:space="0"/>
              <w:right w:val="single" w:color="auto" w:sz="6" w:space="0"/>
            </w:tcBorders>
            <w:vAlign w:val="center"/>
          </w:tcPr>
          <w:p w14:paraId="4F57E809">
            <w:pPr>
              <w:adjustRightInd w:val="0"/>
              <w:snapToGrid w:val="0"/>
              <w:ind w:left="-88" w:leftChars="-42"/>
              <w:jc w:val="center"/>
              <w:rPr>
                <w:rFonts w:ascii="宋体" w:hAnsi="宋体"/>
                <w:color w:val="auto"/>
                <w:szCs w:val="21"/>
              </w:rPr>
            </w:pPr>
            <w:r>
              <w:rPr>
                <w:rFonts w:hint="eastAsia" w:ascii="宋体" w:hAnsi="宋体"/>
                <w:color w:val="auto"/>
                <w:szCs w:val="21"/>
              </w:rPr>
              <w:t>响应与偏离</w:t>
            </w:r>
          </w:p>
        </w:tc>
        <w:tc>
          <w:tcPr>
            <w:tcW w:w="1119" w:type="dxa"/>
            <w:tcBorders>
              <w:top w:val="double" w:color="auto" w:sz="4" w:space="0"/>
              <w:left w:val="single" w:color="auto" w:sz="6" w:space="0"/>
              <w:bottom w:val="single" w:color="auto" w:sz="6" w:space="0"/>
              <w:right w:val="double" w:color="auto" w:sz="4" w:space="0"/>
            </w:tcBorders>
            <w:vAlign w:val="center"/>
          </w:tcPr>
          <w:p w14:paraId="4C71328F">
            <w:pPr>
              <w:adjustRightInd w:val="0"/>
              <w:snapToGrid w:val="0"/>
              <w:ind w:left="-88" w:leftChars="-42"/>
              <w:jc w:val="center"/>
              <w:rPr>
                <w:rFonts w:ascii="宋体" w:hAnsi="宋体"/>
                <w:color w:val="auto"/>
                <w:szCs w:val="21"/>
              </w:rPr>
            </w:pPr>
            <w:r>
              <w:rPr>
                <w:rFonts w:hint="eastAsia" w:ascii="宋体" w:hAnsi="宋体"/>
                <w:color w:val="auto"/>
                <w:szCs w:val="21"/>
              </w:rPr>
              <w:t>说明</w:t>
            </w:r>
          </w:p>
        </w:tc>
      </w:tr>
      <w:tr w14:paraId="20464E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4" w:space="0"/>
              <w:bottom w:val="single" w:color="auto" w:sz="6" w:space="0"/>
              <w:right w:val="single" w:color="auto" w:sz="6" w:space="0"/>
            </w:tcBorders>
          </w:tcPr>
          <w:p w14:paraId="39A16E2E">
            <w:pPr>
              <w:adjustRightInd w:val="0"/>
              <w:snapToGrid w:val="0"/>
              <w:ind w:left="-88" w:leftChars="-42"/>
              <w:jc w:val="center"/>
              <w:rPr>
                <w:rFonts w:ascii="宋体" w:hAnsi="宋体"/>
                <w:color w:val="auto"/>
                <w:szCs w:val="21"/>
              </w:rPr>
            </w:pPr>
          </w:p>
        </w:tc>
        <w:tc>
          <w:tcPr>
            <w:tcW w:w="1685" w:type="dxa"/>
            <w:tcBorders>
              <w:top w:val="single" w:color="auto" w:sz="6" w:space="0"/>
              <w:left w:val="single" w:color="auto" w:sz="6" w:space="0"/>
              <w:bottom w:val="single" w:color="auto" w:sz="6" w:space="0"/>
              <w:right w:val="single" w:color="auto" w:sz="6" w:space="0"/>
            </w:tcBorders>
            <w:vAlign w:val="center"/>
          </w:tcPr>
          <w:p w14:paraId="2C1CBC2B">
            <w:pPr>
              <w:adjustRightInd w:val="0"/>
              <w:snapToGrid w:val="0"/>
              <w:ind w:left="-88" w:leftChars="-42"/>
              <w:jc w:val="center"/>
              <w:rPr>
                <w:rFonts w:ascii="宋体" w:hAnsi="宋体"/>
                <w:color w:val="auto"/>
                <w:szCs w:val="21"/>
              </w:rPr>
            </w:pPr>
          </w:p>
        </w:tc>
        <w:tc>
          <w:tcPr>
            <w:tcW w:w="1948" w:type="dxa"/>
            <w:tcBorders>
              <w:top w:val="single" w:color="auto" w:sz="6" w:space="0"/>
              <w:left w:val="single" w:color="auto" w:sz="6" w:space="0"/>
              <w:bottom w:val="single" w:color="auto" w:sz="6" w:space="0"/>
              <w:right w:val="single" w:color="auto" w:sz="6" w:space="0"/>
            </w:tcBorders>
            <w:vAlign w:val="center"/>
          </w:tcPr>
          <w:p w14:paraId="7EE53AC0">
            <w:pPr>
              <w:adjustRightInd w:val="0"/>
              <w:snapToGrid w:val="0"/>
              <w:ind w:left="-88" w:leftChars="-42"/>
              <w:jc w:val="center"/>
              <w:rPr>
                <w:rFonts w:ascii="宋体" w:hAnsi="宋体"/>
                <w:color w:val="auto"/>
                <w:szCs w:val="21"/>
              </w:rPr>
            </w:pPr>
          </w:p>
        </w:tc>
        <w:tc>
          <w:tcPr>
            <w:tcW w:w="2600" w:type="dxa"/>
            <w:tcBorders>
              <w:top w:val="single" w:color="auto" w:sz="6" w:space="0"/>
              <w:left w:val="single" w:color="auto" w:sz="6" w:space="0"/>
              <w:bottom w:val="single" w:color="auto" w:sz="6" w:space="0"/>
              <w:right w:val="single" w:color="auto" w:sz="6" w:space="0"/>
            </w:tcBorders>
            <w:vAlign w:val="center"/>
          </w:tcPr>
          <w:p w14:paraId="3B165ABF">
            <w:pPr>
              <w:adjustRightInd w:val="0"/>
              <w:snapToGrid w:val="0"/>
              <w:ind w:left="-88" w:leftChars="-42"/>
              <w:jc w:val="center"/>
              <w:rPr>
                <w:rFonts w:ascii="宋体" w:hAnsi="宋体"/>
                <w:color w:val="auto"/>
                <w:szCs w:val="21"/>
              </w:rPr>
            </w:pPr>
          </w:p>
        </w:tc>
        <w:tc>
          <w:tcPr>
            <w:tcW w:w="1517" w:type="dxa"/>
            <w:tcBorders>
              <w:top w:val="single" w:color="auto" w:sz="6" w:space="0"/>
              <w:left w:val="single" w:color="auto" w:sz="6" w:space="0"/>
              <w:bottom w:val="single" w:color="auto" w:sz="6" w:space="0"/>
              <w:right w:val="single" w:color="auto" w:sz="6" w:space="0"/>
            </w:tcBorders>
            <w:vAlign w:val="center"/>
          </w:tcPr>
          <w:p w14:paraId="603A168A">
            <w:pPr>
              <w:adjustRightInd w:val="0"/>
              <w:snapToGrid w:val="0"/>
              <w:ind w:left="-88" w:leftChars="-42"/>
              <w:jc w:val="center"/>
              <w:rPr>
                <w:rFonts w:ascii="宋体" w:hAnsi="宋体"/>
                <w:color w:val="auto"/>
                <w:szCs w:val="21"/>
              </w:rPr>
            </w:pPr>
          </w:p>
        </w:tc>
        <w:tc>
          <w:tcPr>
            <w:tcW w:w="1119" w:type="dxa"/>
            <w:tcBorders>
              <w:top w:val="single" w:color="auto" w:sz="6" w:space="0"/>
              <w:left w:val="single" w:color="auto" w:sz="6" w:space="0"/>
              <w:bottom w:val="single" w:color="auto" w:sz="6" w:space="0"/>
              <w:right w:val="double" w:color="auto" w:sz="4" w:space="0"/>
            </w:tcBorders>
            <w:vAlign w:val="center"/>
          </w:tcPr>
          <w:p w14:paraId="60A13ADD">
            <w:pPr>
              <w:adjustRightInd w:val="0"/>
              <w:snapToGrid w:val="0"/>
              <w:ind w:left="-88" w:leftChars="-42"/>
              <w:jc w:val="center"/>
              <w:rPr>
                <w:rFonts w:ascii="宋体" w:hAnsi="宋体"/>
                <w:color w:val="auto"/>
                <w:szCs w:val="21"/>
              </w:rPr>
            </w:pPr>
          </w:p>
        </w:tc>
      </w:tr>
      <w:tr w14:paraId="60067C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4" w:space="0"/>
              <w:bottom w:val="single" w:color="auto" w:sz="6" w:space="0"/>
              <w:right w:val="single" w:color="auto" w:sz="6" w:space="0"/>
            </w:tcBorders>
          </w:tcPr>
          <w:p w14:paraId="2DCE513E">
            <w:pPr>
              <w:adjustRightInd w:val="0"/>
              <w:snapToGrid w:val="0"/>
              <w:ind w:left="-88" w:leftChars="-42"/>
              <w:jc w:val="center"/>
              <w:rPr>
                <w:rFonts w:ascii="宋体" w:hAnsi="宋体"/>
                <w:color w:val="auto"/>
                <w:szCs w:val="21"/>
              </w:rPr>
            </w:pPr>
          </w:p>
        </w:tc>
        <w:tc>
          <w:tcPr>
            <w:tcW w:w="1685" w:type="dxa"/>
            <w:tcBorders>
              <w:top w:val="single" w:color="auto" w:sz="6" w:space="0"/>
              <w:left w:val="single" w:color="auto" w:sz="6" w:space="0"/>
              <w:bottom w:val="single" w:color="auto" w:sz="6" w:space="0"/>
              <w:right w:val="single" w:color="auto" w:sz="6" w:space="0"/>
            </w:tcBorders>
            <w:vAlign w:val="center"/>
          </w:tcPr>
          <w:p w14:paraId="1FE948E1">
            <w:pPr>
              <w:adjustRightInd w:val="0"/>
              <w:snapToGrid w:val="0"/>
              <w:ind w:left="-88" w:leftChars="-42"/>
              <w:jc w:val="center"/>
              <w:rPr>
                <w:rFonts w:ascii="宋体" w:hAnsi="宋体"/>
                <w:color w:val="auto"/>
                <w:szCs w:val="21"/>
              </w:rPr>
            </w:pPr>
          </w:p>
        </w:tc>
        <w:tc>
          <w:tcPr>
            <w:tcW w:w="1948" w:type="dxa"/>
            <w:tcBorders>
              <w:top w:val="single" w:color="auto" w:sz="6" w:space="0"/>
              <w:left w:val="single" w:color="auto" w:sz="6" w:space="0"/>
              <w:bottom w:val="single" w:color="auto" w:sz="6" w:space="0"/>
              <w:right w:val="single" w:color="auto" w:sz="6" w:space="0"/>
            </w:tcBorders>
            <w:vAlign w:val="center"/>
          </w:tcPr>
          <w:p w14:paraId="114B38FB">
            <w:pPr>
              <w:adjustRightInd w:val="0"/>
              <w:snapToGrid w:val="0"/>
              <w:ind w:left="-88" w:leftChars="-42"/>
              <w:jc w:val="center"/>
              <w:rPr>
                <w:rFonts w:ascii="宋体" w:hAnsi="宋体"/>
                <w:color w:val="auto"/>
                <w:szCs w:val="21"/>
              </w:rPr>
            </w:pPr>
          </w:p>
        </w:tc>
        <w:tc>
          <w:tcPr>
            <w:tcW w:w="2600" w:type="dxa"/>
            <w:tcBorders>
              <w:top w:val="single" w:color="auto" w:sz="6" w:space="0"/>
              <w:left w:val="single" w:color="auto" w:sz="6" w:space="0"/>
              <w:bottom w:val="single" w:color="auto" w:sz="6" w:space="0"/>
              <w:right w:val="single" w:color="auto" w:sz="6" w:space="0"/>
            </w:tcBorders>
            <w:vAlign w:val="center"/>
          </w:tcPr>
          <w:p w14:paraId="4896E81F">
            <w:pPr>
              <w:adjustRightInd w:val="0"/>
              <w:snapToGrid w:val="0"/>
              <w:ind w:left="-88" w:leftChars="-42"/>
              <w:jc w:val="center"/>
              <w:rPr>
                <w:rFonts w:ascii="宋体" w:hAnsi="宋体"/>
                <w:color w:val="auto"/>
                <w:szCs w:val="21"/>
              </w:rPr>
            </w:pPr>
          </w:p>
        </w:tc>
        <w:tc>
          <w:tcPr>
            <w:tcW w:w="1517" w:type="dxa"/>
            <w:tcBorders>
              <w:top w:val="single" w:color="auto" w:sz="6" w:space="0"/>
              <w:left w:val="single" w:color="auto" w:sz="6" w:space="0"/>
              <w:bottom w:val="single" w:color="auto" w:sz="6" w:space="0"/>
              <w:right w:val="single" w:color="auto" w:sz="6" w:space="0"/>
            </w:tcBorders>
            <w:vAlign w:val="center"/>
          </w:tcPr>
          <w:p w14:paraId="3BDB376D">
            <w:pPr>
              <w:adjustRightInd w:val="0"/>
              <w:snapToGrid w:val="0"/>
              <w:ind w:left="-88" w:leftChars="-42"/>
              <w:jc w:val="center"/>
              <w:rPr>
                <w:rFonts w:ascii="宋体" w:hAnsi="宋体"/>
                <w:color w:val="auto"/>
                <w:szCs w:val="21"/>
              </w:rPr>
            </w:pPr>
          </w:p>
        </w:tc>
        <w:tc>
          <w:tcPr>
            <w:tcW w:w="1119" w:type="dxa"/>
            <w:tcBorders>
              <w:top w:val="single" w:color="auto" w:sz="6" w:space="0"/>
              <w:left w:val="single" w:color="auto" w:sz="6" w:space="0"/>
              <w:bottom w:val="single" w:color="auto" w:sz="6" w:space="0"/>
              <w:right w:val="double" w:color="auto" w:sz="4" w:space="0"/>
            </w:tcBorders>
            <w:vAlign w:val="center"/>
          </w:tcPr>
          <w:p w14:paraId="5E34412C">
            <w:pPr>
              <w:adjustRightInd w:val="0"/>
              <w:snapToGrid w:val="0"/>
              <w:ind w:left="-88" w:leftChars="-42"/>
              <w:jc w:val="center"/>
              <w:rPr>
                <w:rFonts w:ascii="宋体" w:hAnsi="宋体"/>
                <w:color w:val="auto"/>
                <w:szCs w:val="21"/>
              </w:rPr>
            </w:pPr>
          </w:p>
        </w:tc>
      </w:tr>
      <w:tr w14:paraId="0764D6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4" w:space="0"/>
              <w:bottom w:val="single" w:color="auto" w:sz="6" w:space="0"/>
              <w:right w:val="single" w:color="auto" w:sz="6" w:space="0"/>
            </w:tcBorders>
          </w:tcPr>
          <w:p w14:paraId="1C962963">
            <w:pPr>
              <w:adjustRightInd w:val="0"/>
              <w:snapToGrid w:val="0"/>
              <w:ind w:left="-88" w:leftChars="-42"/>
              <w:jc w:val="center"/>
              <w:rPr>
                <w:rFonts w:ascii="宋体" w:hAnsi="宋体"/>
                <w:color w:val="auto"/>
                <w:szCs w:val="21"/>
              </w:rPr>
            </w:pPr>
          </w:p>
        </w:tc>
        <w:tc>
          <w:tcPr>
            <w:tcW w:w="1685" w:type="dxa"/>
            <w:tcBorders>
              <w:top w:val="single" w:color="auto" w:sz="6" w:space="0"/>
              <w:left w:val="single" w:color="auto" w:sz="6" w:space="0"/>
              <w:bottom w:val="single" w:color="auto" w:sz="6" w:space="0"/>
              <w:right w:val="single" w:color="auto" w:sz="6" w:space="0"/>
            </w:tcBorders>
            <w:vAlign w:val="center"/>
          </w:tcPr>
          <w:p w14:paraId="29BBCDA8">
            <w:pPr>
              <w:adjustRightInd w:val="0"/>
              <w:snapToGrid w:val="0"/>
              <w:ind w:left="-88" w:leftChars="-42"/>
              <w:jc w:val="center"/>
              <w:rPr>
                <w:rFonts w:ascii="宋体" w:hAnsi="宋体"/>
                <w:color w:val="auto"/>
                <w:szCs w:val="21"/>
              </w:rPr>
            </w:pPr>
          </w:p>
        </w:tc>
        <w:tc>
          <w:tcPr>
            <w:tcW w:w="1948" w:type="dxa"/>
            <w:tcBorders>
              <w:top w:val="single" w:color="auto" w:sz="6" w:space="0"/>
              <w:left w:val="single" w:color="auto" w:sz="6" w:space="0"/>
              <w:bottom w:val="single" w:color="auto" w:sz="6" w:space="0"/>
              <w:right w:val="single" w:color="auto" w:sz="6" w:space="0"/>
            </w:tcBorders>
            <w:vAlign w:val="center"/>
          </w:tcPr>
          <w:p w14:paraId="5C3B61AD">
            <w:pPr>
              <w:adjustRightInd w:val="0"/>
              <w:snapToGrid w:val="0"/>
              <w:ind w:left="-88" w:leftChars="-42"/>
              <w:jc w:val="center"/>
              <w:rPr>
                <w:rFonts w:ascii="宋体" w:hAnsi="宋体"/>
                <w:color w:val="auto"/>
                <w:szCs w:val="21"/>
              </w:rPr>
            </w:pPr>
          </w:p>
        </w:tc>
        <w:tc>
          <w:tcPr>
            <w:tcW w:w="2600" w:type="dxa"/>
            <w:tcBorders>
              <w:top w:val="single" w:color="auto" w:sz="6" w:space="0"/>
              <w:left w:val="single" w:color="auto" w:sz="6" w:space="0"/>
              <w:bottom w:val="single" w:color="auto" w:sz="6" w:space="0"/>
              <w:right w:val="single" w:color="auto" w:sz="6" w:space="0"/>
            </w:tcBorders>
            <w:vAlign w:val="center"/>
          </w:tcPr>
          <w:p w14:paraId="5582CCAD">
            <w:pPr>
              <w:adjustRightInd w:val="0"/>
              <w:snapToGrid w:val="0"/>
              <w:ind w:left="-88" w:leftChars="-42"/>
              <w:jc w:val="center"/>
              <w:rPr>
                <w:rFonts w:ascii="宋体" w:hAnsi="宋体"/>
                <w:color w:val="auto"/>
                <w:szCs w:val="21"/>
              </w:rPr>
            </w:pPr>
          </w:p>
        </w:tc>
        <w:tc>
          <w:tcPr>
            <w:tcW w:w="1517" w:type="dxa"/>
            <w:tcBorders>
              <w:top w:val="single" w:color="auto" w:sz="6" w:space="0"/>
              <w:left w:val="single" w:color="auto" w:sz="6" w:space="0"/>
              <w:bottom w:val="single" w:color="auto" w:sz="6" w:space="0"/>
              <w:right w:val="single" w:color="auto" w:sz="6" w:space="0"/>
            </w:tcBorders>
            <w:vAlign w:val="center"/>
          </w:tcPr>
          <w:p w14:paraId="19852112">
            <w:pPr>
              <w:adjustRightInd w:val="0"/>
              <w:snapToGrid w:val="0"/>
              <w:ind w:left="-88" w:leftChars="-42"/>
              <w:jc w:val="center"/>
              <w:rPr>
                <w:rFonts w:ascii="宋体" w:hAnsi="宋体"/>
                <w:color w:val="auto"/>
                <w:szCs w:val="21"/>
              </w:rPr>
            </w:pPr>
          </w:p>
        </w:tc>
        <w:tc>
          <w:tcPr>
            <w:tcW w:w="1119" w:type="dxa"/>
            <w:tcBorders>
              <w:top w:val="single" w:color="auto" w:sz="6" w:space="0"/>
              <w:left w:val="single" w:color="auto" w:sz="6" w:space="0"/>
              <w:bottom w:val="single" w:color="auto" w:sz="6" w:space="0"/>
              <w:right w:val="double" w:color="auto" w:sz="4" w:space="0"/>
            </w:tcBorders>
            <w:vAlign w:val="center"/>
          </w:tcPr>
          <w:p w14:paraId="3BF75C03">
            <w:pPr>
              <w:adjustRightInd w:val="0"/>
              <w:snapToGrid w:val="0"/>
              <w:ind w:left="-88" w:leftChars="-42"/>
              <w:jc w:val="center"/>
              <w:rPr>
                <w:rFonts w:ascii="宋体" w:hAnsi="宋体"/>
                <w:color w:val="auto"/>
                <w:szCs w:val="21"/>
              </w:rPr>
            </w:pPr>
          </w:p>
        </w:tc>
      </w:tr>
      <w:tr w14:paraId="1815AF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6" w:space="0"/>
              <w:left w:val="double" w:color="auto" w:sz="4" w:space="0"/>
              <w:bottom w:val="single" w:color="auto" w:sz="6" w:space="0"/>
              <w:right w:val="single" w:color="auto" w:sz="6" w:space="0"/>
            </w:tcBorders>
          </w:tcPr>
          <w:p w14:paraId="1E5E7A09">
            <w:pPr>
              <w:adjustRightInd w:val="0"/>
              <w:snapToGrid w:val="0"/>
              <w:ind w:left="-88" w:leftChars="-42"/>
              <w:jc w:val="center"/>
              <w:rPr>
                <w:rFonts w:ascii="宋体" w:hAnsi="宋体"/>
                <w:color w:val="auto"/>
                <w:szCs w:val="21"/>
              </w:rPr>
            </w:pPr>
          </w:p>
        </w:tc>
        <w:tc>
          <w:tcPr>
            <w:tcW w:w="1685" w:type="dxa"/>
            <w:tcBorders>
              <w:top w:val="single" w:color="auto" w:sz="6" w:space="0"/>
              <w:left w:val="single" w:color="auto" w:sz="6" w:space="0"/>
              <w:bottom w:val="single" w:color="auto" w:sz="6" w:space="0"/>
              <w:right w:val="single" w:color="auto" w:sz="6" w:space="0"/>
            </w:tcBorders>
            <w:vAlign w:val="center"/>
          </w:tcPr>
          <w:p w14:paraId="379BF3D4">
            <w:pPr>
              <w:adjustRightInd w:val="0"/>
              <w:snapToGrid w:val="0"/>
              <w:ind w:left="-88" w:leftChars="-42"/>
              <w:jc w:val="center"/>
              <w:rPr>
                <w:rFonts w:ascii="宋体" w:hAnsi="宋体"/>
                <w:color w:val="auto"/>
                <w:szCs w:val="21"/>
              </w:rPr>
            </w:pPr>
          </w:p>
        </w:tc>
        <w:tc>
          <w:tcPr>
            <w:tcW w:w="1948" w:type="dxa"/>
            <w:tcBorders>
              <w:top w:val="single" w:color="auto" w:sz="6" w:space="0"/>
              <w:left w:val="single" w:color="auto" w:sz="6" w:space="0"/>
              <w:bottom w:val="single" w:color="auto" w:sz="6" w:space="0"/>
              <w:right w:val="single" w:color="auto" w:sz="6" w:space="0"/>
            </w:tcBorders>
            <w:vAlign w:val="center"/>
          </w:tcPr>
          <w:p w14:paraId="1C7DB00B">
            <w:pPr>
              <w:adjustRightInd w:val="0"/>
              <w:snapToGrid w:val="0"/>
              <w:ind w:left="-88" w:leftChars="-42"/>
              <w:jc w:val="center"/>
              <w:rPr>
                <w:rFonts w:ascii="宋体" w:hAnsi="宋体"/>
                <w:color w:val="auto"/>
                <w:szCs w:val="21"/>
              </w:rPr>
            </w:pPr>
          </w:p>
        </w:tc>
        <w:tc>
          <w:tcPr>
            <w:tcW w:w="2600" w:type="dxa"/>
            <w:tcBorders>
              <w:top w:val="single" w:color="auto" w:sz="6" w:space="0"/>
              <w:left w:val="single" w:color="auto" w:sz="6" w:space="0"/>
              <w:bottom w:val="single" w:color="auto" w:sz="6" w:space="0"/>
              <w:right w:val="single" w:color="auto" w:sz="6" w:space="0"/>
            </w:tcBorders>
            <w:vAlign w:val="center"/>
          </w:tcPr>
          <w:p w14:paraId="2ED992B9">
            <w:pPr>
              <w:adjustRightInd w:val="0"/>
              <w:snapToGrid w:val="0"/>
              <w:ind w:left="-88" w:leftChars="-42"/>
              <w:jc w:val="center"/>
              <w:rPr>
                <w:rFonts w:ascii="宋体" w:hAnsi="宋体"/>
                <w:color w:val="auto"/>
                <w:szCs w:val="21"/>
              </w:rPr>
            </w:pPr>
          </w:p>
        </w:tc>
        <w:tc>
          <w:tcPr>
            <w:tcW w:w="1517" w:type="dxa"/>
            <w:tcBorders>
              <w:top w:val="single" w:color="auto" w:sz="6" w:space="0"/>
              <w:left w:val="single" w:color="auto" w:sz="6" w:space="0"/>
              <w:bottom w:val="single" w:color="auto" w:sz="6" w:space="0"/>
              <w:right w:val="single" w:color="auto" w:sz="6" w:space="0"/>
            </w:tcBorders>
            <w:vAlign w:val="center"/>
          </w:tcPr>
          <w:p w14:paraId="74E69E94">
            <w:pPr>
              <w:adjustRightInd w:val="0"/>
              <w:snapToGrid w:val="0"/>
              <w:ind w:left="-88" w:leftChars="-42"/>
              <w:jc w:val="center"/>
              <w:rPr>
                <w:rFonts w:ascii="宋体" w:hAnsi="宋体"/>
                <w:color w:val="auto"/>
                <w:szCs w:val="21"/>
              </w:rPr>
            </w:pPr>
          </w:p>
        </w:tc>
        <w:tc>
          <w:tcPr>
            <w:tcW w:w="1119" w:type="dxa"/>
            <w:tcBorders>
              <w:top w:val="single" w:color="auto" w:sz="6" w:space="0"/>
              <w:left w:val="single" w:color="auto" w:sz="6" w:space="0"/>
              <w:bottom w:val="single" w:color="auto" w:sz="6" w:space="0"/>
              <w:right w:val="double" w:color="auto" w:sz="4" w:space="0"/>
            </w:tcBorders>
            <w:vAlign w:val="center"/>
          </w:tcPr>
          <w:p w14:paraId="1317A41C">
            <w:pPr>
              <w:adjustRightInd w:val="0"/>
              <w:snapToGrid w:val="0"/>
              <w:ind w:left="-88" w:leftChars="-42"/>
              <w:jc w:val="center"/>
              <w:rPr>
                <w:rFonts w:ascii="宋体" w:hAnsi="宋体"/>
                <w:color w:val="auto"/>
                <w:szCs w:val="21"/>
              </w:rPr>
            </w:pPr>
          </w:p>
        </w:tc>
      </w:tr>
      <w:tr w14:paraId="41F363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05" w:hRule="atLeast"/>
          <w:jc w:val="center"/>
        </w:trPr>
        <w:tc>
          <w:tcPr>
            <w:tcW w:w="634" w:type="dxa"/>
            <w:tcBorders>
              <w:top w:val="single" w:color="auto" w:sz="6" w:space="0"/>
              <w:left w:val="double" w:color="auto" w:sz="4" w:space="0"/>
              <w:bottom w:val="double" w:color="auto" w:sz="4" w:space="0"/>
              <w:right w:val="single" w:color="auto" w:sz="6" w:space="0"/>
            </w:tcBorders>
          </w:tcPr>
          <w:p w14:paraId="7F7FBC6D">
            <w:pPr>
              <w:adjustRightInd w:val="0"/>
              <w:snapToGrid w:val="0"/>
              <w:ind w:left="-88" w:leftChars="-42"/>
              <w:jc w:val="center"/>
              <w:rPr>
                <w:rFonts w:ascii="宋体" w:hAnsi="宋体"/>
                <w:color w:val="auto"/>
                <w:szCs w:val="21"/>
              </w:rPr>
            </w:pPr>
          </w:p>
        </w:tc>
        <w:tc>
          <w:tcPr>
            <w:tcW w:w="1685" w:type="dxa"/>
            <w:tcBorders>
              <w:top w:val="single" w:color="auto" w:sz="6" w:space="0"/>
              <w:left w:val="single" w:color="auto" w:sz="6" w:space="0"/>
              <w:bottom w:val="double" w:color="auto" w:sz="4" w:space="0"/>
              <w:right w:val="single" w:color="auto" w:sz="6" w:space="0"/>
            </w:tcBorders>
            <w:vAlign w:val="center"/>
          </w:tcPr>
          <w:p w14:paraId="1D9AE8FB">
            <w:pPr>
              <w:adjustRightInd w:val="0"/>
              <w:snapToGrid w:val="0"/>
              <w:ind w:left="-88" w:leftChars="-42"/>
              <w:jc w:val="center"/>
              <w:rPr>
                <w:rFonts w:ascii="宋体" w:hAnsi="宋体"/>
                <w:color w:val="auto"/>
                <w:szCs w:val="21"/>
              </w:rPr>
            </w:pPr>
          </w:p>
        </w:tc>
        <w:tc>
          <w:tcPr>
            <w:tcW w:w="1948" w:type="dxa"/>
            <w:tcBorders>
              <w:top w:val="single" w:color="auto" w:sz="6" w:space="0"/>
              <w:left w:val="single" w:color="auto" w:sz="6" w:space="0"/>
              <w:bottom w:val="double" w:color="auto" w:sz="4" w:space="0"/>
              <w:right w:val="single" w:color="auto" w:sz="6" w:space="0"/>
            </w:tcBorders>
            <w:vAlign w:val="center"/>
          </w:tcPr>
          <w:p w14:paraId="2AF70A04">
            <w:pPr>
              <w:adjustRightInd w:val="0"/>
              <w:snapToGrid w:val="0"/>
              <w:ind w:left="-88" w:leftChars="-42"/>
              <w:jc w:val="center"/>
              <w:rPr>
                <w:rFonts w:ascii="宋体" w:hAnsi="宋体"/>
                <w:color w:val="auto"/>
                <w:szCs w:val="21"/>
              </w:rPr>
            </w:pPr>
          </w:p>
        </w:tc>
        <w:tc>
          <w:tcPr>
            <w:tcW w:w="2600" w:type="dxa"/>
            <w:tcBorders>
              <w:top w:val="single" w:color="auto" w:sz="6" w:space="0"/>
              <w:left w:val="single" w:color="auto" w:sz="6" w:space="0"/>
              <w:bottom w:val="double" w:color="auto" w:sz="4" w:space="0"/>
              <w:right w:val="single" w:color="auto" w:sz="6" w:space="0"/>
            </w:tcBorders>
            <w:vAlign w:val="center"/>
          </w:tcPr>
          <w:p w14:paraId="035FFBC2">
            <w:pPr>
              <w:adjustRightInd w:val="0"/>
              <w:snapToGrid w:val="0"/>
              <w:ind w:left="-88" w:leftChars="-42"/>
              <w:jc w:val="center"/>
              <w:rPr>
                <w:rFonts w:ascii="宋体" w:hAnsi="宋体"/>
                <w:color w:val="auto"/>
                <w:szCs w:val="21"/>
              </w:rPr>
            </w:pPr>
          </w:p>
        </w:tc>
        <w:tc>
          <w:tcPr>
            <w:tcW w:w="1517" w:type="dxa"/>
            <w:tcBorders>
              <w:top w:val="single" w:color="auto" w:sz="6" w:space="0"/>
              <w:left w:val="single" w:color="auto" w:sz="6" w:space="0"/>
              <w:bottom w:val="double" w:color="auto" w:sz="4" w:space="0"/>
              <w:right w:val="single" w:color="auto" w:sz="6" w:space="0"/>
            </w:tcBorders>
            <w:vAlign w:val="center"/>
          </w:tcPr>
          <w:p w14:paraId="4F5E45D9">
            <w:pPr>
              <w:adjustRightInd w:val="0"/>
              <w:snapToGrid w:val="0"/>
              <w:ind w:left="-88" w:leftChars="-42"/>
              <w:jc w:val="center"/>
              <w:rPr>
                <w:rFonts w:ascii="宋体" w:hAnsi="宋体"/>
                <w:color w:val="auto"/>
                <w:szCs w:val="21"/>
              </w:rPr>
            </w:pPr>
          </w:p>
        </w:tc>
        <w:tc>
          <w:tcPr>
            <w:tcW w:w="1119" w:type="dxa"/>
            <w:tcBorders>
              <w:top w:val="single" w:color="auto" w:sz="6" w:space="0"/>
              <w:left w:val="single" w:color="auto" w:sz="6" w:space="0"/>
              <w:bottom w:val="double" w:color="auto" w:sz="4" w:space="0"/>
              <w:right w:val="double" w:color="auto" w:sz="4" w:space="0"/>
            </w:tcBorders>
            <w:vAlign w:val="center"/>
          </w:tcPr>
          <w:p w14:paraId="52ED1786">
            <w:pPr>
              <w:adjustRightInd w:val="0"/>
              <w:snapToGrid w:val="0"/>
              <w:ind w:left="-88" w:leftChars="-42"/>
              <w:jc w:val="center"/>
              <w:rPr>
                <w:rFonts w:ascii="宋体" w:hAnsi="宋体"/>
                <w:color w:val="auto"/>
                <w:szCs w:val="21"/>
              </w:rPr>
            </w:pPr>
          </w:p>
        </w:tc>
      </w:tr>
    </w:tbl>
    <w:p w14:paraId="6F70353B">
      <w:pPr>
        <w:adjustRightInd w:val="0"/>
        <w:snapToGrid w:val="0"/>
        <w:spacing w:line="360" w:lineRule="auto"/>
        <w:ind w:left="-88" w:leftChars="-42"/>
        <w:rPr>
          <w:rFonts w:ascii="宋体" w:hAnsi="宋体"/>
          <w:color w:val="auto"/>
          <w:szCs w:val="21"/>
        </w:rPr>
      </w:pPr>
      <w:r>
        <w:rPr>
          <w:rFonts w:hint="eastAsia" w:ascii="宋体" w:hAnsi="宋体"/>
          <w:color w:val="auto"/>
          <w:szCs w:val="21"/>
        </w:rPr>
        <w:t>说明：1、“响应与偏离”应注明“响应”或“偏离”。</w:t>
      </w:r>
    </w:p>
    <w:p w14:paraId="7264604D">
      <w:pPr>
        <w:adjustRightInd w:val="0"/>
        <w:snapToGrid w:val="0"/>
        <w:spacing w:line="360" w:lineRule="auto"/>
        <w:rPr>
          <w:rFonts w:ascii="宋体" w:hAnsi="宋体"/>
          <w:color w:val="auto"/>
          <w:szCs w:val="21"/>
        </w:rPr>
      </w:pPr>
      <w:r>
        <w:rPr>
          <w:rFonts w:hint="eastAsia" w:ascii="宋体" w:hAnsi="宋体"/>
          <w:b/>
          <w:color w:val="auto"/>
          <w:szCs w:val="21"/>
        </w:rPr>
        <w:t xml:space="preserve">     </w:t>
      </w:r>
      <w:r>
        <w:rPr>
          <w:rFonts w:hint="eastAsia" w:ascii="宋体" w:hAnsi="宋体"/>
          <w:color w:val="auto"/>
          <w:szCs w:val="21"/>
        </w:rPr>
        <w:t>2、属磋商文件规定可能变动的内容在“说明”栏中注明。</w:t>
      </w:r>
    </w:p>
    <w:p w14:paraId="6441D087">
      <w:pPr>
        <w:pStyle w:val="30"/>
        <w:adjustRightInd w:val="0"/>
        <w:snapToGrid w:val="0"/>
        <w:spacing w:line="360" w:lineRule="auto"/>
        <w:rPr>
          <w:rFonts w:ascii="宋体" w:hAnsi="宋体"/>
          <w:color w:val="auto"/>
          <w:sz w:val="21"/>
          <w:szCs w:val="21"/>
        </w:rPr>
      </w:pPr>
    </w:p>
    <w:p w14:paraId="09E54C64">
      <w:pPr>
        <w:rPr>
          <w:color w:val="auto"/>
        </w:rPr>
      </w:pPr>
    </w:p>
    <w:p w14:paraId="75A3AFB4">
      <w:pPr>
        <w:pStyle w:val="30"/>
        <w:adjustRightInd w:val="0"/>
        <w:snapToGrid w:val="0"/>
        <w:spacing w:line="360" w:lineRule="auto"/>
        <w:rPr>
          <w:rFonts w:ascii="宋体" w:hAnsi="宋体"/>
          <w:bCs/>
          <w:color w:val="auto"/>
          <w:sz w:val="21"/>
          <w:szCs w:val="21"/>
        </w:rPr>
      </w:pPr>
      <w:r>
        <w:rPr>
          <w:rFonts w:hint="eastAsia" w:ascii="宋体" w:hAnsi="宋体"/>
          <w:color w:val="auto"/>
          <w:sz w:val="21"/>
          <w:szCs w:val="21"/>
        </w:rPr>
        <w:t>供应商名称：</w:t>
      </w:r>
      <w:r>
        <w:rPr>
          <w:rFonts w:hint="eastAsia" w:ascii="宋体" w:hAnsi="宋体"/>
          <w:color w:val="auto"/>
          <w:sz w:val="21"/>
          <w:szCs w:val="21"/>
          <w:u w:val="single"/>
        </w:rPr>
        <w:t xml:space="preserve">                   </w:t>
      </w:r>
    </w:p>
    <w:p w14:paraId="033FA0DD">
      <w:pPr>
        <w:adjustRightInd w:val="0"/>
        <w:snapToGrid w:val="0"/>
        <w:spacing w:line="360" w:lineRule="auto"/>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p>
    <w:p w14:paraId="3FE25B93">
      <w:pPr>
        <w:adjustRightInd w:val="0"/>
        <w:snapToGrid w:val="0"/>
        <w:spacing w:line="360" w:lineRule="auto"/>
        <w:rPr>
          <w:rFonts w:ascii="宋体" w:hAnsi="宋体"/>
          <w:color w:val="auto"/>
          <w:szCs w:val="21"/>
        </w:rPr>
      </w:pPr>
      <w:r>
        <w:rPr>
          <w:rFonts w:hint="eastAsia" w:ascii="宋体" w:hAnsi="宋体"/>
          <w:color w:val="auto"/>
          <w:szCs w:val="21"/>
        </w:rPr>
        <w:t xml:space="preserve">日          期： </w:t>
      </w:r>
      <w:r>
        <w:rPr>
          <w:rFonts w:hint="eastAsia" w:ascii="宋体" w:hAnsi="宋体"/>
          <w:color w:val="auto"/>
          <w:szCs w:val="21"/>
          <w:u w:val="single"/>
        </w:rPr>
        <w:t xml:space="preserve">     </w:t>
      </w:r>
      <w:r>
        <w:rPr>
          <w:rFonts w:hint="eastAsia" w:ascii="宋体" w:hAnsi="宋体"/>
          <w:color w:val="auto"/>
          <w:szCs w:val="21"/>
        </w:rPr>
        <w:t xml:space="preserve"> 年 </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 xml:space="preserve"> 日</w:t>
      </w:r>
    </w:p>
    <w:p w14:paraId="3D69E1AD">
      <w:pPr>
        <w:rPr>
          <w:color w:val="auto"/>
        </w:rPr>
      </w:pPr>
    </w:p>
    <w:p w14:paraId="219A28A7">
      <w:pPr>
        <w:rPr>
          <w:color w:val="auto"/>
        </w:rPr>
      </w:pPr>
    </w:p>
    <w:p w14:paraId="57BCF5F4">
      <w:pPr>
        <w:rPr>
          <w:color w:val="auto"/>
        </w:rPr>
      </w:pPr>
    </w:p>
    <w:p w14:paraId="1EBE971A">
      <w:pPr>
        <w:rPr>
          <w:color w:val="auto"/>
        </w:rPr>
      </w:pPr>
    </w:p>
    <w:p w14:paraId="4AAF874B">
      <w:pPr>
        <w:rPr>
          <w:rFonts w:ascii="宋体" w:hAnsi="宋体"/>
          <w:color w:val="auto"/>
          <w:szCs w:val="21"/>
        </w:rPr>
      </w:pPr>
      <w:r>
        <w:rPr>
          <w:rFonts w:ascii="宋体" w:hAnsi="宋体"/>
          <w:color w:val="auto"/>
          <w:szCs w:val="21"/>
        </w:rPr>
        <w:br w:type="page"/>
      </w:r>
    </w:p>
    <w:p w14:paraId="7278A7FB">
      <w:pPr>
        <w:tabs>
          <w:tab w:val="left" w:pos="3600"/>
        </w:tabs>
        <w:adjustRightInd w:val="0"/>
        <w:snapToGrid w:val="0"/>
        <w:jc w:val="center"/>
        <w:rPr>
          <w:rFonts w:ascii="宋体" w:hAnsi="宋体"/>
          <w:b/>
          <w:color w:val="auto"/>
          <w:sz w:val="32"/>
          <w:szCs w:val="32"/>
        </w:rPr>
      </w:pPr>
      <w:r>
        <w:rPr>
          <w:rFonts w:hint="eastAsia" w:ascii="宋体" w:hAnsi="宋体"/>
          <w:b/>
          <w:color w:val="auto"/>
          <w:sz w:val="32"/>
          <w:szCs w:val="32"/>
        </w:rPr>
        <w:t>六、享受政府采购政策优惠的证明资料</w:t>
      </w:r>
    </w:p>
    <w:p w14:paraId="21ED8438">
      <w:pPr>
        <w:tabs>
          <w:tab w:val="left" w:pos="3600"/>
        </w:tabs>
        <w:adjustRightInd w:val="0"/>
        <w:snapToGrid w:val="0"/>
        <w:jc w:val="center"/>
        <w:rPr>
          <w:rFonts w:ascii="宋体" w:hAnsi="宋体"/>
          <w:b/>
          <w:color w:val="auto"/>
          <w:sz w:val="32"/>
          <w:szCs w:val="32"/>
        </w:rPr>
      </w:pPr>
    </w:p>
    <w:p w14:paraId="51CB82EE">
      <w:pPr>
        <w:rPr>
          <w:rFonts w:ascii="宋体" w:hAnsi="宋体"/>
          <w:b/>
          <w:color w:val="auto"/>
          <w:sz w:val="24"/>
        </w:rPr>
      </w:pPr>
      <w:r>
        <w:rPr>
          <w:rFonts w:hint="eastAsia" w:ascii="宋体" w:hAnsi="宋体"/>
          <w:b/>
          <w:color w:val="auto"/>
          <w:sz w:val="24"/>
        </w:rPr>
        <w:t>附件7</w:t>
      </w:r>
    </w:p>
    <w:p w14:paraId="563629EC">
      <w:pPr>
        <w:widowControl/>
        <w:adjustRightInd w:val="0"/>
        <w:snapToGrid w:val="0"/>
        <w:spacing w:line="360" w:lineRule="auto"/>
        <w:jc w:val="center"/>
        <w:rPr>
          <w:rFonts w:ascii="黑体" w:hAnsi="黑体" w:eastAsia="黑体" w:cs="宋体"/>
          <w:b/>
          <w:bCs/>
          <w:color w:val="auto"/>
          <w:spacing w:val="6"/>
          <w:kern w:val="0"/>
          <w:sz w:val="28"/>
          <w:szCs w:val="28"/>
        </w:rPr>
      </w:pPr>
      <w:r>
        <w:rPr>
          <w:rFonts w:hint="eastAsia" w:ascii="黑体" w:hAnsi="黑体" w:eastAsia="黑体" w:cs="黑体"/>
          <w:b/>
          <w:bCs/>
          <w:color w:val="auto"/>
          <w:spacing w:val="6"/>
          <w:kern w:val="0"/>
          <w:sz w:val="28"/>
          <w:szCs w:val="28"/>
        </w:rPr>
        <w:t>中小企业声明函（货物）</w:t>
      </w:r>
    </w:p>
    <w:p w14:paraId="4B65818D">
      <w:pPr>
        <w:widowControl/>
        <w:adjustRightInd w:val="0"/>
        <w:snapToGrid w:val="0"/>
        <w:spacing w:line="360" w:lineRule="auto"/>
        <w:jc w:val="center"/>
        <w:rPr>
          <w:rFonts w:ascii="宋体" w:hAnsi="宋体" w:cs="宋体"/>
          <w:b/>
          <w:color w:val="auto"/>
          <w:spacing w:val="6"/>
          <w:kern w:val="0"/>
          <w:szCs w:val="21"/>
        </w:rPr>
      </w:pPr>
      <w:r>
        <w:rPr>
          <w:rFonts w:hint="eastAsia" w:ascii="宋体" w:hAnsi="宋体" w:cs="宋体"/>
          <w:b/>
          <w:color w:val="auto"/>
          <w:spacing w:val="6"/>
          <w:kern w:val="0"/>
          <w:szCs w:val="21"/>
        </w:rPr>
        <w:t>(除专门面向中小企业采购情形外，不满足以下条件的无需提供)</w:t>
      </w:r>
    </w:p>
    <w:p w14:paraId="2B7E3122">
      <w:pPr>
        <w:rPr>
          <w:color w:val="auto"/>
        </w:rPr>
      </w:pPr>
    </w:p>
    <w:p w14:paraId="257A938C">
      <w:pPr>
        <w:widowControl/>
        <w:adjustRightInd w:val="0"/>
        <w:snapToGrid w:val="0"/>
        <w:spacing w:before="156" w:beforeLines="50" w:line="360" w:lineRule="auto"/>
        <w:ind w:firstLine="444" w:firstLineChars="200"/>
        <w:jc w:val="left"/>
        <w:rPr>
          <w:rFonts w:ascii="宋体" w:hAnsi="宋体" w:cs="宋体"/>
          <w:color w:val="auto"/>
          <w:spacing w:val="6"/>
          <w:kern w:val="0"/>
          <w:szCs w:val="21"/>
        </w:rPr>
      </w:pPr>
      <w:r>
        <w:rPr>
          <w:rFonts w:hint="eastAsia" w:ascii="宋体" w:hAnsi="宋体" w:cs="宋体"/>
          <w:color w:val="auto"/>
          <w:spacing w:val="6"/>
          <w:kern w:val="0"/>
          <w:szCs w:val="21"/>
        </w:rPr>
        <w:t>本公司（联合体）郑重声明，根据《政府采购促进中小企业发展管理办法》（财库﹝2020﹞46号）的规定，本公司（联合体）参加</w:t>
      </w:r>
      <w:r>
        <w:rPr>
          <w:rFonts w:hint="eastAsia" w:ascii="宋体" w:hAnsi="宋体" w:cs="宋体"/>
          <w:color w:val="auto"/>
          <w:spacing w:val="6"/>
          <w:kern w:val="0"/>
          <w:szCs w:val="21"/>
          <w:u w:val="single"/>
        </w:rPr>
        <w:t xml:space="preserve">    （单位名称）</w:t>
      </w:r>
      <w:r>
        <w:rPr>
          <w:rFonts w:hint="eastAsia" w:ascii="宋体" w:hAnsi="宋体" w:cs="宋体"/>
          <w:color w:val="auto"/>
          <w:spacing w:val="6"/>
          <w:kern w:val="0"/>
          <w:szCs w:val="21"/>
        </w:rPr>
        <w:t>的</w:t>
      </w:r>
      <w:r>
        <w:rPr>
          <w:rFonts w:hint="eastAsia" w:ascii="宋体" w:hAnsi="宋体" w:cs="宋体"/>
          <w:color w:val="auto"/>
          <w:spacing w:val="6"/>
          <w:kern w:val="0"/>
          <w:szCs w:val="21"/>
          <w:u w:val="single"/>
        </w:rPr>
        <w:t xml:space="preserve">     （项目名称）</w:t>
      </w:r>
      <w:r>
        <w:rPr>
          <w:rFonts w:hint="eastAsia" w:ascii="宋体" w:hAnsi="宋体" w:cs="宋体"/>
          <w:color w:val="auto"/>
          <w:spacing w:val="6"/>
          <w:kern w:val="0"/>
          <w:szCs w:val="21"/>
        </w:rPr>
        <w:t>采购活动，提供的货物全部由符合政策要求的中小企业制造。相关企业（含联合体中的中小企业、签订分包意向协议的中小企业）的具体情况如下：</w:t>
      </w:r>
    </w:p>
    <w:p w14:paraId="7148DA53">
      <w:pPr>
        <w:widowControl/>
        <w:adjustRightInd w:val="0"/>
        <w:snapToGrid w:val="0"/>
        <w:spacing w:before="156" w:beforeLines="50" w:line="360" w:lineRule="auto"/>
        <w:ind w:firstLine="444" w:firstLineChars="200"/>
        <w:jc w:val="left"/>
        <w:rPr>
          <w:rFonts w:ascii="宋体" w:hAnsi="宋体" w:cs="宋体"/>
          <w:color w:val="auto"/>
          <w:spacing w:val="6"/>
          <w:kern w:val="0"/>
          <w:szCs w:val="21"/>
        </w:rPr>
      </w:pPr>
      <w:r>
        <w:rPr>
          <w:rFonts w:hint="eastAsia" w:ascii="宋体" w:hAnsi="宋体" w:cs="宋体"/>
          <w:color w:val="auto"/>
          <w:spacing w:val="6"/>
          <w:kern w:val="0"/>
          <w:szCs w:val="21"/>
        </w:rPr>
        <w:t>1.</w:t>
      </w:r>
      <w:r>
        <w:rPr>
          <w:rFonts w:hint="eastAsia" w:ascii="宋体" w:hAnsi="宋体" w:cs="宋体"/>
          <w:color w:val="auto"/>
          <w:spacing w:val="6"/>
          <w:kern w:val="0"/>
          <w:szCs w:val="21"/>
          <w:u w:val="single"/>
        </w:rPr>
        <w:t xml:space="preserve">     （标的名称）</w:t>
      </w:r>
      <w:r>
        <w:rPr>
          <w:rFonts w:hint="eastAsia" w:ascii="宋体" w:hAnsi="宋体" w:cs="宋体"/>
          <w:color w:val="auto"/>
          <w:spacing w:val="6"/>
          <w:kern w:val="0"/>
          <w:szCs w:val="21"/>
        </w:rPr>
        <w:t>，属于</w:t>
      </w:r>
      <w:r>
        <w:rPr>
          <w:rFonts w:hint="eastAsia" w:ascii="宋体" w:hAnsi="宋体" w:cs="宋体"/>
          <w:color w:val="auto"/>
          <w:spacing w:val="6"/>
          <w:kern w:val="0"/>
          <w:szCs w:val="21"/>
          <w:u w:val="single"/>
        </w:rPr>
        <w:t xml:space="preserve">    （标的所属行业）行业</w:t>
      </w:r>
      <w:r>
        <w:rPr>
          <w:rFonts w:hint="eastAsia" w:ascii="宋体" w:hAnsi="宋体" w:cs="宋体"/>
          <w:color w:val="auto"/>
          <w:spacing w:val="6"/>
          <w:kern w:val="0"/>
          <w:szCs w:val="21"/>
        </w:rPr>
        <w:t>；制造商为</w:t>
      </w:r>
      <w:r>
        <w:rPr>
          <w:rFonts w:hint="eastAsia" w:ascii="宋体" w:hAnsi="宋体" w:cs="宋体"/>
          <w:color w:val="auto"/>
          <w:spacing w:val="6"/>
          <w:kern w:val="0"/>
          <w:szCs w:val="21"/>
          <w:u w:val="single"/>
        </w:rPr>
        <w:t xml:space="preserve">   （企业名称）</w:t>
      </w:r>
      <w:r>
        <w:rPr>
          <w:rFonts w:hint="eastAsia" w:ascii="宋体" w:hAnsi="宋体" w:cs="宋体"/>
          <w:color w:val="auto"/>
          <w:spacing w:val="6"/>
          <w:kern w:val="0"/>
          <w:szCs w:val="21"/>
        </w:rPr>
        <w:t>，从业人员</w:t>
      </w:r>
      <w:r>
        <w:rPr>
          <w:rFonts w:hint="eastAsia" w:ascii="宋体" w:hAnsi="宋体" w:cs="宋体"/>
          <w:color w:val="auto"/>
          <w:spacing w:val="6"/>
          <w:kern w:val="0"/>
          <w:szCs w:val="21"/>
          <w:u w:val="single"/>
        </w:rPr>
        <w:t xml:space="preserve">    </w:t>
      </w:r>
      <w:r>
        <w:rPr>
          <w:rFonts w:hint="eastAsia" w:ascii="宋体" w:hAnsi="宋体" w:cs="宋体"/>
          <w:color w:val="auto"/>
          <w:spacing w:val="6"/>
          <w:kern w:val="0"/>
          <w:szCs w:val="21"/>
        </w:rPr>
        <w:t>人，营业收入为</w:t>
      </w:r>
      <w:r>
        <w:rPr>
          <w:rFonts w:hint="eastAsia" w:ascii="宋体" w:hAnsi="宋体" w:cs="宋体"/>
          <w:color w:val="auto"/>
          <w:spacing w:val="6"/>
          <w:kern w:val="0"/>
          <w:szCs w:val="21"/>
          <w:u w:val="single"/>
        </w:rPr>
        <w:t xml:space="preserve">     </w:t>
      </w:r>
      <w:r>
        <w:rPr>
          <w:rFonts w:hint="eastAsia" w:ascii="宋体" w:hAnsi="宋体" w:cs="宋体"/>
          <w:color w:val="auto"/>
          <w:spacing w:val="6"/>
          <w:kern w:val="0"/>
          <w:szCs w:val="21"/>
        </w:rPr>
        <w:t>万元，资产总额为</w:t>
      </w:r>
      <w:r>
        <w:rPr>
          <w:rFonts w:hint="eastAsia" w:ascii="宋体" w:hAnsi="宋体" w:cs="宋体"/>
          <w:color w:val="auto"/>
          <w:spacing w:val="6"/>
          <w:kern w:val="0"/>
          <w:szCs w:val="21"/>
          <w:u w:val="single"/>
        </w:rPr>
        <w:t xml:space="preserve">     </w:t>
      </w:r>
      <w:r>
        <w:rPr>
          <w:rFonts w:hint="eastAsia" w:ascii="宋体" w:hAnsi="宋体" w:cs="宋体"/>
          <w:color w:val="auto"/>
          <w:spacing w:val="6"/>
          <w:kern w:val="0"/>
          <w:szCs w:val="21"/>
        </w:rPr>
        <w:t>万元，属于</w:t>
      </w:r>
      <w:r>
        <w:rPr>
          <w:rFonts w:hint="eastAsia" w:ascii="宋体" w:hAnsi="宋体" w:cs="宋体"/>
          <w:color w:val="auto"/>
          <w:spacing w:val="6"/>
          <w:kern w:val="0"/>
          <w:szCs w:val="21"/>
          <w:u w:val="single"/>
        </w:rPr>
        <w:t xml:space="preserve">   （中型企业、小型企业、微型企业）</w:t>
      </w:r>
      <w:r>
        <w:rPr>
          <w:rFonts w:hint="eastAsia" w:ascii="宋体" w:hAnsi="宋体" w:cs="宋体"/>
          <w:color w:val="auto"/>
          <w:spacing w:val="6"/>
          <w:kern w:val="0"/>
          <w:szCs w:val="21"/>
        </w:rPr>
        <w:t>；</w:t>
      </w:r>
    </w:p>
    <w:p w14:paraId="57D7E013">
      <w:pPr>
        <w:widowControl/>
        <w:adjustRightInd w:val="0"/>
        <w:snapToGrid w:val="0"/>
        <w:spacing w:before="156" w:beforeLines="50" w:line="360" w:lineRule="auto"/>
        <w:ind w:firstLine="444" w:firstLineChars="200"/>
        <w:jc w:val="left"/>
        <w:rPr>
          <w:rFonts w:ascii="宋体" w:hAnsi="宋体" w:cs="宋体"/>
          <w:color w:val="auto"/>
          <w:spacing w:val="6"/>
          <w:kern w:val="0"/>
          <w:szCs w:val="21"/>
        </w:rPr>
      </w:pPr>
      <w:r>
        <w:rPr>
          <w:rFonts w:hint="eastAsia" w:ascii="宋体" w:hAnsi="宋体" w:cs="宋体"/>
          <w:color w:val="auto"/>
          <w:spacing w:val="6"/>
          <w:kern w:val="0"/>
          <w:szCs w:val="21"/>
        </w:rPr>
        <w:t>2.</w:t>
      </w:r>
      <w:r>
        <w:rPr>
          <w:rFonts w:hint="eastAsia" w:ascii="宋体" w:hAnsi="宋体" w:cs="宋体"/>
          <w:color w:val="auto"/>
          <w:spacing w:val="6"/>
          <w:kern w:val="0"/>
          <w:szCs w:val="21"/>
          <w:u w:val="single"/>
        </w:rPr>
        <w:t xml:space="preserve">     （标的名称）</w:t>
      </w:r>
      <w:r>
        <w:rPr>
          <w:rFonts w:hint="eastAsia" w:ascii="宋体" w:hAnsi="宋体" w:cs="宋体"/>
          <w:color w:val="auto"/>
          <w:spacing w:val="6"/>
          <w:kern w:val="0"/>
          <w:szCs w:val="21"/>
        </w:rPr>
        <w:t>，属于</w:t>
      </w:r>
      <w:r>
        <w:rPr>
          <w:rFonts w:hint="eastAsia" w:ascii="宋体" w:hAnsi="宋体" w:cs="宋体"/>
          <w:color w:val="auto"/>
          <w:spacing w:val="6"/>
          <w:kern w:val="0"/>
          <w:szCs w:val="21"/>
          <w:u w:val="single"/>
        </w:rPr>
        <w:t xml:space="preserve">    （标的所属行业）行业</w:t>
      </w:r>
      <w:r>
        <w:rPr>
          <w:rFonts w:hint="eastAsia" w:ascii="宋体" w:hAnsi="宋体" w:cs="宋体"/>
          <w:color w:val="auto"/>
          <w:spacing w:val="6"/>
          <w:kern w:val="0"/>
          <w:szCs w:val="21"/>
        </w:rPr>
        <w:t>；制造商为</w:t>
      </w:r>
      <w:r>
        <w:rPr>
          <w:rFonts w:hint="eastAsia" w:ascii="宋体" w:hAnsi="宋体" w:cs="宋体"/>
          <w:color w:val="auto"/>
          <w:spacing w:val="6"/>
          <w:kern w:val="0"/>
          <w:szCs w:val="21"/>
          <w:u w:val="single"/>
        </w:rPr>
        <w:t xml:space="preserve">   （企业名称）</w:t>
      </w:r>
      <w:r>
        <w:rPr>
          <w:rFonts w:hint="eastAsia" w:ascii="宋体" w:hAnsi="宋体" w:cs="宋体"/>
          <w:color w:val="auto"/>
          <w:spacing w:val="6"/>
          <w:kern w:val="0"/>
          <w:szCs w:val="21"/>
        </w:rPr>
        <w:t>，从业人员</w:t>
      </w:r>
      <w:r>
        <w:rPr>
          <w:rFonts w:hint="eastAsia" w:ascii="宋体" w:hAnsi="宋体" w:cs="宋体"/>
          <w:color w:val="auto"/>
          <w:spacing w:val="6"/>
          <w:kern w:val="0"/>
          <w:szCs w:val="21"/>
          <w:u w:val="single"/>
        </w:rPr>
        <w:t xml:space="preserve">    </w:t>
      </w:r>
      <w:r>
        <w:rPr>
          <w:rFonts w:hint="eastAsia" w:ascii="宋体" w:hAnsi="宋体" w:cs="宋体"/>
          <w:color w:val="auto"/>
          <w:spacing w:val="6"/>
          <w:kern w:val="0"/>
          <w:szCs w:val="21"/>
        </w:rPr>
        <w:t>人，营业收入为</w:t>
      </w:r>
      <w:r>
        <w:rPr>
          <w:rFonts w:hint="eastAsia" w:ascii="宋体" w:hAnsi="宋体" w:cs="宋体"/>
          <w:color w:val="auto"/>
          <w:spacing w:val="6"/>
          <w:kern w:val="0"/>
          <w:szCs w:val="21"/>
          <w:u w:val="single"/>
        </w:rPr>
        <w:t xml:space="preserve">     </w:t>
      </w:r>
      <w:r>
        <w:rPr>
          <w:rFonts w:hint="eastAsia" w:ascii="宋体" w:hAnsi="宋体" w:cs="宋体"/>
          <w:color w:val="auto"/>
          <w:spacing w:val="6"/>
          <w:kern w:val="0"/>
          <w:szCs w:val="21"/>
        </w:rPr>
        <w:t>万元，资产总额为</w:t>
      </w:r>
      <w:r>
        <w:rPr>
          <w:rFonts w:hint="eastAsia" w:ascii="宋体" w:hAnsi="宋体" w:cs="宋体"/>
          <w:color w:val="auto"/>
          <w:spacing w:val="6"/>
          <w:kern w:val="0"/>
          <w:szCs w:val="21"/>
          <w:u w:val="single"/>
        </w:rPr>
        <w:t xml:space="preserve">     </w:t>
      </w:r>
      <w:r>
        <w:rPr>
          <w:rFonts w:hint="eastAsia" w:ascii="宋体" w:hAnsi="宋体" w:cs="宋体"/>
          <w:color w:val="auto"/>
          <w:spacing w:val="6"/>
          <w:kern w:val="0"/>
          <w:szCs w:val="21"/>
        </w:rPr>
        <w:t>万元，属于</w:t>
      </w:r>
      <w:r>
        <w:rPr>
          <w:rFonts w:hint="eastAsia" w:ascii="宋体" w:hAnsi="宋体" w:cs="宋体"/>
          <w:color w:val="auto"/>
          <w:spacing w:val="6"/>
          <w:kern w:val="0"/>
          <w:szCs w:val="21"/>
          <w:u w:val="single"/>
        </w:rPr>
        <w:t xml:space="preserve">   （中型企业、小型企业、微型企业）</w:t>
      </w:r>
      <w:r>
        <w:rPr>
          <w:rFonts w:hint="eastAsia" w:ascii="宋体" w:hAnsi="宋体" w:cs="宋体"/>
          <w:color w:val="auto"/>
          <w:spacing w:val="6"/>
          <w:kern w:val="0"/>
          <w:szCs w:val="21"/>
        </w:rPr>
        <w:t>；</w:t>
      </w:r>
    </w:p>
    <w:p w14:paraId="599FEB97">
      <w:pPr>
        <w:widowControl/>
        <w:adjustRightInd w:val="0"/>
        <w:snapToGrid w:val="0"/>
        <w:spacing w:before="156" w:beforeLines="50" w:line="360" w:lineRule="auto"/>
        <w:ind w:firstLine="444" w:firstLineChars="200"/>
        <w:jc w:val="left"/>
        <w:rPr>
          <w:rFonts w:ascii="宋体" w:hAnsi="宋体" w:cs="宋体"/>
          <w:color w:val="auto"/>
          <w:spacing w:val="6"/>
          <w:kern w:val="0"/>
          <w:szCs w:val="21"/>
        </w:rPr>
      </w:pPr>
      <w:r>
        <w:rPr>
          <w:rFonts w:hint="eastAsia" w:ascii="宋体" w:hAnsi="宋体" w:cs="宋体"/>
          <w:color w:val="auto"/>
          <w:spacing w:val="6"/>
          <w:kern w:val="0"/>
          <w:szCs w:val="21"/>
        </w:rPr>
        <w:t>……</w:t>
      </w:r>
    </w:p>
    <w:p w14:paraId="33F7F0C0">
      <w:pPr>
        <w:widowControl/>
        <w:adjustRightInd w:val="0"/>
        <w:snapToGrid w:val="0"/>
        <w:spacing w:before="156" w:beforeLines="50" w:line="360" w:lineRule="auto"/>
        <w:ind w:firstLine="444" w:firstLineChars="200"/>
        <w:jc w:val="left"/>
        <w:rPr>
          <w:rFonts w:ascii="宋体" w:hAnsi="宋体" w:cs="宋体"/>
          <w:color w:val="auto"/>
          <w:spacing w:val="6"/>
          <w:kern w:val="0"/>
          <w:szCs w:val="21"/>
        </w:rPr>
      </w:pPr>
      <w:r>
        <w:rPr>
          <w:rFonts w:hint="eastAsia" w:ascii="宋体" w:hAnsi="宋体" w:cs="宋体"/>
          <w:color w:val="auto"/>
          <w:spacing w:val="6"/>
          <w:kern w:val="0"/>
          <w:szCs w:val="21"/>
        </w:rPr>
        <w:t>以上企业，不属于大企业的分支机构，不存在控股股东为大企业的情形，也不存在与大企业的负责人为同一人的情形。</w:t>
      </w:r>
    </w:p>
    <w:p w14:paraId="19933F3E">
      <w:pPr>
        <w:widowControl/>
        <w:adjustRightInd w:val="0"/>
        <w:snapToGrid w:val="0"/>
        <w:spacing w:before="156" w:beforeLines="50" w:line="360" w:lineRule="auto"/>
        <w:ind w:firstLine="444" w:firstLineChars="200"/>
        <w:jc w:val="left"/>
        <w:rPr>
          <w:rFonts w:ascii="宋体" w:hAnsi="宋体" w:cs="宋体"/>
          <w:color w:val="auto"/>
          <w:spacing w:val="6"/>
          <w:kern w:val="0"/>
          <w:szCs w:val="21"/>
        </w:rPr>
      </w:pPr>
      <w:r>
        <w:rPr>
          <w:rFonts w:hint="eastAsia" w:ascii="宋体" w:hAnsi="宋体" w:cs="宋体"/>
          <w:color w:val="auto"/>
          <w:spacing w:val="6"/>
          <w:kern w:val="0"/>
          <w:szCs w:val="21"/>
        </w:rPr>
        <w:t>本企业对上述声明内容的真实性负责。如有虚假，将依法承担相应责任。</w:t>
      </w:r>
    </w:p>
    <w:p w14:paraId="508F48EE">
      <w:pPr>
        <w:widowControl/>
        <w:adjustRightInd w:val="0"/>
        <w:snapToGrid w:val="0"/>
        <w:spacing w:before="156" w:beforeLines="50" w:line="360" w:lineRule="auto"/>
        <w:ind w:firstLine="444" w:firstLineChars="200"/>
        <w:jc w:val="left"/>
        <w:rPr>
          <w:rFonts w:ascii="宋体" w:hAnsi="宋体" w:cs="宋体"/>
          <w:color w:val="auto"/>
          <w:spacing w:val="6"/>
          <w:kern w:val="0"/>
          <w:szCs w:val="21"/>
        </w:rPr>
      </w:pPr>
    </w:p>
    <w:p w14:paraId="6991B01D">
      <w:pPr>
        <w:widowControl/>
        <w:adjustRightInd w:val="0"/>
        <w:snapToGrid w:val="0"/>
        <w:spacing w:before="156" w:beforeLines="50" w:line="360" w:lineRule="auto"/>
        <w:ind w:firstLine="3330" w:firstLineChars="1500"/>
        <w:rPr>
          <w:rFonts w:ascii="宋体" w:hAnsi="宋体" w:cs="宋体"/>
          <w:color w:val="auto"/>
          <w:spacing w:val="6"/>
          <w:kern w:val="0"/>
          <w:szCs w:val="21"/>
        </w:rPr>
      </w:pPr>
      <w:r>
        <w:rPr>
          <w:rFonts w:hint="eastAsia" w:ascii="宋体" w:hAnsi="宋体" w:cs="宋体"/>
          <w:color w:val="auto"/>
          <w:spacing w:val="6"/>
          <w:kern w:val="0"/>
          <w:szCs w:val="21"/>
        </w:rPr>
        <w:t>企业名称（盖章）：</w:t>
      </w:r>
    </w:p>
    <w:p w14:paraId="4456CE63">
      <w:pPr>
        <w:widowControl/>
        <w:adjustRightInd w:val="0"/>
        <w:snapToGrid w:val="0"/>
        <w:spacing w:line="360" w:lineRule="auto"/>
        <w:ind w:firstLine="444" w:firstLineChars="200"/>
        <w:rPr>
          <w:rFonts w:ascii="宋体" w:hAnsi="宋体"/>
          <w:color w:val="auto"/>
          <w:szCs w:val="21"/>
        </w:rPr>
      </w:pPr>
      <w:r>
        <w:rPr>
          <w:rFonts w:hint="eastAsia" w:ascii="宋体" w:hAnsi="宋体" w:cs="宋体"/>
          <w:color w:val="auto"/>
          <w:spacing w:val="6"/>
          <w:kern w:val="0"/>
          <w:szCs w:val="21"/>
        </w:rPr>
        <w:t xml:space="preserve">          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6434DC91">
      <w:pPr>
        <w:adjustRightInd w:val="0"/>
        <w:snapToGrid w:val="0"/>
        <w:spacing w:line="360" w:lineRule="auto"/>
        <w:rPr>
          <w:rFonts w:ascii="宋体" w:hAnsi="宋体" w:cs="宋体"/>
          <w:b/>
          <w:bCs/>
          <w:color w:val="auto"/>
          <w:spacing w:val="6"/>
          <w:szCs w:val="21"/>
        </w:rPr>
      </w:pPr>
    </w:p>
    <w:p w14:paraId="4050ED00">
      <w:pPr>
        <w:adjustRightInd w:val="0"/>
        <w:snapToGrid w:val="0"/>
        <w:spacing w:line="360" w:lineRule="auto"/>
        <w:rPr>
          <w:rFonts w:ascii="仿宋_GB2312" w:hAnsi="宋体" w:eastAsia="仿宋_GB2312"/>
          <w:b/>
          <w:color w:val="auto"/>
          <w:szCs w:val="21"/>
        </w:rPr>
      </w:pPr>
      <w:r>
        <w:rPr>
          <w:rFonts w:hint="eastAsia" w:ascii="宋体" w:hAnsi="宋体" w:cs="宋体"/>
          <w:b/>
          <w:bCs/>
          <w:color w:val="auto"/>
          <w:spacing w:val="6"/>
          <w:szCs w:val="21"/>
        </w:rPr>
        <w:t>注：1、从业人员、营业收入、资产总额填报上一年度数据，无上一年度数据的新成立企业可不填报。</w:t>
      </w:r>
    </w:p>
    <w:p w14:paraId="3084FFAA">
      <w:pPr>
        <w:adjustRightInd w:val="0"/>
        <w:snapToGrid w:val="0"/>
        <w:spacing w:line="360" w:lineRule="auto"/>
        <w:rPr>
          <w:rFonts w:ascii="仿宋_GB2312" w:hAnsi="宋体" w:eastAsia="仿宋_GB2312"/>
          <w:b/>
          <w:color w:val="auto"/>
          <w:szCs w:val="21"/>
        </w:rPr>
      </w:pPr>
    </w:p>
    <w:p w14:paraId="4445EB7D">
      <w:pPr>
        <w:adjustRightInd w:val="0"/>
        <w:snapToGrid w:val="0"/>
        <w:spacing w:line="360" w:lineRule="auto"/>
        <w:rPr>
          <w:rFonts w:ascii="仿宋_GB2312" w:hAnsi="宋体" w:eastAsia="仿宋_GB2312"/>
          <w:color w:val="auto"/>
          <w:szCs w:val="21"/>
        </w:rPr>
      </w:pPr>
      <w:r>
        <w:rPr>
          <w:rFonts w:hint="eastAsia" w:ascii="仿宋_GB2312" w:hAnsi="宋体" w:eastAsia="仿宋_GB2312"/>
          <w:b/>
          <w:color w:val="auto"/>
          <w:szCs w:val="21"/>
        </w:rPr>
        <w:t>备注</w:t>
      </w:r>
      <w:r>
        <w:rPr>
          <w:rFonts w:hint="eastAsia" w:ascii="仿宋_GB2312" w:hAnsi="宋体" w:eastAsia="仿宋_GB2312"/>
          <w:color w:val="auto"/>
          <w:szCs w:val="21"/>
        </w:rPr>
        <w:t>：填写前请认真阅读</w:t>
      </w:r>
      <w:r>
        <w:rPr>
          <w:rFonts w:hint="eastAsia" w:ascii="仿宋_GB2312" w:hAnsi="宋体" w:eastAsia="仿宋_GB2312" w:cs="宋体"/>
          <w:color w:val="auto"/>
          <w:spacing w:val="6"/>
          <w:kern w:val="0"/>
          <w:szCs w:val="21"/>
        </w:rPr>
        <w:t>《工业和信息化部、国家统计局、国家发展和改革委员会、财政部关于印发中小企业划型标准规定的通知》（工信部联企业[2011]300号）和</w:t>
      </w:r>
      <w:r>
        <w:rPr>
          <w:rFonts w:hint="eastAsia" w:ascii="仿宋_GB2312" w:hAnsi="宋体" w:eastAsia="仿宋_GB2312"/>
          <w:color w:val="auto"/>
          <w:spacing w:val="6"/>
          <w:szCs w:val="21"/>
        </w:rPr>
        <w:t>《政府采购促进中小企业发展管理办法》（财库﹝2020﹞46号）</w:t>
      </w:r>
      <w:r>
        <w:rPr>
          <w:rFonts w:hint="eastAsia" w:ascii="仿宋_GB2312" w:hAnsi="宋体" w:eastAsia="仿宋_GB2312"/>
          <w:color w:val="auto"/>
          <w:szCs w:val="21"/>
        </w:rPr>
        <w:t>相关规定。</w:t>
      </w:r>
    </w:p>
    <w:p w14:paraId="065DECD5">
      <w:pPr>
        <w:rPr>
          <w:rFonts w:ascii="黑体" w:hAnsi="华文中宋" w:eastAsia="黑体" w:cs="宋体"/>
          <w:bCs/>
          <w:color w:val="auto"/>
          <w:spacing w:val="6"/>
          <w:kern w:val="0"/>
          <w:sz w:val="28"/>
          <w:szCs w:val="28"/>
        </w:rPr>
      </w:pPr>
      <w:r>
        <w:rPr>
          <w:rFonts w:hint="eastAsia" w:ascii="仿宋_GB2312" w:hAnsi="宋体" w:eastAsia="仿宋_GB2312"/>
          <w:color w:val="auto"/>
          <w:szCs w:val="21"/>
        </w:rPr>
        <w:br w:type="page"/>
      </w:r>
      <w:r>
        <w:rPr>
          <w:rFonts w:hint="eastAsia" w:ascii="宋体" w:hAnsi="宋体"/>
          <w:b/>
          <w:color w:val="auto"/>
          <w:sz w:val="24"/>
        </w:rPr>
        <w:t>附件7-1</w:t>
      </w:r>
    </w:p>
    <w:p w14:paraId="00F6F2B1">
      <w:pPr>
        <w:spacing w:line="588" w:lineRule="exact"/>
        <w:jc w:val="center"/>
        <w:rPr>
          <w:rFonts w:ascii="宋体" w:hAnsi="宋体" w:cs="宋体"/>
          <w:b/>
          <w:color w:val="auto"/>
          <w:spacing w:val="6"/>
          <w:sz w:val="32"/>
          <w:szCs w:val="32"/>
        </w:rPr>
      </w:pPr>
      <w:bookmarkStart w:id="69" w:name="OLE_LINK13"/>
      <w:bookmarkStart w:id="70" w:name="OLE_LINK14"/>
      <w:r>
        <w:rPr>
          <w:rFonts w:hint="eastAsia" w:ascii="黑体" w:hAnsi="华文中宋" w:eastAsia="黑体" w:cs="宋体"/>
          <w:bCs/>
          <w:color w:val="auto"/>
          <w:spacing w:val="6"/>
          <w:kern w:val="0"/>
          <w:sz w:val="28"/>
          <w:szCs w:val="28"/>
        </w:rPr>
        <w:t>残疾人福利性单位声明函</w:t>
      </w:r>
    </w:p>
    <w:bookmarkEnd w:id="69"/>
    <w:bookmarkEnd w:id="70"/>
    <w:p w14:paraId="6E724BB2">
      <w:pPr>
        <w:spacing w:line="588" w:lineRule="exact"/>
        <w:jc w:val="center"/>
        <w:rPr>
          <w:rFonts w:ascii="宋体" w:hAnsi="宋体" w:cs="宋体"/>
          <w:b/>
          <w:color w:val="auto"/>
          <w:spacing w:val="6"/>
          <w:sz w:val="30"/>
          <w:szCs w:val="30"/>
        </w:rPr>
      </w:pPr>
      <w:r>
        <w:rPr>
          <w:rFonts w:hint="eastAsia" w:ascii="宋体" w:hAnsi="宋体"/>
          <w:b/>
          <w:color w:val="auto"/>
          <w:spacing w:val="6"/>
          <w:szCs w:val="21"/>
        </w:rPr>
        <w:t>(不属于残疾人福利性单位的无需提供)</w:t>
      </w:r>
    </w:p>
    <w:p w14:paraId="3D235610">
      <w:pPr>
        <w:spacing w:line="588" w:lineRule="exact"/>
        <w:ind w:firstLine="444" w:firstLineChars="200"/>
        <w:rPr>
          <w:rFonts w:ascii="宋体" w:hAnsi="宋体" w:cs="宋体"/>
          <w:color w:val="auto"/>
          <w:spacing w:val="6"/>
          <w:szCs w:val="21"/>
        </w:rPr>
      </w:pPr>
    </w:p>
    <w:p w14:paraId="753B58F1">
      <w:pPr>
        <w:spacing w:line="588" w:lineRule="exact"/>
        <w:ind w:firstLine="444" w:firstLineChars="200"/>
        <w:rPr>
          <w:rFonts w:ascii="宋体" w:hAnsi="宋体" w:cs="宋体"/>
          <w:color w:val="auto"/>
          <w:spacing w:val="6"/>
          <w:szCs w:val="21"/>
        </w:rPr>
      </w:pPr>
      <w:r>
        <w:rPr>
          <w:rFonts w:hint="eastAsia" w:ascii="宋体" w:hAnsi="宋体" w:cs="宋体"/>
          <w:color w:val="auto"/>
          <w:spacing w:val="6"/>
          <w:szCs w:val="21"/>
        </w:rPr>
        <w:t>本单位郑重声明，根据《财政部 民政部 中国残疾人联合会关于促进残疾人就业政府采购政策的通知》（财库</w:t>
      </w:r>
      <w:r>
        <w:rPr>
          <w:rFonts w:hint="eastAsia" w:ascii="宋体" w:hAnsi="宋体" w:cs="宋体"/>
          <w:color w:val="auto"/>
          <w:szCs w:val="21"/>
        </w:rPr>
        <w:t>〔2017〕141</w:t>
      </w:r>
      <w:r>
        <w:rPr>
          <w:rFonts w:hint="eastAsia" w:ascii="宋体" w:hAnsi="宋体" w:cs="宋体"/>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714A839">
      <w:pPr>
        <w:spacing w:line="588" w:lineRule="exact"/>
        <w:ind w:firstLine="444" w:firstLineChars="200"/>
        <w:rPr>
          <w:rFonts w:ascii="宋体" w:hAnsi="宋体" w:cs="宋体"/>
          <w:color w:val="auto"/>
          <w:spacing w:val="6"/>
          <w:szCs w:val="21"/>
        </w:rPr>
      </w:pPr>
      <w:r>
        <w:rPr>
          <w:rFonts w:hint="eastAsia" w:ascii="宋体" w:hAnsi="宋体" w:cs="宋体"/>
          <w:color w:val="auto"/>
          <w:spacing w:val="6"/>
          <w:szCs w:val="21"/>
        </w:rPr>
        <w:t>本单位对上述声明的真实性负责。如有虚假，将依法承担相应责任。</w:t>
      </w:r>
    </w:p>
    <w:p w14:paraId="4BCCD07A">
      <w:pPr>
        <w:spacing w:line="588" w:lineRule="exact"/>
        <w:ind w:firstLine="444" w:firstLineChars="200"/>
        <w:rPr>
          <w:rFonts w:ascii="宋体" w:hAnsi="宋体" w:cs="宋体"/>
          <w:color w:val="auto"/>
          <w:spacing w:val="6"/>
          <w:szCs w:val="21"/>
        </w:rPr>
      </w:pPr>
    </w:p>
    <w:p w14:paraId="1ADE4013">
      <w:pPr>
        <w:spacing w:line="588" w:lineRule="exact"/>
        <w:ind w:firstLine="444" w:firstLineChars="200"/>
        <w:rPr>
          <w:rFonts w:ascii="宋体" w:hAnsi="宋体" w:cs="宋体"/>
          <w:color w:val="auto"/>
          <w:spacing w:val="6"/>
          <w:szCs w:val="21"/>
        </w:rPr>
      </w:pPr>
    </w:p>
    <w:p w14:paraId="29679863">
      <w:pPr>
        <w:tabs>
          <w:tab w:val="left" w:pos="4860"/>
        </w:tabs>
        <w:spacing w:line="588" w:lineRule="exact"/>
        <w:ind w:right="1560" w:firstLine="444" w:firstLineChars="200"/>
        <w:jc w:val="center"/>
        <w:rPr>
          <w:rFonts w:ascii="宋体" w:hAnsi="宋体" w:cs="宋体"/>
          <w:color w:val="auto"/>
          <w:spacing w:val="6"/>
          <w:szCs w:val="21"/>
        </w:rPr>
      </w:pPr>
      <w:r>
        <w:rPr>
          <w:rFonts w:hint="eastAsia" w:ascii="宋体" w:hAnsi="宋体" w:cs="宋体"/>
          <w:color w:val="auto"/>
          <w:spacing w:val="6"/>
          <w:szCs w:val="21"/>
        </w:rPr>
        <w:t xml:space="preserve">               单位名称（盖章）：</w:t>
      </w:r>
    </w:p>
    <w:p w14:paraId="0A177E57">
      <w:pPr>
        <w:tabs>
          <w:tab w:val="left" w:pos="4860"/>
        </w:tabs>
        <w:spacing w:line="588" w:lineRule="exact"/>
        <w:ind w:right="1560" w:firstLine="444" w:firstLineChars="200"/>
        <w:jc w:val="center"/>
        <w:rPr>
          <w:rFonts w:ascii="仿宋_GB2312" w:eastAsia="仿宋_GB2312"/>
          <w:color w:val="auto"/>
          <w:spacing w:val="6"/>
          <w:szCs w:val="21"/>
        </w:rPr>
      </w:pPr>
      <w:r>
        <w:rPr>
          <w:rFonts w:hint="eastAsia" w:ascii="宋体" w:hAnsi="宋体" w:cs="宋体"/>
          <w:color w:val="auto"/>
          <w:spacing w:val="6"/>
          <w:szCs w:val="21"/>
        </w:rPr>
        <w:t xml:space="preserve">                    日  期：</w:t>
      </w:r>
      <w:r>
        <w:rPr>
          <w:rFonts w:hint="eastAsia" w:ascii="宋体" w:hAnsi="宋体" w:cs="宋体"/>
          <w:color w:val="auto"/>
          <w:spacing w:val="6"/>
          <w:kern w:val="0"/>
          <w:szCs w:val="21"/>
          <w:u w:val="single"/>
        </w:rPr>
        <w:t xml:space="preserve">              </w:t>
      </w:r>
    </w:p>
    <w:p w14:paraId="381AF155">
      <w:pPr>
        <w:adjustRightInd w:val="0"/>
        <w:snapToGrid w:val="0"/>
        <w:spacing w:line="360" w:lineRule="auto"/>
        <w:rPr>
          <w:rFonts w:ascii="仿宋_GB2312" w:hAnsi="宋体" w:eastAsia="仿宋_GB2312"/>
          <w:color w:val="auto"/>
          <w:szCs w:val="21"/>
        </w:rPr>
      </w:pPr>
    </w:p>
    <w:p w14:paraId="06720E2C">
      <w:pPr>
        <w:adjustRightInd w:val="0"/>
        <w:snapToGrid w:val="0"/>
        <w:spacing w:line="360" w:lineRule="auto"/>
        <w:rPr>
          <w:rFonts w:ascii="仿宋_GB2312" w:hAnsi="宋体" w:eastAsia="仿宋_GB2312"/>
          <w:color w:val="auto"/>
          <w:szCs w:val="21"/>
        </w:rPr>
      </w:pPr>
    </w:p>
    <w:p w14:paraId="024B920C">
      <w:pPr>
        <w:adjustRightInd w:val="0"/>
        <w:snapToGrid w:val="0"/>
        <w:spacing w:line="360" w:lineRule="auto"/>
        <w:rPr>
          <w:rFonts w:ascii="仿宋_GB2312" w:hAnsi="宋体" w:eastAsia="仿宋_GB2312"/>
          <w:color w:val="auto"/>
          <w:szCs w:val="21"/>
        </w:rPr>
      </w:pPr>
    </w:p>
    <w:p w14:paraId="0C83DF26">
      <w:pPr>
        <w:spacing w:line="360" w:lineRule="auto"/>
        <w:jc w:val="left"/>
        <w:rPr>
          <w:rFonts w:ascii="宋体" w:hAnsi="宋体" w:cs="宋体"/>
          <w:color w:val="auto"/>
          <w:szCs w:val="21"/>
        </w:rPr>
      </w:pPr>
      <w:r>
        <w:rPr>
          <w:rFonts w:hint="eastAsia" w:ascii="宋体" w:hAnsi="宋体" w:cs="宋体"/>
          <w:b/>
          <w:color w:val="auto"/>
          <w:szCs w:val="21"/>
        </w:rPr>
        <w:t>备注</w:t>
      </w:r>
      <w:r>
        <w:rPr>
          <w:rFonts w:hint="eastAsia" w:ascii="宋体" w:hAnsi="宋体" w:cs="宋体"/>
          <w:color w:val="auto"/>
          <w:szCs w:val="21"/>
        </w:rPr>
        <w:t>：填写前请认真阅读《关于促进残疾人就业政府采购政策的通知》（财库〔2017〕141号）相关规定。</w:t>
      </w:r>
    </w:p>
    <w:p w14:paraId="4F5623AF">
      <w:pPr>
        <w:rPr>
          <w:rFonts w:ascii="仿宋_GB2312" w:hAnsi="宋体" w:eastAsia="仿宋_GB2312"/>
          <w:color w:val="auto"/>
          <w:szCs w:val="21"/>
        </w:rPr>
      </w:pPr>
      <w:r>
        <w:rPr>
          <w:rFonts w:hint="eastAsia" w:ascii="仿宋_GB2312" w:hAnsi="宋体" w:eastAsia="仿宋_GB2312"/>
          <w:color w:val="auto"/>
          <w:szCs w:val="21"/>
        </w:rPr>
        <w:br w:type="page"/>
      </w:r>
    </w:p>
    <w:p w14:paraId="5CE9401E">
      <w:pPr>
        <w:rPr>
          <w:rFonts w:ascii="黑体" w:hAnsi="华文中宋" w:cs="宋体"/>
          <w:bCs/>
          <w:color w:val="auto"/>
          <w:spacing w:val="6"/>
          <w:kern w:val="0"/>
          <w:sz w:val="28"/>
          <w:szCs w:val="28"/>
        </w:rPr>
      </w:pPr>
      <w:r>
        <w:rPr>
          <w:rFonts w:hint="eastAsia" w:ascii="宋体" w:hAnsi="宋体"/>
          <w:b/>
          <w:color w:val="auto"/>
          <w:sz w:val="24"/>
        </w:rPr>
        <w:t>附件7-2</w:t>
      </w:r>
    </w:p>
    <w:p w14:paraId="7C660E5B">
      <w:pPr>
        <w:spacing w:line="588" w:lineRule="exact"/>
        <w:jc w:val="center"/>
        <w:rPr>
          <w:rFonts w:ascii="宋体" w:hAnsi="宋体" w:cs="宋体"/>
          <w:b/>
          <w:color w:val="auto"/>
          <w:spacing w:val="6"/>
          <w:sz w:val="32"/>
          <w:szCs w:val="32"/>
        </w:rPr>
      </w:pPr>
      <w:r>
        <w:rPr>
          <w:rFonts w:hint="eastAsia" w:ascii="黑体" w:hAnsi="华文中宋" w:eastAsia="黑体" w:cs="宋体"/>
          <w:bCs/>
          <w:color w:val="auto"/>
          <w:spacing w:val="6"/>
          <w:kern w:val="0"/>
          <w:sz w:val="28"/>
          <w:szCs w:val="28"/>
        </w:rPr>
        <w:t>监狱企业证明资料</w:t>
      </w:r>
    </w:p>
    <w:p w14:paraId="08F34893">
      <w:pPr>
        <w:spacing w:line="588" w:lineRule="exact"/>
        <w:jc w:val="center"/>
        <w:rPr>
          <w:rFonts w:ascii="宋体" w:hAnsi="宋体" w:cs="宋体"/>
          <w:b/>
          <w:color w:val="auto"/>
          <w:spacing w:val="6"/>
          <w:sz w:val="30"/>
          <w:szCs w:val="30"/>
        </w:rPr>
      </w:pPr>
      <w:r>
        <w:rPr>
          <w:rFonts w:hint="eastAsia" w:ascii="宋体" w:hAnsi="宋体"/>
          <w:b/>
          <w:color w:val="auto"/>
          <w:spacing w:val="6"/>
          <w:szCs w:val="21"/>
        </w:rPr>
        <w:t>(不属于监狱企业的无需提供)</w:t>
      </w:r>
    </w:p>
    <w:p w14:paraId="499F0DF9">
      <w:pPr>
        <w:spacing w:line="588" w:lineRule="exact"/>
        <w:ind w:firstLine="444" w:firstLineChars="200"/>
        <w:rPr>
          <w:rFonts w:ascii="宋体" w:hAnsi="宋体" w:cs="宋体"/>
          <w:color w:val="auto"/>
          <w:spacing w:val="6"/>
          <w:szCs w:val="21"/>
        </w:rPr>
      </w:pPr>
    </w:p>
    <w:p w14:paraId="7DA9606C">
      <w:pPr>
        <w:spacing w:line="588" w:lineRule="exact"/>
        <w:ind w:firstLine="444" w:firstLineChars="200"/>
        <w:rPr>
          <w:rFonts w:ascii="宋体" w:hAnsi="宋体" w:cs="宋体"/>
          <w:color w:val="auto"/>
          <w:spacing w:val="6"/>
          <w:szCs w:val="21"/>
        </w:rPr>
      </w:pPr>
      <w:r>
        <w:rPr>
          <w:rFonts w:hint="eastAsia" w:ascii="宋体" w:hAnsi="宋体" w:cs="宋体"/>
          <w:color w:val="auto"/>
          <w:spacing w:val="6"/>
          <w:szCs w:val="21"/>
        </w:rPr>
        <w:t>备注：按《财政部 司法部关于政府采购支持监狱企业发展有关问题的通知》(财库〔2014〕68号)文件规定提供证明文件（复印件）。</w:t>
      </w:r>
    </w:p>
    <w:p w14:paraId="707E7BE6">
      <w:pPr>
        <w:spacing w:line="588" w:lineRule="exact"/>
        <w:ind w:firstLine="444" w:firstLineChars="200"/>
        <w:rPr>
          <w:rFonts w:ascii="宋体" w:hAnsi="宋体" w:cs="宋体"/>
          <w:color w:val="auto"/>
          <w:spacing w:val="6"/>
          <w:szCs w:val="21"/>
        </w:rPr>
      </w:pPr>
    </w:p>
    <w:p w14:paraId="5A84A85C">
      <w:pPr>
        <w:spacing w:line="588" w:lineRule="exact"/>
        <w:ind w:firstLine="444" w:firstLineChars="200"/>
        <w:rPr>
          <w:rFonts w:ascii="宋体" w:hAnsi="宋体" w:cs="宋体"/>
          <w:color w:val="auto"/>
          <w:spacing w:val="6"/>
          <w:szCs w:val="21"/>
        </w:rPr>
      </w:pPr>
    </w:p>
    <w:p w14:paraId="550FD76C">
      <w:pPr>
        <w:rPr>
          <w:rFonts w:ascii="仿宋_GB2312" w:hAnsi="宋体" w:eastAsia="仿宋_GB2312"/>
          <w:color w:val="auto"/>
          <w:szCs w:val="21"/>
        </w:rPr>
      </w:pPr>
    </w:p>
    <w:p w14:paraId="47DC83A6">
      <w:pPr>
        <w:rPr>
          <w:rFonts w:ascii="仿宋_GB2312" w:hAnsi="宋体" w:eastAsia="仿宋_GB2312"/>
          <w:color w:val="auto"/>
          <w:szCs w:val="21"/>
        </w:rPr>
      </w:pPr>
      <w:r>
        <w:rPr>
          <w:rFonts w:hint="eastAsia" w:ascii="仿宋_GB2312" w:hAnsi="宋体" w:eastAsia="仿宋_GB2312"/>
          <w:color w:val="auto"/>
          <w:szCs w:val="21"/>
        </w:rPr>
        <w:br w:type="page"/>
      </w:r>
    </w:p>
    <w:p w14:paraId="533AC596">
      <w:pPr>
        <w:rPr>
          <w:rFonts w:ascii="宋体" w:hAnsi="宋体"/>
          <w:b/>
          <w:color w:val="auto"/>
          <w:sz w:val="24"/>
        </w:rPr>
      </w:pPr>
      <w:r>
        <w:rPr>
          <w:rFonts w:hint="eastAsia" w:ascii="宋体" w:hAnsi="宋体"/>
          <w:b/>
          <w:color w:val="auto"/>
          <w:sz w:val="24"/>
        </w:rPr>
        <w:t>附件8</w:t>
      </w:r>
    </w:p>
    <w:p w14:paraId="498ACE93">
      <w:pPr>
        <w:rPr>
          <w:color w:val="auto"/>
        </w:rPr>
      </w:pPr>
    </w:p>
    <w:p w14:paraId="4C42E76E">
      <w:pPr>
        <w:adjustRightInd w:val="0"/>
        <w:snapToGrid w:val="0"/>
        <w:spacing w:before="50" w:line="360" w:lineRule="auto"/>
        <w:jc w:val="center"/>
        <w:rPr>
          <w:rFonts w:ascii="黑体" w:hAnsi="华文中宋" w:eastAsia="黑体" w:cs="宋体"/>
          <w:bCs/>
          <w:color w:val="auto"/>
          <w:spacing w:val="6"/>
          <w:kern w:val="0"/>
          <w:sz w:val="28"/>
          <w:szCs w:val="28"/>
        </w:rPr>
      </w:pPr>
      <w:r>
        <w:rPr>
          <w:rFonts w:hint="eastAsia" w:ascii="黑体" w:hAnsi="华文中宋" w:eastAsia="黑体" w:cs="宋体"/>
          <w:bCs/>
          <w:color w:val="auto"/>
          <w:spacing w:val="6"/>
          <w:kern w:val="0"/>
          <w:sz w:val="28"/>
          <w:szCs w:val="28"/>
        </w:rPr>
        <w:t>“节能产品”、“环境标志产品”证明材料</w:t>
      </w:r>
    </w:p>
    <w:p w14:paraId="7A42E12B">
      <w:pPr>
        <w:adjustRightInd w:val="0"/>
        <w:snapToGrid w:val="0"/>
        <w:spacing w:before="50" w:line="360" w:lineRule="auto"/>
        <w:jc w:val="center"/>
        <w:rPr>
          <w:rFonts w:ascii="宋体" w:hAnsi="宋体"/>
          <w:b/>
          <w:color w:val="auto"/>
        </w:rPr>
      </w:pPr>
      <w:r>
        <w:rPr>
          <w:rFonts w:hint="eastAsia" w:ascii="宋体" w:hAnsi="宋体"/>
          <w:b/>
          <w:color w:val="auto"/>
          <w:spacing w:val="6"/>
          <w:szCs w:val="21"/>
        </w:rPr>
        <w:t>(不属于强制采购或者优先采购产品的无需提供)</w:t>
      </w:r>
    </w:p>
    <w:p w14:paraId="291881DC">
      <w:pPr>
        <w:pStyle w:val="36"/>
        <w:rPr>
          <w:color w:val="auto"/>
        </w:rPr>
      </w:pPr>
    </w:p>
    <w:p w14:paraId="717202DC">
      <w:pPr>
        <w:adjustRightInd w:val="0"/>
        <w:snapToGrid w:val="0"/>
        <w:spacing w:line="600" w:lineRule="auto"/>
        <w:ind w:firstLine="420" w:firstLineChars="200"/>
        <w:rPr>
          <w:rFonts w:ascii="宋体" w:hAnsi="宋体"/>
          <w:color w:val="auto"/>
        </w:rPr>
      </w:pPr>
      <w:r>
        <w:rPr>
          <w:rFonts w:hint="eastAsia" w:ascii="宋体" w:hAnsi="宋体"/>
          <w:color w:val="auto"/>
        </w:rPr>
        <w:t>说明：1、供应商提供的产品属于下列情形，应提供相关证明材料（财政部发布的最新一期的《节能产品政府采购品目清单》或者《环境标志产品政府采购品目清单》所在页复印件以及国家确定的认证机构出具的处于有效期之内的节能产品、环境标志产品认证证书复印件，并提供产品清单表。</w:t>
      </w:r>
    </w:p>
    <w:p w14:paraId="5E708353">
      <w:pPr>
        <w:adjustRightInd w:val="0"/>
        <w:snapToGrid w:val="0"/>
        <w:spacing w:line="600" w:lineRule="auto"/>
        <w:ind w:firstLine="840" w:firstLineChars="400"/>
        <w:rPr>
          <w:rFonts w:ascii="宋体" w:hAnsi="宋体"/>
          <w:color w:val="auto"/>
        </w:rPr>
      </w:pPr>
      <w:r>
        <w:rPr>
          <w:rFonts w:hint="eastAsia" w:ascii="宋体" w:hAnsi="宋体"/>
          <w:color w:val="auto"/>
        </w:rPr>
        <w:t>(1)符合政府采购强制采购政策的(《节能产品政府采购品目清单》中标记★符号节能产品及其他强制采购产品)。（财政部发布的最新一期目录所在页）。</w:t>
      </w:r>
    </w:p>
    <w:p w14:paraId="0D8ECFF3">
      <w:pPr>
        <w:adjustRightInd w:val="0"/>
        <w:snapToGrid w:val="0"/>
        <w:spacing w:line="600" w:lineRule="auto"/>
        <w:ind w:firstLine="840" w:firstLineChars="400"/>
        <w:rPr>
          <w:rFonts w:ascii="宋体" w:hAnsi="宋体"/>
          <w:color w:val="auto"/>
        </w:rPr>
      </w:pPr>
      <w:r>
        <w:rPr>
          <w:rFonts w:hint="eastAsia" w:ascii="宋体" w:hAnsi="宋体"/>
          <w:color w:val="auto"/>
        </w:rPr>
        <w:t>(2)符合政府采购优先采购政策的(《节能产品政府采购品目清单》中非标记★符号节能产品，《环境标志产品政府采购品目清单》中环境标志产品。（财政部发布的最新一期目录所在页）。</w:t>
      </w:r>
    </w:p>
    <w:p w14:paraId="197501FC">
      <w:pPr>
        <w:adjustRightInd w:val="0"/>
        <w:snapToGrid w:val="0"/>
        <w:spacing w:line="600" w:lineRule="auto"/>
        <w:ind w:firstLine="945" w:firstLineChars="450"/>
        <w:rPr>
          <w:rFonts w:ascii="宋体" w:hAnsi="宋体"/>
          <w:color w:val="auto"/>
        </w:rPr>
      </w:pPr>
      <w:r>
        <w:rPr>
          <w:rFonts w:hint="eastAsia" w:ascii="宋体" w:hAnsi="宋体"/>
          <w:color w:val="auto"/>
        </w:rPr>
        <w:t>2、未按上述要求提供，评审时不予以考虑。</w:t>
      </w:r>
    </w:p>
    <w:p w14:paraId="69001863">
      <w:pPr>
        <w:jc w:val="left"/>
        <w:rPr>
          <w:rFonts w:ascii="宋体" w:hAnsi="宋体"/>
          <w:color w:val="auto"/>
        </w:rPr>
        <w:sectPr>
          <w:pgSz w:w="11906" w:h="16838"/>
          <w:pgMar w:top="1440" w:right="1797" w:bottom="1440" w:left="1797"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r>
        <w:rPr>
          <w:rFonts w:hint="eastAsia" w:ascii="仿宋_GB2312" w:hAnsi="宋体" w:eastAsia="仿宋_GB2312"/>
          <w:color w:val="auto"/>
          <w:szCs w:val="21"/>
        </w:rPr>
        <w:br w:type="page"/>
      </w:r>
    </w:p>
    <w:p w14:paraId="285A37E3">
      <w:pPr>
        <w:jc w:val="center"/>
        <w:outlineLvl w:val="1"/>
        <w:rPr>
          <w:rFonts w:ascii="宋体" w:hAnsi="宋体"/>
          <w:b/>
          <w:color w:val="auto"/>
          <w:sz w:val="32"/>
          <w:szCs w:val="32"/>
        </w:rPr>
      </w:pPr>
      <w:bookmarkStart w:id="71" w:name="_Toc17725"/>
      <w:bookmarkStart w:id="72" w:name="_Toc27293"/>
      <w:bookmarkStart w:id="73" w:name="_Toc12577"/>
      <w:r>
        <w:rPr>
          <w:rFonts w:hint="eastAsia" w:ascii="宋体" w:hAnsi="宋体"/>
          <w:b/>
          <w:bCs/>
          <w:color w:val="auto"/>
          <w:sz w:val="32"/>
          <w:szCs w:val="32"/>
        </w:rPr>
        <w:t>七、</w:t>
      </w:r>
      <w:r>
        <w:rPr>
          <w:rFonts w:hint="eastAsia" w:ascii="宋体" w:hAnsi="宋体"/>
          <w:b/>
          <w:color w:val="auto"/>
          <w:sz w:val="32"/>
          <w:szCs w:val="32"/>
        </w:rPr>
        <w:t>报价一览表及报价文件</w:t>
      </w:r>
      <w:bookmarkEnd w:id="71"/>
      <w:bookmarkEnd w:id="72"/>
      <w:bookmarkEnd w:id="73"/>
    </w:p>
    <w:p w14:paraId="1E84C163">
      <w:pPr>
        <w:ind w:firstLine="803"/>
        <w:jc w:val="center"/>
        <w:rPr>
          <w:rFonts w:ascii="宋体" w:hAnsi="宋体"/>
          <w:b/>
          <w:color w:val="auto"/>
          <w:sz w:val="24"/>
        </w:rPr>
      </w:pPr>
    </w:p>
    <w:p w14:paraId="068563F4">
      <w:pPr>
        <w:adjustRightInd w:val="0"/>
        <w:snapToGrid w:val="0"/>
        <w:rPr>
          <w:rFonts w:ascii="宋体" w:hAnsi="宋体"/>
          <w:b/>
          <w:color w:val="auto"/>
          <w:sz w:val="24"/>
        </w:rPr>
      </w:pPr>
      <w:r>
        <w:rPr>
          <w:rFonts w:hint="eastAsia" w:ascii="宋体" w:hAnsi="宋体"/>
          <w:b/>
          <w:color w:val="auto"/>
          <w:sz w:val="24"/>
        </w:rPr>
        <w:t>附件9</w:t>
      </w:r>
    </w:p>
    <w:p w14:paraId="4D4CDFFD">
      <w:pPr>
        <w:rPr>
          <w:rFonts w:ascii="宋体" w:hAnsi="宋体"/>
          <w:b/>
          <w:bCs/>
          <w:color w:val="auto"/>
          <w:sz w:val="24"/>
        </w:rPr>
      </w:pPr>
    </w:p>
    <w:p w14:paraId="2B190F58">
      <w:pPr>
        <w:rPr>
          <w:rFonts w:ascii="宋体" w:hAnsi="宋体"/>
          <w:b/>
          <w:bCs/>
          <w:color w:val="auto"/>
          <w:sz w:val="24"/>
        </w:rPr>
      </w:pPr>
      <w:r>
        <w:rPr>
          <w:rFonts w:hint="eastAsia" w:ascii="宋体" w:hAnsi="宋体"/>
          <w:b/>
          <w:bCs/>
          <w:color w:val="auto"/>
          <w:sz w:val="24"/>
        </w:rPr>
        <w:t>报价一览表（第一次报价表）</w:t>
      </w:r>
    </w:p>
    <w:p w14:paraId="6D1815B2">
      <w:pPr>
        <w:adjustRightInd w:val="0"/>
        <w:snapToGrid w:val="0"/>
        <w:jc w:val="center"/>
        <w:rPr>
          <w:rFonts w:ascii="宋体" w:hAnsi="宋体"/>
          <w:b/>
          <w:color w:val="auto"/>
          <w:sz w:val="24"/>
        </w:rPr>
      </w:pPr>
    </w:p>
    <w:p w14:paraId="3C48D96A">
      <w:pPr>
        <w:adjustRightInd w:val="0"/>
        <w:snapToGrid w:val="0"/>
        <w:rPr>
          <w:rFonts w:ascii="宋体" w:hAnsi="宋体"/>
          <w:b/>
          <w:color w:val="auto"/>
          <w:szCs w:val="21"/>
        </w:rPr>
      </w:pPr>
      <w:r>
        <w:rPr>
          <w:rFonts w:hint="eastAsia" w:ascii="宋体" w:hAnsi="宋体"/>
          <w:b/>
          <w:color w:val="auto"/>
          <w:szCs w:val="21"/>
        </w:rPr>
        <w:t xml:space="preserve">                                                              </w:t>
      </w:r>
      <w:r>
        <w:rPr>
          <w:rFonts w:hint="eastAsia" w:ascii="宋体" w:hAnsi="宋体"/>
          <w:bCs/>
          <w:color w:val="auto"/>
          <w:szCs w:val="21"/>
        </w:rPr>
        <w:t xml:space="preserve"> 金额单位：人民币元</w:t>
      </w:r>
    </w:p>
    <w:tbl>
      <w:tblPr>
        <w:tblStyle w:val="51"/>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3048"/>
        <w:gridCol w:w="1613"/>
        <w:gridCol w:w="2512"/>
      </w:tblGrid>
      <w:tr w14:paraId="580CC5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918" w:type="pct"/>
            <w:vMerge w:val="restart"/>
            <w:tcBorders>
              <w:top w:val="double" w:color="auto" w:sz="4" w:space="0"/>
              <w:left w:val="double" w:color="auto" w:sz="4" w:space="0"/>
              <w:bottom w:val="single" w:color="auto" w:sz="6" w:space="0"/>
              <w:right w:val="single" w:color="auto" w:sz="6" w:space="0"/>
            </w:tcBorders>
            <w:vAlign w:val="center"/>
          </w:tcPr>
          <w:p w14:paraId="79EF5D24">
            <w:pPr>
              <w:tabs>
                <w:tab w:val="left" w:pos="403"/>
                <w:tab w:val="center" w:pos="3781"/>
              </w:tabs>
              <w:spacing w:line="420" w:lineRule="exact"/>
              <w:ind w:right="-5206" w:rightChars="-2479" w:firstLine="210" w:firstLineChars="100"/>
              <w:rPr>
                <w:rFonts w:ascii="宋体" w:hAnsi="宋体"/>
                <w:color w:val="auto"/>
                <w:szCs w:val="21"/>
              </w:rPr>
            </w:pPr>
            <w:r>
              <w:rPr>
                <w:rFonts w:hint="eastAsia" w:ascii="宋体" w:hAnsi="宋体"/>
                <w:color w:val="auto"/>
                <w:szCs w:val="21"/>
              </w:rPr>
              <w:t>项目名称</w:t>
            </w:r>
            <w:r>
              <w:rPr>
                <w:rFonts w:hint="eastAsia" w:ascii="宋体" w:hAnsi="宋体"/>
                <w:color w:val="auto"/>
                <w:szCs w:val="21"/>
              </w:rPr>
              <w:tab/>
            </w:r>
            <w:r>
              <w:rPr>
                <w:rFonts w:hint="eastAsia" w:ascii="宋体" w:hAnsi="宋体"/>
                <w:color w:val="auto"/>
                <w:szCs w:val="21"/>
              </w:rPr>
              <w:t>项目名称</w:t>
            </w:r>
          </w:p>
        </w:tc>
        <w:tc>
          <w:tcPr>
            <w:tcW w:w="1734" w:type="pct"/>
            <w:vMerge w:val="restart"/>
            <w:tcBorders>
              <w:top w:val="double" w:color="auto" w:sz="4" w:space="0"/>
              <w:left w:val="single" w:color="auto" w:sz="6" w:space="0"/>
              <w:bottom w:val="single" w:color="auto" w:sz="6" w:space="0"/>
              <w:right w:val="single" w:color="auto" w:sz="6" w:space="0"/>
            </w:tcBorders>
            <w:vAlign w:val="center"/>
          </w:tcPr>
          <w:p w14:paraId="668A3304">
            <w:pPr>
              <w:spacing w:line="420" w:lineRule="exact"/>
              <w:jc w:val="center"/>
              <w:rPr>
                <w:rFonts w:ascii="宋体" w:hAnsi="宋体"/>
                <w:color w:val="auto"/>
                <w:szCs w:val="21"/>
              </w:rPr>
            </w:pPr>
          </w:p>
        </w:tc>
        <w:tc>
          <w:tcPr>
            <w:tcW w:w="918" w:type="pct"/>
            <w:tcBorders>
              <w:top w:val="double" w:color="auto" w:sz="4" w:space="0"/>
              <w:left w:val="single" w:color="auto" w:sz="6" w:space="0"/>
              <w:bottom w:val="single" w:color="auto" w:sz="6" w:space="0"/>
              <w:right w:val="single" w:color="auto" w:sz="6" w:space="0"/>
            </w:tcBorders>
            <w:vAlign w:val="center"/>
          </w:tcPr>
          <w:p w14:paraId="2108608A">
            <w:pPr>
              <w:spacing w:line="420" w:lineRule="exact"/>
              <w:jc w:val="center"/>
              <w:rPr>
                <w:rFonts w:hint="eastAsia" w:ascii="宋体" w:hAnsi="宋体" w:eastAsia="宋体"/>
                <w:color w:val="auto"/>
                <w:szCs w:val="21"/>
                <w:lang w:eastAsia="zh-CN"/>
              </w:rPr>
            </w:pPr>
            <w:r>
              <w:rPr>
                <w:rFonts w:hint="eastAsia" w:ascii="宋体" w:hAnsi="宋体"/>
                <w:color w:val="auto"/>
                <w:szCs w:val="21"/>
                <w:lang w:eastAsia="zh-CN"/>
              </w:rPr>
              <w:t>政府采购编号</w:t>
            </w:r>
          </w:p>
        </w:tc>
        <w:tc>
          <w:tcPr>
            <w:tcW w:w="1428" w:type="pct"/>
            <w:tcBorders>
              <w:top w:val="double" w:color="auto" w:sz="4" w:space="0"/>
              <w:left w:val="single" w:color="auto" w:sz="6" w:space="0"/>
              <w:bottom w:val="single" w:color="auto" w:sz="6" w:space="0"/>
              <w:right w:val="double" w:color="auto" w:sz="4" w:space="0"/>
            </w:tcBorders>
            <w:vAlign w:val="center"/>
          </w:tcPr>
          <w:p w14:paraId="397AA57C">
            <w:pPr>
              <w:spacing w:line="420" w:lineRule="exact"/>
              <w:jc w:val="center"/>
              <w:rPr>
                <w:rFonts w:ascii="宋体" w:hAnsi="宋体"/>
                <w:color w:val="auto"/>
                <w:szCs w:val="21"/>
              </w:rPr>
            </w:pPr>
          </w:p>
        </w:tc>
      </w:tr>
      <w:tr w14:paraId="420D9D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18" w:type="pct"/>
            <w:vMerge w:val="continue"/>
            <w:tcBorders>
              <w:top w:val="double" w:color="auto" w:sz="4" w:space="0"/>
              <w:left w:val="double" w:color="auto" w:sz="4" w:space="0"/>
              <w:bottom w:val="single" w:color="auto" w:sz="6" w:space="0"/>
              <w:right w:val="single" w:color="auto" w:sz="6" w:space="0"/>
            </w:tcBorders>
            <w:vAlign w:val="center"/>
          </w:tcPr>
          <w:p w14:paraId="5195AA4D">
            <w:pPr>
              <w:widowControl/>
              <w:jc w:val="left"/>
              <w:rPr>
                <w:rFonts w:ascii="宋体" w:hAnsi="宋体"/>
                <w:color w:val="auto"/>
                <w:szCs w:val="21"/>
              </w:rPr>
            </w:pPr>
          </w:p>
        </w:tc>
        <w:tc>
          <w:tcPr>
            <w:tcW w:w="1734" w:type="pct"/>
            <w:vMerge w:val="continue"/>
            <w:tcBorders>
              <w:top w:val="double" w:color="auto" w:sz="4" w:space="0"/>
              <w:left w:val="single" w:color="auto" w:sz="6" w:space="0"/>
              <w:bottom w:val="single" w:color="auto" w:sz="6" w:space="0"/>
              <w:right w:val="single" w:color="auto" w:sz="6" w:space="0"/>
            </w:tcBorders>
            <w:vAlign w:val="center"/>
          </w:tcPr>
          <w:p w14:paraId="6223EF64">
            <w:pPr>
              <w:widowControl/>
              <w:jc w:val="left"/>
              <w:rPr>
                <w:rFonts w:ascii="宋体" w:hAnsi="宋体"/>
                <w:color w:val="auto"/>
                <w:szCs w:val="21"/>
              </w:rPr>
            </w:pPr>
          </w:p>
        </w:tc>
        <w:tc>
          <w:tcPr>
            <w:tcW w:w="918" w:type="pct"/>
            <w:tcBorders>
              <w:top w:val="single" w:color="auto" w:sz="6" w:space="0"/>
              <w:left w:val="single" w:color="auto" w:sz="6" w:space="0"/>
              <w:bottom w:val="single" w:color="auto" w:sz="6" w:space="0"/>
              <w:right w:val="single" w:color="auto" w:sz="6" w:space="0"/>
            </w:tcBorders>
            <w:vAlign w:val="center"/>
          </w:tcPr>
          <w:p w14:paraId="304A4198">
            <w:pPr>
              <w:spacing w:line="420" w:lineRule="exact"/>
              <w:jc w:val="center"/>
              <w:rPr>
                <w:rFonts w:ascii="宋体" w:hAnsi="宋体"/>
                <w:color w:val="auto"/>
                <w:szCs w:val="21"/>
              </w:rPr>
            </w:pPr>
            <w:r>
              <w:rPr>
                <w:rFonts w:hint="eastAsia" w:ascii="宋体" w:hAnsi="宋体"/>
                <w:color w:val="auto"/>
                <w:szCs w:val="21"/>
              </w:rPr>
              <w:t>委托代理编号</w:t>
            </w:r>
          </w:p>
        </w:tc>
        <w:tc>
          <w:tcPr>
            <w:tcW w:w="1428" w:type="pct"/>
            <w:tcBorders>
              <w:top w:val="single" w:color="auto" w:sz="6" w:space="0"/>
              <w:left w:val="single" w:color="auto" w:sz="6" w:space="0"/>
              <w:bottom w:val="single" w:color="auto" w:sz="6" w:space="0"/>
              <w:right w:val="double" w:color="auto" w:sz="4" w:space="0"/>
            </w:tcBorders>
            <w:vAlign w:val="center"/>
          </w:tcPr>
          <w:p w14:paraId="611172F2">
            <w:pPr>
              <w:spacing w:line="420" w:lineRule="exact"/>
              <w:jc w:val="center"/>
              <w:rPr>
                <w:rFonts w:ascii="宋体" w:hAnsi="宋体"/>
                <w:color w:val="auto"/>
                <w:szCs w:val="21"/>
              </w:rPr>
            </w:pPr>
          </w:p>
        </w:tc>
      </w:tr>
      <w:tr w14:paraId="0468B6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18" w:type="pct"/>
            <w:tcBorders>
              <w:top w:val="single" w:color="auto" w:sz="6" w:space="0"/>
              <w:left w:val="double" w:color="auto" w:sz="4" w:space="0"/>
              <w:bottom w:val="single" w:color="auto" w:sz="4" w:space="0"/>
              <w:right w:val="single" w:color="auto" w:sz="6" w:space="0"/>
            </w:tcBorders>
            <w:vAlign w:val="center"/>
          </w:tcPr>
          <w:p w14:paraId="7878E446">
            <w:pPr>
              <w:spacing w:line="420" w:lineRule="exact"/>
              <w:jc w:val="center"/>
              <w:rPr>
                <w:rFonts w:ascii="宋体" w:hAnsi="宋体"/>
                <w:color w:val="auto"/>
                <w:szCs w:val="21"/>
              </w:rPr>
            </w:pPr>
            <w:r>
              <w:rPr>
                <w:rFonts w:hint="eastAsia" w:ascii="宋体" w:hAnsi="宋体"/>
                <w:color w:val="auto"/>
                <w:szCs w:val="21"/>
              </w:rPr>
              <w:t>品目代码</w:t>
            </w:r>
          </w:p>
        </w:tc>
        <w:tc>
          <w:tcPr>
            <w:tcW w:w="4081" w:type="pct"/>
            <w:gridSpan w:val="3"/>
            <w:tcBorders>
              <w:top w:val="single" w:color="auto" w:sz="6" w:space="0"/>
              <w:left w:val="single" w:color="auto" w:sz="6" w:space="0"/>
              <w:bottom w:val="single" w:color="auto" w:sz="6" w:space="0"/>
              <w:right w:val="double" w:color="auto" w:sz="4" w:space="0"/>
            </w:tcBorders>
            <w:vAlign w:val="center"/>
          </w:tcPr>
          <w:p w14:paraId="3F2C0946">
            <w:pPr>
              <w:rPr>
                <w:rFonts w:ascii="宋体" w:hAnsi="宋体"/>
                <w:color w:val="auto"/>
                <w:szCs w:val="21"/>
              </w:rPr>
            </w:pPr>
          </w:p>
        </w:tc>
      </w:tr>
      <w:tr w14:paraId="194026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918" w:type="pct"/>
            <w:tcBorders>
              <w:top w:val="single" w:color="auto" w:sz="6" w:space="0"/>
              <w:left w:val="double" w:color="auto" w:sz="4" w:space="0"/>
              <w:bottom w:val="single" w:color="auto" w:sz="4" w:space="0"/>
              <w:right w:val="single" w:color="auto" w:sz="6" w:space="0"/>
            </w:tcBorders>
            <w:vAlign w:val="center"/>
          </w:tcPr>
          <w:p w14:paraId="5CFC1B6B">
            <w:pPr>
              <w:spacing w:line="420" w:lineRule="exact"/>
              <w:jc w:val="center"/>
              <w:rPr>
                <w:rFonts w:ascii="宋体" w:hAnsi="宋体"/>
                <w:b/>
                <w:bCs/>
                <w:color w:val="auto"/>
                <w:szCs w:val="21"/>
              </w:rPr>
            </w:pPr>
            <w:r>
              <w:rPr>
                <w:rFonts w:hint="eastAsia" w:ascii="宋体" w:hAnsi="宋体"/>
                <w:color w:val="auto"/>
                <w:szCs w:val="21"/>
              </w:rPr>
              <w:t>报价</w:t>
            </w:r>
          </w:p>
        </w:tc>
        <w:tc>
          <w:tcPr>
            <w:tcW w:w="4081" w:type="pct"/>
            <w:gridSpan w:val="3"/>
            <w:tcBorders>
              <w:top w:val="single" w:color="auto" w:sz="6" w:space="0"/>
              <w:left w:val="single" w:color="auto" w:sz="6" w:space="0"/>
              <w:bottom w:val="single" w:color="auto" w:sz="6" w:space="0"/>
              <w:right w:val="double" w:color="auto" w:sz="4" w:space="0"/>
            </w:tcBorders>
            <w:vAlign w:val="center"/>
          </w:tcPr>
          <w:p w14:paraId="13C4D48B">
            <w:pPr>
              <w:adjustRightInd w:val="0"/>
              <w:snapToGrid w:val="0"/>
              <w:spacing w:before="156" w:beforeLines="50" w:line="360" w:lineRule="auto"/>
              <w:ind w:firstLine="420" w:firstLineChars="200"/>
              <w:rPr>
                <w:rFonts w:asciiTheme="minorEastAsia" w:hAnsiTheme="minorEastAsia" w:eastAsiaTheme="minorEastAsia"/>
                <w:bCs/>
                <w:color w:val="auto"/>
                <w:kern w:val="0"/>
                <w:szCs w:val="21"/>
              </w:rPr>
            </w:pPr>
            <w:r>
              <w:rPr>
                <w:rFonts w:hint="eastAsia" w:asciiTheme="minorEastAsia" w:hAnsiTheme="minorEastAsia" w:eastAsiaTheme="minorEastAsia"/>
                <w:bCs/>
                <w:color w:val="auto"/>
                <w:kern w:val="0"/>
                <w:szCs w:val="21"/>
              </w:rPr>
              <w:t>小写金额：</w:t>
            </w:r>
            <w:r>
              <w:rPr>
                <w:rFonts w:hint="eastAsia" w:asciiTheme="minorEastAsia" w:hAnsiTheme="minorEastAsia" w:eastAsiaTheme="minorEastAsia"/>
                <w:bCs/>
                <w:color w:val="auto"/>
                <w:kern w:val="0"/>
                <w:szCs w:val="21"/>
                <w:u w:val="single"/>
              </w:rPr>
              <w:t xml:space="preserve">                     </w:t>
            </w:r>
          </w:p>
          <w:p w14:paraId="10397B21">
            <w:pPr>
              <w:spacing w:line="420" w:lineRule="exact"/>
              <w:ind w:firstLine="420" w:firstLineChars="200"/>
              <w:rPr>
                <w:rFonts w:ascii="宋体" w:hAnsi="宋体" w:eastAsiaTheme="minorEastAsia"/>
                <w:color w:val="auto"/>
                <w:szCs w:val="21"/>
              </w:rPr>
            </w:pPr>
            <w:r>
              <w:rPr>
                <w:rFonts w:hint="eastAsia" w:asciiTheme="minorEastAsia" w:hAnsiTheme="minorEastAsia" w:eastAsiaTheme="minorEastAsia"/>
                <w:bCs/>
                <w:color w:val="auto"/>
                <w:kern w:val="0"/>
                <w:szCs w:val="21"/>
              </w:rPr>
              <w:t>大写金额：</w:t>
            </w:r>
            <w:r>
              <w:rPr>
                <w:rFonts w:hint="eastAsia" w:asciiTheme="minorEastAsia" w:hAnsiTheme="minorEastAsia" w:eastAsiaTheme="minorEastAsia"/>
                <w:bCs/>
                <w:color w:val="auto"/>
                <w:kern w:val="0"/>
                <w:szCs w:val="21"/>
                <w:u w:val="single"/>
              </w:rPr>
              <w:t xml:space="preserve">                     </w:t>
            </w:r>
          </w:p>
        </w:tc>
      </w:tr>
      <w:tr w14:paraId="0AEBF7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918" w:type="pct"/>
            <w:tcBorders>
              <w:top w:val="single" w:color="auto" w:sz="6" w:space="0"/>
              <w:left w:val="double" w:color="auto" w:sz="4" w:space="0"/>
              <w:bottom w:val="single" w:color="auto" w:sz="6" w:space="0"/>
              <w:right w:val="single" w:color="auto" w:sz="6" w:space="0"/>
            </w:tcBorders>
            <w:vAlign w:val="center"/>
          </w:tcPr>
          <w:p w14:paraId="3BF754CB">
            <w:pPr>
              <w:spacing w:line="420" w:lineRule="exact"/>
              <w:jc w:val="center"/>
              <w:rPr>
                <w:rFonts w:ascii="宋体" w:hAnsi="宋体"/>
                <w:color w:val="auto"/>
                <w:szCs w:val="21"/>
              </w:rPr>
            </w:pPr>
            <w:r>
              <w:rPr>
                <w:rFonts w:hint="eastAsia" w:ascii="宋体" w:hAnsi="宋体"/>
                <w:color w:val="auto"/>
                <w:szCs w:val="21"/>
              </w:rPr>
              <w:t>交货期</w:t>
            </w:r>
          </w:p>
        </w:tc>
        <w:tc>
          <w:tcPr>
            <w:tcW w:w="4081" w:type="pct"/>
            <w:gridSpan w:val="3"/>
            <w:tcBorders>
              <w:top w:val="single" w:color="auto" w:sz="6" w:space="0"/>
              <w:left w:val="single" w:color="auto" w:sz="6" w:space="0"/>
              <w:bottom w:val="single" w:color="auto" w:sz="6" w:space="0"/>
              <w:right w:val="double" w:color="auto" w:sz="4" w:space="0"/>
            </w:tcBorders>
            <w:vAlign w:val="center"/>
          </w:tcPr>
          <w:p w14:paraId="5662286A">
            <w:pPr>
              <w:spacing w:line="420" w:lineRule="exact"/>
              <w:rPr>
                <w:rFonts w:ascii="宋体" w:hAnsi="宋体"/>
                <w:iCs/>
                <w:color w:val="auto"/>
                <w:szCs w:val="21"/>
              </w:rPr>
            </w:pPr>
          </w:p>
        </w:tc>
      </w:tr>
      <w:tr w14:paraId="0B1994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18" w:type="pct"/>
            <w:tcBorders>
              <w:top w:val="single" w:color="auto" w:sz="6" w:space="0"/>
              <w:left w:val="double" w:color="auto" w:sz="4" w:space="0"/>
              <w:bottom w:val="single" w:color="auto" w:sz="6" w:space="0"/>
              <w:right w:val="single" w:color="auto" w:sz="6" w:space="0"/>
            </w:tcBorders>
            <w:vAlign w:val="center"/>
          </w:tcPr>
          <w:p w14:paraId="15C3C2C3">
            <w:pPr>
              <w:jc w:val="center"/>
              <w:rPr>
                <w:rFonts w:ascii="宋体" w:hAnsi="宋体"/>
                <w:color w:val="auto"/>
                <w:szCs w:val="21"/>
              </w:rPr>
            </w:pPr>
            <w:r>
              <w:rPr>
                <w:rFonts w:hint="eastAsia" w:ascii="宋体" w:hAnsi="宋体"/>
                <w:color w:val="auto"/>
                <w:szCs w:val="21"/>
              </w:rPr>
              <w:t>项目负责人</w:t>
            </w:r>
          </w:p>
          <w:p w14:paraId="302ACC8D">
            <w:pPr>
              <w:jc w:val="center"/>
              <w:rPr>
                <w:rFonts w:ascii="宋体" w:hAnsi="宋体"/>
                <w:color w:val="auto"/>
                <w:szCs w:val="21"/>
              </w:rPr>
            </w:pPr>
            <w:r>
              <w:rPr>
                <w:rFonts w:hint="eastAsia" w:ascii="宋体" w:hAnsi="宋体"/>
                <w:color w:val="auto"/>
                <w:szCs w:val="21"/>
              </w:rPr>
              <w:t>及联系方式</w:t>
            </w:r>
          </w:p>
        </w:tc>
        <w:tc>
          <w:tcPr>
            <w:tcW w:w="4081" w:type="pct"/>
            <w:gridSpan w:val="3"/>
            <w:tcBorders>
              <w:top w:val="single" w:color="auto" w:sz="6" w:space="0"/>
              <w:left w:val="single" w:color="auto" w:sz="6" w:space="0"/>
              <w:bottom w:val="single" w:color="auto" w:sz="6" w:space="0"/>
              <w:right w:val="double" w:color="auto" w:sz="4" w:space="0"/>
            </w:tcBorders>
            <w:vAlign w:val="center"/>
          </w:tcPr>
          <w:p w14:paraId="74D93AD8">
            <w:pPr>
              <w:spacing w:line="420" w:lineRule="exact"/>
              <w:rPr>
                <w:rFonts w:ascii="宋体" w:hAnsi="宋体"/>
                <w:color w:val="auto"/>
                <w:szCs w:val="21"/>
              </w:rPr>
            </w:pPr>
          </w:p>
        </w:tc>
      </w:tr>
      <w:tr w14:paraId="5B3EA2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18" w:type="pct"/>
            <w:tcBorders>
              <w:top w:val="single" w:color="auto" w:sz="6" w:space="0"/>
              <w:left w:val="double" w:color="auto" w:sz="4" w:space="0"/>
              <w:bottom w:val="double" w:color="auto" w:sz="4" w:space="0"/>
              <w:right w:val="single" w:color="auto" w:sz="6" w:space="0"/>
            </w:tcBorders>
            <w:vAlign w:val="center"/>
          </w:tcPr>
          <w:p w14:paraId="7FAA1A3F">
            <w:pPr>
              <w:spacing w:line="420" w:lineRule="exact"/>
              <w:jc w:val="center"/>
              <w:rPr>
                <w:rFonts w:ascii="宋体" w:hAnsi="宋体"/>
                <w:color w:val="auto"/>
                <w:szCs w:val="21"/>
              </w:rPr>
            </w:pPr>
            <w:r>
              <w:rPr>
                <w:rFonts w:hint="eastAsia" w:ascii="宋体" w:hAnsi="宋体"/>
                <w:color w:val="auto"/>
                <w:szCs w:val="21"/>
              </w:rPr>
              <w:t>备  注</w:t>
            </w:r>
          </w:p>
        </w:tc>
        <w:tc>
          <w:tcPr>
            <w:tcW w:w="4081" w:type="pct"/>
            <w:gridSpan w:val="3"/>
            <w:tcBorders>
              <w:top w:val="single" w:color="auto" w:sz="6" w:space="0"/>
              <w:left w:val="single" w:color="auto" w:sz="6" w:space="0"/>
              <w:bottom w:val="double" w:color="auto" w:sz="4" w:space="0"/>
              <w:right w:val="double" w:color="auto" w:sz="4" w:space="0"/>
            </w:tcBorders>
            <w:vAlign w:val="center"/>
          </w:tcPr>
          <w:p w14:paraId="3763F7F9">
            <w:pPr>
              <w:spacing w:line="420" w:lineRule="exact"/>
              <w:rPr>
                <w:rFonts w:ascii="宋体" w:hAnsi="宋体"/>
                <w:color w:val="auto"/>
                <w:szCs w:val="21"/>
              </w:rPr>
            </w:pPr>
          </w:p>
        </w:tc>
      </w:tr>
    </w:tbl>
    <w:p w14:paraId="17D2A259">
      <w:pPr>
        <w:adjustRightInd w:val="0"/>
        <w:snapToGrid w:val="0"/>
        <w:spacing w:line="360" w:lineRule="auto"/>
        <w:ind w:left="-88" w:leftChars="-42"/>
        <w:rPr>
          <w:rFonts w:ascii="宋体" w:hAnsi="宋体"/>
          <w:color w:val="auto"/>
          <w:szCs w:val="21"/>
        </w:rPr>
      </w:pPr>
      <w:r>
        <w:rPr>
          <w:rFonts w:hint="eastAsia" w:ascii="宋体" w:hAnsi="宋体"/>
          <w:color w:val="auto"/>
          <w:szCs w:val="21"/>
        </w:rPr>
        <w:t>备注：</w:t>
      </w:r>
      <w:r>
        <w:rPr>
          <w:rFonts w:hint="eastAsia" w:asciiTheme="minorEastAsia" w:hAnsiTheme="minorEastAsia" w:eastAsiaTheme="minorEastAsia"/>
          <w:color w:val="auto"/>
          <w:szCs w:val="21"/>
        </w:rPr>
        <w:t>（1）</w:t>
      </w:r>
      <w:r>
        <w:rPr>
          <w:rFonts w:hint="eastAsia" w:asciiTheme="minorEastAsia" w:hAnsiTheme="minorEastAsia" w:eastAsiaTheme="minorEastAsia"/>
          <w:b/>
          <w:color w:val="auto"/>
          <w:szCs w:val="21"/>
        </w:rPr>
        <w:t>本表应对应</w:t>
      </w:r>
      <w:r>
        <w:rPr>
          <w:rFonts w:hint="eastAsia" w:ascii="宋体" w:hAnsi="宋体"/>
          <w:color w:val="auto"/>
          <w:szCs w:val="21"/>
        </w:rPr>
        <w:t>“</w:t>
      </w:r>
      <w:r>
        <w:rPr>
          <w:rFonts w:hint="eastAsia" w:asciiTheme="minorEastAsia" w:hAnsiTheme="minorEastAsia" w:eastAsiaTheme="minorEastAsia"/>
          <w:b/>
          <w:color w:val="auto"/>
          <w:szCs w:val="21"/>
        </w:rPr>
        <w:t>开标一览表</w:t>
      </w:r>
      <w:r>
        <w:rPr>
          <w:rFonts w:hint="eastAsia" w:ascii="宋体" w:hAnsi="宋体"/>
          <w:color w:val="auto"/>
          <w:szCs w:val="21"/>
        </w:rPr>
        <w:t>”</w:t>
      </w:r>
      <w:r>
        <w:rPr>
          <w:rFonts w:hint="eastAsia" w:asciiTheme="minorEastAsia" w:hAnsiTheme="minorEastAsia" w:eastAsiaTheme="minorEastAsia"/>
          <w:b/>
          <w:color w:val="auto"/>
          <w:szCs w:val="21"/>
        </w:rPr>
        <w:t>，按包填写</w:t>
      </w:r>
      <w:r>
        <w:rPr>
          <w:rFonts w:hint="eastAsia" w:asciiTheme="minorEastAsia" w:hAnsiTheme="minorEastAsia" w:eastAsiaTheme="minorEastAsia"/>
          <w:color w:val="auto"/>
          <w:szCs w:val="21"/>
        </w:rPr>
        <w:t>。</w:t>
      </w:r>
    </w:p>
    <w:p w14:paraId="363A248F">
      <w:pPr>
        <w:adjustRightInd w:val="0"/>
        <w:snapToGrid w:val="0"/>
        <w:spacing w:line="360" w:lineRule="auto"/>
        <w:rPr>
          <w:rFonts w:ascii="宋体" w:hAnsi="宋体"/>
          <w:color w:val="auto"/>
          <w:szCs w:val="21"/>
        </w:rPr>
      </w:pPr>
    </w:p>
    <w:p w14:paraId="3167245D">
      <w:pPr>
        <w:adjustRightInd w:val="0"/>
        <w:snapToGrid w:val="0"/>
        <w:spacing w:line="360" w:lineRule="auto"/>
        <w:rPr>
          <w:rFonts w:ascii="宋体" w:hAnsi="宋体"/>
          <w:color w:val="auto"/>
          <w:szCs w:val="21"/>
          <w:u w:val="single"/>
        </w:rPr>
      </w:pPr>
      <w:r>
        <w:rPr>
          <w:rFonts w:hint="eastAsia" w:ascii="宋体" w:hAnsi="宋体"/>
          <w:color w:val="auto"/>
          <w:szCs w:val="21"/>
        </w:rPr>
        <w:t>供应商（盖单位章）：</w:t>
      </w:r>
    </w:p>
    <w:p w14:paraId="4D5477B3">
      <w:pPr>
        <w:adjustRightInd w:val="0"/>
        <w:snapToGrid w:val="0"/>
        <w:spacing w:line="360" w:lineRule="auto"/>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p>
    <w:p w14:paraId="059A3CA3">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17F72EC">
      <w:pPr>
        <w:adjustRightInd w:val="0"/>
        <w:snapToGrid w:val="0"/>
        <w:rPr>
          <w:rFonts w:ascii="宋体" w:hAnsi="宋体"/>
          <w:color w:val="auto"/>
          <w:sz w:val="24"/>
        </w:rPr>
      </w:pPr>
    </w:p>
    <w:p w14:paraId="5AD8F545">
      <w:pPr>
        <w:adjustRightInd w:val="0"/>
        <w:snapToGrid w:val="0"/>
        <w:spacing w:line="360" w:lineRule="auto"/>
        <w:rPr>
          <w:rFonts w:ascii="宋体" w:hAnsi="宋体"/>
          <w:color w:val="auto"/>
          <w:szCs w:val="21"/>
        </w:rPr>
      </w:pPr>
    </w:p>
    <w:p w14:paraId="1B8F7604">
      <w:pPr>
        <w:adjustRightInd w:val="0"/>
        <w:snapToGrid w:val="0"/>
        <w:spacing w:line="360" w:lineRule="auto"/>
        <w:rPr>
          <w:rFonts w:ascii="宋体" w:hAnsi="宋体"/>
          <w:color w:val="auto"/>
          <w:szCs w:val="21"/>
        </w:rPr>
      </w:pPr>
    </w:p>
    <w:p w14:paraId="08BD607E">
      <w:pPr>
        <w:adjustRightInd w:val="0"/>
        <w:snapToGrid w:val="0"/>
        <w:spacing w:line="360" w:lineRule="auto"/>
        <w:rPr>
          <w:rFonts w:ascii="仿宋" w:hAnsi="仿宋" w:eastAsia="仿宋" w:cs="仿宋"/>
          <w:color w:val="auto"/>
          <w:szCs w:val="21"/>
        </w:rPr>
      </w:pPr>
    </w:p>
    <w:p w14:paraId="165F92E5">
      <w:pPr>
        <w:adjustRightInd w:val="0"/>
        <w:snapToGrid w:val="0"/>
        <w:spacing w:line="360" w:lineRule="auto"/>
        <w:ind w:firstLine="630" w:firstLineChars="300"/>
        <w:rPr>
          <w:rFonts w:ascii="仿宋" w:hAnsi="仿宋" w:eastAsia="仿宋" w:cs="仿宋"/>
          <w:color w:val="auto"/>
          <w:szCs w:val="21"/>
        </w:rPr>
      </w:pPr>
    </w:p>
    <w:p w14:paraId="3E496F7D">
      <w:pPr>
        <w:adjustRightInd w:val="0"/>
        <w:snapToGrid w:val="0"/>
        <w:spacing w:line="360" w:lineRule="auto"/>
        <w:rPr>
          <w:rFonts w:ascii="宋体" w:hAnsi="宋体"/>
          <w:color w:val="auto"/>
          <w:szCs w:val="21"/>
        </w:rPr>
      </w:pPr>
    </w:p>
    <w:p w14:paraId="53A7E1C3">
      <w:pPr>
        <w:adjustRightInd w:val="0"/>
        <w:snapToGrid w:val="0"/>
        <w:rPr>
          <w:rFonts w:ascii="宋体" w:hAnsi="宋体"/>
          <w:b/>
          <w:color w:val="auto"/>
          <w:sz w:val="24"/>
        </w:rPr>
      </w:pPr>
    </w:p>
    <w:p w14:paraId="2A169934">
      <w:pPr>
        <w:widowControl/>
        <w:jc w:val="left"/>
        <w:rPr>
          <w:rFonts w:ascii="宋体" w:hAnsi="宋体"/>
          <w:b/>
          <w:color w:val="auto"/>
        </w:rPr>
        <w:sectPr>
          <w:pgSz w:w="11906" w:h="16838"/>
          <w:pgMar w:top="1440" w:right="1286"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73F1EF76">
      <w:pPr>
        <w:adjustRightInd w:val="0"/>
        <w:snapToGrid w:val="0"/>
        <w:jc w:val="center"/>
        <w:rPr>
          <w:rFonts w:ascii="宋体" w:hAnsi="宋体"/>
          <w:b/>
          <w:color w:val="auto"/>
          <w:sz w:val="28"/>
          <w:szCs w:val="28"/>
        </w:rPr>
      </w:pPr>
      <w:bookmarkStart w:id="74" w:name="_Toc31668"/>
      <w:bookmarkStart w:id="75" w:name="_Toc12771"/>
      <w:bookmarkStart w:id="76" w:name="_Toc16579"/>
      <w:r>
        <w:rPr>
          <w:rFonts w:hint="eastAsia" w:ascii="宋体" w:hAnsi="宋体"/>
          <w:b/>
          <w:color w:val="auto"/>
          <w:sz w:val="28"/>
          <w:szCs w:val="28"/>
        </w:rPr>
        <w:t>分项价格表</w:t>
      </w:r>
      <w:bookmarkEnd w:id="74"/>
      <w:bookmarkEnd w:id="75"/>
      <w:bookmarkEnd w:id="76"/>
    </w:p>
    <w:p w14:paraId="3B6BA046">
      <w:pPr>
        <w:rPr>
          <w:color w:val="auto"/>
        </w:rPr>
      </w:pPr>
    </w:p>
    <w:p w14:paraId="39F36BD8">
      <w:pPr>
        <w:adjustRightInd w:val="0"/>
        <w:snapToGrid w:val="0"/>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采购项目名称：</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w:t>
      </w:r>
    </w:p>
    <w:p w14:paraId="7D861CC6">
      <w:pPr>
        <w:adjustRightInd w:val="0"/>
        <w:snapToGrid w:val="0"/>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lang w:eastAsia="zh-CN"/>
        </w:rPr>
        <w:t>政府采购编号</w:t>
      </w:r>
      <w:r>
        <w:rPr>
          <w:rFonts w:hint="eastAsia" w:asciiTheme="minorEastAsia" w:hAnsiTheme="minorEastAsia" w:eastAsiaTheme="minorEastAsia"/>
          <w:color w:val="auto"/>
          <w:szCs w:val="21"/>
        </w:rPr>
        <w:t>：</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包号：</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 xml:space="preserve">  </w:t>
      </w:r>
    </w:p>
    <w:tbl>
      <w:tblPr>
        <w:tblStyle w:val="51"/>
        <w:tblW w:w="4999" w:type="pct"/>
        <w:tblInd w:w="0" w:type="dxa"/>
        <w:tblLayout w:type="autofit"/>
        <w:tblCellMar>
          <w:top w:w="0" w:type="dxa"/>
          <w:left w:w="0" w:type="dxa"/>
          <w:bottom w:w="0" w:type="dxa"/>
          <w:right w:w="0" w:type="dxa"/>
        </w:tblCellMar>
      </w:tblPr>
      <w:tblGrid>
        <w:gridCol w:w="522"/>
        <w:gridCol w:w="2174"/>
        <w:gridCol w:w="3344"/>
        <w:gridCol w:w="1887"/>
        <w:gridCol w:w="1716"/>
        <w:gridCol w:w="1429"/>
        <w:gridCol w:w="1440"/>
        <w:gridCol w:w="1443"/>
      </w:tblGrid>
      <w:tr w14:paraId="0906BA8E">
        <w:tblPrEx>
          <w:tblCellMar>
            <w:top w:w="0" w:type="dxa"/>
            <w:left w:w="0" w:type="dxa"/>
            <w:bottom w:w="0" w:type="dxa"/>
            <w:right w:w="0" w:type="dxa"/>
          </w:tblCellMar>
        </w:tblPrEx>
        <w:trPr>
          <w:trHeight w:val="415" w:hRule="exact"/>
        </w:trPr>
        <w:tc>
          <w:tcPr>
            <w:tcW w:w="966" w:type="pct"/>
            <w:gridSpan w:val="2"/>
            <w:vMerge w:val="restart"/>
            <w:tcBorders>
              <w:top w:val="double" w:color="auto" w:sz="4" w:space="0"/>
              <w:left w:val="double" w:color="auto" w:sz="4" w:space="0"/>
              <w:right w:val="single" w:color="auto" w:sz="6" w:space="0"/>
            </w:tcBorders>
            <w:vAlign w:val="center"/>
          </w:tcPr>
          <w:p w14:paraId="25CC280B">
            <w:pPr>
              <w:autoSpaceDE w:val="0"/>
              <w:autoSpaceDN w:val="0"/>
              <w:adjustRightInd w:val="0"/>
              <w:snapToGrid w:val="0"/>
              <w:spacing w:line="360" w:lineRule="auto"/>
              <w:ind w:right="-20"/>
              <w:jc w:val="center"/>
              <w:rPr>
                <w:rFonts w:cs="微软雅黑" w:asciiTheme="minorEastAsia" w:hAnsiTheme="minorEastAsia" w:eastAsiaTheme="minorEastAsia"/>
                <w:color w:val="auto"/>
                <w:kern w:val="0"/>
                <w:position w:val="-1"/>
                <w:szCs w:val="21"/>
              </w:rPr>
            </w:pPr>
            <w:r>
              <w:rPr>
                <w:rFonts w:hint="eastAsia" w:cs="微软雅黑" w:asciiTheme="minorEastAsia" w:hAnsiTheme="minorEastAsia" w:eastAsiaTheme="minorEastAsia"/>
                <w:color w:val="auto"/>
                <w:kern w:val="0"/>
                <w:position w:val="-1"/>
                <w:szCs w:val="21"/>
              </w:rPr>
              <w:t>分项项目名称</w:t>
            </w:r>
          </w:p>
        </w:tc>
        <w:tc>
          <w:tcPr>
            <w:tcW w:w="1198" w:type="pct"/>
            <w:vMerge w:val="restart"/>
            <w:tcBorders>
              <w:top w:val="double" w:color="auto" w:sz="4" w:space="0"/>
              <w:left w:val="single" w:color="auto" w:sz="6" w:space="0"/>
              <w:bottom w:val="single" w:color="auto" w:sz="6" w:space="0"/>
              <w:right w:val="single" w:color="auto" w:sz="4" w:space="0"/>
            </w:tcBorders>
            <w:vAlign w:val="center"/>
          </w:tcPr>
          <w:p w14:paraId="1B697199">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规格型号</w:t>
            </w:r>
          </w:p>
          <w:p w14:paraId="046942EE">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（或项目特征描述</w:t>
            </w:r>
            <w:r>
              <w:rPr>
                <w:rFonts w:ascii="宋体" w:hAnsi="宋体"/>
                <w:color w:val="auto"/>
                <w:szCs w:val="21"/>
              </w:rPr>
              <w:t>）</w:t>
            </w:r>
          </w:p>
        </w:tc>
        <w:tc>
          <w:tcPr>
            <w:tcW w:w="676" w:type="pct"/>
            <w:vMerge w:val="restart"/>
            <w:tcBorders>
              <w:top w:val="double" w:color="auto" w:sz="4" w:space="0"/>
              <w:left w:val="single" w:color="auto" w:sz="4" w:space="0"/>
              <w:bottom w:val="single" w:color="auto" w:sz="6" w:space="0"/>
              <w:right w:val="single" w:color="auto" w:sz="6" w:space="0"/>
            </w:tcBorders>
            <w:vAlign w:val="center"/>
          </w:tcPr>
          <w:p w14:paraId="1B4A72D8">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品牌/产地</w:t>
            </w:r>
          </w:p>
        </w:tc>
        <w:tc>
          <w:tcPr>
            <w:tcW w:w="615" w:type="pct"/>
            <w:vMerge w:val="restart"/>
            <w:tcBorders>
              <w:top w:val="double" w:color="auto" w:sz="4" w:space="0"/>
              <w:left w:val="single" w:color="auto" w:sz="6" w:space="0"/>
              <w:right w:val="single" w:color="auto" w:sz="4" w:space="0"/>
            </w:tcBorders>
            <w:vAlign w:val="center"/>
          </w:tcPr>
          <w:p w14:paraId="04E3819D">
            <w:pPr>
              <w:autoSpaceDE w:val="0"/>
              <w:autoSpaceDN w:val="0"/>
              <w:adjustRightInd w:val="0"/>
              <w:snapToGrid w:val="0"/>
              <w:spacing w:line="360" w:lineRule="auto"/>
              <w:ind w:right="-20"/>
              <w:jc w:val="center"/>
              <w:rPr>
                <w:rFonts w:cs="微软雅黑" w:asciiTheme="minorEastAsia" w:hAnsiTheme="minorEastAsia" w:eastAsiaTheme="minorEastAsia"/>
                <w:color w:val="auto"/>
                <w:kern w:val="0"/>
                <w:position w:val="-1"/>
                <w:szCs w:val="21"/>
              </w:rPr>
            </w:pPr>
            <w:r>
              <w:rPr>
                <w:rFonts w:hint="eastAsia" w:asciiTheme="minorEastAsia" w:hAnsiTheme="minorEastAsia" w:eastAsiaTheme="minorEastAsia"/>
                <w:color w:val="auto"/>
                <w:kern w:val="0"/>
                <w:szCs w:val="21"/>
              </w:rPr>
              <w:t>数量/单位</w:t>
            </w:r>
          </w:p>
        </w:tc>
        <w:tc>
          <w:tcPr>
            <w:tcW w:w="1028" w:type="pct"/>
            <w:gridSpan w:val="2"/>
            <w:tcBorders>
              <w:top w:val="double" w:color="auto" w:sz="4" w:space="0"/>
              <w:left w:val="single" w:color="auto" w:sz="4" w:space="0"/>
              <w:bottom w:val="single" w:color="auto" w:sz="6" w:space="0"/>
              <w:right w:val="single" w:color="auto" w:sz="6" w:space="0"/>
            </w:tcBorders>
            <w:vAlign w:val="center"/>
          </w:tcPr>
          <w:p w14:paraId="4B6EB625">
            <w:pPr>
              <w:autoSpaceDE w:val="0"/>
              <w:autoSpaceDN w:val="0"/>
              <w:adjustRightInd w:val="0"/>
              <w:snapToGrid w:val="0"/>
              <w:spacing w:line="360" w:lineRule="auto"/>
              <w:ind w:right="-20"/>
              <w:jc w:val="center"/>
              <w:rPr>
                <w:rFonts w:cs="微软雅黑" w:asciiTheme="minorEastAsia" w:hAnsiTheme="minorEastAsia" w:eastAsiaTheme="minorEastAsia"/>
                <w:color w:val="auto"/>
                <w:kern w:val="0"/>
                <w:position w:val="-1"/>
                <w:szCs w:val="21"/>
              </w:rPr>
            </w:pPr>
            <w:r>
              <w:rPr>
                <w:rFonts w:hint="eastAsia" w:cs="微软雅黑" w:asciiTheme="minorEastAsia" w:hAnsiTheme="minorEastAsia" w:eastAsiaTheme="minorEastAsia"/>
                <w:color w:val="auto"/>
                <w:kern w:val="0"/>
                <w:position w:val="-1"/>
                <w:szCs w:val="21"/>
              </w:rPr>
              <w:t>金额（元）</w:t>
            </w:r>
          </w:p>
        </w:tc>
        <w:tc>
          <w:tcPr>
            <w:tcW w:w="514" w:type="pct"/>
            <w:vMerge w:val="restart"/>
            <w:tcBorders>
              <w:top w:val="double" w:color="auto" w:sz="4" w:space="0"/>
              <w:left w:val="single" w:color="auto" w:sz="6" w:space="0"/>
              <w:bottom w:val="single" w:color="auto" w:sz="6" w:space="0"/>
              <w:right w:val="double" w:color="auto" w:sz="4" w:space="0"/>
            </w:tcBorders>
            <w:vAlign w:val="center"/>
          </w:tcPr>
          <w:p w14:paraId="0E0C2F6A">
            <w:pPr>
              <w:autoSpaceDE w:val="0"/>
              <w:autoSpaceDN w:val="0"/>
              <w:adjustRightInd w:val="0"/>
              <w:snapToGrid w:val="0"/>
              <w:spacing w:line="360" w:lineRule="auto"/>
              <w:ind w:right="-20"/>
              <w:jc w:val="center"/>
              <w:rPr>
                <w:rFonts w:cs="微软雅黑" w:asciiTheme="minorEastAsia" w:hAnsiTheme="minorEastAsia" w:eastAsiaTheme="minorEastAsia"/>
                <w:color w:val="auto"/>
                <w:kern w:val="0"/>
                <w:position w:val="-1"/>
                <w:szCs w:val="21"/>
              </w:rPr>
            </w:pPr>
            <w:r>
              <w:rPr>
                <w:rFonts w:hint="eastAsia" w:cs="微软雅黑" w:asciiTheme="minorEastAsia" w:hAnsiTheme="minorEastAsia" w:eastAsiaTheme="minorEastAsia"/>
                <w:color w:val="auto"/>
                <w:kern w:val="0"/>
                <w:position w:val="-1"/>
                <w:szCs w:val="21"/>
              </w:rPr>
              <w:t>备注</w:t>
            </w:r>
          </w:p>
        </w:tc>
      </w:tr>
      <w:tr w14:paraId="38E308EA">
        <w:tblPrEx>
          <w:tblCellMar>
            <w:top w:w="0" w:type="dxa"/>
            <w:left w:w="0" w:type="dxa"/>
            <w:bottom w:w="0" w:type="dxa"/>
            <w:right w:w="0" w:type="dxa"/>
          </w:tblCellMar>
        </w:tblPrEx>
        <w:trPr>
          <w:trHeight w:val="415" w:hRule="exact"/>
        </w:trPr>
        <w:tc>
          <w:tcPr>
            <w:tcW w:w="966" w:type="pct"/>
            <w:gridSpan w:val="2"/>
            <w:vMerge w:val="continue"/>
            <w:tcBorders>
              <w:left w:val="double" w:color="auto" w:sz="4" w:space="0"/>
              <w:bottom w:val="single" w:color="auto" w:sz="6" w:space="0"/>
              <w:right w:val="single" w:color="auto" w:sz="6" w:space="0"/>
            </w:tcBorders>
          </w:tcPr>
          <w:p w14:paraId="553370CA">
            <w:pPr>
              <w:autoSpaceDE w:val="0"/>
              <w:autoSpaceDN w:val="0"/>
              <w:adjustRightInd w:val="0"/>
              <w:snapToGrid w:val="0"/>
              <w:spacing w:line="360" w:lineRule="auto"/>
              <w:ind w:left="352" w:right="-20"/>
              <w:jc w:val="left"/>
              <w:rPr>
                <w:rFonts w:asciiTheme="minorEastAsia" w:hAnsiTheme="minorEastAsia" w:eastAsiaTheme="minorEastAsia"/>
                <w:color w:val="auto"/>
                <w:kern w:val="0"/>
                <w:szCs w:val="21"/>
              </w:rPr>
            </w:pPr>
          </w:p>
        </w:tc>
        <w:tc>
          <w:tcPr>
            <w:tcW w:w="1198" w:type="pct"/>
            <w:vMerge w:val="continue"/>
            <w:tcBorders>
              <w:top w:val="single" w:color="auto" w:sz="6" w:space="0"/>
              <w:left w:val="single" w:color="auto" w:sz="6" w:space="0"/>
              <w:bottom w:val="single" w:color="auto" w:sz="6" w:space="0"/>
              <w:right w:val="single" w:color="auto" w:sz="4" w:space="0"/>
            </w:tcBorders>
            <w:vAlign w:val="center"/>
          </w:tcPr>
          <w:p w14:paraId="0080E45F">
            <w:pPr>
              <w:autoSpaceDE w:val="0"/>
              <w:autoSpaceDN w:val="0"/>
              <w:adjustRightInd w:val="0"/>
              <w:snapToGrid w:val="0"/>
              <w:spacing w:line="360" w:lineRule="auto"/>
              <w:ind w:right="-20"/>
              <w:jc w:val="center"/>
              <w:rPr>
                <w:rFonts w:asciiTheme="minorEastAsia" w:hAnsiTheme="minorEastAsia" w:eastAsiaTheme="minorEastAsia"/>
                <w:color w:val="auto"/>
                <w:kern w:val="0"/>
                <w:szCs w:val="21"/>
              </w:rPr>
            </w:pPr>
          </w:p>
        </w:tc>
        <w:tc>
          <w:tcPr>
            <w:tcW w:w="676" w:type="pct"/>
            <w:vMerge w:val="continue"/>
            <w:tcBorders>
              <w:top w:val="single" w:color="auto" w:sz="6" w:space="0"/>
              <w:left w:val="single" w:color="auto" w:sz="4" w:space="0"/>
              <w:bottom w:val="single" w:color="auto" w:sz="6" w:space="0"/>
              <w:right w:val="single" w:color="auto" w:sz="6" w:space="0"/>
            </w:tcBorders>
            <w:vAlign w:val="center"/>
          </w:tcPr>
          <w:p w14:paraId="4E8AC1DD">
            <w:pPr>
              <w:autoSpaceDE w:val="0"/>
              <w:autoSpaceDN w:val="0"/>
              <w:adjustRightInd w:val="0"/>
              <w:snapToGrid w:val="0"/>
              <w:spacing w:line="360" w:lineRule="auto"/>
              <w:ind w:right="-20"/>
              <w:jc w:val="center"/>
              <w:rPr>
                <w:rFonts w:asciiTheme="minorEastAsia" w:hAnsiTheme="minorEastAsia" w:eastAsiaTheme="minorEastAsia"/>
                <w:color w:val="auto"/>
                <w:kern w:val="0"/>
                <w:szCs w:val="21"/>
              </w:rPr>
            </w:pPr>
          </w:p>
        </w:tc>
        <w:tc>
          <w:tcPr>
            <w:tcW w:w="615" w:type="pct"/>
            <w:vMerge w:val="continue"/>
            <w:tcBorders>
              <w:left w:val="single" w:color="auto" w:sz="6" w:space="0"/>
              <w:bottom w:val="single" w:color="auto" w:sz="6" w:space="0"/>
              <w:right w:val="single" w:color="auto" w:sz="4" w:space="0"/>
            </w:tcBorders>
            <w:vAlign w:val="center"/>
          </w:tcPr>
          <w:p w14:paraId="01564FE3">
            <w:pPr>
              <w:autoSpaceDE w:val="0"/>
              <w:autoSpaceDN w:val="0"/>
              <w:adjustRightInd w:val="0"/>
              <w:snapToGrid w:val="0"/>
              <w:spacing w:line="360" w:lineRule="auto"/>
              <w:ind w:right="-20"/>
              <w:jc w:val="center"/>
              <w:rPr>
                <w:rFonts w:asciiTheme="minorEastAsia" w:hAnsiTheme="minorEastAsia" w:eastAsiaTheme="minorEastAsia"/>
                <w:color w:val="auto"/>
                <w:kern w:val="0"/>
                <w:szCs w:val="21"/>
              </w:rPr>
            </w:pPr>
          </w:p>
        </w:tc>
        <w:tc>
          <w:tcPr>
            <w:tcW w:w="512" w:type="pct"/>
            <w:tcBorders>
              <w:top w:val="single" w:color="auto" w:sz="6" w:space="0"/>
              <w:left w:val="single" w:color="auto" w:sz="4" w:space="0"/>
              <w:bottom w:val="single" w:color="auto" w:sz="6" w:space="0"/>
              <w:right w:val="single" w:color="auto" w:sz="4" w:space="0"/>
            </w:tcBorders>
            <w:vAlign w:val="center"/>
          </w:tcPr>
          <w:p w14:paraId="50052304">
            <w:pPr>
              <w:autoSpaceDE w:val="0"/>
              <w:autoSpaceDN w:val="0"/>
              <w:adjustRightInd w:val="0"/>
              <w:snapToGrid w:val="0"/>
              <w:spacing w:line="360" w:lineRule="auto"/>
              <w:ind w:right="-20"/>
              <w:jc w:val="center"/>
              <w:rPr>
                <w:rFonts w:asciiTheme="minorEastAsia" w:hAnsiTheme="minorEastAsia" w:eastAsiaTheme="minorEastAsia"/>
                <w:color w:val="auto"/>
                <w:kern w:val="0"/>
                <w:szCs w:val="21"/>
              </w:rPr>
            </w:pPr>
            <w:r>
              <w:rPr>
                <w:rFonts w:hint="eastAsia" w:cs="微软雅黑" w:asciiTheme="minorEastAsia" w:hAnsiTheme="minorEastAsia" w:eastAsiaTheme="minorEastAsia"/>
                <w:color w:val="auto"/>
                <w:kern w:val="0"/>
                <w:position w:val="-1"/>
                <w:szCs w:val="21"/>
              </w:rPr>
              <w:t>单价</w:t>
            </w:r>
          </w:p>
        </w:tc>
        <w:tc>
          <w:tcPr>
            <w:tcW w:w="516" w:type="pct"/>
            <w:tcBorders>
              <w:top w:val="single" w:color="auto" w:sz="6" w:space="0"/>
              <w:left w:val="single" w:color="auto" w:sz="4" w:space="0"/>
              <w:bottom w:val="single" w:color="auto" w:sz="6" w:space="0"/>
              <w:right w:val="single" w:color="auto" w:sz="6" w:space="0"/>
            </w:tcBorders>
            <w:vAlign w:val="center"/>
          </w:tcPr>
          <w:p w14:paraId="190E3E71">
            <w:pPr>
              <w:autoSpaceDE w:val="0"/>
              <w:autoSpaceDN w:val="0"/>
              <w:adjustRightInd w:val="0"/>
              <w:snapToGrid w:val="0"/>
              <w:spacing w:line="360" w:lineRule="auto"/>
              <w:ind w:left="70" w:right="-20"/>
              <w:jc w:val="center"/>
              <w:rPr>
                <w:rFonts w:asciiTheme="minorEastAsia" w:hAnsiTheme="minorEastAsia" w:eastAsiaTheme="minorEastAsia"/>
                <w:color w:val="auto"/>
                <w:kern w:val="0"/>
                <w:szCs w:val="21"/>
              </w:rPr>
            </w:pPr>
            <w:r>
              <w:rPr>
                <w:rFonts w:hint="eastAsia" w:asciiTheme="minorEastAsia" w:hAnsiTheme="minorEastAsia" w:eastAsiaTheme="minorEastAsia"/>
                <w:color w:val="auto"/>
                <w:kern w:val="0"/>
                <w:szCs w:val="21"/>
              </w:rPr>
              <w:t>小计</w:t>
            </w:r>
          </w:p>
        </w:tc>
        <w:tc>
          <w:tcPr>
            <w:tcW w:w="514" w:type="pct"/>
            <w:vMerge w:val="continue"/>
            <w:tcBorders>
              <w:top w:val="single" w:color="auto" w:sz="6" w:space="0"/>
              <w:left w:val="single" w:color="auto" w:sz="6" w:space="0"/>
              <w:bottom w:val="single" w:color="auto" w:sz="6" w:space="0"/>
              <w:right w:val="double" w:color="auto" w:sz="4" w:space="0"/>
            </w:tcBorders>
          </w:tcPr>
          <w:p w14:paraId="48015CD9">
            <w:pPr>
              <w:autoSpaceDE w:val="0"/>
              <w:autoSpaceDN w:val="0"/>
              <w:adjustRightInd w:val="0"/>
              <w:snapToGrid w:val="0"/>
              <w:spacing w:line="360" w:lineRule="auto"/>
              <w:ind w:left="422" w:right="-20"/>
              <w:jc w:val="left"/>
              <w:rPr>
                <w:rFonts w:asciiTheme="minorEastAsia" w:hAnsiTheme="minorEastAsia" w:eastAsiaTheme="minorEastAsia"/>
                <w:color w:val="auto"/>
                <w:kern w:val="0"/>
                <w:szCs w:val="21"/>
              </w:rPr>
            </w:pPr>
          </w:p>
        </w:tc>
      </w:tr>
      <w:tr w14:paraId="3021B911">
        <w:tblPrEx>
          <w:tblCellMar>
            <w:top w:w="0" w:type="dxa"/>
            <w:left w:w="0" w:type="dxa"/>
            <w:bottom w:w="0" w:type="dxa"/>
            <w:right w:w="0" w:type="dxa"/>
          </w:tblCellMar>
        </w:tblPrEx>
        <w:trPr>
          <w:trHeight w:val="378" w:hRule="exact"/>
        </w:trPr>
        <w:tc>
          <w:tcPr>
            <w:tcW w:w="187" w:type="pct"/>
            <w:tcBorders>
              <w:top w:val="single" w:color="auto" w:sz="6" w:space="0"/>
              <w:left w:val="double" w:color="auto" w:sz="4" w:space="0"/>
              <w:bottom w:val="single" w:color="auto" w:sz="6" w:space="0"/>
              <w:right w:val="single" w:color="auto" w:sz="6" w:space="0"/>
            </w:tcBorders>
            <w:vAlign w:val="center"/>
          </w:tcPr>
          <w:p w14:paraId="60DA7ABA">
            <w:pPr>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w:t>
            </w:r>
          </w:p>
        </w:tc>
        <w:tc>
          <w:tcPr>
            <w:tcW w:w="779" w:type="pct"/>
            <w:tcBorders>
              <w:top w:val="single" w:color="auto" w:sz="6" w:space="0"/>
              <w:left w:val="single" w:color="auto" w:sz="6" w:space="0"/>
              <w:bottom w:val="single" w:color="auto" w:sz="6" w:space="0"/>
              <w:right w:val="single" w:color="auto" w:sz="6" w:space="0"/>
            </w:tcBorders>
            <w:vAlign w:val="center"/>
          </w:tcPr>
          <w:p w14:paraId="29307BA7">
            <w:pPr>
              <w:autoSpaceDE w:val="0"/>
              <w:autoSpaceDN w:val="0"/>
              <w:adjustRightInd w:val="0"/>
              <w:snapToGrid w:val="0"/>
              <w:spacing w:line="360" w:lineRule="auto"/>
              <w:jc w:val="center"/>
              <w:rPr>
                <w:rFonts w:asciiTheme="minorEastAsia" w:hAnsiTheme="minorEastAsia" w:eastAsiaTheme="minorEastAsia"/>
                <w:color w:val="auto"/>
                <w:kern w:val="0"/>
                <w:szCs w:val="21"/>
              </w:rPr>
            </w:pPr>
          </w:p>
        </w:tc>
        <w:tc>
          <w:tcPr>
            <w:tcW w:w="1198" w:type="pct"/>
            <w:tcBorders>
              <w:top w:val="single" w:color="auto" w:sz="6" w:space="0"/>
              <w:left w:val="single" w:color="auto" w:sz="6" w:space="0"/>
              <w:bottom w:val="single" w:color="auto" w:sz="6" w:space="0"/>
              <w:right w:val="single" w:color="auto" w:sz="4" w:space="0"/>
            </w:tcBorders>
          </w:tcPr>
          <w:p w14:paraId="297167A4">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76" w:type="pct"/>
            <w:tcBorders>
              <w:top w:val="single" w:color="auto" w:sz="6" w:space="0"/>
              <w:left w:val="single" w:color="auto" w:sz="4" w:space="0"/>
              <w:bottom w:val="single" w:color="auto" w:sz="6" w:space="0"/>
              <w:right w:val="single" w:color="auto" w:sz="6" w:space="0"/>
            </w:tcBorders>
          </w:tcPr>
          <w:p w14:paraId="7087797E">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15" w:type="pct"/>
            <w:tcBorders>
              <w:top w:val="single" w:color="auto" w:sz="6" w:space="0"/>
              <w:left w:val="single" w:color="auto" w:sz="6" w:space="0"/>
              <w:bottom w:val="single" w:color="auto" w:sz="6" w:space="0"/>
              <w:right w:val="single" w:color="auto" w:sz="4" w:space="0"/>
            </w:tcBorders>
          </w:tcPr>
          <w:p w14:paraId="547BC800">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2" w:type="pct"/>
            <w:tcBorders>
              <w:top w:val="single" w:color="auto" w:sz="6" w:space="0"/>
              <w:left w:val="single" w:color="auto" w:sz="6" w:space="0"/>
              <w:bottom w:val="single" w:color="auto" w:sz="6" w:space="0"/>
              <w:right w:val="single" w:color="auto" w:sz="6" w:space="0"/>
            </w:tcBorders>
          </w:tcPr>
          <w:p w14:paraId="6E1B077B">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6" w:type="pct"/>
            <w:tcBorders>
              <w:top w:val="single" w:color="auto" w:sz="6" w:space="0"/>
              <w:left w:val="single" w:color="auto" w:sz="6" w:space="0"/>
              <w:bottom w:val="single" w:color="auto" w:sz="6" w:space="0"/>
              <w:right w:val="single" w:color="auto" w:sz="6" w:space="0"/>
            </w:tcBorders>
          </w:tcPr>
          <w:p w14:paraId="613E47ED">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4" w:type="pct"/>
            <w:tcBorders>
              <w:top w:val="single" w:color="auto" w:sz="6" w:space="0"/>
              <w:left w:val="single" w:color="auto" w:sz="6" w:space="0"/>
              <w:bottom w:val="single" w:color="auto" w:sz="6" w:space="0"/>
              <w:right w:val="double" w:color="auto" w:sz="4" w:space="0"/>
            </w:tcBorders>
          </w:tcPr>
          <w:p w14:paraId="587F1175">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7199684E">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vAlign w:val="center"/>
          </w:tcPr>
          <w:p w14:paraId="0043C18C">
            <w:pPr>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w:t>
            </w:r>
          </w:p>
        </w:tc>
        <w:tc>
          <w:tcPr>
            <w:tcW w:w="779" w:type="pct"/>
            <w:tcBorders>
              <w:top w:val="single" w:color="auto" w:sz="6" w:space="0"/>
              <w:left w:val="single" w:color="auto" w:sz="6" w:space="0"/>
              <w:bottom w:val="single" w:color="auto" w:sz="6" w:space="0"/>
              <w:right w:val="single" w:color="auto" w:sz="6" w:space="0"/>
            </w:tcBorders>
            <w:vAlign w:val="center"/>
          </w:tcPr>
          <w:p w14:paraId="46363522">
            <w:pPr>
              <w:autoSpaceDE w:val="0"/>
              <w:autoSpaceDN w:val="0"/>
              <w:adjustRightInd w:val="0"/>
              <w:snapToGrid w:val="0"/>
              <w:spacing w:line="360" w:lineRule="auto"/>
              <w:jc w:val="center"/>
              <w:rPr>
                <w:rFonts w:asciiTheme="minorEastAsia" w:hAnsiTheme="minorEastAsia" w:eastAsiaTheme="minorEastAsia"/>
                <w:color w:val="auto"/>
                <w:kern w:val="0"/>
                <w:szCs w:val="21"/>
              </w:rPr>
            </w:pPr>
          </w:p>
        </w:tc>
        <w:tc>
          <w:tcPr>
            <w:tcW w:w="1198" w:type="pct"/>
            <w:tcBorders>
              <w:top w:val="single" w:color="auto" w:sz="6" w:space="0"/>
              <w:left w:val="single" w:color="auto" w:sz="6" w:space="0"/>
              <w:bottom w:val="single" w:color="auto" w:sz="6" w:space="0"/>
              <w:right w:val="single" w:color="auto" w:sz="4" w:space="0"/>
            </w:tcBorders>
          </w:tcPr>
          <w:p w14:paraId="5178736E">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76" w:type="pct"/>
            <w:tcBorders>
              <w:top w:val="single" w:color="auto" w:sz="6" w:space="0"/>
              <w:left w:val="single" w:color="auto" w:sz="4" w:space="0"/>
              <w:bottom w:val="single" w:color="auto" w:sz="6" w:space="0"/>
              <w:right w:val="single" w:color="auto" w:sz="6" w:space="0"/>
            </w:tcBorders>
          </w:tcPr>
          <w:p w14:paraId="495016DC">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15" w:type="pct"/>
            <w:tcBorders>
              <w:top w:val="single" w:color="auto" w:sz="6" w:space="0"/>
              <w:left w:val="single" w:color="auto" w:sz="6" w:space="0"/>
              <w:bottom w:val="single" w:color="auto" w:sz="6" w:space="0"/>
              <w:right w:val="single" w:color="auto" w:sz="4" w:space="0"/>
            </w:tcBorders>
          </w:tcPr>
          <w:p w14:paraId="0E745D88">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2" w:type="pct"/>
            <w:tcBorders>
              <w:top w:val="single" w:color="auto" w:sz="6" w:space="0"/>
              <w:left w:val="single" w:color="auto" w:sz="6" w:space="0"/>
              <w:bottom w:val="single" w:color="auto" w:sz="6" w:space="0"/>
              <w:right w:val="single" w:color="auto" w:sz="6" w:space="0"/>
            </w:tcBorders>
          </w:tcPr>
          <w:p w14:paraId="7C2CAB83">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6" w:type="pct"/>
            <w:tcBorders>
              <w:top w:val="single" w:color="auto" w:sz="6" w:space="0"/>
              <w:left w:val="single" w:color="auto" w:sz="6" w:space="0"/>
              <w:bottom w:val="single" w:color="auto" w:sz="6" w:space="0"/>
              <w:right w:val="single" w:color="auto" w:sz="6" w:space="0"/>
            </w:tcBorders>
          </w:tcPr>
          <w:p w14:paraId="3DA6B049">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4" w:type="pct"/>
            <w:tcBorders>
              <w:top w:val="single" w:color="auto" w:sz="6" w:space="0"/>
              <w:left w:val="single" w:color="auto" w:sz="6" w:space="0"/>
              <w:bottom w:val="single" w:color="auto" w:sz="6" w:space="0"/>
              <w:right w:val="double" w:color="auto" w:sz="4" w:space="0"/>
            </w:tcBorders>
          </w:tcPr>
          <w:p w14:paraId="437A5DD9">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475B9178">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vAlign w:val="center"/>
          </w:tcPr>
          <w:p w14:paraId="114A0FD6">
            <w:pPr>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w:t>
            </w:r>
          </w:p>
        </w:tc>
        <w:tc>
          <w:tcPr>
            <w:tcW w:w="779" w:type="pct"/>
            <w:tcBorders>
              <w:top w:val="single" w:color="auto" w:sz="6" w:space="0"/>
              <w:left w:val="single" w:color="auto" w:sz="6" w:space="0"/>
              <w:bottom w:val="single" w:color="auto" w:sz="6" w:space="0"/>
              <w:right w:val="single" w:color="auto" w:sz="6" w:space="0"/>
            </w:tcBorders>
            <w:vAlign w:val="center"/>
          </w:tcPr>
          <w:p w14:paraId="526A5343">
            <w:pPr>
              <w:autoSpaceDE w:val="0"/>
              <w:autoSpaceDN w:val="0"/>
              <w:adjustRightInd w:val="0"/>
              <w:snapToGrid w:val="0"/>
              <w:spacing w:line="360" w:lineRule="auto"/>
              <w:jc w:val="center"/>
              <w:rPr>
                <w:rFonts w:asciiTheme="minorEastAsia" w:hAnsiTheme="minorEastAsia" w:eastAsiaTheme="minorEastAsia"/>
                <w:color w:val="auto"/>
                <w:kern w:val="0"/>
                <w:szCs w:val="21"/>
              </w:rPr>
            </w:pPr>
          </w:p>
        </w:tc>
        <w:tc>
          <w:tcPr>
            <w:tcW w:w="1198" w:type="pct"/>
            <w:tcBorders>
              <w:top w:val="single" w:color="auto" w:sz="6" w:space="0"/>
              <w:left w:val="single" w:color="auto" w:sz="6" w:space="0"/>
              <w:bottom w:val="single" w:color="auto" w:sz="6" w:space="0"/>
              <w:right w:val="single" w:color="auto" w:sz="4" w:space="0"/>
            </w:tcBorders>
          </w:tcPr>
          <w:p w14:paraId="37A6644C">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76" w:type="pct"/>
            <w:tcBorders>
              <w:top w:val="single" w:color="auto" w:sz="6" w:space="0"/>
              <w:left w:val="single" w:color="auto" w:sz="4" w:space="0"/>
              <w:bottom w:val="single" w:color="auto" w:sz="6" w:space="0"/>
              <w:right w:val="single" w:color="auto" w:sz="6" w:space="0"/>
            </w:tcBorders>
          </w:tcPr>
          <w:p w14:paraId="2BF32A36">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15" w:type="pct"/>
            <w:tcBorders>
              <w:top w:val="single" w:color="auto" w:sz="6" w:space="0"/>
              <w:left w:val="single" w:color="auto" w:sz="6" w:space="0"/>
              <w:bottom w:val="single" w:color="auto" w:sz="6" w:space="0"/>
              <w:right w:val="single" w:color="auto" w:sz="4" w:space="0"/>
            </w:tcBorders>
          </w:tcPr>
          <w:p w14:paraId="59705B9F">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2" w:type="pct"/>
            <w:tcBorders>
              <w:top w:val="single" w:color="auto" w:sz="6" w:space="0"/>
              <w:left w:val="single" w:color="auto" w:sz="6" w:space="0"/>
              <w:bottom w:val="single" w:color="auto" w:sz="6" w:space="0"/>
              <w:right w:val="single" w:color="auto" w:sz="6" w:space="0"/>
            </w:tcBorders>
          </w:tcPr>
          <w:p w14:paraId="055BB9A1">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6" w:type="pct"/>
            <w:tcBorders>
              <w:top w:val="single" w:color="auto" w:sz="6" w:space="0"/>
              <w:left w:val="single" w:color="auto" w:sz="6" w:space="0"/>
              <w:bottom w:val="single" w:color="auto" w:sz="6" w:space="0"/>
              <w:right w:val="single" w:color="auto" w:sz="6" w:space="0"/>
            </w:tcBorders>
          </w:tcPr>
          <w:p w14:paraId="65E6635F">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4" w:type="pct"/>
            <w:tcBorders>
              <w:top w:val="single" w:color="auto" w:sz="6" w:space="0"/>
              <w:left w:val="single" w:color="auto" w:sz="6" w:space="0"/>
              <w:bottom w:val="single" w:color="auto" w:sz="6" w:space="0"/>
              <w:right w:val="double" w:color="auto" w:sz="4" w:space="0"/>
            </w:tcBorders>
          </w:tcPr>
          <w:p w14:paraId="672A7A12">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2FB4959F">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vAlign w:val="center"/>
          </w:tcPr>
          <w:p w14:paraId="63DDA693">
            <w:pPr>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w:t>
            </w:r>
          </w:p>
        </w:tc>
        <w:tc>
          <w:tcPr>
            <w:tcW w:w="779" w:type="pct"/>
            <w:tcBorders>
              <w:top w:val="single" w:color="auto" w:sz="6" w:space="0"/>
              <w:left w:val="single" w:color="auto" w:sz="6" w:space="0"/>
              <w:bottom w:val="single" w:color="auto" w:sz="6" w:space="0"/>
              <w:right w:val="single" w:color="auto" w:sz="6" w:space="0"/>
            </w:tcBorders>
            <w:vAlign w:val="center"/>
          </w:tcPr>
          <w:p w14:paraId="308B0398">
            <w:pPr>
              <w:autoSpaceDE w:val="0"/>
              <w:autoSpaceDN w:val="0"/>
              <w:adjustRightInd w:val="0"/>
              <w:snapToGrid w:val="0"/>
              <w:spacing w:line="360" w:lineRule="auto"/>
              <w:jc w:val="center"/>
              <w:rPr>
                <w:rFonts w:asciiTheme="minorEastAsia" w:hAnsiTheme="minorEastAsia" w:eastAsiaTheme="minorEastAsia"/>
                <w:color w:val="auto"/>
                <w:kern w:val="0"/>
                <w:szCs w:val="21"/>
              </w:rPr>
            </w:pPr>
          </w:p>
        </w:tc>
        <w:tc>
          <w:tcPr>
            <w:tcW w:w="1198" w:type="pct"/>
            <w:tcBorders>
              <w:top w:val="single" w:color="auto" w:sz="6" w:space="0"/>
              <w:left w:val="single" w:color="auto" w:sz="6" w:space="0"/>
              <w:bottom w:val="single" w:color="auto" w:sz="6" w:space="0"/>
              <w:right w:val="single" w:color="auto" w:sz="4" w:space="0"/>
            </w:tcBorders>
          </w:tcPr>
          <w:p w14:paraId="0C2B9896">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76" w:type="pct"/>
            <w:tcBorders>
              <w:top w:val="single" w:color="auto" w:sz="6" w:space="0"/>
              <w:left w:val="single" w:color="auto" w:sz="4" w:space="0"/>
              <w:bottom w:val="single" w:color="auto" w:sz="6" w:space="0"/>
              <w:right w:val="single" w:color="auto" w:sz="6" w:space="0"/>
            </w:tcBorders>
          </w:tcPr>
          <w:p w14:paraId="1C08B85C">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15" w:type="pct"/>
            <w:tcBorders>
              <w:top w:val="single" w:color="auto" w:sz="6" w:space="0"/>
              <w:left w:val="single" w:color="auto" w:sz="6" w:space="0"/>
              <w:bottom w:val="single" w:color="auto" w:sz="6" w:space="0"/>
              <w:right w:val="single" w:color="auto" w:sz="4" w:space="0"/>
            </w:tcBorders>
          </w:tcPr>
          <w:p w14:paraId="103D6DE4">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2" w:type="pct"/>
            <w:tcBorders>
              <w:top w:val="single" w:color="auto" w:sz="6" w:space="0"/>
              <w:left w:val="single" w:color="auto" w:sz="4" w:space="0"/>
              <w:bottom w:val="single" w:color="auto" w:sz="6" w:space="0"/>
              <w:right w:val="single" w:color="auto" w:sz="6" w:space="0"/>
            </w:tcBorders>
          </w:tcPr>
          <w:p w14:paraId="34F588B9">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6" w:type="pct"/>
            <w:tcBorders>
              <w:top w:val="single" w:color="auto" w:sz="6" w:space="0"/>
              <w:left w:val="single" w:color="auto" w:sz="6" w:space="0"/>
              <w:bottom w:val="single" w:color="auto" w:sz="6" w:space="0"/>
              <w:right w:val="single" w:color="auto" w:sz="6" w:space="0"/>
            </w:tcBorders>
          </w:tcPr>
          <w:p w14:paraId="1B5905D2">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4" w:type="pct"/>
            <w:tcBorders>
              <w:top w:val="single" w:color="auto" w:sz="6" w:space="0"/>
              <w:left w:val="single" w:color="auto" w:sz="6" w:space="0"/>
              <w:bottom w:val="single" w:color="auto" w:sz="6" w:space="0"/>
              <w:right w:val="double" w:color="auto" w:sz="4" w:space="0"/>
            </w:tcBorders>
          </w:tcPr>
          <w:p w14:paraId="75DE9FCC">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25FD1A90">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vAlign w:val="center"/>
          </w:tcPr>
          <w:p w14:paraId="4ECAD3A3">
            <w:pPr>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5</w:t>
            </w:r>
          </w:p>
        </w:tc>
        <w:tc>
          <w:tcPr>
            <w:tcW w:w="779" w:type="pct"/>
            <w:tcBorders>
              <w:top w:val="single" w:color="auto" w:sz="6" w:space="0"/>
              <w:left w:val="single" w:color="auto" w:sz="6" w:space="0"/>
              <w:bottom w:val="single" w:color="auto" w:sz="6" w:space="0"/>
              <w:right w:val="single" w:color="auto" w:sz="6" w:space="0"/>
            </w:tcBorders>
            <w:vAlign w:val="center"/>
          </w:tcPr>
          <w:p w14:paraId="0B6FF8B6">
            <w:pPr>
              <w:autoSpaceDE w:val="0"/>
              <w:autoSpaceDN w:val="0"/>
              <w:adjustRightInd w:val="0"/>
              <w:snapToGrid w:val="0"/>
              <w:spacing w:line="360" w:lineRule="auto"/>
              <w:jc w:val="center"/>
              <w:rPr>
                <w:rFonts w:asciiTheme="minorEastAsia" w:hAnsiTheme="minorEastAsia" w:eastAsiaTheme="minorEastAsia"/>
                <w:color w:val="auto"/>
                <w:kern w:val="0"/>
                <w:szCs w:val="21"/>
              </w:rPr>
            </w:pPr>
          </w:p>
        </w:tc>
        <w:tc>
          <w:tcPr>
            <w:tcW w:w="1198" w:type="pct"/>
            <w:tcBorders>
              <w:top w:val="single" w:color="auto" w:sz="6" w:space="0"/>
              <w:left w:val="single" w:color="auto" w:sz="6" w:space="0"/>
              <w:bottom w:val="single" w:color="auto" w:sz="6" w:space="0"/>
              <w:right w:val="single" w:color="auto" w:sz="4" w:space="0"/>
            </w:tcBorders>
          </w:tcPr>
          <w:p w14:paraId="753998E6">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76" w:type="pct"/>
            <w:tcBorders>
              <w:top w:val="single" w:color="auto" w:sz="6" w:space="0"/>
              <w:left w:val="single" w:color="auto" w:sz="4" w:space="0"/>
              <w:bottom w:val="single" w:color="auto" w:sz="6" w:space="0"/>
              <w:right w:val="single" w:color="auto" w:sz="6" w:space="0"/>
            </w:tcBorders>
          </w:tcPr>
          <w:p w14:paraId="3507F05F">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15" w:type="pct"/>
            <w:tcBorders>
              <w:top w:val="single" w:color="auto" w:sz="6" w:space="0"/>
              <w:left w:val="single" w:color="auto" w:sz="6" w:space="0"/>
              <w:bottom w:val="single" w:color="auto" w:sz="6" w:space="0"/>
              <w:right w:val="single" w:color="auto" w:sz="4" w:space="0"/>
            </w:tcBorders>
          </w:tcPr>
          <w:p w14:paraId="449E25A6">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2" w:type="pct"/>
            <w:tcBorders>
              <w:top w:val="single" w:color="auto" w:sz="6" w:space="0"/>
              <w:left w:val="single" w:color="auto" w:sz="4" w:space="0"/>
              <w:bottom w:val="single" w:color="auto" w:sz="6" w:space="0"/>
              <w:right w:val="single" w:color="auto" w:sz="6" w:space="0"/>
            </w:tcBorders>
          </w:tcPr>
          <w:p w14:paraId="456A8C6C">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6" w:type="pct"/>
            <w:tcBorders>
              <w:top w:val="single" w:color="auto" w:sz="6" w:space="0"/>
              <w:left w:val="single" w:color="auto" w:sz="6" w:space="0"/>
              <w:bottom w:val="single" w:color="auto" w:sz="6" w:space="0"/>
              <w:right w:val="single" w:color="auto" w:sz="6" w:space="0"/>
            </w:tcBorders>
          </w:tcPr>
          <w:p w14:paraId="6469A25E">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4" w:type="pct"/>
            <w:tcBorders>
              <w:top w:val="single" w:color="auto" w:sz="6" w:space="0"/>
              <w:left w:val="single" w:color="auto" w:sz="6" w:space="0"/>
              <w:bottom w:val="single" w:color="auto" w:sz="6" w:space="0"/>
              <w:right w:val="double" w:color="auto" w:sz="4" w:space="0"/>
            </w:tcBorders>
          </w:tcPr>
          <w:p w14:paraId="6011164F">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3BCC17C4">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vAlign w:val="center"/>
          </w:tcPr>
          <w:p w14:paraId="35DC8B6F">
            <w:pPr>
              <w:jc w:val="center"/>
              <w:rPr>
                <w:color w:val="auto"/>
              </w:rPr>
            </w:pPr>
            <w:r>
              <w:rPr>
                <w:color w:val="auto"/>
              </w:rPr>
              <w:t>…</w:t>
            </w:r>
          </w:p>
        </w:tc>
        <w:tc>
          <w:tcPr>
            <w:tcW w:w="779" w:type="pct"/>
            <w:tcBorders>
              <w:top w:val="single" w:color="auto" w:sz="6" w:space="0"/>
              <w:left w:val="single" w:color="auto" w:sz="6" w:space="0"/>
              <w:bottom w:val="single" w:color="auto" w:sz="6" w:space="0"/>
              <w:right w:val="single" w:color="auto" w:sz="6" w:space="0"/>
            </w:tcBorders>
          </w:tcPr>
          <w:p w14:paraId="67FE89CA">
            <w:pPr>
              <w:autoSpaceDE w:val="0"/>
              <w:autoSpaceDN w:val="0"/>
              <w:adjustRightInd w:val="0"/>
              <w:snapToGrid w:val="0"/>
              <w:spacing w:line="360" w:lineRule="auto"/>
              <w:ind w:left="527" w:right="507"/>
              <w:jc w:val="center"/>
              <w:rPr>
                <w:rFonts w:asciiTheme="minorEastAsia" w:hAnsiTheme="minorEastAsia" w:eastAsiaTheme="minorEastAsia"/>
                <w:color w:val="auto"/>
                <w:kern w:val="0"/>
                <w:szCs w:val="21"/>
              </w:rPr>
            </w:pPr>
          </w:p>
        </w:tc>
        <w:tc>
          <w:tcPr>
            <w:tcW w:w="1198" w:type="pct"/>
            <w:tcBorders>
              <w:top w:val="single" w:color="auto" w:sz="6" w:space="0"/>
              <w:left w:val="single" w:color="auto" w:sz="6" w:space="0"/>
              <w:bottom w:val="single" w:color="auto" w:sz="6" w:space="0"/>
              <w:right w:val="single" w:color="auto" w:sz="4" w:space="0"/>
            </w:tcBorders>
          </w:tcPr>
          <w:p w14:paraId="50CE5D0D">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76" w:type="pct"/>
            <w:tcBorders>
              <w:top w:val="single" w:color="auto" w:sz="6" w:space="0"/>
              <w:left w:val="single" w:color="auto" w:sz="4" w:space="0"/>
              <w:bottom w:val="single" w:color="auto" w:sz="6" w:space="0"/>
              <w:right w:val="single" w:color="auto" w:sz="6" w:space="0"/>
            </w:tcBorders>
          </w:tcPr>
          <w:p w14:paraId="37B6DE51">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15" w:type="pct"/>
            <w:tcBorders>
              <w:top w:val="single" w:color="auto" w:sz="6" w:space="0"/>
              <w:left w:val="single" w:color="auto" w:sz="6" w:space="0"/>
              <w:bottom w:val="single" w:color="auto" w:sz="6" w:space="0"/>
              <w:right w:val="single" w:color="auto" w:sz="4" w:space="0"/>
            </w:tcBorders>
          </w:tcPr>
          <w:p w14:paraId="1831F756">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2" w:type="pct"/>
            <w:tcBorders>
              <w:top w:val="single" w:color="auto" w:sz="6" w:space="0"/>
              <w:left w:val="single" w:color="auto" w:sz="4" w:space="0"/>
              <w:bottom w:val="single" w:color="auto" w:sz="6" w:space="0"/>
              <w:right w:val="single" w:color="auto" w:sz="6" w:space="0"/>
            </w:tcBorders>
          </w:tcPr>
          <w:p w14:paraId="3455C513">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6" w:type="pct"/>
            <w:tcBorders>
              <w:top w:val="single" w:color="auto" w:sz="6" w:space="0"/>
              <w:left w:val="single" w:color="auto" w:sz="6" w:space="0"/>
              <w:bottom w:val="single" w:color="auto" w:sz="6" w:space="0"/>
              <w:right w:val="single" w:color="auto" w:sz="6" w:space="0"/>
            </w:tcBorders>
          </w:tcPr>
          <w:p w14:paraId="3337EEF4">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4" w:type="pct"/>
            <w:tcBorders>
              <w:top w:val="single" w:color="auto" w:sz="6" w:space="0"/>
              <w:left w:val="single" w:color="auto" w:sz="6" w:space="0"/>
              <w:bottom w:val="single" w:color="auto" w:sz="6" w:space="0"/>
              <w:right w:val="double" w:color="auto" w:sz="4" w:space="0"/>
            </w:tcBorders>
          </w:tcPr>
          <w:p w14:paraId="27D75924">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48F45693">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vAlign w:val="center"/>
          </w:tcPr>
          <w:p w14:paraId="6C9AD2A0">
            <w:pPr>
              <w:jc w:val="center"/>
              <w:rPr>
                <w:color w:val="auto"/>
              </w:rPr>
            </w:pPr>
            <w:r>
              <w:rPr>
                <w:color w:val="auto"/>
              </w:rPr>
              <w:t>…</w:t>
            </w:r>
          </w:p>
        </w:tc>
        <w:tc>
          <w:tcPr>
            <w:tcW w:w="779" w:type="pct"/>
            <w:tcBorders>
              <w:top w:val="single" w:color="auto" w:sz="6" w:space="0"/>
              <w:left w:val="single" w:color="auto" w:sz="6" w:space="0"/>
              <w:bottom w:val="single" w:color="auto" w:sz="6" w:space="0"/>
              <w:right w:val="single" w:color="auto" w:sz="6" w:space="0"/>
            </w:tcBorders>
          </w:tcPr>
          <w:p w14:paraId="08498413">
            <w:pPr>
              <w:autoSpaceDE w:val="0"/>
              <w:autoSpaceDN w:val="0"/>
              <w:adjustRightInd w:val="0"/>
              <w:snapToGrid w:val="0"/>
              <w:spacing w:line="360" w:lineRule="auto"/>
              <w:ind w:left="527" w:right="507"/>
              <w:jc w:val="center"/>
              <w:rPr>
                <w:rFonts w:asciiTheme="minorEastAsia" w:hAnsiTheme="minorEastAsia" w:eastAsiaTheme="minorEastAsia"/>
                <w:color w:val="auto"/>
                <w:kern w:val="0"/>
                <w:szCs w:val="21"/>
              </w:rPr>
            </w:pPr>
          </w:p>
        </w:tc>
        <w:tc>
          <w:tcPr>
            <w:tcW w:w="1198" w:type="pct"/>
            <w:tcBorders>
              <w:top w:val="single" w:color="auto" w:sz="6" w:space="0"/>
              <w:left w:val="single" w:color="auto" w:sz="6" w:space="0"/>
              <w:bottom w:val="single" w:color="auto" w:sz="6" w:space="0"/>
              <w:right w:val="single" w:color="auto" w:sz="4" w:space="0"/>
            </w:tcBorders>
          </w:tcPr>
          <w:p w14:paraId="493094EF">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76" w:type="pct"/>
            <w:tcBorders>
              <w:top w:val="single" w:color="auto" w:sz="6" w:space="0"/>
              <w:left w:val="single" w:color="auto" w:sz="4" w:space="0"/>
              <w:bottom w:val="single" w:color="auto" w:sz="6" w:space="0"/>
              <w:right w:val="single" w:color="auto" w:sz="6" w:space="0"/>
            </w:tcBorders>
          </w:tcPr>
          <w:p w14:paraId="242B2FFE">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615" w:type="pct"/>
            <w:tcBorders>
              <w:top w:val="single" w:color="auto" w:sz="6" w:space="0"/>
              <w:left w:val="single" w:color="auto" w:sz="6" w:space="0"/>
              <w:bottom w:val="single" w:color="auto" w:sz="6" w:space="0"/>
              <w:right w:val="single" w:color="auto" w:sz="4" w:space="0"/>
            </w:tcBorders>
          </w:tcPr>
          <w:p w14:paraId="3FDA4D3A">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2" w:type="pct"/>
            <w:tcBorders>
              <w:top w:val="single" w:color="auto" w:sz="6" w:space="0"/>
              <w:left w:val="single" w:color="auto" w:sz="4" w:space="0"/>
              <w:bottom w:val="single" w:color="auto" w:sz="6" w:space="0"/>
              <w:right w:val="single" w:color="auto" w:sz="6" w:space="0"/>
            </w:tcBorders>
          </w:tcPr>
          <w:p w14:paraId="7F7E018E">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6" w:type="pct"/>
            <w:tcBorders>
              <w:top w:val="single" w:color="auto" w:sz="6" w:space="0"/>
              <w:left w:val="single" w:color="auto" w:sz="6" w:space="0"/>
              <w:bottom w:val="single" w:color="auto" w:sz="6" w:space="0"/>
              <w:right w:val="single" w:color="auto" w:sz="6" w:space="0"/>
            </w:tcBorders>
          </w:tcPr>
          <w:p w14:paraId="36B63626">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c>
          <w:tcPr>
            <w:tcW w:w="514" w:type="pct"/>
            <w:tcBorders>
              <w:top w:val="single" w:color="auto" w:sz="6" w:space="0"/>
              <w:left w:val="single" w:color="auto" w:sz="6" w:space="0"/>
              <w:bottom w:val="single" w:color="auto" w:sz="6" w:space="0"/>
              <w:right w:val="double" w:color="auto" w:sz="4" w:space="0"/>
            </w:tcBorders>
          </w:tcPr>
          <w:p w14:paraId="52B4F947">
            <w:pPr>
              <w:autoSpaceDE w:val="0"/>
              <w:autoSpaceDN w:val="0"/>
              <w:adjustRightInd w:val="0"/>
              <w:snapToGrid w:val="0"/>
              <w:spacing w:line="360" w:lineRule="auto"/>
              <w:jc w:val="left"/>
              <w:rPr>
                <w:rFonts w:asciiTheme="minorEastAsia" w:hAnsiTheme="minorEastAsia" w:eastAsiaTheme="minorEastAsia"/>
                <w:color w:val="auto"/>
                <w:kern w:val="0"/>
                <w:szCs w:val="21"/>
              </w:rPr>
            </w:pPr>
          </w:p>
        </w:tc>
      </w:tr>
      <w:tr w14:paraId="3485C3C2">
        <w:tblPrEx>
          <w:tblCellMar>
            <w:top w:w="0" w:type="dxa"/>
            <w:left w:w="0" w:type="dxa"/>
            <w:bottom w:w="0" w:type="dxa"/>
            <w:right w:w="0" w:type="dxa"/>
          </w:tblCellMar>
        </w:tblPrEx>
        <w:trPr>
          <w:trHeight w:val="415" w:hRule="exact"/>
        </w:trPr>
        <w:tc>
          <w:tcPr>
            <w:tcW w:w="5000" w:type="pct"/>
            <w:gridSpan w:val="8"/>
            <w:tcBorders>
              <w:top w:val="single" w:color="auto" w:sz="6" w:space="0"/>
              <w:left w:val="double" w:color="auto" w:sz="4" w:space="0"/>
              <w:bottom w:val="double" w:color="auto" w:sz="4" w:space="0"/>
              <w:right w:val="double" w:color="auto" w:sz="4" w:space="0"/>
            </w:tcBorders>
            <w:vAlign w:val="center"/>
          </w:tcPr>
          <w:p w14:paraId="3B6932B7">
            <w:pPr>
              <w:autoSpaceDE w:val="0"/>
              <w:autoSpaceDN w:val="0"/>
              <w:adjustRightInd w:val="0"/>
              <w:snapToGrid w:val="0"/>
              <w:spacing w:line="360" w:lineRule="auto"/>
              <w:ind w:firstLine="2730" w:firstLineChars="1300"/>
              <w:jc w:val="left"/>
              <w:rPr>
                <w:rFonts w:asciiTheme="minorEastAsia" w:hAnsiTheme="minorEastAsia" w:eastAsiaTheme="minorEastAsia"/>
                <w:color w:val="auto"/>
                <w:kern w:val="0"/>
                <w:szCs w:val="21"/>
              </w:rPr>
            </w:pPr>
            <w:r>
              <w:rPr>
                <w:rFonts w:hint="eastAsia" w:cs="微软雅黑" w:asciiTheme="minorEastAsia" w:hAnsiTheme="minorEastAsia" w:eastAsiaTheme="minorEastAsia"/>
                <w:color w:val="auto"/>
                <w:kern w:val="0"/>
                <w:position w:val="-1"/>
                <w:szCs w:val="21"/>
              </w:rPr>
              <w:t>投标报价（元）：</w:t>
            </w:r>
            <w:r>
              <w:rPr>
                <w:rFonts w:hint="eastAsia" w:cs="微软雅黑" w:asciiTheme="minorEastAsia" w:hAnsiTheme="minorEastAsia" w:eastAsiaTheme="minorEastAsia"/>
                <w:color w:val="auto"/>
                <w:kern w:val="0"/>
                <w:position w:val="-1"/>
                <w:szCs w:val="21"/>
                <w:u w:val="single"/>
              </w:rPr>
              <w:t xml:space="preserve">                   </w:t>
            </w:r>
          </w:p>
        </w:tc>
      </w:tr>
    </w:tbl>
    <w:p w14:paraId="03555CF5">
      <w:pPr>
        <w:adjustRightInd w:val="0"/>
        <w:snapToGrid w:val="0"/>
        <w:spacing w:line="360" w:lineRule="auto"/>
        <w:rPr>
          <w:rFonts w:ascii="宋体" w:hAnsi="宋体"/>
          <w:color w:val="auto"/>
          <w:szCs w:val="21"/>
        </w:rPr>
      </w:pPr>
      <w:r>
        <w:rPr>
          <w:rFonts w:hint="eastAsia" w:ascii="宋体" w:hAnsi="宋体"/>
          <w:color w:val="auto"/>
          <w:szCs w:val="21"/>
        </w:rPr>
        <w:t>备注：</w:t>
      </w:r>
      <w:r>
        <w:rPr>
          <w:rFonts w:hint="eastAsia" w:asciiTheme="minorEastAsia" w:hAnsiTheme="minorEastAsia" w:eastAsiaTheme="minorEastAsia"/>
          <w:color w:val="auto"/>
          <w:szCs w:val="21"/>
        </w:rPr>
        <w:t>（1）</w:t>
      </w:r>
      <w:r>
        <w:rPr>
          <w:rFonts w:hint="eastAsia" w:asciiTheme="minorEastAsia" w:hAnsiTheme="minorEastAsia" w:eastAsiaTheme="minorEastAsia"/>
          <w:b/>
          <w:color w:val="auto"/>
          <w:szCs w:val="21"/>
        </w:rPr>
        <w:t>本表应对应</w:t>
      </w:r>
      <w:r>
        <w:rPr>
          <w:rFonts w:hint="eastAsia" w:ascii="宋体" w:hAnsi="宋体"/>
          <w:color w:val="auto"/>
          <w:szCs w:val="21"/>
        </w:rPr>
        <w:t>“</w:t>
      </w:r>
      <w:r>
        <w:rPr>
          <w:rFonts w:hint="eastAsia" w:asciiTheme="minorEastAsia" w:hAnsiTheme="minorEastAsia" w:eastAsiaTheme="minorEastAsia"/>
          <w:b/>
          <w:color w:val="auto"/>
          <w:szCs w:val="21"/>
        </w:rPr>
        <w:t>报价一览表</w:t>
      </w:r>
      <w:r>
        <w:rPr>
          <w:rFonts w:hint="eastAsia" w:ascii="宋体" w:hAnsi="宋体"/>
          <w:color w:val="auto"/>
          <w:szCs w:val="21"/>
        </w:rPr>
        <w:t>”</w:t>
      </w:r>
      <w:r>
        <w:rPr>
          <w:rFonts w:hint="eastAsia" w:asciiTheme="minorEastAsia" w:hAnsiTheme="minorEastAsia" w:eastAsiaTheme="minorEastAsia"/>
          <w:b/>
          <w:color w:val="auto"/>
          <w:szCs w:val="21"/>
        </w:rPr>
        <w:t>，按包填写</w:t>
      </w:r>
      <w:r>
        <w:rPr>
          <w:rFonts w:hint="eastAsia" w:asciiTheme="minorEastAsia" w:hAnsiTheme="minorEastAsia" w:eastAsiaTheme="minorEastAsia"/>
          <w:color w:val="auto"/>
          <w:szCs w:val="21"/>
        </w:rPr>
        <w:t>。</w:t>
      </w:r>
      <w:r>
        <w:rPr>
          <w:rFonts w:hint="eastAsia" w:ascii="宋体" w:hAnsi="宋体" w:eastAsiaTheme="minorEastAsia"/>
          <w:color w:val="auto"/>
          <w:szCs w:val="21"/>
        </w:rPr>
        <w:t>供应商</w:t>
      </w:r>
      <w:r>
        <w:rPr>
          <w:rFonts w:hint="eastAsia" w:ascii="宋体" w:hAnsi="宋体"/>
          <w:color w:val="auto"/>
          <w:szCs w:val="21"/>
        </w:rPr>
        <w:t>如果不提供分项报价明细表，其</w:t>
      </w:r>
      <w:r>
        <w:rPr>
          <w:rFonts w:hint="eastAsia" w:ascii="宋体" w:hAnsi="宋体"/>
          <w:b/>
          <w:color w:val="auto"/>
          <w:szCs w:val="21"/>
        </w:rPr>
        <w:t>投标无效</w:t>
      </w:r>
      <w:r>
        <w:rPr>
          <w:rFonts w:hint="eastAsia" w:ascii="宋体" w:hAnsi="宋体"/>
          <w:color w:val="auto"/>
          <w:szCs w:val="21"/>
        </w:rPr>
        <w:t>。</w:t>
      </w:r>
    </w:p>
    <w:p w14:paraId="7AE6E63B">
      <w:pPr>
        <w:adjustRightInd w:val="0"/>
        <w:snapToGrid w:val="0"/>
        <w:spacing w:line="360" w:lineRule="auto"/>
        <w:ind w:firstLine="630" w:firstLineChars="300"/>
        <w:rPr>
          <w:rFonts w:ascii="宋体" w:hAnsi="宋体"/>
          <w:color w:val="auto"/>
          <w:szCs w:val="21"/>
        </w:rPr>
      </w:pPr>
      <w:r>
        <w:rPr>
          <w:rFonts w:hint="eastAsia" w:asciiTheme="minorEastAsia" w:hAnsiTheme="minorEastAsia" w:eastAsiaTheme="minorEastAsia"/>
          <w:color w:val="auto"/>
          <w:szCs w:val="21"/>
        </w:rPr>
        <w:t>（2）</w:t>
      </w:r>
      <w:r>
        <w:rPr>
          <w:rFonts w:hint="eastAsia" w:ascii="宋体" w:hAnsi="宋体"/>
          <w:color w:val="auto"/>
          <w:szCs w:val="21"/>
        </w:rPr>
        <w:t>不得填写“免费”或“赠与”，也不得进行“零”报价，否则</w:t>
      </w:r>
      <w:r>
        <w:rPr>
          <w:rFonts w:hint="eastAsia" w:ascii="宋体" w:hAnsi="宋体"/>
          <w:b/>
          <w:color w:val="auto"/>
          <w:szCs w:val="21"/>
        </w:rPr>
        <w:t>投标无效</w:t>
      </w:r>
      <w:r>
        <w:rPr>
          <w:rFonts w:hint="eastAsia" w:ascii="宋体" w:hAnsi="宋体"/>
          <w:color w:val="auto"/>
          <w:szCs w:val="21"/>
        </w:rPr>
        <w:t>。</w:t>
      </w:r>
    </w:p>
    <w:p w14:paraId="6FAE411E">
      <w:pPr>
        <w:adjustRightInd w:val="0"/>
        <w:snapToGrid w:val="0"/>
        <w:spacing w:line="360" w:lineRule="auto"/>
        <w:rPr>
          <w:rFonts w:ascii="宋体" w:hAnsi="宋体"/>
          <w:color w:val="auto"/>
          <w:szCs w:val="21"/>
        </w:rPr>
      </w:pPr>
    </w:p>
    <w:p w14:paraId="4E37815B">
      <w:pPr>
        <w:adjustRightInd w:val="0"/>
        <w:snapToGrid w:val="0"/>
        <w:spacing w:line="360" w:lineRule="auto"/>
        <w:rPr>
          <w:rFonts w:ascii="宋体" w:hAnsi="宋体"/>
          <w:color w:val="auto"/>
          <w:szCs w:val="21"/>
          <w:u w:val="single"/>
        </w:rPr>
      </w:pPr>
      <w:r>
        <w:rPr>
          <w:rFonts w:hint="eastAsia" w:ascii="宋体" w:hAnsi="宋体"/>
          <w:color w:val="auto"/>
          <w:szCs w:val="21"/>
        </w:rPr>
        <w:t>供应商名称（盖单位章）：</w:t>
      </w:r>
      <w:r>
        <w:rPr>
          <w:rFonts w:hint="eastAsia" w:ascii="宋体" w:hAnsi="宋体"/>
          <w:color w:val="auto"/>
          <w:szCs w:val="21"/>
          <w:u w:val="single"/>
        </w:rPr>
        <w:t xml:space="preserve">                              </w:t>
      </w:r>
    </w:p>
    <w:p w14:paraId="24BACFEC">
      <w:pPr>
        <w:adjustRightInd w:val="0"/>
        <w:snapToGrid w:val="0"/>
        <w:spacing w:line="360" w:lineRule="auto"/>
        <w:rPr>
          <w:rFonts w:ascii="宋体" w:hAnsi="宋体"/>
          <w:color w:val="auto"/>
          <w:szCs w:val="21"/>
        </w:rPr>
      </w:pPr>
      <w:r>
        <w:rPr>
          <w:rFonts w:hint="eastAsia" w:cs="微软雅黑" w:asciiTheme="minorEastAsia" w:hAnsiTheme="minorEastAsia" w:eastAsiaTheme="minorEastAsia"/>
          <w:color w:val="auto"/>
          <w:spacing w:val="-2"/>
          <w:kern w:val="0"/>
          <w:szCs w:val="21"/>
        </w:rPr>
        <w:t>法</w:t>
      </w:r>
      <w:r>
        <w:rPr>
          <w:rFonts w:hint="eastAsia" w:cs="微软雅黑" w:asciiTheme="minorEastAsia" w:hAnsiTheme="minorEastAsia" w:eastAsiaTheme="minorEastAsia"/>
          <w:color w:val="auto"/>
          <w:kern w:val="0"/>
          <w:szCs w:val="21"/>
        </w:rPr>
        <w:t>定</w:t>
      </w:r>
      <w:r>
        <w:rPr>
          <w:rFonts w:hint="eastAsia" w:cs="微软雅黑" w:asciiTheme="minorEastAsia" w:hAnsiTheme="minorEastAsia" w:eastAsiaTheme="minorEastAsia"/>
          <w:color w:val="auto"/>
          <w:spacing w:val="-2"/>
          <w:kern w:val="0"/>
          <w:szCs w:val="21"/>
        </w:rPr>
        <w:t>代</w:t>
      </w:r>
      <w:r>
        <w:rPr>
          <w:rFonts w:hint="eastAsia" w:cs="微软雅黑" w:asciiTheme="minorEastAsia" w:hAnsiTheme="minorEastAsia" w:eastAsiaTheme="minorEastAsia"/>
          <w:color w:val="auto"/>
          <w:kern w:val="0"/>
          <w:szCs w:val="21"/>
        </w:rPr>
        <w:t>表</w:t>
      </w:r>
      <w:r>
        <w:rPr>
          <w:rFonts w:hint="eastAsia" w:cs="微软雅黑" w:asciiTheme="minorEastAsia" w:hAnsiTheme="minorEastAsia" w:eastAsiaTheme="minorEastAsia"/>
          <w:color w:val="auto"/>
          <w:spacing w:val="-2"/>
          <w:kern w:val="0"/>
          <w:szCs w:val="21"/>
        </w:rPr>
        <w:t>人</w:t>
      </w:r>
      <w:r>
        <w:rPr>
          <w:rFonts w:hint="eastAsia" w:cs="微软雅黑" w:asciiTheme="minorEastAsia" w:hAnsiTheme="minorEastAsia" w:eastAsiaTheme="minorEastAsia"/>
          <w:color w:val="auto"/>
          <w:kern w:val="0"/>
          <w:szCs w:val="21"/>
        </w:rPr>
        <w:t>（</w:t>
      </w:r>
      <w:r>
        <w:rPr>
          <w:rFonts w:hint="eastAsia" w:cs="微软雅黑" w:asciiTheme="minorEastAsia" w:hAnsiTheme="minorEastAsia" w:eastAsiaTheme="minorEastAsia"/>
          <w:color w:val="auto"/>
          <w:spacing w:val="-2"/>
          <w:kern w:val="0"/>
          <w:szCs w:val="21"/>
        </w:rPr>
        <w:t>单</w:t>
      </w:r>
      <w:r>
        <w:rPr>
          <w:rFonts w:hint="eastAsia" w:cs="微软雅黑" w:asciiTheme="minorEastAsia" w:hAnsiTheme="minorEastAsia" w:eastAsiaTheme="minorEastAsia"/>
          <w:color w:val="auto"/>
          <w:kern w:val="0"/>
          <w:szCs w:val="21"/>
        </w:rPr>
        <w:t>位</w:t>
      </w:r>
      <w:r>
        <w:rPr>
          <w:rFonts w:hint="eastAsia" w:cs="微软雅黑" w:asciiTheme="minorEastAsia" w:hAnsiTheme="minorEastAsia" w:eastAsiaTheme="minorEastAsia"/>
          <w:color w:val="auto"/>
          <w:spacing w:val="-2"/>
          <w:kern w:val="0"/>
          <w:szCs w:val="21"/>
        </w:rPr>
        <w:t>负</w:t>
      </w:r>
      <w:r>
        <w:rPr>
          <w:rFonts w:hint="eastAsia" w:cs="微软雅黑" w:asciiTheme="minorEastAsia" w:hAnsiTheme="minorEastAsia" w:eastAsiaTheme="minorEastAsia"/>
          <w:color w:val="auto"/>
          <w:kern w:val="0"/>
          <w:szCs w:val="21"/>
        </w:rPr>
        <w:t>责人</w:t>
      </w:r>
      <w:r>
        <w:rPr>
          <w:rFonts w:hint="eastAsia" w:cs="微软雅黑" w:asciiTheme="minorEastAsia" w:hAnsiTheme="minorEastAsia" w:eastAsiaTheme="minorEastAsia"/>
          <w:color w:val="auto"/>
          <w:spacing w:val="-2"/>
          <w:kern w:val="0"/>
          <w:szCs w:val="21"/>
        </w:rPr>
        <w:t>）</w:t>
      </w:r>
      <w:r>
        <w:rPr>
          <w:rFonts w:hint="eastAsia" w:ascii="宋体" w:hAnsi="宋体"/>
          <w:color w:val="auto"/>
          <w:szCs w:val="21"/>
        </w:rPr>
        <w:t>或其授权的代理人（签字或印章）：</w:t>
      </w:r>
      <w:r>
        <w:rPr>
          <w:rFonts w:hint="eastAsia" w:ascii="宋体" w:hAnsi="宋体"/>
          <w:color w:val="auto"/>
          <w:szCs w:val="21"/>
          <w:u w:val="single"/>
        </w:rPr>
        <w:t xml:space="preserve">            </w:t>
      </w:r>
    </w:p>
    <w:p w14:paraId="52F3DEA0">
      <w:pPr>
        <w:adjustRightInd w:val="0"/>
        <w:snapToGrid w:val="0"/>
        <w:spacing w:line="360" w:lineRule="auto"/>
        <w:rPr>
          <w:rFonts w:ascii="宋体" w:hAnsi="宋体"/>
          <w:color w:val="auto"/>
          <w:szCs w:val="21"/>
          <w:u w:val="single"/>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7426697C">
      <w:pPr>
        <w:widowControl/>
        <w:jc w:val="left"/>
        <w:rPr>
          <w:rFonts w:ascii="宋体" w:hAnsi="宋体"/>
          <w:color w:val="auto"/>
        </w:rPr>
        <w:sectPr>
          <w:pgSz w:w="16838" w:h="11906" w:orient="landscape"/>
          <w:pgMar w:top="1797" w:right="1440" w:bottom="1797" w:left="1440"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pPr>
    </w:p>
    <w:p w14:paraId="7EBC7F8F">
      <w:pPr>
        <w:adjustRightInd w:val="0"/>
        <w:snapToGrid w:val="0"/>
        <w:spacing w:line="360" w:lineRule="auto"/>
        <w:ind w:left="-88" w:leftChars="-42"/>
        <w:jc w:val="center"/>
        <w:outlineLvl w:val="1"/>
        <w:rPr>
          <w:rFonts w:ascii="宋体" w:hAnsi="宋体"/>
          <w:color w:val="auto"/>
          <w:sz w:val="28"/>
          <w:szCs w:val="28"/>
        </w:rPr>
      </w:pPr>
      <w:bookmarkStart w:id="77" w:name="_Toc27461"/>
      <w:bookmarkStart w:id="78" w:name="_Toc979"/>
      <w:bookmarkStart w:id="79" w:name="_Toc7455"/>
      <w:r>
        <w:rPr>
          <w:rFonts w:hint="eastAsia" w:ascii="宋体" w:hAnsi="宋体"/>
          <w:b/>
          <w:color w:val="auto"/>
          <w:sz w:val="32"/>
          <w:szCs w:val="32"/>
        </w:rPr>
        <w:t>八</w:t>
      </w:r>
      <w:r>
        <w:rPr>
          <w:rFonts w:hint="eastAsia" w:ascii="宋体" w:hAnsi="宋体"/>
          <w:b/>
          <w:bCs/>
          <w:color w:val="auto"/>
          <w:sz w:val="32"/>
          <w:szCs w:val="32"/>
        </w:rPr>
        <w:t>、供应商认为需要提供的其它资料</w:t>
      </w:r>
      <w:bookmarkEnd w:id="77"/>
      <w:bookmarkEnd w:id="78"/>
      <w:bookmarkEnd w:id="79"/>
    </w:p>
    <w:p w14:paraId="37AB7773">
      <w:pPr>
        <w:adjustRightInd w:val="0"/>
        <w:snapToGrid w:val="0"/>
        <w:spacing w:before="120" w:beforeLines="50" w:line="360" w:lineRule="auto"/>
        <w:jc w:val="center"/>
        <w:rPr>
          <w:rFonts w:ascii="宋体" w:hAnsi="宋体"/>
          <w:b/>
          <w:color w:val="auto"/>
          <w:sz w:val="24"/>
        </w:rPr>
      </w:pPr>
      <w:r>
        <w:rPr>
          <w:rFonts w:hint="eastAsia" w:ascii="宋体" w:hAnsi="宋体"/>
          <w:b/>
          <w:color w:val="auto"/>
          <w:sz w:val="24"/>
        </w:rPr>
        <w:t>（包括磋商标准中需提供的相关证明材料）</w:t>
      </w:r>
    </w:p>
    <w:p w14:paraId="006A183D">
      <w:pPr>
        <w:adjustRightInd w:val="0"/>
        <w:snapToGrid w:val="0"/>
        <w:spacing w:before="120" w:beforeLines="50" w:line="360" w:lineRule="auto"/>
        <w:jc w:val="center"/>
        <w:rPr>
          <w:rFonts w:ascii="宋体" w:hAnsi="宋体"/>
          <w:b/>
          <w:color w:val="auto"/>
          <w:sz w:val="32"/>
          <w:szCs w:val="32"/>
        </w:rPr>
      </w:pPr>
    </w:p>
    <w:p w14:paraId="2D6DA264">
      <w:pPr>
        <w:adjustRightInd w:val="0"/>
        <w:snapToGrid w:val="0"/>
        <w:spacing w:before="120" w:beforeLines="50" w:line="360" w:lineRule="auto"/>
        <w:jc w:val="center"/>
        <w:rPr>
          <w:rFonts w:ascii="宋体" w:hAnsi="宋体"/>
          <w:b/>
          <w:color w:val="auto"/>
          <w:sz w:val="32"/>
          <w:szCs w:val="32"/>
        </w:rPr>
      </w:pPr>
    </w:p>
    <w:p w14:paraId="308F4A57">
      <w:pPr>
        <w:adjustRightInd w:val="0"/>
        <w:snapToGrid w:val="0"/>
        <w:spacing w:before="120" w:beforeLines="50" w:line="360" w:lineRule="auto"/>
        <w:jc w:val="center"/>
        <w:rPr>
          <w:rFonts w:ascii="宋体" w:hAnsi="宋体"/>
          <w:b/>
          <w:color w:val="auto"/>
          <w:sz w:val="32"/>
          <w:szCs w:val="32"/>
        </w:rPr>
      </w:pPr>
    </w:p>
    <w:p w14:paraId="11CB39E8">
      <w:pPr>
        <w:adjustRightInd w:val="0"/>
        <w:snapToGrid w:val="0"/>
        <w:spacing w:before="120" w:beforeLines="50" w:line="360" w:lineRule="auto"/>
        <w:jc w:val="center"/>
        <w:rPr>
          <w:rFonts w:ascii="宋体" w:hAnsi="宋体"/>
          <w:b/>
          <w:color w:val="auto"/>
          <w:sz w:val="32"/>
          <w:szCs w:val="32"/>
        </w:rPr>
      </w:pPr>
    </w:p>
    <w:p w14:paraId="2899B73C">
      <w:pPr>
        <w:adjustRightInd w:val="0"/>
        <w:snapToGrid w:val="0"/>
        <w:spacing w:before="120" w:beforeLines="50" w:line="360" w:lineRule="auto"/>
        <w:jc w:val="center"/>
        <w:rPr>
          <w:rFonts w:ascii="宋体" w:hAnsi="宋体"/>
          <w:b/>
          <w:color w:val="auto"/>
          <w:sz w:val="32"/>
          <w:szCs w:val="32"/>
        </w:rPr>
      </w:pPr>
    </w:p>
    <w:p w14:paraId="46304789">
      <w:pPr>
        <w:adjustRightInd w:val="0"/>
        <w:snapToGrid w:val="0"/>
        <w:spacing w:before="120" w:beforeLines="50" w:line="360" w:lineRule="auto"/>
        <w:jc w:val="center"/>
        <w:rPr>
          <w:rFonts w:ascii="宋体" w:hAnsi="宋体"/>
          <w:b/>
          <w:color w:val="auto"/>
          <w:sz w:val="32"/>
          <w:szCs w:val="32"/>
        </w:rPr>
      </w:pPr>
    </w:p>
    <w:p w14:paraId="70682C69">
      <w:pPr>
        <w:adjustRightInd w:val="0"/>
        <w:snapToGrid w:val="0"/>
        <w:spacing w:before="120" w:beforeLines="50" w:line="360" w:lineRule="auto"/>
        <w:jc w:val="center"/>
        <w:rPr>
          <w:rFonts w:ascii="宋体" w:hAnsi="宋体"/>
          <w:b/>
          <w:color w:val="auto"/>
          <w:sz w:val="32"/>
          <w:szCs w:val="32"/>
        </w:rPr>
      </w:pPr>
    </w:p>
    <w:p w14:paraId="76B23E52">
      <w:pPr>
        <w:adjustRightInd w:val="0"/>
        <w:snapToGrid w:val="0"/>
        <w:spacing w:before="120" w:beforeLines="50" w:line="360" w:lineRule="auto"/>
        <w:jc w:val="center"/>
        <w:rPr>
          <w:rFonts w:ascii="宋体" w:hAnsi="宋体"/>
          <w:b/>
          <w:color w:val="auto"/>
          <w:sz w:val="32"/>
          <w:szCs w:val="32"/>
        </w:rPr>
      </w:pPr>
    </w:p>
    <w:p w14:paraId="0477A859">
      <w:pPr>
        <w:adjustRightInd w:val="0"/>
        <w:snapToGrid w:val="0"/>
        <w:spacing w:before="120" w:beforeLines="50" w:line="360" w:lineRule="auto"/>
        <w:jc w:val="center"/>
        <w:rPr>
          <w:rFonts w:ascii="宋体" w:hAnsi="宋体"/>
          <w:b/>
          <w:color w:val="auto"/>
          <w:sz w:val="32"/>
          <w:szCs w:val="32"/>
        </w:rPr>
      </w:pPr>
    </w:p>
    <w:p w14:paraId="5456B103">
      <w:pPr>
        <w:adjustRightInd w:val="0"/>
        <w:snapToGrid w:val="0"/>
        <w:spacing w:before="120" w:beforeLines="50" w:line="360" w:lineRule="auto"/>
        <w:jc w:val="center"/>
        <w:rPr>
          <w:rFonts w:ascii="宋体" w:hAnsi="宋体"/>
          <w:b/>
          <w:color w:val="auto"/>
          <w:sz w:val="32"/>
          <w:szCs w:val="32"/>
        </w:rPr>
      </w:pPr>
    </w:p>
    <w:p w14:paraId="464181EE">
      <w:pPr>
        <w:adjustRightInd w:val="0"/>
        <w:snapToGrid w:val="0"/>
        <w:spacing w:before="120" w:beforeLines="50" w:line="360" w:lineRule="auto"/>
        <w:jc w:val="center"/>
        <w:rPr>
          <w:rFonts w:ascii="宋体" w:hAnsi="宋体"/>
          <w:b/>
          <w:color w:val="auto"/>
          <w:sz w:val="32"/>
          <w:szCs w:val="32"/>
        </w:rPr>
      </w:pPr>
    </w:p>
    <w:p w14:paraId="45FB0AD5">
      <w:pPr>
        <w:adjustRightInd w:val="0"/>
        <w:snapToGrid w:val="0"/>
        <w:spacing w:before="120" w:beforeLines="50" w:line="360" w:lineRule="auto"/>
        <w:jc w:val="center"/>
        <w:rPr>
          <w:rFonts w:ascii="宋体" w:hAnsi="宋体"/>
          <w:b/>
          <w:color w:val="auto"/>
          <w:sz w:val="32"/>
          <w:szCs w:val="32"/>
        </w:rPr>
      </w:pPr>
    </w:p>
    <w:p w14:paraId="4728E838">
      <w:pPr>
        <w:adjustRightInd w:val="0"/>
        <w:snapToGrid w:val="0"/>
        <w:spacing w:before="120" w:beforeLines="50" w:line="360" w:lineRule="auto"/>
        <w:jc w:val="center"/>
        <w:rPr>
          <w:rFonts w:ascii="宋体" w:hAnsi="宋体"/>
          <w:b/>
          <w:color w:val="auto"/>
          <w:sz w:val="32"/>
          <w:szCs w:val="32"/>
        </w:rPr>
      </w:pPr>
    </w:p>
    <w:p w14:paraId="1F4DCB9A">
      <w:pPr>
        <w:adjustRightInd w:val="0"/>
        <w:snapToGrid w:val="0"/>
        <w:spacing w:before="120" w:beforeLines="50" w:line="360" w:lineRule="auto"/>
        <w:jc w:val="center"/>
        <w:rPr>
          <w:rFonts w:ascii="宋体" w:hAnsi="宋体"/>
          <w:b/>
          <w:color w:val="auto"/>
          <w:sz w:val="32"/>
          <w:szCs w:val="32"/>
        </w:rPr>
      </w:pPr>
    </w:p>
    <w:p w14:paraId="56A2E2BE">
      <w:pPr>
        <w:adjustRightInd w:val="0"/>
        <w:snapToGrid w:val="0"/>
        <w:spacing w:before="120" w:beforeLines="50" w:line="360" w:lineRule="auto"/>
        <w:jc w:val="center"/>
        <w:rPr>
          <w:rFonts w:ascii="宋体" w:hAnsi="宋体"/>
          <w:b/>
          <w:color w:val="auto"/>
          <w:sz w:val="32"/>
          <w:szCs w:val="32"/>
        </w:rPr>
      </w:pPr>
    </w:p>
    <w:p w14:paraId="6D135DD1">
      <w:pPr>
        <w:adjustRightInd w:val="0"/>
        <w:snapToGrid w:val="0"/>
        <w:spacing w:before="120" w:beforeLines="50" w:line="360" w:lineRule="auto"/>
        <w:jc w:val="center"/>
        <w:rPr>
          <w:rFonts w:ascii="宋体" w:hAnsi="宋体"/>
          <w:b/>
          <w:color w:val="auto"/>
          <w:sz w:val="32"/>
          <w:szCs w:val="32"/>
        </w:rPr>
      </w:pPr>
    </w:p>
    <w:p w14:paraId="2EC6B684">
      <w:pPr>
        <w:adjustRightInd w:val="0"/>
        <w:snapToGrid w:val="0"/>
        <w:spacing w:before="120" w:beforeLines="50" w:line="360" w:lineRule="auto"/>
        <w:jc w:val="center"/>
        <w:rPr>
          <w:rFonts w:ascii="宋体" w:hAnsi="宋体"/>
          <w:b/>
          <w:color w:val="auto"/>
          <w:sz w:val="32"/>
          <w:szCs w:val="32"/>
        </w:rPr>
      </w:pPr>
    </w:p>
    <w:p w14:paraId="3C3FF313">
      <w:pPr>
        <w:adjustRightInd w:val="0"/>
        <w:snapToGrid w:val="0"/>
        <w:spacing w:before="120" w:beforeLines="50" w:line="360" w:lineRule="auto"/>
        <w:jc w:val="center"/>
        <w:outlineLvl w:val="1"/>
        <w:rPr>
          <w:rFonts w:ascii="宋体" w:hAnsi="宋体"/>
          <w:b/>
          <w:color w:val="auto"/>
          <w:sz w:val="32"/>
          <w:szCs w:val="32"/>
        </w:rPr>
      </w:pPr>
      <w:bookmarkStart w:id="80" w:name="_Toc26212"/>
      <w:bookmarkStart w:id="81" w:name="_Toc12010"/>
      <w:bookmarkStart w:id="82" w:name="_Toc12492"/>
      <w:r>
        <w:rPr>
          <w:rFonts w:hint="eastAsia" w:ascii="宋体" w:hAnsi="宋体"/>
          <w:b/>
          <w:color w:val="auto"/>
          <w:sz w:val="32"/>
          <w:szCs w:val="32"/>
        </w:rPr>
        <w:t>九、最后报价</w:t>
      </w:r>
      <w:bookmarkEnd w:id="80"/>
      <w:bookmarkEnd w:id="81"/>
      <w:bookmarkEnd w:id="82"/>
    </w:p>
    <w:p w14:paraId="586A916B">
      <w:pPr>
        <w:adjustRightInd w:val="0"/>
        <w:snapToGrid w:val="0"/>
        <w:ind w:left="-88" w:leftChars="-42"/>
        <w:rPr>
          <w:rFonts w:ascii="宋体" w:hAnsi="宋体"/>
          <w:color w:val="auto"/>
          <w:szCs w:val="21"/>
        </w:rPr>
      </w:pPr>
    </w:p>
    <w:p w14:paraId="06D0CA16">
      <w:pPr>
        <w:adjustRightInd w:val="0"/>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说明：最后报价按第二章磋商须知第29条规定提供。格式按第一次报价格式（见附件9，含分项价格表）。</w:t>
      </w:r>
    </w:p>
    <w:p w14:paraId="10B476C0">
      <w:pPr>
        <w:adjustRightInd w:val="0"/>
        <w:snapToGrid w:val="0"/>
        <w:spacing w:line="360" w:lineRule="auto"/>
        <w:ind w:firstLine="480" w:firstLineChars="200"/>
        <w:rPr>
          <w:rFonts w:ascii="宋体" w:hAnsi="宋体"/>
          <w:color w:val="auto"/>
          <w:sz w:val="24"/>
        </w:rPr>
      </w:pPr>
      <w:r>
        <w:rPr>
          <w:rFonts w:hint="eastAsia" w:ascii="仿宋" w:hAnsi="仿宋" w:eastAsia="仿宋" w:cs="仿宋"/>
          <w:color w:val="auto"/>
          <w:sz w:val="24"/>
        </w:rPr>
        <w:t>最后报价由各供应商先行加盖公章，不得装订入磋商响应文件中，由各供应商参加磋商的授权代表带至磋商现场，磋商后填写，请各供应商先行加盖单位公章。</w:t>
      </w:r>
    </w:p>
    <w:p w14:paraId="09F8C349">
      <w:pPr>
        <w:rPr>
          <w:color w:val="auto"/>
          <w:szCs w:val="20"/>
        </w:rPr>
      </w:pPr>
    </w:p>
    <w:p w14:paraId="716C8CE1">
      <w:pPr>
        <w:adjustRightInd w:val="0"/>
        <w:snapToGrid w:val="0"/>
        <w:spacing w:before="120" w:beforeLines="50" w:line="360" w:lineRule="auto"/>
        <w:jc w:val="center"/>
        <w:rPr>
          <w:rFonts w:ascii="宋体" w:hAnsi="宋体"/>
          <w:b/>
          <w:color w:val="auto"/>
          <w:sz w:val="32"/>
          <w:szCs w:val="32"/>
        </w:rPr>
      </w:pPr>
    </w:p>
    <w:p w14:paraId="584CBC70">
      <w:pPr>
        <w:adjustRightInd w:val="0"/>
        <w:snapToGrid w:val="0"/>
        <w:spacing w:before="120" w:beforeLines="50" w:line="360" w:lineRule="auto"/>
        <w:jc w:val="center"/>
        <w:rPr>
          <w:rFonts w:ascii="宋体" w:hAnsi="宋体"/>
          <w:b/>
          <w:color w:val="auto"/>
          <w:sz w:val="32"/>
          <w:szCs w:val="32"/>
        </w:rPr>
      </w:pPr>
    </w:p>
    <w:p w14:paraId="2C1486C9">
      <w:pPr>
        <w:adjustRightInd w:val="0"/>
        <w:snapToGrid w:val="0"/>
        <w:spacing w:before="120" w:beforeLines="50" w:line="360" w:lineRule="auto"/>
        <w:jc w:val="center"/>
        <w:rPr>
          <w:rFonts w:ascii="宋体" w:hAnsi="宋体"/>
          <w:b/>
          <w:color w:val="auto"/>
          <w:sz w:val="32"/>
          <w:szCs w:val="32"/>
        </w:rPr>
      </w:pPr>
    </w:p>
    <w:p w14:paraId="54F880E4">
      <w:pPr>
        <w:adjustRightInd w:val="0"/>
        <w:snapToGrid w:val="0"/>
        <w:spacing w:before="120" w:beforeLines="50" w:line="360" w:lineRule="auto"/>
        <w:jc w:val="center"/>
        <w:rPr>
          <w:rFonts w:ascii="宋体" w:hAnsi="宋体"/>
          <w:b/>
          <w:color w:val="auto"/>
          <w:sz w:val="32"/>
          <w:szCs w:val="32"/>
        </w:rPr>
      </w:pPr>
    </w:p>
    <w:p w14:paraId="2A3744E0">
      <w:pPr>
        <w:adjustRightInd w:val="0"/>
        <w:snapToGrid w:val="0"/>
        <w:spacing w:before="120" w:beforeLines="50" w:line="360" w:lineRule="auto"/>
        <w:jc w:val="center"/>
        <w:rPr>
          <w:rFonts w:ascii="宋体" w:hAnsi="宋体"/>
          <w:b/>
          <w:color w:val="auto"/>
          <w:sz w:val="32"/>
          <w:szCs w:val="32"/>
        </w:rPr>
      </w:pPr>
    </w:p>
    <w:p w14:paraId="2DFDCC0B">
      <w:pPr>
        <w:adjustRightInd w:val="0"/>
        <w:snapToGrid w:val="0"/>
        <w:spacing w:before="120" w:beforeLines="50" w:line="360" w:lineRule="auto"/>
        <w:jc w:val="center"/>
        <w:rPr>
          <w:rFonts w:ascii="宋体" w:hAnsi="宋体"/>
          <w:b/>
          <w:color w:val="auto"/>
          <w:sz w:val="32"/>
          <w:szCs w:val="32"/>
        </w:rPr>
      </w:pPr>
    </w:p>
    <w:p w14:paraId="3B2F51BE">
      <w:pPr>
        <w:adjustRightInd w:val="0"/>
        <w:snapToGrid w:val="0"/>
        <w:spacing w:before="120" w:beforeLines="50" w:line="360" w:lineRule="auto"/>
        <w:jc w:val="center"/>
        <w:rPr>
          <w:rFonts w:ascii="宋体" w:hAnsi="宋体"/>
          <w:b/>
          <w:color w:val="auto"/>
          <w:sz w:val="32"/>
          <w:szCs w:val="32"/>
        </w:rPr>
      </w:pPr>
    </w:p>
    <w:p w14:paraId="2478CA28">
      <w:pPr>
        <w:adjustRightInd w:val="0"/>
        <w:snapToGrid w:val="0"/>
        <w:spacing w:before="120" w:beforeLines="50" w:line="360" w:lineRule="auto"/>
        <w:jc w:val="center"/>
        <w:rPr>
          <w:rFonts w:ascii="宋体" w:hAnsi="宋体"/>
          <w:b/>
          <w:color w:val="auto"/>
          <w:sz w:val="32"/>
          <w:szCs w:val="32"/>
        </w:rPr>
      </w:pPr>
    </w:p>
    <w:p w14:paraId="0E8684E7">
      <w:pPr>
        <w:adjustRightInd w:val="0"/>
        <w:snapToGrid w:val="0"/>
        <w:spacing w:before="120" w:beforeLines="50" w:line="360" w:lineRule="auto"/>
        <w:jc w:val="center"/>
        <w:rPr>
          <w:rFonts w:ascii="宋体" w:hAnsi="宋体"/>
          <w:b/>
          <w:color w:val="auto"/>
          <w:sz w:val="32"/>
          <w:szCs w:val="32"/>
        </w:rPr>
      </w:pPr>
    </w:p>
    <w:p w14:paraId="48FF0F42">
      <w:pPr>
        <w:adjustRightInd w:val="0"/>
        <w:snapToGrid w:val="0"/>
        <w:spacing w:before="120" w:beforeLines="50" w:line="360" w:lineRule="auto"/>
        <w:jc w:val="center"/>
        <w:rPr>
          <w:rFonts w:ascii="宋体" w:hAnsi="宋体"/>
          <w:b/>
          <w:color w:val="auto"/>
          <w:sz w:val="32"/>
          <w:szCs w:val="32"/>
        </w:rPr>
      </w:pPr>
    </w:p>
    <w:p w14:paraId="79E8D4B4">
      <w:pPr>
        <w:adjustRightInd w:val="0"/>
        <w:snapToGrid w:val="0"/>
        <w:spacing w:before="120" w:beforeLines="50" w:line="360" w:lineRule="auto"/>
        <w:jc w:val="center"/>
        <w:rPr>
          <w:rFonts w:ascii="宋体" w:hAnsi="宋体"/>
          <w:b/>
          <w:color w:val="auto"/>
          <w:sz w:val="32"/>
          <w:szCs w:val="32"/>
        </w:rPr>
      </w:pPr>
    </w:p>
    <w:p w14:paraId="72E92A6F">
      <w:pPr>
        <w:adjustRightInd w:val="0"/>
        <w:snapToGrid w:val="0"/>
        <w:spacing w:before="120" w:beforeLines="50" w:line="360" w:lineRule="auto"/>
        <w:jc w:val="center"/>
        <w:rPr>
          <w:rFonts w:ascii="宋体" w:hAnsi="宋体"/>
          <w:b/>
          <w:color w:val="auto"/>
          <w:sz w:val="32"/>
          <w:szCs w:val="32"/>
        </w:rPr>
      </w:pPr>
    </w:p>
    <w:p w14:paraId="768D178A">
      <w:pPr>
        <w:rPr>
          <w:color w:val="auto"/>
          <w:szCs w:val="20"/>
        </w:rPr>
      </w:pPr>
    </w:p>
    <w:sectPr>
      <w:headerReference r:id="rId12" w:type="default"/>
      <w:footerReference r:id="rId13" w:type="default"/>
      <w:pgSz w:w="11906" w:h="16838"/>
      <w:pgMar w:top="1440" w:right="1803" w:bottom="1440" w:left="1803" w:header="851" w:footer="992" w:gutter="0"/>
      <w:pgBorders>
        <w:top w:val="none" w:sz="0" w:space="0"/>
        <w:left w:val="none" w:sz="0" w:space="0"/>
        <w:bottom w:val="none" w:sz="0" w:space="0"/>
        <w:right w:val="none" w:sz="0" w:space="0"/>
      </w:pgBorders>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2090DF1-1205-41FC-AB03-5A6EB687DCED}"/>
  </w:font>
  <w:font w:name="黑体">
    <w:panose1 w:val="02010609060101010101"/>
    <w:charset w:val="86"/>
    <w:family w:val="auto"/>
    <w:pitch w:val="default"/>
    <w:sig w:usb0="800002BF" w:usb1="38CF7CFA" w:usb2="00000016" w:usb3="00000000" w:csb0="00040001" w:csb1="00000000"/>
    <w:embedRegular r:id="rId2" w:fontKey="{FF7B9902-F675-4E44-BCA3-327BC38B73AE}"/>
  </w:font>
  <w:font w:name="Courier New">
    <w:panose1 w:val="02070309020205020404"/>
    <w:charset w:val="01"/>
    <w:family w:val="modern"/>
    <w:pitch w:val="default"/>
    <w:sig w:usb0="E0002EFF" w:usb1="C0007843" w:usb2="00000009" w:usb3="00000000" w:csb0="400001FF" w:csb1="FFFF0000"/>
    <w:embedRegular r:id="rId3" w:fontKey="{67172224-ABCE-4D34-9B06-7DA885EADD8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embedRegular r:id="rId4" w:fontKey="{3DF7F843-8A79-4D6D-9BC6-911CA666DAD1}"/>
  </w:font>
  <w:font w:name="仿宋_GB2312">
    <w:panose1 w:val="02010609030101010101"/>
    <w:charset w:val="86"/>
    <w:family w:val="modern"/>
    <w:pitch w:val="default"/>
    <w:sig w:usb0="00000001" w:usb1="080E0000" w:usb2="00000000" w:usb3="00000000" w:csb0="00040000" w:csb1="00000000"/>
    <w:embedRegular r:id="rId5" w:fontKey="{C21634BD-F73D-47B3-9BEE-CE971B65481C}"/>
  </w:font>
  <w:font w:name="楷体_GB2312">
    <w:panose1 w:val="02010609030101010101"/>
    <w:charset w:val="86"/>
    <w:family w:val="modern"/>
    <w:pitch w:val="default"/>
    <w:sig w:usb0="00000001" w:usb1="080E0000" w:usb2="00000000" w:usb3="00000000" w:csb0="00040000" w:csb1="00000000"/>
    <w:embedRegular r:id="rId6" w:fontKey="{5D2474EB-506A-4729-9846-CC6837DCDDA1}"/>
  </w:font>
  <w:font w:name="华文中宋">
    <w:panose1 w:val="02010600040101010101"/>
    <w:charset w:val="86"/>
    <w:family w:val="auto"/>
    <w:pitch w:val="default"/>
    <w:sig w:usb0="00000287" w:usb1="080F0000" w:usb2="00000000" w:usb3="00000000" w:csb0="0004009F" w:csb1="DFD70000"/>
    <w:embedRegular r:id="rId7" w:fontKey="{83AB2F60-8841-418B-983E-2B2A0CBFE4CA}"/>
  </w:font>
  <w:font w:name="Cambria">
    <w:panose1 w:val="02040503050406030204"/>
    <w:charset w:val="00"/>
    <w:family w:val="roman"/>
    <w:pitch w:val="default"/>
    <w:sig w:usb0="E00006FF" w:usb1="420024FF" w:usb2="02000000" w:usb3="00000000" w:csb0="2000019F" w:csb1="00000000"/>
  </w:font>
  <w:font w:name="Arail">
    <w:altName w:val="Times New Roman"/>
    <w:panose1 w:val="00000000000000000000"/>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roman"/>
    <w:pitch w:val="default"/>
    <w:sig w:usb0="00000000" w:usb1="00000000" w:usb2="0000007F" w:usb3="00000000" w:csb0="203F01FF" w:csb1="DFFF0000"/>
  </w:font>
  <w:font w:name="长城仿宋">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8" w:fontKey="{328C2B31-C28D-4CE7-8D03-FA436AA63127}"/>
  </w:font>
  <w:font w:name="仿宋">
    <w:panose1 w:val="02010609060101010101"/>
    <w:charset w:val="86"/>
    <w:family w:val="modern"/>
    <w:pitch w:val="default"/>
    <w:sig w:usb0="800002BF" w:usb1="38CF7CFA" w:usb2="00000016" w:usb3="00000000" w:csb0="00040001" w:csb1="00000000"/>
    <w:embedRegular r:id="rId9" w:fontKey="{58FD9B07-2D9A-4FCE-AAEE-9AC7EFCBD794}"/>
  </w:font>
  <w:font w:name="方正大标宋简体">
    <w:panose1 w:val="02000000000000000000"/>
    <w:charset w:val="86"/>
    <w:family w:val="auto"/>
    <w:pitch w:val="default"/>
    <w:sig w:usb0="A00002BF" w:usb1="184F6CFA" w:usb2="00000012" w:usb3="00000000" w:csb0="00040001" w:csb1="00000000"/>
    <w:embedRegular r:id="rId10" w:fontKey="{B833586B-FE25-4937-8AB4-4D9371C73DF2}"/>
  </w:font>
  <w:font w:name="ˎ̥">
    <w:altName w:val="Times New Roman"/>
    <w:panose1 w:val="00000000000000000000"/>
    <w:charset w:val="00"/>
    <w:family w:val="roman"/>
    <w:pitch w:val="default"/>
    <w:sig w:usb0="00000000" w:usb1="00000000" w:usb2="00000000" w:usb3="00000000" w:csb0="00040001" w:csb1="00000000"/>
    <w:embedRegular r:id="rId11" w:fontKey="{D9CEC500-71BB-4205-AFAA-E5664D660F50}"/>
  </w:font>
  <w:font w:name="新宋体">
    <w:panose1 w:val="02010609030101010101"/>
    <w:charset w:val="86"/>
    <w:family w:val="modern"/>
    <w:pitch w:val="default"/>
    <w:sig w:usb0="00000203" w:usb1="288F0000" w:usb2="00000006" w:usb3="00000000" w:csb0="00040001" w:csb1="00000000"/>
    <w:embedRegular r:id="rId12" w:fontKey="{F85ADBEC-D6E9-483E-8412-C851CEB7C168}"/>
  </w:font>
  <w:font w:name="华文行楷">
    <w:panose1 w:val="02010800040101010101"/>
    <w:charset w:val="86"/>
    <w:family w:val="auto"/>
    <w:pitch w:val="default"/>
    <w:sig w:usb0="00000001" w:usb1="080F0000" w:usb2="00000000" w:usb3="00000000" w:csb0="00040000" w:csb1="00000000"/>
    <w:embedRegular r:id="rId13" w:fontKey="{F91B903F-6F0E-4238-9DAE-B6A56A292D65}"/>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B41C">
    <w:pPr>
      <w:pStyle w:val="33"/>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238125" cy="139700"/>
              <wp:effectExtent l="0" t="0" r="0" b="0"/>
              <wp:wrapNone/>
              <wp:docPr id="5"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238125" cy="139700"/>
                      </a:xfrm>
                      <a:prstGeom prst="rect">
                        <a:avLst/>
                      </a:prstGeom>
                      <a:noFill/>
                      <a:ln>
                        <a:noFill/>
                      </a:ln>
                    </wps:spPr>
                    <wps:txbx>
                      <w:txbxContent>
                        <w:p w14:paraId="1937A900">
                          <w:pPr>
                            <w:pStyle w:val="33"/>
                          </w:pPr>
                          <w:r>
                            <w:fldChar w:fldCharType="begin"/>
                          </w:r>
                          <w:r>
                            <w:instrText xml:space="preserve"> PAGE  \* MERGEFORMAT </w:instrText>
                          </w:r>
                          <w:r>
                            <w:fldChar w:fldCharType="separate"/>
                          </w:r>
                          <w:r>
                            <w:t>- 28 -</w:t>
                          </w:r>
                          <w:r>
                            <w:fldChar w:fldCharType="end"/>
                          </w:r>
                        </w:p>
                      </w:txbxContent>
                    </wps:txbx>
                    <wps:bodyPr rot="0" vert="horz" wrap="none" lIns="0" tIns="0" rIns="0" bIns="0" anchor="t" anchorCtr="0" upright="1">
                      <a:spAutoFit/>
                    </wps:bodyPr>
                  </wps:wsp>
                </a:graphicData>
              </a:graphic>
            </wp:anchor>
          </w:drawing>
        </mc:Choice>
        <mc:Fallback>
          <w:pict>
            <v:shape id="Text Box 1026" o:spid="_x0000_s1026" o:spt="202" type="#_x0000_t202" style="position:absolute;left:0pt;margin-top:0pt;height:11pt;width:18.75pt;mso-position-horizontal:right;mso-position-horizontal-relative:margin;mso-wrap-style:none;z-index:251659264;mso-width-relative:page;mso-height-relative:page;" filled="f" stroked="f" coordsize="21600,21600" o:gfxdata="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LaZmfRAAAAAwEAAA8AAAAAAAAAAQAgAAAAIgAAAGRycy9kb3ducmV2LnhtbFBL&#10;AQIUABQAAAAIAIdO4kAWzium/QEAAAQEAAAOAAAAAAAAAAEAIAAAACABAABkcnMvZTJvRG9jLnht&#10;bFBLBQYAAAAABgAGAFkBAACPBQAAAAA=&#10;">
              <v:fill on="f" focussize="0,0"/>
              <v:stroke on="f"/>
              <v:imagedata o:title=""/>
              <o:lock v:ext="edit" aspectratio="f"/>
              <v:textbox inset="0mm,0mm,0mm,0mm" style="mso-fit-shape-to-text:t;">
                <w:txbxContent>
                  <w:p w14:paraId="1937A900">
                    <w:pPr>
                      <w:pStyle w:val="33"/>
                    </w:pPr>
                    <w:r>
                      <w:fldChar w:fldCharType="begin"/>
                    </w:r>
                    <w:r>
                      <w:instrText xml:space="preserve"> PAGE  \* MERGEFORMAT </w:instrText>
                    </w:r>
                    <w:r>
                      <w:fldChar w:fldCharType="separate"/>
                    </w:r>
                    <w:r>
                      <w:t>- 28 -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27979">
    <w:pPr>
      <w:pStyle w:val="33"/>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79705" cy="139700"/>
              <wp:effectExtent l="0" t="0" r="0" b="0"/>
              <wp:wrapNone/>
              <wp:docPr id="4"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179705" cy="139700"/>
                      </a:xfrm>
                      <a:prstGeom prst="rect">
                        <a:avLst/>
                      </a:prstGeom>
                      <a:noFill/>
                      <a:ln>
                        <a:noFill/>
                      </a:ln>
                    </wps:spPr>
                    <wps:txbx>
                      <w:txbxContent>
                        <w:p w14:paraId="2959CAFD">
                          <w:pPr>
                            <w:pStyle w:val="33"/>
                          </w:pPr>
                          <w:r>
                            <w:fldChar w:fldCharType="begin"/>
                          </w:r>
                          <w:r>
                            <w:instrText xml:space="preserve"> PAGE  \* MERGEFORMAT </w:instrText>
                          </w:r>
                          <w:r>
                            <w:fldChar w:fldCharType="separate"/>
                          </w:r>
                          <w:r>
                            <w:t>- 1 -</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1pt;width:14.15pt;mso-position-horizontal:right;mso-position-horizontal-relative:margin;mso-wrap-style:none;z-index:251660288;mso-width-relative:page;mso-height-relative:page;" filled="f" stroked="f" coordsize="21600,21600" o:gfxdata="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qRZ6x0AAAAAMBAAAPAAAAAAAAAAEAIAAAACIAAABkcnMvZG93bnJldi54bWxQSwEC&#10;FAAUAAAACACHTuJAscsmWPwBAAAEBAAADgAAAAAAAAABACAAAAAfAQAAZHJzL2Uyb0RvYy54bWxQ&#10;SwUGAAAAAAYABgBZAQAAjQUAAAAA&#10;">
              <v:fill on="f" focussize="0,0"/>
              <v:stroke on="f"/>
              <v:imagedata o:title=""/>
              <o:lock v:ext="edit" aspectratio="f"/>
              <v:textbox inset="0mm,0mm,0mm,0mm" style="mso-fit-shape-to-text:t;">
                <w:txbxContent>
                  <w:p w14:paraId="2959CAFD">
                    <w:pPr>
                      <w:pStyle w:val="3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C7681">
    <w:pPr>
      <w:pStyle w:val="33"/>
      <w:framePr w:wrap="around" w:vAnchor="text" w:hAnchor="margin" w:xAlign="right" w:y="1"/>
      <w:rPr>
        <w:rStyle w:val="55"/>
      </w:rPr>
    </w:pPr>
    <w:r>
      <w:rPr>
        <w:rStyle w:val="55"/>
      </w:rPr>
      <w:fldChar w:fldCharType="begin"/>
    </w:r>
    <w:r>
      <w:rPr>
        <w:rStyle w:val="55"/>
      </w:rPr>
      <w:instrText xml:space="preserve">PAGE  </w:instrText>
    </w:r>
    <w:r>
      <w:rPr>
        <w:rStyle w:val="55"/>
      </w:rPr>
      <w:fldChar w:fldCharType="separate"/>
    </w:r>
    <w:r>
      <w:rPr>
        <w:rStyle w:val="55"/>
      </w:rPr>
      <w:t>1</w:t>
    </w:r>
    <w:r>
      <w:rPr>
        <w:rStyle w:val="55"/>
      </w:rPr>
      <w:fldChar w:fldCharType="end"/>
    </w:r>
  </w:p>
  <w:p w14:paraId="7DECC882">
    <w:pPr>
      <w:pStyle w:val="3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26005">
    <w:pPr>
      <w:pStyle w:val="33"/>
      <w:framePr w:wrap="around" w:vAnchor="text" w:hAnchor="margin" w:xAlign="right" w:y="1"/>
      <w:rPr>
        <w:rStyle w:val="55"/>
      </w:rPr>
    </w:pPr>
    <w:r>
      <w:rPr>
        <w:rStyle w:val="55"/>
      </w:rPr>
      <w:fldChar w:fldCharType="begin"/>
    </w:r>
    <w:r>
      <w:rPr>
        <w:rStyle w:val="55"/>
      </w:rPr>
      <w:instrText xml:space="preserve">PAGE  </w:instrText>
    </w:r>
    <w:r>
      <w:rPr>
        <w:rStyle w:val="55"/>
      </w:rPr>
      <w:fldChar w:fldCharType="end"/>
    </w:r>
  </w:p>
  <w:p w14:paraId="6541FCDF">
    <w:pPr>
      <w:pStyle w:val="3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4F955">
    <w:pPr>
      <w:spacing w:line="242" w:lineRule="exact"/>
      <w:rPr>
        <w:rFonts w:eastAsia="Times New Roman"/>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238125" cy="139700"/>
              <wp:effectExtent l="0" t="0" r="0" b="0"/>
              <wp:wrapNone/>
              <wp:docPr id="3" name="Text Box 1027"/>
              <wp:cNvGraphicFramePr/>
              <a:graphic xmlns:a="http://schemas.openxmlformats.org/drawingml/2006/main">
                <a:graphicData uri="http://schemas.microsoft.com/office/word/2010/wordprocessingShape">
                  <wps:wsp>
                    <wps:cNvSpPr txBox="1">
                      <a:spLocks noChangeArrowheads="1"/>
                    </wps:cNvSpPr>
                    <wps:spPr bwMode="auto">
                      <a:xfrm>
                        <a:off x="0" y="0"/>
                        <a:ext cx="238125" cy="139700"/>
                      </a:xfrm>
                      <a:prstGeom prst="rect">
                        <a:avLst/>
                      </a:prstGeom>
                      <a:noFill/>
                      <a:ln>
                        <a:noFill/>
                      </a:ln>
                    </wps:spPr>
                    <wps:txbx>
                      <w:txbxContent>
                        <w:p w14:paraId="48C541DB">
                          <w:pPr>
                            <w:pStyle w:val="33"/>
                          </w:pPr>
                          <w:r>
                            <w:fldChar w:fldCharType="begin"/>
                          </w:r>
                          <w:r>
                            <w:instrText xml:space="preserve"> PAGE  \* MERGEFORMAT </w:instrText>
                          </w:r>
                          <w:r>
                            <w:fldChar w:fldCharType="separate"/>
                          </w:r>
                          <w:r>
                            <w:t>- 29 -</w:t>
                          </w:r>
                          <w:r>
                            <w:fldChar w:fldCharType="end"/>
                          </w:r>
                        </w:p>
                      </w:txbxContent>
                    </wps:txbx>
                    <wps:bodyPr rot="0" vert="horz" wrap="none" lIns="0" tIns="0" rIns="0" bIns="0" anchor="t" anchorCtr="0" upright="1">
                      <a:spAutoFit/>
                    </wps:bodyPr>
                  </wps:wsp>
                </a:graphicData>
              </a:graphic>
            </wp:anchor>
          </w:drawing>
        </mc:Choice>
        <mc:Fallback>
          <w:pict>
            <v:shape id="Text Box 1027" o:spid="_x0000_s1026" o:spt="202" type="#_x0000_t202" style="position:absolute;left:0pt;margin-top:0pt;height:11pt;width:18.75pt;mso-position-horizontal:right;mso-position-horizontal-relative:margin;mso-wrap-style:none;z-index:251661312;mso-width-relative:page;mso-height-relative:page;" filled="f" stroked="f" coordsize="21600,21600" o:gfxdata="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LaZmfRAAAAAwEAAA8AAAAAAAAAAQAgAAAAIgAAAGRycy9kb3ducmV2LnhtbFBL&#10;AQIUABQAAAAIAIdO4kCRwJ7z/QEAAAQEAAAOAAAAAAAAAAEAIAAAACABAABkcnMvZTJvRG9jLnht&#10;bFBLBQYAAAAABgAGAFkBAACPBQAAAAA=&#10;">
              <v:fill on="f" focussize="0,0"/>
              <v:stroke on="f"/>
              <v:imagedata o:title=""/>
              <o:lock v:ext="edit" aspectratio="f"/>
              <v:textbox inset="0mm,0mm,0mm,0mm" style="mso-fit-shape-to-text:t;">
                <w:txbxContent>
                  <w:p w14:paraId="48C541DB">
                    <w:pPr>
                      <w:pStyle w:val="33"/>
                    </w:pPr>
                    <w:r>
                      <w:fldChar w:fldCharType="begin"/>
                    </w:r>
                    <w:r>
                      <w:instrText xml:space="preserve"> PAGE  \* MERGEFORMAT </w:instrText>
                    </w:r>
                    <w:r>
                      <w:fldChar w:fldCharType="separate"/>
                    </w:r>
                    <w:r>
                      <w:t>- 29 -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236EA">
    <w:pPr>
      <w:pStyle w:val="33"/>
      <w:ind w:right="360"/>
      <w:jc w:val="right"/>
      <w:rPr>
        <w:rFonts w:eastAsia="楷体_GB2312"/>
      </w:rPr>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238125" cy="139700"/>
              <wp:effectExtent l="0" t="0" r="0" b="0"/>
              <wp:wrapNone/>
              <wp:docPr id="2" name="Text Box 1028"/>
              <wp:cNvGraphicFramePr/>
              <a:graphic xmlns:a="http://schemas.openxmlformats.org/drawingml/2006/main">
                <a:graphicData uri="http://schemas.microsoft.com/office/word/2010/wordprocessingShape">
                  <wps:wsp>
                    <wps:cNvSpPr txBox="1">
                      <a:spLocks noChangeArrowheads="1"/>
                    </wps:cNvSpPr>
                    <wps:spPr bwMode="auto">
                      <a:xfrm>
                        <a:off x="0" y="0"/>
                        <a:ext cx="238125" cy="139700"/>
                      </a:xfrm>
                      <a:prstGeom prst="rect">
                        <a:avLst/>
                      </a:prstGeom>
                      <a:noFill/>
                      <a:ln>
                        <a:noFill/>
                      </a:ln>
                    </wps:spPr>
                    <wps:txbx>
                      <w:txbxContent>
                        <w:p w14:paraId="1F80761D">
                          <w:pPr>
                            <w:pStyle w:val="33"/>
                          </w:pPr>
                          <w:r>
                            <w:fldChar w:fldCharType="begin"/>
                          </w:r>
                          <w:r>
                            <w:instrText xml:space="preserve"> PAGE  \* MERGEFORMAT </w:instrText>
                          </w:r>
                          <w:r>
                            <w:fldChar w:fldCharType="separate"/>
                          </w:r>
                          <w:r>
                            <w:t>- 63 -</w:t>
                          </w:r>
                          <w:r>
                            <w:fldChar w:fldCharType="end"/>
                          </w:r>
                        </w:p>
                      </w:txbxContent>
                    </wps:txbx>
                    <wps:bodyPr rot="0" vert="horz" wrap="none" lIns="0" tIns="0" rIns="0" bIns="0" anchor="t" anchorCtr="0" upright="1">
                      <a:spAutoFit/>
                    </wps:bodyPr>
                  </wps:wsp>
                </a:graphicData>
              </a:graphic>
            </wp:anchor>
          </w:drawing>
        </mc:Choice>
        <mc:Fallback>
          <w:pict>
            <v:shape id="Text Box 1028" o:spid="_x0000_s1026" o:spt="202" type="#_x0000_t202" style="position:absolute;left:0pt;margin-top:0pt;height:11pt;width:18.75pt;mso-position-horizontal:right;mso-position-horizontal-relative:margin;mso-wrap-style:none;z-index:251662336;mso-width-relative:page;mso-height-relative:page;" filled="f" stroked="f" coordsize="21600,21600" o:gfxdata="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LaZmfRAAAAAwEAAA8AAAAAAAAAAQAgAAAAIgAAAGRycy9kb3ducmV2LnhtbFBL&#10;AQIUABQAAAAIAIdO4kDBYY4r/QEAAAQEAAAOAAAAAAAAAAEAIAAAACABAABkcnMvZTJvRG9jLnht&#10;bFBLBQYAAAAABgAGAFkBAACPBQAAAAA=&#10;">
              <v:fill on="f" focussize="0,0"/>
              <v:stroke on="f"/>
              <v:imagedata o:title=""/>
              <o:lock v:ext="edit" aspectratio="f"/>
              <v:textbox inset="0mm,0mm,0mm,0mm" style="mso-fit-shape-to-text:t;">
                <w:txbxContent>
                  <w:p w14:paraId="1F80761D">
                    <w:pPr>
                      <w:pStyle w:val="33"/>
                    </w:pPr>
                    <w:r>
                      <w:fldChar w:fldCharType="begin"/>
                    </w:r>
                    <w:r>
                      <w:instrText xml:space="preserve"> PAGE  \* MERGEFORMAT </w:instrText>
                    </w:r>
                    <w:r>
                      <w:fldChar w:fldCharType="separate"/>
                    </w:r>
                    <w:r>
                      <w:t>- 63 -</w:t>
                    </w:r>
                    <w:r>
                      <w:fldChar w:fldCharType="end"/>
                    </w:r>
                  </w:p>
                </w:txbxContent>
              </v:textbox>
            </v:shape>
          </w:pict>
        </mc:Fallback>
      </mc:AlternateContent>
    </w:r>
    <w:r>
      <w:rPr>
        <w:rFonts w:hint="eastAsia" w:eastAsia="楷体_GB2312"/>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775C4">
    <w:pPr>
      <w:pStyle w:val="3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8D49C">
    <w:pPr>
      <w:pStyle w:val="3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08776">
    <w:pPr>
      <w:pStyle w:val="35"/>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84186">
    <w:pPr>
      <w:pStyle w:val="35"/>
      <w:pBdr>
        <w:bottom w:val="none" w:color="auto" w:sz="0" w:space="1"/>
      </w:pBdr>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0F7F2">
    <w:pPr>
      <w:pStyle w:val="35"/>
      <w:pBdr>
        <w:bottom w:val="none" w:color="auto" w:sz="0" w:space="1"/>
      </w:pBdr>
      <w:jc w:val="both"/>
      <w:rPr>
        <w:rFonts w:eastAsia="华文行楷"/>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16F414"/>
    <w:multiLevelType w:val="singleLevel"/>
    <w:tmpl w:val="7016F41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AwODljODQ5ZTJjZWUxZjRlZDYxYjgyMTc0YzhjYWMifQ=="/>
    <w:docVar w:name="KSO_WPS_MARK_KEY" w:val="46fb89cb-c0e1-4bf6-ab44-c075f113d80b"/>
  </w:docVars>
  <w:rsids>
    <w:rsidRoot w:val="00172A27"/>
    <w:rsid w:val="00000B79"/>
    <w:rsid w:val="00001D41"/>
    <w:rsid w:val="00004479"/>
    <w:rsid w:val="00005FD1"/>
    <w:rsid w:val="00006C78"/>
    <w:rsid w:val="00007BDE"/>
    <w:rsid w:val="00016152"/>
    <w:rsid w:val="00020F53"/>
    <w:rsid w:val="000231B4"/>
    <w:rsid w:val="00030FA3"/>
    <w:rsid w:val="00031F1A"/>
    <w:rsid w:val="0003681C"/>
    <w:rsid w:val="0004081A"/>
    <w:rsid w:val="00041B54"/>
    <w:rsid w:val="00043446"/>
    <w:rsid w:val="0004542B"/>
    <w:rsid w:val="00045EED"/>
    <w:rsid w:val="000541E2"/>
    <w:rsid w:val="000565FA"/>
    <w:rsid w:val="00056A7C"/>
    <w:rsid w:val="000633A3"/>
    <w:rsid w:val="000647AE"/>
    <w:rsid w:val="00070F94"/>
    <w:rsid w:val="00072104"/>
    <w:rsid w:val="00075048"/>
    <w:rsid w:val="00075E73"/>
    <w:rsid w:val="00086F05"/>
    <w:rsid w:val="0009073C"/>
    <w:rsid w:val="00090C66"/>
    <w:rsid w:val="0009122F"/>
    <w:rsid w:val="000912F9"/>
    <w:rsid w:val="00092B34"/>
    <w:rsid w:val="000932A2"/>
    <w:rsid w:val="00093C12"/>
    <w:rsid w:val="00093D29"/>
    <w:rsid w:val="000A00EB"/>
    <w:rsid w:val="000A03D4"/>
    <w:rsid w:val="000A3939"/>
    <w:rsid w:val="000A5463"/>
    <w:rsid w:val="000A66AB"/>
    <w:rsid w:val="000B0BCE"/>
    <w:rsid w:val="000B3E59"/>
    <w:rsid w:val="000B4D99"/>
    <w:rsid w:val="000B5410"/>
    <w:rsid w:val="000B6C43"/>
    <w:rsid w:val="000C3167"/>
    <w:rsid w:val="000C654C"/>
    <w:rsid w:val="000D292B"/>
    <w:rsid w:val="000E132F"/>
    <w:rsid w:val="000E1E0A"/>
    <w:rsid w:val="000E24DE"/>
    <w:rsid w:val="000E320A"/>
    <w:rsid w:val="000E34EC"/>
    <w:rsid w:val="000E3DB9"/>
    <w:rsid w:val="000E440F"/>
    <w:rsid w:val="000E55E4"/>
    <w:rsid w:val="000F005A"/>
    <w:rsid w:val="000F19CE"/>
    <w:rsid w:val="000F2368"/>
    <w:rsid w:val="000F3FEF"/>
    <w:rsid w:val="000F54C2"/>
    <w:rsid w:val="000F56E8"/>
    <w:rsid w:val="000F6EB5"/>
    <w:rsid w:val="00101E09"/>
    <w:rsid w:val="00105C07"/>
    <w:rsid w:val="00106AB4"/>
    <w:rsid w:val="00107DE6"/>
    <w:rsid w:val="00113DF6"/>
    <w:rsid w:val="0011412D"/>
    <w:rsid w:val="001171B8"/>
    <w:rsid w:val="00131B10"/>
    <w:rsid w:val="001328A6"/>
    <w:rsid w:val="001334F8"/>
    <w:rsid w:val="00133A79"/>
    <w:rsid w:val="00134436"/>
    <w:rsid w:val="00134979"/>
    <w:rsid w:val="00134E96"/>
    <w:rsid w:val="00137B46"/>
    <w:rsid w:val="00137ECE"/>
    <w:rsid w:val="001402A9"/>
    <w:rsid w:val="00140C27"/>
    <w:rsid w:val="00141E41"/>
    <w:rsid w:val="001420B5"/>
    <w:rsid w:val="00143CE6"/>
    <w:rsid w:val="00143D06"/>
    <w:rsid w:val="00146BD9"/>
    <w:rsid w:val="00147CF0"/>
    <w:rsid w:val="0015270D"/>
    <w:rsid w:val="00153A35"/>
    <w:rsid w:val="0015545D"/>
    <w:rsid w:val="00157582"/>
    <w:rsid w:val="001616C8"/>
    <w:rsid w:val="00172A27"/>
    <w:rsid w:val="0017488B"/>
    <w:rsid w:val="00176634"/>
    <w:rsid w:val="0018325E"/>
    <w:rsid w:val="00184045"/>
    <w:rsid w:val="00184A07"/>
    <w:rsid w:val="001861D6"/>
    <w:rsid w:val="00186C6B"/>
    <w:rsid w:val="00193FD2"/>
    <w:rsid w:val="00196F3A"/>
    <w:rsid w:val="00197AD6"/>
    <w:rsid w:val="001A1A39"/>
    <w:rsid w:val="001A1A41"/>
    <w:rsid w:val="001A2879"/>
    <w:rsid w:val="001A2908"/>
    <w:rsid w:val="001A3C8E"/>
    <w:rsid w:val="001A4C33"/>
    <w:rsid w:val="001B0612"/>
    <w:rsid w:val="001B18FA"/>
    <w:rsid w:val="001B4AD3"/>
    <w:rsid w:val="001B4BA3"/>
    <w:rsid w:val="001B623E"/>
    <w:rsid w:val="001C2F9B"/>
    <w:rsid w:val="001C4D58"/>
    <w:rsid w:val="001C584C"/>
    <w:rsid w:val="001C6314"/>
    <w:rsid w:val="001C68E5"/>
    <w:rsid w:val="001C6FE3"/>
    <w:rsid w:val="001C74C7"/>
    <w:rsid w:val="001D0EFC"/>
    <w:rsid w:val="001E0BCB"/>
    <w:rsid w:val="001E72E1"/>
    <w:rsid w:val="001F013C"/>
    <w:rsid w:val="001F0C4B"/>
    <w:rsid w:val="001F59C3"/>
    <w:rsid w:val="001F7B3A"/>
    <w:rsid w:val="002010D9"/>
    <w:rsid w:val="00201717"/>
    <w:rsid w:val="00204CA1"/>
    <w:rsid w:val="00206F0D"/>
    <w:rsid w:val="00207B61"/>
    <w:rsid w:val="00211C89"/>
    <w:rsid w:val="00212532"/>
    <w:rsid w:val="002137C6"/>
    <w:rsid w:val="00216EDC"/>
    <w:rsid w:val="00221BD8"/>
    <w:rsid w:val="002222CE"/>
    <w:rsid w:val="00224D70"/>
    <w:rsid w:val="00226B69"/>
    <w:rsid w:val="00230DAB"/>
    <w:rsid w:val="00231D02"/>
    <w:rsid w:val="0023324F"/>
    <w:rsid w:val="00234E11"/>
    <w:rsid w:val="002354C5"/>
    <w:rsid w:val="00236E22"/>
    <w:rsid w:val="002379B9"/>
    <w:rsid w:val="00242544"/>
    <w:rsid w:val="002504A9"/>
    <w:rsid w:val="00250F17"/>
    <w:rsid w:val="00252D56"/>
    <w:rsid w:val="00254025"/>
    <w:rsid w:val="0025522D"/>
    <w:rsid w:val="00260585"/>
    <w:rsid w:val="00262CD6"/>
    <w:rsid w:val="00270F89"/>
    <w:rsid w:val="002719F7"/>
    <w:rsid w:val="002756B8"/>
    <w:rsid w:val="0028062A"/>
    <w:rsid w:val="0028069D"/>
    <w:rsid w:val="00283082"/>
    <w:rsid w:val="00283F13"/>
    <w:rsid w:val="00286E82"/>
    <w:rsid w:val="00292728"/>
    <w:rsid w:val="002933E3"/>
    <w:rsid w:val="002938EA"/>
    <w:rsid w:val="002A373E"/>
    <w:rsid w:val="002A5DD9"/>
    <w:rsid w:val="002A6675"/>
    <w:rsid w:val="002A7E72"/>
    <w:rsid w:val="002B0361"/>
    <w:rsid w:val="002B19DF"/>
    <w:rsid w:val="002B51E5"/>
    <w:rsid w:val="002C4FEA"/>
    <w:rsid w:val="002C5F39"/>
    <w:rsid w:val="002D1AF7"/>
    <w:rsid w:val="002E1337"/>
    <w:rsid w:val="002E1C48"/>
    <w:rsid w:val="002E69AC"/>
    <w:rsid w:val="002E74AE"/>
    <w:rsid w:val="002E7A1E"/>
    <w:rsid w:val="002F3625"/>
    <w:rsid w:val="002F4E9F"/>
    <w:rsid w:val="002F56B1"/>
    <w:rsid w:val="002F5BF1"/>
    <w:rsid w:val="002F5C51"/>
    <w:rsid w:val="00300E7E"/>
    <w:rsid w:val="0030124F"/>
    <w:rsid w:val="003062DC"/>
    <w:rsid w:val="00312B63"/>
    <w:rsid w:val="003144EB"/>
    <w:rsid w:val="003160AE"/>
    <w:rsid w:val="00316A8C"/>
    <w:rsid w:val="00321F52"/>
    <w:rsid w:val="00322815"/>
    <w:rsid w:val="00324294"/>
    <w:rsid w:val="00324681"/>
    <w:rsid w:val="00325023"/>
    <w:rsid w:val="00325213"/>
    <w:rsid w:val="00325E33"/>
    <w:rsid w:val="00326BC9"/>
    <w:rsid w:val="00335115"/>
    <w:rsid w:val="003405CA"/>
    <w:rsid w:val="00342BF6"/>
    <w:rsid w:val="00342F68"/>
    <w:rsid w:val="00346C3D"/>
    <w:rsid w:val="003509FD"/>
    <w:rsid w:val="003536E7"/>
    <w:rsid w:val="003543F9"/>
    <w:rsid w:val="00355E0C"/>
    <w:rsid w:val="00356D8E"/>
    <w:rsid w:val="00360414"/>
    <w:rsid w:val="003604F4"/>
    <w:rsid w:val="00361E97"/>
    <w:rsid w:val="003635CD"/>
    <w:rsid w:val="00366DC2"/>
    <w:rsid w:val="00380DDC"/>
    <w:rsid w:val="0039234B"/>
    <w:rsid w:val="00395CC9"/>
    <w:rsid w:val="00396C13"/>
    <w:rsid w:val="0039790E"/>
    <w:rsid w:val="003A38CF"/>
    <w:rsid w:val="003A5799"/>
    <w:rsid w:val="003B1604"/>
    <w:rsid w:val="003B3539"/>
    <w:rsid w:val="003B5682"/>
    <w:rsid w:val="003B67E6"/>
    <w:rsid w:val="003B7CE5"/>
    <w:rsid w:val="003C2078"/>
    <w:rsid w:val="003C3B6A"/>
    <w:rsid w:val="003C4B54"/>
    <w:rsid w:val="003C66D7"/>
    <w:rsid w:val="003C72C7"/>
    <w:rsid w:val="003C7A4F"/>
    <w:rsid w:val="003D11E6"/>
    <w:rsid w:val="003D312A"/>
    <w:rsid w:val="003D3857"/>
    <w:rsid w:val="003D56B6"/>
    <w:rsid w:val="003E0538"/>
    <w:rsid w:val="003E67EC"/>
    <w:rsid w:val="003E6D23"/>
    <w:rsid w:val="003F2028"/>
    <w:rsid w:val="003F43D8"/>
    <w:rsid w:val="003F4E17"/>
    <w:rsid w:val="00403775"/>
    <w:rsid w:val="00406A95"/>
    <w:rsid w:val="00406C27"/>
    <w:rsid w:val="004077BC"/>
    <w:rsid w:val="00410AED"/>
    <w:rsid w:val="004112DD"/>
    <w:rsid w:val="0041253F"/>
    <w:rsid w:val="00414771"/>
    <w:rsid w:val="0042097D"/>
    <w:rsid w:val="00421246"/>
    <w:rsid w:val="00423AFC"/>
    <w:rsid w:val="00423EEA"/>
    <w:rsid w:val="004265A8"/>
    <w:rsid w:val="0042661A"/>
    <w:rsid w:val="00426C2A"/>
    <w:rsid w:val="004300BC"/>
    <w:rsid w:val="00431D39"/>
    <w:rsid w:val="00432A94"/>
    <w:rsid w:val="00434BB1"/>
    <w:rsid w:val="00434D59"/>
    <w:rsid w:val="00434D76"/>
    <w:rsid w:val="00440254"/>
    <w:rsid w:val="004417B0"/>
    <w:rsid w:val="0044406E"/>
    <w:rsid w:val="00446402"/>
    <w:rsid w:val="004521CF"/>
    <w:rsid w:val="0045404C"/>
    <w:rsid w:val="0045543A"/>
    <w:rsid w:val="004557E9"/>
    <w:rsid w:val="00456CC8"/>
    <w:rsid w:val="004575BA"/>
    <w:rsid w:val="00460117"/>
    <w:rsid w:val="004601A1"/>
    <w:rsid w:val="004615B9"/>
    <w:rsid w:val="00461EB7"/>
    <w:rsid w:val="00465A0C"/>
    <w:rsid w:val="00465D94"/>
    <w:rsid w:val="00473E9A"/>
    <w:rsid w:val="00474999"/>
    <w:rsid w:val="00475908"/>
    <w:rsid w:val="00476D20"/>
    <w:rsid w:val="00482A7C"/>
    <w:rsid w:val="00482D8A"/>
    <w:rsid w:val="0048779E"/>
    <w:rsid w:val="0049111F"/>
    <w:rsid w:val="00493842"/>
    <w:rsid w:val="00493D3D"/>
    <w:rsid w:val="004A253E"/>
    <w:rsid w:val="004A2AF3"/>
    <w:rsid w:val="004A328C"/>
    <w:rsid w:val="004A3F0C"/>
    <w:rsid w:val="004A5F4A"/>
    <w:rsid w:val="004A7C0C"/>
    <w:rsid w:val="004B2118"/>
    <w:rsid w:val="004B2974"/>
    <w:rsid w:val="004B2E54"/>
    <w:rsid w:val="004B5FDD"/>
    <w:rsid w:val="004B71AD"/>
    <w:rsid w:val="004C1E31"/>
    <w:rsid w:val="004C2B47"/>
    <w:rsid w:val="004C4A07"/>
    <w:rsid w:val="004C5C3C"/>
    <w:rsid w:val="004C751A"/>
    <w:rsid w:val="004D02BD"/>
    <w:rsid w:val="004D3DD8"/>
    <w:rsid w:val="004D5420"/>
    <w:rsid w:val="004D79A6"/>
    <w:rsid w:val="004E105C"/>
    <w:rsid w:val="004E380F"/>
    <w:rsid w:val="004E3C53"/>
    <w:rsid w:val="004E63C9"/>
    <w:rsid w:val="004F2B41"/>
    <w:rsid w:val="004F5C7B"/>
    <w:rsid w:val="004F6B70"/>
    <w:rsid w:val="004F7D2A"/>
    <w:rsid w:val="00504E99"/>
    <w:rsid w:val="005063C5"/>
    <w:rsid w:val="00507731"/>
    <w:rsid w:val="0051283F"/>
    <w:rsid w:val="005128CA"/>
    <w:rsid w:val="00513234"/>
    <w:rsid w:val="005140D5"/>
    <w:rsid w:val="00514E7F"/>
    <w:rsid w:val="00515983"/>
    <w:rsid w:val="00521454"/>
    <w:rsid w:val="0052154C"/>
    <w:rsid w:val="00522C81"/>
    <w:rsid w:val="00524341"/>
    <w:rsid w:val="00524A1C"/>
    <w:rsid w:val="00526380"/>
    <w:rsid w:val="00527DB6"/>
    <w:rsid w:val="00530168"/>
    <w:rsid w:val="0053016D"/>
    <w:rsid w:val="00530AC4"/>
    <w:rsid w:val="005341E7"/>
    <w:rsid w:val="005376C8"/>
    <w:rsid w:val="00540E5C"/>
    <w:rsid w:val="00545AF3"/>
    <w:rsid w:val="005462BE"/>
    <w:rsid w:val="00552079"/>
    <w:rsid w:val="00553BBE"/>
    <w:rsid w:val="00557AE8"/>
    <w:rsid w:val="00560463"/>
    <w:rsid w:val="00560908"/>
    <w:rsid w:val="00560D11"/>
    <w:rsid w:val="0056175A"/>
    <w:rsid w:val="00561975"/>
    <w:rsid w:val="005671E4"/>
    <w:rsid w:val="00570E0B"/>
    <w:rsid w:val="00571962"/>
    <w:rsid w:val="00572CCC"/>
    <w:rsid w:val="0057451D"/>
    <w:rsid w:val="005771A0"/>
    <w:rsid w:val="00580221"/>
    <w:rsid w:val="00585BB1"/>
    <w:rsid w:val="00587474"/>
    <w:rsid w:val="005916E0"/>
    <w:rsid w:val="00591709"/>
    <w:rsid w:val="0059273E"/>
    <w:rsid w:val="00594434"/>
    <w:rsid w:val="00595C6D"/>
    <w:rsid w:val="00596447"/>
    <w:rsid w:val="005A043F"/>
    <w:rsid w:val="005A1416"/>
    <w:rsid w:val="005A2273"/>
    <w:rsid w:val="005A2967"/>
    <w:rsid w:val="005A2EB9"/>
    <w:rsid w:val="005A4458"/>
    <w:rsid w:val="005A4BFB"/>
    <w:rsid w:val="005A4C09"/>
    <w:rsid w:val="005A5EA3"/>
    <w:rsid w:val="005A7F23"/>
    <w:rsid w:val="005B0CFB"/>
    <w:rsid w:val="005B1271"/>
    <w:rsid w:val="005B32BF"/>
    <w:rsid w:val="005B5B0F"/>
    <w:rsid w:val="005B694F"/>
    <w:rsid w:val="005C3647"/>
    <w:rsid w:val="005C5431"/>
    <w:rsid w:val="005C63B1"/>
    <w:rsid w:val="005C750D"/>
    <w:rsid w:val="005D2709"/>
    <w:rsid w:val="005D5E29"/>
    <w:rsid w:val="005E18BD"/>
    <w:rsid w:val="005E2798"/>
    <w:rsid w:val="005E2E51"/>
    <w:rsid w:val="005E664A"/>
    <w:rsid w:val="005F12D1"/>
    <w:rsid w:val="005F2103"/>
    <w:rsid w:val="005F4A8B"/>
    <w:rsid w:val="005F6AAD"/>
    <w:rsid w:val="005F7CB3"/>
    <w:rsid w:val="00604317"/>
    <w:rsid w:val="006063B6"/>
    <w:rsid w:val="0061041E"/>
    <w:rsid w:val="0061165B"/>
    <w:rsid w:val="00611AE6"/>
    <w:rsid w:val="006140F3"/>
    <w:rsid w:val="00614208"/>
    <w:rsid w:val="0061578C"/>
    <w:rsid w:val="00616363"/>
    <w:rsid w:val="0061733A"/>
    <w:rsid w:val="00626C76"/>
    <w:rsid w:val="0063021A"/>
    <w:rsid w:val="006308DC"/>
    <w:rsid w:val="00633B89"/>
    <w:rsid w:val="00634C2E"/>
    <w:rsid w:val="00634F88"/>
    <w:rsid w:val="00635D34"/>
    <w:rsid w:val="006440E3"/>
    <w:rsid w:val="006444E2"/>
    <w:rsid w:val="0064776A"/>
    <w:rsid w:val="00650C39"/>
    <w:rsid w:val="00652429"/>
    <w:rsid w:val="00655F9B"/>
    <w:rsid w:val="0065701C"/>
    <w:rsid w:val="006576CE"/>
    <w:rsid w:val="006669C1"/>
    <w:rsid w:val="00671B1F"/>
    <w:rsid w:val="00671F80"/>
    <w:rsid w:val="0067202E"/>
    <w:rsid w:val="00674CDA"/>
    <w:rsid w:val="00674F20"/>
    <w:rsid w:val="00680162"/>
    <w:rsid w:val="00680DCB"/>
    <w:rsid w:val="00681189"/>
    <w:rsid w:val="0068146B"/>
    <w:rsid w:val="0068188A"/>
    <w:rsid w:val="00683C44"/>
    <w:rsid w:val="00686578"/>
    <w:rsid w:val="00690BD9"/>
    <w:rsid w:val="00692399"/>
    <w:rsid w:val="00692C39"/>
    <w:rsid w:val="00692E71"/>
    <w:rsid w:val="00693077"/>
    <w:rsid w:val="006966FD"/>
    <w:rsid w:val="006A24AE"/>
    <w:rsid w:val="006A6092"/>
    <w:rsid w:val="006A782C"/>
    <w:rsid w:val="006B1455"/>
    <w:rsid w:val="006B2279"/>
    <w:rsid w:val="006B468A"/>
    <w:rsid w:val="006B6DB7"/>
    <w:rsid w:val="006B724C"/>
    <w:rsid w:val="006C0425"/>
    <w:rsid w:val="006C498F"/>
    <w:rsid w:val="006C572E"/>
    <w:rsid w:val="006D2730"/>
    <w:rsid w:val="006D37AE"/>
    <w:rsid w:val="006D5E04"/>
    <w:rsid w:val="006D6074"/>
    <w:rsid w:val="006E109F"/>
    <w:rsid w:val="006F075D"/>
    <w:rsid w:val="006F2928"/>
    <w:rsid w:val="006F504B"/>
    <w:rsid w:val="006F7576"/>
    <w:rsid w:val="00700CE8"/>
    <w:rsid w:val="007027C0"/>
    <w:rsid w:val="007037FA"/>
    <w:rsid w:val="00703F2C"/>
    <w:rsid w:val="00704571"/>
    <w:rsid w:val="007063AD"/>
    <w:rsid w:val="007069D9"/>
    <w:rsid w:val="00710CA1"/>
    <w:rsid w:val="00712110"/>
    <w:rsid w:val="00712ADD"/>
    <w:rsid w:val="00712F6F"/>
    <w:rsid w:val="00713799"/>
    <w:rsid w:val="007159C0"/>
    <w:rsid w:val="007160A4"/>
    <w:rsid w:val="00723583"/>
    <w:rsid w:val="007247CA"/>
    <w:rsid w:val="00724842"/>
    <w:rsid w:val="00726886"/>
    <w:rsid w:val="00726DA7"/>
    <w:rsid w:val="007279AA"/>
    <w:rsid w:val="00730C1E"/>
    <w:rsid w:val="00731075"/>
    <w:rsid w:val="00740E71"/>
    <w:rsid w:val="00741BD3"/>
    <w:rsid w:val="007428EB"/>
    <w:rsid w:val="00744597"/>
    <w:rsid w:val="00744D5C"/>
    <w:rsid w:val="00744E0B"/>
    <w:rsid w:val="00746D05"/>
    <w:rsid w:val="0075027D"/>
    <w:rsid w:val="00750DC5"/>
    <w:rsid w:val="007527F2"/>
    <w:rsid w:val="00754643"/>
    <w:rsid w:val="00754C33"/>
    <w:rsid w:val="00755EF6"/>
    <w:rsid w:val="00757B37"/>
    <w:rsid w:val="0076197F"/>
    <w:rsid w:val="00762F1B"/>
    <w:rsid w:val="00765981"/>
    <w:rsid w:val="0077112C"/>
    <w:rsid w:val="0077235D"/>
    <w:rsid w:val="00774158"/>
    <w:rsid w:val="0077598C"/>
    <w:rsid w:val="00781094"/>
    <w:rsid w:val="00781BED"/>
    <w:rsid w:val="00782FC5"/>
    <w:rsid w:val="00783A82"/>
    <w:rsid w:val="0078574D"/>
    <w:rsid w:val="00785A9F"/>
    <w:rsid w:val="007909C3"/>
    <w:rsid w:val="00790B3C"/>
    <w:rsid w:val="00792455"/>
    <w:rsid w:val="00792842"/>
    <w:rsid w:val="00793983"/>
    <w:rsid w:val="007A16DD"/>
    <w:rsid w:val="007A7059"/>
    <w:rsid w:val="007A75C0"/>
    <w:rsid w:val="007A7652"/>
    <w:rsid w:val="007B0219"/>
    <w:rsid w:val="007B055F"/>
    <w:rsid w:val="007B16BB"/>
    <w:rsid w:val="007B4EDD"/>
    <w:rsid w:val="007B55F1"/>
    <w:rsid w:val="007C0882"/>
    <w:rsid w:val="007C5745"/>
    <w:rsid w:val="007C57E6"/>
    <w:rsid w:val="007C5C79"/>
    <w:rsid w:val="007C5D15"/>
    <w:rsid w:val="007D5605"/>
    <w:rsid w:val="007D5C76"/>
    <w:rsid w:val="007D61B1"/>
    <w:rsid w:val="007E0B55"/>
    <w:rsid w:val="007E3B05"/>
    <w:rsid w:val="007E5C3E"/>
    <w:rsid w:val="007E686A"/>
    <w:rsid w:val="007E7B18"/>
    <w:rsid w:val="007F092D"/>
    <w:rsid w:val="007F29E0"/>
    <w:rsid w:val="007F5030"/>
    <w:rsid w:val="007F55C7"/>
    <w:rsid w:val="007F7528"/>
    <w:rsid w:val="00803B06"/>
    <w:rsid w:val="008055EA"/>
    <w:rsid w:val="00805D13"/>
    <w:rsid w:val="008100BE"/>
    <w:rsid w:val="0081197A"/>
    <w:rsid w:val="00816E88"/>
    <w:rsid w:val="00816EF8"/>
    <w:rsid w:val="00820B41"/>
    <w:rsid w:val="008235CE"/>
    <w:rsid w:val="00823E22"/>
    <w:rsid w:val="0082694A"/>
    <w:rsid w:val="008315AD"/>
    <w:rsid w:val="00831F98"/>
    <w:rsid w:val="0083782F"/>
    <w:rsid w:val="0084318F"/>
    <w:rsid w:val="0084453D"/>
    <w:rsid w:val="008449C7"/>
    <w:rsid w:val="00844FB2"/>
    <w:rsid w:val="0084665D"/>
    <w:rsid w:val="00850C27"/>
    <w:rsid w:val="00854646"/>
    <w:rsid w:val="0085493C"/>
    <w:rsid w:val="0086047D"/>
    <w:rsid w:val="008611A7"/>
    <w:rsid w:val="00862EEB"/>
    <w:rsid w:val="0087469A"/>
    <w:rsid w:val="00887526"/>
    <w:rsid w:val="0089001B"/>
    <w:rsid w:val="00895084"/>
    <w:rsid w:val="00895B66"/>
    <w:rsid w:val="00897918"/>
    <w:rsid w:val="00897AC7"/>
    <w:rsid w:val="008A0DED"/>
    <w:rsid w:val="008A0FAF"/>
    <w:rsid w:val="008A1AC2"/>
    <w:rsid w:val="008A4B65"/>
    <w:rsid w:val="008B14D3"/>
    <w:rsid w:val="008B49B3"/>
    <w:rsid w:val="008B5455"/>
    <w:rsid w:val="008B7CEA"/>
    <w:rsid w:val="008C1C41"/>
    <w:rsid w:val="008C21FA"/>
    <w:rsid w:val="008C46DD"/>
    <w:rsid w:val="008C51B8"/>
    <w:rsid w:val="008D23DB"/>
    <w:rsid w:val="008D359A"/>
    <w:rsid w:val="008D531D"/>
    <w:rsid w:val="008E01BB"/>
    <w:rsid w:val="008E062B"/>
    <w:rsid w:val="008E0B24"/>
    <w:rsid w:val="008E5454"/>
    <w:rsid w:val="008E5E95"/>
    <w:rsid w:val="008F0DAA"/>
    <w:rsid w:val="008F3A57"/>
    <w:rsid w:val="008F504C"/>
    <w:rsid w:val="008F7D69"/>
    <w:rsid w:val="00900690"/>
    <w:rsid w:val="00906E61"/>
    <w:rsid w:val="00912B78"/>
    <w:rsid w:val="009162D9"/>
    <w:rsid w:val="00921088"/>
    <w:rsid w:val="009225BB"/>
    <w:rsid w:val="009243CB"/>
    <w:rsid w:val="00925EA9"/>
    <w:rsid w:val="0092727A"/>
    <w:rsid w:val="00927E40"/>
    <w:rsid w:val="00930903"/>
    <w:rsid w:val="009311C0"/>
    <w:rsid w:val="0093166F"/>
    <w:rsid w:val="00931BA1"/>
    <w:rsid w:val="009325D4"/>
    <w:rsid w:val="00932A03"/>
    <w:rsid w:val="009339AD"/>
    <w:rsid w:val="00934F8D"/>
    <w:rsid w:val="009350DB"/>
    <w:rsid w:val="00941B2F"/>
    <w:rsid w:val="00944049"/>
    <w:rsid w:val="00946AA4"/>
    <w:rsid w:val="00946E7A"/>
    <w:rsid w:val="00946FC8"/>
    <w:rsid w:val="009516B8"/>
    <w:rsid w:val="009522F4"/>
    <w:rsid w:val="009618FB"/>
    <w:rsid w:val="00962DEE"/>
    <w:rsid w:val="009722E2"/>
    <w:rsid w:val="00973B1D"/>
    <w:rsid w:val="009740E9"/>
    <w:rsid w:val="00974192"/>
    <w:rsid w:val="00974AF0"/>
    <w:rsid w:val="00977898"/>
    <w:rsid w:val="00983821"/>
    <w:rsid w:val="00986C7F"/>
    <w:rsid w:val="00991A67"/>
    <w:rsid w:val="009922BA"/>
    <w:rsid w:val="00993041"/>
    <w:rsid w:val="00993BB2"/>
    <w:rsid w:val="00995FB3"/>
    <w:rsid w:val="0099622A"/>
    <w:rsid w:val="00996A6D"/>
    <w:rsid w:val="00997D30"/>
    <w:rsid w:val="009A108D"/>
    <w:rsid w:val="009A13DB"/>
    <w:rsid w:val="009A1E7A"/>
    <w:rsid w:val="009A540E"/>
    <w:rsid w:val="009A678B"/>
    <w:rsid w:val="009A726B"/>
    <w:rsid w:val="009A7521"/>
    <w:rsid w:val="009B17C0"/>
    <w:rsid w:val="009B2728"/>
    <w:rsid w:val="009B3223"/>
    <w:rsid w:val="009B4BAA"/>
    <w:rsid w:val="009B5181"/>
    <w:rsid w:val="009B64D1"/>
    <w:rsid w:val="009B7B41"/>
    <w:rsid w:val="009C3C66"/>
    <w:rsid w:val="009C40F1"/>
    <w:rsid w:val="009C4290"/>
    <w:rsid w:val="009D0B10"/>
    <w:rsid w:val="009D21BB"/>
    <w:rsid w:val="009D55EF"/>
    <w:rsid w:val="009D5A00"/>
    <w:rsid w:val="009D6CED"/>
    <w:rsid w:val="009D7C12"/>
    <w:rsid w:val="009E04E7"/>
    <w:rsid w:val="009E1BED"/>
    <w:rsid w:val="009E36B5"/>
    <w:rsid w:val="009E3FA3"/>
    <w:rsid w:val="009E57DB"/>
    <w:rsid w:val="009E64F7"/>
    <w:rsid w:val="009E7056"/>
    <w:rsid w:val="009E74B1"/>
    <w:rsid w:val="009E7BE6"/>
    <w:rsid w:val="009E7DA6"/>
    <w:rsid w:val="009F07B3"/>
    <w:rsid w:val="009F0D64"/>
    <w:rsid w:val="009F5067"/>
    <w:rsid w:val="009F5163"/>
    <w:rsid w:val="00A02666"/>
    <w:rsid w:val="00A03A32"/>
    <w:rsid w:val="00A07F45"/>
    <w:rsid w:val="00A10628"/>
    <w:rsid w:val="00A1582B"/>
    <w:rsid w:val="00A160B0"/>
    <w:rsid w:val="00A20A23"/>
    <w:rsid w:val="00A23D08"/>
    <w:rsid w:val="00A26BCC"/>
    <w:rsid w:val="00A26D8F"/>
    <w:rsid w:val="00A3281E"/>
    <w:rsid w:val="00A3498E"/>
    <w:rsid w:val="00A35C7F"/>
    <w:rsid w:val="00A403DE"/>
    <w:rsid w:val="00A41B27"/>
    <w:rsid w:val="00A43913"/>
    <w:rsid w:val="00A44099"/>
    <w:rsid w:val="00A44AC0"/>
    <w:rsid w:val="00A45D30"/>
    <w:rsid w:val="00A47C19"/>
    <w:rsid w:val="00A50E20"/>
    <w:rsid w:val="00A529C4"/>
    <w:rsid w:val="00A563F5"/>
    <w:rsid w:val="00A570D3"/>
    <w:rsid w:val="00A601D2"/>
    <w:rsid w:val="00A606A7"/>
    <w:rsid w:val="00A610DF"/>
    <w:rsid w:val="00A622F6"/>
    <w:rsid w:val="00A625DD"/>
    <w:rsid w:val="00A67215"/>
    <w:rsid w:val="00A67F1B"/>
    <w:rsid w:val="00A7015D"/>
    <w:rsid w:val="00A732FE"/>
    <w:rsid w:val="00A733FB"/>
    <w:rsid w:val="00A738EA"/>
    <w:rsid w:val="00A73D96"/>
    <w:rsid w:val="00A75CA2"/>
    <w:rsid w:val="00A76250"/>
    <w:rsid w:val="00A76298"/>
    <w:rsid w:val="00A76301"/>
    <w:rsid w:val="00A771EE"/>
    <w:rsid w:val="00A80095"/>
    <w:rsid w:val="00A82623"/>
    <w:rsid w:val="00A83FFE"/>
    <w:rsid w:val="00A848BC"/>
    <w:rsid w:val="00A91B97"/>
    <w:rsid w:val="00A971CC"/>
    <w:rsid w:val="00AA0AF2"/>
    <w:rsid w:val="00AA205F"/>
    <w:rsid w:val="00AA7F5D"/>
    <w:rsid w:val="00AB1CB0"/>
    <w:rsid w:val="00AC31B2"/>
    <w:rsid w:val="00AC44B2"/>
    <w:rsid w:val="00AC46B5"/>
    <w:rsid w:val="00AC6CA2"/>
    <w:rsid w:val="00AC72F0"/>
    <w:rsid w:val="00AC75DF"/>
    <w:rsid w:val="00AC7704"/>
    <w:rsid w:val="00AD03B4"/>
    <w:rsid w:val="00AD06F4"/>
    <w:rsid w:val="00AD0A2F"/>
    <w:rsid w:val="00AD2E17"/>
    <w:rsid w:val="00AD5976"/>
    <w:rsid w:val="00AD5BBB"/>
    <w:rsid w:val="00AD6E4C"/>
    <w:rsid w:val="00AE0517"/>
    <w:rsid w:val="00AE661C"/>
    <w:rsid w:val="00AF19DE"/>
    <w:rsid w:val="00B00A7F"/>
    <w:rsid w:val="00B0244A"/>
    <w:rsid w:val="00B02F83"/>
    <w:rsid w:val="00B038D4"/>
    <w:rsid w:val="00B0622D"/>
    <w:rsid w:val="00B067F0"/>
    <w:rsid w:val="00B06DA5"/>
    <w:rsid w:val="00B10D8D"/>
    <w:rsid w:val="00B1386C"/>
    <w:rsid w:val="00B21A40"/>
    <w:rsid w:val="00B2348F"/>
    <w:rsid w:val="00B2615E"/>
    <w:rsid w:val="00B278D4"/>
    <w:rsid w:val="00B3252F"/>
    <w:rsid w:val="00B411B8"/>
    <w:rsid w:val="00B4372C"/>
    <w:rsid w:val="00B46304"/>
    <w:rsid w:val="00B47200"/>
    <w:rsid w:val="00B5146C"/>
    <w:rsid w:val="00B51483"/>
    <w:rsid w:val="00B51824"/>
    <w:rsid w:val="00B5224E"/>
    <w:rsid w:val="00B60F2A"/>
    <w:rsid w:val="00B61C43"/>
    <w:rsid w:val="00B62138"/>
    <w:rsid w:val="00B641AF"/>
    <w:rsid w:val="00B665CF"/>
    <w:rsid w:val="00B6798A"/>
    <w:rsid w:val="00B71A20"/>
    <w:rsid w:val="00B71D5C"/>
    <w:rsid w:val="00B73906"/>
    <w:rsid w:val="00B8554F"/>
    <w:rsid w:val="00B85979"/>
    <w:rsid w:val="00B85F35"/>
    <w:rsid w:val="00B91D75"/>
    <w:rsid w:val="00B92010"/>
    <w:rsid w:val="00B94C96"/>
    <w:rsid w:val="00B953F8"/>
    <w:rsid w:val="00B95EF5"/>
    <w:rsid w:val="00B95F4C"/>
    <w:rsid w:val="00BA0DD1"/>
    <w:rsid w:val="00BA0F82"/>
    <w:rsid w:val="00BA273E"/>
    <w:rsid w:val="00BA297B"/>
    <w:rsid w:val="00BA2A2B"/>
    <w:rsid w:val="00BA455E"/>
    <w:rsid w:val="00BA7BEA"/>
    <w:rsid w:val="00BB46B0"/>
    <w:rsid w:val="00BC08BB"/>
    <w:rsid w:val="00BC54D4"/>
    <w:rsid w:val="00BD0281"/>
    <w:rsid w:val="00BD5081"/>
    <w:rsid w:val="00BD591D"/>
    <w:rsid w:val="00BD7A13"/>
    <w:rsid w:val="00BE0920"/>
    <w:rsid w:val="00BE1190"/>
    <w:rsid w:val="00BE14C0"/>
    <w:rsid w:val="00BE46BF"/>
    <w:rsid w:val="00BE5BAC"/>
    <w:rsid w:val="00BE6ED2"/>
    <w:rsid w:val="00BF38EF"/>
    <w:rsid w:val="00BF4F65"/>
    <w:rsid w:val="00C0145C"/>
    <w:rsid w:val="00C03938"/>
    <w:rsid w:val="00C04AFA"/>
    <w:rsid w:val="00C04D16"/>
    <w:rsid w:val="00C05516"/>
    <w:rsid w:val="00C060BC"/>
    <w:rsid w:val="00C0720B"/>
    <w:rsid w:val="00C11C28"/>
    <w:rsid w:val="00C12880"/>
    <w:rsid w:val="00C12C43"/>
    <w:rsid w:val="00C13065"/>
    <w:rsid w:val="00C1388E"/>
    <w:rsid w:val="00C14358"/>
    <w:rsid w:val="00C1502D"/>
    <w:rsid w:val="00C156C6"/>
    <w:rsid w:val="00C15E93"/>
    <w:rsid w:val="00C16A26"/>
    <w:rsid w:val="00C1740C"/>
    <w:rsid w:val="00C174EA"/>
    <w:rsid w:val="00C2109A"/>
    <w:rsid w:val="00C25A14"/>
    <w:rsid w:val="00C2776D"/>
    <w:rsid w:val="00C310B1"/>
    <w:rsid w:val="00C317EA"/>
    <w:rsid w:val="00C31B7F"/>
    <w:rsid w:val="00C37577"/>
    <w:rsid w:val="00C40B8D"/>
    <w:rsid w:val="00C40D87"/>
    <w:rsid w:val="00C444BB"/>
    <w:rsid w:val="00C47385"/>
    <w:rsid w:val="00C5260D"/>
    <w:rsid w:val="00C53CE8"/>
    <w:rsid w:val="00C6076B"/>
    <w:rsid w:val="00C62991"/>
    <w:rsid w:val="00C64243"/>
    <w:rsid w:val="00C654EC"/>
    <w:rsid w:val="00C660E3"/>
    <w:rsid w:val="00C6660D"/>
    <w:rsid w:val="00C72EDC"/>
    <w:rsid w:val="00C80BCA"/>
    <w:rsid w:val="00C80BED"/>
    <w:rsid w:val="00C86144"/>
    <w:rsid w:val="00C8715E"/>
    <w:rsid w:val="00C92855"/>
    <w:rsid w:val="00C9374C"/>
    <w:rsid w:val="00CA012A"/>
    <w:rsid w:val="00CA089D"/>
    <w:rsid w:val="00CA0E7C"/>
    <w:rsid w:val="00CA149C"/>
    <w:rsid w:val="00CA184A"/>
    <w:rsid w:val="00CA65A5"/>
    <w:rsid w:val="00CB0F2F"/>
    <w:rsid w:val="00CB3D39"/>
    <w:rsid w:val="00CB6552"/>
    <w:rsid w:val="00CC36F4"/>
    <w:rsid w:val="00CC5338"/>
    <w:rsid w:val="00CC7C76"/>
    <w:rsid w:val="00CD2BE5"/>
    <w:rsid w:val="00CD3EA3"/>
    <w:rsid w:val="00CD556D"/>
    <w:rsid w:val="00CD5994"/>
    <w:rsid w:val="00CD6258"/>
    <w:rsid w:val="00CD6795"/>
    <w:rsid w:val="00CE2C13"/>
    <w:rsid w:val="00CE370B"/>
    <w:rsid w:val="00CE4A66"/>
    <w:rsid w:val="00CE4A79"/>
    <w:rsid w:val="00CE74A1"/>
    <w:rsid w:val="00CE7F61"/>
    <w:rsid w:val="00CF1AF1"/>
    <w:rsid w:val="00CF6579"/>
    <w:rsid w:val="00CF7EAF"/>
    <w:rsid w:val="00D01796"/>
    <w:rsid w:val="00D12D90"/>
    <w:rsid w:val="00D14163"/>
    <w:rsid w:val="00D22991"/>
    <w:rsid w:val="00D24421"/>
    <w:rsid w:val="00D25AC4"/>
    <w:rsid w:val="00D30677"/>
    <w:rsid w:val="00D33304"/>
    <w:rsid w:val="00D341D7"/>
    <w:rsid w:val="00D405EA"/>
    <w:rsid w:val="00D43E5F"/>
    <w:rsid w:val="00D46E2D"/>
    <w:rsid w:val="00D52301"/>
    <w:rsid w:val="00D52511"/>
    <w:rsid w:val="00D5359C"/>
    <w:rsid w:val="00D5438F"/>
    <w:rsid w:val="00D5549D"/>
    <w:rsid w:val="00D559AB"/>
    <w:rsid w:val="00D55DE0"/>
    <w:rsid w:val="00D568AE"/>
    <w:rsid w:val="00D665AF"/>
    <w:rsid w:val="00D67CC6"/>
    <w:rsid w:val="00D7663F"/>
    <w:rsid w:val="00D85A3E"/>
    <w:rsid w:val="00D861F4"/>
    <w:rsid w:val="00D87214"/>
    <w:rsid w:val="00D91BD8"/>
    <w:rsid w:val="00D93EFA"/>
    <w:rsid w:val="00D95841"/>
    <w:rsid w:val="00D9742A"/>
    <w:rsid w:val="00DA37F0"/>
    <w:rsid w:val="00DA48A0"/>
    <w:rsid w:val="00DA51CF"/>
    <w:rsid w:val="00DB0BFA"/>
    <w:rsid w:val="00DB28C1"/>
    <w:rsid w:val="00DB3BD3"/>
    <w:rsid w:val="00DB521F"/>
    <w:rsid w:val="00DB5F46"/>
    <w:rsid w:val="00DB6BE1"/>
    <w:rsid w:val="00DB6BF5"/>
    <w:rsid w:val="00DB7978"/>
    <w:rsid w:val="00DC1C7E"/>
    <w:rsid w:val="00DC36A0"/>
    <w:rsid w:val="00DC5E37"/>
    <w:rsid w:val="00DC7EBB"/>
    <w:rsid w:val="00DD1384"/>
    <w:rsid w:val="00DD18F0"/>
    <w:rsid w:val="00DD2074"/>
    <w:rsid w:val="00DD208C"/>
    <w:rsid w:val="00DD2306"/>
    <w:rsid w:val="00DD38D4"/>
    <w:rsid w:val="00DD3FE9"/>
    <w:rsid w:val="00DD7D3B"/>
    <w:rsid w:val="00DD7FB7"/>
    <w:rsid w:val="00DE40EE"/>
    <w:rsid w:val="00DE4595"/>
    <w:rsid w:val="00DE56D2"/>
    <w:rsid w:val="00DF07E8"/>
    <w:rsid w:val="00DF21C3"/>
    <w:rsid w:val="00DF60D6"/>
    <w:rsid w:val="00DF6730"/>
    <w:rsid w:val="00DF68C7"/>
    <w:rsid w:val="00DF6C49"/>
    <w:rsid w:val="00E0085A"/>
    <w:rsid w:val="00E03530"/>
    <w:rsid w:val="00E0452E"/>
    <w:rsid w:val="00E07E2F"/>
    <w:rsid w:val="00E1180C"/>
    <w:rsid w:val="00E12594"/>
    <w:rsid w:val="00E14A5A"/>
    <w:rsid w:val="00E17651"/>
    <w:rsid w:val="00E17AE2"/>
    <w:rsid w:val="00E216F1"/>
    <w:rsid w:val="00E227F1"/>
    <w:rsid w:val="00E24B7A"/>
    <w:rsid w:val="00E25557"/>
    <w:rsid w:val="00E30A53"/>
    <w:rsid w:val="00E31334"/>
    <w:rsid w:val="00E328A8"/>
    <w:rsid w:val="00E3563F"/>
    <w:rsid w:val="00E35E67"/>
    <w:rsid w:val="00E40CC9"/>
    <w:rsid w:val="00E42144"/>
    <w:rsid w:val="00E449F9"/>
    <w:rsid w:val="00E457CA"/>
    <w:rsid w:val="00E46A4C"/>
    <w:rsid w:val="00E52AED"/>
    <w:rsid w:val="00E57599"/>
    <w:rsid w:val="00E61A9C"/>
    <w:rsid w:val="00E72AC1"/>
    <w:rsid w:val="00E72CE1"/>
    <w:rsid w:val="00E749E5"/>
    <w:rsid w:val="00E757FB"/>
    <w:rsid w:val="00E76734"/>
    <w:rsid w:val="00E802E5"/>
    <w:rsid w:val="00E81C0E"/>
    <w:rsid w:val="00E92895"/>
    <w:rsid w:val="00E92D9B"/>
    <w:rsid w:val="00E93C63"/>
    <w:rsid w:val="00E974E6"/>
    <w:rsid w:val="00EA0338"/>
    <w:rsid w:val="00EA0FFA"/>
    <w:rsid w:val="00EA40E7"/>
    <w:rsid w:val="00EB244F"/>
    <w:rsid w:val="00EB2C6B"/>
    <w:rsid w:val="00EB3B2D"/>
    <w:rsid w:val="00EB4562"/>
    <w:rsid w:val="00EB51CA"/>
    <w:rsid w:val="00EC2489"/>
    <w:rsid w:val="00EC4E45"/>
    <w:rsid w:val="00ED6218"/>
    <w:rsid w:val="00EE156A"/>
    <w:rsid w:val="00EE26DB"/>
    <w:rsid w:val="00EE38B8"/>
    <w:rsid w:val="00EE6424"/>
    <w:rsid w:val="00EE7156"/>
    <w:rsid w:val="00EE76B8"/>
    <w:rsid w:val="00EF130F"/>
    <w:rsid w:val="00EF343B"/>
    <w:rsid w:val="00EF57FF"/>
    <w:rsid w:val="00F02DFB"/>
    <w:rsid w:val="00F02FBD"/>
    <w:rsid w:val="00F03CB7"/>
    <w:rsid w:val="00F03D8B"/>
    <w:rsid w:val="00F11105"/>
    <w:rsid w:val="00F146FC"/>
    <w:rsid w:val="00F16691"/>
    <w:rsid w:val="00F17A94"/>
    <w:rsid w:val="00F200B3"/>
    <w:rsid w:val="00F22F9D"/>
    <w:rsid w:val="00F258FF"/>
    <w:rsid w:val="00F2592C"/>
    <w:rsid w:val="00F31E12"/>
    <w:rsid w:val="00F32239"/>
    <w:rsid w:val="00F40702"/>
    <w:rsid w:val="00F41C7B"/>
    <w:rsid w:val="00F424D5"/>
    <w:rsid w:val="00F429E4"/>
    <w:rsid w:val="00F505B7"/>
    <w:rsid w:val="00F515AC"/>
    <w:rsid w:val="00F54DD7"/>
    <w:rsid w:val="00F554DF"/>
    <w:rsid w:val="00F55AA8"/>
    <w:rsid w:val="00F564BC"/>
    <w:rsid w:val="00F62401"/>
    <w:rsid w:val="00F62BE3"/>
    <w:rsid w:val="00F64A02"/>
    <w:rsid w:val="00F66024"/>
    <w:rsid w:val="00F6632D"/>
    <w:rsid w:val="00F66AB3"/>
    <w:rsid w:val="00F71EA3"/>
    <w:rsid w:val="00F73854"/>
    <w:rsid w:val="00F7524B"/>
    <w:rsid w:val="00F7718A"/>
    <w:rsid w:val="00F82CC2"/>
    <w:rsid w:val="00F83D3E"/>
    <w:rsid w:val="00F84F55"/>
    <w:rsid w:val="00F850D6"/>
    <w:rsid w:val="00F85F99"/>
    <w:rsid w:val="00F86C68"/>
    <w:rsid w:val="00F90906"/>
    <w:rsid w:val="00F923A1"/>
    <w:rsid w:val="00F93317"/>
    <w:rsid w:val="00F93D05"/>
    <w:rsid w:val="00F94CF6"/>
    <w:rsid w:val="00F94D58"/>
    <w:rsid w:val="00F94F7C"/>
    <w:rsid w:val="00F9770E"/>
    <w:rsid w:val="00F97A54"/>
    <w:rsid w:val="00FA04E3"/>
    <w:rsid w:val="00FA098C"/>
    <w:rsid w:val="00FA35F6"/>
    <w:rsid w:val="00FA5C83"/>
    <w:rsid w:val="00FA5F68"/>
    <w:rsid w:val="00FA66A8"/>
    <w:rsid w:val="00FB438E"/>
    <w:rsid w:val="00FB4653"/>
    <w:rsid w:val="00FB5563"/>
    <w:rsid w:val="00FB7AE4"/>
    <w:rsid w:val="00FC0678"/>
    <w:rsid w:val="00FC1A1C"/>
    <w:rsid w:val="00FC4442"/>
    <w:rsid w:val="00FC7842"/>
    <w:rsid w:val="00FD0EB6"/>
    <w:rsid w:val="00FD3F22"/>
    <w:rsid w:val="00FD52DA"/>
    <w:rsid w:val="00FD7490"/>
    <w:rsid w:val="00FD7D31"/>
    <w:rsid w:val="00FE2527"/>
    <w:rsid w:val="00FE2736"/>
    <w:rsid w:val="00FE5EE8"/>
    <w:rsid w:val="00FE60FE"/>
    <w:rsid w:val="00FE78D0"/>
    <w:rsid w:val="00FF0169"/>
    <w:rsid w:val="00FF0704"/>
    <w:rsid w:val="00FF2505"/>
    <w:rsid w:val="00FF4320"/>
    <w:rsid w:val="00FF4A40"/>
    <w:rsid w:val="00FF5EB0"/>
    <w:rsid w:val="00FF6BF6"/>
    <w:rsid w:val="010E3F17"/>
    <w:rsid w:val="01183671"/>
    <w:rsid w:val="0144517A"/>
    <w:rsid w:val="015170E8"/>
    <w:rsid w:val="0172125D"/>
    <w:rsid w:val="01795229"/>
    <w:rsid w:val="017E2A82"/>
    <w:rsid w:val="017E6F26"/>
    <w:rsid w:val="01810B64"/>
    <w:rsid w:val="01826811"/>
    <w:rsid w:val="019D115B"/>
    <w:rsid w:val="01A868CF"/>
    <w:rsid w:val="01AC7C1B"/>
    <w:rsid w:val="01C03307"/>
    <w:rsid w:val="01C30439"/>
    <w:rsid w:val="01CC24BC"/>
    <w:rsid w:val="01D07843"/>
    <w:rsid w:val="01DB101A"/>
    <w:rsid w:val="01DC2B5D"/>
    <w:rsid w:val="01E3082B"/>
    <w:rsid w:val="01E8254E"/>
    <w:rsid w:val="01EC0DED"/>
    <w:rsid w:val="0200796D"/>
    <w:rsid w:val="020415C2"/>
    <w:rsid w:val="02080F1A"/>
    <w:rsid w:val="021254E9"/>
    <w:rsid w:val="021939BC"/>
    <w:rsid w:val="02230C5B"/>
    <w:rsid w:val="022C0315"/>
    <w:rsid w:val="024C2D4B"/>
    <w:rsid w:val="024F3510"/>
    <w:rsid w:val="02577549"/>
    <w:rsid w:val="02610556"/>
    <w:rsid w:val="02667208"/>
    <w:rsid w:val="02707B4E"/>
    <w:rsid w:val="027246E0"/>
    <w:rsid w:val="028B3AC8"/>
    <w:rsid w:val="02A6527E"/>
    <w:rsid w:val="02A751E2"/>
    <w:rsid w:val="02AA79EF"/>
    <w:rsid w:val="02B37357"/>
    <w:rsid w:val="02BD5425"/>
    <w:rsid w:val="02BF4DB6"/>
    <w:rsid w:val="02C50503"/>
    <w:rsid w:val="02C52DD9"/>
    <w:rsid w:val="02C556B0"/>
    <w:rsid w:val="02E42F6C"/>
    <w:rsid w:val="02F15082"/>
    <w:rsid w:val="02F20834"/>
    <w:rsid w:val="02F30EEE"/>
    <w:rsid w:val="03086400"/>
    <w:rsid w:val="03145260"/>
    <w:rsid w:val="031F2043"/>
    <w:rsid w:val="032C298F"/>
    <w:rsid w:val="033835B9"/>
    <w:rsid w:val="033C0A9E"/>
    <w:rsid w:val="03552E14"/>
    <w:rsid w:val="0355453F"/>
    <w:rsid w:val="035E3EC8"/>
    <w:rsid w:val="036A1653"/>
    <w:rsid w:val="03722553"/>
    <w:rsid w:val="0385634A"/>
    <w:rsid w:val="03863E70"/>
    <w:rsid w:val="03947A14"/>
    <w:rsid w:val="039611D1"/>
    <w:rsid w:val="039A566A"/>
    <w:rsid w:val="03AD1FD8"/>
    <w:rsid w:val="03AE6ED2"/>
    <w:rsid w:val="03AF451E"/>
    <w:rsid w:val="03C1490A"/>
    <w:rsid w:val="03D15432"/>
    <w:rsid w:val="03E10B6A"/>
    <w:rsid w:val="03E84FE9"/>
    <w:rsid w:val="03EE5C83"/>
    <w:rsid w:val="04062777"/>
    <w:rsid w:val="04095549"/>
    <w:rsid w:val="040D3303"/>
    <w:rsid w:val="040D33BC"/>
    <w:rsid w:val="04107BCB"/>
    <w:rsid w:val="04163446"/>
    <w:rsid w:val="041A51AD"/>
    <w:rsid w:val="041E6E5B"/>
    <w:rsid w:val="04225A57"/>
    <w:rsid w:val="042B250C"/>
    <w:rsid w:val="043B5BAC"/>
    <w:rsid w:val="043E24E5"/>
    <w:rsid w:val="043F1D3E"/>
    <w:rsid w:val="04405814"/>
    <w:rsid w:val="04451A44"/>
    <w:rsid w:val="044749C6"/>
    <w:rsid w:val="04490DFE"/>
    <w:rsid w:val="04562158"/>
    <w:rsid w:val="04651CD8"/>
    <w:rsid w:val="046570BF"/>
    <w:rsid w:val="046873CE"/>
    <w:rsid w:val="046C5C2E"/>
    <w:rsid w:val="04844854"/>
    <w:rsid w:val="048A698E"/>
    <w:rsid w:val="04974587"/>
    <w:rsid w:val="049A7BD3"/>
    <w:rsid w:val="049B21B4"/>
    <w:rsid w:val="04A01AFE"/>
    <w:rsid w:val="04A76DFF"/>
    <w:rsid w:val="04B0007D"/>
    <w:rsid w:val="04B65EDF"/>
    <w:rsid w:val="04BB7486"/>
    <w:rsid w:val="04BF3A0A"/>
    <w:rsid w:val="04C34AD8"/>
    <w:rsid w:val="04DD4A9D"/>
    <w:rsid w:val="04E30906"/>
    <w:rsid w:val="04F90CDF"/>
    <w:rsid w:val="04F97316"/>
    <w:rsid w:val="04FB603D"/>
    <w:rsid w:val="04FC6C83"/>
    <w:rsid w:val="04FF2AA5"/>
    <w:rsid w:val="05005914"/>
    <w:rsid w:val="050B0C4F"/>
    <w:rsid w:val="051A6243"/>
    <w:rsid w:val="051D048B"/>
    <w:rsid w:val="051E4BB9"/>
    <w:rsid w:val="052405FB"/>
    <w:rsid w:val="052907B7"/>
    <w:rsid w:val="052A0005"/>
    <w:rsid w:val="052C2DEB"/>
    <w:rsid w:val="053254FF"/>
    <w:rsid w:val="05340D50"/>
    <w:rsid w:val="05341DD6"/>
    <w:rsid w:val="05462EFF"/>
    <w:rsid w:val="054A197A"/>
    <w:rsid w:val="055E597C"/>
    <w:rsid w:val="055F7B21"/>
    <w:rsid w:val="05611C9F"/>
    <w:rsid w:val="0563668F"/>
    <w:rsid w:val="05767251"/>
    <w:rsid w:val="05780857"/>
    <w:rsid w:val="05982AF3"/>
    <w:rsid w:val="05B272AB"/>
    <w:rsid w:val="05B525D2"/>
    <w:rsid w:val="05BA4DD7"/>
    <w:rsid w:val="05C44383"/>
    <w:rsid w:val="05DF2E8D"/>
    <w:rsid w:val="05EA39FE"/>
    <w:rsid w:val="05F73C83"/>
    <w:rsid w:val="0609596A"/>
    <w:rsid w:val="0615527A"/>
    <w:rsid w:val="06206D64"/>
    <w:rsid w:val="0635094C"/>
    <w:rsid w:val="063C038A"/>
    <w:rsid w:val="064360E6"/>
    <w:rsid w:val="064E6388"/>
    <w:rsid w:val="064F1B08"/>
    <w:rsid w:val="06550A3E"/>
    <w:rsid w:val="06587C94"/>
    <w:rsid w:val="06616262"/>
    <w:rsid w:val="066F314B"/>
    <w:rsid w:val="067508F8"/>
    <w:rsid w:val="067C0E39"/>
    <w:rsid w:val="068F658C"/>
    <w:rsid w:val="069069ED"/>
    <w:rsid w:val="06A34E0C"/>
    <w:rsid w:val="06A37AEF"/>
    <w:rsid w:val="06A413DD"/>
    <w:rsid w:val="06AC71B3"/>
    <w:rsid w:val="06AE6F96"/>
    <w:rsid w:val="06B85B1E"/>
    <w:rsid w:val="06BA6B9B"/>
    <w:rsid w:val="06D2211E"/>
    <w:rsid w:val="06E8669C"/>
    <w:rsid w:val="07013CB4"/>
    <w:rsid w:val="07055031"/>
    <w:rsid w:val="070B65D9"/>
    <w:rsid w:val="07105743"/>
    <w:rsid w:val="07107703"/>
    <w:rsid w:val="07113BD6"/>
    <w:rsid w:val="07132B80"/>
    <w:rsid w:val="07174CE0"/>
    <w:rsid w:val="071A68E6"/>
    <w:rsid w:val="071F6F74"/>
    <w:rsid w:val="07280805"/>
    <w:rsid w:val="072A7328"/>
    <w:rsid w:val="073659F4"/>
    <w:rsid w:val="07462FA5"/>
    <w:rsid w:val="07542346"/>
    <w:rsid w:val="07602112"/>
    <w:rsid w:val="076939B1"/>
    <w:rsid w:val="077B5E33"/>
    <w:rsid w:val="07A34C8C"/>
    <w:rsid w:val="07AB485E"/>
    <w:rsid w:val="07AD3FE5"/>
    <w:rsid w:val="07AD66C3"/>
    <w:rsid w:val="07B43586"/>
    <w:rsid w:val="07B56793"/>
    <w:rsid w:val="07BC2729"/>
    <w:rsid w:val="07C177E1"/>
    <w:rsid w:val="07D61332"/>
    <w:rsid w:val="07D70442"/>
    <w:rsid w:val="07DC4CF1"/>
    <w:rsid w:val="07E32B27"/>
    <w:rsid w:val="07E45B4C"/>
    <w:rsid w:val="07E926A3"/>
    <w:rsid w:val="07F200F1"/>
    <w:rsid w:val="080904F7"/>
    <w:rsid w:val="08130789"/>
    <w:rsid w:val="08265B9E"/>
    <w:rsid w:val="08374B13"/>
    <w:rsid w:val="083D09BB"/>
    <w:rsid w:val="084C1961"/>
    <w:rsid w:val="085C70E3"/>
    <w:rsid w:val="08634780"/>
    <w:rsid w:val="087F5A5E"/>
    <w:rsid w:val="08894E5C"/>
    <w:rsid w:val="088A6835"/>
    <w:rsid w:val="088B592C"/>
    <w:rsid w:val="08A72527"/>
    <w:rsid w:val="08AA4B51"/>
    <w:rsid w:val="08B04E26"/>
    <w:rsid w:val="08B71469"/>
    <w:rsid w:val="08B7532F"/>
    <w:rsid w:val="08C43471"/>
    <w:rsid w:val="08D05D99"/>
    <w:rsid w:val="08D306C7"/>
    <w:rsid w:val="08D56BA1"/>
    <w:rsid w:val="08DC3ED4"/>
    <w:rsid w:val="08EF2B41"/>
    <w:rsid w:val="09060634"/>
    <w:rsid w:val="090E7F21"/>
    <w:rsid w:val="091F4324"/>
    <w:rsid w:val="09305239"/>
    <w:rsid w:val="095B5BD4"/>
    <w:rsid w:val="096164E5"/>
    <w:rsid w:val="096B32CA"/>
    <w:rsid w:val="097078B6"/>
    <w:rsid w:val="09766D5E"/>
    <w:rsid w:val="09794E91"/>
    <w:rsid w:val="098175B4"/>
    <w:rsid w:val="09926C87"/>
    <w:rsid w:val="099E0166"/>
    <w:rsid w:val="09AE16E4"/>
    <w:rsid w:val="09B53F57"/>
    <w:rsid w:val="09D77460"/>
    <w:rsid w:val="09DC1584"/>
    <w:rsid w:val="09E244F6"/>
    <w:rsid w:val="0A1A6385"/>
    <w:rsid w:val="0A1E6D67"/>
    <w:rsid w:val="0A423B22"/>
    <w:rsid w:val="0A503F38"/>
    <w:rsid w:val="0A524FB1"/>
    <w:rsid w:val="0A562853"/>
    <w:rsid w:val="0A5C0540"/>
    <w:rsid w:val="0A651AD9"/>
    <w:rsid w:val="0A68776C"/>
    <w:rsid w:val="0A6E6087"/>
    <w:rsid w:val="0A735943"/>
    <w:rsid w:val="0A774D0B"/>
    <w:rsid w:val="0A7D0EAB"/>
    <w:rsid w:val="0A7F6940"/>
    <w:rsid w:val="0A90609D"/>
    <w:rsid w:val="0A9617A0"/>
    <w:rsid w:val="0AA536C8"/>
    <w:rsid w:val="0AA8172F"/>
    <w:rsid w:val="0AAF1EFF"/>
    <w:rsid w:val="0AB01615"/>
    <w:rsid w:val="0AB21F41"/>
    <w:rsid w:val="0ABF468A"/>
    <w:rsid w:val="0AC44B82"/>
    <w:rsid w:val="0AEE098D"/>
    <w:rsid w:val="0AFC3057"/>
    <w:rsid w:val="0B141D0B"/>
    <w:rsid w:val="0B157FD6"/>
    <w:rsid w:val="0B16442C"/>
    <w:rsid w:val="0B1D336F"/>
    <w:rsid w:val="0B2002DF"/>
    <w:rsid w:val="0B305A2C"/>
    <w:rsid w:val="0B385D95"/>
    <w:rsid w:val="0B3B3792"/>
    <w:rsid w:val="0B3E7C13"/>
    <w:rsid w:val="0B41178A"/>
    <w:rsid w:val="0B42127D"/>
    <w:rsid w:val="0B4A0698"/>
    <w:rsid w:val="0B7169C8"/>
    <w:rsid w:val="0B750846"/>
    <w:rsid w:val="0B7B5D25"/>
    <w:rsid w:val="0B927BA2"/>
    <w:rsid w:val="0B952F4D"/>
    <w:rsid w:val="0B9D36EA"/>
    <w:rsid w:val="0BA51E67"/>
    <w:rsid w:val="0BB3482A"/>
    <w:rsid w:val="0BB37BAC"/>
    <w:rsid w:val="0BB538AC"/>
    <w:rsid w:val="0BC86597"/>
    <w:rsid w:val="0BD45995"/>
    <w:rsid w:val="0BDA602D"/>
    <w:rsid w:val="0BDE08D4"/>
    <w:rsid w:val="0BDF21ED"/>
    <w:rsid w:val="0BE4305D"/>
    <w:rsid w:val="0BFE4F2A"/>
    <w:rsid w:val="0C022BF0"/>
    <w:rsid w:val="0C074385"/>
    <w:rsid w:val="0C105525"/>
    <w:rsid w:val="0C182D3A"/>
    <w:rsid w:val="0C207F47"/>
    <w:rsid w:val="0C2701D5"/>
    <w:rsid w:val="0C2B7812"/>
    <w:rsid w:val="0C50445F"/>
    <w:rsid w:val="0C611C76"/>
    <w:rsid w:val="0C627450"/>
    <w:rsid w:val="0C6364E2"/>
    <w:rsid w:val="0C690FDF"/>
    <w:rsid w:val="0C81645F"/>
    <w:rsid w:val="0C840344"/>
    <w:rsid w:val="0C841E1E"/>
    <w:rsid w:val="0C9851B0"/>
    <w:rsid w:val="0C9D1203"/>
    <w:rsid w:val="0C9E6A53"/>
    <w:rsid w:val="0CAD246E"/>
    <w:rsid w:val="0CBC5373"/>
    <w:rsid w:val="0CCF478A"/>
    <w:rsid w:val="0CD1164A"/>
    <w:rsid w:val="0CD42801"/>
    <w:rsid w:val="0CD649CC"/>
    <w:rsid w:val="0CE110CB"/>
    <w:rsid w:val="0CE560AB"/>
    <w:rsid w:val="0CE91379"/>
    <w:rsid w:val="0CF8120E"/>
    <w:rsid w:val="0CF87B8D"/>
    <w:rsid w:val="0CF90F08"/>
    <w:rsid w:val="0D0E475A"/>
    <w:rsid w:val="0D110ECA"/>
    <w:rsid w:val="0D2729F3"/>
    <w:rsid w:val="0D352CAF"/>
    <w:rsid w:val="0D3A63F7"/>
    <w:rsid w:val="0D566044"/>
    <w:rsid w:val="0D633925"/>
    <w:rsid w:val="0D665E9C"/>
    <w:rsid w:val="0D7116ED"/>
    <w:rsid w:val="0D755681"/>
    <w:rsid w:val="0D763D66"/>
    <w:rsid w:val="0D882E12"/>
    <w:rsid w:val="0D890C00"/>
    <w:rsid w:val="0D894C89"/>
    <w:rsid w:val="0D9645CE"/>
    <w:rsid w:val="0D9814A9"/>
    <w:rsid w:val="0D9F5624"/>
    <w:rsid w:val="0DA07959"/>
    <w:rsid w:val="0DA71E16"/>
    <w:rsid w:val="0DAD3239"/>
    <w:rsid w:val="0DB454AB"/>
    <w:rsid w:val="0DB63C59"/>
    <w:rsid w:val="0DC363ED"/>
    <w:rsid w:val="0DC43F13"/>
    <w:rsid w:val="0DCB1FA1"/>
    <w:rsid w:val="0DD650BD"/>
    <w:rsid w:val="0DE03144"/>
    <w:rsid w:val="0DE620DB"/>
    <w:rsid w:val="0DF10A5B"/>
    <w:rsid w:val="0DF75DF5"/>
    <w:rsid w:val="0DF92CE0"/>
    <w:rsid w:val="0E0D2201"/>
    <w:rsid w:val="0E160A58"/>
    <w:rsid w:val="0E1675C4"/>
    <w:rsid w:val="0E185C00"/>
    <w:rsid w:val="0E193821"/>
    <w:rsid w:val="0E395D20"/>
    <w:rsid w:val="0E3D599F"/>
    <w:rsid w:val="0E4313EC"/>
    <w:rsid w:val="0E4D5575"/>
    <w:rsid w:val="0E4E18BF"/>
    <w:rsid w:val="0E542434"/>
    <w:rsid w:val="0E5D060E"/>
    <w:rsid w:val="0E6B1369"/>
    <w:rsid w:val="0E6E73F1"/>
    <w:rsid w:val="0E84519B"/>
    <w:rsid w:val="0E8C6489"/>
    <w:rsid w:val="0E905A81"/>
    <w:rsid w:val="0E9728C0"/>
    <w:rsid w:val="0E9B1DE3"/>
    <w:rsid w:val="0E9D1B3F"/>
    <w:rsid w:val="0EA7186A"/>
    <w:rsid w:val="0ECA137F"/>
    <w:rsid w:val="0ECA61ED"/>
    <w:rsid w:val="0ECC4567"/>
    <w:rsid w:val="0ECD05D8"/>
    <w:rsid w:val="0ECE03B0"/>
    <w:rsid w:val="0EE07262"/>
    <w:rsid w:val="0EF54B6B"/>
    <w:rsid w:val="0EF95629"/>
    <w:rsid w:val="0F043F7C"/>
    <w:rsid w:val="0F0A5895"/>
    <w:rsid w:val="0F1146A1"/>
    <w:rsid w:val="0F141C2F"/>
    <w:rsid w:val="0F1462B4"/>
    <w:rsid w:val="0F1D707E"/>
    <w:rsid w:val="0F223EFD"/>
    <w:rsid w:val="0F2710C1"/>
    <w:rsid w:val="0F39192B"/>
    <w:rsid w:val="0F561155"/>
    <w:rsid w:val="0F58445F"/>
    <w:rsid w:val="0F657FFD"/>
    <w:rsid w:val="0F713C26"/>
    <w:rsid w:val="0F750D17"/>
    <w:rsid w:val="0F7722CF"/>
    <w:rsid w:val="0F8932E2"/>
    <w:rsid w:val="0F9563FC"/>
    <w:rsid w:val="0F9658E5"/>
    <w:rsid w:val="0F965C9A"/>
    <w:rsid w:val="0F9B068F"/>
    <w:rsid w:val="0FA31024"/>
    <w:rsid w:val="0FA84851"/>
    <w:rsid w:val="0FB12F47"/>
    <w:rsid w:val="0FBA49DF"/>
    <w:rsid w:val="0FC07D33"/>
    <w:rsid w:val="0FC71A98"/>
    <w:rsid w:val="0FD577DB"/>
    <w:rsid w:val="0FD77F2D"/>
    <w:rsid w:val="0FDC51FE"/>
    <w:rsid w:val="0FDC63D6"/>
    <w:rsid w:val="0FF35A6B"/>
    <w:rsid w:val="100576C9"/>
    <w:rsid w:val="100C4A12"/>
    <w:rsid w:val="10167C25"/>
    <w:rsid w:val="1019262A"/>
    <w:rsid w:val="101D790A"/>
    <w:rsid w:val="10201266"/>
    <w:rsid w:val="10320702"/>
    <w:rsid w:val="10380885"/>
    <w:rsid w:val="104650B3"/>
    <w:rsid w:val="104D3057"/>
    <w:rsid w:val="104D7032"/>
    <w:rsid w:val="10534DBE"/>
    <w:rsid w:val="105A3B87"/>
    <w:rsid w:val="105F5E96"/>
    <w:rsid w:val="10627CC6"/>
    <w:rsid w:val="1069385F"/>
    <w:rsid w:val="106D64CC"/>
    <w:rsid w:val="106F65B3"/>
    <w:rsid w:val="107E02AB"/>
    <w:rsid w:val="108C1B65"/>
    <w:rsid w:val="10A127E7"/>
    <w:rsid w:val="10AD4943"/>
    <w:rsid w:val="10B35078"/>
    <w:rsid w:val="10B4270F"/>
    <w:rsid w:val="10B44196"/>
    <w:rsid w:val="10E416F2"/>
    <w:rsid w:val="10E72F79"/>
    <w:rsid w:val="10EB5372"/>
    <w:rsid w:val="10ED6520"/>
    <w:rsid w:val="1100369E"/>
    <w:rsid w:val="11034D52"/>
    <w:rsid w:val="11085112"/>
    <w:rsid w:val="110922F6"/>
    <w:rsid w:val="111111DB"/>
    <w:rsid w:val="11114787"/>
    <w:rsid w:val="11151522"/>
    <w:rsid w:val="11166833"/>
    <w:rsid w:val="111B3927"/>
    <w:rsid w:val="112A43CB"/>
    <w:rsid w:val="11381429"/>
    <w:rsid w:val="114B7BCD"/>
    <w:rsid w:val="11516102"/>
    <w:rsid w:val="11590524"/>
    <w:rsid w:val="11763776"/>
    <w:rsid w:val="11984951"/>
    <w:rsid w:val="11A1179E"/>
    <w:rsid w:val="11B54C60"/>
    <w:rsid w:val="11B72AD4"/>
    <w:rsid w:val="11C97D4A"/>
    <w:rsid w:val="11D44ABA"/>
    <w:rsid w:val="11D55422"/>
    <w:rsid w:val="11D86E67"/>
    <w:rsid w:val="11E83A70"/>
    <w:rsid w:val="11E93F48"/>
    <w:rsid w:val="121000EC"/>
    <w:rsid w:val="12147955"/>
    <w:rsid w:val="12174343"/>
    <w:rsid w:val="121B7487"/>
    <w:rsid w:val="12237278"/>
    <w:rsid w:val="12261455"/>
    <w:rsid w:val="123B5737"/>
    <w:rsid w:val="123E374A"/>
    <w:rsid w:val="124114E6"/>
    <w:rsid w:val="124E2774"/>
    <w:rsid w:val="124F05F1"/>
    <w:rsid w:val="12551D51"/>
    <w:rsid w:val="1258582A"/>
    <w:rsid w:val="12601BA1"/>
    <w:rsid w:val="126139CF"/>
    <w:rsid w:val="126C14E2"/>
    <w:rsid w:val="127D608B"/>
    <w:rsid w:val="12802254"/>
    <w:rsid w:val="12857D27"/>
    <w:rsid w:val="12954D54"/>
    <w:rsid w:val="12991D48"/>
    <w:rsid w:val="129D6872"/>
    <w:rsid w:val="129F1B30"/>
    <w:rsid w:val="12A204B1"/>
    <w:rsid w:val="12A55421"/>
    <w:rsid w:val="12AE414C"/>
    <w:rsid w:val="12AE6ABA"/>
    <w:rsid w:val="12AF642C"/>
    <w:rsid w:val="12B72298"/>
    <w:rsid w:val="12C16AC3"/>
    <w:rsid w:val="12CB4854"/>
    <w:rsid w:val="12CD7567"/>
    <w:rsid w:val="12CE4C3D"/>
    <w:rsid w:val="12EB4341"/>
    <w:rsid w:val="12F62921"/>
    <w:rsid w:val="12F82D6A"/>
    <w:rsid w:val="13077910"/>
    <w:rsid w:val="131274CE"/>
    <w:rsid w:val="13167A5C"/>
    <w:rsid w:val="13180581"/>
    <w:rsid w:val="132B7930"/>
    <w:rsid w:val="132E394C"/>
    <w:rsid w:val="134212E3"/>
    <w:rsid w:val="13435426"/>
    <w:rsid w:val="134569D0"/>
    <w:rsid w:val="134D2F57"/>
    <w:rsid w:val="13540CE3"/>
    <w:rsid w:val="13705F44"/>
    <w:rsid w:val="138463D2"/>
    <w:rsid w:val="13866787"/>
    <w:rsid w:val="138E21AE"/>
    <w:rsid w:val="13907ADD"/>
    <w:rsid w:val="13932882"/>
    <w:rsid w:val="13994037"/>
    <w:rsid w:val="13A47911"/>
    <w:rsid w:val="13AB6CAF"/>
    <w:rsid w:val="13B77964"/>
    <w:rsid w:val="13C079F2"/>
    <w:rsid w:val="13C72F72"/>
    <w:rsid w:val="13D15742"/>
    <w:rsid w:val="13DF5603"/>
    <w:rsid w:val="13EA652B"/>
    <w:rsid w:val="13F53078"/>
    <w:rsid w:val="14070F9D"/>
    <w:rsid w:val="14072E72"/>
    <w:rsid w:val="14160817"/>
    <w:rsid w:val="141B28F1"/>
    <w:rsid w:val="141C6857"/>
    <w:rsid w:val="142D3770"/>
    <w:rsid w:val="14342850"/>
    <w:rsid w:val="14481234"/>
    <w:rsid w:val="14515DD5"/>
    <w:rsid w:val="145F4995"/>
    <w:rsid w:val="146125B1"/>
    <w:rsid w:val="14624D7D"/>
    <w:rsid w:val="14671667"/>
    <w:rsid w:val="14804B2F"/>
    <w:rsid w:val="148349D2"/>
    <w:rsid w:val="14874DB3"/>
    <w:rsid w:val="148B67D3"/>
    <w:rsid w:val="148B7305"/>
    <w:rsid w:val="149367F0"/>
    <w:rsid w:val="14A93728"/>
    <w:rsid w:val="14AA67C1"/>
    <w:rsid w:val="14AE4D21"/>
    <w:rsid w:val="14B44A9E"/>
    <w:rsid w:val="14B73162"/>
    <w:rsid w:val="14BD6048"/>
    <w:rsid w:val="14C73A06"/>
    <w:rsid w:val="14DC1398"/>
    <w:rsid w:val="14DE64E6"/>
    <w:rsid w:val="14E37374"/>
    <w:rsid w:val="14E64696"/>
    <w:rsid w:val="14EF1875"/>
    <w:rsid w:val="14F8006A"/>
    <w:rsid w:val="14FB55A5"/>
    <w:rsid w:val="150150F6"/>
    <w:rsid w:val="150A038E"/>
    <w:rsid w:val="150C19E0"/>
    <w:rsid w:val="151A67F9"/>
    <w:rsid w:val="153A05FF"/>
    <w:rsid w:val="153A3533"/>
    <w:rsid w:val="153E4883"/>
    <w:rsid w:val="154502CF"/>
    <w:rsid w:val="1548072A"/>
    <w:rsid w:val="154D43A4"/>
    <w:rsid w:val="15545EB9"/>
    <w:rsid w:val="15567B46"/>
    <w:rsid w:val="15571597"/>
    <w:rsid w:val="15571BF4"/>
    <w:rsid w:val="15635C12"/>
    <w:rsid w:val="15706004"/>
    <w:rsid w:val="158A4781"/>
    <w:rsid w:val="158D0509"/>
    <w:rsid w:val="15944E34"/>
    <w:rsid w:val="15A05E98"/>
    <w:rsid w:val="15A33518"/>
    <w:rsid w:val="15B4203E"/>
    <w:rsid w:val="15BD56DF"/>
    <w:rsid w:val="15BE242B"/>
    <w:rsid w:val="15C2295F"/>
    <w:rsid w:val="15CA298A"/>
    <w:rsid w:val="15E66C64"/>
    <w:rsid w:val="15F1074A"/>
    <w:rsid w:val="15F159DB"/>
    <w:rsid w:val="15F25BF9"/>
    <w:rsid w:val="15F72D9B"/>
    <w:rsid w:val="15F731EB"/>
    <w:rsid w:val="16074E97"/>
    <w:rsid w:val="1625599C"/>
    <w:rsid w:val="16442139"/>
    <w:rsid w:val="164C3B1D"/>
    <w:rsid w:val="16523DE0"/>
    <w:rsid w:val="169D2B99"/>
    <w:rsid w:val="16A16DEE"/>
    <w:rsid w:val="16AD3796"/>
    <w:rsid w:val="16B643F7"/>
    <w:rsid w:val="16C3087E"/>
    <w:rsid w:val="16C91830"/>
    <w:rsid w:val="16CF652D"/>
    <w:rsid w:val="16E11600"/>
    <w:rsid w:val="16E7586C"/>
    <w:rsid w:val="16E91CD9"/>
    <w:rsid w:val="16EA64D9"/>
    <w:rsid w:val="16EF042E"/>
    <w:rsid w:val="16F62026"/>
    <w:rsid w:val="170A6841"/>
    <w:rsid w:val="17130116"/>
    <w:rsid w:val="17132163"/>
    <w:rsid w:val="171644D4"/>
    <w:rsid w:val="171B480E"/>
    <w:rsid w:val="171D5DE5"/>
    <w:rsid w:val="172C50FB"/>
    <w:rsid w:val="173A2E4A"/>
    <w:rsid w:val="174D7369"/>
    <w:rsid w:val="17577BA6"/>
    <w:rsid w:val="175A1685"/>
    <w:rsid w:val="175E3336"/>
    <w:rsid w:val="176D17B3"/>
    <w:rsid w:val="177C7B87"/>
    <w:rsid w:val="1784001D"/>
    <w:rsid w:val="178C5789"/>
    <w:rsid w:val="179258AA"/>
    <w:rsid w:val="17BA6B71"/>
    <w:rsid w:val="17BB7323"/>
    <w:rsid w:val="17BD20FF"/>
    <w:rsid w:val="17D26F00"/>
    <w:rsid w:val="17D61B79"/>
    <w:rsid w:val="17E60C33"/>
    <w:rsid w:val="17EE0DF9"/>
    <w:rsid w:val="17EE105C"/>
    <w:rsid w:val="17EE22B8"/>
    <w:rsid w:val="17F324AA"/>
    <w:rsid w:val="17F90C7E"/>
    <w:rsid w:val="17FE5912"/>
    <w:rsid w:val="180439A8"/>
    <w:rsid w:val="180841A7"/>
    <w:rsid w:val="18085E1C"/>
    <w:rsid w:val="18090BE9"/>
    <w:rsid w:val="18131008"/>
    <w:rsid w:val="18162573"/>
    <w:rsid w:val="181A43E8"/>
    <w:rsid w:val="182E6B2B"/>
    <w:rsid w:val="1838796E"/>
    <w:rsid w:val="183D7C32"/>
    <w:rsid w:val="186112F0"/>
    <w:rsid w:val="186B4C91"/>
    <w:rsid w:val="18782C27"/>
    <w:rsid w:val="1894143C"/>
    <w:rsid w:val="1897327F"/>
    <w:rsid w:val="189F782C"/>
    <w:rsid w:val="18A21AD3"/>
    <w:rsid w:val="18A57274"/>
    <w:rsid w:val="18AE32F2"/>
    <w:rsid w:val="18B376BD"/>
    <w:rsid w:val="18B60AB8"/>
    <w:rsid w:val="18C364EB"/>
    <w:rsid w:val="18C87A43"/>
    <w:rsid w:val="18E77E27"/>
    <w:rsid w:val="18ED096A"/>
    <w:rsid w:val="18F03E0E"/>
    <w:rsid w:val="18F156A4"/>
    <w:rsid w:val="19000D74"/>
    <w:rsid w:val="190212E1"/>
    <w:rsid w:val="190A6B8D"/>
    <w:rsid w:val="191C2AA3"/>
    <w:rsid w:val="192C753C"/>
    <w:rsid w:val="193841C3"/>
    <w:rsid w:val="193B2B9F"/>
    <w:rsid w:val="193D3E2A"/>
    <w:rsid w:val="193F00C3"/>
    <w:rsid w:val="19476AB2"/>
    <w:rsid w:val="194E2830"/>
    <w:rsid w:val="19537CC7"/>
    <w:rsid w:val="195E2FAA"/>
    <w:rsid w:val="196C1830"/>
    <w:rsid w:val="196C6B62"/>
    <w:rsid w:val="196E5169"/>
    <w:rsid w:val="197744D1"/>
    <w:rsid w:val="198B67D8"/>
    <w:rsid w:val="19921369"/>
    <w:rsid w:val="19927FEA"/>
    <w:rsid w:val="19A3572B"/>
    <w:rsid w:val="19B46405"/>
    <w:rsid w:val="19C601E2"/>
    <w:rsid w:val="19D25C0D"/>
    <w:rsid w:val="19D75542"/>
    <w:rsid w:val="19E31B6C"/>
    <w:rsid w:val="19E962F6"/>
    <w:rsid w:val="19EE1986"/>
    <w:rsid w:val="19EE2754"/>
    <w:rsid w:val="19F65FCA"/>
    <w:rsid w:val="19F779CC"/>
    <w:rsid w:val="19F811CC"/>
    <w:rsid w:val="19FD475D"/>
    <w:rsid w:val="19FE6CA7"/>
    <w:rsid w:val="1A087034"/>
    <w:rsid w:val="1A180644"/>
    <w:rsid w:val="1A1D50D7"/>
    <w:rsid w:val="1A205827"/>
    <w:rsid w:val="1A2119CE"/>
    <w:rsid w:val="1A30490E"/>
    <w:rsid w:val="1A35445F"/>
    <w:rsid w:val="1A357D4E"/>
    <w:rsid w:val="1A681E40"/>
    <w:rsid w:val="1A683FDF"/>
    <w:rsid w:val="1A732ED9"/>
    <w:rsid w:val="1A7F1BA0"/>
    <w:rsid w:val="1A8D2E09"/>
    <w:rsid w:val="1A985B09"/>
    <w:rsid w:val="1A991B43"/>
    <w:rsid w:val="1AA61B7D"/>
    <w:rsid w:val="1AAF3324"/>
    <w:rsid w:val="1ABC0B28"/>
    <w:rsid w:val="1ABE6734"/>
    <w:rsid w:val="1ACF6AE9"/>
    <w:rsid w:val="1ADB5169"/>
    <w:rsid w:val="1AE36246"/>
    <w:rsid w:val="1AE9298C"/>
    <w:rsid w:val="1AEB7D91"/>
    <w:rsid w:val="1AFB4489"/>
    <w:rsid w:val="1AFE63D7"/>
    <w:rsid w:val="1B1720E5"/>
    <w:rsid w:val="1B1B7916"/>
    <w:rsid w:val="1B1F35B3"/>
    <w:rsid w:val="1B232571"/>
    <w:rsid w:val="1B26097B"/>
    <w:rsid w:val="1B26235E"/>
    <w:rsid w:val="1B2705CA"/>
    <w:rsid w:val="1B3758EF"/>
    <w:rsid w:val="1B3E7DDB"/>
    <w:rsid w:val="1B410951"/>
    <w:rsid w:val="1B4579A1"/>
    <w:rsid w:val="1B4A38B5"/>
    <w:rsid w:val="1B506269"/>
    <w:rsid w:val="1B53467E"/>
    <w:rsid w:val="1B5C20B3"/>
    <w:rsid w:val="1B610626"/>
    <w:rsid w:val="1B7024BA"/>
    <w:rsid w:val="1B775A8D"/>
    <w:rsid w:val="1B7776D3"/>
    <w:rsid w:val="1B934BBE"/>
    <w:rsid w:val="1B9413C8"/>
    <w:rsid w:val="1B9463EF"/>
    <w:rsid w:val="1B9F66F9"/>
    <w:rsid w:val="1BB93E21"/>
    <w:rsid w:val="1BD05364"/>
    <w:rsid w:val="1BE93168"/>
    <w:rsid w:val="1C0E1F87"/>
    <w:rsid w:val="1C114F82"/>
    <w:rsid w:val="1C134EC0"/>
    <w:rsid w:val="1C19514A"/>
    <w:rsid w:val="1C1C0FBC"/>
    <w:rsid w:val="1C3717C3"/>
    <w:rsid w:val="1C3D4670"/>
    <w:rsid w:val="1C475BF6"/>
    <w:rsid w:val="1C597F1C"/>
    <w:rsid w:val="1C5C1609"/>
    <w:rsid w:val="1C6F3876"/>
    <w:rsid w:val="1C7726DF"/>
    <w:rsid w:val="1C7A1D14"/>
    <w:rsid w:val="1C8E5E18"/>
    <w:rsid w:val="1C952E58"/>
    <w:rsid w:val="1C964CCC"/>
    <w:rsid w:val="1CA8501E"/>
    <w:rsid w:val="1CAA2129"/>
    <w:rsid w:val="1CBA5FDB"/>
    <w:rsid w:val="1CC124E5"/>
    <w:rsid w:val="1CC25AC1"/>
    <w:rsid w:val="1CCD6C87"/>
    <w:rsid w:val="1CD15033"/>
    <w:rsid w:val="1CFE4B98"/>
    <w:rsid w:val="1D1631C4"/>
    <w:rsid w:val="1D183ACD"/>
    <w:rsid w:val="1D2064B7"/>
    <w:rsid w:val="1D2628B9"/>
    <w:rsid w:val="1D285233"/>
    <w:rsid w:val="1D414BF2"/>
    <w:rsid w:val="1D6700EF"/>
    <w:rsid w:val="1D717832"/>
    <w:rsid w:val="1D75063E"/>
    <w:rsid w:val="1D76195E"/>
    <w:rsid w:val="1D854C69"/>
    <w:rsid w:val="1D8D16AD"/>
    <w:rsid w:val="1D90692B"/>
    <w:rsid w:val="1D97789C"/>
    <w:rsid w:val="1DA55D97"/>
    <w:rsid w:val="1DB80043"/>
    <w:rsid w:val="1DC344C5"/>
    <w:rsid w:val="1DC40017"/>
    <w:rsid w:val="1DC84B3B"/>
    <w:rsid w:val="1DD31B32"/>
    <w:rsid w:val="1DDE7C7C"/>
    <w:rsid w:val="1DF47EFC"/>
    <w:rsid w:val="1DF50B2C"/>
    <w:rsid w:val="1DFB7690"/>
    <w:rsid w:val="1DFE6525"/>
    <w:rsid w:val="1E024ED4"/>
    <w:rsid w:val="1E1B36DB"/>
    <w:rsid w:val="1E262080"/>
    <w:rsid w:val="1E2A7DC2"/>
    <w:rsid w:val="1E506148"/>
    <w:rsid w:val="1E735344"/>
    <w:rsid w:val="1E7A1D1E"/>
    <w:rsid w:val="1E7E58D0"/>
    <w:rsid w:val="1E813C53"/>
    <w:rsid w:val="1E8534FA"/>
    <w:rsid w:val="1E8D0825"/>
    <w:rsid w:val="1E95630A"/>
    <w:rsid w:val="1EAC5A9B"/>
    <w:rsid w:val="1EB87D00"/>
    <w:rsid w:val="1EBA3405"/>
    <w:rsid w:val="1EBC2D27"/>
    <w:rsid w:val="1EC02562"/>
    <w:rsid w:val="1ECF62AC"/>
    <w:rsid w:val="1EDC3211"/>
    <w:rsid w:val="1EDF6DFF"/>
    <w:rsid w:val="1EE84D61"/>
    <w:rsid w:val="1EE9633B"/>
    <w:rsid w:val="1EF64F8C"/>
    <w:rsid w:val="1EFF369F"/>
    <w:rsid w:val="1F071EB1"/>
    <w:rsid w:val="1F3219D7"/>
    <w:rsid w:val="1F3D3B25"/>
    <w:rsid w:val="1F4230E2"/>
    <w:rsid w:val="1F492925"/>
    <w:rsid w:val="1F4A3F7D"/>
    <w:rsid w:val="1F574BE7"/>
    <w:rsid w:val="1F6028E4"/>
    <w:rsid w:val="1F72194A"/>
    <w:rsid w:val="1F7C772C"/>
    <w:rsid w:val="1F9660D6"/>
    <w:rsid w:val="1F9D3F25"/>
    <w:rsid w:val="1F9D73B5"/>
    <w:rsid w:val="1FAD3DC4"/>
    <w:rsid w:val="1FAF6724"/>
    <w:rsid w:val="1FB671F3"/>
    <w:rsid w:val="1FB93013"/>
    <w:rsid w:val="1FBF15D5"/>
    <w:rsid w:val="1FCB7383"/>
    <w:rsid w:val="1FDC5809"/>
    <w:rsid w:val="1FE33C5E"/>
    <w:rsid w:val="1FF90936"/>
    <w:rsid w:val="200F6422"/>
    <w:rsid w:val="20137345"/>
    <w:rsid w:val="20180D29"/>
    <w:rsid w:val="2026321B"/>
    <w:rsid w:val="20366AE2"/>
    <w:rsid w:val="204B439B"/>
    <w:rsid w:val="204D1B46"/>
    <w:rsid w:val="205B4263"/>
    <w:rsid w:val="20674B6A"/>
    <w:rsid w:val="2074293F"/>
    <w:rsid w:val="20825C93"/>
    <w:rsid w:val="20832D24"/>
    <w:rsid w:val="20850EBA"/>
    <w:rsid w:val="20854E05"/>
    <w:rsid w:val="208B53C3"/>
    <w:rsid w:val="209F0435"/>
    <w:rsid w:val="20AC71D9"/>
    <w:rsid w:val="20AF756C"/>
    <w:rsid w:val="20B50353"/>
    <w:rsid w:val="20BB4A95"/>
    <w:rsid w:val="20BC02E9"/>
    <w:rsid w:val="20EE7EE8"/>
    <w:rsid w:val="20F2258F"/>
    <w:rsid w:val="21062FBC"/>
    <w:rsid w:val="21065A8D"/>
    <w:rsid w:val="212E69A2"/>
    <w:rsid w:val="213256D3"/>
    <w:rsid w:val="21362238"/>
    <w:rsid w:val="213928BD"/>
    <w:rsid w:val="21426E78"/>
    <w:rsid w:val="21471B8F"/>
    <w:rsid w:val="215020DD"/>
    <w:rsid w:val="215F744D"/>
    <w:rsid w:val="217345B8"/>
    <w:rsid w:val="217C2B46"/>
    <w:rsid w:val="218A5B65"/>
    <w:rsid w:val="218E2F14"/>
    <w:rsid w:val="219F23DC"/>
    <w:rsid w:val="219F4623"/>
    <w:rsid w:val="21C10A3D"/>
    <w:rsid w:val="21F02176"/>
    <w:rsid w:val="21F25D56"/>
    <w:rsid w:val="21FE722D"/>
    <w:rsid w:val="22121301"/>
    <w:rsid w:val="22180564"/>
    <w:rsid w:val="22183599"/>
    <w:rsid w:val="221D3E57"/>
    <w:rsid w:val="224D7A95"/>
    <w:rsid w:val="2255750B"/>
    <w:rsid w:val="225F50CA"/>
    <w:rsid w:val="22734673"/>
    <w:rsid w:val="227A3848"/>
    <w:rsid w:val="22820F8A"/>
    <w:rsid w:val="229144C4"/>
    <w:rsid w:val="22937D62"/>
    <w:rsid w:val="229B5DA9"/>
    <w:rsid w:val="229D3BCC"/>
    <w:rsid w:val="22C4551F"/>
    <w:rsid w:val="22D93C11"/>
    <w:rsid w:val="22DD1306"/>
    <w:rsid w:val="22DD3C25"/>
    <w:rsid w:val="22F328A9"/>
    <w:rsid w:val="22FF181D"/>
    <w:rsid w:val="23120EAB"/>
    <w:rsid w:val="2312270F"/>
    <w:rsid w:val="23184960"/>
    <w:rsid w:val="231C450F"/>
    <w:rsid w:val="2325346A"/>
    <w:rsid w:val="2336262C"/>
    <w:rsid w:val="23390D4C"/>
    <w:rsid w:val="23400F0A"/>
    <w:rsid w:val="234C4337"/>
    <w:rsid w:val="236F7F4F"/>
    <w:rsid w:val="2374545A"/>
    <w:rsid w:val="237815D0"/>
    <w:rsid w:val="237A167D"/>
    <w:rsid w:val="237A78FB"/>
    <w:rsid w:val="238976E5"/>
    <w:rsid w:val="2391118E"/>
    <w:rsid w:val="239C7A0E"/>
    <w:rsid w:val="23A005ED"/>
    <w:rsid w:val="23A41AAB"/>
    <w:rsid w:val="23BF71FF"/>
    <w:rsid w:val="23CC1F70"/>
    <w:rsid w:val="23CE221A"/>
    <w:rsid w:val="23CE6FF0"/>
    <w:rsid w:val="23CF5383"/>
    <w:rsid w:val="23E72CD7"/>
    <w:rsid w:val="23F97A9B"/>
    <w:rsid w:val="241E2177"/>
    <w:rsid w:val="24260BAC"/>
    <w:rsid w:val="24313600"/>
    <w:rsid w:val="243657EF"/>
    <w:rsid w:val="24395050"/>
    <w:rsid w:val="2452597D"/>
    <w:rsid w:val="24584774"/>
    <w:rsid w:val="245C2B17"/>
    <w:rsid w:val="245F1650"/>
    <w:rsid w:val="246A7E16"/>
    <w:rsid w:val="246B778A"/>
    <w:rsid w:val="24832815"/>
    <w:rsid w:val="24B93275"/>
    <w:rsid w:val="24BC1939"/>
    <w:rsid w:val="24C056F2"/>
    <w:rsid w:val="24C220F1"/>
    <w:rsid w:val="24D42E36"/>
    <w:rsid w:val="24EA02AB"/>
    <w:rsid w:val="24F11CDA"/>
    <w:rsid w:val="24F72995"/>
    <w:rsid w:val="24F73BD2"/>
    <w:rsid w:val="25053399"/>
    <w:rsid w:val="25065FBC"/>
    <w:rsid w:val="250E31F5"/>
    <w:rsid w:val="25200B09"/>
    <w:rsid w:val="2528774B"/>
    <w:rsid w:val="252E4E21"/>
    <w:rsid w:val="252E750F"/>
    <w:rsid w:val="254D0D17"/>
    <w:rsid w:val="25535BBD"/>
    <w:rsid w:val="255733A4"/>
    <w:rsid w:val="25696C2E"/>
    <w:rsid w:val="256E7CB5"/>
    <w:rsid w:val="257B092F"/>
    <w:rsid w:val="25840EEC"/>
    <w:rsid w:val="2589324B"/>
    <w:rsid w:val="258E6E89"/>
    <w:rsid w:val="258F4271"/>
    <w:rsid w:val="25965599"/>
    <w:rsid w:val="25966F57"/>
    <w:rsid w:val="259E7119"/>
    <w:rsid w:val="25A71601"/>
    <w:rsid w:val="25A81E04"/>
    <w:rsid w:val="25BF0315"/>
    <w:rsid w:val="25C74A12"/>
    <w:rsid w:val="25D4139B"/>
    <w:rsid w:val="25D435A0"/>
    <w:rsid w:val="25D54046"/>
    <w:rsid w:val="25DB50B2"/>
    <w:rsid w:val="25E50823"/>
    <w:rsid w:val="25EC56AF"/>
    <w:rsid w:val="25EF3AEE"/>
    <w:rsid w:val="25F5564F"/>
    <w:rsid w:val="25FA0A39"/>
    <w:rsid w:val="2605035E"/>
    <w:rsid w:val="26081F7B"/>
    <w:rsid w:val="260D6749"/>
    <w:rsid w:val="261D3C1B"/>
    <w:rsid w:val="261F096E"/>
    <w:rsid w:val="2621342F"/>
    <w:rsid w:val="26230698"/>
    <w:rsid w:val="26275F54"/>
    <w:rsid w:val="263122AC"/>
    <w:rsid w:val="26357E70"/>
    <w:rsid w:val="2667409D"/>
    <w:rsid w:val="266B595E"/>
    <w:rsid w:val="26981DBA"/>
    <w:rsid w:val="26B23E11"/>
    <w:rsid w:val="26C10153"/>
    <w:rsid w:val="26CF03B6"/>
    <w:rsid w:val="26F7548D"/>
    <w:rsid w:val="271F0CF9"/>
    <w:rsid w:val="27266C7B"/>
    <w:rsid w:val="27374B36"/>
    <w:rsid w:val="274014A2"/>
    <w:rsid w:val="275C3AAB"/>
    <w:rsid w:val="275D4004"/>
    <w:rsid w:val="27651E6B"/>
    <w:rsid w:val="2766414A"/>
    <w:rsid w:val="27683E51"/>
    <w:rsid w:val="27686268"/>
    <w:rsid w:val="276F1A45"/>
    <w:rsid w:val="27731758"/>
    <w:rsid w:val="277B110A"/>
    <w:rsid w:val="27807922"/>
    <w:rsid w:val="27861965"/>
    <w:rsid w:val="278C6F0B"/>
    <w:rsid w:val="279D600A"/>
    <w:rsid w:val="279F5E19"/>
    <w:rsid w:val="27A25446"/>
    <w:rsid w:val="27BB0664"/>
    <w:rsid w:val="27D74517"/>
    <w:rsid w:val="27E80D73"/>
    <w:rsid w:val="27F8342E"/>
    <w:rsid w:val="27F84ABA"/>
    <w:rsid w:val="27F92457"/>
    <w:rsid w:val="27FA6A57"/>
    <w:rsid w:val="280452F7"/>
    <w:rsid w:val="281A5C0F"/>
    <w:rsid w:val="28313505"/>
    <w:rsid w:val="283B4F6B"/>
    <w:rsid w:val="284427AB"/>
    <w:rsid w:val="284A3C02"/>
    <w:rsid w:val="2850640D"/>
    <w:rsid w:val="288D6656"/>
    <w:rsid w:val="289D7E88"/>
    <w:rsid w:val="28A436B4"/>
    <w:rsid w:val="28A87747"/>
    <w:rsid w:val="28AC369B"/>
    <w:rsid w:val="28CC47C7"/>
    <w:rsid w:val="28DC43AF"/>
    <w:rsid w:val="28E05C4D"/>
    <w:rsid w:val="28F50F2D"/>
    <w:rsid w:val="28FD2C9D"/>
    <w:rsid w:val="29097D6B"/>
    <w:rsid w:val="290A2CCA"/>
    <w:rsid w:val="290F6159"/>
    <w:rsid w:val="291122AA"/>
    <w:rsid w:val="294842B1"/>
    <w:rsid w:val="295178A8"/>
    <w:rsid w:val="295C53AB"/>
    <w:rsid w:val="296A4F45"/>
    <w:rsid w:val="296B486E"/>
    <w:rsid w:val="29700347"/>
    <w:rsid w:val="29744C93"/>
    <w:rsid w:val="29802F8C"/>
    <w:rsid w:val="29854BEB"/>
    <w:rsid w:val="29954FDC"/>
    <w:rsid w:val="2998249F"/>
    <w:rsid w:val="29A01FF5"/>
    <w:rsid w:val="29CB384A"/>
    <w:rsid w:val="29D86924"/>
    <w:rsid w:val="29DE254B"/>
    <w:rsid w:val="29E46E5E"/>
    <w:rsid w:val="29E9515E"/>
    <w:rsid w:val="29F81EF0"/>
    <w:rsid w:val="29F84572"/>
    <w:rsid w:val="29F976F7"/>
    <w:rsid w:val="2A025189"/>
    <w:rsid w:val="2A056559"/>
    <w:rsid w:val="2A1056AF"/>
    <w:rsid w:val="2A110088"/>
    <w:rsid w:val="2A143CB8"/>
    <w:rsid w:val="2A153A3A"/>
    <w:rsid w:val="2A16760D"/>
    <w:rsid w:val="2A181800"/>
    <w:rsid w:val="2A1E192F"/>
    <w:rsid w:val="2A2A2253"/>
    <w:rsid w:val="2A325E95"/>
    <w:rsid w:val="2A346129"/>
    <w:rsid w:val="2A3D4ED6"/>
    <w:rsid w:val="2A485229"/>
    <w:rsid w:val="2A595F18"/>
    <w:rsid w:val="2A6D1D7E"/>
    <w:rsid w:val="2A6F62CF"/>
    <w:rsid w:val="2A7B1062"/>
    <w:rsid w:val="2A7C3829"/>
    <w:rsid w:val="2A895E5E"/>
    <w:rsid w:val="2A9C201A"/>
    <w:rsid w:val="2A9D6B50"/>
    <w:rsid w:val="2AA13D24"/>
    <w:rsid w:val="2AA4560E"/>
    <w:rsid w:val="2AA92766"/>
    <w:rsid w:val="2ABB14AC"/>
    <w:rsid w:val="2AC711DF"/>
    <w:rsid w:val="2AD34AB7"/>
    <w:rsid w:val="2B100330"/>
    <w:rsid w:val="2B1206DC"/>
    <w:rsid w:val="2B1C3C7F"/>
    <w:rsid w:val="2B285A09"/>
    <w:rsid w:val="2B2B586D"/>
    <w:rsid w:val="2B4301D2"/>
    <w:rsid w:val="2B4E2CDC"/>
    <w:rsid w:val="2B5F299A"/>
    <w:rsid w:val="2B78324A"/>
    <w:rsid w:val="2B9A19C1"/>
    <w:rsid w:val="2B9F1A31"/>
    <w:rsid w:val="2BA32E52"/>
    <w:rsid w:val="2BA51841"/>
    <w:rsid w:val="2BAC62BA"/>
    <w:rsid w:val="2BB80DAB"/>
    <w:rsid w:val="2BBB474F"/>
    <w:rsid w:val="2BC21FA9"/>
    <w:rsid w:val="2BCB7E69"/>
    <w:rsid w:val="2BE02A8B"/>
    <w:rsid w:val="2BE46882"/>
    <w:rsid w:val="2BE617CC"/>
    <w:rsid w:val="2BFA1494"/>
    <w:rsid w:val="2C03417C"/>
    <w:rsid w:val="2C056FC3"/>
    <w:rsid w:val="2C06412D"/>
    <w:rsid w:val="2C274160"/>
    <w:rsid w:val="2C2E0A7D"/>
    <w:rsid w:val="2C3636A1"/>
    <w:rsid w:val="2C4B4362"/>
    <w:rsid w:val="2C666469"/>
    <w:rsid w:val="2C6D0C83"/>
    <w:rsid w:val="2C9A6113"/>
    <w:rsid w:val="2CC0450C"/>
    <w:rsid w:val="2CCE7543"/>
    <w:rsid w:val="2CD65645"/>
    <w:rsid w:val="2CFC3C57"/>
    <w:rsid w:val="2D1808E2"/>
    <w:rsid w:val="2D3322E5"/>
    <w:rsid w:val="2D3E175F"/>
    <w:rsid w:val="2D466022"/>
    <w:rsid w:val="2D49671B"/>
    <w:rsid w:val="2D4C4B2E"/>
    <w:rsid w:val="2D5C609F"/>
    <w:rsid w:val="2D613652"/>
    <w:rsid w:val="2D720EC6"/>
    <w:rsid w:val="2D7D4CFC"/>
    <w:rsid w:val="2D8A7117"/>
    <w:rsid w:val="2D8F7C42"/>
    <w:rsid w:val="2D9215E4"/>
    <w:rsid w:val="2D9461B0"/>
    <w:rsid w:val="2DAE4BCF"/>
    <w:rsid w:val="2DCB0788"/>
    <w:rsid w:val="2DD23B61"/>
    <w:rsid w:val="2DD5324B"/>
    <w:rsid w:val="2DF167F9"/>
    <w:rsid w:val="2E122595"/>
    <w:rsid w:val="2E165A38"/>
    <w:rsid w:val="2E1F2E65"/>
    <w:rsid w:val="2E1F5F33"/>
    <w:rsid w:val="2E20089A"/>
    <w:rsid w:val="2E280806"/>
    <w:rsid w:val="2E2C0D50"/>
    <w:rsid w:val="2E2E3515"/>
    <w:rsid w:val="2E324B61"/>
    <w:rsid w:val="2E490BF5"/>
    <w:rsid w:val="2E5920BD"/>
    <w:rsid w:val="2E683DD6"/>
    <w:rsid w:val="2E72208A"/>
    <w:rsid w:val="2E784606"/>
    <w:rsid w:val="2E827689"/>
    <w:rsid w:val="2E864BA1"/>
    <w:rsid w:val="2E877700"/>
    <w:rsid w:val="2E8B5A20"/>
    <w:rsid w:val="2E9E6300"/>
    <w:rsid w:val="2EA94167"/>
    <w:rsid w:val="2EBD728D"/>
    <w:rsid w:val="2EC46E21"/>
    <w:rsid w:val="2EC8145A"/>
    <w:rsid w:val="2EDD5C80"/>
    <w:rsid w:val="2EDE198D"/>
    <w:rsid w:val="2EF97FED"/>
    <w:rsid w:val="2F0831DB"/>
    <w:rsid w:val="2F1847ED"/>
    <w:rsid w:val="2F1E6861"/>
    <w:rsid w:val="2F212087"/>
    <w:rsid w:val="2F231AE0"/>
    <w:rsid w:val="2F2E00BF"/>
    <w:rsid w:val="2F3263A1"/>
    <w:rsid w:val="2F451992"/>
    <w:rsid w:val="2F48087E"/>
    <w:rsid w:val="2F587873"/>
    <w:rsid w:val="2F5F53F2"/>
    <w:rsid w:val="2F724D4D"/>
    <w:rsid w:val="2F8434F9"/>
    <w:rsid w:val="2F970416"/>
    <w:rsid w:val="2F990599"/>
    <w:rsid w:val="2FA8323D"/>
    <w:rsid w:val="2FAB58C1"/>
    <w:rsid w:val="2FCE1D68"/>
    <w:rsid w:val="2FDF6814"/>
    <w:rsid w:val="2FE14059"/>
    <w:rsid w:val="2FEE1C9F"/>
    <w:rsid w:val="2FF07251"/>
    <w:rsid w:val="2FF417D2"/>
    <w:rsid w:val="2FFE59F9"/>
    <w:rsid w:val="30036DF7"/>
    <w:rsid w:val="301F404F"/>
    <w:rsid w:val="30296543"/>
    <w:rsid w:val="302F1428"/>
    <w:rsid w:val="30346BC9"/>
    <w:rsid w:val="303602A8"/>
    <w:rsid w:val="303626F5"/>
    <w:rsid w:val="303A2EF2"/>
    <w:rsid w:val="30500122"/>
    <w:rsid w:val="305F6BB5"/>
    <w:rsid w:val="30682EC7"/>
    <w:rsid w:val="306A2A1E"/>
    <w:rsid w:val="306B6C60"/>
    <w:rsid w:val="306B7990"/>
    <w:rsid w:val="306F7E0E"/>
    <w:rsid w:val="30700056"/>
    <w:rsid w:val="3081665F"/>
    <w:rsid w:val="308B3324"/>
    <w:rsid w:val="308D2819"/>
    <w:rsid w:val="30A23DD7"/>
    <w:rsid w:val="30A80AFD"/>
    <w:rsid w:val="30CE2751"/>
    <w:rsid w:val="30CF6F85"/>
    <w:rsid w:val="30D22080"/>
    <w:rsid w:val="30DC7E37"/>
    <w:rsid w:val="30E06BCF"/>
    <w:rsid w:val="30E20ED0"/>
    <w:rsid w:val="30E327D8"/>
    <w:rsid w:val="30E97ADA"/>
    <w:rsid w:val="30ED6422"/>
    <w:rsid w:val="30F61CE7"/>
    <w:rsid w:val="3100090C"/>
    <w:rsid w:val="311873C2"/>
    <w:rsid w:val="311A7038"/>
    <w:rsid w:val="31307046"/>
    <w:rsid w:val="31311240"/>
    <w:rsid w:val="313E79B5"/>
    <w:rsid w:val="314350F7"/>
    <w:rsid w:val="314420C5"/>
    <w:rsid w:val="31442CA5"/>
    <w:rsid w:val="31557D3C"/>
    <w:rsid w:val="31561098"/>
    <w:rsid w:val="318A0ECC"/>
    <w:rsid w:val="31B77767"/>
    <w:rsid w:val="31CD7446"/>
    <w:rsid w:val="31D9148B"/>
    <w:rsid w:val="31E87EE1"/>
    <w:rsid w:val="31F67ECC"/>
    <w:rsid w:val="32033712"/>
    <w:rsid w:val="320539CB"/>
    <w:rsid w:val="32067196"/>
    <w:rsid w:val="32080419"/>
    <w:rsid w:val="32080AB7"/>
    <w:rsid w:val="32144689"/>
    <w:rsid w:val="321E2365"/>
    <w:rsid w:val="322824C3"/>
    <w:rsid w:val="32306893"/>
    <w:rsid w:val="3236068C"/>
    <w:rsid w:val="324178CF"/>
    <w:rsid w:val="324266F4"/>
    <w:rsid w:val="32655415"/>
    <w:rsid w:val="326D21DB"/>
    <w:rsid w:val="326F445C"/>
    <w:rsid w:val="328007DD"/>
    <w:rsid w:val="32952267"/>
    <w:rsid w:val="329A50BF"/>
    <w:rsid w:val="32A62146"/>
    <w:rsid w:val="32A77A8F"/>
    <w:rsid w:val="32B448FB"/>
    <w:rsid w:val="32B46304"/>
    <w:rsid w:val="32C8085E"/>
    <w:rsid w:val="32CB6096"/>
    <w:rsid w:val="32D3412D"/>
    <w:rsid w:val="32DC73B7"/>
    <w:rsid w:val="32DF5123"/>
    <w:rsid w:val="330D74B8"/>
    <w:rsid w:val="330E2D4D"/>
    <w:rsid w:val="331E22B4"/>
    <w:rsid w:val="331F66F1"/>
    <w:rsid w:val="333D1736"/>
    <w:rsid w:val="334475F2"/>
    <w:rsid w:val="33451CFC"/>
    <w:rsid w:val="33486290"/>
    <w:rsid w:val="334960C8"/>
    <w:rsid w:val="3359561A"/>
    <w:rsid w:val="33596894"/>
    <w:rsid w:val="336A23C5"/>
    <w:rsid w:val="33717108"/>
    <w:rsid w:val="338F5EFF"/>
    <w:rsid w:val="3394094B"/>
    <w:rsid w:val="33A930DF"/>
    <w:rsid w:val="33AF52A6"/>
    <w:rsid w:val="33AF629A"/>
    <w:rsid w:val="33BB1298"/>
    <w:rsid w:val="33C013C7"/>
    <w:rsid w:val="33C0280E"/>
    <w:rsid w:val="33D84CFC"/>
    <w:rsid w:val="33E23765"/>
    <w:rsid w:val="33F3460F"/>
    <w:rsid w:val="33FA529A"/>
    <w:rsid w:val="33FB1B8D"/>
    <w:rsid w:val="341354DD"/>
    <w:rsid w:val="34142C4F"/>
    <w:rsid w:val="341E53CF"/>
    <w:rsid w:val="342004AC"/>
    <w:rsid w:val="34264241"/>
    <w:rsid w:val="343F5AE2"/>
    <w:rsid w:val="34403E13"/>
    <w:rsid w:val="344126E2"/>
    <w:rsid w:val="345042D8"/>
    <w:rsid w:val="345312E6"/>
    <w:rsid w:val="34817225"/>
    <w:rsid w:val="3484498A"/>
    <w:rsid w:val="34910576"/>
    <w:rsid w:val="349B3FD8"/>
    <w:rsid w:val="34CF439C"/>
    <w:rsid w:val="34D728B0"/>
    <w:rsid w:val="34E57508"/>
    <w:rsid w:val="34E6296F"/>
    <w:rsid w:val="34EB1864"/>
    <w:rsid w:val="35035980"/>
    <w:rsid w:val="3505165F"/>
    <w:rsid w:val="35165B0E"/>
    <w:rsid w:val="351D013C"/>
    <w:rsid w:val="351F2137"/>
    <w:rsid w:val="352C29A9"/>
    <w:rsid w:val="352F0250"/>
    <w:rsid w:val="353204E8"/>
    <w:rsid w:val="353321DC"/>
    <w:rsid w:val="354657A8"/>
    <w:rsid w:val="356A3B03"/>
    <w:rsid w:val="357065AB"/>
    <w:rsid w:val="35777939"/>
    <w:rsid w:val="357833AB"/>
    <w:rsid w:val="357907D4"/>
    <w:rsid w:val="357C3666"/>
    <w:rsid w:val="358821F6"/>
    <w:rsid w:val="358B752B"/>
    <w:rsid w:val="359F4498"/>
    <w:rsid w:val="35A61D43"/>
    <w:rsid w:val="35A91A40"/>
    <w:rsid w:val="35B54197"/>
    <w:rsid w:val="35B73A6F"/>
    <w:rsid w:val="35C81148"/>
    <w:rsid w:val="35CD1307"/>
    <w:rsid w:val="35CE773E"/>
    <w:rsid w:val="35D13656"/>
    <w:rsid w:val="35D5156F"/>
    <w:rsid w:val="35D92179"/>
    <w:rsid w:val="35F235DF"/>
    <w:rsid w:val="35F960CD"/>
    <w:rsid w:val="35F97536"/>
    <w:rsid w:val="360447FA"/>
    <w:rsid w:val="3607536A"/>
    <w:rsid w:val="3608376B"/>
    <w:rsid w:val="36131B57"/>
    <w:rsid w:val="36160608"/>
    <w:rsid w:val="36214CFA"/>
    <w:rsid w:val="3628411C"/>
    <w:rsid w:val="362877D1"/>
    <w:rsid w:val="362C4EB0"/>
    <w:rsid w:val="36375EDB"/>
    <w:rsid w:val="363E3851"/>
    <w:rsid w:val="36433A19"/>
    <w:rsid w:val="364C4C48"/>
    <w:rsid w:val="364E017C"/>
    <w:rsid w:val="36611E5C"/>
    <w:rsid w:val="36630477"/>
    <w:rsid w:val="36631982"/>
    <w:rsid w:val="367003DE"/>
    <w:rsid w:val="3680527C"/>
    <w:rsid w:val="368B674F"/>
    <w:rsid w:val="369B150A"/>
    <w:rsid w:val="36A1178A"/>
    <w:rsid w:val="36AF4EB1"/>
    <w:rsid w:val="36B04C59"/>
    <w:rsid w:val="36B933B3"/>
    <w:rsid w:val="36C93AEA"/>
    <w:rsid w:val="36D05C48"/>
    <w:rsid w:val="36D54201"/>
    <w:rsid w:val="36DA1082"/>
    <w:rsid w:val="36DD1A24"/>
    <w:rsid w:val="36DF0B4F"/>
    <w:rsid w:val="36E27268"/>
    <w:rsid w:val="36FF0E71"/>
    <w:rsid w:val="37135744"/>
    <w:rsid w:val="371A1A56"/>
    <w:rsid w:val="371F33F1"/>
    <w:rsid w:val="371F502D"/>
    <w:rsid w:val="372B040C"/>
    <w:rsid w:val="372C22E6"/>
    <w:rsid w:val="372F0468"/>
    <w:rsid w:val="3735254D"/>
    <w:rsid w:val="37393D6D"/>
    <w:rsid w:val="373A0202"/>
    <w:rsid w:val="374A1B78"/>
    <w:rsid w:val="374A4E06"/>
    <w:rsid w:val="37502638"/>
    <w:rsid w:val="37585548"/>
    <w:rsid w:val="376433A9"/>
    <w:rsid w:val="37893D36"/>
    <w:rsid w:val="37A432CE"/>
    <w:rsid w:val="37AD2B0E"/>
    <w:rsid w:val="37AD4425"/>
    <w:rsid w:val="37B46FCD"/>
    <w:rsid w:val="37B9579D"/>
    <w:rsid w:val="37C237EC"/>
    <w:rsid w:val="37CF47FE"/>
    <w:rsid w:val="37D048D6"/>
    <w:rsid w:val="37E4238A"/>
    <w:rsid w:val="37E56DDC"/>
    <w:rsid w:val="37F9603B"/>
    <w:rsid w:val="37FC61DF"/>
    <w:rsid w:val="380D5E54"/>
    <w:rsid w:val="38147538"/>
    <w:rsid w:val="381622A4"/>
    <w:rsid w:val="381B0A50"/>
    <w:rsid w:val="382C6E42"/>
    <w:rsid w:val="38361BD8"/>
    <w:rsid w:val="383D1512"/>
    <w:rsid w:val="38455046"/>
    <w:rsid w:val="38500F06"/>
    <w:rsid w:val="386C626C"/>
    <w:rsid w:val="38712827"/>
    <w:rsid w:val="38747024"/>
    <w:rsid w:val="38750555"/>
    <w:rsid w:val="38805FCE"/>
    <w:rsid w:val="388233B9"/>
    <w:rsid w:val="38A02056"/>
    <w:rsid w:val="38A56AFD"/>
    <w:rsid w:val="38C40E60"/>
    <w:rsid w:val="38C641BE"/>
    <w:rsid w:val="38CD7870"/>
    <w:rsid w:val="38D10BEE"/>
    <w:rsid w:val="38D30D48"/>
    <w:rsid w:val="38DB318F"/>
    <w:rsid w:val="38F207D6"/>
    <w:rsid w:val="38F556A0"/>
    <w:rsid w:val="390A4620"/>
    <w:rsid w:val="392C72EF"/>
    <w:rsid w:val="392F0A92"/>
    <w:rsid w:val="39303EDD"/>
    <w:rsid w:val="39355ABC"/>
    <w:rsid w:val="393F0B82"/>
    <w:rsid w:val="395E4C4A"/>
    <w:rsid w:val="39673E6F"/>
    <w:rsid w:val="39723ED5"/>
    <w:rsid w:val="39803F30"/>
    <w:rsid w:val="39834472"/>
    <w:rsid w:val="398C10E2"/>
    <w:rsid w:val="399A7C5F"/>
    <w:rsid w:val="399C7AF9"/>
    <w:rsid w:val="399E194D"/>
    <w:rsid w:val="399F00DD"/>
    <w:rsid w:val="39AC1E22"/>
    <w:rsid w:val="39B217C1"/>
    <w:rsid w:val="39D81FF4"/>
    <w:rsid w:val="39DE624B"/>
    <w:rsid w:val="39E676B1"/>
    <w:rsid w:val="39EF74E3"/>
    <w:rsid w:val="39FD0DA7"/>
    <w:rsid w:val="3A076471"/>
    <w:rsid w:val="3A0E654C"/>
    <w:rsid w:val="3A19526E"/>
    <w:rsid w:val="3A286229"/>
    <w:rsid w:val="3A316C8A"/>
    <w:rsid w:val="3A3712E8"/>
    <w:rsid w:val="3A375C4F"/>
    <w:rsid w:val="3A4C6AEF"/>
    <w:rsid w:val="3A4F50B5"/>
    <w:rsid w:val="3A512D97"/>
    <w:rsid w:val="3A66384F"/>
    <w:rsid w:val="3A7C78BB"/>
    <w:rsid w:val="3AA32C70"/>
    <w:rsid w:val="3AA45581"/>
    <w:rsid w:val="3AB26D1E"/>
    <w:rsid w:val="3AB90087"/>
    <w:rsid w:val="3AC370E8"/>
    <w:rsid w:val="3AC834FB"/>
    <w:rsid w:val="3ACF2D0A"/>
    <w:rsid w:val="3AE125ED"/>
    <w:rsid w:val="3AEB381D"/>
    <w:rsid w:val="3AF06B21"/>
    <w:rsid w:val="3AF76336"/>
    <w:rsid w:val="3AFC0CAA"/>
    <w:rsid w:val="3B0347F9"/>
    <w:rsid w:val="3B0F4194"/>
    <w:rsid w:val="3B112D6A"/>
    <w:rsid w:val="3B167957"/>
    <w:rsid w:val="3B1E5521"/>
    <w:rsid w:val="3B3360B0"/>
    <w:rsid w:val="3B4F19E2"/>
    <w:rsid w:val="3B51009F"/>
    <w:rsid w:val="3B582259"/>
    <w:rsid w:val="3B615BF5"/>
    <w:rsid w:val="3B657737"/>
    <w:rsid w:val="3B6C1F50"/>
    <w:rsid w:val="3B732948"/>
    <w:rsid w:val="3B765F9D"/>
    <w:rsid w:val="3B84690C"/>
    <w:rsid w:val="3B8B5E72"/>
    <w:rsid w:val="3BA174BE"/>
    <w:rsid w:val="3BA56B49"/>
    <w:rsid w:val="3BBD230C"/>
    <w:rsid w:val="3BC658B8"/>
    <w:rsid w:val="3BCD6245"/>
    <w:rsid w:val="3BCF39AA"/>
    <w:rsid w:val="3BDA3E78"/>
    <w:rsid w:val="3BFE1C36"/>
    <w:rsid w:val="3C140C49"/>
    <w:rsid w:val="3C166588"/>
    <w:rsid w:val="3C4C1552"/>
    <w:rsid w:val="3C4F5518"/>
    <w:rsid w:val="3C576F0E"/>
    <w:rsid w:val="3C594572"/>
    <w:rsid w:val="3C6B495A"/>
    <w:rsid w:val="3C752D99"/>
    <w:rsid w:val="3C7A371F"/>
    <w:rsid w:val="3C7A4FBF"/>
    <w:rsid w:val="3C8959ED"/>
    <w:rsid w:val="3C8A3591"/>
    <w:rsid w:val="3C8C7A02"/>
    <w:rsid w:val="3C9A5B2B"/>
    <w:rsid w:val="3CA258A2"/>
    <w:rsid w:val="3CBC4FDE"/>
    <w:rsid w:val="3CC365A0"/>
    <w:rsid w:val="3CC578F6"/>
    <w:rsid w:val="3CC75824"/>
    <w:rsid w:val="3CCE7C1F"/>
    <w:rsid w:val="3CE05DC4"/>
    <w:rsid w:val="3CE902FE"/>
    <w:rsid w:val="3CEA77AF"/>
    <w:rsid w:val="3CEC7D3D"/>
    <w:rsid w:val="3D0F7127"/>
    <w:rsid w:val="3D1604CA"/>
    <w:rsid w:val="3D1B39D1"/>
    <w:rsid w:val="3D4E3417"/>
    <w:rsid w:val="3D5171F3"/>
    <w:rsid w:val="3D563C4B"/>
    <w:rsid w:val="3D6C00EE"/>
    <w:rsid w:val="3D7D6EF6"/>
    <w:rsid w:val="3D864B77"/>
    <w:rsid w:val="3D945C38"/>
    <w:rsid w:val="3DA04686"/>
    <w:rsid w:val="3DA522A6"/>
    <w:rsid w:val="3DA702E1"/>
    <w:rsid w:val="3DAB200D"/>
    <w:rsid w:val="3DAB54D9"/>
    <w:rsid w:val="3DB76623"/>
    <w:rsid w:val="3DBA0F8F"/>
    <w:rsid w:val="3DD841DC"/>
    <w:rsid w:val="3DDF0273"/>
    <w:rsid w:val="3DE006FF"/>
    <w:rsid w:val="3DF55E3C"/>
    <w:rsid w:val="3DF7585E"/>
    <w:rsid w:val="3DF97790"/>
    <w:rsid w:val="3E1C660D"/>
    <w:rsid w:val="3E201A3D"/>
    <w:rsid w:val="3E202780"/>
    <w:rsid w:val="3E212B90"/>
    <w:rsid w:val="3E2277F4"/>
    <w:rsid w:val="3E24240F"/>
    <w:rsid w:val="3E290354"/>
    <w:rsid w:val="3E3871B2"/>
    <w:rsid w:val="3E394B41"/>
    <w:rsid w:val="3E497394"/>
    <w:rsid w:val="3E577BBA"/>
    <w:rsid w:val="3E5D53F9"/>
    <w:rsid w:val="3E6A0E9A"/>
    <w:rsid w:val="3E7316AE"/>
    <w:rsid w:val="3E75078E"/>
    <w:rsid w:val="3E7837F2"/>
    <w:rsid w:val="3E991829"/>
    <w:rsid w:val="3E9D5E6C"/>
    <w:rsid w:val="3EAC445D"/>
    <w:rsid w:val="3EB55FA9"/>
    <w:rsid w:val="3EBF0F87"/>
    <w:rsid w:val="3ECA7564"/>
    <w:rsid w:val="3ECD23C9"/>
    <w:rsid w:val="3ECD3897"/>
    <w:rsid w:val="3ED50157"/>
    <w:rsid w:val="3ED731F7"/>
    <w:rsid w:val="3ED77DD4"/>
    <w:rsid w:val="3EE30466"/>
    <w:rsid w:val="3EEC4988"/>
    <w:rsid w:val="3EF67B21"/>
    <w:rsid w:val="3EF774D2"/>
    <w:rsid w:val="3F235316"/>
    <w:rsid w:val="3F251D5C"/>
    <w:rsid w:val="3F281A71"/>
    <w:rsid w:val="3F3F115A"/>
    <w:rsid w:val="3F422029"/>
    <w:rsid w:val="3F5817A0"/>
    <w:rsid w:val="3F5E5863"/>
    <w:rsid w:val="3F615994"/>
    <w:rsid w:val="3F672E55"/>
    <w:rsid w:val="3F757081"/>
    <w:rsid w:val="3F77731A"/>
    <w:rsid w:val="3F7901A3"/>
    <w:rsid w:val="3F7D728A"/>
    <w:rsid w:val="3F964792"/>
    <w:rsid w:val="3FAA2E49"/>
    <w:rsid w:val="3FC533A1"/>
    <w:rsid w:val="3FCA1B1D"/>
    <w:rsid w:val="3FDE0102"/>
    <w:rsid w:val="3FE25EEC"/>
    <w:rsid w:val="3FF51B86"/>
    <w:rsid w:val="4001677D"/>
    <w:rsid w:val="400D71A0"/>
    <w:rsid w:val="40143E23"/>
    <w:rsid w:val="40144BB8"/>
    <w:rsid w:val="402141CB"/>
    <w:rsid w:val="402D55A1"/>
    <w:rsid w:val="403B2E99"/>
    <w:rsid w:val="4045220D"/>
    <w:rsid w:val="405745EF"/>
    <w:rsid w:val="40644D88"/>
    <w:rsid w:val="406B43A6"/>
    <w:rsid w:val="407E5AB6"/>
    <w:rsid w:val="407F5888"/>
    <w:rsid w:val="40913720"/>
    <w:rsid w:val="40927809"/>
    <w:rsid w:val="409A272E"/>
    <w:rsid w:val="409C747D"/>
    <w:rsid w:val="40A12E50"/>
    <w:rsid w:val="40AE07A6"/>
    <w:rsid w:val="40C24483"/>
    <w:rsid w:val="40CD2D5D"/>
    <w:rsid w:val="40E10251"/>
    <w:rsid w:val="40E92967"/>
    <w:rsid w:val="40EE2BF5"/>
    <w:rsid w:val="40EE2EE1"/>
    <w:rsid w:val="40F9780B"/>
    <w:rsid w:val="410E3BF0"/>
    <w:rsid w:val="41135833"/>
    <w:rsid w:val="41181813"/>
    <w:rsid w:val="41253C76"/>
    <w:rsid w:val="413064C3"/>
    <w:rsid w:val="4132438B"/>
    <w:rsid w:val="413C58F7"/>
    <w:rsid w:val="41452319"/>
    <w:rsid w:val="414E587F"/>
    <w:rsid w:val="415474D3"/>
    <w:rsid w:val="41564658"/>
    <w:rsid w:val="41685188"/>
    <w:rsid w:val="417662C5"/>
    <w:rsid w:val="419B2CA0"/>
    <w:rsid w:val="41A363FA"/>
    <w:rsid w:val="41A53CD3"/>
    <w:rsid w:val="41A85456"/>
    <w:rsid w:val="41BE0C97"/>
    <w:rsid w:val="41C348F1"/>
    <w:rsid w:val="41C5144B"/>
    <w:rsid w:val="41DA6655"/>
    <w:rsid w:val="41DD1D33"/>
    <w:rsid w:val="41FD01E9"/>
    <w:rsid w:val="41FF382E"/>
    <w:rsid w:val="4209374A"/>
    <w:rsid w:val="42110603"/>
    <w:rsid w:val="42162288"/>
    <w:rsid w:val="421C20FC"/>
    <w:rsid w:val="422918E9"/>
    <w:rsid w:val="423A4383"/>
    <w:rsid w:val="423D264B"/>
    <w:rsid w:val="424F168A"/>
    <w:rsid w:val="425379F0"/>
    <w:rsid w:val="42674214"/>
    <w:rsid w:val="42675F18"/>
    <w:rsid w:val="4275514B"/>
    <w:rsid w:val="427622E2"/>
    <w:rsid w:val="427A2A32"/>
    <w:rsid w:val="427D61B0"/>
    <w:rsid w:val="428E75AF"/>
    <w:rsid w:val="42AB2436"/>
    <w:rsid w:val="42C643FF"/>
    <w:rsid w:val="42CD033A"/>
    <w:rsid w:val="42D41E73"/>
    <w:rsid w:val="42D625DE"/>
    <w:rsid w:val="42E76ADF"/>
    <w:rsid w:val="42ED4D17"/>
    <w:rsid w:val="42F4514A"/>
    <w:rsid w:val="43016A94"/>
    <w:rsid w:val="43055FE4"/>
    <w:rsid w:val="430A28E2"/>
    <w:rsid w:val="430B3CC1"/>
    <w:rsid w:val="431A1904"/>
    <w:rsid w:val="431F37EA"/>
    <w:rsid w:val="433B34BF"/>
    <w:rsid w:val="433F660B"/>
    <w:rsid w:val="43483966"/>
    <w:rsid w:val="434972B8"/>
    <w:rsid w:val="436C7253"/>
    <w:rsid w:val="436D302C"/>
    <w:rsid w:val="436E541F"/>
    <w:rsid w:val="43770755"/>
    <w:rsid w:val="43810DB2"/>
    <w:rsid w:val="439909AC"/>
    <w:rsid w:val="43A00EAB"/>
    <w:rsid w:val="43A07E09"/>
    <w:rsid w:val="43A16F73"/>
    <w:rsid w:val="43A7763B"/>
    <w:rsid w:val="43B47283"/>
    <w:rsid w:val="43B74DD6"/>
    <w:rsid w:val="43B81849"/>
    <w:rsid w:val="43BE0DBB"/>
    <w:rsid w:val="43CB275E"/>
    <w:rsid w:val="43DA644B"/>
    <w:rsid w:val="43F20392"/>
    <w:rsid w:val="43F20B21"/>
    <w:rsid w:val="43F648EA"/>
    <w:rsid w:val="43FA39F8"/>
    <w:rsid w:val="44047066"/>
    <w:rsid w:val="441148DB"/>
    <w:rsid w:val="44292EB3"/>
    <w:rsid w:val="4430272A"/>
    <w:rsid w:val="44341486"/>
    <w:rsid w:val="443B1206"/>
    <w:rsid w:val="44542159"/>
    <w:rsid w:val="44581AC0"/>
    <w:rsid w:val="445C4E37"/>
    <w:rsid w:val="44606CD5"/>
    <w:rsid w:val="44613DA3"/>
    <w:rsid w:val="44653FAE"/>
    <w:rsid w:val="44691B4C"/>
    <w:rsid w:val="446C180D"/>
    <w:rsid w:val="4473751E"/>
    <w:rsid w:val="44743F8C"/>
    <w:rsid w:val="448A18AA"/>
    <w:rsid w:val="44925401"/>
    <w:rsid w:val="449974E9"/>
    <w:rsid w:val="44D02BC2"/>
    <w:rsid w:val="44F114C2"/>
    <w:rsid w:val="44F75EBD"/>
    <w:rsid w:val="450B0799"/>
    <w:rsid w:val="45116CEE"/>
    <w:rsid w:val="45132AAF"/>
    <w:rsid w:val="45191A7D"/>
    <w:rsid w:val="451A4565"/>
    <w:rsid w:val="451E7F92"/>
    <w:rsid w:val="452948A4"/>
    <w:rsid w:val="4531573E"/>
    <w:rsid w:val="4533740B"/>
    <w:rsid w:val="45515E2A"/>
    <w:rsid w:val="455D673C"/>
    <w:rsid w:val="45645251"/>
    <w:rsid w:val="456A0098"/>
    <w:rsid w:val="456F4189"/>
    <w:rsid w:val="456F454F"/>
    <w:rsid w:val="457E36C4"/>
    <w:rsid w:val="4587683C"/>
    <w:rsid w:val="45902C62"/>
    <w:rsid w:val="45937372"/>
    <w:rsid w:val="45957B80"/>
    <w:rsid w:val="459F7B5A"/>
    <w:rsid w:val="45A75BA2"/>
    <w:rsid w:val="45AA4A7F"/>
    <w:rsid w:val="45B21B97"/>
    <w:rsid w:val="45BB491C"/>
    <w:rsid w:val="45BF02C9"/>
    <w:rsid w:val="45C41E83"/>
    <w:rsid w:val="45CC07C2"/>
    <w:rsid w:val="45D60C4F"/>
    <w:rsid w:val="45DD5733"/>
    <w:rsid w:val="45EE5BA9"/>
    <w:rsid w:val="45F16EC9"/>
    <w:rsid w:val="45FC2C48"/>
    <w:rsid w:val="45FD7F04"/>
    <w:rsid w:val="45FF65BC"/>
    <w:rsid w:val="460102A4"/>
    <w:rsid w:val="46114683"/>
    <w:rsid w:val="46167983"/>
    <w:rsid w:val="461A2E5F"/>
    <w:rsid w:val="464E1599"/>
    <w:rsid w:val="4650264D"/>
    <w:rsid w:val="46511717"/>
    <w:rsid w:val="466F731F"/>
    <w:rsid w:val="46731A30"/>
    <w:rsid w:val="46791BF7"/>
    <w:rsid w:val="467D28D5"/>
    <w:rsid w:val="46811268"/>
    <w:rsid w:val="468846E9"/>
    <w:rsid w:val="46974D46"/>
    <w:rsid w:val="46997040"/>
    <w:rsid w:val="46A36348"/>
    <w:rsid w:val="46A77952"/>
    <w:rsid w:val="46A937CA"/>
    <w:rsid w:val="46AD4F2C"/>
    <w:rsid w:val="46AD50D7"/>
    <w:rsid w:val="46C531FB"/>
    <w:rsid w:val="46CA42D6"/>
    <w:rsid w:val="46D76561"/>
    <w:rsid w:val="46E162AC"/>
    <w:rsid w:val="46E73397"/>
    <w:rsid w:val="46F80F5D"/>
    <w:rsid w:val="47080934"/>
    <w:rsid w:val="471C353F"/>
    <w:rsid w:val="47354F5E"/>
    <w:rsid w:val="474A2D9C"/>
    <w:rsid w:val="47543AA6"/>
    <w:rsid w:val="4756678A"/>
    <w:rsid w:val="47576A0D"/>
    <w:rsid w:val="475A4FF7"/>
    <w:rsid w:val="475B049E"/>
    <w:rsid w:val="475C6724"/>
    <w:rsid w:val="4771787B"/>
    <w:rsid w:val="477B78AB"/>
    <w:rsid w:val="478058DD"/>
    <w:rsid w:val="4799095E"/>
    <w:rsid w:val="47A660FE"/>
    <w:rsid w:val="47B441D8"/>
    <w:rsid w:val="47BC700B"/>
    <w:rsid w:val="47C9664D"/>
    <w:rsid w:val="47D27E79"/>
    <w:rsid w:val="47D32328"/>
    <w:rsid w:val="47D44777"/>
    <w:rsid w:val="47E21143"/>
    <w:rsid w:val="47F36C9C"/>
    <w:rsid w:val="47F94AA5"/>
    <w:rsid w:val="47F954DD"/>
    <w:rsid w:val="48027E70"/>
    <w:rsid w:val="480E3358"/>
    <w:rsid w:val="481B29BE"/>
    <w:rsid w:val="48444900"/>
    <w:rsid w:val="485F657B"/>
    <w:rsid w:val="486C3162"/>
    <w:rsid w:val="486E2878"/>
    <w:rsid w:val="487E4AE0"/>
    <w:rsid w:val="48827A68"/>
    <w:rsid w:val="48836CF1"/>
    <w:rsid w:val="48895562"/>
    <w:rsid w:val="488957EF"/>
    <w:rsid w:val="488A5754"/>
    <w:rsid w:val="488D6BE8"/>
    <w:rsid w:val="48905D85"/>
    <w:rsid w:val="48970D4C"/>
    <w:rsid w:val="489D1D00"/>
    <w:rsid w:val="48A15CFB"/>
    <w:rsid w:val="48C06FB0"/>
    <w:rsid w:val="48C51933"/>
    <w:rsid w:val="48CD3A16"/>
    <w:rsid w:val="48D97ABC"/>
    <w:rsid w:val="48DD58AD"/>
    <w:rsid w:val="48DE3578"/>
    <w:rsid w:val="48E919A8"/>
    <w:rsid w:val="48ED12D1"/>
    <w:rsid w:val="48F64AC6"/>
    <w:rsid w:val="48F72BF5"/>
    <w:rsid w:val="48F7696F"/>
    <w:rsid w:val="48FD0081"/>
    <w:rsid w:val="49236455"/>
    <w:rsid w:val="492C2DD1"/>
    <w:rsid w:val="4944651A"/>
    <w:rsid w:val="4944776E"/>
    <w:rsid w:val="49504727"/>
    <w:rsid w:val="49513E21"/>
    <w:rsid w:val="495A69EA"/>
    <w:rsid w:val="496B0BF7"/>
    <w:rsid w:val="496D37E9"/>
    <w:rsid w:val="4980416B"/>
    <w:rsid w:val="49831FB1"/>
    <w:rsid w:val="49911F17"/>
    <w:rsid w:val="49945C26"/>
    <w:rsid w:val="49966DAE"/>
    <w:rsid w:val="499A3B86"/>
    <w:rsid w:val="49B56DFE"/>
    <w:rsid w:val="49BA57B9"/>
    <w:rsid w:val="49DE18DD"/>
    <w:rsid w:val="49DF0B35"/>
    <w:rsid w:val="49E07016"/>
    <w:rsid w:val="49E37C6D"/>
    <w:rsid w:val="49E64202"/>
    <w:rsid w:val="49F24AB0"/>
    <w:rsid w:val="4A0F5900"/>
    <w:rsid w:val="4A250A0A"/>
    <w:rsid w:val="4A277634"/>
    <w:rsid w:val="4A3013D3"/>
    <w:rsid w:val="4A462FA5"/>
    <w:rsid w:val="4A4C2F5A"/>
    <w:rsid w:val="4A702DDA"/>
    <w:rsid w:val="4A751AC3"/>
    <w:rsid w:val="4A7623BD"/>
    <w:rsid w:val="4A843F01"/>
    <w:rsid w:val="4AAA6132"/>
    <w:rsid w:val="4ABB59B9"/>
    <w:rsid w:val="4AE253C8"/>
    <w:rsid w:val="4AE80D51"/>
    <w:rsid w:val="4AF72EB6"/>
    <w:rsid w:val="4AFB1A74"/>
    <w:rsid w:val="4B025030"/>
    <w:rsid w:val="4B09426C"/>
    <w:rsid w:val="4B0C0014"/>
    <w:rsid w:val="4B190BDE"/>
    <w:rsid w:val="4B312C12"/>
    <w:rsid w:val="4B392CD5"/>
    <w:rsid w:val="4B41073B"/>
    <w:rsid w:val="4B460AE7"/>
    <w:rsid w:val="4B465627"/>
    <w:rsid w:val="4B490F6B"/>
    <w:rsid w:val="4B5736F5"/>
    <w:rsid w:val="4B797CDA"/>
    <w:rsid w:val="4B9073A9"/>
    <w:rsid w:val="4B9761E7"/>
    <w:rsid w:val="4B9B1829"/>
    <w:rsid w:val="4B9C2893"/>
    <w:rsid w:val="4BA56641"/>
    <w:rsid w:val="4BB645E0"/>
    <w:rsid w:val="4BBA3C84"/>
    <w:rsid w:val="4BD304AC"/>
    <w:rsid w:val="4BD761F0"/>
    <w:rsid w:val="4BE81CC3"/>
    <w:rsid w:val="4BE96317"/>
    <w:rsid w:val="4BF41F4C"/>
    <w:rsid w:val="4BFF4362"/>
    <w:rsid w:val="4C0A4933"/>
    <w:rsid w:val="4C133023"/>
    <w:rsid w:val="4C227D62"/>
    <w:rsid w:val="4C34700E"/>
    <w:rsid w:val="4C3E076D"/>
    <w:rsid w:val="4C4351E5"/>
    <w:rsid w:val="4C4B0972"/>
    <w:rsid w:val="4C5F6C91"/>
    <w:rsid w:val="4C753F52"/>
    <w:rsid w:val="4C756947"/>
    <w:rsid w:val="4C782051"/>
    <w:rsid w:val="4C795D3B"/>
    <w:rsid w:val="4C8F51CB"/>
    <w:rsid w:val="4C9F4AD9"/>
    <w:rsid w:val="4CA24CB4"/>
    <w:rsid w:val="4CAD39C5"/>
    <w:rsid w:val="4CAF3E21"/>
    <w:rsid w:val="4CBA1465"/>
    <w:rsid w:val="4CBD2DB2"/>
    <w:rsid w:val="4CCE1636"/>
    <w:rsid w:val="4CD15373"/>
    <w:rsid w:val="4CD62D3F"/>
    <w:rsid w:val="4CDD6C8B"/>
    <w:rsid w:val="4CEB77AD"/>
    <w:rsid w:val="4CEE7096"/>
    <w:rsid w:val="4CF973E3"/>
    <w:rsid w:val="4D003284"/>
    <w:rsid w:val="4D023544"/>
    <w:rsid w:val="4D1861C4"/>
    <w:rsid w:val="4D277082"/>
    <w:rsid w:val="4D317DE4"/>
    <w:rsid w:val="4D37096A"/>
    <w:rsid w:val="4D4E2968"/>
    <w:rsid w:val="4D5078A4"/>
    <w:rsid w:val="4D6410CA"/>
    <w:rsid w:val="4D860440"/>
    <w:rsid w:val="4D900D62"/>
    <w:rsid w:val="4D941E98"/>
    <w:rsid w:val="4DB53618"/>
    <w:rsid w:val="4DCB6D07"/>
    <w:rsid w:val="4DCC31CD"/>
    <w:rsid w:val="4DDD5524"/>
    <w:rsid w:val="4DDF6D27"/>
    <w:rsid w:val="4DEC65C7"/>
    <w:rsid w:val="4DF437C5"/>
    <w:rsid w:val="4E0162F6"/>
    <w:rsid w:val="4E082964"/>
    <w:rsid w:val="4E0917F9"/>
    <w:rsid w:val="4E0E490C"/>
    <w:rsid w:val="4E1A59EE"/>
    <w:rsid w:val="4E224FCE"/>
    <w:rsid w:val="4E293534"/>
    <w:rsid w:val="4E3473B6"/>
    <w:rsid w:val="4E35233A"/>
    <w:rsid w:val="4E4B5462"/>
    <w:rsid w:val="4E4B6C0D"/>
    <w:rsid w:val="4E4F5458"/>
    <w:rsid w:val="4E563456"/>
    <w:rsid w:val="4E563C31"/>
    <w:rsid w:val="4E576EE3"/>
    <w:rsid w:val="4E596B7D"/>
    <w:rsid w:val="4E617524"/>
    <w:rsid w:val="4E683847"/>
    <w:rsid w:val="4E712D20"/>
    <w:rsid w:val="4E7C4C7C"/>
    <w:rsid w:val="4E8462BE"/>
    <w:rsid w:val="4E893947"/>
    <w:rsid w:val="4E8B7E98"/>
    <w:rsid w:val="4E913211"/>
    <w:rsid w:val="4E947749"/>
    <w:rsid w:val="4E9C50B5"/>
    <w:rsid w:val="4EAD262A"/>
    <w:rsid w:val="4EB14A71"/>
    <w:rsid w:val="4EB83C38"/>
    <w:rsid w:val="4EBC327B"/>
    <w:rsid w:val="4EC67D81"/>
    <w:rsid w:val="4EC866B8"/>
    <w:rsid w:val="4EE449DA"/>
    <w:rsid w:val="4EEC4D74"/>
    <w:rsid w:val="4EEF104C"/>
    <w:rsid w:val="4EF132C3"/>
    <w:rsid w:val="4F17193E"/>
    <w:rsid w:val="4F301DA9"/>
    <w:rsid w:val="4F425F16"/>
    <w:rsid w:val="4F437129"/>
    <w:rsid w:val="4F443E37"/>
    <w:rsid w:val="4F4B1AB9"/>
    <w:rsid w:val="4F627617"/>
    <w:rsid w:val="4F6A2427"/>
    <w:rsid w:val="4F9475B1"/>
    <w:rsid w:val="4FAB2261"/>
    <w:rsid w:val="4FB23F18"/>
    <w:rsid w:val="4FBD3B35"/>
    <w:rsid w:val="4FD875FD"/>
    <w:rsid w:val="4FD940E8"/>
    <w:rsid w:val="4FE40987"/>
    <w:rsid w:val="4FFB0A93"/>
    <w:rsid w:val="4FFB37BF"/>
    <w:rsid w:val="50000824"/>
    <w:rsid w:val="500258B5"/>
    <w:rsid w:val="50191E2E"/>
    <w:rsid w:val="502A571D"/>
    <w:rsid w:val="502B43A7"/>
    <w:rsid w:val="50320D48"/>
    <w:rsid w:val="50323EAB"/>
    <w:rsid w:val="50423A59"/>
    <w:rsid w:val="50522173"/>
    <w:rsid w:val="505E0A64"/>
    <w:rsid w:val="505E5526"/>
    <w:rsid w:val="50607DDD"/>
    <w:rsid w:val="50612555"/>
    <w:rsid w:val="50623315"/>
    <w:rsid w:val="506845B0"/>
    <w:rsid w:val="506A4473"/>
    <w:rsid w:val="5072363C"/>
    <w:rsid w:val="507D6CD7"/>
    <w:rsid w:val="507F49D9"/>
    <w:rsid w:val="50A213E9"/>
    <w:rsid w:val="50AB1CCE"/>
    <w:rsid w:val="50B0344D"/>
    <w:rsid w:val="50BB03E1"/>
    <w:rsid w:val="50BD70C8"/>
    <w:rsid w:val="50C14AF5"/>
    <w:rsid w:val="50C524EE"/>
    <w:rsid w:val="50D94B74"/>
    <w:rsid w:val="50E64EFD"/>
    <w:rsid w:val="50EA5985"/>
    <w:rsid w:val="50EB30F6"/>
    <w:rsid w:val="510B2FF9"/>
    <w:rsid w:val="510C0730"/>
    <w:rsid w:val="510D3A1A"/>
    <w:rsid w:val="51276EA6"/>
    <w:rsid w:val="512F520F"/>
    <w:rsid w:val="5135680E"/>
    <w:rsid w:val="513C6049"/>
    <w:rsid w:val="51437169"/>
    <w:rsid w:val="5154546D"/>
    <w:rsid w:val="5155074A"/>
    <w:rsid w:val="516279C1"/>
    <w:rsid w:val="51633E29"/>
    <w:rsid w:val="516763EB"/>
    <w:rsid w:val="516962EE"/>
    <w:rsid w:val="517B639D"/>
    <w:rsid w:val="51810D04"/>
    <w:rsid w:val="51A1506E"/>
    <w:rsid w:val="51AE7211"/>
    <w:rsid w:val="51AE7698"/>
    <w:rsid w:val="51BD69BF"/>
    <w:rsid w:val="51C17635"/>
    <w:rsid w:val="51F320EF"/>
    <w:rsid w:val="51FB502B"/>
    <w:rsid w:val="522312D8"/>
    <w:rsid w:val="52235C30"/>
    <w:rsid w:val="52363EF8"/>
    <w:rsid w:val="524167A7"/>
    <w:rsid w:val="524242D3"/>
    <w:rsid w:val="52495B70"/>
    <w:rsid w:val="524B086F"/>
    <w:rsid w:val="524D3BDE"/>
    <w:rsid w:val="525628E3"/>
    <w:rsid w:val="52573847"/>
    <w:rsid w:val="52585AB8"/>
    <w:rsid w:val="52694D87"/>
    <w:rsid w:val="526D46C6"/>
    <w:rsid w:val="52753C44"/>
    <w:rsid w:val="52881C12"/>
    <w:rsid w:val="528A050C"/>
    <w:rsid w:val="528C2E2C"/>
    <w:rsid w:val="529009CE"/>
    <w:rsid w:val="529024C6"/>
    <w:rsid w:val="52921A91"/>
    <w:rsid w:val="52A05842"/>
    <w:rsid w:val="52AD287E"/>
    <w:rsid w:val="52AD4542"/>
    <w:rsid w:val="52BA2867"/>
    <w:rsid w:val="52BE40AB"/>
    <w:rsid w:val="52BF0F06"/>
    <w:rsid w:val="52C807F4"/>
    <w:rsid w:val="53082F25"/>
    <w:rsid w:val="530A3568"/>
    <w:rsid w:val="53170BC1"/>
    <w:rsid w:val="533B2C88"/>
    <w:rsid w:val="533F13C1"/>
    <w:rsid w:val="53400330"/>
    <w:rsid w:val="53591E86"/>
    <w:rsid w:val="53600F56"/>
    <w:rsid w:val="536C5EBC"/>
    <w:rsid w:val="53707AB7"/>
    <w:rsid w:val="53717440"/>
    <w:rsid w:val="537C041E"/>
    <w:rsid w:val="537C3595"/>
    <w:rsid w:val="537E2EA2"/>
    <w:rsid w:val="5384523D"/>
    <w:rsid w:val="53956159"/>
    <w:rsid w:val="539754BD"/>
    <w:rsid w:val="539B0D9B"/>
    <w:rsid w:val="53A05391"/>
    <w:rsid w:val="53B53AB2"/>
    <w:rsid w:val="53B63BDE"/>
    <w:rsid w:val="53BF5D01"/>
    <w:rsid w:val="53DC044E"/>
    <w:rsid w:val="53DD0766"/>
    <w:rsid w:val="53E00E0F"/>
    <w:rsid w:val="53E11E53"/>
    <w:rsid w:val="53E67A1E"/>
    <w:rsid w:val="53EC2E48"/>
    <w:rsid w:val="53FD2C8A"/>
    <w:rsid w:val="540B47A1"/>
    <w:rsid w:val="540C63F7"/>
    <w:rsid w:val="541E045F"/>
    <w:rsid w:val="541E4DB2"/>
    <w:rsid w:val="542258CB"/>
    <w:rsid w:val="54246F78"/>
    <w:rsid w:val="542D032A"/>
    <w:rsid w:val="54336352"/>
    <w:rsid w:val="543D4F97"/>
    <w:rsid w:val="543E6814"/>
    <w:rsid w:val="54402FF2"/>
    <w:rsid w:val="544A0306"/>
    <w:rsid w:val="54530FAD"/>
    <w:rsid w:val="545720E4"/>
    <w:rsid w:val="545B7BCF"/>
    <w:rsid w:val="545C34ED"/>
    <w:rsid w:val="546F790B"/>
    <w:rsid w:val="548C25D3"/>
    <w:rsid w:val="549209D1"/>
    <w:rsid w:val="549B186B"/>
    <w:rsid w:val="54A97AB6"/>
    <w:rsid w:val="54C3270F"/>
    <w:rsid w:val="54D23CD1"/>
    <w:rsid w:val="54D42A85"/>
    <w:rsid w:val="54D8521F"/>
    <w:rsid w:val="54E567D6"/>
    <w:rsid w:val="54E95FF3"/>
    <w:rsid w:val="54EC02DE"/>
    <w:rsid w:val="54F2275D"/>
    <w:rsid w:val="54F33615"/>
    <w:rsid w:val="551C4892"/>
    <w:rsid w:val="55251528"/>
    <w:rsid w:val="55296F6D"/>
    <w:rsid w:val="55325E6D"/>
    <w:rsid w:val="554747DA"/>
    <w:rsid w:val="554A45E8"/>
    <w:rsid w:val="554B1EE2"/>
    <w:rsid w:val="55613A04"/>
    <w:rsid w:val="55642E8C"/>
    <w:rsid w:val="556F4103"/>
    <w:rsid w:val="55773B5C"/>
    <w:rsid w:val="557E66F9"/>
    <w:rsid w:val="55876D58"/>
    <w:rsid w:val="559909B8"/>
    <w:rsid w:val="559F2F88"/>
    <w:rsid w:val="55A71C5F"/>
    <w:rsid w:val="55AA246D"/>
    <w:rsid w:val="55D33BEB"/>
    <w:rsid w:val="55DF2767"/>
    <w:rsid w:val="55DF6415"/>
    <w:rsid w:val="55E27EA4"/>
    <w:rsid w:val="55EB7E93"/>
    <w:rsid w:val="55F03E12"/>
    <w:rsid w:val="55F74CC6"/>
    <w:rsid w:val="55F935FB"/>
    <w:rsid w:val="55FA0A3E"/>
    <w:rsid w:val="55FD758F"/>
    <w:rsid w:val="560E5A7F"/>
    <w:rsid w:val="56243C73"/>
    <w:rsid w:val="56266D7D"/>
    <w:rsid w:val="562B67C9"/>
    <w:rsid w:val="564515C1"/>
    <w:rsid w:val="564C4BD7"/>
    <w:rsid w:val="565418E6"/>
    <w:rsid w:val="567B5A89"/>
    <w:rsid w:val="56A65031"/>
    <w:rsid w:val="56D13CB3"/>
    <w:rsid w:val="56D7455D"/>
    <w:rsid w:val="56DC003D"/>
    <w:rsid w:val="56FE7CE6"/>
    <w:rsid w:val="57061CFC"/>
    <w:rsid w:val="57091447"/>
    <w:rsid w:val="5713736D"/>
    <w:rsid w:val="57164D3C"/>
    <w:rsid w:val="57174233"/>
    <w:rsid w:val="571C25F9"/>
    <w:rsid w:val="57236B81"/>
    <w:rsid w:val="572D428E"/>
    <w:rsid w:val="572E4448"/>
    <w:rsid w:val="57397068"/>
    <w:rsid w:val="57506C89"/>
    <w:rsid w:val="5756360E"/>
    <w:rsid w:val="57627B5B"/>
    <w:rsid w:val="57711BCC"/>
    <w:rsid w:val="578515EA"/>
    <w:rsid w:val="57887C3E"/>
    <w:rsid w:val="578B7877"/>
    <w:rsid w:val="57924EDC"/>
    <w:rsid w:val="57940EC9"/>
    <w:rsid w:val="57985EAC"/>
    <w:rsid w:val="57A37B97"/>
    <w:rsid w:val="57AD38D0"/>
    <w:rsid w:val="57B95737"/>
    <w:rsid w:val="57C67218"/>
    <w:rsid w:val="57C92D9B"/>
    <w:rsid w:val="57D53CBB"/>
    <w:rsid w:val="57D64190"/>
    <w:rsid w:val="57EE371D"/>
    <w:rsid w:val="57F426AD"/>
    <w:rsid w:val="58014BE2"/>
    <w:rsid w:val="580249E9"/>
    <w:rsid w:val="58084B34"/>
    <w:rsid w:val="580C5352"/>
    <w:rsid w:val="58123CFC"/>
    <w:rsid w:val="581251F8"/>
    <w:rsid w:val="58132315"/>
    <w:rsid w:val="58226E39"/>
    <w:rsid w:val="582A329E"/>
    <w:rsid w:val="58313954"/>
    <w:rsid w:val="583874D0"/>
    <w:rsid w:val="5843374A"/>
    <w:rsid w:val="58483D98"/>
    <w:rsid w:val="584E4B3C"/>
    <w:rsid w:val="585E01AB"/>
    <w:rsid w:val="585E0A6D"/>
    <w:rsid w:val="585F1140"/>
    <w:rsid w:val="58613C1C"/>
    <w:rsid w:val="586438F5"/>
    <w:rsid w:val="5875460E"/>
    <w:rsid w:val="58843743"/>
    <w:rsid w:val="58A16F35"/>
    <w:rsid w:val="58A817F1"/>
    <w:rsid w:val="58AE34D6"/>
    <w:rsid w:val="58B00C63"/>
    <w:rsid w:val="58BC59C0"/>
    <w:rsid w:val="58BC6DCD"/>
    <w:rsid w:val="58C12AF6"/>
    <w:rsid w:val="58D00F8B"/>
    <w:rsid w:val="58D2260D"/>
    <w:rsid w:val="58DA27A4"/>
    <w:rsid w:val="58EE1D43"/>
    <w:rsid w:val="590E1652"/>
    <w:rsid w:val="590F419A"/>
    <w:rsid w:val="5911177F"/>
    <w:rsid w:val="592635D8"/>
    <w:rsid w:val="592F3741"/>
    <w:rsid w:val="594015B1"/>
    <w:rsid w:val="594A6A35"/>
    <w:rsid w:val="594F0A7E"/>
    <w:rsid w:val="5954396A"/>
    <w:rsid w:val="59550AFC"/>
    <w:rsid w:val="59550F46"/>
    <w:rsid w:val="59582D6E"/>
    <w:rsid w:val="595E3F2E"/>
    <w:rsid w:val="59607471"/>
    <w:rsid w:val="596C3B16"/>
    <w:rsid w:val="596F32A0"/>
    <w:rsid w:val="597A37A6"/>
    <w:rsid w:val="597E20F6"/>
    <w:rsid w:val="597E40F8"/>
    <w:rsid w:val="59870BDB"/>
    <w:rsid w:val="598E7D48"/>
    <w:rsid w:val="59934492"/>
    <w:rsid w:val="599C11B7"/>
    <w:rsid w:val="59A10771"/>
    <w:rsid w:val="59A55F84"/>
    <w:rsid w:val="59AE4861"/>
    <w:rsid w:val="59BD4E33"/>
    <w:rsid w:val="59C51D8C"/>
    <w:rsid w:val="59CA7F2A"/>
    <w:rsid w:val="59F409CA"/>
    <w:rsid w:val="59F83A56"/>
    <w:rsid w:val="59FA79C7"/>
    <w:rsid w:val="59FF24F6"/>
    <w:rsid w:val="59FF3F68"/>
    <w:rsid w:val="5A1D0200"/>
    <w:rsid w:val="5A1F5EE9"/>
    <w:rsid w:val="5A266FDA"/>
    <w:rsid w:val="5A380B96"/>
    <w:rsid w:val="5A3B1430"/>
    <w:rsid w:val="5A3D0B5E"/>
    <w:rsid w:val="5A51050D"/>
    <w:rsid w:val="5A8B6E0D"/>
    <w:rsid w:val="5A8F6333"/>
    <w:rsid w:val="5A9E087D"/>
    <w:rsid w:val="5ABC1339"/>
    <w:rsid w:val="5AD50B17"/>
    <w:rsid w:val="5AD908AA"/>
    <w:rsid w:val="5AF4295F"/>
    <w:rsid w:val="5B051CDC"/>
    <w:rsid w:val="5B0A07A6"/>
    <w:rsid w:val="5B0E771E"/>
    <w:rsid w:val="5B1B19FC"/>
    <w:rsid w:val="5B1F1C3A"/>
    <w:rsid w:val="5B234C47"/>
    <w:rsid w:val="5B264ED4"/>
    <w:rsid w:val="5B266F26"/>
    <w:rsid w:val="5B33135D"/>
    <w:rsid w:val="5B393F9A"/>
    <w:rsid w:val="5B437B30"/>
    <w:rsid w:val="5B505CE1"/>
    <w:rsid w:val="5B696DA3"/>
    <w:rsid w:val="5B6C2828"/>
    <w:rsid w:val="5B736EA7"/>
    <w:rsid w:val="5B7A0374"/>
    <w:rsid w:val="5B7C5E45"/>
    <w:rsid w:val="5B8F1E8D"/>
    <w:rsid w:val="5B99417E"/>
    <w:rsid w:val="5B9A4C65"/>
    <w:rsid w:val="5BA22A36"/>
    <w:rsid w:val="5BA36C6F"/>
    <w:rsid w:val="5BA870A7"/>
    <w:rsid w:val="5BB506A7"/>
    <w:rsid w:val="5BB71F8E"/>
    <w:rsid w:val="5BB8195E"/>
    <w:rsid w:val="5BC953C5"/>
    <w:rsid w:val="5BCF6CFA"/>
    <w:rsid w:val="5BD90156"/>
    <w:rsid w:val="5BE567FE"/>
    <w:rsid w:val="5BE85AF0"/>
    <w:rsid w:val="5BEF6EF3"/>
    <w:rsid w:val="5BF20D8F"/>
    <w:rsid w:val="5BF44F90"/>
    <w:rsid w:val="5BF57851"/>
    <w:rsid w:val="5BF62AB6"/>
    <w:rsid w:val="5BF935AC"/>
    <w:rsid w:val="5C01398A"/>
    <w:rsid w:val="5C0A5E0A"/>
    <w:rsid w:val="5C0D5856"/>
    <w:rsid w:val="5C1765D4"/>
    <w:rsid w:val="5C1C473C"/>
    <w:rsid w:val="5C1E1839"/>
    <w:rsid w:val="5C1E730D"/>
    <w:rsid w:val="5C4E4C68"/>
    <w:rsid w:val="5C5622AA"/>
    <w:rsid w:val="5C573DC2"/>
    <w:rsid w:val="5C576E99"/>
    <w:rsid w:val="5C5A6DAF"/>
    <w:rsid w:val="5C770009"/>
    <w:rsid w:val="5C815BC9"/>
    <w:rsid w:val="5C9238ED"/>
    <w:rsid w:val="5C970D3F"/>
    <w:rsid w:val="5CA102ED"/>
    <w:rsid w:val="5CB44175"/>
    <w:rsid w:val="5CBB714F"/>
    <w:rsid w:val="5CBE143F"/>
    <w:rsid w:val="5CC0411F"/>
    <w:rsid w:val="5CC64D26"/>
    <w:rsid w:val="5CCD4BDC"/>
    <w:rsid w:val="5CD231C9"/>
    <w:rsid w:val="5CD27D42"/>
    <w:rsid w:val="5CD544A4"/>
    <w:rsid w:val="5CF6076D"/>
    <w:rsid w:val="5CFE41D7"/>
    <w:rsid w:val="5D013F5C"/>
    <w:rsid w:val="5D0928E5"/>
    <w:rsid w:val="5D146135"/>
    <w:rsid w:val="5D187372"/>
    <w:rsid w:val="5D1D61C6"/>
    <w:rsid w:val="5D2D5EB5"/>
    <w:rsid w:val="5D317D29"/>
    <w:rsid w:val="5D4F7A19"/>
    <w:rsid w:val="5D51762F"/>
    <w:rsid w:val="5D6C29E3"/>
    <w:rsid w:val="5D70567F"/>
    <w:rsid w:val="5D801B4F"/>
    <w:rsid w:val="5D8A7776"/>
    <w:rsid w:val="5D97130E"/>
    <w:rsid w:val="5DA03974"/>
    <w:rsid w:val="5DA42E7F"/>
    <w:rsid w:val="5DA56E48"/>
    <w:rsid w:val="5DB26D32"/>
    <w:rsid w:val="5DCF1843"/>
    <w:rsid w:val="5DD74322"/>
    <w:rsid w:val="5DD918DF"/>
    <w:rsid w:val="5E030A33"/>
    <w:rsid w:val="5E0362E4"/>
    <w:rsid w:val="5E066600"/>
    <w:rsid w:val="5E0B2D45"/>
    <w:rsid w:val="5E0E6B96"/>
    <w:rsid w:val="5E183CE4"/>
    <w:rsid w:val="5E2F56B7"/>
    <w:rsid w:val="5E3765BE"/>
    <w:rsid w:val="5E3B430B"/>
    <w:rsid w:val="5E422DAD"/>
    <w:rsid w:val="5E4556A0"/>
    <w:rsid w:val="5E49074C"/>
    <w:rsid w:val="5E4B4400"/>
    <w:rsid w:val="5E543AC4"/>
    <w:rsid w:val="5E547DF0"/>
    <w:rsid w:val="5E560DC8"/>
    <w:rsid w:val="5E58123C"/>
    <w:rsid w:val="5E6058F6"/>
    <w:rsid w:val="5E657279"/>
    <w:rsid w:val="5E6722B3"/>
    <w:rsid w:val="5E714676"/>
    <w:rsid w:val="5E7B56A8"/>
    <w:rsid w:val="5E7C23D4"/>
    <w:rsid w:val="5E836961"/>
    <w:rsid w:val="5EA52D7F"/>
    <w:rsid w:val="5EB758A1"/>
    <w:rsid w:val="5EC04DDD"/>
    <w:rsid w:val="5EC2182D"/>
    <w:rsid w:val="5EC549C2"/>
    <w:rsid w:val="5EDA226B"/>
    <w:rsid w:val="5EF31C45"/>
    <w:rsid w:val="5EF32781"/>
    <w:rsid w:val="5EFC63CC"/>
    <w:rsid w:val="5F0B5CF5"/>
    <w:rsid w:val="5F0D17F5"/>
    <w:rsid w:val="5F0D286B"/>
    <w:rsid w:val="5F120DA4"/>
    <w:rsid w:val="5F1C4B42"/>
    <w:rsid w:val="5F1E7DDA"/>
    <w:rsid w:val="5F205337"/>
    <w:rsid w:val="5F352762"/>
    <w:rsid w:val="5F3F707A"/>
    <w:rsid w:val="5F482E83"/>
    <w:rsid w:val="5F5818BD"/>
    <w:rsid w:val="5F5B70CA"/>
    <w:rsid w:val="5F5D22F9"/>
    <w:rsid w:val="5F63751D"/>
    <w:rsid w:val="5F653149"/>
    <w:rsid w:val="5F6944F4"/>
    <w:rsid w:val="5F720EF2"/>
    <w:rsid w:val="5F751BA8"/>
    <w:rsid w:val="5F7A57AC"/>
    <w:rsid w:val="5F943C06"/>
    <w:rsid w:val="5F9805A0"/>
    <w:rsid w:val="5F9A362D"/>
    <w:rsid w:val="5F9D1B10"/>
    <w:rsid w:val="5FAD0A26"/>
    <w:rsid w:val="5FB51DC5"/>
    <w:rsid w:val="5FBD755B"/>
    <w:rsid w:val="5FC62A05"/>
    <w:rsid w:val="5FC657DD"/>
    <w:rsid w:val="5FCB3966"/>
    <w:rsid w:val="5FD74855"/>
    <w:rsid w:val="5FE33B7B"/>
    <w:rsid w:val="5FEE6597"/>
    <w:rsid w:val="600A2FD4"/>
    <w:rsid w:val="6024250D"/>
    <w:rsid w:val="603012AD"/>
    <w:rsid w:val="60457EDB"/>
    <w:rsid w:val="6047533B"/>
    <w:rsid w:val="604A592A"/>
    <w:rsid w:val="60570E59"/>
    <w:rsid w:val="605F4603"/>
    <w:rsid w:val="60644B6B"/>
    <w:rsid w:val="60675EC7"/>
    <w:rsid w:val="606A77CD"/>
    <w:rsid w:val="606E3563"/>
    <w:rsid w:val="60786190"/>
    <w:rsid w:val="607D065B"/>
    <w:rsid w:val="608C5797"/>
    <w:rsid w:val="60B154EC"/>
    <w:rsid w:val="60BA46EA"/>
    <w:rsid w:val="60C96143"/>
    <w:rsid w:val="60DB671F"/>
    <w:rsid w:val="60E304AE"/>
    <w:rsid w:val="60EB1E1F"/>
    <w:rsid w:val="60F13276"/>
    <w:rsid w:val="60FA66B2"/>
    <w:rsid w:val="60FF3D16"/>
    <w:rsid w:val="61075217"/>
    <w:rsid w:val="610F1F6A"/>
    <w:rsid w:val="61270222"/>
    <w:rsid w:val="613E479D"/>
    <w:rsid w:val="616013D3"/>
    <w:rsid w:val="616B277E"/>
    <w:rsid w:val="617141B4"/>
    <w:rsid w:val="617438E6"/>
    <w:rsid w:val="618C2C39"/>
    <w:rsid w:val="61992377"/>
    <w:rsid w:val="61A80C83"/>
    <w:rsid w:val="61AA5C05"/>
    <w:rsid w:val="61AB4CEA"/>
    <w:rsid w:val="61B57EC8"/>
    <w:rsid w:val="61CC3764"/>
    <w:rsid w:val="61CD5F94"/>
    <w:rsid w:val="61F0608E"/>
    <w:rsid w:val="61F34802"/>
    <w:rsid w:val="61FE57BA"/>
    <w:rsid w:val="62072FF7"/>
    <w:rsid w:val="6207793F"/>
    <w:rsid w:val="620B470C"/>
    <w:rsid w:val="6210516B"/>
    <w:rsid w:val="622153A4"/>
    <w:rsid w:val="62246EAC"/>
    <w:rsid w:val="622F2C7F"/>
    <w:rsid w:val="623015F6"/>
    <w:rsid w:val="62365AE9"/>
    <w:rsid w:val="62386666"/>
    <w:rsid w:val="623A00CC"/>
    <w:rsid w:val="623F0248"/>
    <w:rsid w:val="623F5BE2"/>
    <w:rsid w:val="623F720C"/>
    <w:rsid w:val="625849F2"/>
    <w:rsid w:val="62630B19"/>
    <w:rsid w:val="62672BE2"/>
    <w:rsid w:val="626D47E1"/>
    <w:rsid w:val="62761CB4"/>
    <w:rsid w:val="627A4F65"/>
    <w:rsid w:val="62822622"/>
    <w:rsid w:val="62964681"/>
    <w:rsid w:val="629A5F2E"/>
    <w:rsid w:val="62A32E82"/>
    <w:rsid w:val="62B20589"/>
    <w:rsid w:val="62B41576"/>
    <w:rsid w:val="62B858EF"/>
    <w:rsid w:val="62BC497E"/>
    <w:rsid w:val="62BD283C"/>
    <w:rsid w:val="62CB0945"/>
    <w:rsid w:val="62CD1314"/>
    <w:rsid w:val="62DE0EBE"/>
    <w:rsid w:val="62DE2526"/>
    <w:rsid w:val="62F950F8"/>
    <w:rsid w:val="6309004D"/>
    <w:rsid w:val="63112DD4"/>
    <w:rsid w:val="63121DF8"/>
    <w:rsid w:val="63155EC9"/>
    <w:rsid w:val="631F19E0"/>
    <w:rsid w:val="6320219F"/>
    <w:rsid w:val="632A0569"/>
    <w:rsid w:val="63344A56"/>
    <w:rsid w:val="63507EF5"/>
    <w:rsid w:val="63654DAB"/>
    <w:rsid w:val="63675F95"/>
    <w:rsid w:val="636A0C9B"/>
    <w:rsid w:val="6375786D"/>
    <w:rsid w:val="637B48FF"/>
    <w:rsid w:val="638B7152"/>
    <w:rsid w:val="638D02AE"/>
    <w:rsid w:val="63AB687C"/>
    <w:rsid w:val="63AC7EFE"/>
    <w:rsid w:val="63AE7AD9"/>
    <w:rsid w:val="63B56229"/>
    <w:rsid w:val="63BA086D"/>
    <w:rsid w:val="63CA1F53"/>
    <w:rsid w:val="63E358D7"/>
    <w:rsid w:val="63EB79D1"/>
    <w:rsid w:val="64033973"/>
    <w:rsid w:val="640A37B3"/>
    <w:rsid w:val="641F0121"/>
    <w:rsid w:val="643439CC"/>
    <w:rsid w:val="64432611"/>
    <w:rsid w:val="644840CB"/>
    <w:rsid w:val="644F5885"/>
    <w:rsid w:val="64662DAD"/>
    <w:rsid w:val="646E6790"/>
    <w:rsid w:val="64723C6E"/>
    <w:rsid w:val="648F5856"/>
    <w:rsid w:val="649C1116"/>
    <w:rsid w:val="649D61FC"/>
    <w:rsid w:val="64B40BDD"/>
    <w:rsid w:val="64B6225F"/>
    <w:rsid w:val="64CE1AF0"/>
    <w:rsid w:val="64D91F61"/>
    <w:rsid w:val="64E83CA7"/>
    <w:rsid w:val="64EC4CA4"/>
    <w:rsid w:val="650669E1"/>
    <w:rsid w:val="650A4DF7"/>
    <w:rsid w:val="65382575"/>
    <w:rsid w:val="653A5FEF"/>
    <w:rsid w:val="653C22CD"/>
    <w:rsid w:val="653D3504"/>
    <w:rsid w:val="6542430F"/>
    <w:rsid w:val="655F26E6"/>
    <w:rsid w:val="6576554A"/>
    <w:rsid w:val="657E577F"/>
    <w:rsid w:val="6589499B"/>
    <w:rsid w:val="659047CC"/>
    <w:rsid w:val="65950135"/>
    <w:rsid w:val="65AA223B"/>
    <w:rsid w:val="65BF3A26"/>
    <w:rsid w:val="65C02EB2"/>
    <w:rsid w:val="65C644FC"/>
    <w:rsid w:val="65D425B6"/>
    <w:rsid w:val="65DE4616"/>
    <w:rsid w:val="65F16135"/>
    <w:rsid w:val="65FF2CD0"/>
    <w:rsid w:val="66091813"/>
    <w:rsid w:val="660C0B93"/>
    <w:rsid w:val="6610728C"/>
    <w:rsid w:val="661C6D07"/>
    <w:rsid w:val="66330699"/>
    <w:rsid w:val="66332701"/>
    <w:rsid w:val="66456F52"/>
    <w:rsid w:val="664A36FF"/>
    <w:rsid w:val="665E10CA"/>
    <w:rsid w:val="665F793B"/>
    <w:rsid w:val="66642DE4"/>
    <w:rsid w:val="66657F88"/>
    <w:rsid w:val="66893E19"/>
    <w:rsid w:val="6689665E"/>
    <w:rsid w:val="66A03D4A"/>
    <w:rsid w:val="66AA15FC"/>
    <w:rsid w:val="66AF1A99"/>
    <w:rsid w:val="66B4115C"/>
    <w:rsid w:val="66BD7A81"/>
    <w:rsid w:val="66BF1F2A"/>
    <w:rsid w:val="66C3540E"/>
    <w:rsid w:val="66CF7336"/>
    <w:rsid w:val="66D44A21"/>
    <w:rsid w:val="66DC3981"/>
    <w:rsid w:val="66E61DDE"/>
    <w:rsid w:val="671A6296"/>
    <w:rsid w:val="67202C42"/>
    <w:rsid w:val="672911E4"/>
    <w:rsid w:val="67470ED8"/>
    <w:rsid w:val="67471EC5"/>
    <w:rsid w:val="67620A83"/>
    <w:rsid w:val="676D0C93"/>
    <w:rsid w:val="67A664DA"/>
    <w:rsid w:val="67B149F5"/>
    <w:rsid w:val="67B37262"/>
    <w:rsid w:val="67BF7F70"/>
    <w:rsid w:val="67C34FEE"/>
    <w:rsid w:val="67C3512C"/>
    <w:rsid w:val="67CD3F14"/>
    <w:rsid w:val="67ED117D"/>
    <w:rsid w:val="67EE021A"/>
    <w:rsid w:val="680854EB"/>
    <w:rsid w:val="681A745E"/>
    <w:rsid w:val="682A2EE3"/>
    <w:rsid w:val="68315C65"/>
    <w:rsid w:val="68386804"/>
    <w:rsid w:val="683B4DB8"/>
    <w:rsid w:val="6843275B"/>
    <w:rsid w:val="684941AF"/>
    <w:rsid w:val="684A0BCC"/>
    <w:rsid w:val="684E59D4"/>
    <w:rsid w:val="686D36B1"/>
    <w:rsid w:val="687E662D"/>
    <w:rsid w:val="688320DE"/>
    <w:rsid w:val="68950336"/>
    <w:rsid w:val="68AC32D7"/>
    <w:rsid w:val="68AC7ED1"/>
    <w:rsid w:val="68B30C82"/>
    <w:rsid w:val="68BF08FC"/>
    <w:rsid w:val="68BF16F5"/>
    <w:rsid w:val="68D074A3"/>
    <w:rsid w:val="68D16203"/>
    <w:rsid w:val="68D61D57"/>
    <w:rsid w:val="68EF0D46"/>
    <w:rsid w:val="68F37CDF"/>
    <w:rsid w:val="68F81EB3"/>
    <w:rsid w:val="690A315E"/>
    <w:rsid w:val="690F790C"/>
    <w:rsid w:val="691F3D17"/>
    <w:rsid w:val="69276FFB"/>
    <w:rsid w:val="692924A8"/>
    <w:rsid w:val="693A5CFE"/>
    <w:rsid w:val="694002F9"/>
    <w:rsid w:val="69472E32"/>
    <w:rsid w:val="694A1263"/>
    <w:rsid w:val="69521573"/>
    <w:rsid w:val="695574DF"/>
    <w:rsid w:val="69590F75"/>
    <w:rsid w:val="696A576E"/>
    <w:rsid w:val="69872FA0"/>
    <w:rsid w:val="6987641E"/>
    <w:rsid w:val="69953DA0"/>
    <w:rsid w:val="699D06C2"/>
    <w:rsid w:val="69A13C3E"/>
    <w:rsid w:val="69B46675"/>
    <w:rsid w:val="69B70353"/>
    <w:rsid w:val="69CA3077"/>
    <w:rsid w:val="69CD6811"/>
    <w:rsid w:val="69D30D43"/>
    <w:rsid w:val="69D925D7"/>
    <w:rsid w:val="69DA5CCA"/>
    <w:rsid w:val="69E61764"/>
    <w:rsid w:val="69E71C90"/>
    <w:rsid w:val="69E93980"/>
    <w:rsid w:val="69EA712C"/>
    <w:rsid w:val="69F140C0"/>
    <w:rsid w:val="69F30B4C"/>
    <w:rsid w:val="69FE3B23"/>
    <w:rsid w:val="69FF2BC9"/>
    <w:rsid w:val="6A025AC7"/>
    <w:rsid w:val="6A0D6A92"/>
    <w:rsid w:val="6A1551DE"/>
    <w:rsid w:val="6A1F12E0"/>
    <w:rsid w:val="6A225BE9"/>
    <w:rsid w:val="6A3B2734"/>
    <w:rsid w:val="6A3C3A41"/>
    <w:rsid w:val="6A4A37DD"/>
    <w:rsid w:val="6A523C26"/>
    <w:rsid w:val="6A5518EB"/>
    <w:rsid w:val="6A5A1DEB"/>
    <w:rsid w:val="6A5E607B"/>
    <w:rsid w:val="6A746B99"/>
    <w:rsid w:val="6A805EC9"/>
    <w:rsid w:val="6A815E7D"/>
    <w:rsid w:val="6A830CFC"/>
    <w:rsid w:val="6A856DC1"/>
    <w:rsid w:val="6A887017"/>
    <w:rsid w:val="6A8A0AF9"/>
    <w:rsid w:val="6A933BC6"/>
    <w:rsid w:val="6AA13E25"/>
    <w:rsid w:val="6AA91504"/>
    <w:rsid w:val="6ADD5433"/>
    <w:rsid w:val="6AE968C3"/>
    <w:rsid w:val="6AE976B7"/>
    <w:rsid w:val="6AF05468"/>
    <w:rsid w:val="6AF117A2"/>
    <w:rsid w:val="6B0022F4"/>
    <w:rsid w:val="6B0A44EB"/>
    <w:rsid w:val="6B0C097A"/>
    <w:rsid w:val="6B17316D"/>
    <w:rsid w:val="6B1B5180"/>
    <w:rsid w:val="6B1C5D1F"/>
    <w:rsid w:val="6B1F3C87"/>
    <w:rsid w:val="6B2626D6"/>
    <w:rsid w:val="6B511AB7"/>
    <w:rsid w:val="6B5168D9"/>
    <w:rsid w:val="6B655079"/>
    <w:rsid w:val="6B7072DA"/>
    <w:rsid w:val="6BA4408F"/>
    <w:rsid w:val="6BB02E29"/>
    <w:rsid w:val="6BB4591A"/>
    <w:rsid w:val="6BB51070"/>
    <w:rsid w:val="6BCA4782"/>
    <w:rsid w:val="6BCE460C"/>
    <w:rsid w:val="6BED2004"/>
    <w:rsid w:val="6BF07522"/>
    <w:rsid w:val="6BF13455"/>
    <w:rsid w:val="6BF4745D"/>
    <w:rsid w:val="6BFF2E2E"/>
    <w:rsid w:val="6C021BC5"/>
    <w:rsid w:val="6C0578D5"/>
    <w:rsid w:val="6C096DF7"/>
    <w:rsid w:val="6C0E0F4A"/>
    <w:rsid w:val="6C1D442C"/>
    <w:rsid w:val="6C295B47"/>
    <w:rsid w:val="6C401F3C"/>
    <w:rsid w:val="6C552807"/>
    <w:rsid w:val="6C6F5185"/>
    <w:rsid w:val="6C841B20"/>
    <w:rsid w:val="6C8A4247"/>
    <w:rsid w:val="6C922387"/>
    <w:rsid w:val="6C9E0132"/>
    <w:rsid w:val="6C9F6436"/>
    <w:rsid w:val="6CB93DBA"/>
    <w:rsid w:val="6CC91389"/>
    <w:rsid w:val="6CD0127C"/>
    <w:rsid w:val="6CD429A0"/>
    <w:rsid w:val="6CDB6C4B"/>
    <w:rsid w:val="6CE11F16"/>
    <w:rsid w:val="6CE84D8B"/>
    <w:rsid w:val="6CEB5705"/>
    <w:rsid w:val="6CFB2DA5"/>
    <w:rsid w:val="6D0061F6"/>
    <w:rsid w:val="6D08089B"/>
    <w:rsid w:val="6D0D2D99"/>
    <w:rsid w:val="6D0D4E9B"/>
    <w:rsid w:val="6D153287"/>
    <w:rsid w:val="6D176986"/>
    <w:rsid w:val="6D1E1E6D"/>
    <w:rsid w:val="6D34312C"/>
    <w:rsid w:val="6D413A67"/>
    <w:rsid w:val="6D4F40E1"/>
    <w:rsid w:val="6D591ECD"/>
    <w:rsid w:val="6D5A526F"/>
    <w:rsid w:val="6D695244"/>
    <w:rsid w:val="6D82740C"/>
    <w:rsid w:val="6D85677A"/>
    <w:rsid w:val="6D882752"/>
    <w:rsid w:val="6D914840"/>
    <w:rsid w:val="6DAC42B6"/>
    <w:rsid w:val="6DC22468"/>
    <w:rsid w:val="6DD32C57"/>
    <w:rsid w:val="6DDD2BFE"/>
    <w:rsid w:val="6DF33A3B"/>
    <w:rsid w:val="6DF71808"/>
    <w:rsid w:val="6DF82319"/>
    <w:rsid w:val="6E066E82"/>
    <w:rsid w:val="6E1119D2"/>
    <w:rsid w:val="6E1421DD"/>
    <w:rsid w:val="6E1F50AB"/>
    <w:rsid w:val="6E211F53"/>
    <w:rsid w:val="6E334DC9"/>
    <w:rsid w:val="6E3E3969"/>
    <w:rsid w:val="6E50107E"/>
    <w:rsid w:val="6E6767F5"/>
    <w:rsid w:val="6E6B33D9"/>
    <w:rsid w:val="6E8A3033"/>
    <w:rsid w:val="6E9309E1"/>
    <w:rsid w:val="6EA246AD"/>
    <w:rsid w:val="6EA56B0C"/>
    <w:rsid w:val="6EAB7671"/>
    <w:rsid w:val="6EB0547A"/>
    <w:rsid w:val="6EB873D1"/>
    <w:rsid w:val="6EBC413D"/>
    <w:rsid w:val="6EC778FD"/>
    <w:rsid w:val="6EC97FE7"/>
    <w:rsid w:val="6EE34DCF"/>
    <w:rsid w:val="6EE94F0A"/>
    <w:rsid w:val="6EFD04AE"/>
    <w:rsid w:val="6F1302E4"/>
    <w:rsid w:val="6F140590"/>
    <w:rsid w:val="6F183E33"/>
    <w:rsid w:val="6F1D7C03"/>
    <w:rsid w:val="6F2A1462"/>
    <w:rsid w:val="6F2D104D"/>
    <w:rsid w:val="6F3625C5"/>
    <w:rsid w:val="6F4F378A"/>
    <w:rsid w:val="6F514088"/>
    <w:rsid w:val="6F600F73"/>
    <w:rsid w:val="6F672B2E"/>
    <w:rsid w:val="6F6D654F"/>
    <w:rsid w:val="6F72162C"/>
    <w:rsid w:val="6F796245"/>
    <w:rsid w:val="6F7E1056"/>
    <w:rsid w:val="6F833207"/>
    <w:rsid w:val="6F9D65B5"/>
    <w:rsid w:val="6FA91211"/>
    <w:rsid w:val="6FAD24DC"/>
    <w:rsid w:val="6FB4319F"/>
    <w:rsid w:val="6FB5230F"/>
    <w:rsid w:val="6FB737D6"/>
    <w:rsid w:val="6FC746B7"/>
    <w:rsid w:val="6FC94265"/>
    <w:rsid w:val="6FDA2E93"/>
    <w:rsid w:val="6FE86525"/>
    <w:rsid w:val="6FEA05C0"/>
    <w:rsid w:val="6FF16847"/>
    <w:rsid w:val="6FF260A2"/>
    <w:rsid w:val="6FF712C6"/>
    <w:rsid w:val="70047E97"/>
    <w:rsid w:val="701318C7"/>
    <w:rsid w:val="70147319"/>
    <w:rsid w:val="7026560F"/>
    <w:rsid w:val="702A5F16"/>
    <w:rsid w:val="702B7EB0"/>
    <w:rsid w:val="702C327C"/>
    <w:rsid w:val="703F4BA4"/>
    <w:rsid w:val="70554B4B"/>
    <w:rsid w:val="70565530"/>
    <w:rsid w:val="706B64E1"/>
    <w:rsid w:val="706F015B"/>
    <w:rsid w:val="707D5C10"/>
    <w:rsid w:val="707F038B"/>
    <w:rsid w:val="708244C1"/>
    <w:rsid w:val="70825A31"/>
    <w:rsid w:val="70952446"/>
    <w:rsid w:val="709836C2"/>
    <w:rsid w:val="70A14C18"/>
    <w:rsid w:val="70A36E95"/>
    <w:rsid w:val="70BA4A1C"/>
    <w:rsid w:val="70BC1BAE"/>
    <w:rsid w:val="70E508FB"/>
    <w:rsid w:val="70EF2237"/>
    <w:rsid w:val="71040D65"/>
    <w:rsid w:val="710D024E"/>
    <w:rsid w:val="711241F2"/>
    <w:rsid w:val="71141FE6"/>
    <w:rsid w:val="71156AB4"/>
    <w:rsid w:val="71156C62"/>
    <w:rsid w:val="711E0D35"/>
    <w:rsid w:val="7123493C"/>
    <w:rsid w:val="71315B25"/>
    <w:rsid w:val="71323962"/>
    <w:rsid w:val="714B49BC"/>
    <w:rsid w:val="71640DB1"/>
    <w:rsid w:val="716F5A55"/>
    <w:rsid w:val="717F3473"/>
    <w:rsid w:val="718D32CB"/>
    <w:rsid w:val="71940FAD"/>
    <w:rsid w:val="71D704D0"/>
    <w:rsid w:val="71F37CA7"/>
    <w:rsid w:val="71F71793"/>
    <w:rsid w:val="71F944A4"/>
    <w:rsid w:val="720129C3"/>
    <w:rsid w:val="72075DC4"/>
    <w:rsid w:val="720A5776"/>
    <w:rsid w:val="721459FF"/>
    <w:rsid w:val="721F3A3A"/>
    <w:rsid w:val="72223613"/>
    <w:rsid w:val="72492C4F"/>
    <w:rsid w:val="724F1D63"/>
    <w:rsid w:val="72512000"/>
    <w:rsid w:val="725162FB"/>
    <w:rsid w:val="725903E4"/>
    <w:rsid w:val="725F2166"/>
    <w:rsid w:val="72621D7E"/>
    <w:rsid w:val="72762602"/>
    <w:rsid w:val="72856872"/>
    <w:rsid w:val="728876D1"/>
    <w:rsid w:val="72907369"/>
    <w:rsid w:val="72940971"/>
    <w:rsid w:val="729529A1"/>
    <w:rsid w:val="72967B48"/>
    <w:rsid w:val="72984ADA"/>
    <w:rsid w:val="72A51193"/>
    <w:rsid w:val="72BF1BF3"/>
    <w:rsid w:val="72C9287B"/>
    <w:rsid w:val="72E651DB"/>
    <w:rsid w:val="72E962F8"/>
    <w:rsid w:val="7320432E"/>
    <w:rsid w:val="7352461E"/>
    <w:rsid w:val="735F439B"/>
    <w:rsid w:val="73647C48"/>
    <w:rsid w:val="736A27ED"/>
    <w:rsid w:val="737B3685"/>
    <w:rsid w:val="738301C6"/>
    <w:rsid w:val="738824EE"/>
    <w:rsid w:val="738B0358"/>
    <w:rsid w:val="738F700E"/>
    <w:rsid w:val="73B2144B"/>
    <w:rsid w:val="73B40E35"/>
    <w:rsid w:val="73C445EE"/>
    <w:rsid w:val="73C80F10"/>
    <w:rsid w:val="73C85CB2"/>
    <w:rsid w:val="73D9089C"/>
    <w:rsid w:val="73DD54A5"/>
    <w:rsid w:val="73DF10D2"/>
    <w:rsid w:val="73E5172E"/>
    <w:rsid w:val="73E624C0"/>
    <w:rsid w:val="73E96870"/>
    <w:rsid w:val="73F07B09"/>
    <w:rsid w:val="73FB7F59"/>
    <w:rsid w:val="740F15CA"/>
    <w:rsid w:val="741518E7"/>
    <w:rsid w:val="741C6A3A"/>
    <w:rsid w:val="74203485"/>
    <w:rsid w:val="74234A5B"/>
    <w:rsid w:val="742C2D16"/>
    <w:rsid w:val="742F1EA8"/>
    <w:rsid w:val="74302B9B"/>
    <w:rsid w:val="743E4A75"/>
    <w:rsid w:val="745443C6"/>
    <w:rsid w:val="746C5134"/>
    <w:rsid w:val="746E2DCA"/>
    <w:rsid w:val="746F561B"/>
    <w:rsid w:val="746F779C"/>
    <w:rsid w:val="74843EF7"/>
    <w:rsid w:val="74926B16"/>
    <w:rsid w:val="749A4977"/>
    <w:rsid w:val="74AD4DC4"/>
    <w:rsid w:val="74C635F2"/>
    <w:rsid w:val="74C9637A"/>
    <w:rsid w:val="74CA4C0D"/>
    <w:rsid w:val="74CF5861"/>
    <w:rsid w:val="74D442FB"/>
    <w:rsid w:val="74E26423"/>
    <w:rsid w:val="74F60331"/>
    <w:rsid w:val="75165F95"/>
    <w:rsid w:val="752712D7"/>
    <w:rsid w:val="75305687"/>
    <w:rsid w:val="7545775C"/>
    <w:rsid w:val="75464731"/>
    <w:rsid w:val="75484ADB"/>
    <w:rsid w:val="75491918"/>
    <w:rsid w:val="75575D8D"/>
    <w:rsid w:val="75666CE9"/>
    <w:rsid w:val="756C4B2E"/>
    <w:rsid w:val="759A6D68"/>
    <w:rsid w:val="75A0403B"/>
    <w:rsid w:val="75A115E3"/>
    <w:rsid w:val="75A25FEF"/>
    <w:rsid w:val="75A42544"/>
    <w:rsid w:val="75AE410C"/>
    <w:rsid w:val="75AE5E97"/>
    <w:rsid w:val="75B6221C"/>
    <w:rsid w:val="75B74231"/>
    <w:rsid w:val="75EB114A"/>
    <w:rsid w:val="75F25A93"/>
    <w:rsid w:val="76051ED4"/>
    <w:rsid w:val="76150516"/>
    <w:rsid w:val="76213127"/>
    <w:rsid w:val="762B6BFB"/>
    <w:rsid w:val="76326DB2"/>
    <w:rsid w:val="763809FD"/>
    <w:rsid w:val="764247B2"/>
    <w:rsid w:val="76511B01"/>
    <w:rsid w:val="76557EC2"/>
    <w:rsid w:val="765B7BA5"/>
    <w:rsid w:val="7660015C"/>
    <w:rsid w:val="7677355A"/>
    <w:rsid w:val="7681712F"/>
    <w:rsid w:val="76986395"/>
    <w:rsid w:val="76A3740D"/>
    <w:rsid w:val="76A83177"/>
    <w:rsid w:val="76B3005E"/>
    <w:rsid w:val="76C713CB"/>
    <w:rsid w:val="76C92E49"/>
    <w:rsid w:val="76CD1818"/>
    <w:rsid w:val="76EB7E51"/>
    <w:rsid w:val="76ED4FFF"/>
    <w:rsid w:val="76EE7546"/>
    <w:rsid w:val="770B0224"/>
    <w:rsid w:val="772A514F"/>
    <w:rsid w:val="77422C84"/>
    <w:rsid w:val="77425A66"/>
    <w:rsid w:val="774F6FC5"/>
    <w:rsid w:val="775916A3"/>
    <w:rsid w:val="775A25DC"/>
    <w:rsid w:val="775F730A"/>
    <w:rsid w:val="777245B0"/>
    <w:rsid w:val="77C3319D"/>
    <w:rsid w:val="77C83101"/>
    <w:rsid w:val="77CC6333"/>
    <w:rsid w:val="77CD3D06"/>
    <w:rsid w:val="77D42D33"/>
    <w:rsid w:val="77D53E99"/>
    <w:rsid w:val="77E36C6D"/>
    <w:rsid w:val="77F273D8"/>
    <w:rsid w:val="77F758DB"/>
    <w:rsid w:val="77FF3359"/>
    <w:rsid w:val="7816490B"/>
    <w:rsid w:val="781C6994"/>
    <w:rsid w:val="782811CD"/>
    <w:rsid w:val="782D48F4"/>
    <w:rsid w:val="78485FF0"/>
    <w:rsid w:val="785430E1"/>
    <w:rsid w:val="78556200"/>
    <w:rsid w:val="785E3CAF"/>
    <w:rsid w:val="78654DF4"/>
    <w:rsid w:val="786D0F5C"/>
    <w:rsid w:val="78A333BC"/>
    <w:rsid w:val="78B06666"/>
    <w:rsid w:val="78B41C36"/>
    <w:rsid w:val="78C20B88"/>
    <w:rsid w:val="791D3B65"/>
    <w:rsid w:val="791E1470"/>
    <w:rsid w:val="79200D1B"/>
    <w:rsid w:val="792A22DB"/>
    <w:rsid w:val="79314B57"/>
    <w:rsid w:val="793B7C8D"/>
    <w:rsid w:val="79520DCD"/>
    <w:rsid w:val="795413AF"/>
    <w:rsid w:val="795D5EED"/>
    <w:rsid w:val="79604182"/>
    <w:rsid w:val="797E03EC"/>
    <w:rsid w:val="797F3C93"/>
    <w:rsid w:val="79815591"/>
    <w:rsid w:val="79853455"/>
    <w:rsid w:val="79853A93"/>
    <w:rsid w:val="798A5F70"/>
    <w:rsid w:val="798F5344"/>
    <w:rsid w:val="79912A1F"/>
    <w:rsid w:val="79A74F98"/>
    <w:rsid w:val="79AA42EF"/>
    <w:rsid w:val="79AC713F"/>
    <w:rsid w:val="79AD5238"/>
    <w:rsid w:val="79B628C1"/>
    <w:rsid w:val="79C1381A"/>
    <w:rsid w:val="79DA1E1A"/>
    <w:rsid w:val="79DD5C5F"/>
    <w:rsid w:val="79E7560C"/>
    <w:rsid w:val="79FA22BC"/>
    <w:rsid w:val="79FB2928"/>
    <w:rsid w:val="79FC6D2F"/>
    <w:rsid w:val="7A2778CD"/>
    <w:rsid w:val="7A29469B"/>
    <w:rsid w:val="7A362652"/>
    <w:rsid w:val="7A4B1AE2"/>
    <w:rsid w:val="7A557A34"/>
    <w:rsid w:val="7A654DEB"/>
    <w:rsid w:val="7A756E44"/>
    <w:rsid w:val="7A810CE2"/>
    <w:rsid w:val="7A8269AF"/>
    <w:rsid w:val="7A8D77ED"/>
    <w:rsid w:val="7A9B78D5"/>
    <w:rsid w:val="7AA00416"/>
    <w:rsid w:val="7AA45E06"/>
    <w:rsid w:val="7AC6152F"/>
    <w:rsid w:val="7ADA473C"/>
    <w:rsid w:val="7AE70672"/>
    <w:rsid w:val="7AE808AE"/>
    <w:rsid w:val="7AF03AC3"/>
    <w:rsid w:val="7AF31B94"/>
    <w:rsid w:val="7AF4277D"/>
    <w:rsid w:val="7AF807D5"/>
    <w:rsid w:val="7B175E85"/>
    <w:rsid w:val="7B2353F7"/>
    <w:rsid w:val="7B2565D8"/>
    <w:rsid w:val="7B323900"/>
    <w:rsid w:val="7B370B20"/>
    <w:rsid w:val="7B3C40CF"/>
    <w:rsid w:val="7B401B46"/>
    <w:rsid w:val="7B4F7332"/>
    <w:rsid w:val="7B551150"/>
    <w:rsid w:val="7B5F1C02"/>
    <w:rsid w:val="7B655433"/>
    <w:rsid w:val="7B6A281F"/>
    <w:rsid w:val="7B781022"/>
    <w:rsid w:val="7B7B02D5"/>
    <w:rsid w:val="7B7C4EB1"/>
    <w:rsid w:val="7B87662F"/>
    <w:rsid w:val="7B8F31E8"/>
    <w:rsid w:val="7B963516"/>
    <w:rsid w:val="7B975DAC"/>
    <w:rsid w:val="7B9F5AFD"/>
    <w:rsid w:val="7BA03AEE"/>
    <w:rsid w:val="7BA11556"/>
    <w:rsid w:val="7BAD2EC7"/>
    <w:rsid w:val="7BB523C6"/>
    <w:rsid w:val="7BBB078D"/>
    <w:rsid w:val="7BCC0150"/>
    <w:rsid w:val="7BE24534"/>
    <w:rsid w:val="7BEF1A41"/>
    <w:rsid w:val="7BF87BCC"/>
    <w:rsid w:val="7BFA2EC5"/>
    <w:rsid w:val="7C013AC1"/>
    <w:rsid w:val="7C1101E9"/>
    <w:rsid w:val="7C2B3EF5"/>
    <w:rsid w:val="7C2C0543"/>
    <w:rsid w:val="7C2D2F77"/>
    <w:rsid w:val="7C382D61"/>
    <w:rsid w:val="7C3D265F"/>
    <w:rsid w:val="7C476457"/>
    <w:rsid w:val="7C6178F6"/>
    <w:rsid w:val="7C68172B"/>
    <w:rsid w:val="7C7145D6"/>
    <w:rsid w:val="7C8336F1"/>
    <w:rsid w:val="7C8B10CA"/>
    <w:rsid w:val="7C8D19CC"/>
    <w:rsid w:val="7C8D584A"/>
    <w:rsid w:val="7CAF4A4A"/>
    <w:rsid w:val="7CBA4636"/>
    <w:rsid w:val="7CBD4375"/>
    <w:rsid w:val="7CC0084B"/>
    <w:rsid w:val="7CE87CF7"/>
    <w:rsid w:val="7CEF74C3"/>
    <w:rsid w:val="7CF16B76"/>
    <w:rsid w:val="7CFA10AF"/>
    <w:rsid w:val="7D023EAD"/>
    <w:rsid w:val="7D034BDB"/>
    <w:rsid w:val="7D0420A4"/>
    <w:rsid w:val="7D070CC3"/>
    <w:rsid w:val="7D0E0C96"/>
    <w:rsid w:val="7D0F3586"/>
    <w:rsid w:val="7D1455A9"/>
    <w:rsid w:val="7D157953"/>
    <w:rsid w:val="7D206F50"/>
    <w:rsid w:val="7D2A732B"/>
    <w:rsid w:val="7D2F5AB3"/>
    <w:rsid w:val="7D330D91"/>
    <w:rsid w:val="7D492BD8"/>
    <w:rsid w:val="7D495894"/>
    <w:rsid w:val="7D4B23F2"/>
    <w:rsid w:val="7D4C4CED"/>
    <w:rsid w:val="7D611959"/>
    <w:rsid w:val="7D683A8E"/>
    <w:rsid w:val="7D6F5498"/>
    <w:rsid w:val="7D734314"/>
    <w:rsid w:val="7D734436"/>
    <w:rsid w:val="7D8111BA"/>
    <w:rsid w:val="7D87580C"/>
    <w:rsid w:val="7D886841"/>
    <w:rsid w:val="7D947B87"/>
    <w:rsid w:val="7DA71DFD"/>
    <w:rsid w:val="7DAF2631"/>
    <w:rsid w:val="7DB94E07"/>
    <w:rsid w:val="7DC06421"/>
    <w:rsid w:val="7DDF1D34"/>
    <w:rsid w:val="7DDF2C35"/>
    <w:rsid w:val="7DDF2F52"/>
    <w:rsid w:val="7E0846C6"/>
    <w:rsid w:val="7E0A6B0C"/>
    <w:rsid w:val="7E0C66D8"/>
    <w:rsid w:val="7E2168F5"/>
    <w:rsid w:val="7E317C02"/>
    <w:rsid w:val="7E3D405F"/>
    <w:rsid w:val="7E4171EB"/>
    <w:rsid w:val="7E4559A9"/>
    <w:rsid w:val="7E4C278B"/>
    <w:rsid w:val="7E531884"/>
    <w:rsid w:val="7E567602"/>
    <w:rsid w:val="7E5F5B4C"/>
    <w:rsid w:val="7E680DD3"/>
    <w:rsid w:val="7E72291D"/>
    <w:rsid w:val="7E8B2609"/>
    <w:rsid w:val="7E8B4E88"/>
    <w:rsid w:val="7E9354B8"/>
    <w:rsid w:val="7E962539"/>
    <w:rsid w:val="7E967AAD"/>
    <w:rsid w:val="7EA5385D"/>
    <w:rsid w:val="7EAC7098"/>
    <w:rsid w:val="7EAD7AB9"/>
    <w:rsid w:val="7EB602D6"/>
    <w:rsid w:val="7EB83D8E"/>
    <w:rsid w:val="7EBE12D9"/>
    <w:rsid w:val="7EC16749"/>
    <w:rsid w:val="7ECB2F1C"/>
    <w:rsid w:val="7ED475BF"/>
    <w:rsid w:val="7ED91B4C"/>
    <w:rsid w:val="7EE0449B"/>
    <w:rsid w:val="7EEC6743"/>
    <w:rsid w:val="7EF023FC"/>
    <w:rsid w:val="7EF43F5F"/>
    <w:rsid w:val="7EFE1AFE"/>
    <w:rsid w:val="7F0718BB"/>
    <w:rsid w:val="7F097635"/>
    <w:rsid w:val="7F0E29B0"/>
    <w:rsid w:val="7F0E7D57"/>
    <w:rsid w:val="7F245C4D"/>
    <w:rsid w:val="7F276560"/>
    <w:rsid w:val="7F395CC1"/>
    <w:rsid w:val="7F471C5D"/>
    <w:rsid w:val="7F627628"/>
    <w:rsid w:val="7F6F6D94"/>
    <w:rsid w:val="7F7D2A23"/>
    <w:rsid w:val="7F805EDD"/>
    <w:rsid w:val="7F8244DD"/>
    <w:rsid w:val="7F8E4C30"/>
    <w:rsid w:val="7F9A2311"/>
    <w:rsid w:val="7F9C372F"/>
    <w:rsid w:val="7FA63A05"/>
    <w:rsid w:val="7FCB7484"/>
    <w:rsid w:val="7FE11934"/>
    <w:rsid w:val="7FE34D24"/>
    <w:rsid w:val="7FE50658"/>
    <w:rsid w:val="7FEC1610"/>
    <w:rsid w:val="7FED4A4C"/>
    <w:rsid w:val="7FF2742E"/>
    <w:rsid w:val="7FF47FE1"/>
    <w:rsid w:val="7FF90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6"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nhideWhenUsed="0" w:uiPriority="0" w:semiHidden="0" w:name="HTML Preformatted"/>
    <w:lsdException w:qFormat="1" w:uiPriority="0" w:semiHidden="0" w:name="HTML Sample"/>
    <w:lsdException w:unhideWhenUsed="0"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62"/>
    <w:qFormat/>
    <w:uiPriority w:val="0"/>
    <w:pPr>
      <w:keepNext/>
      <w:jc w:val="center"/>
      <w:outlineLvl w:val="0"/>
    </w:pPr>
    <w:rPr>
      <w:b/>
      <w:bCs/>
      <w:sz w:val="24"/>
      <w:szCs w:val="20"/>
    </w:rPr>
  </w:style>
  <w:style w:type="paragraph" w:styleId="3">
    <w:name w:val="heading 2"/>
    <w:basedOn w:val="1"/>
    <w:next w:val="1"/>
    <w:link w:val="163"/>
    <w:qFormat/>
    <w:uiPriority w:val="0"/>
    <w:pPr>
      <w:keepNext/>
      <w:keepLines/>
      <w:spacing w:line="360" w:lineRule="auto"/>
      <w:outlineLvl w:val="1"/>
    </w:pPr>
    <w:rPr>
      <w:rFonts w:ascii="Arial" w:hAnsi="Arial"/>
      <w:b/>
      <w:bCs/>
      <w:sz w:val="24"/>
      <w:szCs w:val="32"/>
    </w:rPr>
  </w:style>
  <w:style w:type="paragraph" w:styleId="4">
    <w:name w:val="heading 3"/>
    <w:basedOn w:val="1"/>
    <w:next w:val="1"/>
    <w:link w:val="117"/>
    <w:qFormat/>
    <w:uiPriority w:val="0"/>
    <w:pPr>
      <w:keepNext/>
      <w:keepLines/>
      <w:spacing w:before="260" w:after="260" w:line="416" w:lineRule="auto"/>
      <w:outlineLvl w:val="2"/>
    </w:pPr>
    <w:rPr>
      <w:b/>
      <w:bCs/>
      <w:sz w:val="32"/>
      <w:szCs w:val="32"/>
    </w:rPr>
  </w:style>
  <w:style w:type="paragraph" w:styleId="5">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76"/>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48"/>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19"/>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51"/>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00"/>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unhideWhenUsed/>
    <w:qFormat/>
    <w:uiPriority w:val="0"/>
    <w:pPr>
      <w:ind w:left="2520" w:leftChars="1200"/>
    </w:pPr>
    <w:rPr>
      <w:szCs w:val="22"/>
    </w:rPr>
  </w:style>
  <w:style w:type="paragraph" w:styleId="13">
    <w:name w:val="Normal Indent"/>
    <w:basedOn w:val="1"/>
    <w:link w:val="81"/>
    <w:qFormat/>
    <w:uiPriority w:val="0"/>
    <w:pPr>
      <w:widowControl/>
      <w:ind w:firstLine="420"/>
      <w:jc w:val="left"/>
    </w:pPr>
    <w:rPr>
      <w:kern w:val="0"/>
      <w:sz w:val="20"/>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List Bullet"/>
    <w:basedOn w:val="1"/>
    <w:qFormat/>
    <w:uiPriority w:val="0"/>
    <w:pPr>
      <w:ind w:left="100" w:leftChars="200" w:hanging="200" w:hangingChars="200"/>
    </w:pPr>
    <w:rPr>
      <w:rFonts w:hint="eastAsia"/>
    </w:rPr>
  </w:style>
  <w:style w:type="paragraph" w:styleId="16">
    <w:name w:val="Document Map"/>
    <w:basedOn w:val="1"/>
    <w:link w:val="138"/>
    <w:qFormat/>
    <w:uiPriority w:val="0"/>
    <w:pPr>
      <w:shd w:val="clear" w:color="auto" w:fill="000080"/>
    </w:pPr>
  </w:style>
  <w:style w:type="paragraph" w:styleId="17">
    <w:name w:val="toa heading"/>
    <w:basedOn w:val="1"/>
    <w:next w:val="1"/>
    <w:unhideWhenUsed/>
    <w:qFormat/>
    <w:uiPriority w:val="99"/>
    <w:pPr>
      <w:widowControl/>
      <w:spacing w:before="120" w:after="120" w:line="264" w:lineRule="auto"/>
      <w:ind w:firstLine="1572" w:firstLineChars="200"/>
      <w:jc w:val="left"/>
    </w:pPr>
    <w:rPr>
      <w:rFonts w:ascii="Arial" w:hAnsi="Arial" w:eastAsia="Microsoft YaHei UI" w:cs="Tahoma"/>
      <w:color w:val="3F3F3F"/>
      <w:kern w:val="0"/>
      <w:sz w:val="24"/>
      <w:szCs w:val="20"/>
      <w:lang w:val="zh-CN"/>
    </w:rPr>
  </w:style>
  <w:style w:type="paragraph" w:styleId="18">
    <w:name w:val="annotation text"/>
    <w:basedOn w:val="1"/>
    <w:link w:val="122"/>
    <w:qFormat/>
    <w:uiPriority w:val="0"/>
    <w:pPr>
      <w:jc w:val="left"/>
    </w:pPr>
  </w:style>
  <w:style w:type="paragraph" w:styleId="19">
    <w:name w:val="Salutation"/>
    <w:basedOn w:val="1"/>
    <w:next w:val="1"/>
    <w:link w:val="70"/>
    <w:qFormat/>
    <w:uiPriority w:val="0"/>
    <w:rPr>
      <w:rFonts w:ascii="仿宋_GB2312" w:eastAsia="仿宋_GB2312"/>
      <w:sz w:val="24"/>
    </w:rPr>
  </w:style>
  <w:style w:type="paragraph" w:styleId="20">
    <w:name w:val="Body Text 3"/>
    <w:basedOn w:val="1"/>
    <w:link w:val="93"/>
    <w:qFormat/>
    <w:uiPriority w:val="0"/>
    <w:pPr>
      <w:spacing w:after="120"/>
    </w:pPr>
    <w:rPr>
      <w:sz w:val="16"/>
      <w:szCs w:val="20"/>
    </w:rPr>
  </w:style>
  <w:style w:type="paragraph" w:styleId="21">
    <w:name w:val="Body Text"/>
    <w:basedOn w:val="1"/>
    <w:next w:val="1"/>
    <w:link w:val="129"/>
    <w:qFormat/>
    <w:uiPriority w:val="0"/>
    <w:pPr>
      <w:spacing w:after="120"/>
    </w:pPr>
  </w:style>
  <w:style w:type="paragraph" w:styleId="22">
    <w:name w:val="Body Text Indent"/>
    <w:basedOn w:val="1"/>
    <w:link w:val="142"/>
    <w:qFormat/>
    <w:uiPriority w:val="0"/>
    <w:pPr>
      <w:spacing w:after="120"/>
      <w:ind w:left="420" w:leftChars="200"/>
    </w:pPr>
  </w:style>
  <w:style w:type="paragraph" w:styleId="23">
    <w:name w:val="List 2"/>
    <w:basedOn w:val="1"/>
    <w:qFormat/>
    <w:uiPriority w:val="0"/>
    <w:pPr>
      <w:ind w:left="100" w:leftChars="200" w:hanging="200" w:hangingChars="200"/>
    </w:pPr>
  </w:style>
  <w:style w:type="paragraph" w:styleId="24">
    <w:name w:val="Block Text"/>
    <w:basedOn w:val="1"/>
    <w:qFormat/>
    <w:uiPriority w:val="0"/>
    <w:pPr>
      <w:ind w:left="1171" w:right="91" w:hanging="1080"/>
    </w:pPr>
    <w:rPr>
      <w:rFonts w:eastAsia="楷体_GB2312"/>
      <w:szCs w:val="20"/>
    </w:rPr>
  </w:style>
  <w:style w:type="paragraph" w:styleId="25">
    <w:name w:val="index 4"/>
    <w:basedOn w:val="1"/>
    <w:next w:val="1"/>
    <w:unhideWhenUsed/>
    <w:qFormat/>
    <w:uiPriority w:val="99"/>
    <w:pPr>
      <w:ind w:left="600" w:leftChars="600"/>
    </w:pPr>
  </w:style>
  <w:style w:type="paragraph" w:styleId="26">
    <w:name w:val="toc 5"/>
    <w:basedOn w:val="1"/>
    <w:next w:val="1"/>
    <w:unhideWhenUsed/>
    <w:qFormat/>
    <w:uiPriority w:val="0"/>
    <w:pPr>
      <w:ind w:left="1680" w:leftChars="800"/>
    </w:pPr>
    <w:rPr>
      <w:szCs w:val="22"/>
    </w:rPr>
  </w:style>
  <w:style w:type="paragraph" w:styleId="27">
    <w:name w:val="toc 3"/>
    <w:basedOn w:val="1"/>
    <w:next w:val="1"/>
    <w:unhideWhenUsed/>
    <w:qFormat/>
    <w:uiPriority w:val="0"/>
    <w:pPr>
      <w:ind w:left="840" w:leftChars="400"/>
    </w:pPr>
  </w:style>
  <w:style w:type="paragraph" w:styleId="28">
    <w:name w:val="Plain Text"/>
    <w:basedOn w:val="1"/>
    <w:link w:val="89"/>
    <w:qFormat/>
    <w:uiPriority w:val="0"/>
    <w:rPr>
      <w:rFonts w:ascii="宋体" w:hAnsi="Courier New" w:cs="Courier New"/>
      <w:szCs w:val="21"/>
    </w:rPr>
  </w:style>
  <w:style w:type="paragraph" w:styleId="29">
    <w:name w:val="toc 8"/>
    <w:basedOn w:val="1"/>
    <w:next w:val="1"/>
    <w:unhideWhenUsed/>
    <w:qFormat/>
    <w:uiPriority w:val="0"/>
    <w:pPr>
      <w:ind w:left="2940" w:leftChars="1400"/>
    </w:pPr>
    <w:rPr>
      <w:szCs w:val="22"/>
    </w:rPr>
  </w:style>
  <w:style w:type="paragraph" w:styleId="30">
    <w:name w:val="Date"/>
    <w:basedOn w:val="1"/>
    <w:next w:val="1"/>
    <w:link w:val="126"/>
    <w:qFormat/>
    <w:uiPriority w:val="0"/>
    <w:rPr>
      <w:sz w:val="24"/>
      <w:szCs w:val="20"/>
    </w:rPr>
  </w:style>
  <w:style w:type="paragraph" w:styleId="31">
    <w:name w:val="Body Text Indent 2"/>
    <w:basedOn w:val="1"/>
    <w:link w:val="180"/>
    <w:qFormat/>
    <w:uiPriority w:val="0"/>
    <w:pPr>
      <w:spacing w:after="120" w:line="480" w:lineRule="auto"/>
      <w:ind w:left="420" w:leftChars="200"/>
    </w:pPr>
  </w:style>
  <w:style w:type="paragraph" w:styleId="32">
    <w:name w:val="Balloon Text"/>
    <w:basedOn w:val="1"/>
    <w:link w:val="154"/>
    <w:qFormat/>
    <w:uiPriority w:val="0"/>
    <w:rPr>
      <w:sz w:val="18"/>
      <w:szCs w:val="18"/>
    </w:rPr>
  </w:style>
  <w:style w:type="paragraph" w:styleId="33">
    <w:name w:val="footer"/>
    <w:basedOn w:val="1"/>
    <w:link w:val="160"/>
    <w:qFormat/>
    <w:uiPriority w:val="0"/>
    <w:pPr>
      <w:tabs>
        <w:tab w:val="center" w:pos="4153"/>
        <w:tab w:val="right" w:pos="8306"/>
      </w:tabs>
      <w:snapToGrid w:val="0"/>
      <w:jc w:val="left"/>
    </w:pPr>
    <w:rPr>
      <w:sz w:val="18"/>
      <w:szCs w:val="18"/>
    </w:rPr>
  </w:style>
  <w:style w:type="paragraph" w:styleId="34">
    <w:name w:val="envelope return"/>
    <w:basedOn w:val="1"/>
    <w:qFormat/>
    <w:uiPriority w:val="0"/>
    <w:pPr>
      <w:snapToGrid w:val="0"/>
    </w:pPr>
    <w:rPr>
      <w:rFonts w:ascii="Arial" w:hAnsi="Arial"/>
    </w:rPr>
  </w:style>
  <w:style w:type="paragraph" w:styleId="35">
    <w:name w:val="header"/>
    <w:basedOn w:val="1"/>
    <w:link w:val="172"/>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0"/>
    <w:rPr>
      <w:rFonts w:ascii="华文中宋" w:hAnsi="华文中宋" w:eastAsia="华文中宋"/>
      <w:b/>
      <w:sz w:val="28"/>
      <w:szCs w:val="28"/>
    </w:rPr>
  </w:style>
  <w:style w:type="paragraph" w:styleId="37">
    <w:name w:val="toc 4"/>
    <w:basedOn w:val="1"/>
    <w:next w:val="1"/>
    <w:unhideWhenUsed/>
    <w:qFormat/>
    <w:uiPriority w:val="0"/>
    <w:pPr>
      <w:ind w:left="1260" w:leftChars="600"/>
    </w:pPr>
  </w:style>
  <w:style w:type="paragraph" w:styleId="38">
    <w:name w:val="Subtitle"/>
    <w:basedOn w:val="1"/>
    <w:next w:val="1"/>
    <w:link w:val="156"/>
    <w:qFormat/>
    <w:uiPriority w:val="0"/>
    <w:pPr>
      <w:spacing w:before="240" w:after="60" w:line="312" w:lineRule="auto"/>
      <w:jc w:val="center"/>
      <w:outlineLvl w:val="1"/>
    </w:pPr>
    <w:rPr>
      <w:rFonts w:ascii="Cambria" w:hAnsi="Cambria" w:cs="黑体"/>
      <w:b/>
      <w:bCs/>
      <w:kern w:val="28"/>
      <w:sz w:val="28"/>
      <w:szCs w:val="28"/>
    </w:rPr>
  </w:style>
  <w:style w:type="paragraph" w:styleId="39">
    <w:name w:val="List"/>
    <w:basedOn w:val="1"/>
    <w:qFormat/>
    <w:uiPriority w:val="0"/>
    <w:pPr>
      <w:ind w:left="200" w:hanging="200" w:hangingChars="200"/>
    </w:pPr>
  </w:style>
  <w:style w:type="paragraph" w:styleId="40">
    <w:name w:val="toc 6"/>
    <w:basedOn w:val="1"/>
    <w:next w:val="1"/>
    <w:unhideWhenUsed/>
    <w:qFormat/>
    <w:uiPriority w:val="0"/>
    <w:pPr>
      <w:ind w:left="2100" w:leftChars="1000"/>
    </w:pPr>
    <w:rPr>
      <w:szCs w:val="22"/>
    </w:rPr>
  </w:style>
  <w:style w:type="paragraph" w:styleId="41">
    <w:name w:val="Body Text Indent 3"/>
    <w:basedOn w:val="1"/>
    <w:link w:val="86"/>
    <w:qFormat/>
    <w:uiPriority w:val="0"/>
    <w:pPr>
      <w:spacing w:after="120"/>
      <w:ind w:left="420" w:leftChars="200"/>
    </w:pPr>
    <w:rPr>
      <w:sz w:val="16"/>
      <w:szCs w:val="16"/>
    </w:rPr>
  </w:style>
  <w:style w:type="paragraph" w:styleId="42">
    <w:name w:val="toc 2"/>
    <w:basedOn w:val="1"/>
    <w:next w:val="1"/>
    <w:unhideWhenUsed/>
    <w:qFormat/>
    <w:uiPriority w:val="0"/>
    <w:pPr>
      <w:ind w:left="420" w:leftChars="200"/>
    </w:pPr>
  </w:style>
  <w:style w:type="paragraph" w:styleId="43">
    <w:name w:val="toc 9"/>
    <w:basedOn w:val="1"/>
    <w:next w:val="1"/>
    <w:unhideWhenUsed/>
    <w:qFormat/>
    <w:uiPriority w:val="0"/>
    <w:pPr>
      <w:ind w:left="3360" w:leftChars="1600"/>
    </w:pPr>
    <w:rPr>
      <w:szCs w:val="22"/>
    </w:rPr>
  </w:style>
  <w:style w:type="paragraph" w:styleId="44">
    <w:name w:val="Body Text 2"/>
    <w:basedOn w:val="1"/>
    <w:link w:val="132"/>
    <w:qFormat/>
    <w:uiPriority w:val="0"/>
    <w:pPr>
      <w:spacing w:after="120" w:line="480" w:lineRule="auto"/>
    </w:pPr>
  </w:style>
  <w:style w:type="paragraph" w:styleId="45">
    <w:name w:val="HTML Preformatted"/>
    <w:basedOn w:val="1"/>
    <w:link w:val="15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7">
    <w:name w:val="index 1"/>
    <w:basedOn w:val="1"/>
    <w:next w:val="1"/>
    <w:qFormat/>
    <w:uiPriority w:val="0"/>
    <w:pPr>
      <w:spacing w:line="220" w:lineRule="exact"/>
      <w:jc w:val="center"/>
    </w:pPr>
    <w:rPr>
      <w:rFonts w:ascii="仿宋_GB2312" w:eastAsia="仿宋_GB2312"/>
      <w:szCs w:val="20"/>
    </w:rPr>
  </w:style>
  <w:style w:type="paragraph" w:styleId="48">
    <w:name w:val="Title"/>
    <w:basedOn w:val="1"/>
    <w:next w:val="1"/>
    <w:link w:val="166"/>
    <w:qFormat/>
    <w:uiPriority w:val="0"/>
    <w:pPr>
      <w:spacing w:before="240" w:after="60"/>
      <w:jc w:val="center"/>
      <w:outlineLvl w:val="0"/>
    </w:pPr>
    <w:rPr>
      <w:rFonts w:ascii="Cambria" w:hAnsi="Cambria"/>
      <w:b/>
      <w:bCs/>
      <w:sz w:val="32"/>
      <w:szCs w:val="32"/>
    </w:rPr>
  </w:style>
  <w:style w:type="paragraph" w:styleId="49">
    <w:name w:val="annotation subject"/>
    <w:basedOn w:val="18"/>
    <w:next w:val="1"/>
    <w:link w:val="125"/>
    <w:qFormat/>
    <w:uiPriority w:val="0"/>
    <w:rPr>
      <w:b/>
      <w:bCs/>
    </w:rPr>
  </w:style>
  <w:style w:type="paragraph" w:styleId="50">
    <w:name w:val="Body Text First Indent 2"/>
    <w:basedOn w:val="22"/>
    <w:qFormat/>
    <w:uiPriority w:val="6"/>
    <w:pPr>
      <w:ind w:firstLine="420"/>
      <w:jc w:val="left"/>
    </w:pPr>
    <w:rPr>
      <w:rFonts w:cs="Calibri"/>
      <w:kern w:val="0"/>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0"/>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rPr>
      <w:rFonts w:hint="default" w:ascii="Times New Roman" w:hAnsi="Times New Roman" w:eastAsia="宋体" w:cs="Times New Roman"/>
    </w:rPr>
  </w:style>
  <w:style w:type="character" w:styleId="58">
    <w:name w:val="HTML Definition"/>
    <w:basedOn w:val="53"/>
    <w:unhideWhenUsed/>
    <w:qFormat/>
    <w:uiPriority w:val="0"/>
    <w:rPr>
      <w:rFonts w:hint="default" w:ascii="Times New Roman" w:hAnsi="Times New Roman" w:eastAsia="宋体" w:cs="Times New Roman"/>
    </w:rPr>
  </w:style>
  <w:style w:type="character" w:styleId="59">
    <w:name w:val="HTML Variable"/>
    <w:basedOn w:val="53"/>
    <w:unhideWhenUsed/>
    <w:qFormat/>
    <w:uiPriority w:val="0"/>
    <w:rPr>
      <w:rFonts w:hint="default" w:ascii="Times New Roman" w:hAnsi="Times New Roman" w:eastAsia="宋体" w:cs="Times New Roman"/>
    </w:rPr>
  </w:style>
  <w:style w:type="character" w:styleId="60">
    <w:name w:val="Hyperlink"/>
    <w:basedOn w:val="53"/>
    <w:qFormat/>
    <w:uiPriority w:val="0"/>
    <w:rPr>
      <w:color w:val="136EC2"/>
      <w:u w:val="single"/>
    </w:rPr>
  </w:style>
  <w:style w:type="character" w:styleId="61">
    <w:name w:val="HTML Code"/>
    <w:basedOn w:val="53"/>
    <w:unhideWhenUsed/>
    <w:qFormat/>
    <w:uiPriority w:val="0"/>
    <w:rPr>
      <w:rFonts w:hint="default" w:ascii="Courier New" w:hAnsi="Courier New" w:eastAsia="Courier New" w:cs="Courier New"/>
      <w:sz w:val="24"/>
      <w:szCs w:val="24"/>
    </w:rPr>
  </w:style>
  <w:style w:type="character" w:styleId="62">
    <w:name w:val="annotation reference"/>
    <w:basedOn w:val="53"/>
    <w:qFormat/>
    <w:uiPriority w:val="0"/>
    <w:rPr>
      <w:sz w:val="21"/>
      <w:szCs w:val="21"/>
    </w:rPr>
  </w:style>
  <w:style w:type="character" w:styleId="63">
    <w:name w:val="HTML Cite"/>
    <w:basedOn w:val="53"/>
    <w:unhideWhenUsed/>
    <w:qFormat/>
    <w:uiPriority w:val="0"/>
    <w:rPr>
      <w:rFonts w:hint="default" w:ascii="Times New Roman" w:hAnsi="Times New Roman" w:eastAsia="宋体" w:cs="Times New Roman"/>
    </w:rPr>
  </w:style>
  <w:style w:type="character" w:styleId="64">
    <w:name w:val="HTML Keyboard"/>
    <w:basedOn w:val="53"/>
    <w:unhideWhenUsed/>
    <w:qFormat/>
    <w:uiPriority w:val="0"/>
    <w:rPr>
      <w:rFonts w:hint="default" w:ascii="Courier New" w:hAnsi="Courier New" w:eastAsia="Courier New" w:cs="Courier New"/>
      <w:sz w:val="24"/>
      <w:szCs w:val="24"/>
    </w:rPr>
  </w:style>
  <w:style w:type="character" w:styleId="65">
    <w:name w:val="HTML Sample"/>
    <w:basedOn w:val="53"/>
    <w:unhideWhenUsed/>
    <w:qFormat/>
    <w:uiPriority w:val="0"/>
    <w:rPr>
      <w:rFonts w:hint="default" w:ascii="Courier New" w:hAnsi="Courier New" w:eastAsia="Courier New" w:cs="Courier New"/>
    </w:rPr>
  </w:style>
  <w:style w:type="paragraph" w:customStyle="1" w:styleId="66">
    <w:name w:val="xl110"/>
    <w:qFormat/>
    <w:uiPriority w:val="0"/>
    <w:pPr>
      <w:spacing w:before="100" w:beforeAutospacing="1" w:after="100" w:afterAutospacing="1"/>
      <w:jc w:val="center"/>
      <w:textAlignment w:val="center"/>
    </w:pPr>
    <w:rPr>
      <w:rFonts w:ascii="宋体" w:hAnsi="宋体" w:eastAsia="宋体" w:cs="宋体"/>
      <w:lang w:val="en-US" w:eastAsia="zh-CN" w:bidi="ar-SA"/>
    </w:rPr>
  </w:style>
  <w:style w:type="paragraph" w:customStyle="1" w:styleId="67">
    <w:name w:val="表格文字"/>
    <w:basedOn w:val="1"/>
    <w:qFormat/>
    <w:uiPriority w:val="0"/>
    <w:pPr>
      <w:jc w:val="left"/>
    </w:pPr>
    <w:rPr>
      <w:bCs/>
      <w:spacing w:val="10"/>
      <w:kern w:val="0"/>
      <w:sz w:val="24"/>
    </w:rPr>
  </w:style>
  <w:style w:type="paragraph" w:customStyle="1" w:styleId="68">
    <w:name w:val="Default"/>
    <w:qFormat/>
    <w:uiPriority w:val="0"/>
    <w:pPr>
      <w:widowControl w:val="0"/>
      <w:autoSpaceDE w:val="0"/>
      <w:autoSpaceDN w:val="0"/>
      <w:adjustRightInd w:val="0"/>
    </w:pPr>
    <w:rPr>
      <w:rFonts w:ascii="黑体" w:hAnsi="Calibri" w:eastAsia="黑体" w:cs="Times New Roman"/>
      <w:lang w:val="en-US" w:eastAsia="zh-CN" w:bidi="ar-SA"/>
    </w:rPr>
  </w:style>
  <w:style w:type="paragraph" w:customStyle="1" w:styleId="69">
    <w:name w:val="样式2"/>
    <w:basedOn w:val="1"/>
    <w:qFormat/>
    <w:uiPriority w:val="99"/>
    <w:pPr>
      <w:widowControl/>
      <w:shd w:val="clear" w:color="auto" w:fill="FFFFFF"/>
      <w:spacing w:before="100" w:beforeAutospacing="1" w:after="100" w:afterAutospacing="1"/>
      <w:ind w:left="562"/>
      <w:jc w:val="center"/>
    </w:pPr>
    <w:rPr>
      <w:rFonts w:ascii="宋体" w:hAnsi="宋体" w:cs="宋体"/>
      <w:b/>
      <w:bCs/>
    </w:rPr>
  </w:style>
  <w:style w:type="character" w:customStyle="1" w:styleId="70">
    <w:name w:val="称呼 字符"/>
    <w:basedOn w:val="53"/>
    <w:link w:val="19"/>
    <w:qFormat/>
    <w:uiPriority w:val="0"/>
    <w:rPr>
      <w:rFonts w:ascii="仿宋_GB2312" w:eastAsia="仿宋_GB2312"/>
      <w:kern w:val="2"/>
      <w:sz w:val="24"/>
      <w:szCs w:val="24"/>
    </w:rPr>
  </w:style>
  <w:style w:type="character" w:customStyle="1" w:styleId="71">
    <w:name w:val="sort1"/>
    <w:basedOn w:val="53"/>
    <w:qFormat/>
    <w:uiPriority w:val="0"/>
    <w:rPr>
      <w:rFonts w:hint="default" w:ascii="Times New Roman" w:hAnsi="Times New Roman" w:eastAsia="宋体" w:cs="Times New Roman"/>
    </w:rPr>
  </w:style>
  <w:style w:type="character" w:customStyle="1" w:styleId="72">
    <w:name w:val="Font Style124"/>
    <w:basedOn w:val="53"/>
    <w:qFormat/>
    <w:uiPriority w:val="0"/>
    <w:rPr>
      <w:rFonts w:hint="eastAsia" w:ascii="宋体" w:hAnsi="宋体" w:eastAsia="宋体"/>
      <w:spacing w:val="30"/>
      <w:sz w:val="24"/>
    </w:rPr>
  </w:style>
  <w:style w:type="character" w:customStyle="1" w:styleId="73">
    <w:name w:val="p0 Char"/>
    <w:qFormat/>
    <w:locked/>
    <w:uiPriority w:val="0"/>
    <w:rPr>
      <w:sz w:val="21"/>
      <w:szCs w:val="21"/>
    </w:rPr>
  </w:style>
  <w:style w:type="character" w:customStyle="1" w:styleId="74">
    <w:name w:val="标题 Char2"/>
    <w:basedOn w:val="53"/>
    <w:qFormat/>
    <w:locked/>
    <w:uiPriority w:val="0"/>
    <w:rPr>
      <w:rFonts w:ascii="Cambria" w:hAnsi="Cambria"/>
      <w:b/>
      <w:kern w:val="2"/>
      <w:sz w:val="32"/>
      <w:szCs w:val="24"/>
    </w:rPr>
  </w:style>
  <w:style w:type="character" w:customStyle="1" w:styleId="75">
    <w:name w:val="font81"/>
    <w:basedOn w:val="53"/>
    <w:qFormat/>
    <w:uiPriority w:val="0"/>
    <w:rPr>
      <w:rFonts w:hint="eastAsia" w:ascii="宋体" w:hAnsi="宋体" w:eastAsia="宋体"/>
      <w:color w:val="000000"/>
      <w:sz w:val="18"/>
      <w:szCs w:val="18"/>
      <w:u w:val="none"/>
    </w:rPr>
  </w:style>
  <w:style w:type="character" w:customStyle="1" w:styleId="76">
    <w:name w:val="sidecatalog-dot1"/>
    <w:basedOn w:val="53"/>
    <w:qFormat/>
    <w:uiPriority w:val="0"/>
    <w:rPr>
      <w:rFonts w:hint="default" w:ascii="Times New Roman" w:hAnsi="Times New Roman" w:eastAsia="宋体" w:cs="Times New Roman"/>
    </w:rPr>
  </w:style>
  <w:style w:type="character" w:customStyle="1" w:styleId="77">
    <w:name w:val="polysemyred"/>
    <w:basedOn w:val="53"/>
    <w:qFormat/>
    <w:uiPriority w:val="0"/>
    <w:rPr>
      <w:rFonts w:hint="default" w:ascii="Times New Roman" w:hAnsi="Times New Roman" w:eastAsia="宋体" w:cs="Times New Roman"/>
      <w:color w:val="FF6666"/>
      <w:sz w:val="18"/>
      <w:szCs w:val="18"/>
    </w:rPr>
  </w:style>
  <w:style w:type="character" w:customStyle="1" w:styleId="78">
    <w:name w:val="sort"/>
    <w:basedOn w:val="53"/>
    <w:qFormat/>
    <w:uiPriority w:val="0"/>
    <w:rPr>
      <w:rFonts w:hint="default" w:ascii="Times New Roman" w:hAnsi="Times New Roman" w:eastAsia="宋体" w:cs="Times New Roman"/>
      <w:color w:val="FFFFFF"/>
      <w:bdr w:val="single" w:color="auto" w:sz="24" w:space="0"/>
    </w:rPr>
  </w:style>
  <w:style w:type="character" w:customStyle="1" w:styleId="79">
    <w:name w:val="Font Style116"/>
    <w:basedOn w:val="53"/>
    <w:qFormat/>
    <w:uiPriority w:val="0"/>
    <w:rPr>
      <w:rFonts w:hint="eastAsia" w:ascii="宋体" w:hAnsi="宋体" w:eastAsia="宋体"/>
      <w:spacing w:val="-20"/>
      <w:sz w:val="24"/>
    </w:rPr>
  </w:style>
  <w:style w:type="character" w:customStyle="1" w:styleId="80">
    <w:name w:val="Font Style133"/>
    <w:basedOn w:val="53"/>
    <w:qFormat/>
    <w:uiPriority w:val="0"/>
    <w:rPr>
      <w:rFonts w:hint="eastAsia" w:ascii="宋体" w:hAnsi="宋体" w:eastAsia="宋体"/>
      <w:spacing w:val="30"/>
      <w:sz w:val="24"/>
    </w:rPr>
  </w:style>
  <w:style w:type="character" w:customStyle="1" w:styleId="81">
    <w:name w:val="正文缩进 字符"/>
    <w:link w:val="13"/>
    <w:qFormat/>
    <w:uiPriority w:val="0"/>
    <w:rPr>
      <w:rFonts w:eastAsia="宋体"/>
      <w:lang w:val="en-US" w:eastAsia="zh-CN" w:bidi="ar-SA"/>
    </w:rPr>
  </w:style>
  <w:style w:type="character" w:customStyle="1" w:styleId="82">
    <w:name w:val="标题 8 Char1"/>
    <w:semiHidden/>
    <w:qFormat/>
    <w:locked/>
    <w:uiPriority w:val="0"/>
    <w:rPr>
      <w:rFonts w:ascii="Arial" w:hAnsi="Arial" w:eastAsia="黑体"/>
      <w:sz w:val="24"/>
      <w:szCs w:val="24"/>
    </w:rPr>
  </w:style>
  <w:style w:type="character" w:customStyle="1" w:styleId="83">
    <w:name w:val="Font Style94"/>
    <w:basedOn w:val="53"/>
    <w:qFormat/>
    <w:uiPriority w:val="0"/>
    <w:rPr>
      <w:rFonts w:hint="default" w:ascii="Times New Roman" w:hAnsi="Times New Roman" w:eastAsia="Times New Roman" w:cs="Times New Roman"/>
      <w:sz w:val="28"/>
    </w:rPr>
  </w:style>
  <w:style w:type="character" w:customStyle="1" w:styleId="84">
    <w:name w:val="Font Style104"/>
    <w:basedOn w:val="53"/>
    <w:qFormat/>
    <w:uiPriority w:val="0"/>
    <w:rPr>
      <w:rFonts w:hint="eastAsia" w:ascii="宋体" w:hAnsi="宋体" w:eastAsia="宋体"/>
      <w:spacing w:val="30"/>
      <w:sz w:val="18"/>
    </w:rPr>
  </w:style>
  <w:style w:type="character" w:customStyle="1" w:styleId="85">
    <w:name w:val="font31"/>
    <w:basedOn w:val="53"/>
    <w:qFormat/>
    <w:uiPriority w:val="0"/>
    <w:rPr>
      <w:rFonts w:hint="eastAsia" w:ascii="宋体" w:hAnsi="宋体" w:eastAsia="宋体"/>
      <w:b/>
      <w:bCs/>
      <w:i/>
      <w:iCs/>
      <w:color w:val="000000"/>
      <w:sz w:val="18"/>
      <w:szCs w:val="18"/>
      <w:u w:val="none"/>
    </w:rPr>
  </w:style>
  <w:style w:type="character" w:customStyle="1" w:styleId="86">
    <w:name w:val="正文文本缩进 3 字符"/>
    <w:basedOn w:val="53"/>
    <w:link w:val="41"/>
    <w:qFormat/>
    <w:uiPriority w:val="0"/>
    <w:rPr>
      <w:kern w:val="2"/>
      <w:sz w:val="16"/>
      <w:szCs w:val="16"/>
    </w:rPr>
  </w:style>
  <w:style w:type="character" w:customStyle="1" w:styleId="87">
    <w:name w:val="Font Style115"/>
    <w:basedOn w:val="53"/>
    <w:qFormat/>
    <w:uiPriority w:val="0"/>
    <w:rPr>
      <w:rFonts w:hint="default" w:ascii="Times New Roman" w:hAnsi="Times New Roman" w:eastAsia="Times New Roman" w:cs="Times New Roman"/>
      <w:sz w:val="16"/>
    </w:rPr>
  </w:style>
  <w:style w:type="character" w:customStyle="1" w:styleId="88">
    <w:name w:val="font51"/>
    <w:basedOn w:val="53"/>
    <w:qFormat/>
    <w:uiPriority w:val="0"/>
    <w:rPr>
      <w:rFonts w:hint="eastAsia" w:ascii="宋体" w:hAnsi="宋体" w:eastAsia="宋体" w:cs="宋体"/>
      <w:color w:val="000000"/>
      <w:sz w:val="20"/>
      <w:szCs w:val="20"/>
      <w:u w:val="single"/>
    </w:rPr>
  </w:style>
  <w:style w:type="character" w:customStyle="1" w:styleId="89">
    <w:name w:val="纯文本 字符"/>
    <w:basedOn w:val="53"/>
    <w:link w:val="28"/>
    <w:qFormat/>
    <w:uiPriority w:val="0"/>
    <w:rPr>
      <w:rFonts w:ascii="宋体" w:hAnsi="Courier New" w:cs="Courier New"/>
      <w:kern w:val="2"/>
      <w:sz w:val="21"/>
      <w:szCs w:val="21"/>
    </w:rPr>
  </w:style>
  <w:style w:type="character" w:customStyle="1" w:styleId="90">
    <w:name w:val="Font Style86"/>
    <w:basedOn w:val="53"/>
    <w:qFormat/>
    <w:uiPriority w:val="0"/>
    <w:rPr>
      <w:rFonts w:hint="eastAsia" w:ascii="黑体" w:hAnsi="黑体" w:eastAsia="黑体"/>
      <w:spacing w:val="10"/>
      <w:sz w:val="30"/>
    </w:rPr>
  </w:style>
  <w:style w:type="character" w:customStyle="1" w:styleId="91">
    <w:name w:val="标题 6 Char1"/>
    <w:semiHidden/>
    <w:qFormat/>
    <w:locked/>
    <w:uiPriority w:val="0"/>
    <w:rPr>
      <w:rFonts w:ascii="Arial" w:hAnsi="Arial" w:eastAsia="黑体"/>
      <w:b/>
      <w:bCs/>
      <w:sz w:val="24"/>
      <w:szCs w:val="24"/>
    </w:rPr>
  </w:style>
  <w:style w:type="character" w:customStyle="1" w:styleId="92">
    <w:name w:val="Font Style123"/>
    <w:basedOn w:val="53"/>
    <w:qFormat/>
    <w:uiPriority w:val="0"/>
    <w:rPr>
      <w:rFonts w:hint="eastAsia" w:ascii="宋体" w:hAnsi="宋体" w:eastAsia="宋体"/>
      <w:b/>
      <w:sz w:val="32"/>
    </w:rPr>
  </w:style>
  <w:style w:type="character" w:customStyle="1" w:styleId="93">
    <w:name w:val="正文文本 3 字符"/>
    <w:link w:val="20"/>
    <w:qFormat/>
    <w:uiPriority w:val="0"/>
    <w:rPr>
      <w:rFonts w:hint="default" w:eastAsia="宋体"/>
      <w:kern w:val="2"/>
      <w:sz w:val="16"/>
      <w:lang w:val="en-US" w:eastAsia="zh-CN"/>
    </w:rPr>
  </w:style>
  <w:style w:type="character" w:customStyle="1" w:styleId="94">
    <w:name w:val="sidecatalog-index2"/>
    <w:basedOn w:val="53"/>
    <w:qFormat/>
    <w:uiPriority w:val="0"/>
    <w:rPr>
      <w:rFonts w:hint="default" w:ascii="Arail" w:hAnsi="Arail" w:eastAsia="Arail" w:cs="Arail"/>
      <w:color w:val="999999"/>
      <w:sz w:val="21"/>
      <w:szCs w:val="21"/>
    </w:rPr>
  </w:style>
  <w:style w:type="character" w:customStyle="1" w:styleId="95">
    <w:name w:val="Font Style134"/>
    <w:basedOn w:val="53"/>
    <w:qFormat/>
    <w:uiPriority w:val="0"/>
    <w:rPr>
      <w:rFonts w:hint="eastAsia" w:ascii="宋体" w:hAnsi="宋体" w:eastAsia="宋体"/>
      <w:spacing w:val="20"/>
      <w:sz w:val="22"/>
    </w:rPr>
  </w:style>
  <w:style w:type="character" w:customStyle="1" w:styleId="96">
    <w:name w:val="标题 7 Char1"/>
    <w:semiHidden/>
    <w:qFormat/>
    <w:locked/>
    <w:uiPriority w:val="0"/>
    <w:rPr>
      <w:b/>
      <w:bCs/>
      <w:sz w:val="24"/>
      <w:szCs w:val="24"/>
    </w:rPr>
  </w:style>
  <w:style w:type="character" w:customStyle="1" w:styleId="97">
    <w:name w:val="font01"/>
    <w:basedOn w:val="53"/>
    <w:qFormat/>
    <w:uiPriority w:val="0"/>
    <w:rPr>
      <w:rFonts w:hint="default" w:ascii="Times New Roman" w:hAnsi="Times New Roman" w:cs="Times New Roman"/>
      <w:color w:val="000000"/>
      <w:sz w:val="18"/>
      <w:szCs w:val="18"/>
      <w:u w:val="none"/>
    </w:rPr>
  </w:style>
  <w:style w:type="character" w:customStyle="1" w:styleId="98">
    <w:name w:val="标题 3 Char1"/>
    <w:semiHidden/>
    <w:qFormat/>
    <w:locked/>
    <w:uiPriority w:val="0"/>
    <w:rPr>
      <w:b/>
      <w:bCs/>
      <w:kern w:val="2"/>
      <w:sz w:val="32"/>
      <w:szCs w:val="32"/>
    </w:rPr>
  </w:style>
  <w:style w:type="character" w:customStyle="1" w:styleId="99">
    <w:name w:val="标题 4 字符"/>
    <w:basedOn w:val="53"/>
    <w:link w:val="5"/>
    <w:qFormat/>
    <w:uiPriority w:val="0"/>
    <w:rPr>
      <w:rFonts w:ascii="Arial" w:hAnsi="Arial" w:eastAsia="黑体"/>
      <w:b/>
      <w:bCs/>
      <w:kern w:val="2"/>
      <w:sz w:val="28"/>
      <w:szCs w:val="28"/>
    </w:rPr>
  </w:style>
  <w:style w:type="character" w:customStyle="1" w:styleId="100">
    <w:name w:val="标题 9 字符"/>
    <w:basedOn w:val="53"/>
    <w:link w:val="10"/>
    <w:qFormat/>
    <w:uiPriority w:val="0"/>
    <w:rPr>
      <w:rFonts w:ascii="Arial" w:hAnsi="Arial" w:eastAsia="黑体"/>
      <w:sz w:val="21"/>
      <w:szCs w:val="21"/>
    </w:rPr>
  </w:style>
  <w:style w:type="character" w:customStyle="1" w:styleId="101">
    <w:name w:val="plus"/>
    <w:basedOn w:val="53"/>
    <w:qFormat/>
    <w:uiPriority w:val="0"/>
    <w:rPr>
      <w:rFonts w:hint="default" w:ascii="Times New Roman" w:hAnsi="Times New Roman" w:eastAsia="宋体" w:cs="Times New Roman"/>
      <w:b/>
      <w:vanish/>
      <w:color w:val="1F8DEF"/>
      <w:sz w:val="24"/>
      <w:szCs w:val="24"/>
    </w:rPr>
  </w:style>
  <w:style w:type="character" w:customStyle="1" w:styleId="102">
    <w:name w:val="font21"/>
    <w:basedOn w:val="53"/>
    <w:qFormat/>
    <w:uiPriority w:val="0"/>
    <w:rPr>
      <w:rFonts w:hint="eastAsia" w:ascii="宋体" w:hAnsi="宋体" w:eastAsia="宋体"/>
      <w:color w:val="000000"/>
      <w:sz w:val="18"/>
      <w:szCs w:val="18"/>
      <w:u w:val="none"/>
    </w:rPr>
  </w:style>
  <w:style w:type="character" w:customStyle="1" w:styleId="103">
    <w:name w:val="Char Char17"/>
    <w:basedOn w:val="53"/>
    <w:qFormat/>
    <w:uiPriority w:val="0"/>
    <w:rPr>
      <w:rFonts w:hint="eastAsia" w:ascii="宋体" w:hAnsi="Times New Roman" w:eastAsia="宋体"/>
      <w:b/>
      <w:sz w:val="28"/>
      <w:lang w:val="en-US" w:eastAsia="zh-CN" w:bidi="ar-SA"/>
    </w:rPr>
  </w:style>
  <w:style w:type="character" w:customStyle="1" w:styleId="104">
    <w:name w:val="Font Style122"/>
    <w:basedOn w:val="53"/>
    <w:qFormat/>
    <w:uiPriority w:val="0"/>
    <w:rPr>
      <w:rFonts w:hint="eastAsia" w:ascii="宋体" w:hAnsi="宋体" w:eastAsia="宋体"/>
      <w:spacing w:val="20"/>
      <w:sz w:val="24"/>
    </w:rPr>
  </w:style>
  <w:style w:type="character" w:customStyle="1" w:styleId="105">
    <w:name w:val="Font Style105"/>
    <w:basedOn w:val="53"/>
    <w:qFormat/>
    <w:uiPriority w:val="0"/>
    <w:rPr>
      <w:rFonts w:hint="default" w:ascii="Times New Roman" w:hAnsi="Times New Roman" w:eastAsia="Times New Roman" w:cs="Times New Roman"/>
      <w:w w:val="60"/>
      <w:sz w:val="26"/>
    </w:rPr>
  </w:style>
  <w:style w:type="character" w:customStyle="1" w:styleId="106">
    <w:name w:val="标书的正文 Char Char"/>
    <w:link w:val="107"/>
    <w:qFormat/>
    <w:uiPriority w:val="0"/>
    <w:rPr>
      <w:rFonts w:ascii="宋体" w:hAnsi="宋体" w:eastAsia="宋体"/>
      <w:kern w:val="2"/>
      <w:sz w:val="24"/>
      <w:lang w:val="en-US" w:eastAsia="zh-CN" w:bidi="ar-SA"/>
    </w:rPr>
  </w:style>
  <w:style w:type="paragraph" w:customStyle="1" w:styleId="107">
    <w:name w:val="标书的正文"/>
    <w:basedOn w:val="1"/>
    <w:link w:val="106"/>
    <w:qFormat/>
    <w:uiPriority w:val="0"/>
    <w:pPr>
      <w:spacing w:line="312" w:lineRule="auto"/>
      <w:ind w:firstLine="480" w:firstLineChars="200"/>
      <w:jc w:val="left"/>
    </w:pPr>
    <w:rPr>
      <w:rFonts w:ascii="宋体" w:hAnsi="宋体"/>
      <w:sz w:val="24"/>
      <w:szCs w:val="20"/>
    </w:rPr>
  </w:style>
  <w:style w:type="character" w:customStyle="1" w:styleId="108">
    <w:name w:val="font11"/>
    <w:basedOn w:val="53"/>
    <w:qFormat/>
    <w:uiPriority w:val="0"/>
    <w:rPr>
      <w:rFonts w:hint="eastAsia" w:ascii="宋体" w:hAnsi="宋体" w:eastAsia="宋体"/>
      <w:color w:val="000000"/>
      <w:sz w:val="18"/>
      <w:szCs w:val="18"/>
      <w:u w:val="none"/>
    </w:rPr>
  </w:style>
  <w:style w:type="character" w:customStyle="1" w:styleId="109">
    <w:name w:val="Font Style90"/>
    <w:basedOn w:val="53"/>
    <w:qFormat/>
    <w:uiPriority w:val="0"/>
    <w:rPr>
      <w:rFonts w:hint="eastAsia" w:ascii="宋体" w:hAnsi="宋体" w:eastAsia="宋体"/>
      <w:b/>
      <w:spacing w:val="-20"/>
      <w:sz w:val="40"/>
    </w:rPr>
  </w:style>
  <w:style w:type="character" w:customStyle="1" w:styleId="110">
    <w:name w:val="批注文字 Char1"/>
    <w:semiHidden/>
    <w:qFormat/>
    <w:locked/>
    <w:uiPriority w:val="0"/>
    <w:rPr>
      <w:kern w:val="2"/>
      <w:sz w:val="21"/>
      <w:szCs w:val="24"/>
    </w:rPr>
  </w:style>
  <w:style w:type="character" w:customStyle="1" w:styleId="111">
    <w:name w:val="polysemyexp"/>
    <w:basedOn w:val="53"/>
    <w:qFormat/>
    <w:uiPriority w:val="0"/>
    <w:rPr>
      <w:rFonts w:hint="default" w:ascii="Times New Roman" w:hAnsi="Times New Roman" w:eastAsia="宋体" w:cs="Times New Roman"/>
      <w:color w:val="AAAAAA"/>
      <w:sz w:val="18"/>
      <w:szCs w:val="18"/>
    </w:rPr>
  </w:style>
  <w:style w:type="character" w:customStyle="1" w:styleId="112">
    <w:name w:val="标题 Char1"/>
    <w:basedOn w:val="53"/>
    <w:qFormat/>
    <w:uiPriority w:val="0"/>
    <w:rPr>
      <w:rFonts w:hint="default" w:ascii="Cambria" w:hAnsi="Cambria" w:eastAsia="宋体" w:cs="Times New Roman"/>
      <w:b/>
      <w:bCs/>
      <w:sz w:val="32"/>
      <w:szCs w:val="32"/>
    </w:rPr>
  </w:style>
  <w:style w:type="character" w:customStyle="1" w:styleId="113">
    <w:name w:val="页眉 Char1"/>
    <w:qFormat/>
    <w:locked/>
    <w:uiPriority w:val="0"/>
    <w:rPr>
      <w:kern w:val="2"/>
      <w:sz w:val="18"/>
      <w:szCs w:val="18"/>
    </w:rPr>
  </w:style>
  <w:style w:type="character" w:customStyle="1" w:styleId="114">
    <w:name w:val="morelink-item"/>
    <w:basedOn w:val="53"/>
    <w:qFormat/>
    <w:uiPriority w:val="0"/>
    <w:rPr>
      <w:rFonts w:hint="default" w:ascii="Times New Roman" w:hAnsi="Times New Roman" w:eastAsia="宋体" w:cs="Times New Roman"/>
    </w:rPr>
  </w:style>
  <w:style w:type="character" w:customStyle="1" w:styleId="115">
    <w:name w:val="Font Style128"/>
    <w:basedOn w:val="53"/>
    <w:qFormat/>
    <w:uiPriority w:val="0"/>
    <w:rPr>
      <w:rFonts w:hint="default" w:ascii="Times New Roman" w:hAnsi="Times New Roman" w:eastAsia="Times New Roman" w:cs="Times New Roman"/>
      <w:sz w:val="16"/>
    </w:rPr>
  </w:style>
  <w:style w:type="character" w:customStyle="1" w:styleId="116">
    <w:name w:val="sidecatalog-index1"/>
    <w:basedOn w:val="53"/>
    <w:qFormat/>
    <w:uiPriority w:val="0"/>
    <w:rPr>
      <w:rFonts w:hint="default" w:ascii="Arial" w:hAnsi="Arial" w:eastAsia="宋体" w:cs="Arial"/>
      <w:b/>
      <w:color w:val="999999"/>
      <w:sz w:val="21"/>
      <w:szCs w:val="21"/>
    </w:rPr>
  </w:style>
  <w:style w:type="character" w:customStyle="1" w:styleId="117">
    <w:name w:val="标题 3 字符"/>
    <w:link w:val="4"/>
    <w:qFormat/>
    <w:uiPriority w:val="0"/>
    <w:rPr>
      <w:rFonts w:eastAsia="宋体"/>
      <w:b/>
      <w:bCs/>
      <w:kern w:val="2"/>
      <w:sz w:val="32"/>
      <w:szCs w:val="32"/>
      <w:lang w:val="en-US" w:eastAsia="zh-CN" w:bidi="ar-SA"/>
    </w:rPr>
  </w:style>
  <w:style w:type="character" w:customStyle="1" w:styleId="118">
    <w:name w:val="font61"/>
    <w:basedOn w:val="53"/>
    <w:qFormat/>
    <w:uiPriority w:val="0"/>
    <w:rPr>
      <w:rFonts w:ascii="Arial" w:hAnsi="Arial" w:cs="Arial"/>
      <w:color w:val="000000"/>
      <w:sz w:val="20"/>
      <w:szCs w:val="20"/>
      <w:u w:val="none"/>
    </w:rPr>
  </w:style>
  <w:style w:type="character" w:customStyle="1" w:styleId="119">
    <w:name w:val="标题 7 字符"/>
    <w:basedOn w:val="53"/>
    <w:link w:val="8"/>
    <w:qFormat/>
    <w:uiPriority w:val="0"/>
    <w:rPr>
      <w:b/>
      <w:bCs/>
      <w:sz w:val="24"/>
      <w:szCs w:val="24"/>
    </w:rPr>
  </w:style>
  <w:style w:type="character" w:customStyle="1" w:styleId="120">
    <w:name w:val="批注文字 Char Char"/>
    <w:qFormat/>
    <w:uiPriority w:val="0"/>
    <w:rPr>
      <w:kern w:val="2"/>
      <w:sz w:val="21"/>
      <w:szCs w:val="24"/>
      <w:lang w:bidi="ar-SA"/>
    </w:rPr>
  </w:style>
  <w:style w:type="character" w:customStyle="1" w:styleId="121">
    <w:name w:val="bds_nopic1"/>
    <w:basedOn w:val="53"/>
    <w:qFormat/>
    <w:uiPriority w:val="0"/>
    <w:rPr>
      <w:rFonts w:hint="default" w:ascii="Times New Roman" w:hAnsi="Times New Roman" w:eastAsia="宋体" w:cs="Times New Roman"/>
    </w:rPr>
  </w:style>
  <w:style w:type="character" w:customStyle="1" w:styleId="122">
    <w:name w:val="批注文字 字符"/>
    <w:basedOn w:val="53"/>
    <w:link w:val="18"/>
    <w:qFormat/>
    <w:uiPriority w:val="0"/>
    <w:rPr>
      <w:kern w:val="2"/>
      <w:sz w:val="21"/>
      <w:szCs w:val="24"/>
    </w:rPr>
  </w:style>
  <w:style w:type="character" w:customStyle="1" w:styleId="123">
    <w:name w:val="页脚 Char1"/>
    <w:qFormat/>
    <w:locked/>
    <w:uiPriority w:val="0"/>
    <w:rPr>
      <w:kern w:val="2"/>
      <w:sz w:val="18"/>
      <w:szCs w:val="18"/>
    </w:rPr>
  </w:style>
  <w:style w:type="character" w:customStyle="1" w:styleId="124">
    <w:name w:val="bds_more8"/>
    <w:basedOn w:val="53"/>
    <w:qFormat/>
    <w:uiPriority w:val="0"/>
    <w:rPr>
      <w:rFonts w:hint="default" w:ascii="Times New Roman" w:hAnsi="Times New Roman" w:eastAsia="宋体" w:cs="Times New Roman"/>
    </w:rPr>
  </w:style>
  <w:style w:type="character" w:customStyle="1" w:styleId="125">
    <w:name w:val="批注主题 字符"/>
    <w:basedOn w:val="122"/>
    <w:link w:val="49"/>
    <w:qFormat/>
    <w:uiPriority w:val="0"/>
    <w:rPr>
      <w:b/>
      <w:bCs/>
      <w:kern w:val="2"/>
      <w:sz w:val="21"/>
      <w:szCs w:val="24"/>
    </w:rPr>
  </w:style>
  <w:style w:type="character" w:customStyle="1" w:styleId="126">
    <w:name w:val="日期 字符"/>
    <w:basedOn w:val="53"/>
    <w:link w:val="30"/>
    <w:qFormat/>
    <w:uiPriority w:val="0"/>
    <w:rPr>
      <w:kern w:val="2"/>
      <w:sz w:val="24"/>
    </w:rPr>
  </w:style>
  <w:style w:type="character" w:customStyle="1" w:styleId="127">
    <w:name w:val="bds_more9"/>
    <w:basedOn w:val="53"/>
    <w:qFormat/>
    <w:uiPriority w:val="0"/>
    <w:rPr>
      <w:rFonts w:hint="default" w:ascii="Times New Roman" w:hAnsi="Times New Roman" w:eastAsia="宋体" w:cs="Times New Roman"/>
    </w:rPr>
  </w:style>
  <w:style w:type="character" w:customStyle="1" w:styleId="128">
    <w:name w:val="sidecatalog-dot"/>
    <w:basedOn w:val="53"/>
    <w:qFormat/>
    <w:uiPriority w:val="0"/>
    <w:rPr>
      <w:rFonts w:hint="default" w:ascii="Times New Roman" w:hAnsi="Times New Roman" w:eastAsia="宋体" w:cs="Times New Roman"/>
    </w:rPr>
  </w:style>
  <w:style w:type="character" w:customStyle="1" w:styleId="129">
    <w:name w:val="正文文本 字符"/>
    <w:link w:val="21"/>
    <w:qFormat/>
    <w:locked/>
    <w:uiPriority w:val="0"/>
    <w:rPr>
      <w:rFonts w:eastAsia="宋体"/>
      <w:kern w:val="2"/>
      <w:sz w:val="21"/>
      <w:szCs w:val="24"/>
      <w:lang w:val="en-US" w:eastAsia="zh-CN" w:bidi="ar-SA"/>
    </w:rPr>
  </w:style>
  <w:style w:type="character" w:customStyle="1" w:styleId="130">
    <w:name w:val="p0 Char Char"/>
    <w:link w:val="131"/>
    <w:qFormat/>
    <w:uiPriority w:val="0"/>
    <w:rPr>
      <w:rFonts w:eastAsia="宋体"/>
      <w:sz w:val="21"/>
      <w:szCs w:val="21"/>
      <w:lang w:val="en-US" w:eastAsia="zh-CN" w:bidi="ar-SA"/>
    </w:rPr>
  </w:style>
  <w:style w:type="paragraph" w:customStyle="1" w:styleId="131">
    <w:name w:val="p0"/>
    <w:basedOn w:val="1"/>
    <w:link w:val="130"/>
    <w:qFormat/>
    <w:uiPriority w:val="0"/>
    <w:pPr>
      <w:widowControl/>
    </w:pPr>
    <w:rPr>
      <w:kern w:val="0"/>
      <w:szCs w:val="21"/>
    </w:rPr>
  </w:style>
  <w:style w:type="character" w:customStyle="1" w:styleId="132">
    <w:name w:val="正文文本 2 字符"/>
    <w:basedOn w:val="53"/>
    <w:link w:val="44"/>
    <w:qFormat/>
    <w:uiPriority w:val="0"/>
    <w:rPr>
      <w:kern w:val="2"/>
      <w:sz w:val="21"/>
      <w:szCs w:val="24"/>
    </w:rPr>
  </w:style>
  <w:style w:type="character" w:customStyle="1" w:styleId="133">
    <w:name w:val="日期 Char1"/>
    <w:qFormat/>
    <w:locked/>
    <w:uiPriority w:val="0"/>
    <w:rPr>
      <w:kern w:val="2"/>
      <w:sz w:val="24"/>
    </w:rPr>
  </w:style>
  <w:style w:type="character" w:customStyle="1" w:styleId="134">
    <w:name w:val="批注主题 Char1"/>
    <w:qFormat/>
    <w:locked/>
    <w:uiPriority w:val="0"/>
    <w:rPr>
      <w:b/>
      <w:bCs/>
      <w:kern w:val="2"/>
      <w:sz w:val="21"/>
      <w:szCs w:val="24"/>
    </w:rPr>
  </w:style>
  <w:style w:type="character" w:customStyle="1" w:styleId="135">
    <w:name w:val="样式21 Char Char"/>
    <w:basedOn w:val="53"/>
    <w:link w:val="136"/>
    <w:qFormat/>
    <w:uiPriority w:val="0"/>
    <w:rPr>
      <w:rFonts w:ascii="宋体" w:hAnsi="宋体"/>
      <w:color w:val="000000"/>
      <w:kern w:val="2"/>
      <w:sz w:val="21"/>
      <w:szCs w:val="24"/>
      <w:lang w:bidi="ar-SA"/>
    </w:rPr>
  </w:style>
  <w:style w:type="paragraph" w:customStyle="1" w:styleId="136">
    <w:name w:val="样式21"/>
    <w:basedOn w:val="1"/>
    <w:link w:val="135"/>
    <w:qFormat/>
    <w:uiPriority w:val="0"/>
    <w:pPr>
      <w:spacing w:line="400" w:lineRule="exact"/>
      <w:ind w:firstLine="200" w:firstLineChars="200"/>
    </w:pPr>
    <w:rPr>
      <w:rFonts w:ascii="宋体" w:hAnsi="宋体" w:eastAsia="Times New Roman"/>
      <w:color w:val="000000"/>
    </w:rPr>
  </w:style>
  <w:style w:type="character" w:customStyle="1" w:styleId="137">
    <w:name w:val="lemmatitleh12"/>
    <w:basedOn w:val="53"/>
    <w:qFormat/>
    <w:uiPriority w:val="0"/>
    <w:rPr>
      <w:rFonts w:hint="default" w:ascii="Times New Roman" w:hAnsi="Times New Roman" w:eastAsia="宋体" w:cs="Times New Roman"/>
    </w:rPr>
  </w:style>
  <w:style w:type="character" w:customStyle="1" w:styleId="138">
    <w:name w:val="文档结构图 字符"/>
    <w:basedOn w:val="53"/>
    <w:link w:val="16"/>
    <w:qFormat/>
    <w:uiPriority w:val="0"/>
    <w:rPr>
      <w:kern w:val="2"/>
      <w:sz w:val="21"/>
      <w:szCs w:val="24"/>
      <w:shd w:val="clear" w:color="auto" w:fill="000080"/>
    </w:rPr>
  </w:style>
  <w:style w:type="character" w:customStyle="1" w:styleId="139">
    <w:name w:val="标题 1 Char1"/>
    <w:qFormat/>
    <w:locked/>
    <w:uiPriority w:val="0"/>
    <w:rPr>
      <w:b/>
      <w:bCs/>
      <w:kern w:val="2"/>
      <w:sz w:val="24"/>
    </w:rPr>
  </w:style>
  <w:style w:type="character" w:customStyle="1" w:styleId="140">
    <w:name w:val="Char Char13"/>
    <w:basedOn w:val="53"/>
    <w:qFormat/>
    <w:uiPriority w:val="0"/>
    <w:rPr>
      <w:rFonts w:hint="eastAsia" w:ascii="宋体" w:hAnsi="宋体" w:eastAsia="宋体"/>
      <w:kern w:val="2"/>
      <w:sz w:val="21"/>
      <w:szCs w:val="24"/>
      <w:lang w:val="en-US" w:eastAsia="zh-CN" w:bidi="ar-SA"/>
    </w:rPr>
  </w:style>
  <w:style w:type="character" w:customStyle="1" w:styleId="141">
    <w:name w:val="Char Char14"/>
    <w:basedOn w:val="53"/>
    <w:qFormat/>
    <w:uiPriority w:val="0"/>
    <w:rPr>
      <w:rFonts w:hint="default" w:ascii="Arial" w:hAnsi="Arial" w:eastAsia="黑体" w:cs="Arial"/>
      <w:b/>
      <w:bCs/>
      <w:sz w:val="28"/>
      <w:szCs w:val="28"/>
      <w:lang w:val="en-US" w:eastAsia="zh-CN" w:bidi="ar-SA"/>
    </w:rPr>
  </w:style>
  <w:style w:type="character" w:customStyle="1" w:styleId="142">
    <w:name w:val="正文文本缩进 字符"/>
    <w:basedOn w:val="53"/>
    <w:link w:val="22"/>
    <w:qFormat/>
    <w:uiPriority w:val="0"/>
    <w:rPr>
      <w:kern w:val="2"/>
      <w:sz w:val="21"/>
      <w:szCs w:val="24"/>
    </w:rPr>
  </w:style>
  <w:style w:type="character" w:customStyle="1" w:styleId="143">
    <w:name w:val="Char Char16"/>
    <w:basedOn w:val="53"/>
    <w:qFormat/>
    <w:uiPriority w:val="0"/>
    <w:rPr>
      <w:rFonts w:hint="eastAsia" w:ascii="宋体" w:hAnsi="Times New Roman" w:eastAsia="宋体"/>
      <w:b/>
      <w:sz w:val="24"/>
      <w:lang w:val="en-US" w:eastAsia="zh-CN" w:bidi="ar-SA"/>
    </w:rPr>
  </w:style>
  <w:style w:type="character" w:customStyle="1" w:styleId="144">
    <w:name w:val="标题 5 Char1"/>
    <w:semiHidden/>
    <w:qFormat/>
    <w:locked/>
    <w:uiPriority w:val="0"/>
    <w:rPr>
      <w:b/>
      <w:bCs/>
      <w:sz w:val="28"/>
      <w:szCs w:val="28"/>
    </w:rPr>
  </w:style>
  <w:style w:type="character" w:customStyle="1" w:styleId="145">
    <w:name w:val="bds_more6"/>
    <w:basedOn w:val="53"/>
    <w:qFormat/>
    <w:uiPriority w:val="0"/>
    <w:rPr>
      <w:rFonts w:hint="eastAsia" w:ascii="宋体" w:hAnsi="宋体" w:eastAsia="宋体" w:cs="宋体"/>
    </w:rPr>
  </w:style>
  <w:style w:type="character" w:customStyle="1" w:styleId="146">
    <w:name w:val="bds_nopic"/>
    <w:basedOn w:val="53"/>
    <w:qFormat/>
    <w:uiPriority w:val="0"/>
    <w:rPr>
      <w:rFonts w:hint="default" w:ascii="Times New Roman" w:hAnsi="Times New Roman" w:eastAsia="宋体" w:cs="Times New Roman"/>
    </w:rPr>
  </w:style>
  <w:style w:type="character" w:customStyle="1" w:styleId="147">
    <w:name w:val="标题 4 Char1"/>
    <w:semiHidden/>
    <w:qFormat/>
    <w:locked/>
    <w:uiPriority w:val="0"/>
    <w:rPr>
      <w:rFonts w:ascii="Arial" w:hAnsi="Arial" w:eastAsia="黑体"/>
      <w:b/>
      <w:bCs/>
      <w:kern w:val="2"/>
      <w:sz w:val="28"/>
      <w:szCs w:val="28"/>
    </w:rPr>
  </w:style>
  <w:style w:type="character" w:customStyle="1" w:styleId="148">
    <w:name w:val="标题 6 字符"/>
    <w:basedOn w:val="53"/>
    <w:link w:val="7"/>
    <w:qFormat/>
    <w:uiPriority w:val="0"/>
    <w:rPr>
      <w:rFonts w:ascii="Arial" w:hAnsi="Arial" w:eastAsia="黑体"/>
      <w:b/>
      <w:bCs/>
      <w:sz w:val="24"/>
      <w:szCs w:val="24"/>
    </w:rPr>
  </w:style>
  <w:style w:type="character" w:customStyle="1" w:styleId="149">
    <w:name w:val="Char Char15"/>
    <w:qFormat/>
    <w:uiPriority w:val="0"/>
    <w:rPr>
      <w:b/>
      <w:bCs/>
      <w:sz w:val="24"/>
      <w:szCs w:val="24"/>
    </w:rPr>
  </w:style>
  <w:style w:type="character" w:customStyle="1" w:styleId="150">
    <w:name w:val="样式2 Char Char"/>
    <w:qFormat/>
    <w:uiPriority w:val="0"/>
    <w:rPr>
      <w:rFonts w:hint="eastAsia" w:ascii="宋体" w:hAnsi="宋体" w:eastAsia="宋体"/>
      <w:kern w:val="2"/>
      <w:sz w:val="18"/>
      <w:szCs w:val="18"/>
      <w:lang w:val="en-US" w:eastAsia="zh-CN" w:bidi="ar-SA"/>
    </w:rPr>
  </w:style>
  <w:style w:type="character" w:customStyle="1" w:styleId="151">
    <w:name w:val="标题 8 字符"/>
    <w:basedOn w:val="53"/>
    <w:link w:val="9"/>
    <w:qFormat/>
    <w:uiPriority w:val="0"/>
    <w:rPr>
      <w:rFonts w:ascii="Arial" w:hAnsi="Arial" w:eastAsia="黑体"/>
      <w:sz w:val="24"/>
      <w:szCs w:val="24"/>
    </w:rPr>
  </w:style>
  <w:style w:type="character" w:customStyle="1" w:styleId="152">
    <w:name w:val="标题 9 Char1"/>
    <w:semiHidden/>
    <w:qFormat/>
    <w:locked/>
    <w:uiPriority w:val="0"/>
    <w:rPr>
      <w:rFonts w:ascii="Arial" w:hAnsi="Arial" w:eastAsia="黑体"/>
      <w:sz w:val="21"/>
      <w:szCs w:val="21"/>
    </w:rPr>
  </w:style>
  <w:style w:type="character" w:customStyle="1" w:styleId="153">
    <w:name w:val="正文文本缩进 3 Char1"/>
    <w:qFormat/>
    <w:locked/>
    <w:uiPriority w:val="0"/>
    <w:rPr>
      <w:kern w:val="2"/>
      <w:sz w:val="16"/>
      <w:szCs w:val="16"/>
    </w:rPr>
  </w:style>
  <w:style w:type="character" w:customStyle="1" w:styleId="154">
    <w:name w:val="批注框文本 字符"/>
    <w:basedOn w:val="53"/>
    <w:link w:val="32"/>
    <w:qFormat/>
    <w:uiPriority w:val="0"/>
    <w:rPr>
      <w:kern w:val="2"/>
      <w:sz w:val="18"/>
      <w:szCs w:val="18"/>
    </w:rPr>
  </w:style>
  <w:style w:type="character" w:customStyle="1" w:styleId="155">
    <w:name w:val="desc"/>
    <w:basedOn w:val="53"/>
    <w:qFormat/>
    <w:uiPriority w:val="0"/>
    <w:rPr>
      <w:rFonts w:hint="default" w:ascii="Times New Roman" w:hAnsi="Times New Roman" w:eastAsia="宋体" w:cs="Times New Roman"/>
      <w:color w:val="000000"/>
      <w:sz w:val="18"/>
      <w:szCs w:val="18"/>
    </w:rPr>
  </w:style>
  <w:style w:type="character" w:customStyle="1" w:styleId="156">
    <w:name w:val="副标题 字符"/>
    <w:basedOn w:val="53"/>
    <w:link w:val="38"/>
    <w:qFormat/>
    <w:uiPriority w:val="0"/>
    <w:rPr>
      <w:rFonts w:ascii="Cambria" w:hAnsi="Cambria" w:cs="黑体"/>
      <w:b/>
      <w:bCs/>
      <w:kern w:val="28"/>
      <w:sz w:val="28"/>
      <w:szCs w:val="28"/>
    </w:rPr>
  </w:style>
  <w:style w:type="character" w:customStyle="1" w:styleId="157">
    <w:name w:val="Font Style127"/>
    <w:basedOn w:val="53"/>
    <w:qFormat/>
    <w:uiPriority w:val="0"/>
    <w:rPr>
      <w:rFonts w:hint="default" w:ascii="Times New Roman" w:hAnsi="Times New Roman" w:eastAsia="Times New Roman" w:cs="Times New Roman"/>
      <w:sz w:val="20"/>
    </w:rPr>
  </w:style>
  <w:style w:type="character" w:customStyle="1" w:styleId="158">
    <w:name w:val="bds_more7"/>
    <w:basedOn w:val="53"/>
    <w:qFormat/>
    <w:uiPriority w:val="0"/>
    <w:rPr>
      <w:rFonts w:hint="default" w:ascii="Times New Roman" w:hAnsi="Times New Roman" w:eastAsia="宋体" w:cs="Times New Roman"/>
    </w:rPr>
  </w:style>
  <w:style w:type="character" w:customStyle="1" w:styleId="159">
    <w:name w:val="HTML 预设格式 字符"/>
    <w:basedOn w:val="53"/>
    <w:link w:val="45"/>
    <w:qFormat/>
    <w:uiPriority w:val="0"/>
    <w:rPr>
      <w:rFonts w:ascii="Arial" w:hAnsi="Arial" w:cs="Arial"/>
      <w:sz w:val="24"/>
      <w:szCs w:val="24"/>
    </w:rPr>
  </w:style>
  <w:style w:type="character" w:customStyle="1" w:styleId="160">
    <w:name w:val="页脚 字符"/>
    <w:link w:val="33"/>
    <w:qFormat/>
    <w:uiPriority w:val="0"/>
    <w:rPr>
      <w:rFonts w:eastAsia="宋体"/>
      <w:kern w:val="2"/>
      <w:sz w:val="18"/>
      <w:szCs w:val="18"/>
      <w:lang w:val="en-US" w:eastAsia="zh-CN" w:bidi="ar-SA"/>
    </w:rPr>
  </w:style>
  <w:style w:type="character" w:customStyle="1" w:styleId="161">
    <w:name w:val="标题 4 Char Char"/>
    <w:qFormat/>
    <w:uiPriority w:val="0"/>
    <w:rPr>
      <w:rFonts w:hint="default" w:ascii="Arial" w:hAnsi="Arial" w:eastAsia="宋体" w:cs="Arial"/>
      <w:b/>
      <w:bCs/>
      <w:kern w:val="2"/>
      <w:sz w:val="21"/>
      <w:szCs w:val="28"/>
      <w:lang w:val="en-US" w:eastAsia="zh-CN" w:bidi="ar-SA"/>
    </w:rPr>
  </w:style>
  <w:style w:type="character" w:customStyle="1" w:styleId="162">
    <w:name w:val="标题 1 字符"/>
    <w:link w:val="2"/>
    <w:qFormat/>
    <w:uiPriority w:val="0"/>
    <w:rPr>
      <w:rFonts w:eastAsia="宋体"/>
      <w:b/>
      <w:bCs/>
      <w:kern w:val="2"/>
      <w:sz w:val="24"/>
      <w:lang w:val="en-US" w:eastAsia="zh-CN" w:bidi="ar-SA"/>
    </w:rPr>
  </w:style>
  <w:style w:type="character" w:customStyle="1" w:styleId="163">
    <w:name w:val="标题 2 字符"/>
    <w:basedOn w:val="53"/>
    <w:link w:val="3"/>
    <w:qFormat/>
    <w:uiPriority w:val="0"/>
    <w:rPr>
      <w:rFonts w:ascii="Arial" w:hAnsi="Arial"/>
      <w:b/>
      <w:bCs/>
      <w:kern w:val="2"/>
      <w:sz w:val="24"/>
      <w:szCs w:val="32"/>
    </w:rPr>
  </w:style>
  <w:style w:type="character" w:customStyle="1" w:styleId="164">
    <w:name w:val="bds_nopic2"/>
    <w:basedOn w:val="53"/>
    <w:qFormat/>
    <w:uiPriority w:val="0"/>
    <w:rPr>
      <w:rFonts w:hint="default" w:ascii="Times New Roman" w:hAnsi="Times New Roman" w:eastAsia="宋体" w:cs="Times New Roman"/>
    </w:rPr>
  </w:style>
  <w:style w:type="character" w:customStyle="1" w:styleId="165">
    <w:name w:val="标题 2 Char1"/>
    <w:semiHidden/>
    <w:qFormat/>
    <w:locked/>
    <w:uiPriority w:val="0"/>
    <w:rPr>
      <w:rFonts w:ascii="Arial" w:hAnsi="Arial"/>
      <w:b/>
      <w:bCs/>
      <w:kern w:val="2"/>
      <w:sz w:val="24"/>
      <w:szCs w:val="32"/>
    </w:rPr>
  </w:style>
  <w:style w:type="character" w:customStyle="1" w:styleId="166">
    <w:name w:val="标题 字符"/>
    <w:link w:val="48"/>
    <w:qFormat/>
    <w:uiPriority w:val="0"/>
    <w:rPr>
      <w:rFonts w:ascii="Cambria" w:hAnsi="Cambria" w:eastAsia="宋体"/>
      <w:b/>
      <w:bCs/>
      <w:kern w:val="2"/>
      <w:sz w:val="32"/>
      <w:szCs w:val="32"/>
      <w:lang w:val="en-US" w:eastAsia="zh-CN" w:bidi="ar-SA"/>
    </w:rPr>
  </w:style>
  <w:style w:type="character" w:customStyle="1" w:styleId="167">
    <w:name w:val="Font Style126"/>
    <w:basedOn w:val="53"/>
    <w:qFormat/>
    <w:uiPriority w:val="0"/>
    <w:rPr>
      <w:rFonts w:hint="eastAsia" w:ascii="宋体" w:hAnsi="宋体" w:eastAsia="宋体"/>
      <w:b/>
      <w:spacing w:val="-30"/>
      <w:sz w:val="28"/>
    </w:rPr>
  </w:style>
  <w:style w:type="character" w:customStyle="1" w:styleId="168">
    <w:name w:val="Font Style121"/>
    <w:basedOn w:val="53"/>
    <w:qFormat/>
    <w:uiPriority w:val="0"/>
    <w:rPr>
      <w:rFonts w:hint="eastAsia" w:ascii="宋体" w:hAnsi="宋体" w:eastAsia="宋体"/>
      <w:spacing w:val="-10"/>
      <w:sz w:val="30"/>
    </w:rPr>
  </w:style>
  <w:style w:type="character" w:customStyle="1" w:styleId="169">
    <w:name w:val="bds_more10"/>
    <w:basedOn w:val="53"/>
    <w:qFormat/>
    <w:uiPriority w:val="0"/>
    <w:rPr>
      <w:rFonts w:hint="default" w:ascii="Times New Roman" w:hAnsi="Times New Roman" w:eastAsia="宋体" w:cs="Times New Roman"/>
    </w:rPr>
  </w:style>
  <w:style w:type="character" w:customStyle="1" w:styleId="170">
    <w:name w:val="Char Char6"/>
    <w:qFormat/>
    <w:uiPriority w:val="0"/>
    <w:rPr>
      <w:rFonts w:hint="default" w:ascii="Arial" w:hAnsi="Arial" w:eastAsia="黑体" w:cs="Arial"/>
      <w:sz w:val="24"/>
      <w:szCs w:val="24"/>
      <w:lang w:val="en-US" w:eastAsia="zh-CN" w:bidi="ar-SA"/>
    </w:rPr>
  </w:style>
  <w:style w:type="character" w:customStyle="1" w:styleId="171">
    <w:name w:val="Char Char Char Char Char"/>
    <w:qFormat/>
    <w:uiPriority w:val="0"/>
    <w:rPr>
      <w:rFonts w:eastAsia="宋体"/>
      <w:kern w:val="2"/>
      <w:sz w:val="16"/>
      <w:szCs w:val="16"/>
      <w:lang w:val="en-US" w:eastAsia="zh-CN" w:bidi="ar-SA"/>
    </w:rPr>
  </w:style>
  <w:style w:type="character" w:customStyle="1" w:styleId="172">
    <w:name w:val="页眉 字符"/>
    <w:link w:val="35"/>
    <w:qFormat/>
    <w:uiPriority w:val="0"/>
    <w:rPr>
      <w:rFonts w:eastAsia="宋体"/>
      <w:kern w:val="2"/>
      <w:sz w:val="18"/>
      <w:szCs w:val="18"/>
      <w:lang w:val="en-US" w:eastAsia="zh-CN" w:bidi="ar-SA"/>
    </w:rPr>
  </w:style>
  <w:style w:type="character" w:customStyle="1" w:styleId="173">
    <w:name w:val="Font Style125"/>
    <w:basedOn w:val="53"/>
    <w:qFormat/>
    <w:uiPriority w:val="0"/>
    <w:rPr>
      <w:rFonts w:hint="eastAsia" w:ascii="宋体" w:hAnsi="宋体" w:eastAsia="宋体"/>
      <w:b/>
      <w:sz w:val="26"/>
    </w:rPr>
  </w:style>
  <w:style w:type="character" w:customStyle="1" w:styleId="174">
    <w:name w:val="Font Style131"/>
    <w:basedOn w:val="53"/>
    <w:qFormat/>
    <w:uiPriority w:val="0"/>
    <w:rPr>
      <w:rFonts w:hint="default" w:ascii="Times New Roman" w:hAnsi="Times New Roman" w:eastAsia="Times New Roman" w:cs="Times New Roman"/>
      <w:sz w:val="18"/>
    </w:rPr>
  </w:style>
  <w:style w:type="character" w:customStyle="1" w:styleId="175">
    <w:name w:val="Font Style119"/>
    <w:basedOn w:val="53"/>
    <w:qFormat/>
    <w:uiPriority w:val="0"/>
    <w:rPr>
      <w:rFonts w:hint="eastAsia" w:ascii="宋体" w:hAnsi="宋体" w:eastAsia="宋体"/>
      <w:sz w:val="24"/>
    </w:rPr>
  </w:style>
  <w:style w:type="character" w:customStyle="1" w:styleId="176">
    <w:name w:val="标题 5 字符"/>
    <w:basedOn w:val="53"/>
    <w:link w:val="6"/>
    <w:qFormat/>
    <w:uiPriority w:val="0"/>
    <w:rPr>
      <w:b/>
      <w:bCs/>
      <w:sz w:val="28"/>
      <w:szCs w:val="28"/>
    </w:rPr>
  </w:style>
  <w:style w:type="character" w:customStyle="1" w:styleId="177">
    <w:name w:val="批注框文本 Char1"/>
    <w:qFormat/>
    <w:locked/>
    <w:uiPriority w:val="0"/>
    <w:rPr>
      <w:rFonts w:hint="default" w:ascii="Calibri" w:hAnsi="Calibri"/>
      <w:kern w:val="2"/>
      <w:sz w:val="18"/>
      <w:szCs w:val="18"/>
    </w:rPr>
  </w:style>
  <w:style w:type="character" w:customStyle="1" w:styleId="178">
    <w:name w:val="font91"/>
    <w:basedOn w:val="53"/>
    <w:qFormat/>
    <w:uiPriority w:val="0"/>
    <w:rPr>
      <w:rFonts w:ascii="Arial" w:hAnsi="Arial" w:cs="Arial"/>
      <w:color w:val="000000"/>
      <w:sz w:val="20"/>
      <w:szCs w:val="20"/>
      <w:u w:val="none"/>
    </w:rPr>
  </w:style>
  <w:style w:type="character" w:customStyle="1" w:styleId="179">
    <w:name w:val="Char Char Char Char Char Char"/>
    <w:qFormat/>
    <w:uiPriority w:val="0"/>
    <w:rPr>
      <w:rFonts w:hint="default" w:eastAsia="宋体"/>
      <w:kern w:val="2"/>
      <w:sz w:val="16"/>
      <w:lang w:val="en-US" w:eastAsia="zh-CN"/>
    </w:rPr>
  </w:style>
  <w:style w:type="character" w:customStyle="1" w:styleId="180">
    <w:name w:val="正文文本缩进 2 字符"/>
    <w:basedOn w:val="53"/>
    <w:link w:val="31"/>
    <w:qFormat/>
    <w:uiPriority w:val="0"/>
    <w:rPr>
      <w:kern w:val="2"/>
      <w:sz w:val="21"/>
      <w:szCs w:val="24"/>
    </w:rPr>
  </w:style>
  <w:style w:type="character" w:customStyle="1" w:styleId="181">
    <w:name w:val="Font Style117"/>
    <w:basedOn w:val="53"/>
    <w:qFormat/>
    <w:uiPriority w:val="0"/>
    <w:rPr>
      <w:rFonts w:hint="eastAsia" w:ascii="宋体" w:hAnsi="宋体" w:eastAsia="宋体"/>
      <w:spacing w:val="20"/>
      <w:sz w:val="24"/>
    </w:rPr>
  </w:style>
  <w:style w:type="paragraph" w:customStyle="1" w:styleId="182">
    <w:name w:val="Char1 Char Char Char"/>
    <w:basedOn w:val="1"/>
    <w:qFormat/>
    <w:uiPriority w:val="0"/>
    <w:pPr>
      <w:widowControl/>
      <w:spacing w:after="160" w:line="240" w:lineRule="exact"/>
      <w:jc w:val="left"/>
    </w:pPr>
    <w:rPr>
      <w:kern w:val="0"/>
      <w:sz w:val="24"/>
      <w:szCs w:val="20"/>
    </w:rPr>
  </w:style>
  <w:style w:type="paragraph" w:customStyle="1" w:styleId="183">
    <w:name w:val="Style60"/>
    <w:basedOn w:val="1"/>
    <w:qFormat/>
    <w:uiPriority w:val="0"/>
    <w:pPr>
      <w:spacing w:line="566" w:lineRule="exact"/>
    </w:pPr>
  </w:style>
  <w:style w:type="paragraph" w:customStyle="1" w:styleId="184">
    <w:name w:val="MM Topic 1"/>
    <w:basedOn w:val="2"/>
    <w:qFormat/>
    <w:uiPriority w:val="0"/>
    <w:pPr>
      <w:keepLines/>
      <w:tabs>
        <w:tab w:val="left" w:pos="1320"/>
      </w:tabs>
      <w:spacing w:before="340" w:after="330" w:line="578" w:lineRule="auto"/>
      <w:ind w:left="1320" w:hanging="720"/>
      <w:jc w:val="both"/>
    </w:pPr>
    <w:rPr>
      <w:kern w:val="44"/>
      <w:sz w:val="44"/>
      <w:szCs w:val="44"/>
    </w:rPr>
  </w:style>
  <w:style w:type="paragraph" w:customStyle="1" w:styleId="185">
    <w:name w:val="Style47"/>
    <w:basedOn w:val="1"/>
    <w:qFormat/>
    <w:uiPriority w:val="0"/>
  </w:style>
  <w:style w:type="paragraph" w:customStyle="1" w:styleId="186">
    <w:name w:val="Style64"/>
    <w:basedOn w:val="1"/>
    <w:qFormat/>
    <w:uiPriority w:val="0"/>
  </w:style>
  <w:style w:type="paragraph" w:customStyle="1" w:styleId="187">
    <w:name w:val="Style72"/>
    <w:basedOn w:val="1"/>
    <w:qFormat/>
    <w:uiPriority w:val="0"/>
  </w:style>
  <w:style w:type="paragraph" w:customStyle="1" w:styleId="188">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9">
    <w:name w:val="Style45"/>
    <w:basedOn w:val="1"/>
    <w:qFormat/>
    <w:uiPriority w:val="0"/>
  </w:style>
  <w:style w:type="paragraph" w:customStyle="1" w:styleId="190">
    <w:name w:val="p16"/>
    <w:basedOn w:val="1"/>
    <w:qFormat/>
    <w:uiPriority w:val="0"/>
    <w:pPr>
      <w:widowControl/>
      <w:jc w:val="left"/>
    </w:pPr>
    <w:rPr>
      <w:kern w:val="0"/>
      <w:szCs w:val="21"/>
    </w:rPr>
  </w:style>
  <w:style w:type="paragraph" w:customStyle="1" w:styleId="191">
    <w:name w:val="附录标识"/>
    <w:basedOn w:val="192"/>
    <w:qFormat/>
    <w:uiPriority w:val="0"/>
    <w:pPr>
      <w:tabs>
        <w:tab w:val="left" w:pos="360"/>
        <w:tab w:val="left" w:pos="720"/>
        <w:tab w:val="left" w:pos="6405"/>
      </w:tabs>
      <w:spacing w:after="200"/>
    </w:pPr>
    <w:rPr>
      <w:sz w:val="21"/>
    </w:rPr>
  </w:style>
  <w:style w:type="paragraph" w:customStyle="1" w:styleId="192">
    <w:name w:val="前言、引言标题"/>
    <w:next w:val="1"/>
    <w:qFormat/>
    <w:uiPriority w:val="0"/>
    <w:pPr>
      <w:shd w:val="clear" w:color="auto" w:fill="FFFFFF"/>
      <w:tabs>
        <w:tab w:val="left" w:pos="360"/>
        <w:tab w:val="left" w:pos="720"/>
      </w:tabs>
      <w:spacing w:before="640" w:after="560"/>
      <w:ind w:left="720" w:hanging="720"/>
      <w:jc w:val="center"/>
      <w:outlineLvl w:val="0"/>
    </w:pPr>
    <w:rPr>
      <w:rFonts w:ascii="黑体" w:hAnsi="Calibri" w:eastAsia="黑体" w:cs="Times New Roman"/>
      <w:sz w:val="32"/>
      <w:lang w:val="en-US" w:eastAsia="zh-CN" w:bidi="ar-SA"/>
    </w:rPr>
  </w:style>
  <w:style w:type="paragraph" w:customStyle="1" w:styleId="193">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194">
    <w:name w:val="Char1 Char Char Char 字元 Char Char 字元 Char 字元 Char1 Char Char Char"/>
    <w:basedOn w:val="1"/>
    <w:qFormat/>
    <w:uiPriority w:val="0"/>
    <w:rPr>
      <w:szCs w:val="20"/>
    </w:rPr>
  </w:style>
  <w:style w:type="paragraph" w:customStyle="1" w:styleId="195">
    <w:name w:val="Style21"/>
    <w:basedOn w:val="1"/>
    <w:qFormat/>
    <w:uiPriority w:val="0"/>
    <w:pPr>
      <w:spacing w:line="566" w:lineRule="exact"/>
      <w:ind w:firstLine="682"/>
    </w:pPr>
  </w:style>
  <w:style w:type="paragraph" w:customStyle="1" w:styleId="196">
    <w:name w:val="Char"/>
    <w:basedOn w:val="1"/>
    <w:qFormat/>
    <w:uiPriority w:val="0"/>
    <w:pPr>
      <w:tabs>
        <w:tab w:val="left" w:pos="360"/>
      </w:tabs>
      <w:ind w:left="360" w:hanging="360" w:hangingChars="200"/>
    </w:pPr>
    <w:rPr>
      <w:sz w:val="24"/>
    </w:rPr>
  </w:style>
  <w:style w:type="paragraph" w:customStyle="1" w:styleId="197">
    <w:name w:val="表格内容"/>
    <w:basedOn w:val="21"/>
    <w:qFormat/>
    <w:uiPriority w:val="0"/>
    <w:pPr>
      <w:suppressLineNumbers/>
      <w:suppressAutoHyphens/>
      <w:jc w:val="left"/>
    </w:pPr>
    <w:rPr>
      <w:rFonts w:cs="Tahoma"/>
      <w:kern w:val="0"/>
      <w:sz w:val="24"/>
    </w:rPr>
  </w:style>
  <w:style w:type="paragraph" w:customStyle="1" w:styleId="198">
    <w:name w:val="Style77"/>
    <w:basedOn w:val="1"/>
    <w:qFormat/>
    <w:uiPriority w:val="0"/>
  </w:style>
  <w:style w:type="paragraph" w:customStyle="1" w:styleId="199">
    <w:name w:val="Char Char1 Char Char Char Char Char1 Char Char Char Char"/>
    <w:basedOn w:val="16"/>
    <w:qFormat/>
    <w:uiPriority w:val="0"/>
    <w:rPr>
      <w:rFonts w:ascii="Tahoma" w:hAnsi="Tahoma"/>
    </w:rPr>
  </w:style>
  <w:style w:type="paragraph" w:customStyle="1" w:styleId="200">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01">
    <w:name w:val="正文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2">
    <w:name w:val="Style26"/>
    <w:basedOn w:val="1"/>
    <w:qFormat/>
    <w:uiPriority w:val="0"/>
  </w:style>
  <w:style w:type="paragraph" w:customStyle="1" w:styleId="203">
    <w:name w:val="Style63"/>
    <w:basedOn w:val="1"/>
    <w:qFormat/>
    <w:uiPriority w:val="0"/>
    <w:pPr>
      <w:spacing w:line="564" w:lineRule="exact"/>
      <w:ind w:firstLine="682"/>
    </w:pPr>
  </w:style>
  <w:style w:type="paragraph" w:customStyle="1" w:styleId="204">
    <w:name w:val="表正文"/>
    <w:qFormat/>
    <w:uiPriority w:val="0"/>
    <w:pPr>
      <w:widowControl w:val="0"/>
      <w:ind w:left="840" w:leftChars="350"/>
      <w:jc w:val="both"/>
      <w:outlineLvl w:val="0"/>
    </w:pPr>
    <w:rPr>
      <w:rFonts w:ascii="宋体" w:hAnsi="Calibri" w:eastAsia="宋体" w:cs="Times New Roman"/>
      <w:b/>
      <w:sz w:val="24"/>
      <w:lang w:val="en-US" w:eastAsia="zh-CN" w:bidi="ar-SA"/>
    </w:rPr>
  </w:style>
  <w:style w:type="paragraph" w:customStyle="1" w:styleId="205">
    <w:name w:val="Style52"/>
    <w:basedOn w:val="1"/>
    <w:qFormat/>
    <w:uiPriority w:val="0"/>
    <w:pPr>
      <w:spacing w:line="682" w:lineRule="exact"/>
      <w:ind w:firstLine="557"/>
    </w:pPr>
  </w:style>
  <w:style w:type="paragraph" w:customStyle="1" w:styleId="206">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07">
    <w:name w:val="Style13"/>
    <w:basedOn w:val="1"/>
    <w:qFormat/>
    <w:uiPriority w:val="0"/>
  </w:style>
  <w:style w:type="paragraph" w:customStyle="1" w:styleId="208">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09">
    <w:name w:val="Style27"/>
    <w:basedOn w:val="1"/>
    <w:qFormat/>
    <w:uiPriority w:val="0"/>
  </w:style>
  <w:style w:type="paragraph" w:customStyle="1" w:styleId="210">
    <w:name w:val="Style42"/>
    <w:basedOn w:val="1"/>
    <w:qFormat/>
    <w:uiPriority w:val="0"/>
    <w:pPr>
      <w:spacing w:line="542" w:lineRule="exact"/>
      <w:ind w:firstLine="547"/>
    </w:pPr>
  </w:style>
  <w:style w:type="paragraph" w:customStyle="1" w:styleId="211">
    <w:name w:val="NO3"/>
    <w:basedOn w:val="1"/>
    <w:qFormat/>
    <w:uiPriority w:val="0"/>
    <w:pPr>
      <w:tabs>
        <w:tab w:val="left" w:pos="907"/>
      </w:tabs>
      <w:spacing w:line="360" w:lineRule="auto"/>
    </w:pPr>
    <w:rPr>
      <w:rFonts w:ascii="宋体" w:hAnsi="宋体"/>
      <w:sz w:val="24"/>
    </w:rPr>
  </w:style>
  <w:style w:type="paragraph" w:customStyle="1" w:styleId="212">
    <w:name w:val="Style67"/>
    <w:basedOn w:val="1"/>
    <w:qFormat/>
    <w:uiPriority w:val="0"/>
    <w:pPr>
      <w:spacing w:line="566" w:lineRule="exact"/>
      <w:ind w:firstLine="552"/>
    </w:pPr>
  </w:style>
  <w:style w:type="paragraph" w:customStyle="1" w:styleId="213">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14">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215">
    <w:name w:val="修订1"/>
    <w:semiHidden/>
    <w:qFormat/>
    <w:uiPriority w:val="0"/>
    <w:rPr>
      <w:rFonts w:ascii="Calibri" w:hAnsi="Calibri" w:eastAsia="宋体" w:cs="Times New Roman"/>
      <w:kern w:val="2"/>
      <w:sz w:val="21"/>
      <w:szCs w:val="24"/>
      <w:lang w:val="en-US" w:eastAsia="zh-CN" w:bidi="ar-SA"/>
    </w:rPr>
  </w:style>
  <w:style w:type="paragraph" w:customStyle="1" w:styleId="216">
    <w:name w:val="Style76"/>
    <w:basedOn w:val="1"/>
    <w:qFormat/>
    <w:uiPriority w:val="0"/>
  </w:style>
  <w:style w:type="paragraph" w:customStyle="1" w:styleId="217">
    <w:name w:val="Style71"/>
    <w:basedOn w:val="1"/>
    <w:qFormat/>
    <w:uiPriority w:val="0"/>
    <w:pPr>
      <w:spacing w:line="538" w:lineRule="exact"/>
      <w:ind w:firstLine="101"/>
    </w:pPr>
  </w:style>
  <w:style w:type="paragraph" w:customStyle="1" w:styleId="218">
    <w:name w:val="列出段落1"/>
    <w:basedOn w:val="1"/>
    <w:qFormat/>
    <w:uiPriority w:val="0"/>
    <w:pPr>
      <w:ind w:firstLine="420" w:firstLineChars="200"/>
    </w:pPr>
    <w:rPr>
      <w:rFonts w:cs="黑体"/>
      <w:szCs w:val="22"/>
    </w:rPr>
  </w:style>
  <w:style w:type="paragraph" w:customStyle="1" w:styleId="219">
    <w:name w:val="Style28"/>
    <w:basedOn w:val="1"/>
    <w:qFormat/>
    <w:uiPriority w:val="0"/>
    <w:pPr>
      <w:spacing w:line="552" w:lineRule="exact"/>
      <w:ind w:firstLine="547"/>
    </w:pPr>
  </w:style>
  <w:style w:type="paragraph" w:customStyle="1" w:styleId="220">
    <w:name w:val="Style8"/>
    <w:basedOn w:val="1"/>
    <w:qFormat/>
    <w:uiPriority w:val="0"/>
    <w:pPr>
      <w:spacing w:line="566" w:lineRule="exact"/>
      <w:jc w:val="center"/>
    </w:pPr>
  </w:style>
  <w:style w:type="paragraph" w:customStyle="1" w:styleId="221">
    <w:name w:val="列出段落2"/>
    <w:basedOn w:val="1"/>
    <w:qFormat/>
    <w:uiPriority w:val="0"/>
    <w:pPr>
      <w:widowControl/>
      <w:ind w:firstLine="420" w:firstLineChars="200"/>
      <w:jc w:val="left"/>
    </w:pPr>
    <w:rPr>
      <w:rFonts w:ascii="宋体" w:hAnsi="宋体" w:cs="宋体"/>
      <w:kern w:val="0"/>
      <w:sz w:val="24"/>
    </w:rPr>
  </w:style>
  <w:style w:type="paragraph" w:customStyle="1" w:styleId="222">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223">
    <w:name w:val="Style15"/>
    <w:basedOn w:val="1"/>
    <w:qFormat/>
    <w:uiPriority w:val="0"/>
    <w:pPr>
      <w:spacing w:line="557" w:lineRule="exact"/>
      <w:ind w:firstLine="672"/>
    </w:pPr>
  </w:style>
  <w:style w:type="paragraph" w:customStyle="1" w:styleId="224">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25">
    <w:name w:val="Char2"/>
    <w:basedOn w:val="1"/>
    <w:qFormat/>
    <w:uiPriority w:val="0"/>
    <w:rPr>
      <w:rFonts w:ascii="Tahoma" w:hAnsi="Tahoma"/>
      <w:sz w:val="24"/>
      <w:szCs w:val="20"/>
    </w:rPr>
  </w:style>
  <w:style w:type="paragraph" w:customStyle="1" w:styleId="226">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27">
    <w:name w:val="Style4"/>
    <w:basedOn w:val="1"/>
    <w:qFormat/>
    <w:uiPriority w:val="0"/>
  </w:style>
  <w:style w:type="paragraph" w:customStyle="1" w:styleId="228">
    <w:name w:val="List Paragraph1"/>
    <w:basedOn w:val="1"/>
    <w:qFormat/>
    <w:uiPriority w:val="0"/>
    <w:pPr>
      <w:ind w:firstLine="420" w:firstLineChars="200"/>
    </w:pPr>
  </w:style>
  <w:style w:type="paragraph" w:customStyle="1" w:styleId="229">
    <w:name w:val="标题3"/>
    <w:basedOn w:val="2"/>
    <w:qFormat/>
    <w:uiPriority w:val="0"/>
    <w:pPr>
      <w:spacing w:beforeLines="50" w:afterLines="50" w:line="400" w:lineRule="exact"/>
      <w:jc w:val="both"/>
    </w:pPr>
    <w:rPr>
      <w:rFonts w:ascii="宋体" w:hAnsi="宋体"/>
      <w:kern w:val="32"/>
      <w:szCs w:val="32"/>
    </w:rPr>
  </w:style>
  <w:style w:type="paragraph" w:customStyle="1" w:styleId="230">
    <w:name w:val="1"/>
    <w:basedOn w:val="1"/>
    <w:qFormat/>
    <w:uiPriority w:val="0"/>
    <w:pPr>
      <w:spacing w:afterLines="50" w:line="360" w:lineRule="auto"/>
    </w:pPr>
    <w:rPr>
      <w:rFonts w:ascii="宋体" w:hAnsi="宋体"/>
      <w:b/>
      <w:sz w:val="30"/>
      <w:szCs w:val="21"/>
    </w:rPr>
  </w:style>
  <w:style w:type="paragraph" w:customStyle="1" w:styleId="231">
    <w:name w:val="Style61"/>
    <w:basedOn w:val="1"/>
    <w:qFormat/>
    <w:uiPriority w:val="0"/>
  </w:style>
  <w:style w:type="paragraph" w:customStyle="1" w:styleId="232">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33">
    <w:name w:val="Style62"/>
    <w:basedOn w:val="1"/>
    <w:qFormat/>
    <w:uiPriority w:val="0"/>
  </w:style>
  <w:style w:type="paragraph" w:customStyle="1" w:styleId="234">
    <w:name w:val="标题2"/>
    <w:basedOn w:val="48"/>
    <w:qFormat/>
    <w:uiPriority w:val="0"/>
    <w:pPr>
      <w:spacing w:after="240"/>
      <w:jc w:val="left"/>
    </w:pPr>
    <w:rPr>
      <w:bCs w:val="0"/>
      <w:sz w:val="30"/>
      <w:szCs w:val="24"/>
    </w:rPr>
  </w:style>
  <w:style w:type="paragraph" w:customStyle="1" w:styleId="235">
    <w:name w:val="1 Char Char Char Char"/>
    <w:basedOn w:val="1"/>
    <w:qFormat/>
    <w:uiPriority w:val="0"/>
  </w:style>
  <w:style w:type="paragraph" w:customStyle="1" w:styleId="236">
    <w:name w:val="Style41"/>
    <w:basedOn w:val="1"/>
    <w:qFormat/>
    <w:uiPriority w:val="0"/>
    <w:pPr>
      <w:spacing w:line="542" w:lineRule="exact"/>
      <w:ind w:firstLine="125"/>
    </w:pPr>
  </w:style>
  <w:style w:type="paragraph" w:customStyle="1" w:styleId="237">
    <w:name w:val="Style5"/>
    <w:basedOn w:val="1"/>
    <w:qFormat/>
    <w:uiPriority w:val="0"/>
  </w:style>
  <w:style w:type="paragraph" w:customStyle="1" w:styleId="238">
    <w:name w:val="Style59"/>
    <w:basedOn w:val="1"/>
    <w:qFormat/>
    <w:uiPriority w:val="0"/>
  </w:style>
  <w:style w:type="paragraph" w:customStyle="1" w:styleId="239">
    <w:name w:val="Char Char Char"/>
    <w:basedOn w:val="1"/>
    <w:qFormat/>
    <w:uiPriority w:val="0"/>
    <w:rPr>
      <w:rFonts w:ascii="宋体" w:hAnsi="宋体"/>
      <w:b/>
      <w:sz w:val="28"/>
      <w:szCs w:val="28"/>
    </w:rPr>
  </w:style>
  <w:style w:type="paragraph" w:customStyle="1" w:styleId="240">
    <w:name w:val="Style74"/>
    <w:basedOn w:val="1"/>
    <w:qFormat/>
    <w:uiPriority w:val="0"/>
    <w:pPr>
      <w:spacing w:line="437" w:lineRule="exact"/>
    </w:pPr>
  </w:style>
  <w:style w:type="paragraph" w:customStyle="1" w:styleId="241">
    <w:name w:val="Style54"/>
    <w:basedOn w:val="1"/>
    <w:qFormat/>
    <w:uiPriority w:val="0"/>
  </w:style>
  <w:style w:type="paragraph" w:customStyle="1" w:styleId="242">
    <w:name w:val="Style24"/>
    <w:basedOn w:val="1"/>
    <w:qFormat/>
    <w:uiPriority w:val="0"/>
  </w:style>
  <w:style w:type="paragraph" w:customStyle="1" w:styleId="243">
    <w:name w:val="_Style 37"/>
    <w:basedOn w:val="1"/>
    <w:qFormat/>
    <w:uiPriority w:val="0"/>
  </w:style>
  <w:style w:type="paragraph" w:customStyle="1" w:styleId="244">
    <w:name w:val="Style81"/>
    <w:basedOn w:val="1"/>
    <w:qFormat/>
    <w:uiPriority w:val="0"/>
    <w:pPr>
      <w:spacing w:line="547" w:lineRule="exact"/>
    </w:pPr>
  </w:style>
  <w:style w:type="paragraph" w:customStyle="1" w:styleId="245">
    <w:name w:val="Style23"/>
    <w:basedOn w:val="1"/>
    <w:qFormat/>
    <w:uiPriority w:val="0"/>
  </w:style>
  <w:style w:type="paragraph" w:customStyle="1" w:styleId="246">
    <w:name w:val="Style78"/>
    <w:basedOn w:val="1"/>
    <w:qFormat/>
    <w:uiPriority w:val="0"/>
  </w:style>
  <w:style w:type="paragraph" w:customStyle="1" w:styleId="247">
    <w:name w:val="Style46"/>
    <w:basedOn w:val="1"/>
    <w:qFormat/>
    <w:uiPriority w:val="0"/>
    <w:pPr>
      <w:spacing w:line="672" w:lineRule="exact"/>
    </w:pPr>
  </w:style>
  <w:style w:type="paragraph" w:customStyle="1" w:styleId="24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9">
    <w:name w:val="_Style 39"/>
    <w:basedOn w:val="201"/>
    <w:qFormat/>
    <w:uiPriority w:val="0"/>
  </w:style>
  <w:style w:type="paragraph" w:customStyle="1" w:styleId="250">
    <w:name w:val="Style9"/>
    <w:basedOn w:val="1"/>
    <w:qFormat/>
    <w:uiPriority w:val="0"/>
  </w:style>
  <w:style w:type="paragraph" w:customStyle="1" w:styleId="251">
    <w:name w:val="Char Char1 Char Char Char"/>
    <w:basedOn w:val="1"/>
    <w:qFormat/>
    <w:uiPriority w:val="0"/>
    <w:rPr>
      <w:kern w:val="0"/>
      <w:sz w:val="20"/>
      <w:szCs w:val="20"/>
    </w:rPr>
  </w:style>
  <w:style w:type="paragraph" w:customStyle="1" w:styleId="252">
    <w:name w:val="文档正文"/>
    <w:basedOn w:val="1"/>
    <w:qFormat/>
    <w:uiPriority w:val="0"/>
    <w:pPr>
      <w:suppressAutoHyphens/>
      <w:spacing w:line="312" w:lineRule="atLeast"/>
      <w:ind w:firstLine="567"/>
      <w:jc w:val="left"/>
    </w:pPr>
    <w:rPr>
      <w:rFonts w:ascii="长城仿宋" w:hAnsi="长城仿宋" w:eastAsia="长城仿宋" w:cs="Tahoma"/>
      <w:b/>
      <w:w w:val="80"/>
      <w:sz w:val="28"/>
      <w:szCs w:val="20"/>
    </w:rPr>
  </w:style>
  <w:style w:type="paragraph" w:customStyle="1" w:styleId="253">
    <w:name w:val="Style70"/>
    <w:basedOn w:val="1"/>
    <w:qFormat/>
    <w:uiPriority w:val="0"/>
    <w:pPr>
      <w:spacing w:line="549" w:lineRule="exact"/>
      <w:ind w:firstLine="686"/>
    </w:pPr>
  </w:style>
  <w:style w:type="paragraph" w:customStyle="1" w:styleId="254">
    <w:name w:val="标题 1 +"/>
    <w:basedOn w:val="2"/>
    <w:next w:val="1"/>
    <w:qFormat/>
    <w:uiPriority w:val="0"/>
    <w:pPr>
      <w:keepLines/>
      <w:spacing w:line="600" w:lineRule="auto"/>
    </w:pPr>
    <w:rPr>
      <w:rFonts w:eastAsia="黑体"/>
      <w:kern w:val="0"/>
      <w:sz w:val="32"/>
      <w:szCs w:val="32"/>
    </w:rPr>
  </w:style>
  <w:style w:type="paragraph" w:customStyle="1" w:styleId="255">
    <w:name w:val="Style16"/>
    <w:basedOn w:val="1"/>
    <w:qFormat/>
    <w:uiPriority w:val="0"/>
    <w:pPr>
      <w:jc w:val="right"/>
    </w:pPr>
  </w:style>
  <w:style w:type="paragraph" w:customStyle="1" w:styleId="256">
    <w:name w:val="Style44"/>
    <w:basedOn w:val="1"/>
    <w:qFormat/>
    <w:uiPriority w:val="0"/>
  </w:style>
  <w:style w:type="paragraph" w:customStyle="1" w:styleId="257">
    <w:name w:val="Style36"/>
    <w:basedOn w:val="1"/>
    <w:qFormat/>
    <w:uiPriority w:val="0"/>
  </w:style>
  <w:style w:type="paragraph" w:customStyle="1" w:styleId="258">
    <w:name w:val="Style69"/>
    <w:basedOn w:val="1"/>
    <w:qFormat/>
    <w:uiPriority w:val="0"/>
    <w:pPr>
      <w:spacing w:line="557" w:lineRule="exact"/>
      <w:ind w:firstLine="1666"/>
    </w:pPr>
  </w:style>
  <w:style w:type="paragraph" w:customStyle="1" w:styleId="259">
    <w:name w:val="Style12"/>
    <w:basedOn w:val="1"/>
    <w:qFormat/>
    <w:uiPriority w:val="0"/>
    <w:pPr>
      <w:spacing w:line="564" w:lineRule="exact"/>
      <w:ind w:hanging="115"/>
    </w:pPr>
  </w:style>
  <w:style w:type="paragraph" w:customStyle="1" w:styleId="26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61">
    <w:name w:val="默认段落字体 Para Char Char Char Char Char Char Char Char Char Char Char Char Char Char Char Char Char Char Char"/>
    <w:basedOn w:val="1"/>
    <w:qFormat/>
    <w:uiPriority w:val="0"/>
  </w:style>
  <w:style w:type="paragraph" w:customStyle="1" w:styleId="262">
    <w:name w:val="Style10"/>
    <w:basedOn w:val="1"/>
    <w:qFormat/>
    <w:uiPriority w:val="0"/>
    <w:pPr>
      <w:spacing w:line="538" w:lineRule="exact"/>
    </w:pPr>
  </w:style>
  <w:style w:type="paragraph" w:customStyle="1" w:styleId="263">
    <w:name w:val="p17"/>
    <w:basedOn w:val="1"/>
    <w:qFormat/>
    <w:uiPriority w:val="0"/>
    <w:pPr>
      <w:widowControl/>
      <w:spacing w:after="120"/>
    </w:pPr>
    <w:rPr>
      <w:kern w:val="0"/>
      <w:szCs w:val="21"/>
    </w:rPr>
  </w:style>
  <w:style w:type="paragraph" w:customStyle="1" w:styleId="264">
    <w:name w:val="Style11"/>
    <w:basedOn w:val="1"/>
    <w:qFormat/>
    <w:uiPriority w:val="0"/>
    <w:pPr>
      <w:spacing w:line="559" w:lineRule="exact"/>
      <w:ind w:firstLine="590"/>
    </w:pPr>
  </w:style>
  <w:style w:type="paragraph" w:customStyle="1" w:styleId="265">
    <w:name w:val="4"/>
    <w:basedOn w:val="1"/>
    <w:qFormat/>
    <w:uiPriority w:val="0"/>
    <w:rPr>
      <w:rFonts w:ascii="Tahoma" w:hAnsi="Tahoma"/>
      <w:sz w:val="24"/>
      <w:szCs w:val="20"/>
    </w:rPr>
  </w:style>
  <w:style w:type="paragraph" w:customStyle="1" w:styleId="266">
    <w:name w:val="Char Char Char Char Char Char Char"/>
    <w:basedOn w:val="1"/>
    <w:qFormat/>
    <w:uiPriority w:val="0"/>
    <w:pPr>
      <w:snapToGrid w:val="0"/>
      <w:spacing w:line="360" w:lineRule="auto"/>
      <w:ind w:firstLine="200" w:firstLineChars="200"/>
    </w:pPr>
    <w:rPr>
      <w:rFonts w:eastAsia="仿宋_GB2312"/>
      <w:sz w:val="24"/>
    </w:rPr>
  </w:style>
  <w:style w:type="paragraph" w:styleId="267">
    <w:name w:val="List Paragraph"/>
    <w:basedOn w:val="1"/>
    <w:qFormat/>
    <w:uiPriority w:val="0"/>
    <w:pPr>
      <w:widowControl/>
      <w:ind w:firstLine="420" w:firstLineChars="200"/>
      <w:jc w:val="left"/>
    </w:pPr>
    <w:rPr>
      <w:rFonts w:ascii="宋体" w:hAnsi="宋体" w:cs="宋体"/>
      <w:kern w:val="0"/>
      <w:sz w:val="24"/>
    </w:rPr>
  </w:style>
  <w:style w:type="paragraph" w:customStyle="1" w:styleId="268">
    <w:name w:val="Style73"/>
    <w:basedOn w:val="1"/>
    <w:qFormat/>
    <w:uiPriority w:val="0"/>
    <w:pPr>
      <w:spacing w:line="538" w:lineRule="exact"/>
      <w:ind w:firstLine="533"/>
    </w:pPr>
  </w:style>
  <w:style w:type="paragraph" w:customStyle="1" w:styleId="269">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70">
    <w:name w:val="p18"/>
    <w:basedOn w:val="1"/>
    <w:qFormat/>
    <w:uiPriority w:val="0"/>
    <w:pPr>
      <w:widowControl/>
      <w:spacing w:before="340" w:after="330" w:line="576" w:lineRule="auto"/>
      <w:ind w:left="1320" w:hanging="720"/>
    </w:pPr>
    <w:rPr>
      <w:b/>
      <w:bCs/>
      <w:kern w:val="0"/>
      <w:sz w:val="44"/>
      <w:szCs w:val="44"/>
    </w:rPr>
  </w:style>
  <w:style w:type="paragraph" w:customStyle="1" w:styleId="271">
    <w:name w:val="Style56"/>
    <w:basedOn w:val="1"/>
    <w:qFormat/>
    <w:uiPriority w:val="0"/>
  </w:style>
  <w:style w:type="paragraph" w:customStyle="1" w:styleId="272">
    <w:name w:val="Style29"/>
    <w:basedOn w:val="1"/>
    <w:qFormat/>
    <w:uiPriority w:val="0"/>
    <w:pPr>
      <w:spacing w:line="547" w:lineRule="exact"/>
      <w:ind w:firstLine="547"/>
    </w:pPr>
  </w:style>
  <w:style w:type="paragraph" w:customStyle="1" w:styleId="273">
    <w:name w:val="Style50"/>
    <w:basedOn w:val="1"/>
    <w:qFormat/>
    <w:uiPriority w:val="0"/>
  </w:style>
  <w:style w:type="paragraph" w:customStyle="1" w:styleId="274">
    <w:name w:val="Char11"/>
    <w:basedOn w:val="1"/>
    <w:qFormat/>
    <w:uiPriority w:val="0"/>
    <w:pPr>
      <w:widowControl/>
      <w:spacing w:after="160" w:line="240" w:lineRule="exact"/>
      <w:jc w:val="left"/>
    </w:pPr>
    <w:rPr>
      <w:sz w:val="16"/>
    </w:rPr>
  </w:style>
  <w:style w:type="paragraph" w:customStyle="1" w:styleId="275">
    <w:name w:val="Style53"/>
    <w:basedOn w:val="1"/>
    <w:qFormat/>
    <w:uiPriority w:val="0"/>
    <w:pPr>
      <w:spacing w:line="533" w:lineRule="exact"/>
      <w:ind w:firstLine="581"/>
    </w:pPr>
  </w:style>
  <w:style w:type="paragraph" w:customStyle="1" w:styleId="276">
    <w:name w:val="Style58"/>
    <w:basedOn w:val="1"/>
    <w:qFormat/>
    <w:uiPriority w:val="0"/>
    <w:pPr>
      <w:spacing w:line="413" w:lineRule="exact"/>
    </w:pPr>
  </w:style>
  <w:style w:type="paragraph" w:customStyle="1" w:styleId="277">
    <w:name w:val="Char Char1 Char Char Char Char Char Char Char"/>
    <w:basedOn w:val="1"/>
    <w:qFormat/>
    <w:uiPriority w:val="0"/>
    <w:pPr>
      <w:widowControl/>
      <w:spacing w:after="160" w:line="240" w:lineRule="exact"/>
      <w:jc w:val="left"/>
    </w:pPr>
  </w:style>
  <w:style w:type="paragraph" w:customStyle="1" w:styleId="278">
    <w:name w:val="Style65"/>
    <w:basedOn w:val="1"/>
    <w:qFormat/>
    <w:uiPriority w:val="0"/>
  </w:style>
  <w:style w:type="paragraph" w:customStyle="1" w:styleId="279">
    <w:name w:val="Style80"/>
    <w:basedOn w:val="1"/>
    <w:qFormat/>
    <w:uiPriority w:val="0"/>
  </w:style>
  <w:style w:type="paragraph" w:customStyle="1" w:styleId="280">
    <w:name w:val="Style48"/>
    <w:basedOn w:val="1"/>
    <w:qFormat/>
    <w:uiPriority w:val="0"/>
    <w:pPr>
      <w:spacing w:line="542" w:lineRule="exact"/>
      <w:jc w:val="right"/>
    </w:pPr>
  </w:style>
  <w:style w:type="paragraph" w:customStyle="1" w:styleId="281">
    <w:name w:val="Char1 Char Char Char Char Char Char Char Char Char"/>
    <w:basedOn w:val="1"/>
    <w:qFormat/>
    <w:uiPriority w:val="0"/>
    <w:rPr>
      <w:szCs w:val="20"/>
    </w:rPr>
  </w:style>
  <w:style w:type="paragraph" w:customStyle="1" w:styleId="282">
    <w:name w:val="Style34"/>
    <w:basedOn w:val="1"/>
    <w:qFormat/>
    <w:uiPriority w:val="0"/>
    <w:pPr>
      <w:spacing w:line="375" w:lineRule="exact"/>
    </w:pPr>
  </w:style>
  <w:style w:type="paragraph" w:customStyle="1" w:styleId="283">
    <w:name w:val="Style68"/>
    <w:basedOn w:val="1"/>
    <w:qFormat/>
    <w:uiPriority w:val="0"/>
    <w:pPr>
      <w:spacing w:line="547" w:lineRule="exact"/>
    </w:pPr>
  </w:style>
  <w:style w:type="character" w:customStyle="1" w:styleId="284">
    <w:name w:val="font41"/>
    <w:basedOn w:val="53"/>
    <w:qFormat/>
    <w:uiPriority w:val="0"/>
    <w:rPr>
      <w:rFonts w:hint="eastAsia" w:ascii="仿宋" w:hAnsi="仿宋" w:eastAsia="仿宋" w:cs="仿宋"/>
      <w:b/>
      <w:color w:val="000000"/>
      <w:sz w:val="20"/>
      <w:szCs w:val="20"/>
      <w:u w:val="single"/>
    </w:rPr>
  </w:style>
  <w:style w:type="paragraph" w:customStyle="1" w:styleId="285">
    <w:name w:val="样式 首行缩进:  0 字符"/>
    <w:basedOn w:val="1"/>
    <w:qFormat/>
    <w:uiPriority w:val="0"/>
    <w:pPr>
      <w:spacing w:line="360" w:lineRule="auto"/>
      <w:ind w:firstLine="200" w:firstLineChars="200"/>
    </w:pPr>
    <w:rPr>
      <w:rFonts w:ascii="Times New Roman" w:hAnsi="Times New Roman" w:cs="宋体"/>
      <w:sz w:val="24"/>
      <w:szCs w:val="20"/>
    </w:rPr>
  </w:style>
  <w:style w:type="paragraph" w:customStyle="1" w:styleId="286">
    <w:name w:val="正文缩进2字符"/>
    <w:qFormat/>
    <w:uiPriority w:val="0"/>
    <w:pPr>
      <w:widowControl w:val="0"/>
      <w:tabs>
        <w:tab w:val="left" w:pos="0"/>
      </w:tabs>
      <w:spacing w:line="360" w:lineRule="auto"/>
      <w:ind w:firstLine="540"/>
      <w:jc w:val="both"/>
    </w:pPr>
    <w:rPr>
      <w:rFonts w:ascii="Times New Roman" w:hAnsi="Times New Roman" w:eastAsia="宋体" w:cs="Times New Roman"/>
      <w:bCs/>
      <w:kern w:val="2"/>
      <w:sz w:val="28"/>
      <w:szCs w:val="28"/>
      <w:lang w:val="en-US" w:eastAsia="zh-CN" w:bidi="ar-SA"/>
    </w:rPr>
  </w:style>
  <w:style w:type="paragraph" w:customStyle="1" w:styleId="287">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8">
    <w:name w:val="font71"/>
    <w:basedOn w:val="53"/>
    <w:qFormat/>
    <w:uiPriority w:val="0"/>
    <w:rPr>
      <w:rFonts w:hint="eastAsia" w:ascii="宋体" w:hAnsi="宋体" w:eastAsia="宋体" w:cs="宋体"/>
      <w:color w:val="000000"/>
      <w:sz w:val="20"/>
      <w:szCs w:val="20"/>
      <w:u w:val="none"/>
    </w:rPr>
  </w:style>
  <w:style w:type="character" w:customStyle="1" w:styleId="289">
    <w:name w:val="font101"/>
    <w:basedOn w:val="53"/>
    <w:qFormat/>
    <w:uiPriority w:val="0"/>
    <w:rPr>
      <w:rFonts w:hint="eastAsia" w:ascii="宋体" w:hAnsi="宋体" w:eastAsia="宋体" w:cs="宋体"/>
      <w:color w:val="000000"/>
      <w:sz w:val="20"/>
      <w:szCs w:val="20"/>
      <w:u w:val="none"/>
    </w:rPr>
  </w:style>
  <w:style w:type="table" w:customStyle="1" w:styleId="290">
    <w:name w:val="Table Normal"/>
    <w:semiHidden/>
    <w:unhideWhenUsed/>
    <w:qFormat/>
    <w:uiPriority w:val="0"/>
    <w:tblPr>
      <w:tblCellMar>
        <w:top w:w="0" w:type="dxa"/>
        <w:left w:w="0" w:type="dxa"/>
        <w:bottom w:w="0" w:type="dxa"/>
        <w:right w:w="0" w:type="dxa"/>
      </w:tblCellMar>
    </w:tblPr>
  </w:style>
  <w:style w:type="paragraph" w:customStyle="1" w:styleId="291">
    <w:name w:val="Table Text"/>
    <w:basedOn w:val="1"/>
    <w:semiHidden/>
    <w:qFormat/>
    <w:uiPriority w:val="0"/>
    <w:rPr>
      <w:rFonts w:ascii="Arial" w:hAnsi="Arial" w:eastAsia="Arial" w:cs="Arial"/>
      <w:szCs w:val="21"/>
      <w:lang w:eastAsia="en-US"/>
    </w:rPr>
  </w:style>
  <w:style w:type="paragraph" w:customStyle="1" w:styleId="292">
    <w:name w:val="正文_0"/>
    <w:next w:val="5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3">
    <w:name w:val="Table Paragraph"/>
    <w:basedOn w:val="1"/>
    <w:qFormat/>
    <w:uiPriority w:val="1"/>
    <w:rPr>
      <w:rFonts w:ascii="宋体" w:hAnsi="宋体" w:cs="宋体"/>
      <w:lang w:val="zh-CN" w:bidi="zh-CN"/>
    </w:rPr>
  </w:style>
  <w:style w:type="character" w:customStyle="1" w:styleId="294">
    <w:name w:val="font141"/>
    <w:basedOn w:val="53"/>
    <w:qFormat/>
    <w:uiPriority w:val="0"/>
    <w:rPr>
      <w:rFonts w:hint="eastAsia" w:ascii="宋体" w:hAnsi="宋体" w:eastAsia="宋体" w:cs="宋体"/>
      <w:color w:val="FF808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136</Pages>
  <Words>19072</Words>
  <Characters>20144</Characters>
  <Lines>268</Lines>
  <Paragraphs>75</Paragraphs>
  <TotalTime>0</TotalTime>
  <ScaleCrop>false</ScaleCrop>
  <LinksUpToDate>false</LinksUpToDate>
  <CharactersWithSpaces>20851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2026-05-07T01:00:00Z</dcterms:created>
  <dc:creator>User</dc:creator>
  <cp:lastModifiedBy>玲兒</cp:lastModifiedBy>
  <cp:lastPrinted>2025-06-12T02:33:00Z</cp:lastPrinted>
  <dcterms:modified xsi:type="dcterms:W3CDTF">2026-09-15T02:46:30Z</dcterms:modified>
  <dc:title>附件：Ⅲ-1-1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4D559813B51342A999C5D7A61215C424</vt:lpwstr>
  </property>
  <property fmtid="{D5CDD505-2E9C-101B-9397-08002B2CF9AE}" pid="4" name="commondata">
    <vt:lpwstr>eyJoZGlkIjoiOWE4ZjFhMThlNmMzYjZkMzc2YTUzYzg0MzRhZThhYTIifQ==</vt:lpwstr>
  </property>
  <property fmtid="{D5CDD505-2E9C-101B-9397-08002B2CF9AE}" pid="5" name="KSOTemplateDocerSaveRecord">
    <vt:lpwstr>eyJoZGlkIjoiNDAwODljODQ5ZTJjZWUxZjRlZDYxYjgyMTc0YzhjYWMiLCJ1c2VySWQiOiIxMDUxOTA0MzE4In0=</vt:lpwstr>
  </property>
</Properties>
</file>