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7"/>
        <w:tblpPr w:leftFromText="180" w:rightFromText="180" w:vertAnchor="page" w:horzAnchor="page" w:tblpX="5910" w:tblpY="6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tblGrid>
      <w:tr w14:paraId="08B9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0" w:hRule="atLeast"/>
        </w:trPr>
        <w:tc>
          <w:tcPr>
            <w:tcW w:w="4360" w:type="dxa"/>
          </w:tcPr>
          <w:p w14:paraId="54C8FA30">
            <w:pPr>
              <w:pStyle w:val="25"/>
              <w:spacing w:after="124"/>
              <w:ind w:left="422" w:hanging="422"/>
              <w:rPr>
                <w:rFonts w:hAnsi="宋体"/>
                <w:b/>
                <w:sz w:val="28"/>
                <w:szCs w:val="28"/>
              </w:rPr>
            </w:pPr>
            <w:r>
              <w:rPr>
                <w:rFonts w:hint="eastAsia" w:hAnsi="宋体"/>
                <w:b/>
                <w:sz w:val="28"/>
                <w:szCs w:val="28"/>
              </w:rPr>
              <w:t>采购人审核意见：</w:t>
            </w:r>
          </w:p>
          <w:p w14:paraId="6B11F92E">
            <w:pPr>
              <w:pStyle w:val="25"/>
              <w:spacing w:after="124"/>
              <w:rPr>
                <w:rFonts w:hAnsi="宋体"/>
                <w:b/>
                <w:sz w:val="28"/>
                <w:szCs w:val="28"/>
              </w:rPr>
            </w:pPr>
          </w:p>
          <w:p w14:paraId="5900F417">
            <w:pPr>
              <w:pStyle w:val="25"/>
              <w:spacing w:after="124"/>
              <w:ind w:firstLine="2811" w:firstLineChars="1000"/>
              <w:rPr>
                <w:rFonts w:hAnsi="宋体"/>
                <w:b/>
                <w:sz w:val="28"/>
                <w:szCs w:val="28"/>
              </w:rPr>
            </w:pPr>
          </w:p>
          <w:p w14:paraId="6D6B9F27">
            <w:pPr>
              <w:pStyle w:val="25"/>
              <w:spacing w:after="124"/>
              <w:ind w:firstLine="2811" w:firstLineChars="1000"/>
              <w:rPr>
                <w:rFonts w:hAnsi="宋体"/>
                <w:b/>
                <w:sz w:val="28"/>
                <w:szCs w:val="28"/>
              </w:rPr>
            </w:pPr>
            <w:r>
              <w:rPr>
                <w:rFonts w:hint="eastAsia" w:hAnsi="宋体"/>
                <w:b/>
                <w:sz w:val="28"/>
                <w:szCs w:val="28"/>
              </w:rPr>
              <w:t>（签章）</w:t>
            </w:r>
          </w:p>
        </w:tc>
      </w:tr>
    </w:tbl>
    <w:p w14:paraId="7DACF173">
      <w:pPr>
        <w:pStyle w:val="25"/>
        <w:spacing w:after="124"/>
        <w:ind w:left="422" w:hanging="422"/>
        <w:rPr>
          <w:rFonts w:hAnsi="宋体"/>
          <w:b/>
          <w:sz w:val="28"/>
          <w:szCs w:val="28"/>
        </w:rPr>
      </w:pPr>
    </w:p>
    <w:p w14:paraId="2955254A">
      <w:pPr>
        <w:pStyle w:val="25"/>
        <w:spacing w:after="124"/>
        <w:ind w:left="1265" w:hanging="1265"/>
        <w:rPr>
          <w:rFonts w:hAnsi="宋体"/>
          <w:b/>
          <w:sz w:val="84"/>
          <w:szCs w:val="84"/>
        </w:rPr>
      </w:pPr>
    </w:p>
    <w:p w14:paraId="0ED64491">
      <w:pPr>
        <w:pStyle w:val="25"/>
        <w:spacing w:after="124"/>
        <w:ind w:left="1265" w:hanging="1265"/>
        <w:jc w:val="center"/>
        <w:rPr>
          <w:rFonts w:hAnsi="宋体"/>
          <w:b/>
          <w:sz w:val="84"/>
          <w:szCs w:val="84"/>
        </w:rPr>
      </w:pPr>
    </w:p>
    <w:p w14:paraId="19349296">
      <w:pPr>
        <w:pStyle w:val="25"/>
        <w:spacing w:after="124"/>
        <w:ind w:left="1265" w:hanging="1265"/>
        <w:jc w:val="center"/>
        <w:rPr>
          <w:rFonts w:hAnsi="宋体"/>
          <w:b/>
          <w:sz w:val="84"/>
          <w:szCs w:val="84"/>
        </w:rPr>
      </w:pPr>
    </w:p>
    <w:p w14:paraId="104DD5F5">
      <w:pPr>
        <w:pStyle w:val="25"/>
        <w:adjustRightInd w:val="0"/>
        <w:snapToGrid w:val="0"/>
        <w:spacing w:after="124" w:line="360" w:lineRule="auto"/>
        <w:ind w:left="210" w:leftChars="100" w:firstLine="1687" w:firstLineChars="200"/>
        <w:rPr>
          <w:rFonts w:hAnsi="宋体"/>
          <w:b/>
          <w:sz w:val="84"/>
          <w:szCs w:val="84"/>
        </w:rPr>
      </w:pPr>
      <w:r>
        <w:rPr>
          <w:rFonts w:hint="eastAsia" w:hAnsi="宋体"/>
          <w:b/>
          <w:sz w:val="84"/>
          <w:szCs w:val="84"/>
        </w:rPr>
        <w:t>竞争性磋商文件</w:t>
      </w:r>
    </w:p>
    <w:p w14:paraId="29B06C9C">
      <w:pPr>
        <w:pStyle w:val="25"/>
        <w:adjustRightInd w:val="0"/>
        <w:snapToGrid w:val="0"/>
        <w:spacing w:after="124" w:line="360" w:lineRule="auto"/>
        <w:ind w:left="482" w:hanging="482"/>
        <w:rPr>
          <w:rFonts w:hAnsi="宋体"/>
          <w:b/>
          <w:sz w:val="32"/>
          <w:szCs w:val="32"/>
        </w:rPr>
      </w:pPr>
    </w:p>
    <w:p w14:paraId="4B6D766E">
      <w:pPr>
        <w:adjustRightInd w:val="0"/>
        <w:snapToGrid w:val="0"/>
        <w:spacing w:after="124" w:line="360" w:lineRule="auto"/>
        <w:ind w:left="2984" w:leftChars="656" w:hanging="1606" w:hangingChars="500"/>
        <w:rPr>
          <w:rFonts w:hAnsi="宋体"/>
          <w:b/>
          <w:w w:val="95"/>
          <w:sz w:val="32"/>
          <w:szCs w:val="32"/>
          <w:u w:val="single"/>
        </w:rPr>
      </w:pPr>
      <w:r>
        <w:rPr>
          <w:rFonts w:hint="eastAsia" w:hAnsi="宋体"/>
          <w:b/>
          <w:sz w:val="32"/>
          <w:szCs w:val="32"/>
        </w:rPr>
        <w:t>采购项目名称：</w:t>
      </w:r>
      <w:r>
        <w:rPr>
          <w:rFonts w:hint="eastAsia" w:hAnsi="宋体"/>
          <w:b/>
          <w:sz w:val="32"/>
          <w:szCs w:val="32"/>
          <w:u w:val="single"/>
        </w:rPr>
        <w:t>松涛片区综合管线改造工程</w:t>
      </w:r>
    </w:p>
    <w:p w14:paraId="47CD4A40">
      <w:pPr>
        <w:adjustRightInd w:val="0"/>
        <w:snapToGrid w:val="0"/>
        <w:spacing w:after="124" w:line="360" w:lineRule="auto"/>
        <w:ind w:firstLine="1446" w:firstLineChars="450"/>
        <w:rPr>
          <w:rFonts w:hint="eastAsia" w:hAnsi="宋体"/>
          <w:b/>
          <w:color w:val="0000FF"/>
          <w:sz w:val="32"/>
          <w:szCs w:val="32"/>
          <w:u w:val="single"/>
        </w:rPr>
      </w:pPr>
      <w:r>
        <w:rPr>
          <w:rFonts w:hint="eastAsia" w:hAnsi="宋体"/>
          <w:b/>
          <w:sz w:val="32"/>
          <w:szCs w:val="32"/>
          <w:lang w:eastAsia="zh-CN"/>
        </w:rPr>
        <w:t>政府采购编号：</w:t>
      </w:r>
      <w:r>
        <w:rPr>
          <w:rFonts w:hint="eastAsia" w:hAnsi="宋体"/>
          <w:b/>
          <w:sz w:val="32"/>
          <w:szCs w:val="32"/>
          <w:u w:val="single"/>
          <w:lang w:eastAsia="zh-CN"/>
        </w:rPr>
        <w:t>(2026)430000003479-1</w:t>
      </w:r>
      <w:bookmarkStart w:id="642" w:name="_GoBack"/>
      <w:bookmarkEnd w:id="642"/>
    </w:p>
    <w:p w14:paraId="28A54C11">
      <w:pPr>
        <w:adjustRightInd w:val="0"/>
        <w:snapToGrid w:val="0"/>
        <w:spacing w:after="124" w:line="360" w:lineRule="auto"/>
        <w:ind w:firstLine="1446" w:firstLineChars="450"/>
        <w:rPr>
          <w:rFonts w:hAnsi="宋体"/>
          <w:b/>
          <w:sz w:val="32"/>
          <w:szCs w:val="32"/>
          <w:u w:val="single"/>
        </w:rPr>
      </w:pPr>
      <w:r>
        <w:rPr>
          <w:rFonts w:hint="eastAsia" w:hAnsi="宋体"/>
          <w:b/>
          <w:sz w:val="32"/>
          <w:szCs w:val="32"/>
        </w:rPr>
        <w:t>采购代理编号：</w:t>
      </w:r>
      <w:r>
        <w:rPr>
          <w:rFonts w:hint="eastAsia" w:hAnsi="宋体"/>
          <w:b/>
          <w:sz w:val="32"/>
          <w:szCs w:val="32"/>
          <w:u w:val="single"/>
          <w:lang w:eastAsia="zh-CN"/>
        </w:rPr>
        <w:t>LYZC-20261001</w:t>
      </w:r>
      <w:r>
        <w:rPr>
          <w:rFonts w:hint="eastAsia" w:hAnsi="宋体"/>
          <w:b/>
          <w:sz w:val="32"/>
          <w:szCs w:val="32"/>
          <w:u w:val="single"/>
        </w:rPr>
        <w:t xml:space="preserve">    </w:t>
      </w:r>
      <w:r>
        <w:rPr>
          <w:rFonts w:hint="eastAsia" w:hAnsi="宋体"/>
          <w:b/>
          <w:sz w:val="32"/>
          <w:szCs w:val="32"/>
        </w:rPr>
        <w:t xml:space="preserve">  </w:t>
      </w:r>
    </w:p>
    <w:p w14:paraId="19DF8C71">
      <w:pPr>
        <w:adjustRightInd w:val="0"/>
        <w:snapToGrid w:val="0"/>
        <w:spacing w:after="124" w:line="360" w:lineRule="auto"/>
        <w:ind w:firstLine="1446" w:firstLineChars="450"/>
        <w:rPr>
          <w:rFonts w:hAnsi="宋体" w:cs="宋体"/>
          <w:b/>
          <w:bCs/>
          <w:sz w:val="32"/>
          <w:szCs w:val="32"/>
          <w:u w:val="single"/>
        </w:rPr>
      </w:pPr>
      <w:r>
        <w:rPr>
          <w:rFonts w:hint="eastAsia" w:hAnsi="宋体"/>
          <w:b/>
          <w:sz w:val="32"/>
          <w:szCs w:val="32"/>
        </w:rPr>
        <w:t>采   购   人：</w:t>
      </w:r>
      <w:r>
        <w:rPr>
          <w:rFonts w:hint="eastAsia" w:hAnsi="宋体"/>
          <w:b/>
          <w:w w:val="95"/>
          <w:sz w:val="32"/>
          <w:szCs w:val="32"/>
          <w:u w:val="single"/>
        </w:rPr>
        <w:t>湘潭大学</w:t>
      </w:r>
    </w:p>
    <w:p w14:paraId="79628168">
      <w:pPr>
        <w:adjustRightInd w:val="0"/>
        <w:snapToGrid w:val="0"/>
        <w:spacing w:after="124" w:line="360" w:lineRule="auto"/>
        <w:ind w:firstLine="1446" w:firstLineChars="450"/>
        <w:rPr>
          <w:rFonts w:hAnsi="宋体"/>
          <w:sz w:val="32"/>
          <w:szCs w:val="32"/>
        </w:rPr>
      </w:pPr>
      <w:r>
        <w:rPr>
          <w:rFonts w:hint="eastAsia" w:ascii="宋体"/>
          <w:b/>
          <w:sz w:val="32"/>
          <w:szCs w:val="21"/>
        </w:rPr>
        <w:t>采购代理机构：</w:t>
      </w:r>
      <w:r>
        <w:rPr>
          <w:rFonts w:hint="eastAsia"/>
          <w:b/>
          <w:sz w:val="32"/>
          <w:u w:val="single"/>
        </w:rPr>
        <w:t>湖南凌云咨询集团有限公司</w:t>
      </w:r>
    </w:p>
    <w:p w14:paraId="24227D65">
      <w:pPr>
        <w:pStyle w:val="25"/>
        <w:adjustRightInd w:val="0"/>
        <w:snapToGrid w:val="0"/>
        <w:spacing w:after="124" w:line="360" w:lineRule="auto"/>
        <w:ind w:left="482" w:hanging="482"/>
        <w:rPr>
          <w:rFonts w:hAnsi="宋体"/>
          <w:b/>
          <w:sz w:val="32"/>
        </w:rPr>
      </w:pPr>
    </w:p>
    <w:p w14:paraId="52081BF7">
      <w:pPr>
        <w:pStyle w:val="25"/>
        <w:adjustRightInd w:val="0"/>
        <w:snapToGrid w:val="0"/>
        <w:spacing w:after="124" w:line="360" w:lineRule="auto"/>
        <w:ind w:left="482" w:hanging="482"/>
        <w:jc w:val="center"/>
        <w:rPr>
          <w:rFonts w:hAnsi="宋体"/>
          <w:b/>
          <w:sz w:val="32"/>
        </w:rPr>
      </w:pPr>
      <w:r>
        <w:rPr>
          <w:rFonts w:hint="eastAsia" w:hAnsi="宋体"/>
          <w:b/>
          <w:sz w:val="32"/>
        </w:rPr>
        <w:t>2026年</w:t>
      </w:r>
      <w:r>
        <w:rPr>
          <w:rFonts w:hint="eastAsia" w:hAnsi="宋体"/>
          <w:b/>
          <w:sz w:val="32"/>
          <w:lang w:val="en-US" w:eastAsia="zh-CN"/>
        </w:rPr>
        <w:t>10</w:t>
      </w:r>
      <w:r>
        <w:rPr>
          <w:rFonts w:hint="eastAsia" w:hAnsi="宋体"/>
          <w:b/>
          <w:sz w:val="32"/>
        </w:rPr>
        <w:t>月</w:t>
      </w:r>
    </w:p>
    <w:p w14:paraId="411DAAB8">
      <w:pPr>
        <w:spacing w:after="124"/>
        <w:ind w:hanging="315"/>
      </w:pPr>
    </w:p>
    <w:p w14:paraId="6D2FD0C5">
      <w:pPr>
        <w:ind w:left="542" w:hanging="542"/>
        <w:rPr>
          <w:rFonts w:ascii="宋体" w:hAnsi="宋体"/>
          <w:b/>
          <w:bCs/>
          <w:sz w:val="36"/>
          <w:szCs w:val="44"/>
        </w:rPr>
      </w:pPr>
      <w:r>
        <w:rPr>
          <w:rFonts w:ascii="宋体" w:hAnsi="宋体"/>
          <w:b/>
          <w:bCs/>
          <w:sz w:val="36"/>
          <w:szCs w:val="44"/>
        </w:rPr>
        <w:br w:type="page"/>
      </w:r>
    </w:p>
    <w:p w14:paraId="5EC95AEB">
      <w:pPr>
        <w:spacing w:after="124"/>
        <w:ind w:left="542" w:hanging="542"/>
        <w:jc w:val="center"/>
        <w:rPr>
          <w:b/>
          <w:bCs/>
          <w:sz w:val="36"/>
          <w:szCs w:val="44"/>
        </w:rPr>
      </w:pPr>
      <w:r>
        <w:rPr>
          <w:rFonts w:ascii="宋体" w:hAnsi="宋体"/>
          <w:b/>
          <w:bCs/>
          <w:sz w:val="36"/>
          <w:szCs w:val="44"/>
        </w:rPr>
        <w:t>目录</w:t>
      </w:r>
    </w:p>
    <w:p w14:paraId="5D827D1F">
      <w:pPr>
        <w:pStyle w:val="25"/>
        <w:adjustRightInd w:val="0"/>
        <w:snapToGrid w:val="0"/>
        <w:spacing w:after="124" w:line="360" w:lineRule="auto"/>
        <w:ind w:firstLine="1048" w:firstLineChars="435"/>
        <w:rPr>
          <w:rFonts w:hAnsi="宋体"/>
          <w:b/>
          <w:sz w:val="24"/>
          <w:szCs w:val="24"/>
        </w:rPr>
      </w:pPr>
      <w:bookmarkStart w:id="0" w:name="_Toc19204"/>
    </w:p>
    <w:p w14:paraId="0A5D7C9C">
      <w:pPr>
        <w:pStyle w:val="25"/>
        <w:adjustRightInd w:val="0"/>
        <w:snapToGrid w:val="0"/>
        <w:spacing w:after="124" w:line="360" w:lineRule="auto"/>
        <w:ind w:firstLine="1048" w:firstLineChars="435"/>
        <w:rPr>
          <w:rFonts w:hAnsi="宋体"/>
          <w:b/>
          <w:sz w:val="24"/>
          <w:szCs w:val="24"/>
        </w:rPr>
      </w:pPr>
    </w:p>
    <w:p w14:paraId="524BE244">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第一章  磋商通知</w:t>
      </w:r>
    </w:p>
    <w:p w14:paraId="541B7D0E">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第二章  磋商须知</w:t>
      </w:r>
    </w:p>
    <w:p w14:paraId="4E0867E2">
      <w:pPr>
        <w:pStyle w:val="25"/>
        <w:adjustRightInd w:val="0"/>
        <w:snapToGrid w:val="0"/>
        <w:spacing w:after="124" w:line="360" w:lineRule="auto"/>
        <w:ind w:firstLine="1044" w:firstLineChars="435"/>
        <w:rPr>
          <w:rFonts w:hAnsi="宋体"/>
          <w:sz w:val="24"/>
          <w:szCs w:val="24"/>
        </w:rPr>
      </w:pPr>
      <w:r>
        <w:rPr>
          <w:rFonts w:hint="eastAsia" w:hAnsi="宋体"/>
          <w:sz w:val="24"/>
          <w:szCs w:val="24"/>
        </w:rPr>
        <w:t>磋商须知前附表</w:t>
      </w:r>
    </w:p>
    <w:p w14:paraId="3D9BF16B">
      <w:pPr>
        <w:pStyle w:val="25"/>
        <w:adjustRightInd w:val="0"/>
        <w:snapToGrid w:val="0"/>
        <w:spacing w:after="124" w:line="360" w:lineRule="auto"/>
        <w:ind w:firstLine="1044" w:firstLineChars="435"/>
        <w:rPr>
          <w:rFonts w:hAnsi="宋体"/>
          <w:sz w:val="24"/>
          <w:szCs w:val="24"/>
        </w:rPr>
      </w:pPr>
      <w:r>
        <w:rPr>
          <w:rFonts w:hint="eastAsia" w:hAnsi="宋体"/>
          <w:sz w:val="24"/>
          <w:szCs w:val="24"/>
        </w:rPr>
        <w:t>磋商须知正文</w:t>
      </w:r>
    </w:p>
    <w:p w14:paraId="6F217F96">
      <w:pPr>
        <w:pStyle w:val="25"/>
        <w:adjustRightInd w:val="0"/>
        <w:snapToGrid w:val="0"/>
        <w:spacing w:after="124" w:line="360" w:lineRule="auto"/>
        <w:ind w:firstLine="1044" w:firstLineChars="435"/>
        <w:rPr>
          <w:rFonts w:hAnsi="宋体"/>
          <w:sz w:val="24"/>
          <w:szCs w:val="24"/>
        </w:rPr>
      </w:pPr>
      <w:r>
        <w:rPr>
          <w:rFonts w:hint="eastAsia" w:hAnsi="宋体"/>
          <w:sz w:val="24"/>
          <w:szCs w:val="24"/>
        </w:rPr>
        <w:t>一、说明</w:t>
      </w:r>
    </w:p>
    <w:p w14:paraId="32EF4A68">
      <w:pPr>
        <w:pStyle w:val="25"/>
        <w:adjustRightInd w:val="0"/>
        <w:snapToGrid w:val="0"/>
        <w:spacing w:after="124" w:line="360" w:lineRule="auto"/>
        <w:ind w:firstLine="1044" w:firstLineChars="435"/>
        <w:rPr>
          <w:rFonts w:hAnsi="宋体"/>
          <w:sz w:val="24"/>
          <w:szCs w:val="24"/>
        </w:rPr>
      </w:pPr>
      <w:r>
        <w:rPr>
          <w:rFonts w:hint="eastAsia" w:hAnsi="宋体"/>
          <w:sz w:val="24"/>
          <w:szCs w:val="24"/>
        </w:rPr>
        <w:t>二、磋商文件</w:t>
      </w:r>
    </w:p>
    <w:p w14:paraId="389817E7">
      <w:pPr>
        <w:pStyle w:val="25"/>
        <w:adjustRightInd w:val="0"/>
        <w:snapToGrid w:val="0"/>
        <w:spacing w:after="124" w:line="360" w:lineRule="auto"/>
        <w:ind w:firstLine="1044" w:firstLineChars="435"/>
        <w:rPr>
          <w:rFonts w:hAnsi="宋体"/>
          <w:sz w:val="24"/>
          <w:szCs w:val="24"/>
        </w:rPr>
      </w:pPr>
      <w:r>
        <w:rPr>
          <w:rFonts w:hint="eastAsia" w:hAnsi="宋体"/>
          <w:sz w:val="24"/>
          <w:szCs w:val="24"/>
        </w:rPr>
        <w:t>三、响应文件</w:t>
      </w:r>
    </w:p>
    <w:p w14:paraId="34F1F574">
      <w:pPr>
        <w:pStyle w:val="25"/>
        <w:adjustRightInd w:val="0"/>
        <w:snapToGrid w:val="0"/>
        <w:spacing w:after="124" w:line="360" w:lineRule="auto"/>
        <w:ind w:firstLine="1044" w:firstLineChars="435"/>
        <w:rPr>
          <w:rFonts w:hAnsi="宋体"/>
          <w:sz w:val="24"/>
          <w:szCs w:val="24"/>
        </w:rPr>
      </w:pPr>
      <w:r>
        <w:rPr>
          <w:rFonts w:hint="eastAsia" w:hAnsi="宋体"/>
          <w:sz w:val="24"/>
          <w:szCs w:val="24"/>
        </w:rPr>
        <w:t>四、响应文件的递交</w:t>
      </w:r>
    </w:p>
    <w:p w14:paraId="243B99F2">
      <w:pPr>
        <w:pStyle w:val="25"/>
        <w:adjustRightInd w:val="0"/>
        <w:snapToGrid w:val="0"/>
        <w:spacing w:after="124" w:line="360" w:lineRule="auto"/>
        <w:ind w:firstLine="1044" w:firstLineChars="435"/>
        <w:rPr>
          <w:rFonts w:hAnsi="宋体"/>
          <w:sz w:val="24"/>
          <w:szCs w:val="24"/>
        </w:rPr>
      </w:pPr>
      <w:r>
        <w:rPr>
          <w:rFonts w:hint="eastAsia" w:hAnsi="宋体"/>
          <w:sz w:val="24"/>
          <w:szCs w:val="24"/>
        </w:rPr>
        <w:t>五、响应文件的评审与磋商</w:t>
      </w:r>
    </w:p>
    <w:p w14:paraId="00923F72">
      <w:pPr>
        <w:pStyle w:val="25"/>
        <w:adjustRightInd w:val="0"/>
        <w:snapToGrid w:val="0"/>
        <w:spacing w:after="124" w:line="360" w:lineRule="auto"/>
        <w:ind w:firstLine="1044" w:firstLineChars="435"/>
        <w:rPr>
          <w:rFonts w:hAnsi="宋体"/>
          <w:sz w:val="24"/>
          <w:szCs w:val="24"/>
        </w:rPr>
      </w:pPr>
      <w:r>
        <w:rPr>
          <w:rFonts w:hint="eastAsia" w:hAnsi="宋体"/>
          <w:sz w:val="24"/>
          <w:szCs w:val="24"/>
        </w:rPr>
        <w:t>六、成交结果信息公布与授予合同</w:t>
      </w:r>
    </w:p>
    <w:p w14:paraId="1E8D5C78">
      <w:pPr>
        <w:pStyle w:val="25"/>
        <w:adjustRightInd w:val="0"/>
        <w:snapToGrid w:val="0"/>
        <w:spacing w:after="124" w:line="360" w:lineRule="auto"/>
        <w:ind w:firstLine="1044" w:firstLineChars="435"/>
        <w:rPr>
          <w:rFonts w:hAnsi="宋体"/>
          <w:sz w:val="24"/>
          <w:szCs w:val="24"/>
        </w:rPr>
      </w:pPr>
      <w:r>
        <w:rPr>
          <w:rFonts w:hint="eastAsia" w:hAnsi="宋体"/>
          <w:sz w:val="24"/>
          <w:szCs w:val="24"/>
        </w:rPr>
        <w:t>七、其他规定</w:t>
      </w:r>
    </w:p>
    <w:p w14:paraId="35AB8F5E">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第三章  评审方法及标准</w:t>
      </w:r>
    </w:p>
    <w:p w14:paraId="11453279">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第四章  政府采购合同格式</w:t>
      </w:r>
    </w:p>
    <w:p w14:paraId="53CC8D90">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第五章  采购需求</w:t>
      </w:r>
    </w:p>
    <w:p w14:paraId="32625E92">
      <w:pPr>
        <w:pStyle w:val="25"/>
        <w:adjustRightInd w:val="0"/>
        <w:snapToGrid w:val="0"/>
        <w:spacing w:after="124" w:line="360" w:lineRule="auto"/>
        <w:ind w:firstLine="1048" w:firstLineChars="435"/>
        <w:rPr>
          <w:rFonts w:hAnsi="宋体"/>
          <w:b/>
          <w:sz w:val="24"/>
          <w:szCs w:val="24"/>
        </w:rPr>
      </w:pPr>
      <w:r>
        <w:rPr>
          <w:rFonts w:hint="eastAsia" w:hAnsi="宋体"/>
          <w:b/>
          <w:sz w:val="24"/>
          <w:szCs w:val="24"/>
        </w:rPr>
        <w:t>第六章  响应文件组成</w:t>
      </w:r>
    </w:p>
    <w:p w14:paraId="16E68007">
      <w:pPr>
        <w:ind w:left="482" w:hanging="482"/>
        <w:rPr>
          <w:rFonts w:ascii="黑体" w:hAnsi="宋体" w:eastAsia="黑体"/>
          <w:b/>
          <w:sz w:val="32"/>
          <w:szCs w:val="32"/>
        </w:rPr>
      </w:pPr>
      <w:r>
        <w:rPr>
          <w:rFonts w:hint="eastAsia" w:ascii="黑体" w:hAnsi="宋体" w:eastAsia="黑体"/>
          <w:b/>
          <w:sz w:val="32"/>
          <w:szCs w:val="32"/>
        </w:rPr>
        <w:br w:type="page"/>
      </w:r>
    </w:p>
    <w:p w14:paraId="5964D67B">
      <w:pPr>
        <w:spacing w:after="124"/>
        <w:ind w:left="482" w:hanging="482"/>
        <w:jc w:val="center"/>
        <w:outlineLvl w:val="0"/>
        <w:rPr>
          <w:rFonts w:ascii="宋体" w:hAnsi="宋体" w:cs="宋体"/>
          <w:kern w:val="0"/>
          <w:szCs w:val="21"/>
        </w:rPr>
      </w:pPr>
      <w:r>
        <w:rPr>
          <w:rFonts w:hint="eastAsia" w:ascii="黑体" w:hAnsi="宋体" w:eastAsia="黑体"/>
          <w:b/>
          <w:sz w:val="32"/>
          <w:szCs w:val="32"/>
        </w:rPr>
        <w:t>第一章 磋商邀请</w:t>
      </w:r>
      <w:bookmarkEnd w:id="0"/>
    </w:p>
    <w:p w14:paraId="613F0125">
      <w:pPr>
        <w:pageBreakBefore w:val="0"/>
        <w:kinsoku/>
        <w:wordWrap/>
        <w:overflowPunct/>
        <w:topLinePunct w:val="0"/>
        <w:autoSpaceDE/>
        <w:autoSpaceDN/>
        <w:bidi w:val="0"/>
        <w:adjustRightInd w:val="0"/>
        <w:snapToGrid w:val="0"/>
        <w:spacing w:before="50" w:after="124" w:line="320" w:lineRule="exact"/>
        <w:ind w:firstLine="630" w:firstLineChars="300"/>
        <w:textAlignment w:val="auto"/>
        <w:rPr>
          <w:rFonts w:ascii="宋体" w:hAnsi="宋体"/>
          <w:szCs w:val="21"/>
        </w:rPr>
      </w:pPr>
      <w:r>
        <w:rPr>
          <w:rFonts w:hint="eastAsia" w:ascii="宋体" w:hAnsi="宋体"/>
          <w:szCs w:val="21"/>
          <w:u w:val="single"/>
        </w:rPr>
        <w:t>松涛片区综合管线改造工程</w:t>
      </w:r>
      <w:r>
        <w:rPr>
          <w:rFonts w:hint="eastAsia" w:ascii="宋体" w:hAnsi="宋体"/>
          <w:szCs w:val="21"/>
        </w:rPr>
        <w:t>进行竞争性磋商采购，现采用发布公告方式，邀请符合资格条件的供应商</w:t>
      </w:r>
      <w:r>
        <w:rPr>
          <w:rFonts w:hint="eastAsia" w:ascii="宋体" w:hAnsi="宋体" w:cs="宋体"/>
          <w:szCs w:val="21"/>
        </w:rPr>
        <w:t>参与竞争性磋商采购</w:t>
      </w:r>
      <w:r>
        <w:rPr>
          <w:rFonts w:hint="eastAsia" w:ascii="宋体" w:hAnsi="宋体"/>
          <w:szCs w:val="21"/>
        </w:rPr>
        <w:t>活动。</w:t>
      </w:r>
    </w:p>
    <w:p w14:paraId="3A7E8289">
      <w:pPr>
        <w:pStyle w:val="3"/>
        <w:pageBreakBefore w:val="0"/>
        <w:kinsoku/>
        <w:wordWrap/>
        <w:overflowPunct/>
        <w:topLinePunct w:val="0"/>
        <w:autoSpaceDE/>
        <w:autoSpaceDN/>
        <w:bidi w:val="0"/>
        <w:adjustRightInd w:val="0"/>
        <w:snapToGrid w:val="0"/>
        <w:spacing w:before="156" w:beforeLines="50" w:after="124" w:line="320" w:lineRule="exact"/>
        <w:ind w:left="316" w:hanging="316"/>
        <w:textAlignment w:val="auto"/>
      </w:pPr>
      <w:bookmarkStart w:id="1" w:name="_Toc22657511"/>
      <w:bookmarkStart w:id="2" w:name="_Toc10259"/>
      <w:r>
        <w:rPr>
          <w:rFonts w:hint="eastAsia"/>
        </w:rPr>
        <w:t>一、项目概况</w:t>
      </w:r>
      <w:bookmarkEnd w:id="1"/>
      <w:bookmarkEnd w:id="2"/>
    </w:p>
    <w:p w14:paraId="147BAFB1">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szCs w:val="21"/>
        </w:rPr>
      </w:pPr>
      <w:r>
        <w:rPr>
          <w:rFonts w:hint="eastAsia" w:ascii="宋体" w:hAnsi="宋体"/>
          <w:szCs w:val="21"/>
        </w:rPr>
        <w:t>1、采购项目名称：</w:t>
      </w:r>
      <w:r>
        <w:rPr>
          <w:rFonts w:hint="eastAsia" w:ascii="宋体" w:hAnsi="宋体"/>
          <w:szCs w:val="21"/>
          <w:u w:val="single"/>
        </w:rPr>
        <w:t>松涛片区综合管线改造工程</w:t>
      </w:r>
    </w:p>
    <w:p w14:paraId="52B04FAC">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hint="eastAsia" w:ascii="宋体" w:hAnsi="宋体"/>
          <w:szCs w:val="21"/>
          <w:lang w:eastAsia="zh-CN"/>
        </w:rPr>
      </w:pPr>
      <w:r>
        <w:rPr>
          <w:rFonts w:hint="eastAsia" w:ascii="宋体" w:hAnsi="宋体"/>
          <w:szCs w:val="21"/>
        </w:rPr>
        <w:t>2、</w:t>
      </w:r>
      <w:r>
        <w:rPr>
          <w:rFonts w:hint="eastAsia" w:ascii="宋体" w:hAnsi="宋体"/>
          <w:szCs w:val="21"/>
          <w:lang w:eastAsia="zh-CN"/>
        </w:rPr>
        <w:t>政府采购编号：</w:t>
      </w:r>
      <w:r>
        <w:rPr>
          <w:rFonts w:hint="eastAsia" w:ascii="宋体" w:hAnsi="宋体"/>
          <w:szCs w:val="21"/>
          <w:u w:val="single"/>
          <w:lang w:val="en-US" w:eastAsia="zh-CN"/>
        </w:rPr>
        <w:t>(2026)430000003479-1</w:t>
      </w:r>
    </w:p>
    <w:p w14:paraId="0DB68487">
      <w:pPr>
        <w:pageBreakBefore w:val="0"/>
        <w:kinsoku/>
        <w:wordWrap/>
        <w:overflowPunct/>
        <w:topLinePunct w:val="0"/>
        <w:autoSpaceDE/>
        <w:autoSpaceDN/>
        <w:bidi w:val="0"/>
        <w:adjustRightInd w:val="0"/>
        <w:snapToGrid w:val="0"/>
        <w:spacing w:before="50" w:after="124" w:line="320" w:lineRule="exact"/>
        <w:ind w:firstLine="630" w:firstLineChars="300"/>
        <w:textAlignment w:val="auto"/>
        <w:rPr>
          <w:rFonts w:hint="eastAsia" w:ascii="宋体" w:hAnsi="宋体" w:eastAsia="宋体"/>
          <w:szCs w:val="21"/>
          <w:lang w:eastAsia="zh-CN"/>
        </w:rPr>
      </w:pPr>
      <w:r>
        <w:rPr>
          <w:rFonts w:hint="eastAsia" w:ascii="宋体" w:hAnsi="宋体"/>
          <w:szCs w:val="21"/>
        </w:rPr>
        <w:t>采购代理编号：</w:t>
      </w:r>
      <w:r>
        <w:rPr>
          <w:rFonts w:hint="eastAsia" w:ascii="宋体" w:hAnsi="宋体"/>
          <w:szCs w:val="21"/>
          <w:u w:val="single"/>
          <w:lang w:eastAsia="zh-CN"/>
        </w:rPr>
        <w:t>LYZC-20261001</w:t>
      </w:r>
    </w:p>
    <w:p w14:paraId="073EDA19">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szCs w:val="21"/>
        </w:rPr>
      </w:pPr>
      <w:r>
        <w:rPr>
          <w:rFonts w:hint="eastAsia" w:ascii="宋体" w:hAnsi="宋体"/>
          <w:szCs w:val="21"/>
        </w:rPr>
        <w:t>3、评标办法：综合评分法</w:t>
      </w:r>
    </w:p>
    <w:p w14:paraId="2CEE601D">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szCs w:val="21"/>
        </w:rPr>
      </w:pPr>
      <w:r>
        <w:rPr>
          <w:rFonts w:hint="eastAsia" w:ascii="宋体" w:hAnsi="宋体"/>
          <w:szCs w:val="21"/>
        </w:rPr>
        <w:t>4、采购项目标的、数量及预算：</w:t>
      </w:r>
    </w:p>
    <w:p w14:paraId="405D6F78">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color w:val="auto"/>
          <w:szCs w:val="21"/>
        </w:rPr>
      </w:pPr>
      <w:r>
        <w:rPr>
          <w:rFonts w:hint="eastAsia" w:ascii="宋体" w:hAnsi="宋体"/>
          <w:szCs w:val="21"/>
        </w:rPr>
        <w:t>本项目采购总预算为</w:t>
      </w:r>
      <w:r>
        <w:rPr>
          <w:rFonts w:hint="eastAsia" w:ascii="宋体" w:hAnsi="宋体"/>
          <w:szCs w:val="21"/>
          <w:lang w:val="en-US" w:eastAsia="zh-CN"/>
        </w:rPr>
        <w:t>3320000</w:t>
      </w:r>
      <w:r>
        <w:rPr>
          <w:rFonts w:hint="eastAsia" w:ascii="宋体" w:hAnsi="宋体"/>
          <w:szCs w:val="21"/>
        </w:rPr>
        <w:t>元，最高</w:t>
      </w:r>
      <w:r>
        <w:rPr>
          <w:rFonts w:hint="eastAsia" w:ascii="宋体" w:hAnsi="宋体"/>
          <w:color w:val="auto"/>
          <w:szCs w:val="21"/>
        </w:rPr>
        <w:t>限价为3221207.39元（</w:t>
      </w:r>
      <w:r>
        <w:rPr>
          <w:rFonts w:hint="eastAsia" w:ascii="宋体" w:hAnsi="宋体"/>
          <w:color w:val="auto"/>
          <w:szCs w:val="21"/>
          <w:lang w:val="en-US" w:eastAsia="zh-CN"/>
        </w:rPr>
        <w:t>其中</w:t>
      </w:r>
      <w:r>
        <w:rPr>
          <w:rFonts w:hint="eastAsia" w:ascii="宋体" w:hAnsi="宋体"/>
          <w:color w:val="auto"/>
          <w:szCs w:val="21"/>
        </w:rPr>
        <w:t>暂</w:t>
      </w:r>
      <w:r>
        <w:rPr>
          <w:rFonts w:hint="eastAsia" w:ascii="宋体" w:hAnsi="宋体"/>
          <w:color w:val="auto"/>
          <w:szCs w:val="21"/>
          <w:lang w:val="en-US" w:eastAsia="zh-CN"/>
        </w:rPr>
        <w:t>列金额134222.11元</w:t>
      </w:r>
      <w:r>
        <w:rPr>
          <w:rFonts w:hint="eastAsia" w:ascii="宋体" w:hAnsi="宋体"/>
          <w:color w:val="auto"/>
          <w:szCs w:val="21"/>
        </w:rPr>
        <w:t>）。本项目按合格供应商的综合得分由高到低排序，确定一家成交单位。</w:t>
      </w:r>
    </w:p>
    <w:tbl>
      <w:tblPr>
        <w:tblStyle w:val="47"/>
        <w:tblpPr w:leftFromText="180" w:rightFromText="180" w:vertAnchor="text" w:horzAnchor="page" w:tblpXSpec="center" w:tblpY="342"/>
        <w:tblOverlap w:val="never"/>
        <w:tblW w:w="549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6"/>
        <w:gridCol w:w="3384"/>
        <w:gridCol w:w="3025"/>
        <w:gridCol w:w="2358"/>
      </w:tblGrid>
      <w:tr w14:paraId="582C0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648" w:type="pct"/>
            <w:vAlign w:val="center"/>
          </w:tcPr>
          <w:p w14:paraId="710227A4">
            <w:pPr>
              <w:pageBreakBefore w:val="0"/>
              <w:widowControl/>
              <w:kinsoku/>
              <w:wordWrap/>
              <w:overflowPunct/>
              <w:topLinePunct w:val="0"/>
              <w:autoSpaceDE/>
              <w:autoSpaceDN/>
              <w:bidi w:val="0"/>
              <w:adjustRightInd w:val="0"/>
              <w:snapToGrid w:val="0"/>
              <w:spacing w:after="124" w:line="320" w:lineRule="exact"/>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包/品目名</w:t>
            </w:r>
          </w:p>
        </w:tc>
        <w:tc>
          <w:tcPr>
            <w:tcW w:w="1679" w:type="pct"/>
            <w:vAlign w:val="center"/>
          </w:tcPr>
          <w:p w14:paraId="4C245F4C">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标的名称</w:t>
            </w:r>
          </w:p>
        </w:tc>
        <w:tc>
          <w:tcPr>
            <w:tcW w:w="1501" w:type="pct"/>
            <w:vAlign w:val="center"/>
          </w:tcPr>
          <w:p w14:paraId="726B9994">
            <w:pPr>
              <w:pageBreakBefore w:val="0"/>
              <w:widowControl/>
              <w:kinsoku/>
              <w:wordWrap/>
              <w:overflowPunct/>
              <w:topLinePunct w:val="0"/>
              <w:autoSpaceDE/>
              <w:autoSpaceDN/>
              <w:bidi w:val="0"/>
              <w:adjustRightInd w:val="0"/>
              <w:snapToGrid w:val="0"/>
              <w:spacing w:after="124" w:line="320" w:lineRule="exact"/>
              <w:jc w:val="center"/>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最高限价（元）</w:t>
            </w:r>
          </w:p>
        </w:tc>
        <w:tc>
          <w:tcPr>
            <w:tcW w:w="1170" w:type="pct"/>
            <w:vAlign w:val="center"/>
          </w:tcPr>
          <w:p w14:paraId="625D988F">
            <w:pPr>
              <w:pageBreakBefore w:val="0"/>
              <w:widowControl/>
              <w:kinsoku/>
              <w:wordWrap/>
              <w:overflowPunct/>
              <w:topLinePunct w:val="0"/>
              <w:autoSpaceDE/>
              <w:autoSpaceDN/>
              <w:bidi w:val="0"/>
              <w:adjustRightInd w:val="0"/>
              <w:snapToGrid w:val="0"/>
              <w:spacing w:after="124" w:line="320" w:lineRule="exact"/>
              <w:jc w:val="center"/>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代理服务费限价（元）</w:t>
            </w:r>
          </w:p>
        </w:tc>
      </w:tr>
      <w:tr w14:paraId="13FB5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jc w:val="center"/>
        </w:trPr>
        <w:tc>
          <w:tcPr>
            <w:tcW w:w="648" w:type="pct"/>
            <w:vAlign w:val="center"/>
          </w:tcPr>
          <w:p w14:paraId="4C3194CA">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整包</w:t>
            </w:r>
          </w:p>
        </w:tc>
        <w:tc>
          <w:tcPr>
            <w:tcW w:w="1679" w:type="pct"/>
            <w:vAlign w:val="center"/>
          </w:tcPr>
          <w:p w14:paraId="10CC9440">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湘松涛片区综合管线改造工程</w:t>
            </w:r>
          </w:p>
        </w:tc>
        <w:tc>
          <w:tcPr>
            <w:tcW w:w="1501" w:type="pct"/>
            <w:vAlign w:val="center"/>
          </w:tcPr>
          <w:p w14:paraId="677CDAC9">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hint="default"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3221207.39元</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其中</w:t>
            </w:r>
            <w:r>
              <w:rPr>
                <w:rFonts w:hint="eastAsia" w:asciiTheme="minorEastAsia" w:hAnsiTheme="minorEastAsia" w:eastAsiaTheme="minorEastAsia" w:cstheme="minorEastAsia"/>
                <w:color w:val="auto"/>
                <w:szCs w:val="21"/>
              </w:rPr>
              <w:t>暂</w:t>
            </w:r>
            <w:r>
              <w:rPr>
                <w:rFonts w:hint="eastAsia" w:asciiTheme="minorEastAsia" w:hAnsiTheme="minorEastAsia" w:eastAsiaTheme="minorEastAsia" w:cstheme="minorEastAsia"/>
                <w:color w:val="auto"/>
                <w:szCs w:val="21"/>
                <w:lang w:val="en-US" w:eastAsia="zh-CN"/>
              </w:rPr>
              <w:t>列金额134222.11元）</w:t>
            </w:r>
          </w:p>
        </w:tc>
        <w:tc>
          <w:tcPr>
            <w:tcW w:w="1170" w:type="pct"/>
            <w:vAlign w:val="center"/>
          </w:tcPr>
          <w:p w14:paraId="4C9C5A1D">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17883.92 元</w:t>
            </w:r>
          </w:p>
        </w:tc>
      </w:tr>
    </w:tbl>
    <w:p w14:paraId="542BC735">
      <w:pPr>
        <w:rPr>
          <w:rFonts w:hint="eastAsia"/>
        </w:rPr>
      </w:pPr>
    </w:p>
    <w:p w14:paraId="2337FB24">
      <w:pPr>
        <w:rPr>
          <w:rFonts w:hint="eastAsia"/>
        </w:rPr>
      </w:pPr>
    </w:p>
    <w:p w14:paraId="082394E2">
      <w:pPr>
        <w:pStyle w:val="3"/>
        <w:pageBreakBefore w:val="0"/>
        <w:numPr>
          <w:ilvl w:val="0"/>
          <w:numId w:val="1"/>
        </w:numPr>
        <w:kinsoku/>
        <w:wordWrap/>
        <w:overflowPunct/>
        <w:topLinePunct w:val="0"/>
        <w:autoSpaceDE/>
        <w:autoSpaceDN/>
        <w:bidi w:val="0"/>
        <w:adjustRightInd w:val="0"/>
        <w:snapToGrid w:val="0"/>
        <w:spacing w:before="50" w:after="124" w:line="320" w:lineRule="exact"/>
        <w:ind w:left="316" w:hanging="316"/>
        <w:textAlignment w:val="auto"/>
        <w:rPr>
          <w:rFonts w:hint="eastAsia"/>
        </w:rPr>
      </w:pPr>
      <w:bookmarkStart w:id="3" w:name="_Toc8821"/>
      <w:bookmarkStart w:id="4" w:name="_Toc22657512"/>
      <w:r>
        <w:rPr>
          <w:rFonts w:hint="eastAsia"/>
        </w:rPr>
        <w:t>采购人的采购需求</w:t>
      </w:r>
      <w:bookmarkEnd w:id="3"/>
      <w:bookmarkEnd w:id="4"/>
    </w:p>
    <w:tbl>
      <w:tblPr>
        <w:tblStyle w:val="47"/>
        <w:tblW w:w="5485" w:type="pct"/>
        <w:jc w:val="center"/>
        <w:tblLayout w:type="autofit"/>
        <w:tblCellMar>
          <w:top w:w="0" w:type="dxa"/>
          <w:left w:w="108" w:type="dxa"/>
          <w:bottom w:w="0" w:type="dxa"/>
          <w:right w:w="108" w:type="dxa"/>
        </w:tblCellMar>
      </w:tblPr>
      <w:tblGrid>
        <w:gridCol w:w="2120"/>
        <w:gridCol w:w="3001"/>
        <w:gridCol w:w="4954"/>
      </w:tblGrid>
      <w:tr w14:paraId="1E2BD163">
        <w:tblPrEx>
          <w:tblCellMar>
            <w:top w:w="0" w:type="dxa"/>
            <w:left w:w="108" w:type="dxa"/>
            <w:bottom w:w="0" w:type="dxa"/>
            <w:right w:w="108" w:type="dxa"/>
          </w:tblCellMar>
        </w:tblPrEx>
        <w:trPr>
          <w:trHeight w:val="649" w:hRule="atLeast"/>
          <w:jc w:val="center"/>
        </w:trPr>
        <w:tc>
          <w:tcPr>
            <w:tcW w:w="1052" w:type="pct"/>
            <w:vMerge w:val="restart"/>
            <w:tcBorders>
              <w:top w:val="single" w:color="000000" w:sz="8" w:space="0"/>
              <w:left w:val="single" w:color="000000" w:sz="8" w:space="0"/>
              <w:bottom w:val="single" w:color="000000" w:sz="8" w:space="0"/>
              <w:right w:val="single" w:color="000000" w:sz="8" w:space="0"/>
            </w:tcBorders>
            <w:vAlign w:val="center"/>
          </w:tcPr>
          <w:p w14:paraId="3B573575">
            <w:pPr>
              <w:pageBreakBefore w:val="0"/>
              <w:widowControl/>
              <w:kinsoku/>
              <w:wordWrap/>
              <w:overflowPunct/>
              <w:topLinePunct w:val="0"/>
              <w:autoSpaceDE/>
              <w:autoSpaceDN/>
              <w:bidi w:val="0"/>
              <w:adjustRightInd w:val="0"/>
              <w:snapToGrid w:val="0"/>
              <w:spacing w:after="124" w:line="320" w:lineRule="exact"/>
              <w:ind w:firstLine="315" w:firstLineChars="150"/>
              <w:textAlignment w:val="auto"/>
              <w:rPr>
                <w:rFonts w:ascii="宋体" w:hAnsi="宋体"/>
                <w:szCs w:val="21"/>
              </w:rPr>
            </w:pPr>
            <w:bookmarkStart w:id="5" w:name="_Toc22657516"/>
            <w:r>
              <w:rPr>
                <w:rFonts w:hint="eastAsia" w:ascii="宋体" w:hAnsi="宋体"/>
                <w:szCs w:val="21"/>
              </w:rPr>
              <w:t>标的物名称</w:t>
            </w:r>
          </w:p>
        </w:tc>
        <w:tc>
          <w:tcPr>
            <w:tcW w:w="3947" w:type="pct"/>
            <w:gridSpan w:val="2"/>
            <w:tcBorders>
              <w:top w:val="single" w:color="000000" w:sz="8" w:space="0"/>
              <w:left w:val="nil"/>
              <w:bottom w:val="single" w:color="auto" w:sz="8" w:space="0"/>
              <w:right w:val="single" w:color="000000" w:sz="8" w:space="0"/>
            </w:tcBorders>
            <w:vAlign w:val="center"/>
          </w:tcPr>
          <w:p w14:paraId="5AFC15F2">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标的主要需求</w:t>
            </w:r>
          </w:p>
        </w:tc>
      </w:tr>
      <w:tr w14:paraId="202B2474">
        <w:tblPrEx>
          <w:tblCellMar>
            <w:top w:w="0" w:type="dxa"/>
            <w:left w:w="108" w:type="dxa"/>
            <w:bottom w:w="0" w:type="dxa"/>
            <w:right w:w="108" w:type="dxa"/>
          </w:tblCellMar>
        </w:tblPrEx>
        <w:trPr>
          <w:trHeight w:val="256" w:hRule="atLeast"/>
          <w:jc w:val="center"/>
        </w:trPr>
        <w:tc>
          <w:tcPr>
            <w:tcW w:w="1052" w:type="pct"/>
            <w:vMerge w:val="continue"/>
            <w:tcBorders>
              <w:top w:val="single" w:color="000000" w:sz="8" w:space="0"/>
              <w:left w:val="single" w:color="000000" w:sz="8" w:space="0"/>
              <w:bottom w:val="single" w:color="000000" w:sz="8" w:space="0"/>
              <w:right w:val="single" w:color="000000" w:sz="8" w:space="0"/>
            </w:tcBorders>
            <w:vAlign w:val="center"/>
          </w:tcPr>
          <w:p w14:paraId="51BDC05E">
            <w:pPr>
              <w:pageBreakBefore w:val="0"/>
              <w:widowControl/>
              <w:kinsoku/>
              <w:wordWrap/>
              <w:overflowPunct/>
              <w:topLinePunct w:val="0"/>
              <w:autoSpaceDE/>
              <w:autoSpaceDN/>
              <w:bidi w:val="0"/>
              <w:adjustRightInd w:val="0"/>
              <w:snapToGrid w:val="0"/>
              <w:spacing w:after="124" w:line="320" w:lineRule="exact"/>
              <w:ind w:hanging="315"/>
              <w:jc w:val="left"/>
              <w:textAlignment w:val="auto"/>
              <w:rPr>
                <w:rFonts w:ascii="宋体" w:hAnsi="宋体"/>
                <w:szCs w:val="21"/>
              </w:rPr>
            </w:pPr>
          </w:p>
        </w:tc>
        <w:tc>
          <w:tcPr>
            <w:tcW w:w="1489" w:type="pct"/>
            <w:tcBorders>
              <w:top w:val="nil"/>
              <w:left w:val="nil"/>
              <w:bottom w:val="single" w:color="000000" w:sz="8" w:space="0"/>
              <w:right w:val="single" w:color="auto" w:sz="8" w:space="0"/>
            </w:tcBorders>
            <w:vAlign w:val="center"/>
          </w:tcPr>
          <w:p w14:paraId="101FEFCF">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服务要求</w:t>
            </w:r>
          </w:p>
        </w:tc>
        <w:tc>
          <w:tcPr>
            <w:tcW w:w="2458" w:type="pct"/>
            <w:tcBorders>
              <w:top w:val="nil"/>
              <w:left w:val="nil"/>
              <w:bottom w:val="single" w:color="000000" w:sz="8" w:space="0"/>
              <w:right w:val="single" w:color="000000" w:sz="8" w:space="0"/>
            </w:tcBorders>
            <w:vAlign w:val="center"/>
          </w:tcPr>
          <w:p w14:paraId="1D591E2C">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合同条款</w:t>
            </w:r>
          </w:p>
        </w:tc>
      </w:tr>
      <w:tr w14:paraId="0B4B37AD">
        <w:tblPrEx>
          <w:tblCellMar>
            <w:top w:w="0" w:type="dxa"/>
            <w:left w:w="108" w:type="dxa"/>
            <w:bottom w:w="0" w:type="dxa"/>
            <w:right w:w="108" w:type="dxa"/>
          </w:tblCellMar>
        </w:tblPrEx>
        <w:trPr>
          <w:trHeight w:val="4331" w:hRule="exact"/>
          <w:jc w:val="center"/>
        </w:trPr>
        <w:tc>
          <w:tcPr>
            <w:tcW w:w="1052" w:type="pct"/>
            <w:tcBorders>
              <w:top w:val="single" w:color="000000" w:sz="8" w:space="0"/>
              <w:left w:val="single" w:color="000000" w:sz="8" w:space="0"/>
              <w:bottom w:val="single" w:color="000000" w:sz="8" w:space="0"/>
              <w:right w:val="single" w:color="000000" w:sz="8" w:space="0"/>
            </w:tcBorders>
            <w:vAlign w:val="center"/>
          </w:tcPr>
          <w:p w14:paraId="3CA7BAE2">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r>
              <w:rPr>
                <w:rFonts w:hint="eastAsia" w:ascii="宋体" w:hAnsi="宋体"/>
                <w:color w:val="auto"/>
                <w:szCs w:val="21"/>
                <w:highlight w:val="none"/>
              </w:rPr>
              <w:t>松涛片区综合管线改造工程</w:t>
            </w:r>
          </w:p>
          <w:p w14:paraId="36BAA15C">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tc>
        <w:tc>
          <w:tcPr>
            <w:tcW w:w="1489" w:type="pct"/>
            <w:tcBorders>
              <w:top w:val="single" w:color="000000" w:sz="8" w:space="0"/>
              <w:left w:val="single" w:color="000000" w:sz="8" w:space="0"/>
              <w:bottom w:val="single" w:color="000000" w:sz="8" w:space="0"/>
              <w:right w:val="single" w:color="000000" w:sz="8" w:space="0"/>
            </w:tcBorders>
            <w:vAlign w:val="center"/>
          </w:tcPr>
          <w:p w14:paraId="5A1017F0">
            <w:pPr>
              <w:pageBreakBefore w:val="0"/>
              <w:widowControl/>
              <w:kinsoku/>
              <w:wordWrap/>
              <w:overflowPunct/>
              <w:topLinePunct w:val="0"/>
              <w:autoSpaceDE/>
              <w:autoSpaceDN/>
              <w:bidi w:val="0"/>
              <w:spacing w:after="124" w:line="320" w:lineRule="exact"/>
              <w:textAlignment w:val="auto"/>
              <w:rPr>
                <w:rFonts w:ascii="宋体" w:hAnsi="宋体"/>
                <w:color w:val="auto"/>
                <w:szCs w:val="21"/>
                <w:highlight w:val="none"/>
              </w:rPr>
            </w:pPr>
          </w:p>
          <w:p w14:paraId="176AC304">
            <w:pPr>
              <w:pageBreakBefore w:val="0"/>
              <w:widowControl/>
              <w:kinsoku/>
              <w:wordWrap/>
              <w:overflowPunct/>
              <w:topLinePunct w:val="0"/>
              <w:autoSpaceDE/>
              <w:autoSpaceDN/>
              <w:bidi w:val="0"/>
              <w:spacing w:after="124" w:line="320" w:lineRule="exact"/>
              <w:textAlignment w:val="auto"/>
              <w:rPr>
                <w:rFonts w:ascii="宋体" w:hAnsi="宋体"/>
                <w:color w:val="auto"/>
                <w:szCs w:val="21"/>
                <w:highlight w:val="none"/>
              </w:rPr>
            </w:pPr>
          </w:p>
          <w:p w14:paraId="0A450A3E">
            <w:pPr>
              <w:pageBreakBefore w:val="0"/>
              <w:widowControl/>
              <w:kinsoku/>
              <w:wordWrap/>
              <w:overflowPunct/>
              <w:topLinePunct w:val="0"/>
              <w:autoSpaceDE/>
              <w:autoSpaceDN/>
              <w:bidi w:val="0"/>
              <w:spacing w:after="124" w:line="320" w:lineRule="exact"/>
              <w:textAlignment w:val="auto"/>
              <w:rPr>
                <w:rFonts w:ascii="宋体" w:hAnsi="宋体"/>
                <w:color w:val="auto"/>
                <w:szCs w:val="21"/>
                <w:highlight w:val="none"/>
              </w:rPr>
            </w:pPr>
          </w:p>
          <w:p w14:paraId="038E2C0E">
            <w:pPr>
              <w:pageBreakBefore w:val="0"/>
              <w:widowControl/>
              <w:kinsoku/>
              <w:wordWrap/>
              <w:overflowPunct/>
              <w:topLinePunct w:val="0"/>
              <w:autoSpaceDE/>
              <w:autoSpaceDN/>
              <w:bidi w:val="0"/>
              <w:spacing w:after="124" w:line="320" w:lineRule="exact"/>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主要内容包括</w:t>
            </w:r>
            <w:r>
              <w:rPr>
                <w:rFonts w:hint="eastAsia" w:ascii="宋体" w:hAnsi="宋体"/>
                <w:color w:val="auto"/>
                <w:szCs w:val="21"/>
                <w:highlight w:val="none"/>
              </w:rPr>
              <w:t>：详见工程量清单。</w:t>
            </w:r>
          </w:p>
          <w:p w14:paraId="7C52B26F">
            <w:pPr>
              <w:pageBreakBefore w:val="0"/>
              <w:widowControl/>
              <w:kinsoku/>
              <w:wordWrap/>
              <w:overflowPunct/>
              <w:topLinePunct w:val="0"/>
              <w:autoSpaceDE/>
              <w:autoSpaceDN/>
              <w:bidi w:val="0"/>
              <w:spacing w:after="124" w:line="320" w:lineRule="exact"/>
              <w:textAlignment w:val="auto"/>
              <w:rPr>
                <w:rFonts w:ascii="宋体" w:hAnsi="宋体"/>
                <w:color w:val="auto"/>
                <w:szCs w:val="21"/>
                <w:highlight w:val="none"/>
              </w:rPr>
            </w:pPr>
            <w:r>
              <w:rPr>
                <w:rFonts w:hint="eastAsia" w:ascii="宋体" w:hAnsi="宋体"/>
                <w:color w:val="auto"/>
                <w:szCs w:val="21"/>
                <w:highlight w:val="none"/>
              </w:rPr>
              <w:t>2.质量要求：合格工程</w:t>
            </w:r>
          </w:p>
          <w:p w14:paraId="53645B3B">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r>
              <w:rPr>
                <w:rFonts w:hint="eastAsia" w:ascii="宋体" w:hAnsi="宋体"/>
                <w:color w:val="auto"/>
                <w:szCs w:val="21"/>
                <w:highlight w:val="none"/>
              </w:rPr>
              <w:t>3.保修要求：按建设部【2000】80号令相关保修规定。</w:t>
            </w:r>
          </w:p>
          <w:p w14:paraId="688AA41A">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67468825">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1747CCF5">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4B130DCA">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661FF47B">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2B0784E9">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01BEF988">
            <w:pPr>
              <w:pageBreakBefore w:val="0"/>
              <w:kinsoku/>
              <w:wordWrap/>
              <w:overflowPunct/>
              <w:topLinePunct w:val="0"/>
              <w:autoSpaceDE/>
              <w:autoSpaceDN/>
              <w:bidi w:val="0"/>
              <w:spacing w:after="124" w:line="320" w:lineRule="exact"/>
              <w:textAlignment w:val="auto"/>
              <w:rPr>
                <w:rFonts w:ascii="宋体" w:hAnsi="宋体"/>
                <w:color w:val="auto"/>
                <w:szCs w:val="21"/>
                <w:highlight w:val="none"/>
              </w:rPr>
            </w:pPr>
          </w:p>
          <w:p w14:paraId="7AF756EE">
            <w:pPr>
              <w:pageBreakBefore w:val="0"/>
              <w:kinsoku/>
              <w:wordWrap/>
              <w:overflowPunct/>
              <w:topLinePunct w:val="0"/>
              <w:autoSpaceDE/>
              <w:autoSpaceDN/>
              <w:bidi w:val="0"/>
              <w:spacing w:after="124" w:line="320" w:lineRule="exact"/>
              <w:textAlignment w:val="auto"/>
              <w:rPr>
                <w:rFonts w:hint="eastAsia" w:ascii="宋体" w:hAnsi="宋体"/>
                <w:color w:val="auto"/>
                <w:szCs w:val="21"/>
                <w:highlight w:val="none"/>
              </w:rPr>
            </w:pPr>
          </w:p>
        </w:tc>
        <w:tc>
          <w:tcPr>
            <w:tcW w:w="2458" w:type="pct"/>
            <w:tcBorders>
              <w:top w:val="single" w:color="000000" w:sz="8" w:space="0"/>
              <w:left w:val="single" w:color="000000" w:sz="8" w:space="0"/>
              <w:bottom w:val="single" w:color="auto" w:sz="4" w:space="0"/>
              <w:right w:val="single" w:color="000000" w:sz="8" w:space="0"/>
            </w:tcBorders>
            <w:vAlign w:val="center"/>
          </w:tcPr>
          <w:p w14:paraId="6D038FB2">
            <w:pPr>
              <w:pageBreakBefore w:val="0"/>
              <w:kinsoku/>
              <w:wordWrap/>
              <w:overflowPunct/>
              <w:topLinePunct w:val="0"/>
              <w:autoSpaceDE/>
              <w:autoSpaceDN/>
              <w:bidi w:val="0"/>
              <w:spacing w:after="124" w:line="320" w:lineRule="exact"/>
              <w:textAlignment w:val="auto"/>
              <w:rPr>
                <w:color w:val="auto"/>
                <w:highlight w:val="none"/>
              </w:rPr>
            </w:pPr>
            <w:r>
              <w:rPr>
                <w:rFonts w:hint="eastAsia"/>
                <w:color w:val="auto"/>
                <w:highlight w:val="none"/>
              </w:rPr>
              <w:t>1、工期要求：</w:t>
            </w:r>
            <w:r>
              <w:rPr>
                <w:rFonts w:hint="eastAsia" w:hAnsi="宋体"/>
                <w:color w:val="auto"/>
                <w:kern w:val="0"/>
                <w:highlight w:val="none"/>
              </w:rPr>
              <w:t>自合同签订之日起45日历天完成合同工程。</w:t>
            </w:r>
          </w:p>
          <w:p w14:paraId="33EE6517">
            <w:pPr>
              <w:pageBreakBefore w:val="0"/>
              <w:kinsoku/>
              <w:wordWrap/>
              <w:overflowPunct/>
              <w:topLinePunct w:val="0"/>
              <w:autoSpaceDE/>
              <w:autoSpaceDN/>
              <w:bidi w:val="0"/>
              <w:spacing w:line="320" w:lineRule="exact"/>
              <w:textAlignment w:val="auto"/>
              <w:rPr>
                <w:rFonts w:eastAsia="仿宋"/>
                <w:color w:val="auto"/>
                <w:sz w:val="26"/>
                <w:szCs w:val="28"/>
                <w:highlight w:val="none"/>
              </w:rPr>
            </w:pPr>
            <w:r>
              <w:rPr>
                <w:rFonts w:hint="eastAsia"/>
                <w:color w:val="auto"/>
                <w:highlight w:val="none"/>
              </w:rPr>
              <w:t>2、付款方式：</w:t>
            </w:r>
            <w:r>
              <w:rPr>
                <w:rFonts w:hint="eastAsia" w:ascii="宋体" w:hAnsi="宋体" w:cs="宋体"/>
                <w:color w:val="auto"/>
                <w:szCs w:val="21"/>
                <w:highlight w:val="none"/>
              </w:rPr>
              <w:t>本工程不支付进度款，整个工程完成并正式竣工验收合格后，付至合同价款（</w:t>
            </w:r>
            <w:r>
              <w:rPr>
                <w:rFonts w:hint="eastAsia" w:ascii="宋体" w:hAnsi="宋体"/>
                <w:color w:val="auto"/>
                <w:szCs w:val="21"/>
                <w:highlight w:val="none"/>
              </w:rPr>
              <w:t>扣减暂列金额和原合同范围内取消的工作</w:t>
            </w:r>
            <w:r>
              <w:rPr>
                <w:rFonts w:hint="eastAsia" w:ascii="宋体" w:hAnsi="宋体" w:cs="宋体"/>
                <w:color w:val="auto"/>
                <w:szCs w:val="21"/>
                <w:highlight w:val="none"/>
              </w:rPr>
              <w:t>）的</w:t>
            </w:r>
            <w:r>
              <w:rPr>
                <w:rFonts w:ascii="宋体" w:hAnsi="宋体" w:cs="宋体"/>
                <w:color w:val="auto"/>
                <w:szCs w:val="21"/>
                <w:highlight w:val="none"/>
              </w:rPr>
              <w:t>5</w:t>
            </w:r>
            <w:r>
              <w:rPr>
                <w:rFonts w:hint="eastAsia" w:ascii="宋体" w:hAnsi="宋体" w:cs="宋体"/>
                <w:color w:val="auto"/>
                <w:szCs w:val="21"/>
                <w:highlight w:val="none"/>
              </w:rPr>
              <w:t>0%；承包人向学校审计部门提交基建工程竣工结算验证清单所需资料后，付至合同价款（</w:t>
            </w:r>
            <w:r>
              <w:rPr>
                <w:rFonts w:hint="eastAsia" w:ascii="宋体" w:hAnsi="宋体"/>
                <w:color w:val="auto"/>
                <w:szCs w:val="21"/>
                <w:highlight w:val="none"/>
              </w:rPr>
              <w:t>扣减暂列金额和原合同范围内取消的工作</w:t>
            </w:r>
            <w:r>
              <w:rPr>
                <w:rFonts w:hint="eastAsia" w:ascii="宋体" w:hAnsi="宋体" w:cs="宋体"/>
                <w:color w:val="auto"/>
                <w:szCs w:val="21"/>
                <w:highlight w:val="none"/>
              </w:rPr>
              <w:t>）的8</w:t>
            </w:r>
            <w:r>
              <w:rPr>
                <w:rFonts w:ascii="宋体" w:hAnsi="宋体" w:cs="宋体"/>
                <w:color w:val="auto"/>
                <w:szCs w:val="21"/>
                <w:highlight w:val="none"/>
              </w:rPr>
              <w:t>0</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学校审计部门</w:t>
            </w:r>
            <w:r>
              <w:rPr>
                <w:rFonts w:hint="eastAsia" w:ascii="宋体" w:hAnsi="宋体" w:cs="宋体"/>
                <w:color w:val="auto"/>
                <w:szCs w:val="21"/>
                <w:highlight w:val="none"/>
              </w:rPr>
              <w:t>审定后，承包人向发包人档案室移交备案证及全套工程资料后</w:t>
            </w:r>
            <w:r>
              <w:rPr>
                <w:rFonts w:ascii="宋体" w:hAnsi="宋体" w:cs="宋体"/>
                <w:color w:val="auto"/>
                <w:szCs w:val="21"/>
                <w:highlight w:val="none"/>
              </w:rPr>
              <w:t>10个工作日内，凭国家规定税务发票付至结算审定总</w:t>
            </w:r>
            <w:r>
              <w:rPr>
                <w:rFonts w:hint="eastAsia" w:ascii="宋体" w:hAnsi="宋体" w:cs="宋体"/>
                <w:color w:val="auto"/>
                <w:szCs w:val="21"/>
                <w:highlight w:val="none"/>
              </w:rPr>
              <w:t>价款</w:t>
            </w:r>
            <w:r>
              <w:rPr>
                <w:rFonts w:ascii="宋体" w:hAnsi="宋体" w:cs="宋体"/>
                <w:color w:val="auto"/>
                <w:szCs w:val="21"/>
                <w:highlight w:val="none"/>
              </w:rPr>
              <w:t>的97%</w:t>
            </w:r>
            <w:r>
              <w:rPr>
                <w:rFonts w:hint="eastAsia" w:ascii="宋体" w:hAnsi="宋体" w:cs="宋体"/>
                <w:color w:val="auto"/>
                <w:szCs w:val="21"/>
                <w:highlight w:val="none"/>
              </w:rPr>
              <w:t>，剩余的3%作为质量保证金(不计息)；剩余</w:t>
            </w:r>
            <w:r>
              <w:rPr>
                <w:rFonts w:hint="eastAsia" w:ascii="宋体" w:hAnsi="宋体" w:cs="宋体"/>
                <w:color w:val="auto"/>
                <w:highlight w:val="none"/>
              </w:rPr>
              <w:t>的3%作为质量保证金(不计息)，</w:t>
            </w:r>
            <w:r>
              <w:rPr>
                <w:rFonts w:hint="eastAsia" w:ascii="宋体" w:hAnsi="宋体" w:cs="宋体"/>
                <w:color w:val="auto"/>
                <w:szCs w:val="21"/>
                <w:highlight w:val="none"/>
              </w:rPr>
              <w:t>质保期满，支付至结算总价款的100%</w:t>
            </w:r>
            <w:r>
              <w:rPr>
                <w:rFonts w:eastAsia="仿宋"/>
                <w:color w:val="auto"/>
                <w:sz w:val="26"/>
                <w:szCs w:val="28"/>
                <w:highlight w:val="none"/>
              </w:rPr>
              <w:t xml:space="preserve">。  </w:t>
            </w:r>
          </w:p>
          <w:p w14:paraId="005D9F42">
            <w:pPr>
              <w:pageBreakBefore w:val="0"/>
              <w:kinsoku/>
              <w:wordWrap/>
              <w:overflowPunct/>
              <w:topLinePunct w:val="0"/>
              <w:autoSpaceDE/>
              <w:autoSpaceDN/>
              <w:bidi w:val="0"/>
              <w:spacing w:line="320" w:lineRule="exact"/>
              <w:textAlignment w:val="auto"/>
              <w:rPr>
                <w:color w:val="auto"/>
                <w:highlight w:val="none"/>
              </w:rPr>
            </w:pPr>
          </w:p>
          <w:p w14:paraId="75EED41F">
            <w:pPr>
              <w:pStyle w:val="2"/>
              <w:pageBreakBefore w:val="0"/>
              <w:kinsoku/>
              <w:wordWrap/>
              <w:overflowPunct/>
              <w:topLinePunct w:val="0"/>
              <w:autoSpaceDE/>
              <w:autoSpaceDN/>
              <w:bidi w:val="0"/>
              <w:spacing w:line="320" w:lineRule="exact"/>
              <w:ind w:left="482" w:hanging="482"/>
              <w:textAlignment w:val="auto"/>
              <w:rPr>
                <w:color w:val="auto"/>
                <w:highlight w:val="none"/>
              </w:rPr>
            </w:pPr>
          </w:p>
          <w:p w14:paraId="07C3B39D">
            <w:pPr>
              <w:pageBreakBefore w:val="0"/>
              <w:kinsoku/>
              <w:wordWrap/>
              <w:overflowPunct/>
              <w:topLinePunct w:val="0"/>
              <w:autoSpaceDE/>
              <w:autoSpaceDN/>
              <w:bidi w:val="0"/>
              <w:spacing w:line="320" w:lineRule="exact"/>
              <w:textAlignment w:val="auto"/>
              <w:rPr>
                <w:color w:val="auto"/>
                <w:highlight w:val="none"/>
              </w:rPr>
            </w:pPr>
          </w:p>
        </w:tc>
      </w:tr>
      <w:tr w14:paraId="36D52531">
        <w:tblPrEx>
          <w:tblCellMar>
            <w:top w:w="0" w:type="dxa"/>
            <w:left w:w="108" w:type="dxa"/>
            <w:bottom w:w="0" w:type="dxa"/>
            <w:right w:w="108" w:type="dxa"/>
          </w:tblCellMar>
        </w:tblPrEx>
        <w:trPr>
          <w:trHeight w:val="413" w:hRule="exact"/>
          <w:jc w:val="center"/>
        </w:trPr>
        <w:tc>
          <w:tcPr>
            <w:tcW w:w="1052" w:type="pct"/>
            <w:vMerge w:val="restart"/>
            <w:tcBorders>
              <w:top w:val="single" w:color="000000" w:sz="8" w:space="0"/>
              <w:left w:val="single" w:color="auto" w:sz="8" w:space="0"/>
              <w:right w:val="single" w:color="auto" w:sz="4" w:space="0"/>
            </w:tcBorders>
            <w:vAlign w:val="center"/>
          </w:tcPr>
          <w:p w14:paraId="29B445B8">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cs="Courier New"/>
                <w:szCs w:val="21"/>
              </w:rPr>
            </w:pPr>
            <w:r>
              <w:rPr>
                <w:rFonts w:hint="eastAsia" w:ascii="宋体" w:hAnsi="宋体" w:cs="Courier New"/>
                <w:szCs w:val="21"/>
              </w:rPr>
              <w:t>竞争性磋商项目可能实质性变动内容</w:t>
            </w:r>
          </w:p>
        </w:tc>
        <w:tc>
          <w:tcPr>
            <w:tcW w:w="1489" w:type="pct"/>
            <w:tcBorders>
              <w:top w:val="single" w:color="000000" w:sz="8" w:space="0"/>
              <w:left w:val="single" w:color="auto" w:sz="4" w:space="0"/>
              <w:bottom w:val="single" w:color="auto" w:sz="8" w:space="0"/>
              <w:right w:val="single" w:color="auto" w:sz="8" w:space="0"/>
            </w:tcBorders>
            <w:vAlign w:val="center"/>
          </w:tcPr>
          <w:p w14:paraId="745BC4E3">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是（√ ）</w:t>
            </w:r>
          </w:p>
        </w:tc>
        <w:tc>
          <w:tcPr>
            <w:tcW w:w="2458" w:type="pct"/>
            <w:tcBorders>
              <w:top w:val="single" w:color="000000" w:sz="8" w:space="0"/>
              <w:left w:val="nil"/>
              <w:bottom w:val="single" w:color="auto" w:sz="8" w:space="0"/>
              <w:right w:val="single" w:color="auto" w:sz="8" w:space="0"/>
            </w:tcBorders>
            <w:vAlign w:val="center"/>
          </w:tcPr>
          <w:p w14:paraId="410612EE">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是（ √）</w:t>
            </w:r>
          </w:p>
        </w:tc>
      </w:tr>
      <w:tr w14:paraId="4D9F686B">
        <w:tblPrEx>
          <w:tblCellMar>
            <w:top w:w="0" w:type="dxa"/>
            <w:left w:w="108" w:type="dxa"/>
            <w:bottom w:w="0" w:type="dxa"/>
            <w:right w:w="108" w:type="dxa"/>
          </w:tblCellMar>
        </w:tblPrEx>
        <w:trPr>
          <w:trHeight w:val="539" w:hRule="exact"/>
          <w:jc w:val="center"/>
        </w:trPr>
        <w:tc>
          <w:tcPr>
            <w:tcW w:w="1052" w:type="pct"/>
            <w:vMerge w:val="continue"/>
            <w:tcBorders>
              <w:left w:val="single" w:color="auto" w:sz="8" w:space="0"/>
              <w:bottom w:val="single" w:color="auto" w:sz="8" w:space="0"/>
              <w:right w:val="single" w:color="auto" w:sz="4" w:space="0"/>
            </w:tcBorders>
            <w:vAlign w:val="center"/>
          </w:tcPr>
          <w:p w14:paraId="1F97D0D8">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p>
        </w:tc>
        <w:tc>
          <w:tcPr>
            <w:tcW w:w="1489" w:type="pct"/>
            <w:tcBorders>
              <w:top w:val="single" w:color="auto" w:sz="8" w:space="0"/>
              <w:left w:val="single" w:color="auto" w:sz="4" w:space="0"/>
              <w:bottom w:val="single" w:color="auto" w:sz="8" w:space="0"/>
              <w:right w:val="single" w:color="auto" w:sz="8" w:space="0"/>
            </w:tcBorders>
            <w:vAlign w:val="center"/>
          </w:tcPr>
          <w:p w14:paraId="0165CED6">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否（   ）</w:t>
            </w:r>
          </w:p>
        </w:tc>
        <w:tc>
          <w:tcPr>
            <w:tcW w:w="2458" w:type="pct"/>
            <w:tcBorders>
              <w:top w:val="single" w:color="auto" w:sz="8" w:space="0"/>
              <w:left w:val="nil"/>
              <w:bottom w:val="single" w:color="auto" w:sz="8" w:space="0"/>
              <w:right w:val="single" w:color="auto" w:sz="8" w:space="0"/>
            </w:tcBorders>
            <w:vAlign w:val="center"/>
          </w:tcPr>
          <w:p w14:paraId="5B06698F">
            <w:pPr>
              <w:pageBreakBefore w:val="0"/>
              <w:widowControl/>
              <w:kinsoku/>
              <w:wordWrap/>
              <w:overflowPunct/>
              <w:topLinePunct w:val="0"/>
              <w:autoSpaceDE/>
              <w:autoSpaceDN/>
              <w:bidi w:val="0"/>
              <w:adjustRightInd w:val="0"/>
              <w:snapToGrid w:val="0"/>
              <w:spacing w:after="124" w:line="320" w:lineRule="exact"/>
              <w:ind w:hanging="315"/>
              <w:jc w:val="center"/>
              <w:textAlignment w:val="auto"/>
              <w:rPr>
                <w:rFonts w:ascii="宋体" w:hAnsi="宋体"/>
                <w:szCs w:val="21"/>
              </w:rPr>
            </w:pPr>
            <w:r>
              <w:rPr>
                <w:rFonts w:hint="eastAsia" w:ascii="宋体" w:hAnsi="宋体"/>
                <w:szCs w:val="21"/>
              </w:rPr>
              <w:t>否（   ）</w:t>
            </w:r>
          </w:p>
        </w:tc>
      </w:tr>
    </w:tbl>
    <w:p w14:paraId="0AC6782F">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
          <w:szCs w:val="21"/>
        </w:rPr>
      </w:pPr>
      <w:r>
        <w:rPr>
          <w:rFonts w:hint="eastAsia" w:ascii="宋体" w:hAnsi="宋体"/>
          <w:szCs w:val="21"/>
        </w:rPr>
        <w:t>1、</w:t>
      </w:r>
      <w:r>
        <w:rPr>
          <w:rFonts w:hint="eastAsia" w:ascii="宋体" w:hAnsi="宋体"/>
          <w:b/>
          <w:szCs w:val="21"/>
        </w:rPr>
        <w:t>采购项目需要落实的政府采购政策</w:t>
      </w:r>
      <w:r>
        <w:rPr>
          <w:rFonts w:hint="eastAsia" w:ascii="宋体" w:hAnsi="宋体"/>
          <w:szCs w:val="21"/>
        </w:rPr>
        <w:t>：</w:t>
      </w:r>
    </w:p>
    <w:p w14:paraId="12675BC6">
      <w:pPr>
        <w:pStyle w:val="25"/>
        <w:pageBreakBefore w:val="0"/>
        <w:kinsoku/>
        <w:wordWrap/>
        <w:overflowPunct/>
        <w:topLinePunct w:val="0"/>
        <w:autoSpaceDE/>
        <w:autoSpaceDN/>
        <w:bidi w:val="0"/>
        <w:adjustRightInd w:val="0"/>
        <w:snapToGrid w:val="0"/>
        <w:spacing w:after="124" w:line="320" w:lineRule="exact"/>
        <w:ind w:firstLine="420" w:firstLineChars="200"/>
        <w:textAlignment w:val="auto"/>
        <w:rPr>
          <w:rFonts w:hAnsi="宋体"/>
        </w:rPr>
      </w:pPr>
      <w:r>
        <w:rPr>
          <w:rFonts w:hint="eastAsia" w:hAnsi="宋体"/>
        </w:rPr>
        <w:t>（1）本项目专门面向中小企业或者微型企业采购。</w:t>
      </w:r>
    </w:p>
    <w:p w14:paraId="1B7A143B">
      <w:pPr>
        <w:pStyle w:val="25"/>
        <w:pageBreakBefore w:val="0"/>
        <w:kinsoku/>
        <w:wordWrap/>
        <w:overflowPunct/>
        <w:topLinePunct w:val="0"/>
        <w:autoSpaceDE/>
        <w:autoSpaceDN/>
        <w:bidi w:val="0"/>
        <w:adjustRightInd w:val="0"/>
        <w:snapToGrid w:val="0"/>
        <w:spacing w:after="124" w:line="320" w:lineRule="exact"/>
        <w:ind w:firstLine="420" w:firstLineChars="200"/>
        <w:textAlignment w:val="auto"/>
        <w:rPr>
          <w:rFonts w:hAnsi="宋体"/>
        </w:rPr>
      </w:pPr>
      <w:r>
        <w:rPr>
          <w:rFonts w:hint="eastAsia" w:hAnsi="宋体"/>
        </w:rPr>
        <w:t xml:space="preserve">（2）强制采购：本项目不属于政府采购实行强制采购的节能产品。 </w:t>
      </w:r>
    </w:p>
    <w:p w14:paraId="2F2745AF">
      <w:pPr>
        <w:pStyle w:val="25"/>
        <w:pageBreakBefore w:val="0"/>
        <w:kinsoku/>
        <w:wordWrap/>
        <w:overflowPunct/>
        <w:topLinePunct w:val="0"/>
        <w:autoSpaceDE/>
        <w:autoSpaceDN/>
        <w:bidi w:val="0"/>
        <w:adjustRightInd w:val="0"/>
        <w:snapToGrid w:val="0"/>
        <w:spacing w:after="124" w:line="320" w:lineRule="exact"/>
        <w:ind w:firstLine="420" w:firstLineChars="200"/>
        <w:textAlignment w:val="auto"/>
        <w:rPr>
          <w:rFonts w:hAnsi="宋体"/>
        </w:rPr>
      </w:pPr>
      <w:r>
        <w:rPr>
          <w:rFonts w:hint="eastAsia" w:hAnsi="宋体"/>
        </w:rPr>
        <w:t>（3）优先采购：政府采购鼓励采购的节能环保产品。</w:t>
      </w:r>
    </w:p>
    <w:p w14:paraId="3A1A80CA">
      <w:pPr>
        <w:pStyle w:val="25"/>
        <w:pageBreakBefore w:val="0"/>
        <w:kinsoku/>
        <w:wordWrap/>
        <w:overflowPunct/>
        <w:topLinePunct w:val="0"/>
        <w:autoSpaceDE/>
        <w:autoSpaceDN/>
        <w:bidi w:val="0"/>
        <w:adjustRightInd w:val="0"/>
        <w:snapToGrid w:val="0"/>
        <w:spacing w:after="124" w:line="320" w:lineRule="exact"/>
        <w:ind w:firstLine="420" w:firstLineChars="200"/>
        <w:textAlignment w:val="auto"/>
        <w:rPr>
          <w:rFonts w:hAnsi="宋体"/>
        </w:rPr>
      </w:pPr>
      <w:r>
        <w:rPr>
          <w:rFonts w:hint="eastAsia" w:hAnsi="宋体"/>
        </w:rPr>
        <w:t>（4）价格评审优惠：政府采购促进中小企业发展（包括政府采购支持监狱企业发展、政府采购促进残疾人就业）。</w:t>
      </w:r>
    </w:p>
    <w:p w14:paraId="429ACC07">
      <w:pPr>
        <w:pStyle w:val="3"/>
        <w:pageBreakBefore w:val="0"/>
        <w:kinsoku/>
        <w:wordWrap/>
        <w:overflowPunct/>
        <w:topLinePunct w:val="0"/>
        <w:autoSpaceDE/>
        <w:autoSpaceDN/>
        <w:bidi w:val="0"/>
        <w:adjustRightInd w:val="0"/>
        <w:snapToGrid w:val="0"/>
        <w:spacing w:before="156" w:beforeLines="50" w:after="124" w:line="320" w:lineRule="exact"/>
        <w:ind w:left="316" w:hanging="316"/>
        <w:textAlignment w:val="auto"/>
      </w:pPr>
      <w:bookmarkStart w:id="6" w:name="_Toc3285"/>
      <w:r>
        <w:rPr>
          <w:rFonts w:hint="eastAsia"/>
        </w:rPr>
        <w:t>三、供应商资质要求：</w:t>
      </w:r>
      <w:bookmarkEnd w:id="6"/>
    </w:p>
    <w:p w14:paraId="778768A0">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bookmarkStart w:id="7" w:name="_Toc22657514"/>
      <w:r>
        <w:rPr>
          <w:rFonts w:hint="eastAsia" w:ascii="宋体" w:hAnsi="宋体"/>
          <w:szCs w:val="21"/>
        </w:rPr>
        <w:t>1、供应商的基本资格条件：供应商必须是在中华人民共和国境内注册登记的法人、其他组织或者自然人，且应当符合《政府采购法》第二十二条第一款的规定，即：</w:t>
      </w:r>
    </w:p>
    <w:p w14:paraId="14E339B7">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（1）具有独立承担民事责任的能力；</w:t>
      </w:r>
    </w:p>
    <w:p w14:paraId="74F12FB1">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212F76E7">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63A52A6F">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581E6F88">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353706E">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（6）法律、行政法规规定的其他条件。</w:t>
      </w:r>
    </w:p>
    <w:p w14:paraId="4AAF6568">
      <w:pPr>
        <w:pStyle w:val="25"/>
        <w:pageBreakBefore w:val="0"/>
        <w:kinsoku/>
        <w:wordWrap/>
        <w:overflowPunct/>
        <w:topLinePunct w:val="0"/>
        <w:autoSpaceDE/>
        <w:autoSpaceDN/>
        <w:bidi w:val="0"/>
        <w:spacing w:after="124" w:line="320" w:lineRule="exact"/>
        <w:ind w:firstLine="420" w:firstLineChars="200"/>
        <w:textAlignment w:val="auto"/>
        <w:rPr>
          <w:rFonts w:hAnsi="宋体"/>
        </w:rPr>
      </w:pPr>
      <w:r>
        <w:rPr>
          <w:rFonts w:hint="eastAsia" w:hAnsi="宋体"/>
        </w:rPr>
        <w:t>2、</w:t>
      </w:r>
      <w:r>
        <w:rPr>
          <w:rFonts w:hint="eastAsia" w:hAnsi="宋体"/>
          <w:b/>
          <w:bCs/>
        </w:rPr>
        <w:t>供应商的特定资格条件</w:t>
      </w:r>
      <w:r>
        <w:rPr>
          <w:rFonts w:hint="eastAsia" w:hAnsi="宋体"/>
        </w:rPr>
        <w:t>：</w:t>
      </w:r>
    </w:p>
    <w:p w14:paraId="7E4286B9">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highlight w:val="none"/>
        </w:rPr>
      </w:pPr>
      <w:r>
        <w:rPr>
          <w:rFonts w:hint="eastAsia" w:ascii="宋体" w:hAnsi="宋体"/>
          <w:szCs w:val="21"/>
        </w:rPr>
        <w:t>（1）投标人具</w:t>
      </w:r>
      <w:r>
        <w:rPr>
          <w:rFonts w:hint="eastAsia" w:ascii="宋体" w:hAnsi="宋体"/>
          <w:color w:val="auto"/>
          <w:szCs w:val="21"/>
          <w:highlight w:val="none"/>
        </w:rPr>
        <w:t>有建设行政主管部门颁发的市政公用工程施工总承包叁级（含叁级）及以上资质。且安全生产许可证处于有效期内；</w:t>
      </w:r>
    </w:p>
    <w:p w14:paraId="452E44E1">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（2）拟任项目负责人须具有建设行政主管部门颁发的市政公用工程专业贰级及以上注册建造师证，以及有效的B类安全生产考核合格证；</w:t>
      </w:r>
    </w:p>
    <w:p w14:paraId="191989FA">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（3）拟任技术负责人具有市政公用工程相关专业工程师以上职称证书；</w:t>
      </w:r>
    </w:p>
    <w:p w14:paraId="54854DBB">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4）施工项目部其他关键岗位人员配备参照湘建建[2020]208号文执行，配备施工员1人、安全员1人，质量员1名，关键岗位人员须具备建设行政主管部门颁发的岗位资格证书，其中安全员须具有安全考核合格证书C证；</w:t>
      </w:r>
    </w:p>
    <w:p w14:paraId="03D078D2">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color w:val="auto"/>
          <w:szCs w:val="21"/>
          <w:highlight w:val="none"/>
        </w:rPr>
        <w:t>（5）施工项目部关键岗位人员及本项目被授权人必须是本企业在职人员，提供劳动保障部门出具近三个月的社保证明（成立未满三个月的单位除外）；施工项</w:t>
      </w:r>
      <w:r>
        <w:rPr>
          <w:rFonts w:hint="eastAsia" w:ascii="宋体" w:hAnsi="宋体"/>
          <w:szCs w:val="21"/>
        </w:rPr>
        <w:t>目部关键岗位人员均无在建工程；</w:t>
      </w:r>
    </w:p>
    <w:p w14:paraId="0DF2633E">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（6）供应商应无严重拖欠农民工工资违法失信行为，并作出承诺（格式自拟）。</w:t>
      </w:r>
    </w:p>
    <w:p w14:paraId="3FBC621D">
      <w:pPr>
        <w:pStyle w:val="90"/>
        <w:pageBreakBefore w:val="0"/>
        <w:kinsoku/>
        <w:wordWrap/>
        <w:overflowPunct/>
        <w:topLinePunct w:val="0"/>
        <w:autoSpaceDE/>
        <w:autoSpaceDN/>
        <w:bidi w:val="0"/>
        <w:spacing w:after="124" w:line="320" w:lineRule="exact"/>
        <w:textAlignment w:val="auto"/>
        <w:rPr>
          <w:rFonts w:ascii="宋体" w:hAnsi="宋体"/>
          <w:szCs w:val="21"/>
        </w:rPr>
      </w:pPr>
      <w:bookmarkStart w:id="8" w:name="_Toc24186"/>
      <w:r>
        <w:rPr>
          <w:rFonts w:hint="eastAsia" w:ascii="宋体" w:hAnsi="宋体"/>
          <w:szCs w:val="21"/>
        </w:rPr>
        <w:t>3、法人提交企业法人营业执照副本(或者法人登记证书）、组织机构代码证副本、基本户开户证明复印件或银行开户基本信息；</w:t>
      </w:r>
    </w:p>
    <w:p w14:paraId="1E9392E3">
      <w:pPr>
        <w:pStyle w:val="90"/>
        <w:pageBreakBefore w:val="0"/>
        <w:kinsoku/>
        <w:wordWrap/>
        <w:overflowPunct/>
        <w:topLinePunct w:val="0"/>
        <w:autoSpaceDE/>
        <w:autoSpaceDN/>
        <w:bidi w:val="0"/>
        <w:spacing w:after="124" w:line="320" w:lineRule="exact"/>
        <w:textAlignment w:val="auto"/>
        <w:rPr>
          <w:rFonts w:ascii="宋体" w:hAnsi="宋体"/>
          <w:szCs w:val="21"/>
        </w:rPr>
      </w:pPr>
      <w:r>
        <w:rPr>
          <w:rFonts w:hint="eastAsia" w:ascii="宋体" w:hAnsi="宋体"/>
          <w:szCs w:val="21"/>
        </w:rPr>
        <w:t>4、法人提交法定代表人资格证明书复印件或者法定代表人授权委托书原件并附法定代表人身份证明复印件；自然人提交身份证明复印件；</w:t>
      </w:r>
    </w:p>
    <w:p w14:paraId="24E15190">
      <w:pPr>
        <w:pStyle w:val="90"/>
        <w:pageBreakBefore w:val="0"/>
        <w:kinsoku/>
        <w:wordWrap/>
        <w:overflowPunct/>
        <w:topLinePunct w:val="0"/>
        <w:autoSpaceDE/>
        <w:autoSpaceDN/>
        <w:bidi w:val="0"/>
        <w:spacing w:after="124" w:line="320" w:lineRule="exact"/>
        <w:textAlignment w:val="auto"/>
        <w:rPr>
          <w:rFonts w:ascii="宋体" w:hAnsi="宋体"/>
          <w:szCs w:val="21"/>
        </w:rPr>
      </w:pPr>
      <w:r>
        <w:rPr>
          <w:rFonts w:hint="eastAsia" w:ascii="宋体" w:hAnsi="宋体"/>
          <w:szCs w:val="21"/>
        </w:rPr>
        <w:t>5、《湖南省政府采购供应商资格承诺函》（格式见附件1）</w:t>
      </w:r>
    </w:p>
    <w:p w14:paraId="0F3AA29D">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6、单位负责人为同一人或者存在直接控股、管理关系的不同供应商，不得参加同一合同项下的政府采购活动。</w:t>
      </w:r>
    </w:p>
    <w:p w14:paraId="05C35F53">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7、为本采购项目提供整体设计、规范编制或者项目管理、监理、检测等服务的，不得再参加此项目的其他采购活动。</w:t>
      </w:r>
    </w:p>
    <w:p w14:paraId="7BFE84E7">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8、</w:t>
      </w:r>
      <w:r>
        <w:rPr>
          <w:rFonts w:hint="eastAsia"/>
        </w:rPr>
        <w:t>供应商提供未列入失信被执行人、重大税收违法案件当事人名单、政府采购严重违法失信行为记录名单的书面承诺（格式自拟）。</w:t>
      </w:r>
    </w:p>
    <w:p w14:paraId="2570AD34">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szCs w:val="21"/>
        </w:rPr>
      </w:pPr>
      <w:r>
        <w:rPr>
          <w:rFonts w:hint="eastAsia" w:ascii="宋体" w:hAnsi="宋体"/>
          <w:szCs w:val="21"/>
        </w:rPr>
        <w:t>9、本次磋商采购</w:t>
      </w:r>
      <w:r>
        <w:rPr>
          <w:rFonts w:hint="eastAsia" w:ascii="宋体" w:hAnsi="宋体"/>
          <w:szCs w:val="21"/>
          <w:u w:val="single"/>
        </w:rPr>
        <w:t>不接受</w:t>
      </w:r>
      <w:r>
        <w:rPr>
          <w:rFonts w:hint="eastAsia" w:ascii="宋体" w:hAnsi="宋体"/>
          <w:szCs w:val="21"/>
        </w:rPr>
        <w:t>(接受或不接受)供应商为联合体形式。</w:t>
      </w:r>
    </w:p>
    <w:p w14:paraId="3A2FC859">
      <w:pPr>
        <w:pageBreakBefore w:val="0"/>
        <w:widowControl/>
        <w:shd w:val="clear" w:color="auto" w:fill="FFFFFF"/>
        <w:kinsoku/>
        <w:wordWrap/>
        <w:overflowPunct/>
        <w:topLinePunct w:val="0"/>
        <w:autoSpaceDE/>
        <w:autoSpaceDN/>
        <w:bidi w:val="0"/>
        <w:spacing w:after="124" w:line="320" w:lineRule="exact"/>
        <w:ind w:firstLine="422" w:firstLineChars="200"/>
        <w:jc w:val="left"/>
        <w:textAlignment w:val="auto"/>
        <w:rPr>
          <w:rFonts w:ascii="宋体" w:hAnsi="宋体"/>
          <w:b/>
          <w:szCs w:val="21"/>
        </w:rPr>
      </w:pPr>
      <w:r>
        <w:rPr>
          <w:rFonts w:hint="eastAsia" w:ascii="宋体" w:hAnsi="宋体"/>
          <w:b/>
          <w:szCs w:val="21"/>
        </w:rPr>
        <w:t>注：本项目按照《湖南省财政厅关于政府采购促进中小企业发展有关措施的通知》规定，符合法定条件的供应商凭《湖南省政府采购供应商资格承诺函》（格式见附件）参与政府采购活动，也可通过在金融机构办理电子增信取得对应信用星级参与政府采购活动交易，无需提供财务状况、缴纳税收和社会保障资金等资格证明材料。</w:t>
      </w:r>
    </w:p>
    <w:p w14:paraId="11F87539">
      <w:pPr>
        <w:pageBreakBefore w:val="0"/>
        <w:widowControl/>
        <w:shd w:val="clear" w:color="auto" w:fill="FFFFFF"/>
        <w:kinsoku/>
        <w:wordWrap/>
        <w:overflowPunct/>
        <w:topLinePunct w:val="0"/>
        <w:autoSpaceDE/>
        <w:autoSpaceDN/>
        <w:bidi w:val="0"/>
        <w:spacing w:after="124" w:line="320" w:lineRule="exact"/>
        <w:ind w:firstLine="422" w:firstLineChars="200"/>
        <w:jc w:val="left"/>
        <w:textAlignment w:val="auto"/>
      </w:pPr>
      <w:r>
        <w:rPr>
          <w:rFonts w:hint="eastAsia" w:ascii="宋体" w:hAnsi="宋体"/>
          <w:b/>
          <w:szCs w:val="21"/>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社会保险登记证和统计登记证，符合基本资格条件的相关条款；供应商如是“三证合一或五证合一”请自行说明。</w:t>
      </w:r>
    </w:p>
    <w:p w14:paraId="7B2C6F89">
      <w:pPr>
        <w:pStyle w:val="3"/>
        <w:pageBreakBefore w:val="0"/>
        <w:tabs>
          <w:tab w:val="center" w:pos="4422"/>
        </w:tabs>
        <w:kinsoku/>
        <w:wordWrap/>
        <w:overflowPunct/>
        <w:topLinePunct w:val="0"/>
        <w:autoSpaceDE/>
        <w:autoSpaceDN/>
        <w:bidi w:val="0"/>
        <w:adjustRightInd w:val="0"/>
        <w:snapToGrid w:val="0"/>
        <w:spacing w:before="156" w:beforeLines="50" w:after="124" w:line="320" w:lineRule="exact"/>
        <w:ind w:left="316" w:hanging="316"/>
        <w:textAlignment w:val="auto"/>
      </w:pPr>
      <w:r>
        <w:rPr>
          <w:rFonts w:hint="eastAsia"/>
        </w:rPr>
        <w:t>四、</w:t>
      </w:r>
      <w:bookmarkEnd w:id="7"/>
      <w:r>
        <w:rPr>
          <w:rFonts w:hint="eastAsia"/>
        </w:rPr>
        <w:t>竞争性磋商文件的获取方式</w:t>
      </w:r>
      <w:bookmarkEnd w:id="8"/>
      <w:r>
        <w:tab/>
      </w:r>
    </w:p>
    <w:p w14:paraId="12B5BBBD">
      <w:pPr>
        <w:pageBreakBefore w:val="0"/>
        <w:kinsoku/>
        <w:wordWrap/>
        <w:overflowPunct/>
        <w:topLinePunct w:val="0"/>
        <w:autoSpaceDE/>
        <w:autoSpaceDN/>
        <w:bidi w:val="0"/>
        <w:spacing w:after="124" w:line="320" w:lineRule="exact"/>
        <w:ind w:firstLine="420" w:firstLineChars="200"/>
        <w:textAlignment w:val="auto"/>
        <w:rPr>
          <w:rFonts w:ascii="宋体" w:hAnsi="宋体"/>
          <w:szCs w:val="21"/>
        </w:rPr>
      </w:pPr>
      <w:r>
        <w:rPr>
          <w:rFonts w:hint="eastAsia" w:ascii="宋体" w:hAnsi="宋体"/>
          <w:szCs w:val="21"/>
        </w:rPr>
        <w:t>1、获取磋商文件的时间：从</w:t>
      </w:r>
      <w:r>
        <w:rPr>
          <w:rFonts w:hint="eastAsia" w:ascii="宋体" w:hAnsi="宋体"/>
          <w:b/>
          <w:bCs/>
          <w:color w:val="auto"/>
          <w:szCs w:val="21"/>
        </w:rPr>
        <w:t>2026年</w:t>
      </w:r>
      <w:r>
        <w:rPr>
          <w:rFonts w:hint="eastAsia" w:ascii="宋体" w:hAnsi="宋体"/>
          <w:b/>
          <w:bCs/>
          <w:color w:val="auto"/>
          <w:szCs w:val="21"/>
          <w:lang w:val="en-US" w:eastAsia="zh-CN"/>
        </w:rPr>
        <w:t>10</w:t>
      </w:r>
      <w:r>
        <w:rPr>
          <w:rFonts w:hint="eastAsia" w:ascii="宋体" w:hAnsi="宋体"/>
          <w:b/>
          <w:bCs/>
          <w:color w:val="auto"/>
          <w:szCs w:val="21"/>
        </w:rPr>
        <w:t>月</w:t>
      </w:r>
      <w:r>
        <w:rPr>
          <w:rFonts w:hint="eastAsia" w:ascii="宋体" w:hAnsi="宋体"/>
          <w:b/>
          <w:bCs/>
          <w:color w:val="auto"/>
          <w:szCs w:val="21"/>
          <w:lang w:val="en-US" w:eastAsia="zh-CN"/>
        </w:rPr>
        <w:t>16</w:t>
      </w:r>
      <w:r>
        <w:rPr>
          <w:rFonts w:hint="eastAsia" w:ascii="宋体" w:hAnsi="宋体"/>
          <w:b/>
          <w:bCs/>
          <w:color w:val="auto"/>
          <w:szCs w:val="21"/>
        </w:rPr>
        <w:t>日起至2026年</w:t>
      </w:r>
      <w:r>
        <w:rPr>
          <w:rFonts w:hint="eastAsia" w:ascii="宋体" w:hAnsi="宋体"/>
          <w:b/>
          <w:bCs/>
          <w:color w:val="auto"/>
          <w:szCs w:val="21"/>
          <w:lang w:val="en-US" w:eastAsia="zh-CN"/>
        </w:rPr>
        <w:t>10</w:t>
      </w:r>
      <w:r>
        <w:rPr>
          <w:rFonts w:hint="eastAsia" w:ascii="宋体" w:hAnsi="宋体"/>
          <w:b/>
          <w:bCs/>
          <w:color w:val="auto"/>
          <w:szCs w:val="21"/>
        </w:rPr>
        <w:t>月</w:t>
      </w:r>
      <w:r>
        <w:rPr>
          <w:rFonts w:hint="eastAsia" w:ascii="宋体" w:hAnsi="宋体"/>
          <w:b/>
          <w:bCs/>
          <w:color w:val="auto"/>
          <w:szCs w:val="21"/>
          <w:lang w:val="en-US" w:eastAsia="zh-CN"/>
        </w:rPr>
        <w:t>23</w:t>
      </w:r>
      <w:r>
        <w:rPr>
          <w:rFonts w:hint="eastAsia" w:ascii="宋体" w:hAnsi="宋体"/>
          <w:b/>
          <w:bCs/>
          <w:color w:val="auto"/>
          <w:szCs w:val="21"/>
        </w:rPr>
        <w:t>日</w:t>
      </w:r>
      <w:r>
        <w:rPr>
          <w:rFonts w:hint="eastAsia" w:ascii="宋体" w:hAnsi="宋体"/>
          <w:szCs w:val="21"/>
        </w:rPr>
        <w:t>止，每天上午9：00时到12：00时，下午14：30时到17：00时(北京时间)，双休日及节假日除外。</w:t>
      </w:r>
    </w:p>
    <w:p w14:paraId="448F202C">
      <w:pPr>
        <w:pageBreakBefore w:val="0"/>
        <w:kinsoku/>
        <w:wordWrap/>
        <w:overflowPunct/>
        <w:topLinePunct w:val="0"/>
        <w:autoSpaceDE/>
        <w:autoSpaceDN/>
        <w:bidi w:val="0"/>
        <w:spacing w:after="124" w:line="320" w:lineRule="exact"/>
        <w:ind w:firstLine="420" w:firstLineChars="200"/>
        <w:textAlignment w:val="auto"/>
        <w:rPr>
          <w:rFonts w:ascii="宋体" w:hAnsi="宋体"/>
          <w:szCs w:val="21"/>
        </w:rPr>
      </w:pPr>
      <w:r>
        <w:rPr>
          <w:rFonts w:hint="eastAsia" w:ascii="宋体" w:hAnsi="宋体" w:cs="宋体"/>
          <w:szCs w:val="21"/>
        </w:rPr>
        <w:t>2、</w:t>
      </w:r>
      <w:r>
        <w:rPr>
          <w:rFonts w:hint="eastAsia" w:ascii="宋体" w:hAnsi="宋体"/>
          <w:szCs w:val="21"/>
        </w:rPr>
        <w:t>获取磋商文件的地点：湖南凌云咨询集团有限公司（湘潭市岳塘区湘潭大道众一国际C栋三楼  ）。</w:t>
      </w:r>
    </w:p>
    <w:p w14:paraId="053A308C">
      <w:pPr>
        <w:pageBreakBefore w:val="0"/>
        <w:kinsoku/>
        <w:wordWrap/>
        <w:overflowPunct/>
        <w:topLinePunct w:val="0"/>
        <w:autoSpaceDE/>
        <w:autoSpaceDN/>
        <w:bidi w:val="0"/>
        <w:spacing w:after="124" w:line="320" w:lineRule="exact"/>
        <w:ind w:firstLine="420" w:firstLineChars="200"/>
        <w:textAlignment w:val="auto"/>
        <w:rPr>
          <w:rFonts w:ascii="宋体" w:hAnsi="宋体"/>
          <w:szCs w:val="21"/>
        </w:rPr>
      </w:pPr>
      <w:r>
        <w:rPr>
          <w:rFonts w:ascii="宋体" w:hAnsi="宋体"/>
          <w:szCs w:val="21"/>
        </w:rPr>
        <w:t>3</w:t>
      </w:r>
      <w:r>
        <w:rPr>
          <w:rFonts w:hint="eastAsia" w:ascii="宋体" w:hAnsi="宋体"/>
          <w:szCs w:val="21"/>
        </w:rPr>
        <w:t>、获取磋商文件的报名材料要求：（1）湖南省政府采购供应商资格承诺函；（2）法定代表人身份证明；（3）法定代理人委托授权书（委托获取）；（4）企业法人营业执照副本复印件(或者法人登记证书）复印件；（5）供应商的特定资格条件的证明材料的复印件；（6）所有报名资料须加盖公章，一式两份。（格式见附件）</w:t>
      </w:r>
    </w:p>
    <w:p w14:paraId="6D600669">
      <w:pPr>
        <w:pStyle w:val="3"/>
        <w:pageBreakBefore w:val="0"/>
        <w:kinsoku/>
        <w:wordWrap/>
        <w:overflowPunct/>
        <w:topLinePunct w:val="0"/>
        <w:autoSpaceDE/>
        <w:autoSpaceDN/>
        <w:bidi w:val="0"/>
        <w:adjustRightInd w:val="0"/>
        <w:snapToGrid w:val="0"/>
        <w:spacing w:before="156" w:beforeLines="50" w:after="124" w:line="320" w:lineRule="exact"/>
        <w:ind w:left="316" w:hanging="316"/>
        <w:textAlignment w:val="auto"/>
      </w:pPr>
      <w:bookmarkStart w:id="9" w:name="_Toc22657515"/>
      <w:bookmarkStart w:id="10" w:name="_Toc22618"/>
      <w:r>
        <w:rPr>
          <w:rFonts w:hint="eastAsia"/>
        </w:rPr>
        <w:t>五、</w:t>
      </w:r>
      <w:bookmarkEnd w:id="9"/>
      <w:r>
        <w:rPr>
          <w:rFonts w:hint="eastAsia"/>
        </w:rPr>
        <w:t>响应文件提交的截止时间、开启时间及地点</w:t>
      </w:r>
      <w:bookmarkEnd w:id="10"/>
    </w:p>
    <w:p w14:paraId="765B00A8">
      <w:pPr>
        <w:pageBreakBefore w:val="0"/>
        <w:kinsoku/>
        <w:wordWrap/>
        <w:overflowPunct/>
        <w:topLinePunct w:val="0"/>
        <w:autoSpaceDE/>
        <w:autoSpaceDN/>
        <w:bidi w:val="0"/>
        <w:adjustRightInd w:val="0"/>
        <w:snapToGrid w:val="0"/>
        <w:spacing w:before="156" w:beforeLines="50" w:after="124" w:line="320" w:lineRule="exact"/>
        <w:ind w:firstLine="367" w:firstLineChars="175"/>
        <w:textAlignment w:val="auto"/>
        <w:rPr>
          <w:rFonts w:ascii="宋体"/>
          <w:szCs w:val="21"/>
        </w:rPr>
      </w:pPr>
      <w:r>
        <w:rPr>
          <w:rFonts w:hint="eastAsia" w:ascii="宋体" w:hAnsi="宋体"/>
          <w:szCs w:val="21"/>
        </w:rPr>
        <w:t>1、提交首次响应文件的截止时间为</w:t>
      </w:r>
      <w:r>
        <w:rPr>
          <w:rFonts w:hint="eastAsia" w:ascii="宋体" w:hAnsi="宋体"/>
          <w:b/>
          <w:bCs/>
          <w:color w:val="auto"/>
          <w:szCs w:val="21"/>
        </w:rPr>
        <w:t>2026年</w:t>
      </w:r>
      <w:r>
        <w:rPr>
          <w:rFonts w:hint="eastAsia" w:ascii="宋体" w:hAnsi="宋体"/>
          <w:b/>
          <w:bCs/>
          <w:color w:val="auto"/>
          <w:szCs w:val="21"/>
          <w:lang w:val="en-US" w:eastAsia="zh-CN"/>
        </w:rPr>
        <w:t>10</w:t>
      </w:r>
      <w:r>
        <w:rPr>
          <w:rFonts w:hint="eastAsia" w:ascii="宋体" w:hAnsi="宋体"/>
          <w:b/>
          <w:bCs/>
          <w:color w:val="auto"/>
          <w:szCs w:val="21"/>
        </w:rPr>
        <w:t>月</w:t>
      </w:r>
      <w:r>
        <w:rPr>
          <w:rFonts w:hint="eastAsia" w:ascii="宋体" w:hAnsi="宋体"/>
          <w:b/>
          <w:bCs/>
          <w:color w:val="auto"/>
          <w:szCs w:val="21"/>
          <w:lang w:val="en-US" w:eastAsia="zh-CN"/>
        </w:rPr>
        <w:t>27</w:t>
      </w:r>
      <w:r>
        <w:rPr>
          <w:rFonts w:hint="eastAsia" w:ascii="宋体" w:hAnsi="宋体"/>
          <w:b/>
          <w:bCs/>
          <w:color w:val="auto"/>
          <w:szCs w:val="21"/>
        </w:rPr>
        <w:t>日</w:t>
      </w:r>
      <w:r>
        <w:rPr>
          <w:rFonts w:hint="eastAsia" w:ascii="宋体" w:hAnsi="宋体"/>
          <w:b/>
          <w:bCs/>
          <w:color w:val="auto"/>
          <w:szCs w:val="21"/>
          <w:lang w:val="en-US" w:eastAsia="zh-CN"/>
        </w:rPr>
        <w:t>09：00</w:t>
      </w:r>
      <w:r>
        <w:rPr>
          <w:rFonts w:hint="eastAsia" w:ascii="宋体" w:hAnsi="宋体"/>
          <w:b/>
          <w:bCs/>
          <w:color w:val="auto"/>
          <w:szCs w:val="21"/>
        </w:rPr>
        <w:t>分</w:t>
      </w:r>
      <w:r>
        <w:rPr>
          <w:rFonts w:hint="eastAsia" w:ascii="宋体" w:hAnsi="宋体"/>
          <w:szCs w:val="21"/>
        </w:rPr>
        <w:t>（北京时间），地点为</w:t>
      </w:r>
      <w:r>
        <w:rPr>
          <w:rFonts w:hint="eastAsia" w:ascii="宋体" w:hAnsi="宋体" w:cs="Arial"/>
          <w:kern w:val="0"/>
          <w:szCs w:val="21"/>
        </w:rPr>
        <w:t>湖南凌云咨询集团有限公司（湘潭市岳塘区湘潭大道众一国际C栋三楼  ）</w:t>
      </w:r>
      <w:r>
        <w:rPr>
          <w:rFonts w:hint="eastAsia" w:ascii="宋体" w:hAnsi="宋体"/>
          <w:szCs w:val="21"/>
        </w:rPr>
        <w:t>。在截止时间后送达的响应文件为无效文件，采购人、采购代理机构应当拒收；</w:t>
      </w:r>
    </w:p>
    <w:p w14:paraId="02D74797">
      <w:pPr>
        <w:pageBreakBefore w:val="0"/>
        <w:kinsoku/>
        <w:wordWrap/>
        <w:overflowPunct/>
        <w:topLinePunct w:val="0"/>
        <w:autoSpaceDE/>
        <w:autoSpaceDN/>
        <w:bidi w:val="0"/>
        <w:adjustRightInd w:val="0"/>
        <w:snapToGrid w:val="0"/>
        <w:spacing w:before="156" w:beforeLines="50" w:after="124" w:line="320" w:lineRule="exact"/>
        <w:ind w:firstLine="367" w:firstLineChars="175"/>
        <w:textAlignment w:val="auto"/>
        <w:rPr>
          <w:rFonts w:ascii="宋体" w:hAnsi="宋体"/>
          <w:szCs w:val="21"/>
        </w:rPr>
      </w:pPr>
      <w:r>
        <w:rPr>
          <w:rFonts w:hint="eastAsia" w:ascii="宋体" w:hAnsi="宋体"/>
          <w:szCs w:val="21"/>
        </w:rPr>
        <w:t>2、首次响应文件的开启时间及地点与提交首次响应文件的截止时间及地点为同一时间及地点；</w:t>
      </w:r>
    </w:p>
    <w:p w14:paraId="5B8AD4A2">
      <w:pPr>
        <w:pageBreakBefore w:val="0"/>
        <w:kinsoku/>
        <w:wordWrap/>
        <w:overflowPunct/>
        <w:topLinePunct w:val="0"/>
        <w:autoSpaceDE/>
        <w:autoSpaceDN/>
        <w:bidi w:val="0"/>
        <w:adjustRightInd w:val="0"/>
        <w:snapToGrid w:val="0"/>
        <w:spacing w:before="156" w:beforeLines="50" w:after="124" w:line="320" w:lineRule="exact"/>
        <w:ind w:firstLine="367" w:firstLineChars="175"/>
        <w:textAlignment w:val="auto"/>
        <w:rPr>
          <w:rFonts w:ascii="宋体" w:hAnsi="宋体"/>
          <w:szCs w:val="21"/>
        </w:rPr>
      </w:pPr>
      <w:r>
        <w:rPr>
          <w:rFonts w:hint="eastAsia" w:ascii="宋体" w:hAnsi="宋体"/>
          <w:szCs w:val="21"/>
        </w:rPr>
        <w:t>3、逾期送达或者不按竞争性磋商文件要求密封或者不按竞争性磋商文件的要求提供投标保证金的响应文件，采购代理机构将拒绝接收；</w:t>
      </w:r>
    </w:p>
    <w:p w14:paraId="555C07D5">
      <w:pPr>
        <w:pageBreakBefore w:val="0"/>
        <w:kinsoku/>
        <w:wordWrap/>
        <w:overflowPunct/>
        <w:topLinePunct w:val="0"/>
        <w:autoSpaceDE/>
        <w:autoSpaceDN/>
        <w:bidi w:val="0"/>
        <w:adjustRightInd w:val="0"/>
        <w:snapToGrid w:val="0"/>
        <w:spacing w:before="156" w:beforeLines="50" w:after="124" w:line="320" w:lineRule="exact"/>
        <w:ind w:firstLine="367" w:firstLineChars="175"/>
        <w:textAlignment w:val="auto"/>
        <w:rPr>
          <w:rFonts w:ascii="宋体" w:hAnsi="宋体"/>
          <w:szCs w:val="21"/>
        </w:rPr>
      </w:pPr>
      <w:r>
        <w:rPr>
          <w:rFonts w:hint="eastAsia" w:ascii="宋体" w:hAnsi="宋体"/>
          <w:szCs w:val="21"/>
        </w:rPr>
        <w:t>4、供应商的法定代表人或授权代表到场参加开标会议，并在开标会议现场身份验证时向采购人提交法定代表人身份证明文件原件和法定代表人授权委托书原件，出示本人身份证原件并签字以证明其出席，否则，投标将被拒绝。</w:t>
      </w:r>
    </w:p>
    <w:p w14:paraId="7AEE9375">
      <w:pPr>
        <w:pStyle w:val="3"/>
        <w:pageBreakBefore w:val="0"/>
        <w:kinsoku/>
        <w:wordWrap/>
        <w:overflowPunct/>
        <w:topLinePunct w:val="0"/>
        <w:autoSpaceDE/>
        <w:autoSpaceDN/>
        <w:bidi w:val="0"/>
        <w:adjustRightInd w:val="0"/>
        <w:snapToGrid w:val="0"/>
        <w:spacing w:before="156" w:beforeLines="50" w:after="124" w:line="320" w:lineRule="exact"/>
        <w:ind w:left="316" w:hanging="316"/>
        <w:textAlignment w:val="auto"/>
      </w:pPr>
      <w:bookmarkStart w:id="11" w:name="_Toc13073"/>
      <w:r>
        <w:rPr>
          <w:rFonts w:hint="eastAsia"/>
        </w:rPr>
        <w:t>六、投标保证金</w:t>
      </w:r>
      <w:bookmarkEnd w:id="11"/>
    </w:p>
    <w:bookmarkEnd w:id="5"/>
    <w:p w14:paraId="716ECA6E">
      <w:pPr>
        <w:pageBreakBefore w:val="0"/>
        <w:kinsoku/>
        <w:wordWrap/>
        <w:overflowPunct/>
        <w:topLinePunct w:val="0"/>
        <w:autoSpaceDE/>
        <w:autoSpaceDN/>
        <w:bidi w:val="0"/>
        <w:adjustRightInd w:val="0"/>
        <w:snapToGrid w:val="0"/>
        <w:spacing w:before="156" w:beforeLines="50" w:after="124" w:line="320" w:lineRule="exact"/>
        <w:ind w:firstLine="367" w:firstLineChars="175"/>
        <w:textAlignment w:val="auto"/>
        <w:rPr>
          <w:rFonts w:hint="eastAsia" w:ascii="宋体" w:hAnsi="宋体" w:eastAsia="宋体" w:cs="Times New Roman"/>
          <w:szCs w:val="21"/>
        </w:rPr>
      </w:pPr>
      <w:bookmarkStart w:id="12" w:name="_Toc4694"/>
      <w:bookmarkStart w:id="13" w:name="_Toc22657518"/>
      <w:r>
        <w:rPr>
          <w:rFonts w:hint="eastAsia" w:ascii="宋体" w:hAnsi="宋体" w:eastAsia="宋体" w:cs="Times New Roman"/>
          <w:szCs w:val="21"/>
        </w:rPr>
        <w:t>根据湘潭市财政局《关于加强政府采购保证金管理工作的通知》(潭财购[2024]12号)文精神，本项目不需要缴纳磋商保证金，但供应商免交非免责。为保障采购人的合法权益，供应商应向采购人出具磋商保证金信用承诺书，承诺遵守政府采购相关法律法规，对于违反相关规定给采购人造成损失的，依法承担赔偿责任，并接受相关行政监督部门处理。</w:t>
      </w:r>
    </w:p>
    <w:p w14:paraId="236FECC7">
      <w:pPr>
        <w:pageBreakBefore w:val="0"/>
        <w:kinsoku/>
        <w:wordWrap/>
        <w:overflowPunct/>
        <w:topLinePunct w:val="0"/>
        <w:autoSpaceDE/>
        <w:autoSpaceDN/>
        <w:bidi w:val="0"/>
        <w:adjustRightInd w:val="0"/>
        <w:snapToGrid w:val="0"/>
        <w:spacing w:after="124" w:line="320" w:lineRule="exact"/>
        <w:ind w:left="316" w:hanging="316"/>
        <w:textAlignment w:val="auto"/>
        <w:rPr>
          <w:rFonts w:ascii="宋体" w:hAnsi="宋体" w:cs="宋体"/>
          <w:b/>
          <w:szCs w:val="21"/>
        </w:rPr>
      </w:pPr>
      <w:r>
        <w:rPr>
          <w:rFonts w:hint="eastAsia" w:ascii="宋体" w:hAnsi="宋体" w:cs="宋体"/>
          <w:b/>
          <w:szCs w:val="21"/>
        </w:rPr>
        <w:t>七、发布公告的媒介及公告期限</w:t>
      </w:r>
      <w:bookmarkEnd w:id="12"/>
    </w:p>
    <w:p w14:paraId="13B94029">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color w:val="auto"/>
          <w:highlight w:val="none"/>
        </w:rPr>
      </w:pPr>
      <w:bookmarkStart w:id="14" w:name="_Toc3322"/>
      <w:r>
        <w:rPr>
          <w:rFonts w:hint="eastAsia"/>
          <w:color w:val="auto"/>
          <w:highlight w:val="none"/>
        </w:rPr>
        <w:t>1、本招标公告在本招标公告在湘潭大学（https://www.xtu.edu.cn/index/zbgg.htm）、湖南政府采购网（www.ccgp-hunan.gov.cn）发布。</w:t>
      </w:r>
    </w:p>
    <w:p w14:paraId="6556F38B">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color w:val="auto"/>
        </w:rPr>
      </w:pPr>
      <w:r>
        <w:rPr>
          <w:rFonts w:hint="eastAsia"/>
          <w:color w:val="auto"/>
        </w:rPr>
        <w:t>2、在其他媒体发布的招标公告，公告内容以本招标公告指定媒体发布的公告为准；公告期限自本招标公告指定媒体最先发布公告之日起算。</w:t>
      </w:r>
    </w:p>
    <w:p w14:paraId="2AD9921B">
      <w:pPr>
        <w:pStyle w:val="3"/>
        <w:pageBreakBefore w:val="0"/>
        <w:kinsoku/>
        <w:wordWrap/>
        <w:overflowPunct/>
        <w:topLinePunct w:val="0"/>
        <w:autoSpaceDE/>
        <w:autoSpaceDN/>
        <w:bidi w:val="0"/>
        <w:adjustRightInd w:val="0"/>
        <w:snapToGrid w:val="0"/>
        <w:spacing w:before="50" w:after="124" w:line="320" w:lineRule="exact"/>
        <w:ind w:left="316" w:hanging="316"/>
        <w:textAlignment w:val="auto"/>
      </w:pPr>
      <w:r>
        <w:rPr>
          <w:rFonts w:hint="eastAsia"/>
        </w:rPr>
        <w:t>八、疑问及质疑：</w:t>
      </w:r>
      <w:bookmarkEnd w:id="13"/>
      <w:bookmarkEnd w:id="14"/>
    </w:p>
    <w:p w14:paraId="2939D3EF">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4468D62C">
      <w:pPr>
        <w:pageBreakBefore w:val="0"/>
        <w:kinsoku/>
        <w:wordWrap/>
        <w:overflowPunct/>
        <w:topLinePunct w:val="0"/>
        <w:autoSpaceDE/>
        <w:autoSpaceDN/>
        <w:bidi w:val="0"/>
        <w:adjustRightInd w:val="0"/>
        <w:snapToGrid w:val="0"/>
        <w:spacing w:before="50" w:after="124" w:line="320" w:lineRule="exact"/>
        <w:ind w:firstLine="420" w:firstLineChars="200"/>
        <w:textAlignment w:val="auto"/>
        <w:rPr>
          <w:rFonts w:ascii="宋体" w:hAnsi="宋体"/>
          <w:szCs w:val="21"/>
        </w:rPr>
      </w:pPr>
      <w:r>
        <w:rPr>
          <w:rFonts w:hint="eastAsia" w:ascii="宋体" w:hAnsi="宋体"/>
          <w:szCs w:val="21"/>
        </w:rPr>
        <w:t>2、供应商认为磋商文件使自己的合法权益受到损害的，可以在收到磋商文件之日起7个工作日内，按《湖南省财政厅关于印发＜政府采购质疑答复和投诉处理操作规程＞的通知》(湘财购〔2024〕67号)规定，以纸质书面形式向采购人、采购代理机构提出质疑。</w:t>
      </w:r>
    </w:p>
    <w:p w14:paraId="183ECAC1">
      <w:pPr>
        <w:pStyle w:val="3"/>
        <w:pageBreakBefore w:val="0"/>
        <w:kinsoku/>
        <w:wordWrap/>
        <w:overflowPunct/>
        <w:topLinePunct w:val="0"/>
        <w:autoSpaceDE/>
        <w:autoSpaceDN/>
        <w:bidi w:val="0"/>
        <w:adjustRightInd w:val="0"/>
        <w:snapToGrid w:val="0"/>
        <w:spacing w:before="156" w:beforeLines="50" w:after="124" w:line="320" w:lineRule="exact"/>
        <w:ind w:left="316" w:hanging="316"/>
        <w:textAlignment w:val="auto"/>
      </w:pPr>
      <w:bookmarkStart w:id="15" w:name="_Toc24486"/>
      <w:bookmarkStart w:id="16" w:name="_Toc22657519"/>
      <w:r>
        <w:rPr>
          <w:rFonts w:hint="eastAsia" w:cs="宋体"/>
          <w:kern w:val="0"/>
        </w:rPr>
        <w:t>九、</w:t>
      </w:r>
      <w:r>
        <w:rPr>
          <w:rFonts w:hint="eastAsia"/>
        </w:rPr>
        <w:t>联系方式</w:t>
      </w:r>
      <w:bookmarkEnd w:id="15"/>
      <w:bookmarkEnd w:id="16"/>
    </w:p>
    <w:p w14:paraId="5F7D3DF6">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Cs/>
          <w:szCs w:val="21"/>
        </w:rPr>
      </w:pPr>
      <w:r>
        <w:rPr>
          <w:rFonts w:hint="eastAsia" w:ascii="宋体" w:hAnsi="宋体"/>
          <w:bCs/>
          <w:szCs w:val="21"/>
        </w:rPr>
        <w:t>采购人：</w:t>
      </w:r>
      <w:r>
        <w:rPr>
          <w:rFonts w:hint="eastAsia" w:ascii="宋体" w:hAnsi="宋体" w:cs="宋体"/>
          <w:bCs/>
          <w:szCs w:val="21"/>
        </w:rPr>
        <w:t>湘潭大学</w:t>
      </w:r>
    </w:p>
    <w:p w14:paraId="16CDAB50">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rPr>
      </w:pPr>
      <w:r>
        <w:rPr>
          <w:rFonts w:hint="eastAsia" w:ascii="宋体" w:hAnsi="宋体"/>
          <w:color w:val="auto"/>
          <w:szCs w:val="21"/>
        </w:rPr>
        <w:t>联系人：邹老师</w:t>
      </w:r>
    </w:p>
    <w:p w14:paraId="2D7EFFC9">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color w:val="auto"/>
          <w:szCs w:val="21"/>
        </w:rPr>
      </w:pPr>
      <w:r>
        <w:rPr>
          <w:rFonts w:hint="eastAsia" w:ascii="宋体" w:hAnsi="宋体"/>
          <w:color w:val="auto"/>
          <w:szCs w:val="21"/>
        </w:rPr>
        <w:t>电  话：0731-58293956</w:t>
      </w:r>
    </w:p>
    <w:p w14:paraId="192EE4E3">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szCs w:val="21"/>
        </w:rPr>
      </w:pPr>
      <w:r>
        <w:rPr>
          <w:rFonts w:hint="eastAsia" w:ascii="宋体" w:hAnsi="宋体"/>
          <w:szCs w:val="21"/>
        </w:rPr>
        <w:t>地  址：</w:t>
      </w:r>
      <w:r>
        <w:rPr>
          <w:rFonts w:hint="eastAsia" w:ascii="宋体" w:hAnsi="宋体"/>
          <w:color w:val="000000"/>
        </w:rPr>
        <w:t>湘潭雨湖区羊牯塘</w:t>
      </w:r>
    </w:p>
    <w:p w14:paraId="2FAE9E20">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Cs/>
          <w:szCs w:val="21"/>
        </w:rPr>
      </w:pPr>
      <w:r>
        <w:rPr>
          <w:rFonts w:hint="eastAsia" w:ascii="宋体" w:hAnsi="宋体"/>
          <w:bCs/>
          <w:szCs w:val="21"/>
        </w:rPr>
        <w:t>采购代理机构：湖南凌云咨询集团有限公司</w:t>
      </w:r>
    </w:p>
    <w:p w14:paraId="24398BA2">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Cs/>
          <w:szCs w:val="21"/>
        </w:rPr>
      </w:pPr>
      <w:r>
        <w:rPr>
          <w:rFonts w:hint="eastAsia" w:ascii="宋体" w:hAnsi="宋体"/>
          <w:bCs/>
          <w:szCs w:val="21"/>
        </w:rPr>
        <w:t>联系人：</w:t>
      </w:r>
      <w:r>
        <w:rPr>
          <w:rFonts w:hint="eastAsia" w:ascii="宋体" w:hAnsi="宋体" w:cs="宋体"/>
          <w:szCs w:val="21"/>
        </w:rPr>
        <w:t xml:space="preserve">戴叩  丁叶青 </w:t>
      </w:r>
      <w:r>
        <w:rPr>
          <w:rFonts w:hint="eastAsia" w:ascii="宋体" w:hAnsi="宋体" w:cs="宋体"/>
          <w:szCs w:val="21"/>
          <w:lang w:val="en-US" w:eastAsia="zh-CN"/>
        </w:rPr>
        <w:t xml:space="preserve">  刘雨琪</w:t>
      </w:r>
      <w:r>
        <w:rPr>
          <w:rFonts w:hint="eastAsia" w:ascii="宋体" w:hAnsi="宋体" w:cs="宋体"/>
          <w:szCs w:val="21"/>
        </w:rPr>
        <w:t xml:space="preserve">     </w:t>
      </w:r>
    </w:p>
    <w:p w14:paraId="1C648919">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Cs/>
          <w:szCs w:val="21"/>
        </w:rPr>
      </w:pPr>
      <w:r>
        <w:rPr>
          <w:rFonts w:hint="eastAsia" w:ascii="宋体" w:hAnsi="宋体"/>
          <w:bCs/>
          <w:szCs w:val="21"/>
        </w:rPr>
        <w:t>电话：</w:t>
      </w:r>
      <w:r>
        <w:rPr>
          <w:rFonts w:hint="eastAsia" w:ascii="宋体" w:hAnsi="宋体" w:cs="宋体"/>
          <w:szCs w:val="21"/>
        </w:rPr>
        <w:t xml:space="preserve"> 0731-58610173 </w:t>
      </w:r>
    </w:p>
    <w:p w14:paraId="3AC8320E">
      <w:pPr>
        <w:pageBreakBefore w:val="0"/>
        <w:kinsoku/>
        <w:wordWrap/>
        <w:overflowPunct/>
        <w:topLinePunct w:val="0"/>
        <w:autoSpaceDE/>
        <w:autoSpaceDN/>
        <w:bidi w:val="0"/>
        <w:adjustRightInd w:val="0"/>
        <w:snapToGrid w:val="0"/>
        <w:spacing w:before="156" w:beforeLines="50" w:after="124" w:line="320" w:lineRule="exact"/>
        <w:ind w:firstLine="420" w:firstLineChars="200"/>
        <w:textAlignment w:val="auto"/>
        <w:rPr>
          <w:rFonts w:ascii="宋体" w:hAnsi="宋体"/>
          <w:bCs/>
          <w:szCs w:val="21"/>
        </w:rPr>
      </w:pPr>
      <w:r>
        <w:rPr>
          <w:rFonts w:hint="eastAsia" w:ascii="宋体" w:hAnsi="宋体"/>
          <w:bCs/>
          <w:szCs w:val="21"/>
        </w:rPr>
        <w:t>地址：</w:t>
      </w:r>
      <w:r>
        <w:rPr>
          <w:rFonts w:hint="eastAsia" w:ascii="宋体" w:hAnsi="宋体" w:cs="Arial"/>
          <w:kern w:val="0"/>
          <w:szCs w:val="21"/>
        </w:rPr>
        <w:t>湘潭市岳塘区湘潭大道众一国际C栋三楼</w:t>
      </w:r>
    </w:p>
    <w:p w14:paraId="05C1D819">
      <w:pPr>
        <w:pStyle w:val="25"/>
        <w:pageBreakBefore w:val="0"/>
        <w:kinsoku/>
        <w:wordWrap/>
        <w:overflowPunct/>
        <w:topLinePunct w:val="0"/>
        <w:autoSpaceDE/>
        <w:autoSpaceDN/>
        <w:bidi w:val="0"/>
        <w:spacing w:after="124" w:line="320" w:lineRule="exact"/>
        <w:ind w:left="1265" w:hanging="1265"/>
        <w:jc w:val="center"/>
        <w:textAlignment w:val="auto"/>
        <w:rPr>
          <w:rFonts w:hAnsi="宋体"/>
          <w:b/>
          <w:sz w:val="84"/>
          <w:szCs w:val="84"/>
        </w:rPr>
        <w:sectPr>
          <w:footerReference r:id="rId3" w:type="default"/>
          <w:pgSz w:w="11906" w:h="16838"/>
          <w:pgMar w:top="1134" w:right="1361" w:bottom="1134" w:left="1361" w:header="851" w:footer="992" w:gutter="0"/>
          <w:cols w:space="720" w:num="1"/>
          <w:docGrid w:type="lines" w:linePitch="312" w:charSpace="0"/>
        </w:sectPr>
      </w:pPr>
      <w:bookmarkStart w:id="17" w:name="_Toc15366"/>
      <w:bookmarkStart w:id="18" w:name="_Toc17860"/>
      <w:bookmarkStart w:id="19" w:name="_Toc28735"/>
      <w:bookmarkStart w:id="20" w:name="_Toc20475"/>
      <w:bookmarkStart w:id="21" w:name="_Toc8138"/>
      <w:bookmarkStart w:id="22" w:name="_Toc31129"/>
      <w:bookmarkStart w:id="23" w:name="_Toc24204"/>
    </w:p>
    <w:p w14:paraId="36CDA36D">
      <w:pPr>
        <w:spacing w:after="124"/>
        <w:ind w:hanging="315"/>
        <w:rPr>
          <w:rFonts w:ascii="宋体" w:hAnsi="宋体" w:cs="宋体"/>
          <w:szCs w:val="21"/>
        </w:rPr>
      </w:pPr>
      <w:r>
        <w:rPr>
          <w:rFonts w:hint="eastAsia"/>
          <w:szCs w:val="21"/>
        </w:rPr>
        <w:t xml:space="preserve">附件一 </w:t>
      </w:r>
      <w:r>
        <w:rPr>
          <w:rFonts w:hint="eastAsia" w:ascii="黑体" w:hAnsi="仿宋" w:eastAsia="黑体" w:cs="宋体"/>
          <w:bCs/>
          <w:sz w:val="22"/>
          <w:szCs w:val="22"/>
        </w:rPr>
        <w:t xml:space="preserve"> </w:t>
      </w:r>
    </w:p>
    <w:p w14:paraId="168F8A32">
      <w:pPr>
        <w:spacing w:after="124" w:line="360" w:lineRule="auto"/>
        <w:ind w:left="482" w:hanging="482"/>
        <w:jc w:val="center"/>
        <w:rPr>
          <w:b/>
          <w:bCs/>
          <w:sz w:val="32"/>
          <w:szCs w:val="32"/>
        </w:rPr>
      </w:pPr>
      <w:r>
        <w:rPr>
          <w:rFonts w:hint="eastAsia"/>
          <w:b/>
          <w:bCs/>
          <w:sz w:val="32"/>
          <w:szCs w:val="32"/>
        </w:rPr>
        <w:t>湖南省政府采购供应商资格承诺函</w:t>
      </w:r>
    </w:p>
    <w:p w14:paraId="4592008C">
      <w:pPr>
        <w:widowControl/>
        <w:spacing w:after="124" w:line="360" w:lineRule="auto"/>
        <w:ind w:left="360" w:hanging="360"/>
        <w:jc w:val="left"/>
        <w:rPr>
          <w:rFonts w:ascii="仿宋_GB2312" w:hAnsi="仿宋_GB2312" w:eastAsia="仿宋_GB2312" w:cs="仿宋_GB2312"/>
          <w:kern w:val="0"/>
          <w:sz w:val="24"/>
        </w:rPr>
      </w:pPr>
    </w:p>
    <w:p w14:paraId="2EDBA7B8">
      <w:pPr>
        <w:spacing w:after="124" w:line="360" w:lineRule="auto"/>
        <w:jc w:val="left"/>
        <w:rPr>
          <w:szCs w:val="21"/>
        </w:rPr>
      </w:pPr>
      <w:r>
        <w:rPr>
          <w:rFonts w:hint="eastAsia"/>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54A53B5">
      <w:pPr>
        <w:spacing w:after="124" w:line="360" w:lineRule="auto"/>
        <w:jc w:val="left"/>
        <w:rPr>
          <w:szCs w:val="21"/>
        </w:rPr>
      </w:pPr>
      <w:r>
        <w:rPr>
          <w:rFonts w:hint="eastAsia"/>
          <w:szCs w:val="21"/>
        </w:rPr>
        <w:t>按照《政府采购促进中小企业发展管理办法》（财库〔</w:t>
      </w:r>
      <w:r>
        <w:rPr>
          <w:szCs w:val="21"/>
        </w:rPr>
        <w:t>2020</w:t>
      </w:r>
      <w:r>
        <w:rPr>
          <w:rFonts w:hint="eastAsia"/>
          <w:szCs w:val="21"/>
        </w:rPr>
        <w:t>〕</w:t>
      </w:r>
      <w:r>
        <w:rPr>
          <w:szCs w:val="21"/>
        </w:rPr>
        <w:t>46</w:t>
      </w:r>
      <w:r>
        <w:rPr>
          <w:rFonts w:hint="eastAsia"/>
          <w:szCs w:val="21"/>
        </w:rPr>
        <w:t>号），本公司企业规模为：大型</w:t>
      </w:r>
      <w:r>
        <w:rPr>
          <w:rFonts w:hint="eastAsia" w:ascii="仿宋" w:hAnsi="仿宋" w:eastAsia="仿宋"/>
          <w:kern w:val="0"/>
          <w:szCs w:val="21"/>
        </w:rPr>
        <w:t>□</w:t>
      </w:r>
      <w:r>
        <w:rPr>
          <w:rFonts w:hint="eastAsia"/>
          <w:szCs w:val="21"/>
        </w:rPr>
        <w:t>中型</w:t>
      </w:r>
      <w:r>
        <w:rPr>
          <w:rFonts w:hint="eastAsia" w:ascii="仿宋" w:hAnsi="仿宋" w:eastAsia="仿宋"/>
          <w:kern w:val="0"/>
          <w:szCs w:val="21"/>
        </w:rPr>
        <w:t>□</w:t>
      </w:r>
      <w:r>
        <w:rPr>
          <w:rFonts w:hint="eastAsia"/>
          <w:szCs w:val="21"/>
        </w:rPr>
        <w:t>小型</w:t>
      </w:r>
      <w:r>
        <w:rPr>
          <w:rFonts w:hint="eastAsia" w:ascii="仿宋" w:hAnsi="仿宋" w:eastAsia="仿宋"/>
          <w:kern w:val="0"/>
          <w:szCs w:val="21"/>
        </w:rPr>
        <w:t>□</w:t>
      </w:r>
      <w:r>
        <w:rPr>
          <w:rFonts w:hint="eastAsia"/>
          <w:szCs w:val="21"/>
        </w:rPr>
        <w:t>微型</w:t>
      </w:r>
      <w:r>
        <w:rPr>
          <w:rFonts w:hint="eastAsia" w:ascii="仿宋" w:hAnsi="仿宋" w:eastAsia="仿宋"/>
          <w:kern w:val="0"/>
          <w:szCs w:val="21"/>
        </w:rPr>
        <w:t>□</w:t>
      </w:r>
    </w:p>
    <w:p w14:paraId="7D107EF5">
      <w:pPr>
        <w:spacing w:after="124" w:line="360" w:lineRule="auto"/>
        <w:jc w:val="left"/>
        <w:rPr>
          <w:szCs w:val="21"/>
        </w:rPr>
      </w:pPr>
      <w:r>
        <w:rPr>
          <w:rFonts w:hint="eastAsia" w:ascii="仿宋" w:hAnsi="仿宋" w:eastAsia="仿宋"/>
          <w:kern w:val="0"/>
          <w:szCs w:val="21"/>
        </w:rPr>
        <w:t>□</w:t>
      </w:r>
      <w:r>
        <w:rPr>
          <w:rFonts w:hint="eastAsia"/>
          <w:szCs w:val="21"/>
        </w:rPr>
        <w:t>本公司自愿入驻湖南省政府采购电子卖场，遵守《湖南省政府采购电子卖场管理办法》（湘财购〔</w:t>
      </w:r>
      <w:r>
        <w:rPr>
          <w:szCs w:val="21"/>
        </w:rPr>
        <w:t>2019</w:t>
      </w:r>
      <w:r>
        <w:rPr>
          <w:rFonts w:hint="eastAsia"/>
          <w:szCs w:val="21"/>
        </w:rPr>
        <w:t>〕</w:t>
      </w:r>
      <w:r>
        <w:rPr>
          <w:szCs w:val="21"/>
        </w:rPr>
        <w:t>27</w:t>
      </w:r>
      <w:r>
        <w:rPr>
          <w:rFonts w:hint="eastAsia"/>
          <w:szCs w:val="21"/>
        </w:rPr>
        <w:t>号），如违反承诺，同意金融机构将增信保证划缴国库（非电子卖场采购活动项目不需勾选）。</w:t>
      </w:r>
    </w:p>
    <w:p w14:paraId="784B9EB3">
      <w:pPr>
        <w:spacing w:after="124" w:line="360" w:lineRule="auto"/>
        <w:ind w:hanging="315"/>
        <w:jc w:val="left"/>
        <w:rPr>
          <w:szCs w:val="21"/>
        </w:rPr>
      </w:pPr>
    </w:p>
    <w:p w14:paraId="0B4E621E">
      <w:pPr>
        <w:spacing w:after="124" w:line="360" w:lineRule="auto"/>
        <w:ind w:hanging="315"/>
        <w:jc w:val="left"/>
        <w:rPr>
          <w:szCs w:val="21"/>
        </w:rPr>
      </w:pPr>
      <w:r>
        <w:rPr>
          <w:rFonts w:hint="eastAsia"/>
          <w:szCs w:val="21"/>
        </w:rPr>
        <w:t>公司（单位）名称（盖章）</w:t>
      </w:r>
    </w:p>
    <w:p w14:paraId="75F51B72">
      <w:pPr>
        <w:spacing w:after="124" w:line="360" w:lineRule="auto"/>
        <w:ind w:hanging="315"/>
        <w:jc w:val="right"/>
        <w:rPr>
          <w:szCs w:val="21"/>
        </w:rPr>
      </w:pPr>
    </w:p>
    <w:p w14:paraId="08CB35D0">
      <w:pPr>
        <w:spacing w:after="124" w:line="360" w:lineRule="auto"/>
        <w:ind w:hanging="315"/>
        <w:jc w:val="right"/>
        <w:rPr>
          <w:szCs w:val="21"/>
        </w:rPr>
      </w:pPr>
      <w:r>
        <w:rPr>
          <w:rFonts w:hint="eastAsia"/>
          <w:szCs w:val="21"/>
        </w:rPr>
        <w:t>年    月    日</w:t>
      </w:r>
    </w:p>
    <w:p w14:paraId="52BE58D7">
      <w:pPr>
        <w:spacing w:after="124" w:line="360" w:lineRule="auto"/>
        <w:ind w:hanging="315"/>
        <w:jc w:val="left"/>
        <w:rPr>
          <w:szCs w:val="21"/>
        </w:rPr>
      </w:pPr>
    </w:p>
    <w:p w14:paraId="5ED8079E">
      <w:pPr>
        <w:spacing w:after="124" w:line="360" w:lineRule="auto"/>
        <w:ind w:hanging="315"/>
        <w:jc w:val="left"/>
        <w:rPr>
          <w:szCs w:val="21"/>
        </w:rPr>
      </w:pPr>
      <w:r>
        <w:rPr>
          <w:rFonts w:hint="eastAsia"/>
          <w:szCs w:val="21"/>
        </w:rPr>
        <w:t>机构代码、注册登记机构、日期、有效期、注册资本、地址、经济行业、经济性质</w:t>
      </w:r>
    </w:p>
    <w:p w14:paraId="5A46BE5F">
      <w:pPr>
        <w:spacing w:after="124" w:line="360" w:lineRule="auto"/>
        <w:ind w:hanging="315"/>
        <w:jc w:val="left"/>
        <w:rPr>
          <w:szCs w:val="21"/>
        </w:rPr>
      </w:pPr>
    </w:p>
    <w:p w14:paraId="12039B94">
      <w:pPr>
        <w:spacing w:after="124" w:line="360" w:lineRule="auto"/>
        <w:ind w:hanging="315"/>
        <w:jc w:val="left"/>
        <w:rPr>
          <w:szCs w:val="21"/>
        </w:rPr>
      </w:pPr>
    </w:p>
    <w:p w14:paraId="64BC9FA6">
      <w:pPr>
        <w:spacing w:after="124" w:line="360" w:lineRule="auto"/>
        <w:ind w:hanging="315"/>
        <w:jc w:val="left"/>
        <w:rPr>
          <w:szCs w:val="21"/>
        </w:rPr>
      </w:pPr>
      <w:r>
        <w:rPr>
          <w:rFonts w:hint="eastAsia"/>
          <w:szCs w:val="21"/>
        </w:rPr>
        <w:t>法定代表人（负责人）姓名（签字）、身份证号、手机号：</w:t>
      </w:r>
    </w:p>
    <w:p w14:paraId="05485D98">
      <w:pPr>
        <w:spacing w:after="124" w:line="360" w:lineRule="auto"/>
        <w:ind w:hanging="315"/>
        <w:jc w:val="left"/>
        <w:rPr>
          <w:szCs w:val="21"/>
        </w:rPr>
      </w:pPr>
      <w:r>
        <w:rPr>
          <w:rFonts w:hint="eastAsia"/>
          <w:szCs w:val="21"/>
        </w:rPr>
        <w:t>授权代表人姓名（签字）、身份证号、手机号：</w:t>
      </w:r>
    </w:p>
    <w:p w14:paraId="66C5E7B6">
      <w:pPr>
        <w:widowControl/>
        <w:adjustRightInd w:val="0"/>
        <w:snapToGrid w:val="0"/>
        <w:spacing w:before="156" w:beforeLines="50" w:after="124" w:line="360" w:lineRule="auto"/>
        <w:ind w:firstLine="420" w:firstLineChars="200"/>
        <w:jc w:val="left"/>
        <w:rPr>
          <w:rFonts w:ascii="宋体" w:hAnsi="宋体"/>
          <w:szCs w:val="21"/>
        </w:rPr>
      </w:pPr>
    </w:p>
    <w:p w14:paraId="414B1BC7">
      <w:pPr>
        <w:snapToGrid w:val="0"/>
        <w:spacing w:after="124" w:line="360" w:lineRule="auto"/>
        <w:ind w:left="450" w:right="24" w:hanging="450"/>
        <w:textAlignment w:val="baseline"/>
        <w:rPr>
          <w:rStyle w:val="110"/>
          <w:rFonts w:ascii="黑体" w:hAnsi="黑体" w:eastAsia="黑体"/>
          <w:bCs/>
          <w:sz w:val="30"/>
          <w:szCs w:val="30"/>
        </w:rPr>
      </w:pPr>
      <w:r>
        <w:rPr>
          <w:rStyle w:val="110"/>
          <w:rFonts w:ascii="黑体" w:hAnsi="黑体" w:eastAsia="黑体"/>
          <w:bCs/>
          <w:sz w:val="30"/>
          <w:szCs w:val="30"/>
        </w:rPr>
        <w:br w:type="page"/>
      </w:r>
      <w:r>
        <w:rPr>
          <w:rFonts w:hint="eastAsia"/>
          <w:szCs w:val="21"/>
        </w:rPr>
        <w:t>附件二</w:t>
      </w:r>
    </w:p>
    <w:p w14:paraId="649828F2">
      <w:pPr>
        <w:snapToGrid w:val="0"/>
        <w:spacing w:before="120" w:after="124" w:line="360" w:lineRule="auto"/>
        <w:ind w:left="450" w:hanging="450"/>
        <w:jc w:val="center"/>
        <w:textAlignment w:val="baseline"/>
        <w:rPr>
          <w:rStyle w:val="110"/>
          <w:rFonts w:ascii="黑体" w:hAnsi="黑体" w:eastAsia="黑体"/>
          <w:bCs/>
          <w:sz w:val="30"/>
          <w:szCs w:val="30"/>
        </w:rPr>
      </w:pPr>
      <w:r>
        <w:rPr>
          <w:rStyle w:val="110"/>
          <w:rFonts w:ascii="黑体" w:hAnsi="黑体" w:eastAsia="黑体"/>
          <w:bCs/>
          <w:sz w:val="30"/>
          <w:szCs w:val="30"/>
        </w:rPr>
        <w:t>法定代表人身份证明(法定代表人参加磋商)</w:t>
      </w:r>
    </w:p>
    <w:p w14:paraId="7173553E">
      <w:pPr>
        <w:snapToGrid w:val="0"/>
        <w:spacing w:after="124" w:line="480" w:lineRule="auto"/>
        <w:ind w:hanging="315"/>
        <w:textAlignment w:val="baseline"/>
        <w:rPr>
          <w:rStyle w:val="110"/>
          <w:rFonts w:ascii="宋体" w:hAnsi="宋体"/>
          <w:szCs w:val="21"/>
        </w:rPr>
      </w:pPr>
    </w:p>
    <w:p w14:paraId="339BBE0D">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szCs w:val="21"/>
        </w:rPr>
        <w:t>供应商</w:t>
      </w:r>
      <w:r>
        <w:rPr>
          <w:rStyle w:val="110"/>
          <w:rFonts w:ascii="宋体" w:hAnsi="宋体"/>
          <w:kern w:val="0"/>
          <w:szCs w:val="21"/>
        </w:rPr>
        <w:t>名称：</w:t>
      </w:r>
      <w:r>
        <w:rPr>
          <w:rStyle w:val="110"/>
          <w:rFonts w:ascii="宋体" w:hAnsi="宋体"/>
          <w:kern w:val="0"/>
          <w:szCs w:val="21"/>
          <w:u w:val="single" w:color="000000"/>
        </w:rPr>
        <w:t xml:space="preserve">                  </w:t>
      </w:r>
      <w:r>
        <w:rPr>
          <w:rStyle w:val="110"/>
          <w:rFonts w:ascii="宋体" w:hAnsi="宋体"/>
          <w:kern w:val="0"/>
          <w:szCs w:val="21"/>
        </w:rPr>
        <w:t xml:space="preserve"> </w:t>
      </w:r>
    </w:p>
    <w:p w14:paraId="089BACA7">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kern w:val="0"/>
          <w:szCs w:val="21"/>
        </w:rPr>
        <w:t>注册号：</w:t>
      </w:r>
      <w:r>
        <w:rPr>
          <w:rStyle w:val="110"/>
          <w:rFonts w:ascii="宋体" w:hAnsi="宋体"/>
          <w:kern w:val="0"/>
          <w:szCs w:val="21"/>
          <w:u w:val="single" w:color="000000"/>
        </w:rPr>
        <w:t xml:space="preserve">                  </w:t>
      </w:r>
    </w:p>
    <w:p w14:paraId="31E9F368">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kern w:val="0"/>
          <w:szCs w:val="21"/>
        </w:rPr>
        <w:t>注册地址：</w:t>
      </w:r>
      <w:r>
        <w:rPr>
          <w:rStyle w:val="110"/>
          <w:rFonts w:ascii="宋体" w:hAnsi="宋体"/>
          <w:kern w:val="0"/>
          <w:szCs w:val="21"/>
          <w:u w:val="single" w:color="000000"/>
        </w:rPr>
        <w:t xml:space="preserve">                                    </w:t>
      </w:r>
    </w:p>
    <w:p w14:paraId="445AEA19">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kern w:val="0"/>
          <w:szCs w:val="21"/>
        </w:rPr>
        <w:t xml:space="preserve">成立时间： </w:t>
      </w:r>
      <w:r>
        <w:rPr>
          <w:rStyle w:val="110"/>
          <w:rFonts w:ascii="宋体" w:hAnsi="宋体"/>
          <w:kern w:val="0"/>
          <w:szCs w:val="21"/>
          <w:u w:val="single" w:color="000000"/>
        </w:rPr>
        <w:t xml:space="preserve">       </w:t>
      </w:r>
      <w:r>
        <w:rPr>
          <w:rStyle w:val="110"/>
          <w:rFonts w:ascii="宋体" w:hAnsi="宋体"/>
          <w:kern w:val="0"/>
          <w:szCs w:val="21"/>
        </w:rPr>
        <w:t xml:space="preserve">年 </w:t>
      </w:r>
      <w:r>
        <w:rPr>
          <w:rStyle w:val="110"/>
          <w:rFonts w:ascii="宋体" w:hAnsi="宋体"/>
          <w:kern w:val="0"/>
          <w:szCs w:val="21"/>
          <w:u w:val="single" w:color="000000"/>
        </w:rPr>
        <w:t xml:space="preserve">     </w:t>
      </w:r>
      <w:r>
        <w:rPr>
          <w:rStyle w:val="110"/>
          <w:rFonts w:ascii="宋体" w:hAnsi="宋体"/>
          <w:kern w:val="0"/>
          <w:szCs w:val="21"/>
        </w:rPr>
        <w:t>月</w:t>
      </w:r>
      <w:r>
        <w:rPr>
          <w:rStyle w:val="110"/>
          <w:rFonts w:ascii="宋体" w:hAnsi="宋体"/>
          <w:kern w:val="0"/>
          <w:szCs w:val="21"/>
          <w:u w:val="single" w:color="000000"/>
        </w:rPr>
        <w:t xml:space="preserve">    </w:t>
      </w:r>
      <w:r>
        <w:rPr>
          <w:rStyle w:val="110"/>
          <w:rFonts w:ascii="宋体" w:hAnsi="宋体"/>
          <w:kern w:val="0"/>
          <w:szCs w:val="21"/>
        </w:rPr>
        <w:t xml:space="preserve"> 日</w:t>
      </w:r>
    </w:p>
    <w:p w14:paraId="3BC21738">
      <w:pPr>
        <w:snapToGrid w:val="0"/>
        <w:spacing w:before="120" w:after="124" w:line="360" w:lineRule="auto"/>
        <w:ind w:hanging="315"/>
        <w:jc w:val="left"/>
        <w:textAlignment w:val="baseline"/>
        <w:rPr>
          <w:rStyle w:val="110"/>
          <w:rFonts w:ascii="宋体" w:hAnsi="宋体"/>
          <w:kern w:val="0"/>
          <w:szCs w:val="21"/>
          <w:u w:val="single" w:color="000000"/>
        </w:rPr>
      </w:pPr>
      <w:r>
        <w:rPr>
          <w:rStyle w:val="110"/>
          <w:rFonts w:ascii="宋体" w:hAnsi="宋体"/>
          <w:kern w:val="0"/>
          <w:szCs w:val="21"/>
        </w:rPr>
        <w:t>经营期限：</w:t>
      </w:r>
      <w:r>
        <w:rPr>
          <w:rStyle w:val="110"/>
          <w:rFonts w:ascii="宋体" w:hAnsi="宋体"/>
          <w:kern w:val="0"/>
          <w:szCs w:val="21"/>
          <w:u w:val="single" w:color="000000"/>
        </w:rPr>
        <w:t xml:space="preserve">                  </w:t>
      </w:r>
    </w:p>
    <w:p w14:paraId="7AE848D6">
      <w:pPr>
        <w:snapToGrid w:val="0"/>
        <w:spacing w:before="120" w:after="124" w:line="360" w:lineRule="auto"/>
        <w:ind w:hanging="315"/>
        <w:jc w:val="left"/>
        <w:textAlignment w:val="baseline"/>
        <w:rPr>
          <w:rStyle w:val="110"/>
          <w:rFonts w:ascii="宋体" w:hAnsi="宋体"/>
          <w:kern w:val="0"/>
          <w:szCs w:val="21"/>
          <w:u w:val="single" w:color="000000"/>
        </w:rPr>
      </w:pPr>
      <w:r>
        <w:rPr>
          <w:rStyle w:val="110"/>
          <w:rFonts w:ascii="宋体" w:hAnsi="宋体"/>
          <w:kern w:val="0"/>
          <w:szCs w:val="21"/>
        </w:rPr>
        <w:t>经营范围：主营：</w:t>
      </w:r>
      <w:r>
        <w:rPr>
          <w:rStyle w:val="110"/>
          <w:rFonts w:ascii="宋体" w:hAnsi="宋体"/>
          <w:kern w:val="0"/>
          <w:szCs w:val="21"/>
          <w:u w:val="single" w:color="000000"/>
        </w:rPr>
        <w:t xml:space="preserve">              </w:t>
      </w:r>
      <w:r>
        <w:rPr>
          <w:rStyle w:val="110"/>
          <w:rFonts w:ascii="宋体" w:hAnsi="宋体"/>
          <w:kern w:val="0"/>
          <w:szCs w:val="21"/>
        </w:rPr>
        <w:t xml:space="preserve"> ；兼营：</w:t>
      </w:r>
      <w:r>
        <w:rPr>
          <w:rStyle w:val="110"/>
          <w:rFonts w:ascii="宋体" w:hAnsi="宋体"/>
          <w:kern w:val="0"/>
          <w:szCs w:val="21"/>
          <w:u w:val="single" w:color="000000"/>
        </w:rPr>
        <w:t xml:space="preserve">              </w:t>
      </w:r>
    </w:p>
    <w:p w14:paraId="33F206D0">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kern w:val="0"/>
          <w:szCs w:val="21"/>
        </w:rPr>
        <w:t>姓名：</w:t>
      </w:r>
      <w:r>
        <w:rPr>
          <w:rStyle w:val="110"/>
          <w:rFonts w:ascii="宋体" w:hAnsi="宋体"/>
          <w:kern w:val="0"/>
          <w:szCs w:val="21"/>
          <w:u w:val="single" w:color="000000"/>
        </w:rPr>
        <w:t xml:space="preserve">         </w:t>
      </w:r>
      <w:r>
        <w:rPr>
          <w:rStyle w:val="110"/>
          <w:rFonts w:ascii="宋体" w:hAnsi="宋体"/>
          <w:kern w:val="0"/>
          <w:szCs w:val="21"/>
        </w:rPr>
        <w:t xml:space="preserve"> 性别：</w:t>
      </w:r>
      <w:r>
        <w:rPr>
          <w:rStyle w:val="110"/>
          <w:rFonts w:ascii="宋体" w:hAnsi="宋体"/>
          <w:kern w:val="0"/>
          <w:szCs w:val="21"/>
          <w:u w:val="single" w:color="000000"/>
        </w:rPr>
        <w:t xml:space="preserve">      </w:t>
      </w:r>
      <w:r>
        <w:rPr>
          <w:rStyle w:val="110"/>
          <w:rFonts w:ascii="宋体" w:hAnsi="宋体"/>
          <w:kern w:val="0"/>
          <w:szCs w:val="21"/>
        </w:rPr>
        <w:t xml:space="preserve"> 年龄：</w:t>
      </w:r>
      <w:r>
        <w:rPr>
          <w:rStyle w:val="110"/>
          <w:rFonts w:ascii="宋体" w:hAnsi="宋体"/>
          <w:kern w:val="0"/>
          <w:szCs w:val="21"/>
          <w:u w:val="single" w:color="000000"/>
        </w:rPr>
        <w:t xml:space="preserve">         </w:t>
      </w:r>
      <w:r>
        <w:rPr>
          <w:rStyle w:val="110"/>
          <w:rFonts w:ascii="宋体" w:hAnsi="宋体"/>
          <w:kern w:val="0"/>
          <w:szCs w:val="21"/>
        </w:rPr>
        <w:t xml:space="preserve"> 系</w:t>
      </w:r>
      <w:r>
        <w:rPr>
          <w:rStyle w:val="110"/>
          <w:rFonts w:ascii="宋体" w:hAnsi="宋体"/>
          <w:kern w:val="0"/>
          <w:szCs w:val="21"/>
          <w:u w:val="single" w:color="000000"/>
        </w:rPr>
        <w:t xml:space="preserve">      </w:t>
      </w:r>
      <w:r>
        <w:rPr>
          <w:rStyle w:val="110"/>
          <w:rFonts w:ascii="宋体" w:hAnsi="宋体"/>
          <w:kern w:val="0"/>
          <w:szCs w:val="21"/>
        </w:rPr>
        <w:t>（</w:t>
      </w:r>
      <w:r>
        <w:rPr>
          <w:rStyle w:val="110"/>
          <w:rFonts w:ascii="宋体" w:hAnsi="宋体"/>
          <w:szCs w:val="21"/>
        </w:rPr>
        <w:t>供应商</w:t>
      </w:r>
      <w:r>
        <w:rPr>
          <w:rStyle w:val="110"/>
          <w:rFonts w:ascii="宋体" w:hAnsi="宋体"/>
          <w:kern w:val="0"/>
          <w:szCs w:val="21"/>
        </w:rPr>
        <w:t>名称）的法定代表人。</w:t>
      </w:r>
    </w:p>
    <w:p w14:paraId="1BE3D772">
      <w:pPr>
        <w:snapToGrid w:val="0"/>
        <w:spacing w:before="120" w:after="124" w:line="360" w:lineRule="auto"/>
        <w:ind w:hanging="315"/>
        <w:jc w:val="left"/>
        <w:textAlignment w:val="baseline"/>
        <w:rPr>
          <w:rStyle w:val="110"/>
          <w:rFonts w:ascii="宋体" w:hAnsi="宋体"/>
          <w:kern w:val="0"/>
          <w:szCs w:val="21"/>
        </w:rPr>
      </w:pPr>
      <w:r>
        <w:rPr>
          <w:rStyle w:val="110"/>
          <w:rFonts w:ascii="宋体" w:hAnsi="宋体"/>
          <w:kern w:val="0"/>
          <w:szCs w:val="21"/>
        </w:rPr>
        <w:t>特此证明。</w:t>
      </w:r>
    </w:p>
    <w:p w14:paraId="0A461D47">
      <w:pPr>
        <w:snapToGrid w:val="0"/>
        <w:spacing w:after="124" w:line="360" w:lineRule="auto"/>
        <w:ind w:left="316" w:hanging="316"/>
        <w:jc w:val="left"/>
        <w:textAlignment w:val="baseline"/>
        <w:rPr>
          <w:rStyle w:val="110"/>
          <w:rFonts w:ascii="宋体" w:hAnsi="宋体" w:cs="宋体"/>
          <w:b/>
          <w:bCs/>
          <w:kern w:val="0"/>
          <w:szCs w:val="21"/>
        </w:rPr>
      </w:pPr>
      <w:r>
        <w:rPr>
          <w:rStyle w:val="110"/>
          <w:rFonts w:ascii="宋体" w:hAnsi="宋体"/>
          <w:b/>
          <w:bCs/>
          <w:szCs w:val="21"/>
        </w:rPr>
        <w:t>附：法定代表人身份证复印件</w:t>
      </w:r>
    </w:p>
    <w:tbl>
      <w:tblPr>
        <w:tblStyle w:val="47"/>
        <w:tblW w:w="874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0"/>
        <w:gridCol w:w="4370"/>
      </w:tblGrid>
      <w:tr w14:paraId="450D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4" w:hRule="atLeast"/>
        </w:trPr>
        <w:tc>
          <w:tcPr>
            <w:tcW w:w="4370" w:type="dxa"/>
            <w:tcBorders>
              <w:top w:val="single" w:color="000000" w:sz="4" w:space="0"/>
              <w:left w:val="single" w:color="000000" w:sz="4" w:space="0"/>
              <w:bottom w:val="single" w:color="000000" w:sz="4" w:space="0"/>
              <w:right w:val="single" w:color="000000" w:sz="4" w:space="0"/>
            </w:tcBorders>
            <w:vAlign w:val="center"/>
          </w:tcPr>
          <w:p w14:paraId="4C4C6F98">
            <w:pPr>
              <w:snapToGrid w:val="0"/>
              <w:spacing w:after="124" w:line="480" w:lineRule="auto"/>
              <w:ind w:hanging="315"/>
              <w:jc w:val="center"/>
              <w:textAlignment w:val="baseline"/>
              <w:rPr>
                <w:rStyle w:val="110"/>
                <w:rFonts w:ascii="宋体" w:hAnsi="宋体"/>
                <w:szCs w:val="21"/>
              </w:rPr>
            </w:pPr>
            <w:r>
              <w:rPr>
                <w:rStyle w:val="110"/>
                <w:rFonts w:ascii="宋体" w:hAnsi="宋体"/>
                <w:szCs w:val="21"/>
              </w:rPr>
              <w:t>正面</w:t>
            </w:r>
          </w:p>
        </w:tc>
        <w:tc>
          <w:tcPr>
            <w:tcW w:w="4370" w:type="dxa"/>
            <w:tcBorders>
              <w:top w:val="single" w:color="000000" w:sz="4" w:space="0"/>
              <w:left w:val="single" w:color="000000" w:sz="4" w:space="0"/>
              <w:bottom w:val="single" w:color="000000" w:sz="4" w:space="0"/>
              <w:right w:val="single" w:color="000000" w:sz="4" w:space="0"/>
            </w:tcBorders>
            <w:vAlign w:val="center"/>
          </w:tcPr>
          <w:p w14:paraId="4B09E10D">
            <w:pPr>
              <w:snapToGrid w:val="0"/>
              <w:spacing w:after="124" w:line="480" w:lineRule="auto"/>
              <w:ind w:hanging="315"/>
              <w:jc w:val="center"/>
              <w:textAlignment w:val="baseline"/>
              <w:rPr>
                <w:rStyle w:val="110"/>
                <w:rFonts w:ascii="宋体" w:hAnsi="宋体"/>
                <w:szCs w:val="21"/>
              </w:rPr>
            </w:pPr>
            <w:r>
              <w:rPr>
                <w:rStyle w:val="110"/>
                <w:rFonts w:ascii="宋体" w:hAnsi="宋体"/>
                <w:szCs w:val="21"/>
              </w:rPr>
              <w:t>反面</w:t>
            </w:r>
          </w:p>
        </w:tc>
      </w:tr>
    </w:tbl>
    <w:p w14:paraId="48DDC50F">
      <w:pPr>
        <w:snapToGrid w:val="0"/>
        <w:spacing w:after="124" w:line="480" w:lineRule="auto"/>
        <w:ind w:hanging="315"/>
        <w:textAlignment w:val="baseline"/>
        <w:rPr>
          <w:rStyle w:val="110"/>
          <w:rFonts w:ascii="宋体" w:hAnsi="宋体"/>
          <w:szCs w:val="21"/>
        </w:rPr>
      </w:pPr>
    </w:p>
    <w:p w14:paraId="60B465D3">
      <w:pPr>
        <w:snapToGrid w:val="0"/>
        <w:spacing w:after="124"/>
        <w:ind w:hanging="315"/>
        <w:textAlignment w:val="baseline"/>
        <w:rPr>
          <w:rStyle w:val="110"/>
          <w:rFonts w:ascii="宋体" w:hAnsi="宋体"/>
          <w:szCs w:val="21"/>
        </w:rPr>
      </w:pPr>
    </w:p>
    <w:p w14:paraId="0527275A">
      <w:pPr>
        <w:snapToGrid w:val="0"/>
        <w:spacing w:after="124" w:line="360" w:lineRule="auto"/>
        <w:ind w:hanging="315"/>
        <w:textAlignment w:val="baseline"/>
        <w:rPr>
          <w:rStyle w:val="110"/>
          <w:rFonts w:ascii="宋体" w:hAnsi="宋体"/>
          <w:szCs w:val="21"/>
        </w:rPr>
      </w:pPr>
    </w:p>
    <w:p w14:paraId="7E7A1D9C">
      <w:pPr>
        <w:snapToGrid w:val="0"/>
        <w:spacing w:after="124" w:line="360" w:lineRule="auto"/>
        <w:ind w:right="420" w:hanging="315"/>
        <w:textAlignment w:val="baseline"/>
        <w:rPr>
          <w:rStyle w:val="110"/>
          <w:rFonts w:ascii="宋体" w:hAnsi="宋体"/>
          <w:szCs w:val="21"/>
        </w:rPr>
      </w:pPr>
      <w:r>
        <w:rPr>
          <w:rStyle w:val="110"/>
          <w:rFonts w:ascii="宋体" w:hAnsi="宋体"/>
          <w:szCs w:val="21"/>
        </w:rPr>
        <w:t>供应商名称（盖单位章）：</w:t>
      </w:r>
    </w:p>
    <w:p w14:paraId="24F05609">
      <w:pPr>
        <w:snapToGrid w:val="0"/>
        <w:spacing w:after="124" w:line="360" w:lineRule="auto"/>
        <w:ind w:right="420" w:hanging="315"/>
        <w:textAlignment w:val="baseline"/>
        <w:rPr>
          <w:rStyle w:val="110"/>
          <w:rFonts w:ascii="仿宋_GB2312" w:hAnsi="宋体" w:eastAsia="仿宋_GB2312"/>
          <w:szCs w:val="21"/>
        </w:rPr>
      </w:pPr>
      <w:r>
        <w:rPr>
          <w:rStyle w:val="110"/>
          <w:rFonts w:ascii="宋体" w:hAnsi="宋体"/>
          <w:szCs w:val="21"/>
        </w:rPr>
        <w:t>日期：</w:t>
      </w:r>
      <w:r>
        <w:rPr>
          <w:rStyle w:val="110"/>
          <w:rFonts w:ascii="宋体" w:hAnsi="宋体"/>
          <w:szCs w:val="21"/>
          <w:u w:val="single" w:color="000000"/>
        </w:rPr>
        <w:t xml:space="preserve">        </w:t>
      </w:r>
      <w:r>
        <w:rPr>
          <w:rStyle w:val="110"/>
          <w:rFonts w:ascii="宋体" w:hAnsi="宋体"/>
          <w:szCs w:val="21"/>
        </w:rPr>
        <w:t>年</w:t>
      </w:r>
      <w:r>
        <w:rPr>
          <w:rStyle w:val="110"/>
          <w:rFonts w:ascii="宋体" w:hAnsi="宋体"/>
          <w:szCs w:val="21"/>
          <w:u w:val="single" w:color="000000"/>
        </w:rPr>
        <w:t xml:space="preserve">     </w:t>
      </w:r>
      <w:r>
        <w:rPr>
          <w:rStyle w:val="110"/>
          <w:rFonts w:ascii="宋体" w:hAnsi="宋体"/>
          <w:szCs w:val="21"/>
        </w:rPr>
        <w:t>月</w:t>
      </w:r>
      <w:r>
        <w:rPr>
          <w:rStyle w:val="110"/>
          <w:rFonts w:ascii="宋体" w:hAnsi="宋体"/>
          <w:szCs w:val="21"/>
          <w:u w:val="single" w:color="000000"/>
        </w:rPr>
        <w:t xml:space="preserve">    </w:t>
      </w:r>
      <w:r>
        <w:rPr>
          <w:rStyle w:val="110"/>
          <w:rFonts w:ascii="宋体" w:hAnsi="宋体"/>
          <w:szCs w:val="21"/>
        </w:rPr>
        <w:t xml:space="preserve">日      </w:t>
      </w:r>
    </w:p>
    <w:p w14:paraId="066806F7">
      <w:pPr>
        <w:snapToGrid w:val="0"/>
        <w:spacing w:before="120" w:after="124" w:line="360" w:lineRule="auto"/>
        <w:ind w:hanging="315"/>
        <w:textAlignment w:val="baseline"/>
        <w:rPr>
          <w:rStyle w:val="110"/>
          <w:rFonts w:ascii="仿宋_GB2312" w:hAnsi="宋体" w:eastAsia="仿宋_GB2312"/>
          <w:szCs w:val="21"/>
        </w:rPr>
      </w:pPr>
    </w:p>
    <w:p w14:paraId="44665281">
      <w:pPr>
        <w:snapToGrid w:val="0"/>
        <w:spacing w:after="124" w:line="360" w:lineRule="exact"/>
        <w:ind w:left="316" w:hanging="316"/>
        <w:textAlignment w:val="baseline"/>
        <w:rPr>
          <w:rStyle w:val="110"/>
          <w:rFonts w:ascii="宋体" w:hAnsi="宋体"/>
          <w:b/>
        </w:rPr>
      </w:pPr>
      <w:r>
        <w:rPr>
          <w:rStyle w:val="110"/>
          <w:rFonts w:ascii="宋体" w:hAnsi="宋体"/>
          <w:b/>
          <w:szCs w:val="21"/>
        </w:rPr>
        <w:t>★法定代表人参与投标的，请将此身份证明单独另备一份与法定代表人身份证原件于开标现场身份验证时使用。</w:t>
      </w:r>
    </w:p>
    <w:p w14:paraId="279521DB">
      <w:pPr>
        <w:snapToGrid w:val="0"/>
        <w:spacing w:after="124"/>
        <w:ind w:left="450" w:hanging="450"/>
        <w:textAlignment w:val="baseline"/>
        <w:rPr>
          <w:rStyle w:val="110"/>
          <w:rFonts w:ascii="黑体" w:hAnsi="黑体" w:eastAsia="黑体"/>
          <w:bCs/>
          <w:sz w:val="30"/>
          <w:szCs w:val="30"/>
        </w:rPr>
      </w:pPr>
    </w:p>
    <w:p w14:paraId="46B151EF">
      <w:pPr>
        <w:pStyle w:val="282"/>
        <w:widowControl/>
        <w:snapToGrid w:val="0"/>
        <w:spacing w:after="124"/>
        <w:ind w:left="422" w:hanging="422"/>
        <w:rPr>
          <w:rStyle w:val="110"/>
        </w:rPr>
      </w:pPr>
    </w:p>
    <w:p w14:paraId="2349A15B">
      <w:pPr>
        <w:snapToGrid w:val="0"/>
        <w:spacing w:after="124" w:line="360" w:lineRule="auto"/>
        <w:ind w:right="24" w:hanging="315"/>
        <w:textAlignment w:val="baseline"/>
        <w:rPr>
          <w:szCs w:val="21"/>
        </w:rPr>
      </w:pPr>
      <w:r>
        <w:rPr>
          <w:rFonts w:hint="eastAsia"/>
          <w:szCs w:val="21"/>
        </w:rPr>
        <w:br w:type="page"/>
      </w:r>
      <w:r>
        <w:rPr>
          <w:rFonts w:hint="eastAsia"/>
          <w:szCs w:val="21"/>
        </w:rPr>
        <w:t>附件三</w:t>
      </w:r>
    </w:p>
    <w:p w14:paraId="64A540C9">
      <w:pPr>
        <w:snapToGrid w:val="0"/>
        <w:spacing w:after="124" w:line="360" w:lineRule="exact"/>
        <w:ind w:left="482" w:hanging="482"/>
        <w:jc w:val="center"/>
        <w:textAlignment w:val="baseline"/>
        <w:rPr>
          <w:rStyle w:val="110"/>
          <w:rFonts w:ascii="黑体" w:eastAsia="黑体"/>
          <w:b/>
          <w:sz w:val="32"/>
          <w:szCs w:val="32"/>
        </w:rPr>
      </w:pPr>
      <w:r>
        <w:rPr>
          <w:rStyle w:val="110"/>
          <w:rFonts w:ascii="黑体" w:eastAsia="黑体"/>
          <w:b/>
          <w:sz w:val="32"/>
          <w:szCs w:val="32"/>
        </w:rPr>
        <w:t>法定代表人授权书(委托代理人参加磋商)</w:t>
      </w:r>
    </w:p>
    <w:p w14:paraId="2E8C1557">
      <w:pPr>
        <w:snapToGrid w:val="0"/>
        <w:spacing w:after="124" w:line="360" w:lineRule="auto"/>
        <w:ind w:left="422" w:hanging="422"/>
        <w:jc w:val="center"/>
        <w:textAlignment w:val="baseline"/>
        <w:rPr>
          <w:rStyle w:val="110"/>
          <w:rFonts w:ascii="黑体" w:hAnsi="华文中宋" w:eastAsia="黑体"/>
          <w:b/>
          <w:sz w:val="28"/>
          <w:szCs w:val="28"/>
        </w:rPr>
      </w:pPr>
    </w:p>
    <w:p w14:paraId="7A61F34A">
      <w:pPr>
        <w:snapToGrid w:val="0"/>
        <w:spacing w:before="120" w:after="124" w:line="360" w:lineRule="auto"/>
        <w:ind w:firstLine="420" w:firstLineChars="200"/>
        <w:jc w:val="left"/>
        <w:textAlignment w:val="baseline"/>
        <w:rPr>
          <w:rStyle w:val="110"/>
          <w:rFonts w:ascii="宋体" w:hAnsi="宋体"/>
          <w:kern w:val="0"/>
          <w:szCs w:val="21"/>
        </w:rPr>
      </w:pPr>
      <w:r>
        <w:rPr>
          <w:rStyle w:val="110"/>
          <w:rFonts w:ascii="宋体" w:hAnsi="宋体"/>
          <w:kern w:val="0"/>
          <w:szCs w:val="21"/>
        </w:rPr>
        <w:t>本人</w:t>
      </w:r>
      <w:r>
        <w:rPr>
          <w:rStyle w:val="110"/>
          <w:rFonts w:ascii="宋体" w:hAnsi="宋体"/>
          <w:kern w:val="0"/>
          <w:szCs w:val="21"/>
          <w:u w:val="single" w:color="000000"/>
        </w:rPr>
        <w:t xml:space="preserve">          </w:t>
      </w:r>
      <w:r>
        <w:rPr>
          <w:rStyle w:val="110"/>
          <w:rFonts w:ascii="宋体" w:hAnsi="宋体"/>
          <w:kern w:val="0"/>
          <w:szCs w:val="21"/>
        </w:rPr>
        <w:t>（姓名、职务）系</w:t>
      </w:r>
      <w:r>
        <w:rPr>
          <w:rStyle w:val="110"/>
          <w:rFonts w:ascii="宋体" w:hAnsi="宋体"/>
          <w:kern w:val="0"/>
          <w:szCs w:val="21"/>
          <w:u w:val="single" w:color="000000"/>
        </w:rPr>
        <w:t xml:space="preserve">                          </w:t>
      </w:r>
      <w:r>
        <w:rPr>
          <w:rStyle w:val="110"/>
          <w:rFonts w:ascii="宋体" w:hAnsi="宋体"/>
          <w:kern w:val="0"/>
          <w:szCs w:val="21"/>
        </w:rPr>
        <w:t xml:space="preserve"> （</w:t>
      </w:r>
      <w:r>
        <w:rPr>
          <w:rStyle w:val="110"/>
          <w:rFonts w:ascii="宋体" w:hAnsi="宋体"/>
          <w:szCs w:val="21"/>
        </w:rPr>
        <w:t>供应商</w:t>
      </w:r>
      <w:r>
        <w:rPr>
          <w:rStyle w:val="110"/>
          <w:rFonts w:ascii="宋体" w:hAnsi="宋体"/>
          <w:kern w:val="0"/>
          <w:szCs w:val="21"/>
        </w:rPr>
        <w:t>名称）的法定代表人，现授权</w:t>
      </w:r>
      <w:r>
        <w:rPr>
          <w:rStyle w:val="110"/>
          <w:rFonts w:ascii="宋体" w:hAnsi="宋体"/>
          <w:kern w:val="0"/>
          <w:szCs w:val="21"/>
          <w:u w:val="single" w:color="000000"/>
        </w:rPr>
        <w:t xml:space="preserve">          </w:t>
      </w:r>
      <w:r>
        <w:rPr>
          <w:rStyle w:val="110"/>
          <w:rFonts w:ascii="宋体" w:hAnsi="宋体"/>
          <w:kern w:val="0"/>
          <w:szCs w:val="21"/>
        </w:rPr>
        <w:t>（姓名、职务）为我方代理人。代理人根据授权，以我方名义：(1)签署、澄清、补正、修改、撤回、提交</w:t>
      </w:r>
      <w:r>
        <w:rPr>
          <w:rStyle w:val="110"/>
          <w:rFonts w:ascii="宋体" w:hAnsi="宋体"/>
          <w:kern w:val="0"/>
          <w:szCs w:val="21"/>
          <w:u w:val="single" w:color="000000"/>
        </w:rPr>
        <w:t xml:space="preserve">                     </w:t>
      </w:r>
      <w:r>
        <w:rPr>
          <w:rStyle w:val="110"/>
          <w:rFonts w:ascii="宋体" w:hAnsi="宋体"/>
          <w:kern w:val="0"/>
          <w:szCs w:val="21"/>
        </w:rPr>
        <w:t>（项目名称、委托代理编号）响应文件；(2)签署并重新提交响应文件及最后报价；(3)签订合同和处理有关事宜，其法律后果由我方承担。</w:t>
      </w:r>
    </w:p>
    <w:p w14:paraId="2B8BD1B0">
      <w:pPr>
        <w:snapToGrid w:val="0"/>
        <w:spacing w:before="120" w:after="124" w:line="360" w:lineRule="auto"/>
        <w:ind w:firstLine="420" w:firstLineChars="200"/>
        <w:jc w:val="left"/>
        <w:textAlignment w:val="baseline"/>
        <w:rPr>
          <w:rStyle w:val="110"/>
          <w:rFonts w:ascii="宋体" w:hAnsi="宋体"/>
          <w:kern w:val="0"/>
          <w:szCs w:val="21"/>
        </w:rPr>
      </w:pPr>
      <w:r>
        <w:rPr>
          <w:rStyle w:val="110"/>
          <w:rFonts w:ascii="宋体" w:hAnsi="宋体"/>
          <w:kern w:val="0"/>
          <w:szCs w:val="21"/>
        </w:rPr>
        <w:t>委托期限：</w:t>
      </w:r>
      <w:r>
        <w:rPr>
          <w:rStyle w:val="110"/>
          <w:rFonts w:ascii="宋体" w:hAnsi="宋体"/>
          <w:kern w:val="0"/>
          <w:szCs w:val="21"/>
          <w:u w:val="single" w:color="000000"/>
        </w:rPr>
        <w:t xml:space="preserve">                                     </w:t>
      </w:r>
      <w:r>
        <w:rPr>
          <w:rStyle w:val="110"/>
          <w:rFonts w:ascii="宋体" w:hAnsi="宋体"/>
          <w:kern w:val="0"/>
          <w:szCs w:val="21"/>
        </w:rPr>
        <w:t xml:space="preserve"> 。</w:t>
      </w:r>
    </w:p>
    <w:p w14:paraId="7E597F05">
      <w:pPr>
        <w:snapToGrid w:val="0"/>
        <w:spacing w:after="124" w:line="360" w:lineRule="auto"/>
        <w:ind w:hanging="315"/>
        <w:textAlignment w:val="baseline"/>
        <w:rPr>
          <w:rStyle w:val="110"/>
          <w:rFonts w:ascii="宋体" w:hAnsi="宋体"/>
          <w:kern w:val="0"/>
          <w:szCs w:val="21"/>
        </w:rPr>
      </w:pPr>
      <w:r>
        <w:rPr>
          <w:rStyle w:val="110"/>
          <w:rFonts w:ascii="宋体" w:hAnsi="宋体"/>
          <w:kern w:val="0"/>
          <w:szCs w:val="21"/>
        </w:rPr>
        <w:t>代理人无转委托权。</w:t>
      </w:r>
    </w:p>
    <w:p w14:paraId="28207125">
      <w:pPr>
        <w:snapToGrid w:val="0"/>
        <w:spacing w:after="124" w:line="360" w:lineRule="auto"/>
        <w:ind w:hanging="315"/>
        <w:textAlignment w:val="baseline"/>
        <w:rPr>
          <w:rStyle w:val="110"/>
          <w:rFonts w:ascii="宋体" w:hAnsi="宋体"/>
          <w:szCs w:val="21"/>
        </w:rPr>
      </w:pPr>
      <w:r>
        <w:rPr>
          <w:rStyle w:val="110"/>
          <w:rFonts w:ascii="宋体" w:hAnsi="宋体"/>
          <w:szCs w:val="21"/>
        </w:rPr>
        <w:t>本授权书于</w:t>
      </w:r>
      <w:r>
        <w:rPr>
          <w:rStyle w:val="110"/>
          <w:rFonts w:ascii="宋体" w:hAnsi="宋体"/>
          <w:szCs w:val="21"/>
          <w:u w:val="single" w:color="000000"/>
        </w:rPr>
        <w:t xml:space="preserve">      </w:t>
      </w:r>
      <w:r>
        <w:rPr>
          <w:rStyle w:val="110"/>
          <w:rFonts w:ascii="宋体" w:hAnsi="宋体"/>
          <w:szCs w:val="21"/>
        </w:rPr>
        <w:t>年</w:t>
      </w:r>
      <w:r>
        <w:rPr>
          <w:rStyle w:val="110"/>
          <w:rFonts w:ascii="宋体" w:hAnsi="宋体"/>
          <w:szCs w:val="21"/>
          <w:u w:val="single" w:color="000000"/>
        </w:rPr>
        <w:t xml:space="preserve">    </w:t>
      </w:r>
      <w:r>
        <w:rPr>
          <w:rStyle w:val="110"/>
          <w:rFonts w:ascii="宋体" w:hAnsi="宋体"/>
          <w:szCs w:val="21"/>
        </w:rPr>
        <w:t>月</w:t>
      </w:r>
      <w:r>
        <w:rPr>
          <w:rStyle w:val="110"/>
          <w:rFonts w:ascii="宋体" w:hAnsi="宋体"/>
          <w:szCs w:val="21"/>
          <w:u w:val="single" w:color="000000"/>
        </w:rPr>
        <w:t xml:space="preserve">    </w:t>
      </w:r>
      <w:r>
        <w:rPr>
          <w:rStyle w:val="110"/>
          <w:rFonts w:ascii="宋体" w:hAnsi="宋体"/>
          <w:szCs w:val="21"/>
        </w:rPr>
        <w:t>日签字生效，特此声明。</w:t>
      </w:r>
    </w:p>
    <w:p w14:paraId="7A542FAE">
      <w:pPr>
        <w:snapToGrid w:val="0"/>
        <w:spacing w:before="120" w:after="124" w:line="360" w:lineRule="auto"/>
        <w:ind w:firstLine="420" w:firstLineChars="200"/>
        <w:textAlignment w:val="baseline"/>
        <w:rPr>
          <w:rStyle w:val="110"/>
          <w:rFonts w:ascii="宋体" w:hAnsi="宋体"/>
          <w:szCs w:val="21"/>
        </w:rPr>
      </w:pPr>
      <w:r>
        <w:rPr>
          <w:rStyle w:val="110"/>
          <w:rFonts w:ascii="宋体" w:hAnsi="宋体"/>
          <w:szCs w:val="21"/>
        </w:rPr>
        <w:t>附：</w:t>
      </w:r>
      <w:r>
        <w:rPr>
          <w:rStyle w:val="110"/>
          <w:rFonts w:ascii="宋体" w:hAnsi="宋体"/>
          <w:b/>
          <w:bCs/>
          <w:szCs w:val="21"/>
        </w:rPr>
        <w:t>委托代理人身份证复印件及法定代表人身份证明(附件1，原件)</w:t>
      </w:r>
    </w:p>
    <w:tbl>
      <w:tblPr>
        <w:tblStyle w:val="47"/>
        <w:tblW w:w="874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0"/>
        <w:gridCol w:w="4370"/>
      </w:tblGrid>
      <w:tr w14:paraId="6C361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4" w:hRule="atLeast"/>
        </w:trPr>
        <w:tc>
          <w:tcPr>
            <w:tcW w:w="4370" w:type="dxa"/>
            <w:tcBorders>
              <w:top w:val="single" w:color="000000" w:sz="4" w:space="0"/>
              <w:left w:val="single" w:color="000000" w:sz="4" w:space="0"/>
              <w:bottom w:val="single" w:color="000000" w:sz="4" w:space="0"/>
              <w:right w:val="single" w:color="000000" w:sz="4" w:space="0"/>
            </w:tcBorders>
            <w:vAlign w:val="center"/>
          </w:tcPr>
          <w:p w14:paraId="39D0B282">
            <w:pPr>
              <w:snapToGrid w:val="0"/>
              <w:spacing w:after="124" w:line="480" w:lineRule="auto"/>
              <w:ind w:hanging="315"/>
              <w:jc w:val="center"/>
              <w:textAlignment w:val="baseline"/>
              <w:rPr>
                <w:rStyle w:val="110"/>
                <w:rFonts w:ascii="宋体" w:hAnsi="宋体"/>
                <w:szCs w:val="21"/>
              </w:rPr>
            </w:pPr>
            <w:r>
              <w:rPr>
                <w:rStyle w:val="110"/>
                <w:rFonts w:ascii="宋体" w:hAnsi="宋体"/>
                <w:szCs w:val="21"/>
              </w:rPr>
              <w:t>正面</w:t>
            </w:r>
          </w:p>
        </w:tc>
        <w:tc>
          <w:tcPr>
            <w:tcW w:w="4370" w:type="dxa"/>
            <w:tcBorders>
              <w:top w:val="single" w:color="000000" w:sz="4" w:space="0"/>
              <w:left w:val="single" w:color="000000" w:sz="4" w:space="0"/>
              <w:bottom w:val="single" w:color="000000" w:sz="4" w:space="0"/>
              <w:right w:val="single" w:color="000000" w:sz="4" w:space="0"/>
            </w:tcBorders>
            <w:vAlign w:val="center"/>
          </w:tcPr>
          <w:p w14:paraId="3754EF76">
            <w:pPr>
              <w:snapToGrid w:val="0"/>
              <w:spacing w:after="124" w:line="480" w:lineRule="auto"/>
              <w:ind w:hanging="315"/>
              <w:jc w:val="center"/>
              <w:textAlignment w:val="baseline"/>
              <w:rPr>
                <w:rStyle w:val="110"/>
                <w:rFonts w:ascii="宋体" w:hAnsi="宋体"/>
                <w:szCs w:val="21"/>
              </w:rPr>
            </w:pPr>
            <w:r>
              <w:rPr>
                <w:rStyle w:val="110"/>
                <w:rFonts w:ascii="宋体" w:hAnsi="宋体"/>
                <w:szCs w:val="21"/>
              </w:rPr>
              <w:t>反面</w:t>
            </w:r>
          </w:p>
        </w:tc>
      </w:tr>
    </w:tbl>
    <w:p w14:paraId="6C183216">
      <w:pPr>
        <w:snapToGrid w:val="0"/>
        <w:spacing w:after="124" w:line="360" w:lineRule="auto"/>
        <w:ind w:right="420" w:hanging="315"/>
        <w:textAlignment w:val="baseline"/>
        <w:rPr>
          <w:rStyle w:val="110"/>
          <w:rFonts w:ascii="宋体" w:hAnsi="宋体"/>
          <w:szCs w:val="21"/>
        </w:rPr>
      </w:pPr>
    </w:p>
    <w:p w14:paraId="2940EF37">
      <w:pPr>
        <w:snapToGrid w:val="0"/>
        <w:spacing w:after="124" w:line="360" w:lineRule="auto"/>
        <w:ind w:right="420" w:hanging="315"/>
        <w:textAlignment w:val="baseline"/>
        <w:rPr>
          <w:rStyle w:val="110"/>
          <w:rFonts w:ascii="宋体" w:hAnsi="宋体"/>
          <w:szCs w:val="21"/>
        </w:rPr>
      </w:pPr>
      <w:r>
        <w:rPr>
          <w:rStyle w:val="110"/>
          <w:rFonts w:ascii="宋体" w:hAnsi="宋体"/>
          <w:szCs w:val="21"/>
        </w:rPr>
        <w:t>供应商名称（盖单位章）：</w:t>
      </w:r>
    </w:p>
    <w:p w14:paraId="204D78A4">
      <w:pPr>
        <w:snapToGrid w:val="0"/>
        <w:spacing w:after="124" w:line="360" w:lineRule="auto"/>
        <w:ind w:right="420" w:hanging="315"/>
        <w:textAlignment w:val="baseline"/>
        <w:rPr>
          <w:rStyle w:val="110"/>
          <w:rFonts w:ascii="宋体" w:hAnsi="宋体"/>
          <w:szCs w:val="21"/>
        </w:rPr>
      </w:pPr>
      <w:r>
        <w:rPr>
          <w:rStyle w:val="110"/>
          <w:rFonts w:ascii="宋体" w:hAnsi="宋体"/>
          <w:szCs w:val="21"/>
        </w:rPr>
        <w:t>法定代表人（签字）：</w:t>
      </w:r>
      <w:r>
        <w:rPr>
          <w:rStyle w:val="110"/>
          <w:rFonts w:ascii="宋体" w:hAnsi="宋体"/>
          <w:szCs w:val="21"/>
          <w:u w:val="single" w:color="000000"/>
        </w:rPr>
        <w:t xml:space="preserve">                     </w:t>
      </w:r>
    </w:p>
    <w:p w14:paraId="15E0039F">
      <w:pPr>
        <w:snapToGrid w:val="0"/>
        <w:spacing w:after="124" w:line="360" w:lineRule="auto"/>
        <w:ind w:right="420" w:hanging="315"/>
        <w:textAlignment w:val="baseline"/>
        <w:rPr>
          <w:rStyle w:val="110"/>
          <w:rFonts w:ascii="宋体" w:hAnsi="宋体"/>
          <w:szCs w:val="21"/>
        </w:rPr>
      </w:pPr>
      <w:r>
        <w:rPr>
          <w:rStyle w:val="110"/>
          <w:rFonts w:ascii="宋体" w:hAnsi="宋体"/>
          <w:szCs w:val="21"/>
        </w:rPr>
        <w:t>委托代理人（签字）：</w:t>
      </w:r>
      <w:r>
        <w:rPr>
          <w:rStyle w:val="110"/>
          <w:rFonts w:ascii="宋体" w:hAnsi="宋体"/>
          <w:szCs w:val="21"/>
          <w:u w:val="single" w:color="000000"/>
        </w:rPr>
        <w:t xml:space="preserve">                     </w:t>
      </w:r>
    </w:p>
    <w:p w14:paraId="2631D033">
      <w:pPr>
        <w:snapToGrid w:val="0"/>
        <w:spacing w:after="124" w:line="360" w:lineRule="auto"/>
        <w:ind w:right="24" w:hanging="315"/>
        <w:textAlignment w:val="baseline"/>
        <w:rPr>
          <w:rStyle w:val="110"/>
          <w:rFonts w:ascii="宋体" w:hAnsi="宋体"/>
          <w:szCs w:val="21"/>
        </w:rPr>
      </w:pPr>
      <w:r>
        <w:rPr>
          <w:rStyle w:val="110"/>
          <w:rFonts w:ascii="宋体" w:hAnsi="宋体"/>
          <w:szCs w:val="21"/>
        </w:rPr>
        <w:t>日期：</w:t>
      </w:r>
      <w:r>
        <w:rPr>
          <w:rStyle w:val="110"/>
          <w:rFonts w:ascii="宋体" w:hAnsi="宋体"/>
          <w:szCs w:val="21"/>
          <w:u w:val="single" w:color="000000"/>
        </w:rPr>
        <w:t xml:space="preserve">         </w:t>
      </w:r>
      <w:r>
        <w:rPr>
          <w:rStyle w:val="110"/>
          <w:rFonts w:ascii="宋体" w:hAnsi="宋体"/>
          <w:szCs w:val="21"/>
        </w:rPr>
        <w:t>年</w:t>
      </w:r>
      <w:r>
        <w:rPr>
          <w:rStyle w:val="110"/>
          <w:rFonts w:ascii="宋体" w:hAnsi="宋体"/>
          <w:szCs w:val="21"/>
          <w:u w:val="single" w:color="000000"/>
        </w:rPr>
        <w:t xml:space="preserve">      </w:t>
      </w:r>
      <w:r>
        <w:rPr>
          <w:rStyle w:val="110"/>
          <w:rFonts w:ascii="宋体" w:hAnsi="宋体"/>
          <w:szCs w:val="21"/>
        </w:rPr>
        <w:t>月</w:t>
      </w:r>
      <w:r>
        <w:rPr>
          <w:rStyle w:val="110"/>
          <w:rFonts w:ascii="宋体" w:hAnsi="宋体"/>
          <w:szCs w:val="21"/>
          <w:u w:val="single" w:color="000000"/>
        </w:rPr>
        <w:t xml:space="preserve">       </w:t>
      </w:r>
      <w:r>
        <w:rPr>
          <w:rStyle w:val="110"/>
          <w:rFonts w:ascii="宋体" w:hAnsi="宋体"/>
          <w:szCs w:val="21"/>
        </w:rPr>
        <w:t>日</w:t>
      </w:r>
    </w:p>
    <w:p w14:paraId="35B6E9D6">
      <w:pPr>
        <w:snapToGrid w:val="0"/>
        <w:spacing w:after="124" w:line="360" w:lineRule="exact"/>
        <w:ind w:left="316" w:hanging="316"/>
        <w:textAlignment w:val="baseline"/>
        <w:rPr>
          <w:rStyle w:val="110"/>
          <w:rFonts w:ascii="宋体"/>
          <w:b/>
        </w:rPr>
      </w:pPr>
    </w:p>
    <w:p w14:paraId="7B7296DA">
      <w:pPr>
        <w:snapToGrid w:val="0"/>
        <w:spacing w:after="124" w:line="360" w:lineRule="exact"/>
        <w:ind w:left="316" w:hanging="316"/>
        <w:textAlignment w:val="baseline"/>
        <w:rPr>
          <w:rStyle w:val="110"/>
          <w:rFonts w:ascii="宋体"/>
          <w:b/>
        </w:rPr>
      </w:pPr>
    </w:p>
    <w:p w14:paraId="43D8FC3C">
      <w:pPr>
        <w:snapToGrid w:val="0"/>
        <w:spacing w:after="124" w:line="360" w:lineRule="exact"/>
        <w:ind w:left="316" w:hanging="316"/>
        <w:textAlignment w:val="baseline"/>
        <w:rPr>
          <w:rStyle w:val="110"/>
          <w:rFonts w:ascii="宋体"/>
          <w:b/>
        </w:rPr>
      </w:pPr>
    </w:p>
    <w:p w14:paraId="7DFA08CE">
      <w:pPr>
        <w:snapToGrid w:val="0"/>
        <w:spacing w:after="124" w:line="360" w:lineRule="exact"/>
        <w:ind w:left="316" w:hanging="316"/>
        <w:textAlignment w:val="baseline"/>
        <w:rPr>
          <w:rStyle w:val="110"/>
          <w:rFonts w:ascii="宋体"/>
          <w:b/>
        </w:rPr>
      </w:pPr>
      <w:r>
        <w:rPr>
          <w:rStyle w:val="110"/>
          <w:rFonts w:ascii="宋体" w:hAnsi="宋体"/>
          <w:b/>
          <w:szCs w:val="21"/>
        </w:rPr>
        <w:t>★</w:t>
      </w:r>
      <w:r>
        <w:rPr>
          <w:rStyle w:val="110"/>
          <w:rFonts w:ascii="宋体" w:hAnsi="宋体"/>
          <w:b/>
          <w:bCs/>
          <w:szCs w:val="21"/>
        </w:rPr>
        <w:t>委托</w:t>
      </w:r>
      <w:r>
        <w:rPr>
          <w:rStyle w:val="110"/>
          <w:rFonts w:ascii="宋体" w:hAnsi="宋体"/>
          <w:b/>
          <w:szCs w:val="21"/>
        </w:rPr>
        <w:t>代理人参与投标的，请将此授权书单独另备一份连同本人身份证原件及法定代表人身份证明于开标现场身份验证时使用</w:t>
      </w:r>
      <w:r>
        <w:rPr>
          <w:rStyle w:val="110"/>
          <w:rFonts w:ascii="宋体" w:hAnsi="宋体"/>
          <w:szCs w:val="21"/>
        </w:rPr>
        <w:t>。</w:t>
      </w:r>
    </w:p>
    <w:p w14:paraId="672D7842">
      <w:pPr>
        <w:snapToGrid w:val="0"/>
        <w:spacing w:after="124" w:line="360" w:lineRule="exact"/>
        <w:ind w:left="482" w:hanging="482"/>
        <w:textAlignment w:val="baseline"/>
        <w:rPr>
          <w:rStyle w:val="110"/>
          <w:rFonts w:ascii="黑体" w:eastAsia="黑体"/>
          <w:b/>
          <w:sz w:val="32"/>
          <w:szCs w:val="32"/>
        </w:rPr>
      </w:pPr>
    </w:p>
    <w:p w14:paraId="2F73D52D">
      <w:pPr>
        <w:pStyle w:val="25"/>
        <w:spacing w:after="124"/>
        <w:ind w:left="1265" w:hanging="1265"/>
        <w:jc w:val="center"/>
        <w:rPr>
          <w:rFonts w:hAnsi="宋体"/>
          <w:b/>
          <w:sz w:val="84"/>
          <w:szCs w:val="84"/>
        </w:rPr>
        <w:sectPr>
          <w:pgSz w:w="11906" w:h="16838"/>
          <w:pgMar w:top="1134" w:right="1361" w:bottom="1134" w:left="1361" w:header="851" w:footer="992" w:gutter="0"/>
          <w:cols w:space="720" w:num="1"/>
          <w:docGrid w:type="lines" w:linePitch="312" w:charSpace="0"/>
        </w:sectPr>
      </w:pPr>
    </w:p>
    <w:p w14:paraId="76088296">
      <w:pPr>
        <w:pStyle w:val="25"/>
        <w:spacing w:after="124"/>
        <w:ind w:left="1265" w:hanging="1265"/>
        <w:jc w:val="center"/>
        <w:rPr>
          <w:rFonts w:hAnsi="宋体"/>
          <w:b/>
          <w:sz w:val="84"/>
          <w:szCs w:val="84"/>
        </w:rPr>
      </w:pPr>
    </w:p>
    <w:p w14:paraId="55A98927">
      <w:pPr>
        <w:pStyle w:val="25"/>
        <w:spacing w:after="124"/>
        <w:ind w:left="1265" w:hanging="1265"/>
        <w:jc w:val="center"/>
        <w:rPr>
          <w:rFonts w:hAnsi="宋体"/>
          <w:b/>
          <w:sz w:val="84"/>
          <w:szCs w:val="84"/>
        </w:rPr>
      </w:pPr>
    </w:p>
    <w:p w14:paraId="162DD222">
      <w:pPr>
        <w:pStyle w:val="25"/>
        <w:spacing w:after="124"/>
        <w:ind w:left="1265" w:hanging="1265"/>
        <w:jc w:val="center"/>
        <w:rPr>
          <w:rFonts w:hAnsi="宋体"/>
          <w:b/>
          <w:sz w:val="84"/>
          <w:szCs w:val="84"/>
        </w:rPr>
      </w:pPr>
    </w:p>
    <w:bookmarkEnd w:id="17"/>
    <w:bookmarkEnd w:id="18"/>
    <w:bookmarkEnd w:id="19"/>
    <w:bookmarkEnd w:id="20"/>
    <w:bookmarkEnd w:id="21"/>
    <w:bookmarkEnd w:id="22"/>
    <w:bookmarkEnd w:id="23"/>
    <w:p w14:paraId="0F5262EF">
      <w:pPr>
        <w:pStyle w:val="25"/>
        <w:spacing w:after="124"/>
        <w:ind w:left="1265" w:hanging="1265"/>
        <w:jc w:val="center"/>
        <w:rPr>
          <w:rFonts w:hAnsi="宋体"/>
          <w:b/>
          <w:sz w:val="84"/>
          <w:szCs w:val="84"/>
        </w:rPr>
      </w:pPr>
      <w:bookmarkStart w:id="24" w:name="_Toc29790"/>
      <w:bookmarkStart w:id="25" w:name="_Toc1910"/>
      <w:bookmarkStart w:id="26" w:name="_Toc30002"/>
      <w:bookmarkStart w:id="27" w:name="_Toc11780"/>
      <w:bookmarkStart w:id="28" w:name="_Toc1134"/>
      <w:bookmarkStart w:id="29" w:name="_Toc5419"/>
      <w:bookmarkStart w:id="30" w:name="_Toc22952"/>
      <w:r>
        <w:rPr>
          <w:rFonts w:hint="eastAsia" w:hAnsi="宋体"/>
          <w:b/>
          <w:sz w:val="84"/>
          <w:szCs w:val="84"/>
        </w:rPr>
        <w:t>竞争性磋商文件</w:t>
      </w:r>
      <w:bookmarkEnd w:id="24"/>
      <w:bookmarkEnd w:id="25"/>
      <w:bookmarkEnd w:id="26"/>
      <w:bookmarkEnd w:id="27"/>
      <w:bookmarkEnd w:id="28"/>
      <w:bookmarkEnd w:id="29"/>
      <w:bookmarkEnd w:id="30"/>
    </w:p>
    <w:p w14:paraId="64206451">
      <w:pPr>
        <w:pStyle w:val="25"/>
        <w:adjustRightInd w:val="0"/>
        <w:snapToGrid w:val="0"/>
        <w:spacing w:after="124" w:line="360" w:lineRule="auto"/>
        <w:ind w:left="661" w:hanging="661"/>
        <w:jc w:val="center"/>
        <w:rPr>
          <w:rFonts w:ascii="华文中宋" w:hAnsi="华文中宋" w:eastAsia="华文中宋"/>
          <w:b/>
          <w:sz w:val="44"/>
          <w:szCs w:val="44"/>
        </w:rPr>
      </w:pPr>
    </w:p>
    <w:p w14:paraId="7233F7EC">
      <w:pPr>
        <w:pStyle w:val="25"/>
        <w:adjustRightInd w:val="0"/>
        <w:snapToGrid w:val="0"/>
        <w:spacing w:after="124" w:line="360" w:lineRule="auto"/>
        <w:ind w:left="663" w:hanging="663"/>
        <w:jc w:val="center"/>
        <w:rPr>
          <w:rFonts w:hAnsi="宋体"/>
          <w:b/>
          <w:sz w:val="44"/>
          <w:szCs w:val="44"/>
        </w:rPr>
      </w:pPr>
      <w:r>
        <w:rPr>
          <w:rFonts w:hint="eastAsia" w:hAnsi="宋体"/>
          <w:b/>
          <w:sz w:val="44"/>
          <w:szCs w:val="44"/>
        </w:rPr>
        <w:t>(第一部分)</w:t>
      </w:r>
    </w:p>
    <w:p w14:paraId="463AA355">
      <w:pPr>
        <w:pStyle w:val="25"/>
        <w:spacing w:after="124"/>
        <w:ind w:left="482" w:hanging="482"/>
        <w:jc w:val="center"/>
        <w:rPr>
          <w:rFonts w:ascii="黑体" w:eastAsia="黑体"/>
          <w:b/>
          <w:sz w:val="32"/>
          <w:szCs w:val="32"/>
        </w:rPr>
      </w:pPr>
    </w:p>
    <w:p w14:paraId="5F662758">
      <w:pPr>
        <w:pStyle w:val="25"/>
        <w:spacing w:after="124"/>
        <w:ind w:left="482" w:hanging="482"/>
        <w:rPr>
          <w:rFonts w:ascii="黑体" w:eastAsia="黑体"/>
          <w:b/>
          <w:sz w:val="32"/>
          <w:szCs w:val="32"/>
        </w:rPr>
      </w:pPr>
    </w:p>
    <w:p w14:paraId="617EE488">
      <w:pPr>
        <w:pStyle w:val="25"/>
        <w:spacing w:after="124"/>
        <w:ind w:left="482" w:hanging="482"/>
        <w:jc w:val="center"/>
        <w:rPr>
          <w:rFonts w:ascii="黑体" w:eastAsia="黑体"/>
          <w:b/>
          <w:sz w:val="32"/>
          <w:szCs w:val="32"/>
        </w:rPr>
      </w:pPr>
    </w:p>
    <w:p w14:paraId="0683D0D4">
      <w:pPr>
        <w:pStyle w:val="25"/>
        <w:spacing w:after="124"/>
        <w:ind w:left="482" w:hanging="482"/>
        <w:jc w:val="center"/>
        <w:rPr>
          <w:rFonts w:ascii="黑体" w:eastAsia="黑体"/>
          <w:b/>
          <w:sz w:val="32"/>
          <w:szCs w:val="32"/>
        </w:rPr>
      </w:pPr>
    </w:p>
    <w:p w14:paraId="4E91FD95">
      <w:pPr>
        <w:pStyle w:val="25"/>
        <w:spacing w:after="124"/>
        <w:ind w:left="482" w:hanging="482"/>
        <w:jc w:val="center"/>
        <w:rPr>
          <w:rFonts w:ascii="黑体" w:eastAsia="黑体"/>
          <w:b/>
          <w:sz w:val="32"/>
          <w:szCs w:val="32"/>
        </w:rPr>
      </w:pPr>
    </w:p>
    <w:p w14:paraId="4E75D3B4">
      <w:pPr>
        <w:pStyle w:val="25"/>
        <w:spacing w:after="124"/>
        <w:ind w:left="482" w:hanging="482"/>
        <w:jc w:val="center"/>
        <w:rPr>
          <w:rFonts w:ascii="黑体" w:eastAsia="黑体"/>
          <w:b/>
          <w:sz w:val="32"/>
          <w:szCs w:val="32"/>
        </w:rPr>
      </w:pPr>
    </w:p>
    <w:p w14:paraId="1C7C135C">
      <w:pPr>
        <w:pStyle w:val="2"/>
        <w:ind w:left="482" w:hanging="482"/>
        <w:sectPr>
          <w:pgSz w:w="11906" w:h="16838"/>
          <w:pgMar w:top="1134" w:right="1361" w:bottom="1134" w:left="1361" w:header="851" w:footer="992" w:gutter="0"/>
          <w:cols w:space="720" w:num="1"/>
          <w:docGrid w:type="lines" w:linePitch="312" w:charSpace="0"/>
        </w:sectPr>
      </w:pPr>
      <w:bookmarkStart w:id="31" w:name="_Toc11601"/>
      <w:bookmarkStart w:id="32" w:name="_Toc19528"/>
      <w:bookmarkStart w:id="33" w:name="_Toc15521"/>
      <w:bookmarkStart w:id="34" w:name="_Toc4871"/>
      <w:bookmarkStart w:id="35" w:name="_Toc20388"/>
      <w:bookmarkStart w:id="36" w:name="_Toc21003"/>
    </w:p>
    <w:p w14:paraId="4E59630D">
      <w:pPr>
        <w:pStyle w:val="2"/>
        <w:ind w:left="482" w:hanging="482"/>
      </w:pPr>
      <w:r>
        <w:rPr>
          <w:rFonts w:hint="eastAsia"/>
        </w:rPr>
        <w:t>第二章 磋商须知</w:t>
      </w:r>
      <w:bookmarkEnd w:id="31"/>
      <w:bookmarkEnd w:id="32"/>
      <w:bookmarkEnd w:id="33"/>
      <w:bookmarkEnd w:id="34"/>
      <w:bookmarkEnd w:id="35"/>
      <w:bookmarkEnd w:id="36"/>
    </w:p>
    <w:p w14:paraId="45B98B4D">
      <w:pPr>
        <w:pStyle w:val="3"/>
        <w:spacing w:after="124"/>
        <w:ind w:left="316" w:hanging="316"/>
        <w:jc w:val="center"/>
      </w:pPr>
      <w:bookmarkStart w:id="37" w:name="_Toc4523"/>
      <w:bookmarkStart w:id="38" w:name="_Toc2094"/>
      <w:bookmarkStart w:id="39" w:name="_Toc29825"/>
      <w:bookmarkStart w:id="40" w:name="_Toc418"/>
      <w:r>
        <w:rPr>
          <w:rFonts w:hint="eastAsia"/>
        </w:rPr>
        <w:t>第一节 磋商须知前附表</w:t>
      </w:r>
      <w:bookmarkEnd w:id="37"/>
      <w:bookmarkEnd w:id="38"/>
      <w:bookmarkEnd w:id="39"/>
      <w:bookmarkEnd w:id="40"/>
    </w:p>
    <w:p w14:paraId="433FBDA3">
      <w:pPr>
        <w:pStyle w:val="25"/>
        <w:spacing w:after="124"/>
        <w:ind w:hanging="315"/>
        <w:rPr>
          <w:rFonts w:hAnsi="宋体"/>
        </w:rPr>
      </w:pPr>
      <w:r>
        <w:rPr>
          <w:rFonts w:hint="eastAsia" w:hAnsi="宋体"/>
        </w:rPr>
        <w:t>注：请在方框□内划√选择，在“条款号”内限选一项。（本项目采用的条款用“■”标示）</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7"/>
        <w:gridCol w:w="1988"/>
        <w:gridCol w:w="5193"/>
      </w:tblGrid>
      <w:tr w14:paraId="218FFA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0" w:hRule="atLeast"/>
          <w:tblHeader/>
          <w:jc w:val="center"/>
        </w:trPr>
        <w:tc>
          <w:tcPr>
            <w:tcW w:w="1847" w:type="dxa"/>
            <w:vAlign w:val="center"/>
          </w:tcPr>
          <w:p w14:paraId="0DBDD783">
            <w:pPr>
              <w:spacing w:after="124" w:line="400" w:lineRule="exact"/>
              <w:ind w:left="316" w:hanging="316"/>
              <w:rPr>
                <w:rFonts w:ascii="宋体" w:hAnsi="宋体"/>
                <w:b/>
                <w:bCs/>
              </w:rPr>
            </w:pPr>
            <w:r>
              <w:rPr>
                <w:rFonts w:hint="eastAsia" w:ascii="宋体" w:hAnsi="宋体"/>
                <w:b/>
                <w:bCs/>
              </w:rPr>
              <w:t>条款号</w:t>
            </w:r>
          </w:p>
        </w:tc>
        <w:tc>
          <w:tcPr>
            <w:tcW w:w="1988" w:type="dxa"/>
            <w:vAlign w:val="center"/>
          </w:tcPr>
          <w:p w14:paraId="4BE3ED9E">
            <w:pPr>
              <w:spacing w:after="124" w:line="400" w:lineRule="exact"/>
              <w:ind w:left="316" w:hanging="316"/>
              <w:rPr>
                <w:rFonts w:ascii="宋体" w:hAnsi="宋体"/>
                <w:b/>
                <w:bCs/>
              </w:rPr>
            </w:pPr>
            <w:r>
              <w:rPr>
                <w:rFonts w:hint="eastAsia" w:ascii="宋体" w:hAnsi="宋体"/>
                <w:b/>
                <w:bCs/>
              </w:rPr>
              <w:t>条款名称</w:t>
            </w:r>
          </w:p>
        </w:tc>
        <w:tc>
          <w:tcPr>
            <w:tcW w:w="5193" w:type="dxa"/>
            <w:vAlign w:val="center"/>
          </w:tcPr>
          <w:p w14:paraId="2F610187">
            <w:pPr>
              <w:spacing w:after="124" w:line="400" w:lineRule="exact"/>
              <w:ind w:left="316" w:hanging="316"/>
              <w:rPr>
                <w:rFonts w:ascii="宋体" w:hAnsi="宋体"/>
                <w:b/>
                <w:bCs/>
              </w:rPr>
            </w:pPr>
            <w:r>
              <w:rPr>
                <w:rFonts w:hint="eastAsia" w:ascii="宋体" w:hAnsi="宋体"/>
                <w:b/>
                <w:bCs/>
              </w:rPr>
              <w:t>编列内容规定</w:t>
            </w:r>
          </w:p>
        </w:tc>
      </w:tr>
      <w:tr w14:paraId="457846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9028" w:type="dxa"/>
            <w:gridSpan w:val="3"/>
            <w:vAlign w:val="center"/>
          </w:tcPr>
          <w:p w14:paraId="0DAA5866">
            <w:pPr>
              <w:spacing w:after="124" w:line="400" w:lineRule="exact"/>
              <w:ind w:left="316" w:hanging="316"/>
              <w:rPr>
                <w:rFonts w:ascii="宋体" w:hAnsi="宋体"/>
              </w:rPr>
            </w:pPr>
            <w:r>
              <w:rPr>
                <w:rFonts w:hint="eastAsia" w:ascii="宋体" w:hAnsi="宋体"/>
                <w:b/>
                <w:bCs/>
              </w:rPr>
              <w:t>一、说明</w:t>
            </w:r>
          </w:p>
        </w:tc>
      </w:tr>
      <w:tr w14:paraId="0EB01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7" w:type="dxa"/>
            <w:vAlign w:val="center"/>
          </w:tcPr>
          <w:p w14:paraId="72400639">
            <w:pPr>
              <w:spacing w:after="124" w:line="400" w:lineRule="exact"/>
              <w:rPr>
                <w:rFonts w:ascii="宋体" w:hAnsi="宋体"/>
              </w:rPr>
            </w:pPr>
            <w:r>
              <w:rPr>
                <w:rFonts w:hint="eastAsia" w:ascii="宋体" w:hAnsi="宋体"/>
              </w:rPr>
              <w:t>第二章第1.1款</w:t>
            </w:r>
          </w:p>
        </w:tc>
        <w:tc>
          <w:tcPr>
            <w:tcW w:w="1988" w:type="dxa"/>
            <w:vAlign w:val="center"/>
          </w:tcPr>
          <w:p w14:paraId="59ED84AC">
            <w:pPr>
              <w:spacing w:after="124" w:line="400" w:lineRule="exact"/>
              <w:rPr>
                <w:rFonts w:ascii="宋体" w:hAnsi="宋体"/>
              </w:rPr>
            </w:pPr>
            <w:r>
              <w:rPr>
                <w:rFonts w:hint="eastAsia" w:ascii="宋体" w:hAnsi="宋体"/>
              </w:rPr>
              <w:t>采购项目</w:t>
            </w:r>
          </w:p>
        </w:tc>
        <w:tc>
          <w:tcPr>
            <w:tcW w:w="5193" w:type="dxa"/>
            <w:vAlign w:val="center"/>
          </w:tcPr>
          <w:p w14:paraId="45403929">
            <w:pPr>
              <w:spacing w:after="124" w:line="400" w:lineRule="exact"/>
            </w:pPr>
            <w:r>
              <w:rPr>
                <w:rFonts w:hint="eastAsia"/>
              </w:rPr>
              <w:t>松涛片区综合管线改造工程</w:t>
            </w:r>
          </w:p>
        </w:tc>
      </w:tr>
      <w:tr w14:paraId="20B6A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1847" w:type="dxa"/>
            <w:vAlign w:val="center"/>
          </w:tcPr>
          <w:p w14:paraId="0A45775A">
            <w:pPr>
              <w:spacing w:after="124" w:line="400" w:lineRule="exact"/>
              <w:rPr>
                <w:rFonts w:ascii="宋体" w:hAnsi="宋体"/>
              </w:rPr>
            </w:pPr>
            <w:r>
              <w:rPr>
                <w:rFonts w:hint="eastAsia" w:ascii="宋体" w:hAnsi="宋体"/>
              </w:rPr>
              <w:t>第二章第2.1款</w:t>
            </w:r>
          </w:p>
        </w:tc>
        <w:tc>
          <w:tcPr>
            <w:tcW w:w="1988" w:type="dxa"/>
            <w:vAlign w:val="center"/>
          </w:tcPr>
          <w:p w14:paraId="7A1B3293">
            <w:pPr>
              <w:spacing w:after="124" w:line="400" w:lineRule="exact"/>
              <w:rPr>
                <w:rFonts w:ascii="宋体" w:hAnsi="宋体"/>
                <w:color w:val="auto"/>
              </w:rPr>
            </w:pPr>
            <w:r>
              <w:rPr>
                <w:rFonts w:hint="eastAsia" w:ascii="宋体" w:hAnsi="宋体"/>
                <w:color w:val="auto"/>
              </w:rPr>
              <w:t>采购人</w:t>
            </w:r>
          </w:p>
        </w:tc>
        <w:tc>
          <w:tcPr>
            <w:tcW w:w="5193" w:type="dxa"/>
            <w:vAlign w:val="center"/>
          </w:tcPr>
          <w:p w14:paraId="362585F2">
            <w:pPr>
              <w:spacing w:after="124" w:line="400" w:lineRule="exact"/>
              <w:rPr>
                <w:rFonts w:ascii="宋体" w:hAnsi="宋体" w:cs="宋体"/>
                <w:color w:val="auto"/>
                <w:kern w:val="0"/>
                <w:szCs w:val="21"/>
              </w:rPr>
            </w:pPr>
            <w:r>
              <w:rPr>
                <w:rFonts w:hint="eastAsia" w:ascii="宋体" w:hAnsi="宋体" w:cs="宋体"/>
                <w:color w:val="auto"/>
                <w:kern w:val="0"/>
                <w:szCs w:val="21"/>
              </w:rPr>
              <w:t>采购人：湘潭大学</w:t>
            </w:r>
          </w:p>
          <w:p w14:paraId="118025B7">
            <w:pPr>
              <w:spacing w:after="124" w:line="400" w:lineRule="exact"/>
              <w:rPr>
                <w:rFonts w:ascii="宋体" w:hAnsi="宋体" w:cs="宋体"/>
                <w:color w:val="auto"/>
                <w:kern w:val="0"/>
                <w:szCs w:val="21"/>
              </w:rPr>
            </w:pPr>
            <w:r>
              <w:rPr>
                <w:rFonts w:hint="eastAsia" w:ascii="宋体" w:hAnsi="宋体" w:cs="宋体"/>
                <w:color w:val="auto"/>
                <w:kern w:val="0"/>
                <w:szCs w:val="21"/>
              </w:rPr>
              <w:t>地  址：湘潭雨湖区羊牯塘</w:t>
            </w:r>
          </w:p>
          <w:p w14:paraId="49F08763">
            <w:pPr>
              <w:spacing w:after="124" w:line="400" w:lineRule="exact"/>
              <w:rPr>
                <w:rFonts w:ascii="宋体" w:hAnsi="宋体" w:cs="宋体"/>
                <w:color w:val="auto"/>
                <w:kern w:val="0"/>
                <w:szCs w:val="21"/>
              </w:rPr>
            </w:pPr>
            <w:r>
              <w:rPr>
                <w:rFonts w:hint="eastAsia" w:ascii="宋体" w:hAnsi="宋体" w:cs="宋体"/>
                <w:color w:val="auto"/>
                <w:kern w:val="0"/>
                <w:szCs w:val="21"/>
              </w:rPr>
              <w:t>联系人：邹老师</w:t>
            </w:r>
          </w:p>
          <w:p w14:paraId="084BD157">
            <w:pPr>
              <w:spacing w:after="124" w:line="400" w:lineRule="exact"/>
              <w:rPr>
                <w:rFonts w:ascii="宋体" w:hAnsi="宋体" w:cs="宋体"/>
                <w:color w:val="auto"/>
                <w:kern w:val="0"/>
                <w:szCs w:val="21"/>
              </w:rPr>
            </w:pPr>
            <w:r>
              <w:rPr>
                <w:rFonts w:hint="eastAsia" w:ascii="宋体" w:hAnsi="宋体" w:cs="宋体"/>
                <w:color w:val="auto"/>
                <w:kern w:val="0"/>
                <w:szCs w:val="21"/>
              </w:rPr>
              <w:t>电  话：0731-58293956</w:t>
            </w:r>
          </w:p>
        </w:tc>
      </w:tr>
      <w:tr w14:paraId="4B9EFB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7" w:hRule="atLeast"/>
          <w:jc w:val="center"/>
        </w:trPr>
        <w:tc>
          <w:tcPr>
            <w:tcW w:w="1847" w:type="dxa"/>
            <w:vAlign w:val="center"/>
          </w:tcPr>
          <w:p w14:paraId="268FBA55">
            <w:pPr>
              <w:spacing w:after="124" w:line="400" w:lineRule="exact"/>
              <w:rPr>
                <w:rFonts w:ascii="宋体" w:hAnsi="宋体"/>
              </w:rPr>
            </w:pPr>
            <w:r>
              <w:rPr>
                <w:rFonts w:hint="eastAsia" w:ascii="宋体" w:hAnsi="宋体"/>
              </w:rPr>
              <w:t>第二章第2.2款</w:t>
            </w:r>
          </w:p>
        </w:tc>
        <w:tc>
          <w:tcPr>
            <w:tcW w:w="1988" w:type="dxa"/>
            <w:vAlign w:val="center"/>
          </w:tcPr>
          <w:p w14:paraId="15249EF0">
            <w:pPr>
              <w:spacing w:after="124" w:line="400" w:lineRule="exact"/>
              <w:rPr>
                <w:rFonts w:ascii="宋体" w:hAnsi="宋体"/>
              </w:rPr>
            </w:pPr>
            <w:r>
              <w:rPr>
                <w:rFonts w:hint="eastAsia" w:ascii="宋体" w:hAnsi="宋体"/>
              </w:rPr>
              <w:t>采购代理机构</w:t>
            </w:r>
          </w:p>
        </w:tc>
        <w:tc>
          <w:tcPr>
            <w:tcW w:w="5193" w:type="dxa"/>
            <w:vAlign w:val="center"/>
          </w:tcPr>
          <w:p w14:paraId="186762D5">
            <w:pPr>
              <w:spacing w:after="124" w:line="400" w:lineRule="exact"/>
              <w:rPr>
                <w:rFonts w:ascii="宋体" w:hAnsi="宋体" w:cs="宋体"/>
                <w:kern w:val="0"/>
                <w:szCs w:val="21"/>
              </w:rPr>
            </w:pPr>
            <w:r>
              <w:rPr>
                <w:rFonts w:hint="eastAsia" w:ascii="宋体" w:hAnsi="宋体" w:cs="宋体"/>
                <w:kern w:val="0"/>
                <w:szCs w:val="21"/>
              </w:rPr>
              <w:t>采购代理机构：湖南凌云咨询集团有限公司</w:t>
            </w:r>
          </w:p>
          <w:p w14:paraId="0CDD8DCB">
            <w:pPr>
              <w:spacing w:after="124" w:line="400" w:lineRule="exact"/>
              <w:rPr>
                <w:rFonts w:ascii="宋体" w:hAnsi="宋体" w:cs="宋体"/>
                <w:kern w:val="0"/>
                <w:szCs w:val="21"/>
              </w:rPr>
            </w:pPr>
            <w:r>
              <w:rPr>
                <w:rFonts w:hint="eastAsia" w:ascii="宋体" w:hAnsi="宋体" w:cs="宋体"/>
                <w:kern w:val="0"/>
                <w:szCs w:val="21"/>
              </w:rPr>
              <w:t xml:space="preserve">联系人：戴叩  丁叶青  </w:t>
            </w:r>
            <w:r>
              <w:rPr>
                <w:rFonts w:hint="eastAsia" w:ascii="宋体" w:hAnsi="宋体" w:cs="宋体"/>
                <w:kern w:val="0"/>
                <w:szCs w:val="21"/>
                <w:lang w:val="en-US" w:eastAsia="zh-CN"/>
              </w:rPr>
              <w:t>刘雨琪</w:t>
            </w:r>
            <w:r>
              <w:rPr>
                <w:rFonts w:hint="eastAsia" w:ascii="宋体" w:hAnsi="宋体" w:cs="宋体"/>
                <w:kern w:val="0"/>
                <w:szCs w:val="21"/>
              </w:rPr>
              <w:t xml:space="preserve">    </w:t>
            </w:r>
          </w:p>
          <w:p w14:paraId="0FA66D83">
            <w:pPr>
              <w:spacing w:after="124" w:line="400" w:lineRule="exact"/>
              <w:rPr>
                <w:rFonts w:ascii="宋体" w:hAnsi="宋体" w:cs="宋体"/>
                <w:kern w:val="0"/>
                <w:szCs w:val="21"/>
              </w:rPr>
            </w:pPr>
            <w:r>
              <w:rPr>
                <w:rFonts w:hint="eastAsia" w:ascii="宋体" w:hAnsi="宋体" w:cs="宋体"/>
                <w:kern w:val="0"/>
                <w:szCs w:val="21"/>
              </w:rPr>
              <w:t xml:space="preserve">电话： 0731-58610173 </w:t>
            </w:r>
          </w:p>
          <w:p w14:paraId="421C50C7">
            <w:pPr>
              <w:spacing w:after="124" w:line="400" w:lineRule="exact"/>
              <w:rPr>
                <w:rFonts w:ascii="宋体" w:hAnsi="宋体" w:cs="宋体"/>
                <w:kern w:val="0"/>
                <w:szCs w:val="21"/>
              </w:rPr>
            </w:pPr>
            <w:r>
              <w:rPr>
                <w:rFonts w:hint="eastAsia" w:ascii="宋体" w:hAnsi="宋体" w:cs="宋体"/>
                <w:kern w:val="0"/>
                <w:szCs w:val="21"/>
              </w:rPr>
              <w:t>地址：湘潭市岳塘区湘潭大道众一国际C栋三楼</w:t>
            </w:r>
          </w:p>
        </w:tc>
      </w:tr>
      <w:tr w14:paraId="2C1CB9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5" w:hRule="atLeast"/>
          <w:jc w:val="center"/>
        </w:trPr>
        <w:tc>
          <w:tcPr>
            <w:tcW w:w="1847" w:type="dxa"/>
            <w:vAlign w:val="center"/>
          </w:tcPr>
          <w:p w14:paraId="616D838A">
            <w:pPr>
              <w:spacing w:after="124" w:line="400" w:lineRule="exact"/>
              <w:rPr>
                <w:rFonts w:ascii="宋体" w:hAnsi="宋体"/>
              </w:rPr>
            </w:pPr>
            <w:r>
              <w:rPr>
                <w:rFonts w:hint="eastAsia" w:ascii="宋体" w:hAnsi="宋体"/>
              </w:rPr>
              <w:t>第二章第2.3款</w:t>
            </w:r>
          </w:p>
        </w:tc>
        <w:tc>
          <w:tcPr>
            <w:tcW w:w="1988" w:type="dxa"/>
            <w:vAlign w:val="center"/>
          </w:tcPr>
          <w:p w14:paraId="4A058CB5">
            <w:pPr>
              <w:spacing w:after="124" w:line="400" w:lineRule="exact"/>
              <w:rPr>
                <w:rFonts w:ascii="宋体" w:hAnsi="宋体"/>
              </w:rPr>
            </w:pPr>
            <w:r>
              <w:rPr>
                <w:rFonts w:hint="eastAsia" w:ascii="宋体" w:hAnsi="宋体"/>
              </w:rPr>
              <w:t>供应商的邀请方式</w:t>
            </w:r>
          </w:p>
        </w:tc>
        <w:tc>
          <w:tcPr>
            <w:tcW w:w="5193" w:type="dxa"/>
            <w:vAlign w:val="center"/>
          </w:tcPr>
          <w:p w14:paraId="49AD7F24">
            <w:pPr>
              <w:spacing w:after="124" w:line="400" w:lineRule="exact"/>
              <w:ind w:hanging="315"/>
              <w:rPr>
                <w:rFonts w:ascii="宋体" w:hAnsi="宋体"/>
              </w:rPr>
            </w:pPr>
            <w:r>
              <w:rPr>
                <w:rFonts w:hint="eastAsia" w:ascii="宋体" w:hAnsi="宋体"/>
              </w:rPr>
              <w:t>公公告邀请</w:t>
            </w:r>
          </w:p>
        </w:tc>
      </w:tr>
      <w:tr w14:paraId="46A99E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54" w:hRule="atLeast"/>
          <w:jc w:val="center"/>
        </w:trPr>
        <w:tc>
          <w:tcPr>
            <w:tcW w:w="1847" w:type="dxa"/>
            <w:vAlign w:val="center"/>
          </w:tcPr>
          <w:p w14:paraId="42C99D0F">
            <w:pPr>
              <w:spacing w:after="124"/>
              <w:rPr>
                <w:rFonts w:ascii="宋体" w:hAnsi="宋体"/>
              </w:rPr>
            </w:pPr>
            <w:r>
              <w:rPr>
                <w:rFonts w:hint="eastAsia" w:ascii="宋体" w:hAnsi="宋体"/>
              </w:rPr>
              <w:t>第二章第3.1款</w:t>
            </w:r>
          </w:p>
          <w:p w14:paraId="7E0D1622">
            <w:pPr>
              <w:spacing w:after="124"/>
              <w:ind w:hanging="315"/>
              <w:rPr>
                <w:rFonts w:ascii="宋体" w:hAnsi="宋体"/>
              </w:rPr>
            </w:pPr>
          </w:p>
        </w:tc>
        <w:tc>
          <w:tcPr>
            <w:tcW w:w="1988" w:type="dxa"/>
            <w:vAlign w:val="center"/>
          </w:tcPr>
          <w:p w14:paraId="2141243F">
            <w:pPr>
              <w:spacing w:after="124"/>
              <w:rPr>
                <w:rFonts w:ascii="宋体" w:hAnsi="宋体"/>
              </w:rPr>
            </w:pPr>
            <w:r>
              <w:rPr>
                <w:rFonts w:hint="eastAsia" w:ascii="宋体" w:hAnsi="宋体"/>
              </w:rPr>
              <w:t>供应商资格条件</w:t>
            </w:r>
          </w:p>
        </w:tc>
        <w:tc>
          <w:tcPr>
            <w:tcW w:w="5193" w:type="dxa"/>
            <w:vAlign w:val="center"/>
          </w:tcPr>
          <w:p w14:paraId="0BBB8D95">
            <w:pPr>
              <w:spacing w:after="124"/>
            </w:pPr>
            <w:r>
              <w:rPr>
                <w:rFonts w:hint="eastAsia"/>
              </w:rPr>
              <w:t>（一）基本资格条件：</w:t>
            </w:r>
          </w:p>
          <w:p w14:paraId="166B1CC5">
            <w:pPr>
              <w:adjustRightInd w:val="0"/>
              <w:snapToGrid w:val="0"/>
              <w:spacing w:before="156" w:beforeLines="50" w:after="124"/>
              <w:rPr>
                <w:rFonts w:ascii="宋体" w:hAnsi="宋体"/>
                <w:szCs w:val="21"/>
              </w:rPr>
            </w:pPr>
            <w:r>
              <w:rPr>
                <w:rFonts w:hint="eastAsia" w:ascii="宋体" w:hAnsi="宋体"/>
                <w:szCs w:val="21"/>
              </w:rPr>
              <w:t>1、供应商的基本资格条件：供应商必须是在中华人民共和国境内注册登记的法人、其他组织或者自然人，且应当符合《政府采购法》第二十二条第一款的规定，即：</w:t>
            </w:r>
          </w:p>
          <w:p w14:paraId="5BA4F725">
            <w:pPr>
              <w:adjustRightInd w:val="0"/>
              <w:snapToGrid w:val="0"/>
              <w:spacing w:before="156" w:beforeLines="50" w:after="124"/>
              <w:rPr>
                <w:rFonts w:ascii="宋体" w:hAnsi="宋体"/>
                <w:szCs w:val="21"/>
              </w:rPr>
            </w:pPr>
            <w:r>
              <w:rPr>
                <w:rFonts w:hint="eastAsia" w:ascii="宋体" w:hAnsi="宋体"/>
                <w:szCs w:val="21"/>
              </w:rPr>
              <w:t>（1）具有独立承担民事责任的能力；</w:t>
            </w:r>
          </w:p>
          <w:p w14:paraId="2E621C9D">
            <w:pPr>
              <w:adjustRightInd w:val="0"/>
              <w:snapToGrid w:val="0"/>
              <w:spacing w:before="156" w:beforeLines="50" w:after="124"/>
              <w:rPr>
                <w:rFonts w:ascii="宋体" w:hAnsi="宋体"/>
                <w:szCs w:val="21"/>
              </w:rPr>
            </w:pPr>
            <w:r>
              <w:rPr>
                <w:rFonts w:hint="eastAsia" w:ascii="宋体" w:hAnsi="宋体"/>
                <w:szCs w:val="21"/>
              </w:rPr>
              <w:t>（2）具有良好的商业信誉和健全的财务会计制度；</w:t>
            </w:r>
          </w:p>
          <w:p w14:paraId="15A9DA8D">
            <w:pPr>
              <w:adjustRightInd w:val="0"/>
              <w:snapToGrid w:val="0"/>
              <w:spacing w:before="156" w:beforeLines="50" w:after="124"/>
              <w:rPr>
                <w:rFonts w:ascii="宋体" w:hAnsi="宋体"/>
                <w:szCs w:val="21"/>
              </w:rPr>
            </w:pPr>
            <w:r>
              <w:rPr>
                <w:rFonts w:hint="eastAsia" w:ascii="宋体" w:hAnsi="宋体"/>
                <w:szCs w:val="21"/>
              </w:rPr>
              <w:t>（3）具有履行合同所必需的设备和专业技术能力；</w:t>
            </w:r>
          </w:p>
          <w:p w14:paraId="24323952">
            <w:pPr>
              <w:adjustRightInd w:val="0"/>
              <w:snapToGrid w:val="0"/>
              <w:spacing w:before="156" w:beforeLines="50" w:after="124"/>
              <w:rPr>
                <w:rFonts w:ascii="宋体" w:hAnsi="宋体"/>
                <w:szCs w:val="21"/>
              </w:rPr>
            </w:pPr>
            <w:r>
              <w:rPr>
                <w:rFonts w:hint="eastAsia" w:ascii="宋体" w:hAnsi="宋体"/>
                <w:szCs w:val="21"/>
              </w:rPr>
              <w:t>（4）有依法缴纳税收和社会保障资金的良好记录；</w:t>
            </w:r>
          </w:p>
          <w:p w14:paraId="3B21988F">
            <w:pPr>
              <w:adjustRightInd w:val="0"/>
              <w:snapToGrid w:val="0"/>
              <w:spacing w:before="156" w:beforeLines="50" w:after="124"/>
              <w:rPr>
                <w:rFonts w:ascii="宋体" w:hAnsi="宋体"/>
                <w:szCs w:val="21"/>
              </w:rPr>
            </w:pPr>
            <w:r>
              <w:rPr>
                <w:rFonts w:hint="eastAsia" w:ascii="宋体" w:hAnsi="宋体"/>
                <w:szCs w:val="21"/>
              </w:rPr>
              <w:t>（5）参加政府采购活动前三年内，在经营活动中没有重大违法记录；</w:t>
            </w:r>
          </w:p>
          <w:p w14:paraId="54345BE0">
            <w:pPr>
              <w:adjustRightInd w:val="0"/>
              <w:snapToGrid w:val="0"/>
              <w:spacing w:before="156" w:beforeLines="50" w:after="124" w:line="360" w:lineRule="auto"/>
              <w:rPr>
                <w:rFonts w:ascii="宋体" w:hAnsi="宋体"/>
                <w:szCs w:val="21"/>
              </w:rPr>
            </w:pPr>
            <w:r>
              <w:rPr>
                <w:rFonts w:hint="eastAsia" w:ascii="宋体" w:hAnsi="宋体"/>
                <w:szCs w:val="21"/>
              </w:rPr>
              <w:t>（6）法律、行政法规规定的其他条件。</w:t>
            </w:r>
          </w:p>
          <w:p w14:paraId="3B619461">
            <w:pPr>
              <w:adjustRightInd w:val="0"/>
              <w:snapToGrid w:val="0"/>
              <w:spacing w:before="156" w:beforeLines="50" w:after="124" w:line="360" w:lineRule="auto"/>
              <w:rPr>
                <w:rFonts w:ascii="宋体" w:hAnsi="宋体"/>
                <w:szCs w:val="21"/>
              </w:rPr>
            </w:pPr>
            <w:r>
              <w:rPr>
                <w:rFonts w:hint="eastAsia" w:hAnsi="宋体"/>
              </w:rPr>
              <w:t>2、</w:t>
            </w:r>
            <w:r>
              <w:rPr>
                <w:rFonts w:hint="eastAsia" w:hAnsi="宋体"/>
                <w:b/>
                <w:bCs/>
              </w:rPr>
              <w:t>供应商的特定资格条件</w:t>
            </w:r>
            <w:r>
              <w:rPr>
                <w:rFonts w:hint="eastAsia" w:hAnsi="宋体"/>
              </w:rPr>
              <w:t>：</w:t>
            </w:r>
          </w:p>
          <w:p w14:paraId="18AC4BC6">
            <w:pPr>
              <w:adjustRightInd w:val="0"/>
              <w:snapToGrid w:val="0"/>
              <w:spacing w:before="156" w:beforeLines="50" w:after="124"/>
              <w:rPr>
                <w:rFonts w:ascii="宋体" w:hAnsi="宋体"/>
                <w:b w:val="0"/>
                <w:bCs w:val="0"/>
                <w:color w:val="auto"/>
                <w:szCs w:val="21"/>
                <w:highlight w:val="none"/>
              </w:rPr>
            </w:pPr>
            <w:r>
              <w:rPr>
                <w:rFonts w:hint="eastAsia" w:ascii="宋体" w:hAnsi="宋体"/>
                <w:szCs w:val="21"/>
              </w:rPr>
              <w:t>（1）投标人具有建</w:t>
            </w:r>
            <w:r>
              <w:rPr>
                <w:rFonts w:hint="eastAsia" w:ascii="宋体" w:hAnsi="宋体"/>
                <w:b w:val="0"/>
                <w:bCs w:val="0"/>
                <w:color w:val="auto"/>
                <w:szCs w:val="21"/>
                <w:highlight w:val="none"/>
              </w:rPr>
              <w:t>设行政主管部门颁发的市政公用工程施工总承包叁级（含叁级）及以上资质。且安全生产许可证处于有效期内；</w:t>
            </w:r>
          </w:p>
          <w:p w14:paraId="2627E82A">
            <w:pPr>
              <w:adjustRightInd w:val="0"/>
              <w:snapToGrid w:val="0"/>
              <w:spacing w:before="156" w:beforeLines="50" w:after="124"/>
              <w:rPr>
                <w:rFonts w:ascii="宋体" w:hAnsi="宋体"/>
                <w:b w:val="0"/>
                <w:bCs w:val="0"/>
                <w:color w:val="auto"/>
                <w:szCs w:val="21"/>
                <w:highlight w:val="none"/>
              </w:rPr>
            </w:pPr>
            <w:r>
              <w:rPr>
                <w:rFonts w:hint="eastAsia" w:ascii="宋体" w:hAnsi="宋体"/>
                <w:b w:val="0"/>
                <w:bCs w:val="0"/>
                <w:color w:val="auto"/>
                <w:szCs w:val="21"/>
                <w:highlight w:val="none"/>
              </w:rPr>
              <w:t>（2）拟任项目负责人须具有建设行政主管部门颁发的市政公用工程专业贰级及以上注册建造师证，以及有效的B类安全生产考核合格证；</w:t>
            </w:r>
          </w:p>
          <w:p w14:paraId="54FB263E">
            <w:pPr>
              <w:adjustRightInd w:val="0"/>
              <w:snapToGrid w:val="0"/>
              <w:spacing w:before="156" w:beforeLines="50" w:after="124"/>
              <w:rPr>
                <w:rFonts w:ascii="宋体" w:hAnsi="宋体"/>
                <w:b w:val="0"/>
                <w:bCs w:val="0"/>
                <w:color w:val="auto"/>
                <w:szCs w:val="21"/>
                <w:highlight w:val="none"/>
              </w:rPr>
            </w:pPr>
            <w:r>
              <w:rPr>
                <w:rFonts w:hint="eastAsia" w:ascii="宋体" w:hAnsi="宋体"/>
                <w:b w:val="0"/>
                <w:bCs w:val="0"/>
                <w:color w:val="auto"/>
                <w:szCs w:val="21"/>
                <w:highlight w:val="none"/>
              </w:rPr>
              <w:t>(3)拟任技术负责人具有市政公用工程相关专业工程师以上职称证书；</w:t>
            </w:r>
          </w:p>
          <w:p w14:paraId="3A0FF2FD">
            <w:pPr>
              <w:adjustRightInd w:val="0"/>
              <w:snapToGrid w:val="0"/>
              <w:spacing w:before="156" w:beforeLines="50" w:after="124"/>
              <w:rPr>
                <w:rFonts w:ascii="宋体" w:hAnsi="宋体"/>
                <w:szCs w:val="21"/>
              </w:rPr>
            </w:pPr>
            <w:r>
              <w:rPr>
                <w:rFonts w:hint="eastAsia" w:ascii="宋体" w:hAnsi="宋体"/>
                <w:b w:val="0"/>
                <w:bCs w:val="0"/>
                <w:color w:val="auto"/>
                <w:szCs w:val="21"/>
                <w:highlight w:val="none"/>
              </w:rPr>
              <w:t>（4）施工项目部其他关键岗位人员配备参照湘建建[2020]208号文执行，配备施工员1人、安全员1人，</w:t>
            </w:r>
            <w:r>
              <w:rPr>
                <w:rFonts w:hint="eastAsia" w:ascii="宋体" w:hAnsi="宋体"/>
                <w:szCs w:val="21"/>
              </w:rPr>
              <w:t>质量员1名，关键岗位人员须具备建设行政主管部门颁发的岗位资格证书，其中安全员须具有安全考核合格证书C证；</w:t>
            </w:r>
          </w:p>
          <w:p w14:paraId="70F03E69">
            <w:pPr>
              <w:adjustRightInd w:val="0"/>
              <w:snapToGrid w:val="0"/>
              <w:spacing w:before="156" w:beforeLines="50" w:after="124"/>
              <w:rPr>
                <w:rFonts w:ascii="宋体" w:hAnsi="宋体"/>
                <w:szCs w:val="21"/>
              </w:rPr>
            </w:pPr>
            <w:r>
              <w:rPr>
                <w:rFonts w:hint="eastAsia" w:ascii="宋体" w:hAnsi="宋体"/>
                <w:szCs w:val="21"/>
              </w:rPr>
              <w:t>（5）施工项目部关键岗位人员及本项目被授权人必须是本</w:t>
            </w:r>
            <w:r>
              <w:rPr>
                <w:rFonts w:hint="eastAsia" w:ascii="宋体" w:hAnsi="宋体"/>
                <w:color w:val="auto"/>
                <w:szCs w:val="21"/>
                <w:highlight w:val="none"/>
              </w:rPr>
              <w:t>企业在职人员，提供劳动保障部门出具近三个月的社保证明（成立未满三个月的单位除外）；施</w:t>
            </w:r>
            <w:r>
              <w:rPr>
                <w:rFonts w:hint="eastAsia" w:ascii="宋体" w:hAnsi="宋体"/>
                <w:szCs w:val="21"/>
              </w:rPr>
              <w:t>工项目部关键岗位人员均无在建工程；</w:t>
            </w:r>
          </w:p>
          <w:p w14:paraId="559F0D08">
            <w:pPr>
              <w:adjustRightInd w:val="0"/>
              <w:snapToGrid w:val="0"/>
              <w:spacing w:before="156" w:beforeLines="50" w:after="124"/>
              <w:rPr>
                <w:rFonts w:ascii="宋体" w:hAnsi="宋体"/>
                <w:szCs w:val="21"/>
              </w:rPr>
            </w:pPr>
            <w:r>
              <w:rPr>
                <w:rFonts w:hint="eastAsia" w:ascii="宋体" w:hAnsi="宋体"/>
                <w:szCs w:val="21"/>
              </w:rPr>
              <w:t>（6）供应商应无严重拖欠农民工工资违法失信行为，并作出承诺（格式自拟）</w:t>
            </w:r>
          </w:p>
          <w:p w14:paraId="2152A012">
            <w:pPr>
              <w:pStyle w:val="90"/>
              <w:spacing w:after="124"/>
              <w:ind w:firstLine="0" w:firstLineChars="0"/>
              <w:rPr>
                <w:rFonts w:ascii="宋体" w:hAnsi="宋体"/>
                <w:szCs w:val="21"/>
              </w:rPr>
            </w:pPr>
            <w:r>
              <w:rPr>
                <w:rFonts w:hint="eastAsia" w:ascii="宋体" w:hAnsi="宋体"/>
                <w:szCs w:val="21"/>
              </w:rPr>
              <w:t>3、法人提交企业法人营业执照副本(或者法人登记证书）、组织机构代码证副本、基本户开户证明复印件或银行开户基本信息；</w:t>
            </w:r>
          </w:p>
          <w:p w14:paraId="37C86C5A">
            <w:pPr>
              <w:pStyle w:val="90"/>
              <w:spacing w:after="124"/>
              <w:ind w:firstLine="0" w:firstLineChars="0"/>
              <w:rPr>
                <w:rFonts w:ascii="宋体" w:hAnsi="宋体"/>
                <w:szCs w:val="21"/>
              </w:rPr>
            </w:pPr>
            <w:r>
              <w:rPr>
                <w:rFonts w:hint="eastAsia" w:ascii="宋体" w:hAnsi="宋体"/>
                <w:szCs w:val="21"/>
              </w:rPr>
              <w:t>4、法人提交法定代表人资格证明书复印件或者法定代表人授权委托书原件并附法定代表人身份证明复印件；自然人提交身份证明复印件；</w:t>
            </w:r>
          </w:p>
          <w:p w14:paraId="6959C2D3">
            <w:pPr>
              <w:pStyle w:val="90"/>
              <w:spacing w:after="124"/>
              <w:ind w:firstLine="0" w:firstLineChars="0"/>
              <w:rPr>
                <w:rFonts w:ascii="宋体" w:hAnsi="宋体"/>
                <w:szCs w:val="21"/>
              </w:rPr>
            </w:pPr>
            <w:r>
              <w:rPr>
                <w:rFonts w:hint="eastAsia" w:ascii="宋体" w:hAnsi="宋体"/>
                <w:szCs w:val="21"/>
              </w:rPr>
              <w:t>5、《湖南省政府采购供应商资格承诺函》（格式见附件1）</w:t>
            </w:r>
          </w:p>
          <w:p w14:paraId="6B83B890">
            <w:pPr>
              <w:adjustRightInd w:val="0"/>
              <w:snapToGrid w:val="0"/>
              <w:spacing w:before="156" w:beforeLines="50" w:after="124"/>
              <w:rPr>
                <w:rFonts w:ascii="宋体" w:hAnsi="宋体"/>
                <w:szCs w:val="21"/>
              </w:rPr>
            </w:pPr>
            <w:r>
              <w:rPr>
                <w:rFonts w:hint="eastAsia" w:ascii="宋体" w:hAnsi="宋体"/>
                <w:szCs w:val="21"/>
              </w:rPr>
              <w:t>6、单位负责人为同一人或者存在直接控股、管理关系的不同供应商，不得参加同一合同项下的政府采购活动。</w:t>
            </w:r>
          </w:p>
          <w:p w14:paraId="50E3FB1C">
            <w:pPr>
              <w:adjustRightInd w:val="0"/>
              <w:snapToGrid w:val="0"/>
              <w:spacing w:before="156" w:beforeLines="50" w:after="124"/>
              <w:rPr>
                <w:rFonts w:ascii="宋体" w:hAnsi="宋体"/>
                <w:szCs w:val="21"/>
              </w:rPr>
            </w:pPr>
            <w:r>
              <w:rPr>
                <w:rFonts w:hint="eastAsia" w:ascii="宋体" w:hAnsi="宋体"/>
                <w:szCs w:val="21"/>
              </w:rPr>
              <w:t>7、为本采购项目提供整体设计、规范编制或者项目管理、监理、检测等服务的，不得再参加此项目的其他采购活动。</w:t>
            </w:r>
          </w:p>
          <w:p w14:paraId="3C56B06A">
            <w:pPr>
              <w:adjustRightInd w:val="0"/>
              <w:snapToGrid w:val="0"/>
              <w:spacing w:before="156" w:beforeLines="50" w:after="124"/>
              <w:rPr>
                <w:rFonts w:ascii="宋体" w:hAnsi="宋体"/>
                <w:szCs w:val="21"/>
              </w:rPr>
            </w:pPr>
            <w:r>
              <w:rPr>
                <w:rFonts w:hint="eastAsia" w:ascii="宋体" w:hAnsi="宋体"/>
                <w:szCs w:val="21"/>
              </w:rPr>
              <w:t>8、</w:t>
            </w:r>
            <w:r>
              <w:rPr>
                <w:rFonts w:hint="eastAsia"/>
              </w:rPr>
              <w:t>供应商提供未列入失信被执行人、重大税收违法案件当事人名单、政府采购严重违法失信行为记录名单的书面承诺（格式自拟）。</w:t>
            </w:r>
          </w:p>
          <w:p w14:paraId="598CCC59">
            <w:pPr>
              <w:adjustRightInd w:val="0"/>
              <w:snapToGrid w:val="0"/>
              <w:spacing w:before="156" w:beforeLines="50" w:after="124"/>
              <w:rPr>
                <w:rFonts w:ascii="宋体" w:hAnsi="宋体"/>
                <w:szCs w:val="21"/>
              </w:rPr>
            </w:pPr>
            <w:r>
              <w:rPr>
                <w:rFonts w:hint="eastAsia" w:ascii="宋体" w:hAnsi="宋体"/>
                <w:szCs w:val="21"/>
              </w:rPr>
              <w:t>9、本次磋商采购</w:t>
            </w:r>
            <w:r>
              <w:rPr>
                <w:rFonts w:hint="eastAsia" w:ascii="宋体" w:hAnsi="宋体"/>
                <w:szCs w:val="21"/>
                <w:u w:val="single"/>
              </w:rPr>
              <w:t>不接受</w:t>
            </w:r>
            <w:r>
              <w:rPr>
                <w:rFonts w:hint="eastAsia" w:ascii="宋体" w:hAnsi="宋体"/>
                <w:szCs w:val="21"/>
              </w:rPr>
              <w:t>(接受或不接受)供应商为联合体形式。</w:t>
            </w:r>
          </w:p>
          <w:p w14:paraId="158F0100">
            <w:pPr>
              <w:widowControl/>
              <w:shd w:val="clear" w:color="auto" w:fill="FFFFFF"/>
              <w:spacing w:after="124"/>
              <w:ind w:firstLine="422" w:firstLineChars="200"/>
              <w:jc w:val="left"/>
              <w:rPr>
                <w:rFonts w:ascii="宋体" w:hAnsi="宋体"/>
                <w:b/>
                <w:szCs w:val="21"/>
              </w:rPr>
            </w:pPr>
            <w:r>
              <w:rPr>
                <w:rFonts w:hint="eastAsia" w:ascii="宋体" w:hAnsi="宋体"/>
                <w:b/>
                <w:szCs w:val="21"/>
              </w:rPr>
              <w:t>注：本项目按照《湖南省财政厅关于政府采购促进中小企业发展有关措施的通知》规定，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6D365EE2">
            <w:pPr>
              <w:widowControl/>
              <w:shd w:val="clear" w:color="auto" w:fill="FFFFFF"/>
              <w:spacing w:after="124"/>
              <w:ind w:firstLine="422" w:firstLineChars="200"/>
              <w:jc w:val="left"/>
              <w:rPr>
                <w:rFonts w:ascii="宋体" w:hAnsi="宋体"/>
              </w:rPr>
            </w:pPr>
            <w:r>
              <w:rPr>
                <w:rFonts w:hint="eastAsia" w:ascii="宋体" w:hAnsi="宋体"/>
                <w:b/>
                <w:szCs w:val="21"/>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社会保险登记证和统计登记证，符合基本资格条件的相关条款；供应商如是“三证合一或五证合一”请自行说明。</w:t>
            </w:r>
          </w:p>
        </w:tc>
      </w:tr>
      <w:tr w14:paraId="088703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1847" w:type="dxa"/>
            <w:vAlign w:val="center"/>
          </w:tcPr>
          <w:p w14:paraId="162DF6EA">
            <w:pPr>
              <w:spacing w:after="124"/>
              <w:rPr>
                <w:rFonts w:ascii="宋体" w:hAnsi="宋体"/>
              </w:rPr>
            </w:pPr>
            <w:r>
              <w:rPr>
                <w:rFonts w:hint="eastAsia" w:ascii="宋体" w:hAnsi="宋体"/>
              </w:rPr>
              <w:t>第二章第6.1款</w:t>
            </w:r>
          </w:p>
        </w:tc>
        <w:tc>
          <w:tcPr>
            <w:tcW w:w="1988" w:type="dxa"/>
            <w:vAlign w:val="center"/>
          </w:tcPr>
          <w:p w14:paraId="0642781D">
            <w:pPr>
              <w:adjustRightInd w:val="0"/>
              <w:snapToGrid w:val="0"/>
              <w:spacing w:after="124"/>
              <w:rPr>
                <w:rFonts w:ascii="宋体" w:hAnsi="宋体"/>
              </w:rPr>
            </w:pPr>
            <w:r>
              <w:rPr>
                <w:rFonts w:hint="eastAsia" w:ascii="宋体" w:hAnsi="宋体"/>
                <w:szCs w:val="21"/>
              </w:rPr>
              <w:t>联合体形式</w:t>
            </w:r>
          </w:p>
        </w:tc>
        <w:tc>
          <w:tcPr>
            <w:tcW w:w="5193" w:type="dxa"/>
            <w:vAlign w:val="center"/>
          </w:tcPr>
          <w:p w14:paraId="40DF41CE">
            <w:pPr>
              <w:adjustRightInd w:val="0"/>
              <w:snapToGrid w:val="0"/>
              <w:spacing w:after="124"/>
              <w:rPr>
                <w:rFonts w:ascii="宋体" w:hAnsi="宋体"/>
                <w:szCs w:val="21"/>
              </w:rPr>
            </w:pPr>
            <w:r>
              <w:rPr>
                <w:rFonts w:hint="eastAsia" w:ascii="宋体" w:hAnsi="宋体"/>
                <w:szCs w:val="21"/>
              </w:rPr>
              <w:t>■不接受</w:t>
            </w:r>
          </w:p>
          <w:p w14:paraId="6F47BCB0">
            <w:pPr>
              <w:adjustRightInd w:val="0"/>
              <w:snapToGrid w:val="0"/>
              <w:spacing w:after="124"/>
              <w:rPr>
                <w:rFonts w:ascii="宋体" w:hAnsi="宋体"/>
              </w:rPr>
            </w:pPr>
            <w:r>
              <w:rPr>
                <w:rFonts w:hint="eastAsia" w:ascii="宋体" w:hAnsi="宋体"/>
                <w:szCs w:val="21"/>
              </w:rPr>
              <w:t>□接受</w:t>
            </w:r>
          </w:p>
        </w:tc>
      </w:tr>
      <w:tr w14:paraId="37576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1847" w:type="dxa"/>
            <w:vAlign w:val="center"/>
          </w:tcPr>
          <w:p w14:paraId="5BB5186A">
            <w:pPr>
              <w:spacing w:after="124"/>
              <w:rPr>
                <w:rFonts w:ascii="宋体" w:hAnsi="宋体"/>
              </w:rPr>
            </w:pPr>
            <w:r>
              <w:rPr>
                <w:rFonts w:hint="eastAsia" w:ascii="宋体" w:hAnsi="宋体"/>
              </w:rPr>
              <w:t>第二章第6.2款</w:t>
            </w:r>
          </w:p>
        </w:tc>
        <w:tc>
          <w:tcPr>
            <w:tcW w:w="1988" w:type="dxa"/>
            <w:vAlign w:val="center"/>
          </w:tcPr>
          <w:p w14:paraId="61328356">
            <w:pPr>
              <w:adjustRightInd w:val="0"/>
              <w:snapToGrid w:val="0"/>
              <w:spacing w:after="124"/>
              <w:rPr>
                <w:rFonts w:ascii="宋体" w:hAnsi="宋体"/>
              </w:rPr>
            </w:pPr>
            <w:r>
              <w:rPr>
                <w:rFonts w:hint="eastAsia" w:ascii="宋体" w:hAnsi="宋体"/>
                <w:szCs w:val="21"/>
              </w:rPr>
              <w:t>对联合体各方的要求</w:t>
            </w:r>
          </w:p>
        </w:tc>
        <w:tc>
          <w:tcPr>
            <w:tcW w:w="5193" w:type="dxa"/>
            <w:vAlign w:val="center"/>
          </w:tcPr>
          <w:p w14:paraId="5371643D">
            <w:pPr>
              <w:adjustRightInd w:val="0"/>
              <w:snapToGrid w:val="0"/>
              <w:spacing w:after="124"/>
              <w:rPr>
                <w:rFonts w:ascii="宋体" w:hAnsi="宋体"/>
              </w:rPr>
            </w:pPr>
            <w:r>
              <w:rPr>
                <w:rFonts w:hint="eastAsia" w:ascii="宋体" w:hAnsi="宋体"/>
                <w:szCs w:val="21"/>
              </w:rPr>
              <w:t>本项目不接受联合体投标</w:t>
            </w:r>
          </w:p>
        </w:tc>
      </w:tr>
      <w:tr w14:paraId="4B341C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7" w:hRule="atLeast"/>
          <w:jc w:val="center"/>
        </w:trPr>
        <w:tc>
          <w:tcPr>
            <w:tcW w:w="1847" w:type="dxa"/>
            <w:vAlign w:val="center"/>
          </w:tcPr>
          <w:p w14:paraId="0995F047">
            <w:pPr>
              <w:spacing w:after="124"/>
              <w:rPr>
                <w:rFonts w:ascii="宋体" w:hAnsi="宋体"/>
              </w:rPr>
            </w:pPr>
            <w:r>
              <w:rPr>
                <w:rFonts w:hint="eastAsia" w:ascii="宋体" w:hAnsi="宋体"/>
              </w:rPr>
              <w:t>第二章第7.1款</w:t>
            </w:r>
          </w:p>
        </w:tc>
        <w:tc>
          <w:tcPr>
            <w:tcW w:w="1988" w:type="dxa"/>
            <w:vAlign w:val="center"/>
          </w:tcPr>
          <w:p w14:paraId="668585E9">
            <w:pPr>
              <w:adjustRightInd w:val="0"/>
              <w:snapToGrid w:val="0"/>
              <w:spacing w:after="124"/>
              <w:rPr>
                <w:rFonts w:ascii="宋体" w:hAnsi="宋体"/>
              </w:rPr>
            </w:pPr>
            <w:r>
              <w:rPr>
                <w:rFonts w:hint="eastAsia" w:ascii="宋体" w:hAnsi="宋体"/>
                <w:szCs w:val="21"/>
              </w:rPr>
              <w:t>现场勘察</w:t>
            </w:r>
          </w:p>
        </w:tc>
        <w:tc>
          <w:tcPr>
            <w:tcW w:w="5193" w:type="dxa"/>
            <w:vAlign w:val="center"/>
          </w:tcPr>
          <w:p w14:paraId="7009C0F1">
            <w:pPr>
              <w:adjustRightInd w:val="0"/>
              <w:snapToGrid w:val="0"/>
              <w:spacing w:after="124"/>
              <w:rPr>
                <w:rFonts w:ascii="宋体" w:hAnsi="宋体"/>
                <w:szCs w:val="21"/>
              </w:rPr>
            </w:pPr>
            <w:r>
              <w:rPr>
                <w:rFonts w:hint="eastAsia" w:ascii="宋体" w:hAnsi="宋体"/>
                <w:szCs w:val="21"/>
              </w:rPr>
              <w:t>■采购人不组织</w:t>
            </w:r>
          </w:p>
          <w:p w14:paraId="0593819D">
            <w:pPr>
              <w:adjustRightInd w:val="0"/>
              <w:snapToGrid w:val="0"/>
              <w:spacing w:after="124"/>
              <w:rPr>
                <w:rFonts w:ascii="宋体" w:hAnsi="宋体"/>
              </w:rPr>
            </w:pPr>
            <w:r>
              <w:rPr>
                <w:rFonts w:hint="eastAsia" w:ascii="宋体" w:hAnsi="宋体"/>
                <w:szCs w:val="21"/>
              </w:rPr>
              <w:t>□采购人组织，时间：地点：联系人：</w:t>
            </w:r>
          </w:p>
        </w:tc>
      </w:tr>
      <w:tr w14:paraId="372C8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1847" w:type="dxa"/>
            <w:vAlign w:val="center"/>
          </w:tcPr>
          <w:p w14:paraId="453142C7">
            <w:pPr>
              <w:spacing w:after="124"/>
              <w:rPr>
                <w:rFonts w:ascii="宋体" w:hAnsi="宋体"/>
              </w:rPr>
            </w:pPr>
            <w:r>
              <w:rPr>
                <w:rFonts w:hint="eastAsia" w:ascii="宋体" w:hAnsi="宋体"/>
              </w:rPr>
              <w:t>第二章第8.1款</w:t>
            </w:r>
          </w:p>
        </w:tc>
        <w:tc>
          <w:tcPr>
            <w:tcW w:w="1988" w:type="dxa"/>
            <w:vAlign w:val="center"/>
          </w:tcPr>
          <w:p w14:paraId="07414DE4">
            <w:pPr>
              <w:spacing w:after="124"/>
              <w:rPr>
                <w:rFonts w:ascii="宋体" w:hAnsi="宋体"/>
              </w:rPr>
            </w:pPr>
            <w:r>
              <w:rPr>
                <w:rFonts w:hint="eastAsia" w:ascii="宋体" w:hAnsi="宋体"/>
                <w:szCs w:val="21"/>
              </w:rPr>
              <w:t>采购进口产品</w:t>
            </w:r>
          </w:p>
        </w:tc>
        <w:tc>
          <w:tcPr>
            <w:tcW w:w="5193" w:type="dxa"/>
            <w:vAlign w:val="center"/>
          </w:tcPr>
          <w:p w14:paraId="4D5FD928">
            <w:pPr>
              <w:adjustRightInd w:val="0"/>
              <w:snapToGrid w:val="0"/>
              <w:spacing w:after="124"/>
              <w:rPr>
                <w:rFonts w:ascii="宋体" w:hAnsi="宋体"/>
                <w:szCs w:val="21"/>
              </w:rPr>
            </w:pPr>
            <w:r>
              <w:rPr>
                <w:rFonts w:hint="eastAsia" w:ascii="宋体" w:hAnsi="宋体"/>
                <w:szCs w:val="21"/>
              </w:rPr>
              <w:t>■本项目拒绝采购进口产品</w:t>
            </w:r>
          </w:p>
          <w:p w14:paraId="715BA625">
            <w:pPr>
              <w:spacing w:after="124"/>
              <w:rPr>
                <w:rFonts w:ascii="宋体" w:hAnsi="宋体"/>
              </w:rPr>
            </w:pPr>
            <w:r>
              <w:rPr>
                <w:rFonts w:hint="eastAsia" w:ascii="宋体" w:hAnsi="宋体"/>
                <w:szCs w:val="21"/>
              </w:rPr>
              <w:t>□本项目已经财政部门审核同意购买进口产品</w:t>
            </w:r>
          </w:p>
        </w:tc>
      </w:tr>
      <w:tr w14:paraId="6EC880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1847" w:type="dxa"/>
            <w:vAlign w:val="center"/>
          </w:tcPr>
          <w:p w14:paraId="46BFAB9A">
            <w:pPr>
              <w:spacing w:after="124"/>
              <w:ind w:hanging="315"/>
              <w:rPr>
                <w:rFonts w:ascii="宋体" w:hAnsi="宋体"/>
              </w:rPr>
            </w:pPr>
          </w:p>
        </w:tc>
        <w:tc>
          <w:tcPr>
            <w:tcW w:w="1988" w:type="dxa"/>
            <w:vAlign w:val="center"/>
          </w:tcPr>
          <w:p w14:paraId="521211F8">
            <w:pPr>
              <w:adjustRightInd w:val="0"/>
              <w:snapToGrid w:val="0"/>
              <w:spacing w:after="124" w:line="300" w:lineRule="exact"/>
              <w:rPr>
                <w:rFonts w:ascii="宋体" w:hAnsi="宋体"/>
                <w:szCs w:val="21"/>
              </w:rPr>
            </w:pPr>
            <w:r>
              <w:rPr>
                <w:rFonts w:hint="eastAsia" w:ascii="宋体" w:hAnsi="宋体"/>
                <w:szCs w:val="21"/>
              </w:rPr>
              <w:t>政府采购优先采购</w:t>
            </w:r>
            <w:r>
              <w:rPr>
                <w:rFonts w:hint="eastAsia" w:ascii="宋体" w:hAnsi="宋体" w:cs="宋体"/>
                <w:szCs w:val="21"/>
              </w:rPr>
              <w:t>节能产品或环境标志产品</w:t>
            </w:r>
          </w:p>
        </w:tc>
        <w:tc>
          <w:tcPr>
            <w:tcW w:w="5193" w:type="dxa"/>
            <w:vAlign w:val="center"/>
          </w:tcPr>
          <w:p w14:paraId="25F5C012">
            <w:pPr>
              <w:spacing w:after="124" w:line="360" w:lineRule="atLeast"/>
              <w:rPr>
                <w:rFonts w:ascii="宋体" w:hAnsi="宋体"/>
                <w:szCs w:val="21"/>
              </w:rPr>
            </w:pPr>
            <w:r>
              <w:rPr>
                <w:rFonts w:hint="eastAsia"/>
                <w:szCs w:val="21"/>
              </w:rPr>
              <w:t>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w:t>
            </w:r>
            <w:r>
              <w:rPr>
                <w:rFonts w:hint="eastAsia" w:ascii="宋体" w:hAnsi="宋体" w:cs="宋体"/>
                <w:szCs w:val="21"/>
              </w:rPr>
              <w:t>供应商必需提供节能或环境标志产品认证证书复印件，未按以上要求提供认证证书复印件或不是清单内的产品，评审时不予优先采购：</w:t>
            </w:r>
          </w:p>
          <w:p w14:paraId="0EB6427F">
            <w:pPr>
              <w:adjustRightInd w:val="0"/>
              <w:snapToGrid w:val="0"/>
              <w:spacing w:after="124" w:line="300" w:lineRule="exact"/>
              <w:rPr>
                <w:rFonts w:ascii="宋体" w:hAnsi="宋体"/>
                <w:szCs w:val="21"/>
              </w:rPr>
            </w:pPr>
            <w:r>
              <w:rPr>
                <w:rFonts w:ascii="宋体" w:hAnsi="宋体"/>
                <w:szCs w:val="21"/>
              </w:rPr>
              <w:t>采用综合评分法时，对于技术和价格分，应分别给予总分值4%-8%的加分。本项目具体加分比例分别为：技术部分</w:t>
            </w:r>
            <w:r>
              <w:rPr>
                <w:rFonts w:hint="eastAsia" w:ascii="宋体" w:hAnsi="宋体"/>
                <w:szCs w:val="21"/>
              </w:rPr>
              <w:t>/</w:t>
            </w:r>
            <w:r>
              <w:rPr>
                <w:rFonts w:ascii="宋体" w:hAnsi="宋体"/>
                <w:szCs w:val="21"/>
              </w:rPr>
              <w:t>%、价格部分</w:t>
            </w:r>
            <w:r>
              <w:rPr>
                <w:rFonts w:hint="eastAsia" w:ascii="宋体" w:hAnsi="宋体"/>
                <w:szCs w:val="21"/>
              </w:rPr>
              <w:t>/</w:t>
            </w:r>
            <w:r>
              <w:rPr>
                <w:rFonts w:ascii="宋体" w:hAnsi="宋体"/>
                <w:szCs w:val="21"/>
              </w:rPr>
              <w:t>%。</w:t>
            </w:r>
          </w:p>
        </w:tc>
      </w:tr>
      <w:tr w14:paraId="5EB10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7" w:hRule="atLeast"/>
          <w:jc w:val="center"/>
        </w:trPr>
        <w:tc>
          <w:tcPr>
            <w:tcW w:w="1847" w:type="dxa"/>
            <w:vMerge w:val="restart"/>
            <w:vAlign w:val="center"/>
          </w:tcPr>
          <w:p w14:paraId="37823E32">
            <w:pPr>
              <w:spacing w:after="124"/>
              <w:rPr>
                <w:rFonts w:ascii="宋体" w:hAnsi="宋体"/>
              </w:rPr>
            </w:pPr>
            <w:r>
              <w:rPr>
                <w:rFonts w:hint="eastAsia" w:ascii="宋体" w:hAnsi="宋体"/>
              </w:rPr>
              <w:t>第二章第9.2款</w:t>
            </w:r>
          </w:p>
          <w:p w14:paraId="2596A5F8">
            <w:pPr>
              <w:pStyle w:val="12"/>
              <w:spacing w:after="124"/>
              <w:ind w:left="735" w:hanging="315"/>
            </w:pPr>
          </w:p>
        </w:tc>
        <w:tc>
          <w:tcPr>
            <w:tcW w:w="1988" w:type="dxa"/>
            <w:tcBorders>
              <w:top w:val="single" w:color="auto" w:sz="4" w:space="0"/>
              <w:bottom w:val="single" w:color="auto" w:sz="4" w:space="0"/>
            </w:tcBorders>
            <w:vAlign w:val="center"/>
          </w:tcPr>
          <w:p w14:paraId="16D4CA94">
            <w:pPr>
              <w:adjustRightInd w:val="0"/>
              <w:snapToGrid w:val="0"/>
              <w:spacing w:after="124" w:line="300" w:lineRule="exact"/>
              <w:rPr>
                <w:rFonts w:ascii="宋体" w:hAnsi="宋体"/>
              </w:rPr>
            </w:pPr>
            <w:r>
              <w:rPr>
                <w:rFonts w:hint="eastAsia" w:ascii="宋体" w:hAnsi="宋体"/>
                <w:szCs w:val="21"/>
              </w:rPr>
              <w:t>政府采购</w:t>
            </w:r>
            <w:r>
              <w:rPr>
                <w:rFonts w:hint="eastAsia" w:ascii="宋体" w:hAnsi="宋体" w:cs="宋体"/>
                <w:bCs/>
                <w:kern w:val="0"/>
                <w:szCs w:val="21"/>
              </w:rPr>
              <w:t>支持</w:t>
            </w:r>
            <w:r>
              <w:rPr>
                <w:rFonts w:hint="eastAsia" w:ascii="宋体" w:hAnsi="宋体"/>
                <w:szCs w:val="21"/>
              </w:rPr>
              <w:t>中小企业发展</w:t>
            </w:r>
          </w:p>
        </w:tc>
        <w:tc>
          <w:tcPr>
            <w:tcW w:w="5193" w:type="dxa"/>
            <w:tcBorders>
              <w:top w:val="single" w:color="auto" w:sz="4" w:space="0"/>
              <w:bottom w:val="single" w:color="auto" w:sz="4" w:space="0"/>
            </w:tcBorders>
            <w:vAlign w:val="center"/>
          </w:tcPr>
          <w:p w14:paraId="4B0F9518">
            <w:pPr>
              <w:adjustRightInd w:val="0"/>
              <w:snapToGrid w:val="0"/>
              <w:spacing w:after="124" w:line="300" w:lineRule="exact"/>
              <w:rPr>
                <w:rFonts w:ascii="宋体" w:hAnsi="宋体" w:cs="宋体"/>
                <w:kern w:val="0"/>
                <w:szCs w:val="21"/>
              </w:rPr>
            </w:pPr>
            <w:r>
              <w:rPr>
                <w:rFonts w:hint="eastAsia" w:ascii="宋体" w:hAnsi="宋体" w:cs="宋体"/>
                <w:szCs w:val="21"/>
              </w:rPr>
              <w:t>■</w:t>
            </w:r>
            <w:r>
              <w:rPr>
                <w:rFonts w:hint="eastAsia" w:ascii="宋体" w:hAnsi="宋体"/>
                <w:szCs w:val="21"/>
              </w:rPr>
              <w:t>专门面向中小企业采购（应同时在邀请公告中注明）</w:t>
            </w:r>
            <w:r>
              <w:rPr>
                <w:rFonts w:hint="eastAsia" w:ascii="宋体" w:hAnsi="宋体" w:cs="宋体"/>
                <w:kern w:val="0"/>
                <w:szCs w:val="21"/>
              </w:rPr>
              <w:t>。</w:t>
            </w:r>
          </w:p>
          <w:p w14:paraId="71A51071">
            <w:pPr>
              <w:snapToGrid w:val="0"/>
              <w:spacing w:after="124" w:line="300" w:lineRule="exact"/>
              <w:textAlignment w:val="baseline"/>
              <w:rPr>
                <w:rStyle w:val="110"/>
                <w:rFonts w:ascii="宋体" w:hAnsi="宋体"/>
                <w:szCs w:val="21"/>
              </w:rPr>
            </w:pPr>
            <w:r>
              <w:rPr>
                <w:rStyle w:val="110"/>
                <w:rFonts w:ascii="宋体" w:hAnsi="宋体"/>
                <w:kern w:val="0"/>
                <w:szCs w:val="21"/>
              </w:rPr>
              <w:t>本项目专门面向中小企业采购，不再执行价格评审优惠的扶持政策。</w:t>
            </w:r>
          </w:p>
          <w:p w14:paraId="6EF538A8">
            <w:pPr>
              <w:adjustRightInd w:val="0"/>
              <w:snapToGrid w:val="0"/>
              <w:spacing w:after="124" w:line="300" w:lineRule="exact"/>
              <w:rPr>
                <w:rFonts w:ascii="宋体" w:hAnsi="宋体"/>
                <w:szCs w:val="21"/>
              </w:rPr>
            </w:pPr>
            <w:r>
              <w:rPr>
                <w:rFonts w:hint="eastAsia" w:ascii="宋体" w:hAnsi="宋体"/>
                <w:szCs w:val="21"/>
              </w:rPr>
              <w:t>□非专门面向中小企业采购：</w:t>
            </w:r>
            <w:r>
              <w:rPr>
                <w:rFonts w:ascii="宋体" w:hAnsi="宋体" w:cs="宋体"/>
                <w:szCs w:val="21"/>
              </w:rPr>
              <w:t>（</w:t>
            </w:r>
            <w:r>
              <w:rPr>
                <w:rFonts w:hint="eastAsia" w:ascii="宋体" w:hAnsi="宋体" w:cs="宋体"/>
                <w:szCs w:val="21"/>
              </w:rPr>
              <w:t>供应商</w:t>
            </w:r>
            <w:r>
              <w:rPr>
                <w:rFonts w:ascii="宋体" w:hAnsi="宋体" w:cs="宋体"/>
                <w:szCs w:val="21"/>
              </w:rPr>
              <w:t>如提供有中小企业产品，投标文件必需按磋商文件对中小企业所列要求特别标注说明所投中小企业产品所在品目、品牌、型号，否则评审时不予以考虑）：</w:t>
            </w:r>
          </w:p>
          <w:p w14:paraId="0735C034">
            <w:pPr>
              <w:adjustRightInd w:val="0"/>
              <w:snapToGrid w:val="0"/>
              <w:spacing w:after="124" w:line="300" w:lineRule="exact"/>
              <w:rPr>
                <w:rFonts w:ascii="宋体" w:hAnsi="宋体" w:cs="宋体"/>
                <w:szCs w:val="21"/>
              </w:rPr>
            </w:pPr>
            <w:r>
              <w:rPr>
                <w:rFonts w:hint="eastAsia" w:ascii="宋体" w:hAnsi="宋体" w:cs="宋体"/>
                <w:szCs w:val="21"/>
              </w:rPr>
              <w:t>1、给予小型和微型企业产品的价格给予10%-20%的扣除，用扣除后的价格参与评审，本项目具体扣除比例为</w:t>
            </w:r>
            <w:r>
              <w:rPr>
                <w:rFonts w:hint="eastAsia" w:ascii="宋体" w:hAnsi="宋体" w:cs="宋体"/>
                <w:szCs w:val="21"/>
                <w:u w:val="single"/>
                <w:lang w:val="en-US" w:eastAsia="zh-CN"/>
              </w:rPr>
              <w:t>10</w:t>
            </w:r>
            <w:r>
              <w:rPr>
                <w:rFonts w:hint="eastAsia" w:ascii="宋体" w:hAnsi="宋体" w:cs="宋体"/>
                <w:szCs w:val="21"/>
              </w:rPr>
              <w:t>％。</w:t>
            </w:r>
          </w:p>
          <w:p w14:paraId="502CCE02">
            <w:pPr>
              <w:adjustRightInd w:val="0"/>
              <w:snapToGrid w:val="0"/>
              <w:spacing w:after="124" w:line="300" w:lineRule="exact"/>
              <w:rPr>
                <w:rFonts w:ascii="宋体" w:hAnsi="宋体"/>
                <w:szCs w:val="21"/>
              </w:rPr>
            </w:pPr>
            <w:r>
              <w:rPr>
                <w:rFonts w:hint="eastAsia" w:ascii="宋体" w:hAnsi="宋体"/>
                <w:szCs w:val="21"/>
              </w:rPr>
              <w:t>2、</w:t>
            </w:r>
            <w:r>
              <w:rPr>
                <w:rFonts w:hint="eastAsia" w:ascii="宋体" w:hAnsi="宋体" w:cs="宋体"/>
                <w:szCs w:val="21"/>
              </w:rPr>
              <w:t>给予联合体小型和微型企业产品的价格给予2%-3%的扣除，用扣除后的价格参与评审，本项目具体扣除比例为</w:t>
            </w:r>
            <w:r>
              <w:rPr>
                <w:rFonts w:hint="eastAsia" w:ascii="宋体" w:hAnsi="宋体" w:cs="宋体"/>
                <w:szCs w:val="21"/>
                <w:u w:val="single"/>
              </w:rPr>
              <w:t>/</w:t>
            </w:r>
            <w:r>
              <w:rPr>
                <w:rFonts w:hint="eastAsia" w:ascii="宋体" w:hAnsi="宋体" w:cs="宋体"/>
                <w:szCs w:val="21"/>
              </w:rPr>
              <w:t>％。</w:t>
            </w:r>
          </w:p>
          <w:p w14:paraId="58B859E7">
            <w:pPr>
              <w:adjustRightInd w:val="0"/>
              <w:snapToGrid w:val="0"/>
              <w:spacing w:after="124" w:line="300" w:lineRule="exact"/>
              <w:rPr>
                <w:rFonts w:ascii="宋体" w:hAnsi="宋体"/>
                <w:szCs w:val="21"/>
              </w:rPr>
            </w:pPr>
            <w:r>
              <w:rPr>
                <w:rFonts w:hint="eastAsia" w:ascii="宋体" w:hAnsi="宋体"/>
                <w:szCs w:val="21"/>
              </w:rPr>
              <w:t>3、给予中型企业产品的价格给予3%-5%的扣除，用扣除后的价格参与评审，本项目具体扣除比例为</w:t>
            </w:r>
            <w:r>
              <w:rPr>
                <w:rFonts w:hint="eastAsia" w:ascii="宋体" w:hAnsi="宋体"/>
                <w:szCs w:val="21"/>
                <w:u w:val="single"/>
              </w:rPr>
              <w:t>/</w:t>
            </w:r>
            <w:r>
              <w:rPr>
                <w:rFonts w:hint="eastAsia" w:ascii="宋体" w:hAnsi="宋体"/>
                <w:szCs w:val="21"/>
              </w:rPr>
              <w:t>％。</w:t>
            </w:r>
          </w:p>
        </w:tc>
      </w:tr>
      <w:tr w14:paraId="7B4347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6" w:hRule="atLeast"/>
          <w:jc w:val="center"/>
        </w:trPr>
        <w:tc>
          <w:tcPr>
            <w:tcW w:w="1847" w:type="dxa"/>
            <w:vMerge w:val="continue"/>
            <w:tcBorders>
              <w:bottom w:val="single" w:color="auto" w:sz="4" w:space="0"/>
            </w:tcBorders>
            <w:vAlign w:val="center"/>
          </w:tcPr>
          <w:p w14:paraId="7D8CA1A8">
            <w:pPr>
              <w:spacing w:after="124"/>
              <w:ind w:hanging="315"/>
              <w:rPr>
                <w:rFonts w:ascii="宋体" w:hAnsi="宋体"/>
              </w:rPr>
            </w:pPr>
          </w:p>
        </w:tc>
        <w:tc>
          <w:tcPr>
            <w:tcW w:w="1988" w:type="dxa"/>
            <w:tcBorders>
              <w:top w:val="single" w:color="auto" w:sz="4" w:space="0"/>
              <w:bottom w:val="single" w:color="auto" w:sz="4" w:space="0"/>
            </w:tcBorders>
            <w:vAlign w:val="center"/>
          </w:tcPr>
          <w:p w14:paraId="115EA128">
            <w:pPr>
              <w:spacing w:after="124" w:line="300" w:lineRule="exact"/>
              <w:rPr>
                <w:rFonts w:ascii="宋体" w:hAnsi="宋体"/>
              </w:rPr>
            </w:pPr>
            <w:r>
              <w:rPr>
                <w:rFonts w:ascii="宋体" w:hAnsi="宋体" w:cs="宋体"/>
                <w:szCs w:val="21"/>
              </w:rPr>
              <w:t>残疾人福利性单位</w:t>
            </w:r>
          </w:p>
        </w:tc>
        <w:tc>
          <w:tcPr>
            <w:tcW w:w="5193" w:type="dxa"/>
            <w:tcBorders>
              <w:top w:val="single" w:color="auto" w:sz="4" w:space="0"/>
              <w:bottom w:val="single" w:color="auto" w:sz="4" w:space="0"/>
            </w:tcBorders>
            <w:vAlign w:val="center"/>
          </w:tcPr>
          <w:p w14:paraId="29A20D53">
            <w:pPr>
              <w:spacing w:after="124" w:line="300" w:lineRule="exact"/>
              <w:rPr>
                <w:rFonts w:ascii="宋体" w:hAnsi="宋体" w:cs="宋体"/>
                <w:szCs w:val="21"/>
              </w:rPr>
            </w:pPr>
            <w:r>
              <w:rPr>
                <w:rFonts w:hint="eastAsia" w:ascii="宋体" w:hAnsi="宋体" w:cs="宋体"/>
                <w:szCs w:val="21"/>
              </w:rPr>
              <w:t>□否</w:t>
            </w:r>
          </w:p>
          <w:p w14:paraId="282630F9">
            <w:pPr>
              <w:spacing w:after="124" w:line="300" w:lineRule="exact"/>
            </w:pPr>
            <w:r>
              <w:rPr>
                <w:rFonts w:hint="eastAsia" w:ascii="宋体" w:hAnsi="宋体" w:cs="宋体"/>
                <w:szCs w:val="21"/>
              </w:rPr>
              <w:t>■是，</w:t>
            </w:r>
            <w:r>
              <w:rPr>
                <w:rFonts w:ascii="宋体" w:hAnsi="宋体" w:cs="宋体"/>
                <w:szCs w:val="21"/>
              </w:rPr>
              <w:t>非专门面向残疾人福利单位采购（</w:t>
            </w:r>
            <w:r>
              <w:rPr>
                <w:rFonts w:hint="eastAsia" w:ascii="宋体" w:hAnsi="宋体" w:cs="宋体"/>
                <w:szCs w:val="21"/>
              </w:rPr>
              <w:t>供应商</w:t>
            </w:r>
            <w:r>
              <w:rPr>
                <w:rFonts w:ascii="宋体" w:hAnsi="宋体" w:cs="宋体"/>
                <w:szCs w:val="21"/>
              </w:rPr>
              <w:t>如提供残疾人福利性单位生产的产品，投标文件必须按磋商文件对残疾人福利性单位所列要求特别标注说明所投残疾人福利性单位生产的产品所在品目、品牌、型号，否则评审时不予以考虑）：</w:t>
            </w:r>
          </w:p>
          <w:p w14:paraId="567D28D5">
            <w:pPr>
              <w:spacing w:after="124" w:line="300" w:lineRule="exact"/>
              <w:rPr>
                <w:rFonts w:ascii="宋体" w:hAnsi="宋体"/>
              </w:rPr>
            </w:pPr>
            <w:r>
              <w:rPr>
                <w:rFonts w:ascii="宋体" w:hAnsi="宋体" w:cs="宋体"/>
                <w:szCs w:val="21"/>
              </w:rPr>
              <w:t>残疾人福利性单位生产的产品的价格给予6%-10%的扣除，用扣除后的价格参与评审，本项目具体扣除比例为：</w:t>
            </w:r>
            <w:r>
              <w:rPr>
                <w:rFonts w:hint="eastAsia" w:ascii="宋体" w:hAnsi="宋体" w:cs="宋体"/>
                <w:szCs w:val="21"/>
              </w:rPr>
              <w:t>10%。残疾人福利性单位属于小型、微型企业的，不重复享受扶持中小企业发展的优惠政策。</w:t>
            </w:r>
          </w:p>
        </w:tc>
      </w:tr>
      <w:tr w14:paraId="35D23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2" w:hRule="atLeast"/>
          <w:jc w:val="center"/>
        </w:trPr>
        <w:tc>
          <w:tcPr>
            <w:tcW w:w="1847" w:type="dxa"/>
            <w:vMerge w:val="continue"/>
            <w:tcBorders>
              <w:bottom w:val="single" w:color="auto" w:sz="4" w:space="0"/>
            </w:tcBorders>
            <w:vAlign w:val="center"/>
          </w:tcPr>
          <w:p w14:paraId="589AC384">
            <w:pPr>
              <w:spacing w:after="124"/>
              <w:ind w:hanging="315"/>
              <w:rPr>
                <w:rFonts w:ascii="宋体" w:hAnsi="宋体"/>
              </w:rPr>
            </w:pPr>
          </w:p>
        </w:tc>
        <w:tc>
          <w:tcPr>
            <w:tcW w:w="1988" w:type="dxa"/>
            <w:tcBorders>
              <w:top w:val="single" w:color="auto" w:sz="4" w:space="0"/>
            </w:tcBorders>
            <w:vAlign w:val="center"/>
          </w:tcPr>
          <w:p w14:paraId="0628AEDC">
            <w:pPr>
              <w:spacing w:after="124" w:line="300" w:lineRule="exact"/>
              <w:rPr>
                <w:rFonts w:ascii="宋体" w:hAnsi="宋体"/>
              </w:rPr>
            </w:pPr>
            <w:r>
              <w:rPr>
                <w:rFonts w:hint="eastAsia" w:ascii="宋体" w:hAnsi="宋体" w:cs="宋体"/>
                <w:szCs w:val="21"/>
              </w:rPr>
              <w:t>监狱企业</w:t>
            </w:r>
          </w:p>
        </w:tc>
        <w:tc>
          <w:tcPr>
            <w:tcW w:w="5193" w:type="dxa"/>
            <w:tcBorders>
              <w:top w:val="single" w:color="auto" w:sz="4" w:space="0"/>
            </w:tcBorders>
            <w:vAlign w:val="center"/>
          </w:tcPr>
          <w:p w14:paraId="6CB0A29A">
            <w:pPr>
              <w:spacing w:after="124" w:line="300" w:lineRule="exact"/>
              <w:rPr>
                <w:rFonts w:ascii="宋体" w:hAnsi="宋体" w:cs="宋体"/>
                <w:szCs w:val="21"/>
              </w:rPr>
            </w:pPr>
            <w:r>
              <w:rPr>
                <w:rFonts w:hint="eastAsia" w:ascii="宋体" w:hAnsi="宋体" w:cs="宋体"/>
                <w:szCs w:val="21"/>
              </w:rPr>
              <w:t>□否</w:t>
            </w:r>
          </w:p>
          <w:p w14:paraId="22E8F0DD">
            <w:pPr>
              <w:spacing w:after="124" w:line="300" w:lineRule="exact"/>
              <w:rPr>
                <w:rFonts w:ascii="宋体" w:hAnsi="宋体" w:cs="宋体"/>
                <w:szCs w:val="21"/>
              </w:rPr>
            </w:pPr>
            <w:r>
              <w:rPr>
                <w:rFonts w:hint="eastAsia" w:ascii="宋体" w:hAnsi="宋体" w:cs="宋体"/>
                <w:szCs w:val="21"/>
              </w:rPr>
              <w:t>■是，非专门面向监狱企业采购（供应商如提供监狱企业生产的产品，投标文件必须按磋商文件对监狱企业所列要求特别标注说明所监狱企业生产的产品所在品目、品牌、型号，否则评审时不予以考虑）：</w:t>
            </w:r>
          </w:p>
          <w:p w14:paraId="09823D27">
            <w:pPr>
              <w:spacing w:after="124" w:line="300" w:lineRule="exact"/>
              <w:rPr>
                <w:rFonts w:ascii="宋体" w:hAnsi="宋体" w:cs="宋体"/>
                <w:szCs w:val="21"/>
              </w:rPr>
            </w:pPr>
            <w:r>
              <w:rPr>
                <w:rFonts w:hint="eastAsia" w:ascii="宋体" w:hAnsi="宋体" w:cs="宋体"/>
                <w:szCs w:val="21"/>
              </w:rPr>
              <w:t>监狱企业生产的产品的价格给予6%-10%的扣除，用扣除后的价格参与评审，本项目具体扣除比例为：</w:t>
            </w:r>
            <w:r>
              <w:rPr>
                <w:rFonts w:hint="eastAsia" w:ascii="宋体" w:hAnsi="宋体" w:cs="宋体"/>
                <w:szCs w:val="21"/>
                <w:u w:val="single"/>
              </w:rPr>
              <w:t>10</w:t>
            </w:r>
            <w:r>
              <w:rPr>
                <w:rFonts w:hint="eastAsia" w:ascii="宋体" w:hAnsi="宋体" w:cs="宋体"/>
                <w:szCs w:val="21"/>
              </w:rPr>
              <w:t>%。</w:t>
            </w:r>
          </w:p>
          <w:p w14:paraId="1B1BAB85">
            <w:pPr>
              <w:spacing w:after="124" w:line="300" w:lineRule="exact"/>
              <w:rPr>
                <w:rFonts w:ascii="宋体" w:hAnsi="宋体"/>
              </w:rPr>
            </w:pPr>
            <w:r>
              <w:rPr>
                <w:rFonts w:hint="eastAsia" w:ascii="宋体" w:hAnsi="宋体" w:cs="宋体"/>
                <w:szCs w:val="21"/>
              </w:rPr>
              <w:t>监狱企业属于小型、微型企业的，不重复享受扶持中小企业发展的优惠政策。</w:t>
            </w:r>
          </w:p>
        </w:tc>
      </w:tr>
      <w:tr w14:paraId="2429BC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847" w:type="dxa"/>
            <w:vMerge w:val="restart"/>
            <w:tcBorders>
              <w:top w:val="single" w:color="auto" w:sz="4" w:space="0"/>
            </w:tcBorders>
            <w:vAlign w:val="center"/>
          </w:tcPr>
          <w:p w14:paraId="5BFB2CEF">
            <w:pPr>
              <w:spacing w:after="124"/>
              <w:rPr>
                <w:rFonts w:ascii="宋体" w:hAnsi="宋体"/>
              </w:rPr>
            </w:pPr>
            <w:r>
              <w:rPr>
                <w:rFonts w:hint="eastAsia" w:ascii="宋体" w:hAnsi="宋体"/>
              </w:rPr>
              <w:t>第二章第9.6款</w:t>
            </w:r>
          </w:p>
        </w:tc>
        <w:tc>
          <w:tcPr>
            <w:tcW w:w="1988" w:type="dxa"/>
            <w:tcBorders>
              <w:top w:val="single" w:color="auto" w:sz="4" w:space="0"/>
            </w:tcBorders>
            <w:vAlign w:val="center"/>
          </w:tcPr>
          <w:p w14:paraId="28FDBA59">
            <w:pPr>
              <w:spacing w:after="124"/>
              <w:rPr>
                <w:rFonts w:ascii="宋体" w:hAnsi="宋体"/>
              </w:rPr>
            </w:pPr>
            <w:r>
              <w:rPr>
                <w:rFonts w:hint="eastAsia" w:ascii="宋体" w:hAnsi="宋体"/>
              </w:rPr>
              <w:t>政府采购支持中小企业融资</w:t>
            </w:r>
          </w:p>
        </w:tc>
        <w:tc>
          <w:tcPr>
            <w:tcW w:w="5193" w:type="dxa"/>
            <w:tcBorders>
              <w:top w:val="single" w:color="auto" w:sz="4" w:space="0"/>
            </w:tcBorders>
          </w:tcPr>
          <w:p w14:paraId="676EEFCA">
            <w:pPr>
              <w:spacing w:after="124"/>
              <w:rPr>
                <w:rFonts w:ascii="宋体" w:hAnsi="宋体"/>
              </w:rPr>
            </w:pPr>
            <w:r>
              <w:rPr>
                <w:rFonts w:hint="eastAsia" w:ascii="宋体" w:hAnsi="宋体"/>
              </w:rPr>
              <w:t>有融资需求的，登陆中国湖南政府采购网查询。</w:t>
            </w:r>
          </w:p>
        </w:tc>
      </w:tr>
      <w:tr w14:paraId="613BF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3" w:hRule="atLeast"/>
          <w:jc w:val="center"/>
        </w:trPr>
        <w:tc>
          <w:tcPr>
            <w:tcW w:w="1847" w:type="dxa"/>
            <w:vMerge w:val="continue"/>
            <w:vAlign w:val="center"/>
          </w:tcPr>
          <w:p w14:paraId="6EF7CB92">
            <w:pPr>
              <w:spacing w:after="124"/>
              <w:ind w:hanging="315"/>
              <w:rPr>
                <w:rFonts w:ascii="宋体" w:hAnsi="宋体"/>
              </w:rPr>
            </w:pPr>
          </w:p>
        </w:tc>
        <w:tc>
          <w:tcPr>
            <w:tcW w:w="1988" w:type="dxa"/>
            <w:tcBorders>
              <w:top w:val="single" w:color="auto" w:sz="4" w:space="0"/>
            </w:tcBorders>
            <w:vAlign w:val="center"/>
          </w:tcPr>
          <w:p w14:paraId="23F373F1">
            <w:pPr>
              <w:spacing w:after="124"/>
              <w:rPr>
                <w:rFonts w:ascii="宋体" w:hAnsi="宋体"/>
              </w:rPr>
            </w:pPr>
            <w:r>
              <w:rPr>
                <w:rFonts w:hint="eastAsia" w:ascii="宋体" w:hAnsi="宋体"/>
              </w:rPr>
              <w:t>政府采购信用担保</w:t>
            </w:r>
          </w:p>
        </w:tc>
        <w:tc>
          <w:tcPr>
            <w:tcW w:w="5193" w:type="dxa"/>
            <w:vAlign w:val="center"/>
          </w:tcPr>
          <w:p w14:paraId="7E279D34">
            <w:pPr>
              <w:spacing w:after="124"/>
              <w:rPr>
                <w:rFonts w:ascii="宋体" w:hAnsi="宋体"/>
              </w:rPr>
            </w:pPr>
            <w:r>
              <w:rPr>
                <w:rFonts w:hint="eastAsia" w:ascii="宋体" w:hAnsi="宋体"/>
              </w:rPr>
              <w:t>有履约担保或融资担保需求的，登陆中国湖南政府采购网查询。</w:t>
            </w:r>
          </w:p>
        </w:tc>
      </w:tr>
      <w:tr w14:paraId="299AB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162C8AF1">
            <w:pPr>
              <w:spacing w:after="124"/>
              <w:ind w:left="316" w:hanging="316"/>
              <w:rPr>
                <w:rFonts w:ascii="宋体" w:hAnsi="宋体"/>
              </w:rPr>
            </w:pPr>
            <w:r>
              <w:rPr>
                <w:rFonts w:hint="eastAsia" w:ascii="宋体" w:hAnsi="宋体"/>
                <w:b/>
                <w:bCs/>
              </w:rPr>
              <w:t>二、磋商文件</w:t>
            </w:r>
          </w:p>
        </w:tc>
      </w:tr>
      <w:tr w14:paraId="64C08C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847" w:type="dxa"/>
            <w:vAlign w:val="center"/>
          </w:tcPr>
          <w:p w14:paraId="0731E5D2">
            <w:pPr>
              <w:spacing w:after="124"/>
              <w:rPr>
                <w:rFonts w:ascii="宋体" w:hAnsi="宋体"/>
              </w:rPr>
            </w:pPr>
            <w:r>
              <w:rPr>
                <w:rFonts w:hint="eastAsia" w:ascii="宋体" w:hAnsi="宋体"/>
              </w:rPr>
              <w:t>第二章第10.2款</w:t>
            </w:r>
          </w:p>
        </w:tc>
        <w:tc>
          <w:tcPr>
            <w:tcW w:w="1988" w:type="dxa"/>
            <w:vAlign w:val="center"/>
          </w:tcPr>
          <w:p w14:paraId="08B12156">
            <w:pPr>
              <w:spacing w:after="124"/>
              <w:rPr>
                <w:rFonts w:ascii="宋体" w:hAnsi="宋体"/>
              </w:rPr>
            </w:pPr>
            <w:r>
              <w:rPr>
                <w:rFonts w:hint="eastAsia" w:ascii="宋体" w:hAnsi="宋体"/>
              </w:rPr>
              <w:t>磋商文件的可能实质性变动内容</w:t>
            </w:r>
          </w:p>
        </w:tc>
        <w:tc>
          <w:tcPr>
            <w:tcW w:w="5193" w:type="dxa"/>
            <w:vAlign w:val="center"/>
          </w:tcPr>
          <w:p w14:paraId="47A9AE28">
            <w:pPr>
              <w:spacing w:after="124"/>
              <w:rPr>
                <w:rFonts w:ascii="宋体" w:hAnsi="宋体"/>
              </w:rPr>
            </w:pPr>
            <w:r>
              <w:rPr>
                <w:rFonts w:hint="eastAsia" w:ascii="宋体" w:hAnsi="宋体"/>
              </w:rPr>
              <w:t>服务要求、合同条款</w:t>
            </w:r>
          </w:p>
        </w:tc>
      </w:tr>
      <w:tr w14:paraId="58E4BD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847" w:type="dxa"/>
            <w:vAlign w:val="center"/>
          </w:tcPr>
          <w:p w14:paraId="5E08EF77">
            <w:pPr>
              <w:spacing w:after="124"/>
              <w:rPr>
                <w:rFonts w:ascii="宋体" w:hAnsi="宋体"/>
              </w:rPr>
            </w:pPr>
            <w:r>
              <w:rPr>
                <w:rFonts w:hint="eastAsia" w:ascii="宋体" w:hAnsi="宋体"/>
              </w:rPr>
              <w:t>第二章第11.1款</w:t>
            </w:r>
          </w:p>
        </w:tc>
        <w:tc>
          <w:tcPr>
            <w:tcW w:w="1988" w:type="dxa"/>
            <w:vAlign w:val="center"/>
          </w:tcPr>
          <w:p w14:paraId="0CF3ADCE">
            <w:pPr>
              <w:spacing w:after="124"/>
              <w:rPr>
                <w:rFonts w:ascii="宋体" w:hAnsi="宋体"/>
              </w:rPr>
            </w:pPr>
            <w:r>
              <w:rPr>
                <w:rFonts w:hint="eastAsia" w:ascii="宋体" w:hAnsi="宋体"/>
              </w:rPr>
              <w:t>提供磋商文件期限</w:t>
            </w:r>
          </w:p>
        </w:tc>
        <w:tc>
          <w:tcPr>
            <w:tcW w:w="5193" w:type="dxa"/>
            <w:vAlign w:val="center"/>
          </w:tcPr>
          <w:p w14:paraId="4015C4D4">
            <w:pPr>
              <w:spacing w:after="124"/>
              <w:rPr>
                <w:rFonts w:ascii="宋体" w:hAnsi="宋体"/>
              </w:rPr>
            </w:pPr>
            <w:r>
              <w:rPr>
                <w:rFonts w:hint="eastAsia" w:ascii="宋体" w:hAnsi="宋体"/>
              </w:rPr>
              <w:t>以磋商公告为准</w:t>
            </w:r>
          </w:p>
        </w:tc>
      </w:tr>
      <w:tr w14:paraId="7EB13E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1847" w:type="dxa"/>
            <w:vAlign w:val="center"/>
          </w:tcPr>
          <w:p w14:paraId="74482757">
            <w:pPr>
              <w:spacing w:after="124"/>
              <w:rPr>
                <w:rFonts w:ascii="宋体" w:hAnsi="宋体"/>
              </w:rPr>
            </w:pPr>
            <w:r>
              <w:rPr>
                <w:rFonts w:hint="eastAsia" w:ascii="宋体" w:hAnsi="宋体"/>
              </w:rPr>
              <w:t>第二章第11.2款</w:t>
            </w:r>
          </w:p>
        </w:tc>
        <w:tc>
          <w:tcPr>
            <w:tcW w:w="1988" w:type="dxa"/>
          </w:tcPr>
          <w:p w14:paraId="2691CE2F">
            <w:pPr>
              <w:spacing w:after="124"/>
              <w:rPr>
                <w:rFonts w:ascii="宋体" w:hAnsi="宋体"/>
              </w:rPr>
            </w:pPr>
            <w:r>
              <w:rPr>
                <w:rFonts w:hint="eastAsia" w:ascii="宋体" w:hAnsi="宋体"/>
                <w:szCs w:val="21"/>
              </w:rPr>
              <w:t>报名需提交的资料</w:t>
            </w:r>
          </w:p>
        </w:tc>
        <w:tc>
          <w:tcPr>
            <w:tcW w:w="5193" w:type="dxa"/>
          </w:tcPr>
          <w:p w14:paraId="3EA3A97A">
            <w:pPr>
              <w:spacing w:after="124"/>
              <w:rPr>
                <w:rFonts w:ascii="宋体" w:hAnsi="宋体"/>
              </w:rPr>
            </w:pPr>
            <w:r>
              <w:rPr>
                <w:rFonts w:hint="eastAsia" w:ascii="宋体" w:hAnsi="宋体"/>
                <w:szCs w:val="21"/>
              </w:rPr>
              <w:t>以磋商公告为准</w:t>
            </w:r>
          </w:p>
        </w:tc>
      </w:tr>
      <w:tr w14:paraId="2C0C46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847" w:type="dxa"/>
            <w:vAlign w:val="center"/>
          </w:tcPr>
          <w:p w14:paraId="7AAA23A0">
            <w:pPr>
              <w:spacing w:after="124"/>
              <w:rPr>
                <w:rFonts w:ascii="宋体" w:hAnsi="宋体"/>
              </w:rPr>
            </w:pPr>
            <w:r>
              <w:rPr>
                <w:rFonts w:hint="eastAsia" w:ascii="宋体" w:hAnsi="宋体"/>
              </w:rPr>
              <w:t>第二章第12.1款</w:t>
            </w:r>
          </w:p>
        </w:tc>
        <w:tc>
          <w:tcPr>
            <w:tcW w:w="1988" w:type="dxa"/>
            <w:vAlign w:val="center"/>
          </w:tcPr>
          <w:p w14:paraId="690E7F63">
            <w:pPr>
              <w:spacing w:after="124"/>
              <w:rPr>
                <w:rFonts w:ascii="宋体" w:hAnsi="宋体"/>
              </w:rPr>
            </w:pPr>
            <w:r>
              <w:rPr>
                <w:rFonts w:hint="eastAsia" w:ascii="宋体" w:hAnsi="宋体"/>
              </w:rPr>
              <w:t>提交首次响应文件的截止时间</w:t>
            </w:r>
          </w:p>
        </w:tc>
        <w:tc>
          <w:tcPr>
            <w:tcW w:w="5193" w:type="dxa"/>
            <w:vAlign w:val="center"/>
          </w:tcPr>
          <w:p w14:paraId="2EC6E347">
            <w:pPr>
              <w:spacing w:after="124"/>
              <w:rPr>
                <w:rFonts w:ascii="宋体" w:hAnsi="宋体"/>
              </w:rPr>
            </w:pPr>
            <w:r>
              <w:rPr>
                <w:rFonts w:hint="eastAsia" w:ascii="宋体" w:hAnsi="宋体"/>
                <w:b/>
                <w:bCs/>
                <w:szCs w:val="21"/>
              </w:rPr>
              <w:t>2026年</w:t>
            </w:r>
            <w:r>
              <w:rPr>
                <w:rFonts w:hint="eastAsia" w:ascii="宋体" w:hAnsi="宋体"/>
                <w:b/>
                <w:bCs/>
                <w:szCs w:val="21"/>
                <w:lang w:val="en-US" w:eastAsia="zh-CN"/>
              </w:rPr>
              <w:t>10</w:t>
            </w:r>
            <w:r>
              <w:rPr>
                <w:rFonts w:hint="eastAsia" w:ascii="宋体" w:hAnsi="宋体"/>
                <w:b/>
                <w:bCs/>
                <w:szCs w:val="21"/>
              </w:rPr>
              <w:t xml:space="preserve">月 </w:t>
            </w:r>
            <w:r>
              <w:rPr>
                <w:rFonts w:hint="eastAsia" w:ascii="宋体" w:hAnsi="宋体"/>
                <w:b/>
                <w:bCs/>
                <w:szCs w:val="21"/>
                <w:lang w:val="en-US" w:eastAsia="zh-CN"/>
              </w:rPr>
              <w:t>28</w:t>
            </w:r>
            <w:r>
              <w:rPr>
                <w:rFonts w:hint="eastAsia" w:ascii="宋体" w:hAnsi="宋体"/>
                <w:b/>
                <w:bCs/>
                <w:szCs w:val="21"/>
              </w:rPr>
              <w:t>日</w:t>
            </w:r>
            <w:r>
              <w:rPr>
                <w:rFonts w:hint="eastAsia" w:ascii="宋体" w:hAnsi="宋体"/>
                <w:b/>
                <w:bCs/>
                <w:szCs w:val="21"/>
                <w:lang w:val="en-US" w:eastAsia="zh-CN"/>
              </w:rPr>
              <w:t>9</w:t>
            </w:r>
            <w:r>
              <w:rPr>
                <w:rFonts w:hint="eastAsia" w:ascii="宋体" w:hAnsi="宋体"/>
                <w:b/>
                <w:bCs/>
                <w:szCs w:val="21"/>
              </w:rPr>
              <w:t xml:space="preserve"> 时</w:t>
            </w:r>
            <w:r>
              <w:rPr>
                <w:rFonts w:hint="eastAsia" w:ascii="宋体" w:hAnsi="宋体"/>
                <w:b/>
                <w:bCs/>
                <w:szCs w:val="21"/>
                <w:lang w:val="en-US" w:eastAsia="zh-CN"/>
              </w:rPr>
              <w:t>00</w:t>
            </w:r>
            <w:r>
              <w:rPr>
                <w:rFonts w:hint="eastAsia" w:ascii="宋体" w:hAnsi="宋体"/>
                <w:b/>
                <w:bCs/>
                <w:szCs w:val="21"/>
              </w:rPr>
              <w:t xml:space="preserve"> 分(北京时间)</w:t>
            </w:r>
          </w:p>
        </w:tc>
      </w:tr>
      <w:tr w14:paraId="401C1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3F8B3BA3">
            <w:pPr>
              <w:spacing w:after="124"/>
              <w:ind w:left="316" w:hanging="316"/>
              <w:rPr>
                <w:rFonts w:ascii="宋体" w:hAnsi="宋体"/>
              </w:rPr>
            </w:pPr>
            <w:r>
              <w:rPr>
                <w:rFonts w:hint="eastAsia" w:ascii="宋体" w:hAnsi="宋体"/>
                <w:b/>
                <w:bCs/>
              </w:rPr>
              <w:t>三、响应文件的编写</w:t>
            </w:r>
          </w:p>
        </w:tc>
      </w:tr>
      <w:tr w14:paraId="34CF00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847" w:type="dxa"/>
            <w:vAlign w:val="center"/>
          </w:tcPr>
          <w:p w14:paraId="7F9D1953">
            <w:pPr>
              <w:spacing w:after="124"/>
              <w:rPr>
                <w:rFonts w:ascii="宋体" w:hAnsi="宋体"/>
              </w:rPr>
            </w:pPr>
            <w:r>
              <w:rPr>
                <w:rFonts w:hint="eastAsia" w:ascii="宋体" w:hAnsi="宋体"/>
              </w:rPr>
              <w:t>第二章第16.4款</w:t>
            </w:r>
          </w:p>
        </w:tc>
        <w:tc>
          <w:tcPr>
            <w:tcW w:w="1988" w:type="dxa"/>
            <w:vAlign w:val="center"/>
          </w:tcPr>
          <w:p w14:paraId="2A966B8C">
            <w:pPr>
              <w:spacing w:after="124"/>
              <w:rPr>
                <w:rFonts w:ascii="宋体" w:hAnsi="宋体"/>
                <w:szCs w:val="21"/>
              </w:rPr>
            </w:pPr>
            <w:r>
              <w:rPr>
                <w:rFonts w:hint="eastAsia" w:ascii="宋体" w:hAnsi="宋体"/>
                <w:szCs w:val="21"/>
              </w:rPr>
              <w:t>采购项目预算</w:t>
            </w:r>
          </w:p>
        </w:tc>
        <w:tc>
          <w:tcPr>
            <w:tcW w:w="5193" w:type="dxa"/>
            <w:vAlign w:val="center"/>
          </w:tcPr>
          <w:p w14:paraId="73A23AE4">
            <w:pPr>
              <w:spacing w:after="124"/>
            </w:pPr>
            <w:r>
              <w:rPr>
                <w:rFonts w:hint="eastAsia" w:ascii="宋体" w:hAnsi="宋体"/>
                <w:szCs w:val="21"/>
              </w:rPr>
              <w:t>本项目采</w:t>
            </w:r>
            <w:r>
              <w:rPr>
                <w:rFonts w:hint="eastAsia" w:ascii="宋体" w:hAnsi="宋体"/>
                <w:color w:val="auto"/>
                <w:szCs w:val="21"/>
              </w:rPr>
              <w:t>购总预算为3320000元，最高限价为3221207.39元（其中暂列金额134222.11元）。</w:t>
            </w:r>
          </w:p>
        </w:tc>
      </w:tr>
      <w:tr w14:paraId="38256E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5" w:hRule="atLeast"/>
          <w:jc w:val="center"/>
        </w:trPr>
        <w:tc>
          <w:tcPr>
            <w:tcW w:w="1847" w:type="dxa"/>
            <w:vAlign w:val="center"/>
          </w:tcPr>
          <w:p w14:paraId="29B0E169">
            <w:pPr>
              <w:spacing w:after="124"/>
              <w:rPr>
                <w:rFonts w:ascii="宋体" w:hAnsi="宋体"/>
              </w:rPr>
            </w:pPr>
            <w:r>
              <w:rPr>
                <w:rFonts w:hint="eastAsia" w:ascii="宋体" w:hAnsi="宋体"/>
              </w:rPr>
              <w:t>第二章第19.1款</w:t>
            </w:r>
          </w:p>
        </w:tc>
        <w:tc>
          <w:tcPr>
            <w:tcW w:w="1988" w:type="dxa"/>
            <w:vAlign w:val="center"/>
          </w:tcPr>
          <w:p w14:paraId="39172289">
            <w:pPr>
              <w:adjustRightInd w:val="0"/>
              <w:snapToGrid w:val="0"/>
              <w:spacing w:after="124"/>
              <w:ind w:left="-533" w:leftChars="-254" w:firstLine="533" w:firstLineChars="254"/>
              <w:rPr>
                <w:rFonts w:ascii="宋体" w:hAnsi="宋体"/>
              </w:rPr>
            </w:pPr>
            <w:r>
              <w:rPr>
                <w:rFonts w:hint="eastAsia" w:ascii="宋体" w:hAnsi="宋体"/>
                <w:szCs w:val="21"/>
              </w:rPr>
              <w:t>磋商保证金</w:t>
            </w:r>
          </w:p>
        </w:tc>
        <w:tc>
          <w:tcPr>
            <w:tcW w:w="5193" w:type="dxa"/>
            <w:vAlign w:val="center"/>
          </w:tcPr>
          <w:p w14:paraId="09750744">
            <w:pPr>
              <w:wordWrap w:val="0"/>
              <w:spacing w:after="124"/>
              <w:rPr>
                <w:rFonts w:hint="eastAsia" w:ascii="宋体" w:hAnsi="宋体"/>
                <w:bCs/>
                <w:szCs w:val="21"/>
              </w:rPr>
            </w:pPr>
            <w:r>
              <w:rPr>
                <w:rFonts w:hint="eastAsia" w:ascii="宋体" w:hAnsi="宋体"/>
                <w:bCs/>
                <w:szCs w:val="21"/>
              </w:rPr>
              <w:sym w:font="Wingdings 2" w:char="0052"/>
            </w:r>
            <w:r>
              <w:rPr>
                <w:rFonts w:hint="eastAsia" w:ascii="宋体" w:hAnsi="宋体"/>
                <w:bCs/>
                <w:szCs w:val="21"/>
              </w:rPr>
              <w:t xml:space="preserve"> 不要求提供</w:t>
            </w:r>
          </w:p>
          <w:p w14:paraId="430E821A">
            <w:pPr>
              <w:wordWrap w:val="0"/>
              <w:spacing w:after="124"/>
              <w:rPr>
                <w:rFonts w:ascii="宋体" w:hAnsi="宋体"/>
                <w:bCs/>
                <w:szCs w:val="21"/>
              </w:rPr>
            </w:pPr>
            <w:r>
              <w:rPr>
                <w:rFonts w:hint="eastAsia" w:ascii="宋体" w:hAnsi="宋体"/>
                <w:bCs/>
                <w:szCs w:val="21"/>
              </w:rPr>
              <w:t>根据湘潭市财政局《关于加强政府采购保证金管理工作的通知》(潭财购【2024】12号)文精神，本项目不需要缴纳投标保证金，但</w:t>
            </w:r>
            <w:r>
              <w:rPr>
                <w:rFonts w:hint="eastAsia" w:ascii="宋体" w:hAnsi="宋体"/>
                <w:bCs/>
                <w:szCs w:val="21"/>
                <w:lang w:eastAsia="zh-CN"/>
              </w:rPr>
              <w:t>投标供应商</w:t>
            </w:r>
            <w:r>
              <w:rPr>
                <w:rFonts w:hint="eastAsia" w:ascii="宋体" w:hAnsi="宋体"/>
                <w:bCs/>
                <w:szCs w:val="21"/>
              </w:rPr>
              <w:t>免交非免责。为保障采购人的合法权益，</w:t>
            </w:r>
            <w:r>
              <w:rPr>
                <w:rFonts w:hint="eastAsia" w:ascii="宋体" w:hAnsi="宋体"/>
                <w:bCs/>
                <w:szCs w:val="21"/>
                <w:lang w:eastAsia="zh-CN"/>
              </w:rPr>
              <w:t>投标供应商</w:t>
            </w:r>
            <w:r>
              <w:rPr>
                <w:rFonts w:hint="eastAsia" w:ascii="宋体" w:hAnsi="宋体"/>
                <w:bCs/>
                <w:szCs w:val="21"/>
              </w:rPr>
              <w:t>应向采购人出具投标供应商免缴投标保证金信用承诺书，承诺遵守政府采购相关法律法规，对于违反相关规定给采购人造成损失的，依法承担赔偿责任，并接受相关行政监督部门处理。</w:t>
            </w:r>
          </w:p>
        </w:tc>
      </w:tr>
      <w:tr w14:paraId="6653CC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1847" w:type="dxa"/>
            <w:vAlign w:val="center"/>
          </w:tcPr>
          <w:p w14:paraId="7097A00E">
            <w:pPr>
              <w:spacing w:after="124"/>
              <w:rPr>
                <w:rFonts w:ascii="宋体" w:hAnsi="宋体"/>
              </w:rPr>
            </w:pPr>
            <w:r>
              <w:rPr>
                <w:rFonts w:hint="eastAsia" w:ascii="宋体" w:hAnsi="宋体"/>
              </w:rPr>
              <w:t>第二章第20.1款</w:t>
            </w:r>
          </w:p>
        </w:tc>
        <w:tc>
          <w:tcPr>
            <w:tcW w:w="1988" w:type="dxa"/>
            <w:vAlign w:val="center"/>
          </w:tcPr>
          <w:p w14:paraId="317F1B59">
            <w:pPr>
              <w:spacing w:after="124"/>
              <w:rPr>
                <w:rFonts w:ascii="宋体" w:hAnsi="宋体"/>
              </w:rPr>
            </w:pPr>
            <w:r>
              <w:rPr>
                <w:rFonts w:hint="eastAsia" w:ascii="宋体" w:hAnsi="宋体"/>
              </w:rPr>
              <w:t>响应文件有效期</w:t>
            </w:r>
          </w:p>
        </w:tc>
        <w:tc>
          <w:tcPr>
            <w:tcW w:w="5193" w:type="dxa"/>
            <w:vAlign w:val="center"/>
          </w:tcPr>
          <w:p w14:paraId="64AD08BB">
            <w:pPr>
              <w:spacing w:after="124"/>
              <w:rPr>
                <w:rFonts w:ascii="宋体" w:hAnsi="宋体"/>
              </w:rPr>
            </w:pPr>
            <w:r>
              <w:rPr>
                <w:rFonts w:hint="eastAsia" w:ascii="宋体" w:hAnsi="宋体"/>
              </w:rPr>
              <w:t>60日（日历日）</w:t>
            </w:r>
          </w:p>
        </w:tc>
      </w:tr>
      <w:tr w14:paraId="661D7F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847" w:type="dxa"/>
            <w:vAlign w:val="center"/>
          </w:tcPr>
          <w:p w14:paraId="392EE7F8">
            <w:pPr>
              <w:spacing w:after="124"/>
              <w:rPr>
                <w:rFonts w:ascii="宋体" w:hAnsi="宋体"/>
              </w:rPr>
            </w:pPr>
            <w:r>
              <w:rPr>
                <w:rFonts w:hint="eastAsia" w:ascii="宋体" w:hAnsi="宋体"/>
              </w:rPr>
              <w:t>第二章第21.1款</w:t>
            </w:r>
          </w:p>
        </w:tc>
        <w:tc>
          <w:tcPr>
            <w:tcW w:w="1988" w:type="dxa"/>
            <w:vAlign w:val="center"/>
          </w:tcPr>
          <w:p w14:paraId="069E308C">
            <w:pPr>
              <w:spacing w:after="124"/>
              <w:rPr>
                <w:rFonts w:ascii="宋体" w:hAnsi="宋体"/>
              </w:rPr>
            </w:pPr>
            <w:r>
              <w:rPr>
                <w:rFonts w:hint="eastAsia" w:ascii="宋体" w:hAnsi="宋体"/>
              </w:rPr>
              <w:t>响应文件副本份数</w:t>
            </w:r>
          </w:p>
        </w:tc>
        <w:tc>
          <w:tcPr>
            <w:tcW w:w="5193" w:type="dxa"/>
            <w:vAlign w:val="center"/>
          </w:tcPr>
          <w:p w14:paraId="49D849A3">
            <w:pPr>
              <w:adjustRightInd w:val="0"/>
              <w:snapToGrid w:val="0"/>
              <w:spacing w:after="124"/>
              <w:rPr>
                <w:rFonts w:ascii="宋体" w:hAnsi="宋体" w:cs="宋体"/>
                <w:szCs w:val="21"/>
              </w:rPr>
            </w:pPr>
            <w:r>
              <w:rPr>
                <w:rFonts w:hint="eastAsia" w:ascii="宋体" w:hAnsi="宋体"/>
                <w:b/>
                <w:szCs w:val="21"/>
              </w:rPr>
              <w:t>正本一份（须每页加盖公章），副本二份，</w:t>
            </w:r>
            <w:r>
              <w:rPr>
                <w:rFonts w:hint="eastAsia" w:ascii="宋体" w:hAnsi="宋体" w:cs="宋体"/>
                <w:b/>
                <w:bCs/>
                <w:szCs w:val="21"/>
              </w:rPr>
              <w:t>电子文档壹份</w:t>
            </w:r>
            <w:r>
              <w:rPr>
                <w:rFonts w:hint="eastAsia" w:ascii="宋体" w:hAnsi="宋体" w:cs="宋体"/>
                <w:szCs w:val="21"/>
              </w:rPr>
              <w:t>（电子文件须以PDF的格式存入U盘，内容与纸质投标文件的正本一致)。</w:t>
            </w:r>
          </w:p>
          <w:p w14:paraId="0963C85D">
            <w:pPr>
              <w:spacing w:after="124"/>
              <w:rPr>
                <w:rFonts w:ascii="宋体" w:hAnsi="宋体"/>
              </w:rPr>
            </w:pPr>
            <w:r>
              <w:rPr>
                <w:rFonts w:hint="eastAsia" w:ascii="宋体" w:hAnsi="宋体"/>
                <w:b/>
                <w:szCs w:val="21"/>
                <w:lang w:val="zh-CN"/>
              </w:rPr>
              <w:t>投标文件打印后均采用胶装方式装订</w:t>
            </w:r>
            <w:r>
              <w:rPr>
                <w:rFonts w:hint="eastAsia" w:ascii="宋体" w:hAnsi="宋体"/>
                <w:b/>
                <w:szCs w:val="21"/>
              </w:rPr>
              <w:t>，装订应牢固、不易拆散和换页，不得采用活页装订。</w:t>
            </w:r>
          </w:p>
        </w:tc>
      </w:tr>
      <w:tr w14:paraId="73E4E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6B11262D">
            <w:pPr>
              <w:spacing w:after="124"/>
              <w:ind w:left="316" w:hanging="316"/>
              <w:rPr>
                <w:rFonts w:ascii="宋体" w:hAnsi="宋体"/>
              </w:rPr>
            </w:pPr>
            <w:r>
              <w:rPr>
                <w:rFonts w:hint="eastAsia" w:ascii="宋体" w:hAnsi="宋体"/>
                <w:b/>
                <w:bCs/>
              </w:rPr>
              <w:t>四、响应文件的递交</w:t>
            </w:r>
          </w:p>
        </w:tc>
      </w:tr>
      <w:tr w14:paraId="78F407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847" w:type="dxa"/>
            <w:vAlign w:val="center"/>
          </w:tcPr>
          <w:p w14:paraId="6804684E">
            <w:pPr>
              <w:spacing w:after="124"/>
              <w:rPr>
                <w:rFonts w:ascii="宋体" w:hAnsi="宋体"/>
              </w:rPr>
            </w:pPr>
            <w:r>
              <w:rPr>
                <w:rFonts w:hint="eastAsia" w:ascii="宋体" w:hAnsi="宋体"/>
              </w:rPr>
              <w:t>第二章第22.2款</w:t>
            </w:r>
          </w:p>
        </w:tc>
        <w:tc>
          <w:tcPr>
            <w:tcW w:w="1988" w:type="dxa"/>
            <w:vAlign w:val="center"/>
          </w:tcPr>
          <w:p w14:paraId="57154BF5">
            <w:pPr>
              <w:adjustRightInd w:val="0"/>
              <w:snapToGrid w:val="0"/>
              <w:spacing w:after="124"/>
              <w:rPr>
                <w:rFonts w:ascii="宋体" w:hAnsi="宋体"/>
              </w:rPr>
            </w:pPr>
            <w:r>
              <w:rPr>
                <w:rFonts w:hint="eastAsia" w:ascii="宋体" w:hAnsi="宋体"/>
                <w:szCs w:val="21"/>
              </w:rPr>
              <w:t>封套上应载明的信息</w:t>
            </w:r>
          </w:p>
        </w:tc>
        <w:tc>
          <w:tcPr>
            <w:tcW w:w="5193" w:type="dxa"/>
            <w:vAlign w:val="center"/>
          </w:tcPr>
          <w:p w14:paraId="603CD0AF">
            <w:pPr>
              <w:adjustRightInd w:val="0"/>
              <w:snapToGrid w:val="0"/>
              <w:spacing w:after="124"/>
              <w:rPr>
                <w:rFonts w:ascii="宋体" w:hAnsi="宋体"/>
                <w:szCs w:val="21"/>
              </w:rPr>
            </w:pPr>
            <w:r>
              <w:rPr>
                <w:rFonts w:hint="eastAsia" w:ascii="宋体" w:hAnsi="宋体"/>
                <w:szCs w:val="21"/>
                <w:u w:val="single"/>
              </w:rPr>
              <w:t>松涛片区综合管线改造工程</w:t>
            </w:r>
            <w:r>
              <w:rPr>
                <w:rFonts w:hint="eastAsia" w:ascii="宋体" w:hAnsi="宋体"/>
                <w:szCs w:val="21"/>
              </w:rPr>
              <w:t>响应文件</w:t>
            </w:r>
          </w:p>
          <w:p w14:paraId="5C57920A">
            <w:pPr>
              <w:adjustRightInd w:val="0"/>
              <w:snapToGrid w:val="0"/>
              <w:spacing w:after="124"/>
              <w:rPr>
                <w:rFonts w:hint="eastAsia" w:ascii="宋体" w:hAnsi="宋体" w:eastAsia="宋体"/>
                <w:szCs w:val="21"/>
                <w:lang w:eastAsia="zh-CN"/>
              </w:rPr>
            </w:pPr>
            <w:r>
              <w:rPr>
                <w:rFonts w:hint="eastAsia" w:ascii="宋体" w:hAnsi="宋体"/>
                <w:szCs w:val="21"/>
              </w:rPr>
              <w:t>采购代理编号：</w:t>
            </w:r>
            <w:r>
              <w:rPr>
                <w:rFonts w:hint="eastAsia" w:ascii="宋体" w:hAnsi="宋体"/>
                <w:szCs w:val="21"/>
                <w:lang w:eastAsia="zh-CN"/>
              </w:rPr>
              <w:t>LYZC-20261001</w:t>
            </w:r>
          </w:p>
          <w:p w14:paraId="54654498">
            <w:pPr>
              <w:adjustRightInd w:val="0"/>
              <w:snapToGrid w:val="0"/>
              <w:spacing w:after="124"/>
              <w:rPr>
                <w:rFonts w:ascii="宋体" w:hAnsi="宋体"/>
                <w:szCs w:val="21"/>
              </w:rPr>
            </w:pPr>
            <w:r>
              <w:rPr>
                <w:rFonts w:hint="eastAsia" w:ascii="宋体" w:hAnsi="宋体"/>
                <w:szCs w:val="21"/>
              </w:rPr>
              <w:t>供应商名称：</w:t>
            </w:r>
          </w:p>
          <w:p w14:paraId="2560CBB5">
            <w:pPr>
              <w:adjustRightInd w:val="0"/>
              <w:snapToGrid w:val="0"/>
              <w:spacing w:after="124"/>
              <w:rPr>
                <w:rFonts w:ascii="宋体" w:hAnsi="宋体"/>
              </w:rPr>
            </w:pPr>
            <w:r>
              <w:rPr>
                <w:rFonts w:hint="eastAsia" w:ascii="宋体" w:hAnsi="宋体"/>
                <w:szCs w:val="21"/>
              </w:rPr>
              <w:t>在2026年</w:t>
            </w:r>
            <w:r>
              <w:rPr>
                <w:rFonts w:hint="eastAsia" w:ascii="宋体" w:hAnsi="宋体"/>
                <w:szCs w:val="21"/>
                <w:lang w:val="en-US" w:eastAsia="zh-CN"/>
              </w:rPr>
              <w:t>10</w:t>
            </w:r>
            <w:r>
              <w:rPr>
                <w:rFonts w:hint="eastAsia" w:ascii="宋体" w:hAnsi="宋体"/>
                <w:szCs w:val="21"/>
              </w:rPr>
              <w:t>月</w:t>
            </w:r>
            <w:r>
              <w:rPr>
                <w:rFonts w:hint="eastAsia" w:ascii="宋体" w:hAnsi="宋体"/>
                <w:szCs w:val="21"/>
                <w:lang w:val="en-US" w:eastAsia="zh-CN"/>
              </w:rPr>
              <w:t>28</w:t>
            </w:r>
            <w:r>
              <w:rPr>
                <w:rFonts w:hint="eastAsia" w:ascii="宋体" w:hAnsi="宋体"/>
                <w:szCs w:val="21"/>
              </w:rPr>
              <w:t>日</w:t>
            </w:r>
            <w:r>
              <w:rPr>
                <w:rFonts w:hint="eastAsia" w:ascii="宋体" w:hAnsi="宋体"/>
                <w:szCs w:val="21"/>
                <w:lang w:val="en-US" w:eastAsia="zh-CN"/>
              </w:rPr>
              <w:t>9</w:t>
            </w:r>
            <w:r>
              <w:rPr>
                <w:rFonts w:hint="eastAsia" w:ascii="宋体" w:hAnsi="宋体"/>
                <w:szCs w:val="21"/>
              </w:rPr>
              <w:t>时</w:t>
            </w:r>
            <w:r>
              <w:rPr>
                <w:rFonts w:hint="eastAsia" w:ascii="宋体" w:hAnsi="宋体"/>
                <w:szCs w:val="21"/>
                <w:lang w:val="en-US" w:eastAsia="zh-CN"/>
              </w:rPr>
              <w:t>00</w:t>
            </w:r>
            <w:r>
              <w:rPr>
                <w:rFonts w:hint="eastAsia" w:ascii="宋体" w:hAnsi="宋体"/>
                <w:szCs w:val="21"/>
              </w:rPr>
              <w:t>分之前不得启封</w:t>
            </w:r>
          </w:p>
        </w:tc>
      </w:tr>
      <w:tr w14:paraId="4B42C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847" w:type="dxa"/>
            <w:vAlign w:val="center"/>
          </w:tcPr>
          <w:p w14:paraId="5B7D4DE8">
            <w:pPr>
              <w:spacing w:after="124"/>
              <w:rPr>
                <w:rFonts w:ascii="宋体" w:hAnsi="宋体"/>
              </w:rPr>
            </w:pPr>
            <w:r>
              <w:rPr>
                <w:rFonts w:hint="eastAsia" w:ascii="宋体" w:hAnsi="宋体"/>
              </w:rPr>
              <w:t>第二章第24.1款</w:t>
            </w:r>
          </w:p>
        </w:tc>
        <w:tc>
          <w:tcPr>
            <w:tcW w:w="1988" w:type="dxa"/>
            <w:vAlign w:val="center"/>
          </w:tcPr>
          <w:p w14:paraId="1A6C764F">
            <w:pPr>
              <w:spacing w:after="124"/>
              <w:rPr>
                <w:rFonts w:ascii="宋体" w:hAnsi="宋体"/>
              </w:rPr>
            </w:pPr>
            <w:r>
              <w:rPr>
                <w:rFonts w:hint="eastAsia" w:ascii="宋体" w:hAnsi="宋体"/>
                <w:szCs w:val="21"/>
              </w:rPr>
              <w:t>响应文件的递交地点</w:t>
            </w:r>
          </w:p>
        </w:tc>
        <w:tc>
          <w:tcPr>
            <w:tcW w:w="5193" w:type="dxa"/>
            <w:vAlign w:val="center"/>
          </w:tcPr>
          <w:p w14:paraId="6C31ADE1">
            <w:pPr>
              <w:spacing w:after="124"/>
              <w:ind w:left="316" w:hanging="316"/>
              <w:jc w:val="left"/>
              <w:rPr>
                <w:rFonts w:ascii="宋体" w:hAnsi="宋体"/>
                <w:b/>
              </w:rPr>
            </w:pPr>
            <w:r>
              <w:rPr>
                <w:rFonts w:hint="eastAsia" w:ascii="宋体" w:hAnsi="宋体"/>
                <w:bCs/>
              </w:rPr>
              <w:t>湖南凌云咨询集团有限公司（湘潭市岳塘区湘潭大道众一国际C栋三楼  ）。</w:t>
            </w:r>
          </w:p>
        </w:tc>
      </w:tr>
      <w:tr w14:paraId="3FB2A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5E4A3B19">
            <w:pPr>
              <w:spacing w:after="124"/>
              <w:ind w:left="316" w:hanging="316"/>
            </w:pPr>
            <w:r>
              <w:rPr>
                <w:rFonts w:hint="eastAsia"/>
                <w:b/>
                <w:bCs/>
              </w:rPr>
              <w:t>五、响应文件的磋商与评审</w:t>
            </w:r>
          </w:p>
        </w:tc>
      </w:tr>
      <w:tr w14:paraId="367AA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1847" w:type="dxa"/>
            <w:vAlign w:val="center"/>
          </w:tcPr>
          <w:p w14:paraId="7EF30E63">
            <w:pPr>
              <w:spacing w:after="124"/>
            </w:pPr>
            <w:r>
              <w:rPr>
                <w:rFonts w:hint="eastAsia"/>
              </w:rPr>
              <w:t>第二章第31.2款</w:t>
            </w:r>
          </w:p>
        </w:tc>
        <w:tc>
          <w:tcPr>
            <w:tcW w:w="1988" w:type="dxa"/>
            <w:vAlign w:val="center"/>
          </w:tcPr>
          <w:p w14:paraId="6A797709">
            <w:pPr>
              <w:spacing w:after="124"/>
            </w:pPr>
            <w:r>
              <w:rPr>
                <w:rFonts w:hint="eastAsia"/>
              </w:rPr>
              <w:t>评审因素和标准</w:t>
            </w:r>
          </w:p>
        </w:tc>
        <w:tc>
          <w:tcPr>
            <w:tcW w:w="5193" w:type="dxa"/>
            <w:vAlign w:val="center"/>
          </w:tcPr>
          <w:p w14:paraId="46338D14">
            <w:pPr>
              <w:spacing w:after="124"/>
            </w:pPr>
            <w:r>
              <w:rPr>
                <w:rFonts w:hint="eastAsia"/>
              </w:rPr>
              <w:t>详见“评审因素和标准”</w:t>
            </w:r>
          </w:p>
        </w:tc>
      </w:tr>
      <w:tr w14:paraId="5CF074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1847" w:type="dxa"/>
            <w:vAlign w:val="center"/>
          </w:tcPr>
          <w:p w14:paraId="4F0D8E1F">
            <w:pPr>
              <w:spacing w:after="124"/>
              <w:rPr>
                <w:rFonts w:ascii="宋体" w:hAnsi="宋体"/>
              </w:rPr>
            </w:pPr>
            <w:r>
              <w:rPr>
                <w:rFonts w:hint="eastAsia" w:ascii="宋体" w:hAnsi="宋体"/>
              </w:rPr>
              <w:t xml:space="preserve">第二章第31.3款 </w:t>
            </w:r>
          </w:p>
        </w:tc>
        <w:tc>
          <w:tcPr>
            <w:tcW w:w="1988" w:type="dxa"/>
            <w:vAlign w:val="center"/>
          </w:tcPr>
          <w:p w14:paraId="436AA2C7">
            <w:pPr>
              <w:adjustRightInd w:val="0"/>
              <w:snapToGrid w:val="0"/>
              <w:spacing w:before="156" w:beforeLines="50" w:after="124"/>
              <w:rPr>
                <w:rFonts w:ascii="宋体" w:hAnsi="宋体"/>
              </w:rPr>
            </w:pPr>
            <w:r>
              <w:rPr>
                <w:rFonts w:hint="eastAsia" w:ascii="宋体" w:hAnsi="宋体" w:cs="宋体"/>
                <w:kern w:val="0"/>
                <w:szCs w:val="21"/>
              </w:rPr>
              <w:t>最后报价</w:t>
            </w:r>
            <w:r>
              <w:rPr>
                <w:rFonts w:hint="eastAsia" w:ascii="宋体" w:hAnsi="宋体"/>
                <w:szCs w:val="21"/>
              </w:rPr>
              <w:t>调整</w:t>
            </w:r>
          </w:p>
        </w:tc>
        <w:tc>
          <w:tcPr>
            <w:tcW w:w="5193" w:type="dxa"/>
            <w:vAlign w:val="center"/>
          </w:tcPr>
          <w:p w14:paraId="4C447434">
            <w:pPr>
              <w:adjustRightInd w:val="0"/>
              <w:snapToGrid w:val="0"/>
              <w:spacing w:before="156" w:beforeLines="50" w:after="124"/>
              <w:rPr>
                <w:rFonts w:ascii="宋体" w:hAnsi="宋体"/>
                <w:szCs w:val="21"/>
              </w:rPr>
            </w:pPr>
            <w:r>
              <w:rPr>
                <w:rFonts w:hint="eastAsia" w:ascii="宋体" w:hAnsi="宋体" w:cs="宋体"/>
                <w:szCs w:val="21"/>
              </w:rPr>
              <w:t>1、给予小型和微型企业产品的价格给予10%-20%的扣除，用扣除后的价格参与评审，本项目具体扣除比例为</w:t>
            </w:r>
            <w:r>
              <w:rPr>
                <w:rFonts w:hint="eastAsia" w:ascii="宋体" w:hAnsi="宋体" w:cs="宋体"/>
                <w:szCs w:val="21"/>
                <w:u w:val="single"/>
                <w:lang w:val="en-US" w:eastAsia="zh-CN"/>
              </w:rPr>
              <w:t>/</w:t>
            </w:r>
            <w:r>
              <w:rPr>
                <w:rFonts w:hint="eastAsia" w:ascii="宋体" w:hAnsi="宋体" w:cs="宋体"/>
                <w:szCs w:val="21"/>
                <w:u w:val="single"/>
              </w:rPr>
              <w:t>％</w:t>
            </w:r>
            <w:r>
              <w:rPr>
                <w:rFonts w:hint="eastAsia" w:ascii="宋体" w:hAnsi="宋体" w:cs="宋体"/>
                <w:szCs w:val="21"/>
              </w:rPr>
              <w:t>。</w:t>
            </w:r>
          </w:p>
          <w:p w14:paraId="03A9953D">
            <w:pPr>
              <w:adjustRightInd w:val="0"/>
              <w:snapToGrid w:val="0"/>
              <w:spacing w:before="156" w:beforeLines="50" w:after="124"/>
              <w:rPr>
                <w:rFonts w:ascii="宋体" w:hAnsi="宋体"/>
                <w:szCs w:val="21"/>
              </w:rPr>
            </w:pPr>
            <w:r>
              <w:rPr>
                <w:rFonts w:hint="eastAsia"/>
              </w:rPr>
              <w:t>2、残疾人福利性单位视同小型、微型企业。用扣除后的价格参与评审，本项目具体扣除比例为：</w:t>
            </w:r>
            <w:r>
              <w:rPr>
                <w:rFonts w:hint="eastAsia"/>
                <w:u w:val="single"/>
                <w:lang w:val="en-US" w:eastAsia="zh-CN"/>
              </w:rPr>
              <w:t>/</w:t>
            </w:r>
            <w:r>
              <w:rPr>
                <w:rFonts w:hint="eastAsia"/>
                <w:u w:val="single"/>
              </w:rPr>
              <w:t>%</w:t>
            </w:r>
            <w:r>
              <w:rPr>
                <w:rFonts w:hint="eastAsia" w:ascii="宋体" w:hAnsi="宋体"/>
                <w:szCs w:val="21"/>
              </w:rPr>
              <w:t>。监狱企业、残疾人福利性单位属于小型、微型企业的，不重复享受扶持中小企业发展的优惠政策。</w:t>
            </w:r>
          </w:p>
        </w:tc>
      </w:tr>
      <w:tr w14:paraId="199241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1847" w:type="dxa"/>
            <w:vAlign w:val="center"/>
          </w:tcPr>
          <w:p w14:paraId="360C2198">
            <w:pPr>
              <w:spacing w:after="124"/>
              <w:rPr>
                <w:rFonts w:ascii="宋体" w:hAnsi="宋体"/>
              </w:rPr>
            </w:pPr>
            <w:r>
              <w:rPr>
                <w:rFonts w:hint="eastAsia" w:ascii="宋体" w:hAnsi="宋体"/>
              </w:rPr>
              <w:t>第二章第31.5款</w:t>
            </w:r>
          </w:p>
        </w:tc>
        <w:tc>
          <w:tcPr>
            <w:tcW w:w="1988" w:type="dxa"/>
            <w:vAlign w:val="center"/>
          </w:tcPr>
          <w:p w14:paraId="4F51134C">
            <w:pPr>
              <w:spacing w:after="124"/>
              <w:rPr>
                <w:rFonts w:ascii="宋体" w:hAnsi="宋体"/>
              </w:rPr>
            </w:pPr>
            <w:r>
              <w:rPr>
                <w:rFonts w:hint="eastAsia" w:ascii="宋体" w:hAnsi="宋体"/>
              </w:rPr>
              <w:t>技术、商务、价格得分或总得分调整</w:t>
            </w:r>
          </w:p>
        </w:tc>
        <w:tc>
          <w:tcPr>
            <w:tcW w:w="5193" w:type="dxa"/>
            <w:vAlign w:val="center"/>
          </w:tcPr>
          <w:p w14:paraId="5C55F7F5">
            <w:pPr>
              <w:spacing w:after="124"/>
              <w:rPr>
                <w:rFonts w:ascii="宋体" w:hAnsi="宋体"/>
              </w:rPr>
            </w:pPr>
            <w:r>
              <w:rPr>
                <w:rFonts w:hint="eastAsia" w:ascii="宋体" w:hAnsi="宋体"/>
              </w:rPr>
              <w:t>符合第二章第9</w:t>
            </w:r>
            <w:r>
              <w:rPr>
                <w:rFonts w:ascii="宋体" w:hAnsi="宋体"/>
              </w:rPr>
              <w:t>.</w:t>
            </w:r>
            <w:r>
              <w:rPr>
                <w:rFonts w:hint="eastAsia" w:ascii="宋体" w:hAnsi="宋体"/>
              </w:rPr>
              <w:t>1款规定，按第二章第31.6款规定及本款分值调整：</w:t>
            </w:r>
          </w:p>
          <w:p w14:paraId="525317C1">
            <w:pPr>
              <w:spacing w:after="124"/>
              <w:rPr>
                <w:rFonts w:ascii="宋体" w:hAnsi="宋体"/>
              </w:rPr>
            </w:pPr>
            <w:r>
              <w:rPr>
                <w:rFonts w:hint="eastAsia" w:ascii="宋体" w:hAnsi="宋体"/>
              </w:rPr>
              <w:t>节能产品：</w:t>
            </w:r>
          </w:p>
          <w:p w14:paraId="6919958A">
            <w:pPr>
              <w:spacing w:after="124"/>
              <w:rPr>
                <w:rFonts w:ascii="宋体" w:hAnsi="宋体"/>
              </w:rPr>
            </w:pPr>
            <w:r>
              <w:rPr>
                <w:rFonts w:hint="eastAsia" w:ascii="宋体" w:hAnsi="宋体"/>
              </w:rPr>
              <w:t>技术加分＝技术分值×加分比例×（节能产品最后报价÷最后总报价）；</w:t>
            </w:r>
          </w:p>
          <w:p w14:paraId="3847EB60">
            <w:pPr>
              <w:spacing w:after="124"/>
              <w:rPr>
                <w:rFonts w:ascii="宋体" w:hAnsi="宋体"/>
              </w:rPr>
            </w:pPr>
            <w:r>
              <w:rPr>
                <w:rFonts w:hint="eastAsia" w:ascii="宋体" w:hAnsi="宋体"/>
              </w:rPr>
              <w:t>价格加分＝价格分值×加分比例×（节能产品最后</w:t>
            </w:r>
          </w:p>
          <w:p w14:paraId="244DD5EF">
            <w:pPr>
              <w:spacing w:after="124"/>
              <w:rPr>
                <w:rFonts w:ascii="宋体" w:hAnsi="宋体"/>
              </w:rPr>
            </w:pPr>
            <w:r>
              <w:rPr>
                <w:rFonts w:hint="eastAsia" w:ascii="宋体" w:hAnsi="宋体"/>
              </w:rPr>
              <w:t>报价÷最后总报价）。</w:t>
            </w:r>
          </w:p>
          <w:p w14:paraId="60C163A4">
            <w:pPr>
              <w:spacing w:after="124"/>
              <w:rPr>
                <w:rFonts w:ascii="宋体" w:hAnsi="宋体"/>
              </w:rPr>
            </w:pPr>
            <w:r>
              <w:rPr>
                <w:rFonts w:hint="eastAsia" w:ascii="宋体" w:hAnsi="宋体"/>
              </w:rPr>
              <w:t>2、环境标志产品：</w:t>
            </w:r>
          </w:p>
          <w:p w14:paraId="7A12F8C5">
            <w:pPr>
              <w:spacing w:after="124"/>
              <w:rPr>
                <w:rFonts w:ascii="宋体" w:hAnsi="宋体"/>
              </w:rPr>
            </w:pPr>
            <w:r>
              <w:rPr>
                <w:rFonts w:hint="eastAsia" w:ascii="宋体" w:hAnsi="宋体"/>
              </w:rPr>
              <w:t>技术加分＝技术分值×加分比例×（环境标志产品最后报价÷最后总报价）；</w:t>
            </w:r>
          </w:p>
          <w:p w14:paraId="7C635A6F">
            <w:pPr>
              <w:spacing w:after="124"/>
              <w:rPr>
                <w:rFonts w:ascii="宋体" w:hAnsi="宋体"/>
              </w:rPr>
            </w:pPr>
            <w:r>
              <w:rPr>
                <w:rFonts w:hint="eastAsia" w:ascii="宋体" w:hAnsi="宋体"/>
              </w:rPr>
              <w:t>价格加分＝价格分值×加分比例×（环境标志产品</w:t>
            </w:r>
          </w:p>
          <w:p w14:paraId="58B8C639">
            <w:pPr>
              <w:spacing w:after="124"/>
              <w:rPr>
                <w:rFonts w:ascii="宋体" w:hAnsi="宋体"/>
              </w:rPr>
            </w:pPr>
            <w:r>
              <w:rPr>
                <w:rFonts w:hint="eastAsia" w:ascii="宋体" w:hAnsi="宋体"/>
              </w:rPr>
              <w:t>最后报价÷最后总报价）。</w:t>
            </w:r>
          </w:p>
        </w:tc>
      </w:tr>
      <w:tr w14:paraId="353F1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8" w:hRule="atLeast"/>
          <w:jc w:val="center"/>
        </w:trPr>
        <w:tc>
          <w:tcPr>
            <w:tcW w:w="1847" w:type="dxa"/>
            <w:vAlign w:val="center"/>
          </w:tcPr>
          <w:p w14:paraId="1FEB7DC4">
            <w:pPr>
              <w:spacing w:after="124"/>
              <w:rPr>
                <w:rFonts w:ascii="宋体" w:hAnsi="宋体"/>
              </w:rPr>
            </w:pPr>
            <w:r>
              <w:rPr>
                <w:rFonts w:hint="eastAsia" w:ascii="宋体" w:hAnsi="宋体"/>
              </w:rPr>
              <w:t>第二章第31.6款</w:t>
            </w:r>
          </w:p>
          <w:p w14:paraId="13D6C22C">
            <w:pPr>
              <w:pStyle w:val="12"/>
              <w:spacing w:after="124"/>
              <w:ind w:left="735" w:hanging="315"/>
            </w:pPr>
          </w:p>
        </w:tc>
        <w:tc>
          <w:tcPr>
            <w:tcW w:w="1988" w:type="dxa"/>
            <w:vAlign w:val="center"/>
          </w:tcPr>
          <w:p w14:paraId="25F175DE">
            <w:pPr>
              <w:adjustRightInd w:val="0"/>
              <w:snapToGrid w:val="0"/>
              <w:spacing w:after="124" w:line="280" w:lineRule="exact"/>
              <w:rPr>
                <w:rFonts w:ascii="宋体" w:hAnsi="宋体"/>
              </w:rPr>
            </w:pPr>
            <w:r>
              <w:rPr>
                <w:rFonts w:hint="eastAsia" w:ascii="宋体" w:hAnsi="宋体"/>
                <w:szCs w:val="21"/>
              </w:rPr>
              <w:t>多处或部分获得政府采购政策优惠的计算方法</w:t>
            </w:r>
          </w:p>
        </w:tc>
        <w:tc>
          <w:tcPr>
            <w:tcW w:w="5193" w:type="dxa"/>
            <w:vAlign w:val="center"/>
          </w:tcPr>
          <w:p w14:paraId="7D9833BF">
            <w:pPr>
              <w:spacing w:after="124" w:line="300" w:lineRule="exact"/>
            </w:pPr>
            <w:r>
              <w:t>1、</w:t>
            </w:r>
            <w:r>
              <w:rPr>
                <w:rFonts w:hint="eastAsia"/>
              </w:rPr>
              <w:t>供应商</w:t>
            </w:r>
            <w:r>
              <w:t>投标产品具备政府采购优先采购环境标志的，标委员会评审时，</w:t>
            </w:r>
            <w:r>
              <w:rPr>
                <w:rFonts w:hint="eastAsia"/>
              </w:rPr>
              <w:t>对其</w:t>
            </w:r>
            <w:r>
              <w:t>优惠政策进行评审。</w:t>
            </w:r>
          </w:p>
          <w:p w14:paraId="465B7D1F">
            <w:pPr>
              <w:spacing w:after="124" w:line="300" w:lineRule="exact"/>
            </w:pPr>
            <w:r>
              <w:t>2、扶持中小企业发展的优惠政策可以叠加享受。</w:t>
            </w:r>
          </w:p>
          <w:p w14:paraId="7C773ADA">
            <w:pPr>
              <w:spacing w:after="124" w:line="300" w:lineRule="exact"/>
            </w:pPr>
            <w:r>
              <w:t>3、残疾人福利性单位属于小型、微型企业的，不重复享受扶持中小企业发展的优惠政策。</w:t>
            </w:r>
          </w:p>
          <w:p w14:paraId="64E6BF38">
            <w:pPr>
              <w:adjustRightInd w:val="0"/>
              <w:snapToGrid w:val="0"/>
              <w:spacing w:after="124" w:line="280" w:lineRule="exact"/>
            </w:pPr>
            <w:r>
              <w:t>4、</w:t>
            </w:r>
            <w:r>
              <w:rPr>
                <w:rFonts w:hint="eastAsia"/>
              </w:rPr>
              <w:t>供应商</w:t>
            </w:r>
            <w:r>
              <w:t>按磋商文件要求提供相关的证明文件：所投产品为中小企业生产的，应如实填写并提供生产厂家的《中小企业声明函》及《提供中型、小型、微型企业产品清单》；产品属于“节能产品”或“环境标志产品”的，应如实填写并提供《提供“节能产品”、“环境标志产品”清单》并提供《节能产品政府采购清单》、《环境标志产品政府采购清单》中该产品所在页复印件。否则，</w:t>
            </w:r>
            <w:r>
              <w:rPr>
                <w:rFonts w:hint="eastAsia"/>
              </w:rPr>
              <w:t>磋商小组</w:t>
            </w:r>
            <w:r>
              <w:t>不予认可。</w:t>
            </w:r>
          </w:p>
          <w:p w14:paraId="26374F0E">
            <w:pPr>
              <w:pStyle w:val="12"/>
              <w:spacing w:after="124"/>
              <w:ind w:left="0" w:leftChars="0"/>
            </w:pPr>
            <w:r>
              <w:rPr>
                <w:rFonts w:hint="eastAsia"/>
              </w:rPr>
              <w:t>5、为贯彻落实《湖南省财政厅 湖南省农业农村厅 湖南省乡村振兴局 湖南省供销合作总社关于运用政府采购政策支持乡村振兴有关事项的通知》（湘财购〔2021〕11号）文件精神，深入开展政府采购脱贫地区农副产品工作，助力推进乡村振兴进程。</w:t>
            </w:r>
          </w:p>
        </w:tc>
      </w:tr>
      <w:tr w14:paraId="309F8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77780231">
            <w:pPr>
              <w:spacing w:after="124"/>
              <w:ind w:left="316" w:hanging="316"/>
            </w:pPr>
            <w:r>
              <w:rPr>
                <w:rFonts w:hint="eastAsia"/>
                <w:b/>
                <w:bCs/>
              </w:rPr>
              <w:t>六、成交结果信息公布与授予合同</w:t>
            </w:r>
          </w:p>
        </w:tc>
      </w:tr>
      <w:tr w14:paraId="564C8F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8" w:hRule="atLeast"/>
          <w:jc w:val="center"/>
        </w:trPr>
        <w:tc>
          <w:tcPr>
            <w:tcW w:w="1847" w:type="dxa"/>
            <w:vAlign w:val="center"/>
          </w:tcPr>
          <w:p w14:paraId="7BAA311A">
            <w:pPr>
              <w:spacing w:after="124"/>
            </w:pPr>
            <w:r>
              <w:rPr>
                <w:rFonts w:hint="eastAsia"/>
              </w:rPr>
              <w:t>第二章第37.1款、</w:t>
            </w:r>
          </w:p>
        </w:tc>
        <w:tc>
          <w:tcPr>
            <w:tcW w:w="1988" w:type="dxa"/>
            <w:vAlign w:val="center"/>
          </w:tcPr>
          <w:p w14:paraId="33652DAB">
            <w:pPr>
              <w:spacing w:after="124"/>
            </w:pPr>
            <w:r>
              <w:rPr>
                <w:rFonts w:hint="eastAsia"/>
              </w:rPr>
              <w:t>财政部门指定的媒体</w:t>
            </w:r>
          </w:p>
        </w:tc>
        <w:tc>
          <w:tcPr>
            <w:tcW w:w="5193" w:type="dxa"/>
            <w:vAlign w:val="center"/>
          </w:tcPr>
          <w:p w14:paraId="1B3436D7">
            <w:pPr>
              <w:adjustRightInd w:val="0"/>
              <w:snapToGrid w:val="0"/>
              <w:spacing w:line="360" w:lineRule="exact"/>
              <w:rPr>
                <w:rFonts w:ascii="宋体" w:hAnsi="宋体" w:cs="宋体"/>
                <w:szCs w:val="21"/>
              </w:rPr>
            </w:pPr>
            <w:r>
              <w:rPr>
                <w:rFonts w:hint="eastAsia" w:ascii="宋体" w:hAnsi="宋体" w:cs="宋体"/>
                <w:szCs w:val="21"/>
              </w:rPr>
              <w:t>湘潭大学（</w:t>
            </w:r>
            <w:r>
              <w:rPr>
                <w:rFonts w:hint="eastAsia" w:ascii="宋体" w:hAnsi="宋体" w:cs="宋体"/>
                <w:szCs w:val="21"/>
                <w:u w:val="single"/>
              </w:rPr>
              <w:t>https://www.xtu.edu.cn/index/zbgg.htm</w:t>
            </w:r>
            <w:r>
              <w:rPr>
                <w:rFonts w:hint="eastAsia" w:ascii="宋体" w:hAnsi="宋体" w:cs="宋体"/>
                <w:szCs w:val="21"/>
              </w:rPr>
              <w:t>）</w:t>
            </w:r>
          </w:p>
          <w:p w14:paraId="774785B8">
            <w:pPr>
              <w:adjustRightInd w:val="0"/>
              <w:snapToGrid w:val="0"/>
              <w:spacing w:after="124" w:line="360" w:lineRule="auto"/>
            </w:pPr>
            <w:r>
              <w:rPr>
                <w:rFonts w:hint="eastAsia" w:ascii="宋体" w:hAnsi="宋体" w:eastAsia="宋体" w:cs="宋体"/>
                <w:szCs w:val="21"/>
              </w:rPr>
              <w:t>湖南政府采购网（</w:t>
            </w:r>
            <w:r>
              <w:rPr>
                <w:rFonts w:hint="eastAsia" w:ascii="宋体" w:hAnsi="宋体" w:eastAsia="宋体" w:cs="宋体"/>
                <w:szCs w:val="21"/>
                <w:u w:val="single"/>
              </w:rPr>
              <w:t>www.ccgp-hunan.gov.cn</w:t>
            </w:r>
            <w:r>
              <w:rPr>
                <w:rFonts w:hint="eastAsia" w:ascii="宋体" w:hAnsi="宋体" w:eastAsia="宋体" w:cs="宋体"/>
                <w:szCs w:val="21"/>
              </w:rPr>
              <w:t>）</w:t>
            </w:r>
          </w:p>
        </w:tc>
      </w:tr>
      <w:tr w14:paraId="256EF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847" w:type="dxa"/>
            <w:vAlign w:val="center"/>
          </w:tcPr>
          <w:p w14:paraId="0D76E81E">
            <w:pPr>
              <w:spacing w:after="124"/>
              <w:rPr>
                <w:rFonts w:ascii="宋体" w:hAnsi="宋体"/>
              </w:rPr>
            </w:pPr>
            <w:r>
              <w:rPr>
                <w:rFonts w:hint="eastAsia" w:ascii="宋体" w:hAnsi="宋体"/>
              </w:rPr>
              <w:t>第二章第39.3款</w:t>
            </w:r>
          </w:p>
        </w:tc>
        <w:tc>
          <w:tcPr>
            <w:tcW w:w="1988" w:type="dxa"/>
            <w:vAlign w:val="center"/>
          </w:tcPr>
          <w:p w14:paraId="1326644F">
            <w:pPr>
              <w:adjustRightInd w:val="0"/>
              <w:snapToGrid w:val="0"/>
              <w:spacing w:after="124" w:line="240" w:lineRule="exact"/>
              <w:jc w:val="right"/>
              <w:rPr>
                <w:rFonts w:ascii="宋体" w:hAnsi="宋体"/>
              </w:rPr>
            </w:pPr>
            <w:r>
              <w:rPr>
                <w:rFonts w:hint="eastAsia" w:ascii="宋体" w:hAnsi="宋体" w:cs="宋体"/>
                <w:szCs w:val="21"/>
              </w:rPr>
              <w:t>履约担保</w:t>
            </w:r>
          </w:p>
        </w:tc>
        <w:tc>
          <w:tcPr>
            <w:tcW w:w="5193" w:type="dxa"/>
            <w:vAlign w:val="center"/>
          </w:tcPr>
          <w:p w14:paraId="3EEB0BF8">
            <w:pPr>
              <w:adjustRightInd w:val="0"/>
              <w:snapToGrid w:val="0"/>
              <w:spacing w:before="156" w:beforeLines="50" w:after="124"/>
              <w:ind w:left="315" w:leftChars="100" w:hanging="105" w:hangingChars="50"/>
              <w:jc w:val="both"/>
            </w:pPr>
            <w:r>
              <w:rPr>
                <w:rFonts w:hint="eastAsia"/>
              </w:rPr>
              <w:t>■</w:t>
            </w:r>
            <w:r>
              <w:rPr>
                <w:rFonts w:hint="eastAsia" w:ascii="宋体" w:hAnsi="宋体"/>
                <w:szCs w:val="21"/>
              </w:rPr>
              <w:t>不要求提供</w:t>
            </w:r>
          </w:p>
          <w:p w14:paraId="489D6CDA">
            <w:pPr>
              <w:spacing w:after="124"/>
              <w:ind w:firstLine="210" w:firstLineChars="100"/>
              <w:jc w:val="both"/>
              <w:rPr>
                <w:rFonts w:ascii="宋体" w:hAnsi="宋体"/>
                <w:szCs w:val="21"/>
              </w:rPr>
            </w:pPr>
            <w:r>
              <w:rPr>
                <w:rFonts w:hint="eastAsia" w:ascii="宋体" w:hAnsi="宋体"/>
                <w:szCs w:val="21"/>
              </w:rPr>
              <w:t>□</w:t>
            </w:r>
            <w:r>
              <w:rPr>
                <w:rFonts w:hint="eastAsia"/>
              </w:rPr>
              <w:t>要求提供</w:t>
            </w:r>
          </w:p>
        </w:tc>
      </w:tr>
      <w:tr w14:paraId="553CD8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 w:hRule="atLeast"/>
          <w:jc w:val="center"/>
        </w:trPr>
        <w:tc>
          <w:tcPr>
            <w:tcW w:w="9028" w:type="dxa"/>
            <w:gridSpan w:val="3"/>
            <w:vAlign w:val="center"/>
          </w:tcPr>
          <w:p w14:paraId="2E934CA4">
            <w:pPr>
              <w:spacing w:after="124"/>
              <w:ind w:left="316" w:hanging="316"/>
              <w:rPr>
                <w:rFonts w:ascii="宋体" w:hAnsi="宋体"/>
              </w:rPr>
            </w:pPr>
            <w:r>
              <w:rPr>
                <w:rFonts w:hint="eastAsia" w:ascii="宋体" w:hAnsi="宋体"/>
                <w:b/>
                <w:bCs/>
              </w:rPr>
              <w:t>七、其他规定</w:t>
            </w:r>
          </w:p>
        </w:tc>
      </w:tr>
      <w:tr w14:paraId="24DAE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1847" w:type="dxa"/>
            <w:vAlign w:val="center"/>
          </w:tcPr>
          <w:p w14:paraId="743AE5F4">
            <w:pPr>
              <w:spacing w:after="124"/>
              <w:rPr>
                <w:rFonts w:ascii="宋体" w:hAnsi="宋体"/>
              </w:rPr>
            </w:pPr>
            <w:r>
              <w:rPr>
                <w:rFonts w:hint="eastAsia" w:ascii="宋体" w:hAnsi="宋体"/>
              </w:rPr>
              <w:t>第二章第41.1款</w:t>
            </w:r>
          </w:p>
        </w:tc>
        <w:tc>
          <w:tcPr>
            <w:tcW w:w="1988" w:type="dxa"/>
            <w:vAlign w:val="center"/>
          </w:tcPr>
          <w:p w14:paraId="3BFEB6F5">
            <w:pPr>
              <w:spacing w:after="124"/>
              <w:rPr>
                <w:rFonts w:ascii="宋体" w:hAnsi="宋体"/>
                <w:color w:val="auto"/>
                <w:highlight w:val="none"/>
              </w:rPr>
            </w:pPr>
            <w:r>
              <w:rPr>
                <w:rFonts w:hint="eastAsia" w:ascii="宋体" w:hAnsi="宋体"/>
                <w:color w:val="auto"/>
                <w:highlight w:val="none"/>
              </w:rPr>
              <w:t>采购代理服务费</w:t>
            </w:r>
          </w:p>
        </w:tc>
        <w:tc>
          <w:tcPr>
            <w:tcW w:w="5193" w:type="dxa"/>
            <w:vAlign w:val="center"/>
          </w:tcPr>
          <w:p w14:paraId="22A74087">
            <w:pPr>
              <w:pStyle w:val="3"/>
              <w:spacing w:after="124" w:line="240" w:lineRule="auto"/>
              <w:rPr>
                <w:rFonts w:ascii="Times New Roman" w:hAnsi="Times New Roman"/>
                <w:b w:val="0"/>
                <w:bCs w:val="0"/>
                <w:color w:val="auto"/>
                <w:szCs w:val="24"/>
                <w:highlight w:val="none"/>
              </w:rPr>
            </w:pPr>
            <w:bookmarkStart w:id="41" w:name="OLE_LINK23"/>
            <w:r>
              <w:rPr>
                <w:rFonts w:hint="eastAsia" w:ascii="Times New Roman" w:hAnsi="Times New Roman"/>
                <w:b w:val="0"/>
                <w:bCs w:val="0"/>
                <w:color w:val="auto"/>
                <w:szCs w:val="24"/>
                <w:highlight w:val="none"/>
              </w:rPr>
              <w:t>本项目将依据湘建建〔2024〕19号规定的收费标准及代理优惠率计取招标代理服务费，以实际中标金额据实结算，由招标代理服务单位直接向采购人收取。</w:t>
            </w:r>
            <w:bookmarkEnd w:id="41"/>
          </w:p>
        </w:tc>
      </w:tr>
      <w:tr w14:paraId="6D6836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jc w:val="center"/>
        </w:trPr>
        <w:tc>
          <w:tcPr>
            <w:tcW w:w="1847" w:type="dxa"/>
            <w:vAlign w:val="center"/>
          </w:tcPr>
          <w:p w14:paraId="4139D3C6">
            <w:pPr>
              <w:adjustRightInd w:val="0"/>
              <w:snapToGrid w:val="0"/>
              <w:spacing w:after="124" w:line="240" w:lineRule="exact"/>
              <w:rPr>
                <w:rFonts w:ascii="宋体" w:hAnsi="宋体"/>
              </w:rPr>
            </w:pPr>
            <w:r>
              <w:rPr>
                <w:rFonts w:hint="eastAsia" w:ascii="宋体" w:hAnsi="宋体" w:cs="宋体"/>
                <w:szCs w:val="21"/>
              </w:rPr>
              <w:t>第二章第42.1款</w:t>
            </w:r>
          </w:p>
        </w:tc>
        <w:tc>
          <w:tcPr>
            <w:tcW w:w="1988" w:type="dxa"/>
            <w:vAlign w:val="center"/>
          </w:tcPr>
          <w:p w14:paraId="3FE5F2BE">
            <w:pPr>
              <w:adjustRightInd w:val="0"/>
              <w:snapToGrid w:val="0"/>
              <w:spacing w:after="124" w:line="240" w:lineRule="exact"/>
              <w:rPr>
                <w:rFonts w:ascii="宋体" w:hAnsi="宋体"/>
              </w:rPr>
            </w:pPr>
            <w:r>
              <w:rPr>
                <w:rFonts w:hint="eastAsia" w:ascii="宋体" w:hAnsi="宋体" w:cs="宋体"/>
                <w:szCs w:val="21"/>
              </w:rPr>
              <w:t>其他规定</w:t>
            </w:r>
          </w:p>
        </w:tc>
        <w:tc>
          <w:tcPr>
            <w:tcW w:w="5193" w:type="dxa"/>
            <w:vAlign w:val="center"/>
          </w:tcPr>
          <w:p w14:paraId="5A8B60DA">
            <w:pPr>
              <w:spacing w:after="124"/>
            </w:pPr>
            <w:r>
              <w:rPr>
                <w:rFonts w:hint="eastAsia"/>
              </w:rPr>
              <w:t>根据《财政部关于在政府采购活动中查询及使用信用记录有关问题的通知》（财库〔2016〕125号）的规定，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74F2A0F">
            <w:pPr>
              <w:spacing w:after="124"/>
            </w:pPr>
            <w:r>
              <w:rPr>
                <w:rFonts w:hint="eastAsia"/>
              </w:rPr>
              <w:t>1、信用信息查询的查询渠道：“信用中国”网站（www.creditchina.gov.cn）、中国政府采购网（www.ccgp.gov.cn）、湖南信用网（www.hncredit.gov.cn)和湖南政府采购网（www.ccgp-hunan.gov.cn)。</w:t>
            </w:r>
          </w:p>
          <w:p w14:paraId="5914CF77">
            <w:pPr>
              <w:spacing w:after="124"/>
            </w:pPr>
            <w:r>
              <w:rPr>
                <w:rFonts w:hint="eastAsia"/>
              </w:rPr>
              <w:t>2、信用信息查询的截止时点：至本项目响应文件递交截止时间止。</w:t>
            </w:r>
          </w:p>
          <w:p w14:paraId="63DD25DF">
            <w:pPr>
              <w:spacing w:after="124"/>
            </w:pPr>
            <w:r>
              <w:rPr>
                <w:rFonts w:hint="eastAsia"/>
              </w:rPr>
              <w:t>3、信用信息查询记录的具体方式：采购人或采购代理机构在开标时在规定的查询渠道进行查询。</w:t>
            </w:r>
          </w:p>
          <w:p w14:paraId="106FDE5F">
            <w:pPr>
              <w:adjustRightInd w:val="0"/>
              <w:snapToGrid w:val="0"/>
              <w:spacing w:after="124" w:line="240" w:lineRule="exact"/>
              <w:jc w:val="left"/>
              <w:rPr>
                <w:rFonts w:ascii="宋体" w:hAnsi="宋体"/>
                <w:szCs w:val="21"/>
              </w:rPr>
            </w:pPr>
            <w:r>
              <w:rPr>
                <w:rFonts w:hint="eastAsia"/>
              </w:rPr>
              <w:t>4、信用信息查询记录证据留存的具体方式：查询记录的网上打印件。</w:t>
            </w:r>
          </w:p>
        </w:tc>
      </w:tr>
    </w:tbl>
    <w:p w14:paraId="16DA2686">
      <w:pPr>
        <w:adjustRightInd w:val="0"/>
        <w:snapToGrid w:val="0"/>
        <w:spacing w:after="124" w:line="360" w:lineRule="auto"/>
        <w:ind w:left="316" w:hanging="316"/>
        <w:rPr>
          <w:rFonts w:ascii="宋体" w:hAnsi="宋体" w:cs="宋体"/>
          <w:b/>
          <w:szCs w:val="21"/>
        </w:rPr>
        <w:sectPr>
          <w:pgSz w:w="11906" w:h="16838"/>
          <w:pgMar w:top="1134" w:right="1361" w:bottom="1134" w:left="1361" w:header="851" w:footer="992" w:gutter="0"/>
          <w:cols w:space="720" w:num="1"/>
          <w:docGrid w:type="lines" w:linePitch="312" w:charSpace="0"/>
        </w:sectPr>
      </w:pPr>
    </w:p>
    <w:p w14:paraId="68238580">
      <w:pPr>
        <w:ind w:hanging="315"/>
      </w:pPr>
      <w:bookmarkStart w:id="42" w:name="_Toc24203"/>
      <w:bookmarkStart w:id="43" w:name="_Toc11317"/>
      <w:bookmarkStart w:id="44" w:name="_Toc8358"/>
      <w:bookmarkStart w:id="45" w:name="_Toc10408"/>
      <w:bookmarkStart w:id="46" w:name="_Toc21947"/>
      <w:r>
        <w:rPr>
          <w:rFonts w:hint="eastAsia"/>
        </w:rPr>
        <w:t>附件1</w:t>
      </w:r>
      <w:bookmarkEnd w:id="42"/>
      <w:bookmarkEnd w:id="43"/>
      <w:bookmarkEnd w:id="44"/>
      <w:bookmarkEnd w:id="45"/>
      <w:bookmarkEnd w:id="46"/>
    </w:p>
    <w:p w14:paraId="3DF14736">
      <w:pPr>
        <w:ind w:hanging="315"/>
        <w:jc w:val="center"/>
        <w:rPr>
          <w:rFonts w:ascii="宋体" w:hAnsi="宋体" w:cs="宋体"/>
          <w:b/>
          <w:bCs/>
          <w:kern w:val="0"/>
          <w:sz w:val="30"/>
          <w:szCs w:val="30"/>
        </w:rPr>
      </w:pPr>
      <w:bookmarkStart w:id="47" w:name="_Toc18674"/>
      <w:bookmarkStart w:id="48" w:name="_Toc23739"/>
      <w:bookmarkStart w:id="49" w:name="_Toc16609"/>
      <w:bookmarkStart w:id="50" w:name="_Toc19888"/>
      <w:bookmarkStart w:id="51" w:name="_Toc3918"/>
      <w:bookmarkStart w:id="52" w:name="_Toc17337"/>
      <w:bookmarkStart w:id="53" w:name="_Toc1201"/>
      <w:bookmarkStart w:id="54" w:name="_Toc4873"/>
      <w:r>
        <w:rPr>
          <w:rFonts w:hint="eastAsia"/>
          <w:b/>
          <w:bCs/>
          <w:sz w:val="30"/>
          <w:szCs w:val="30"/>
        </w:rPr>
        <w:t>政府采购履约担保函</w:t>
      </w:r>
      <w:bookmarkEnd w:id="47"/>
      <w:bookmarkEnd w:id="48"/>
      <w:bookmarkEnd w:id="49"/>
      <w:bookmarkEnd w:id="50"/>
      <w:bookmarkEnd w:id="51"/>
      <w:bookmarkEnd w:id="52"/>
      <w:bookmarkEnd w:id="53"/>
      <w:bookmarkEnd w:id="54"/>
    </w:p>
    <w:p w14:paraId="4A9F280B">
      <w:pPr>
        <w:adjustRightInd w:val="0"/>
        <w:snapToGrid w:val="0"/>
        <w:spacing w:line="360" w:lineRule="auto"/>
        <w:ind w:firstLine="6510" w:firstLineChars="3100"/>
        <w:rPr>
          <w:rFonts w:ascii="宋体" w:hAnsi="宋体" w:cs="宋体"/>
          <w:kern w:val="0"/>
          <w:szCs w:val="21"/>
          <w:u w:val="single"/>
        </w:rPr>
      </w:pPr>
      <w:r>
        <w:rPr>
          <w:rFonts w:hint="eastAsia" w:ascii="宋体" w:hAnsi="宋体" w:cs="宋体"/>
          <w:kern w:val="0"/>
          <w:szCs w:val="21"/>
        </w:rPr>
        <w:t>编号：</w:t>
      </w:r>
    </w:p>
    <w:p w14:paraId="680F3BEB">
      <w:pPr>
        <w:adjustRightInd w:val="0"/>
        <w:snapToGrid w:val="0"/>
        <w:spacing w:line="360" w:lineRule="auto"/>
        <w:ind w:firstLine="6510" w:firstLineChars="3100"/>
        <w:rPr>
          <w:rFonts w:ascii="宋体" w:hAnsi="宋体" w:cs="宋体"/>
          <w:b/>
          <w:kern w:val="0"/>
          <w:szCs w:val="21"/>
        </w:rPr>
      </w:pPr>
    </w:p>
    <w:p w14:paraId="365CF9EF">
      <w:pPr>
        <w:adjustRightInd w:val="0"/>
        <w:snapToGrid w:val="0"/>
        <w:spacing w:line="360" w:lineRule="auto"/>
        <w:ind w:hanging="315"/>
        <w:rPr>
          <w:rFonts w:ascii="宋体" w:hAnsi="宋体" w:cs="宋体"/>
          <w:kern w:val="0"/>
          <w:szCs w:val="21"/>
        </w:rPr>
      </w:pPr>
      <w:r>
        <w:rPr>
          <w:rFonts w:hint="eastAsia" w:ascii="宋体" w:hAnsi="宋体" w:cs="宋体"/>
          <w:kern w:val="0"/>
          <w:szCs w:val="21"/>
        </w:rPr>
        <w:t>（采购人）：</w:t>
      </w:r>
    </w:p>
    <w:p w14:paraId="7274820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鉴于你方与（以下简称供应商）于年月日签订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5C00A5E8">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一、保证责任的情形及保证金额</w:t>
      </w:r>
    </w:p>
    <w:p w14:paraId="59D2687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（一）在供应商出现下列情形之一时，我方承担保证责任：</w:t>
      </w:r>
    </w:p>
    <w:p w14:paraId="1CA31B3E">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1．将中标项目转让给他人，或者在投标文件中未说明，且未经采购人同意，将中标项目分包给他人的；</w:t>
      </w:r>
    </w:p>
    <w:p w14:paraId="3C1EE50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2．主合同约定的应当缴纳履约保证金的情形:</w:t>
      </w:r>
    </w:p>
    <w:p w14:paraId="77E1EB59">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（1）未按主合同约定的质量、数量和期限供应货物/提供服务/完成工程的；</w:t>
      </w:r>
    </w:p>
    <w:p w14:paraId="1E99F5EF">
      <w:pPr>
        <w:adjustRightInd w:val="0"/>
        <w:snapToGrid w:val="0"/>
        <w:spacing w:line="360" w:lineRule="auto"/>
        <w:ind w:firstLine="420" w:firstLineChars="200"/>
        <w:rPr>
          <w:rFonts w:ascii="宋体" w:hAnsi="宋体" w:cs="宋体"/>
          <w:kern w:val="0"/>
          <w:szCs w:val="21"/>
          <w:u w:val="single"/>
        </w:rPr>
      </w:pPr>
      <w:r>
        <w:rPr>
          <w:rFonts w:hint="eastAsia" w:ascii="宋体" w:hAnsi="宋体" w:cs="宋体"/>
          <w:kern w:val="0"/>
          <w:szCs w:val="21"/>
        </w:rPr>
        <w:t>（2）。</w:t>
      </w:r>
    </w:p>
    <w:p w14:paraId="65F032C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（二）我方的保证范围是主合同约定的合同价款总额的%数额为元（大写），币种为。（即主合同履约保证金金额）</w:t>
      </w:r>
    </w:p>
    <w:p w14:paraId="5F0D4399">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二、保证的方式及保证期间</w:t>
      </w:r>
    </w:p>
    <w:p w14:paraId="5A8CC08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我方保证的方式为：连带责任保证。</w:t>
      </w:r>
    </w:p>
    <w:p w14:paraId="7F2FD8DE">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我方保证的期间为：自本合同生效之日起至供应商按照主合同约定的供货/完工期限届满后日内。</w:t>
      </w:r>
    </w:p>
    <w:p w14:paraId="1F50A7C3">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如果供应商未按主合同约定向贵方供应货物/提供服务/完成工程的，由我方在保证金额内向你方支付上述款项。</w:t>
      </w:r>
    </w:p>
    <w:p w14:paraId="424BA20B">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三、承担保证责任的程序</w:t>
      </w:r>
    </w:p>
    <w:p w14:paraId="7488977C">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1．你方要求我方承担保证责任的，应在本保函保证期间内向我方发出书面索赔通知。索赔通知应写明要求索赔的金额，支付款项应到达的帐号。并附有证明供应商违约事实的证明材料。</w:t>
      </w:r>
    </w:p>
    <w:p w14:paraId="501C5FD8">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72593756">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2．我方收到你方的书面索赔通知及相应证明材料，在工作日内进行核定后按照本保函的承诺承担保证责任。</w:t>
      </w:r>
    </w:p>
    <w:p w14:paraId="57515A97">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四、保证责任的终止</w:t>
      </w:r>
    </w:p>
    <w:p w14:paraId="6FA4E8D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1F2B524">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6A845E5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4D9DCC1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03E92C5">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五、免责条款</w:t>
      </w:r>
    </w:p>
    <w:p w14:paraId="49861328">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22EBAC52">
      <w:pPr>
        <w:adjustRightInd w:val="0"/>
        <w:snapToGrid w:val="0"/>
        <w:spacing w:line="360" w:lineRule="auto"/>
        <w:ind w:firstLine="420" w:firstLineChars="200"/>
        <w:rPr>
          <w:rFonts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02D5C84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3．因不可抗力造成供应商不能履行供货义务的，我方不承担保证责任。</w:t>
      </w:r>
    </w:p>
    <w:p w14:paraId="6708E109">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六、争议的解决</w:t>
      </w:r>
    </w:p>
    <w:p w14:paraId="1010EC0C">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因本保函发生的纠纷，由你我双方协商解决，协商不成的，通过诉讼程序解决，诉讼管辖地法院为法院。</w:t>
      </w:r>
    </w:p>
    <w:p w14:paraId="381975FD">
      <w:pPr>
        <w:adjustRightInd w:val="0"/>
        <w:snapToGrid w:val="0"/>
        <w:spacing w:line="360" w:lineRule="auto"/>
        <w:ind w:firstLine="420" w:firstLineChars="200"/>
        <w:rPr>
          <w:rFonts w:ascii="宋体" w:hAnsi="宋体" w:cs="宋体"/>
          <w:b/>
          <w:kern w:val="0"/>
          <w:szCs w:val="21"/>
        </w:rPr>
      </w:pPr>
      <w:r>
        <w:rPr>
          <w:rFonts w:hint="eastAsia" w:ascii="宋体" w:hAnsi="宋体" w:cs="宋体"/>
          <w:b/>
          <w:kern w:val="0"/>
          <w:szCs w:val="21"/>
        </w:rPr>
        <w:t>七、保函的生效</w:t>
      </w:r>
    </w:p>
    <w:p w14:paraId="5C482F3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本保函自我方加盖公章之日起生效。</w:t>
      </w:r>
    </w:p>
    <w:p w14:paraId="6007BCE5">
      <w:pPr>
        <w:adjustRightInd w:val="0"/>
        <w:snapToGrid w:val="0"/>
        <w:spacing w:line="360" w:lineRule="auto"/>
        <w:ind w:firstLine="420" w:firstLineChars="200"/>
        <w:rPr>
          <w:rFonts w:ascii="宋体" w:hAnsi="宋体" w:cs="宋体"/>
          <w:kern w:val="0"/>
          <w:szCs w:val="21"/>
        </w:rPr>
      </w:pPr>
    </w:p>
    <w:p w14:paraId="4629B88E">
      <w:pPr>
        <w:tabs>
          <w:tab w:val="left" w:pos="2850"/>
        </w:tabs>
        <w:adjustRightInd w:val="0"/>
        <w:snapToGrid w:val="0"/>
        <w:spacing w:line="360" w:lineRule="auto"/>
        <w:ind w:hanging="315"/>
        <w:jc w:val="right"/>
        <w:rPr>
          <w:rFonts w:ascii="宋体" w:hAnsi="宋体" w:cs="宋体"/>
          <w:kern w:val="0"/>
          <w:szCs w:val="21"/>
        </w:rPr>
      </w:pPr>
      <w:r>
        <w:rPr>
          <w:rFonts w:hint="eastAsia" w:ascii="宋体" w:hAnsi="宋体" w:cs="宋体"/>
          <w:kern w:val="0"/>
          <w:szCs w:val="21"/>
        </w:rPr>
        <w:t>保证人：（公章）</w:t>
      </w:r>
    </w:p>
    <w:p w14:paraId="56E27092">
      <w:pPr>
        <w:adjustRightInd w:val="0"/>
        <w:snapToGrid w:val="0"/>
        <w:spacing w:line="360" w:lineRule="auto"/>
        <w:ind w:hanging="315"/>
        <w:jc w:val="center"/>
        <w:rPr>
          <w:rFonts w:ascii="宋体" w:hAnsi="宋体" w:cs="宋体"/>
          <w:kern w:val="0"/>
          <w:szCs w:val="21"/>
        </w:rPr>
      </w:pPr>
      <w:r>
        <w:rPr>
          <w:rFonts w:hint="eastAsia" w:ascii="宋体" w:hAnsi="宋体" w:cs="宋体"/>
          <w:kern w:val="0"/>
          <w:szCs w:val="21"/>
        </w:rPr>
        <w:t xml:space="preserve">                                                                         年  月  日</w:t>
      </w:r>
    </w:p>
    <w:p w14:paraId="6C60FE11">
      <w:pPr>
        <w:ind w:left="316" w:hanging="316"/>
        <w:rPr>
          <w:rFonts w:ascii="宋体" w:hAnsi="宋体"/>
          <w:b/>
          <w:bCs/>
          <w:szCs w:val="21"/>
        </w:rPr>
      </w:pPr>
    </w:p>
    <w:p w14:paraId="7AA118C1">
      <w:pPr>
        <w:ind w:left="316" w:hanging="316"/>
        <w:rPr>
          <w:rFonts w:ascii="宋体" w:hAnsi="宋体"/>
          <w:b/>
          <w:bCs/>
          <w:szCs w:val="21"/>
        </w:rPr>
      </w:pPr>
    </w:p>
    <w:p w14:paraId="64B4BEEF">
      <w:pPr>
        <w:ind w:left="316" w:hanging="316"/>
        <w:rPr>
          <w:rFonts w:ascii="宋体" w:hAnsi="宋体"/>
          <w:b/>
          <w:bCs/>
          <w:szCs w:val="21"/>
        </w:rPr>
      </w:pPr>
    </w:p>
    <w:p w14:paraId="539FFFFC">
      <w:pPr>
        <w:ind w:left="316" w:hanging="316"/>
        <w:rPr>
          <w:rFonts w:ascii="宋体" w:hAnsi="宋体"/>
          <w:b/>
          <w:bCs/>
          <w:szCs w:val="21"/>
        </w:rPr>
      </w:pPr>
    </w:p>
    <w:p w14:paraId="2F1E5395">
      <w:pPr>
        <w:ind w:left="316" w:hanging="316"/>
        <w:rPr>
          <w:rFonts w:ascii="宋体" w:hAnsi="宋体"/>
          <w:b/>
          <w:bCs/>
          <w:szCs w:val="21"/>
        </w:rPr>
      </w:pPr>
    </w:p>
    <w:p w14:paraId="50E3DCC7">
      <w:pPr>
        <w:ind w:left="316" w:hanging="316"/>
        <w:rPr>
          <w:rFonts w:ascii="宋体" w:hAnsi="宋体"/>
          <w:b/>
          <w:bCs/>
          <w:szCs w:val="21"/>
        </w:rPr>
      </w:pPr>
    </w:p>
    <w:p w14:paraId="50795FF7">
      <w:pPr>
        <w:ind w:left="316" w:hanging="316"/>
        <w:rPr>
          <w:rFonts w:ascii="宋体" w:hAnsi="宋体"/>
          <w:b/>
          <w:bCs/>
          <w:szCs w:val="21"/>
        </w:rPr>
      </w:pPr>
    </w:p>
    <w:p w14:paraId="7039E1FC">
      <w:pPr>
        <w:ind w:left="316" w:hanging="316"/>
        <w:rPr>
          <w:rFonts w:ascii="宋体" w:hAnsi="宋体"/>
          <w:b/>
          <w:bCs/>
          <w:szCs w:val="21"/>
        </w:rPr>
      </w:pPr>
    </w:p>
    <w:p w14:paraId="4178C550">
      <w:pPr>
        <w:ind w:left="316" w:hanging="316"/>
        <w:rPr>
          <w:rFonts w:ascii="宋体" w:hAnsi="宋体"/>
          <w:b/>
          <w:bCs/>
          <w:szCs w:val="21"/>
        </w:rPr>
      </w:pPr>
    </w:p>
    <w:p w14:paraId="726AF158">
      <w:pPr>
        <w:ind w:left="316" w:hanging="316"/>
        <w:rPr>
          <w:rFonts w:ascii="宋体" w:hAnsi="宋体"/>
          <w:b/>
          <w:bCs/>
          <w:szCs w:val="21"/>
        </w:rPr>
      </w:pPr>
    </w:p>
    <w:p w14:paraId="3397104B">
      <w:pPr>
        <w:ind w:left="316" w:hanging="316"/>
        <w:rPr>
          <w:rFonts w:ascii="宋体" w:hAnsi="宋体"/>
          <w:b/>
          <w:bCs/>
          <w:szCs w:val="21"/>
        </w:rPr>
      </w:pPr>
    </w:p>
    <w:p w14:paraId="7705D8DC">
      <w:pPr>
        <w:ind w:left="316" w:hanging="316"/>
        <w:rPr>
          <w:rFonts w:ascii="宋体" w:hAnsi="宋体"/>
          <w:b/>
          <w:bCs/>
          <w:szCs w:val="21"/>
        </w:rPr>
      </w:pPr>
    </w:p>
    <w:p w14:paraId="7DBE7302">
      <w:pPr>
        <w:ind w:left="316" w:hanging="316"/>
        <w:rPr>
          <w:rFonts w:ascii="宋体" w:hAnsi="宋体"/>
          <w:b/>
          <w:bCs/>
          <w:szCs w:val="21"/>
        </w:rPr>
      </w:pPr>
    </w:p>
    <w:p w14:paraId="118B04CA">
      <w:pPr>
        <w:ind w:left="316" w:hanging="316"/>
        <w:rPr>
          <w:rFonts w:ascii="宋体" w:hAnsi="宋体"/>
          <w:b/>
          <w:bCs/>
          <w:szCs w:val="21"/>
        </w:rPr>
      </w:pPr>
    </w:p>
    <w:p w14:paraId="14EC2511">
      <w:pPr>
        <w:ind w:left="316" w:hanging="316"/>
        <w:rPr>
          <w:rFonts w:ascii="宋体" w:hAnsi="宋体"/>
          <w:b/>
          <w:bCs/>
          <w:szCs w:val="21"/>
        </w:rPr>
      </w:pPr>
    </w:p>
    <w:p w14:paraId="6FA222B1">
      <w:pPr>
        <w:ind w:hanging="315"/>
      </w:pPr>
    </w:p>
    <w:p w14:paraId="6AAE82AD">
      <w:pPr>
        <w:ind w:left="316" w:hanging="316"/>
        <w:rPr>
          <w:rFonts w:ascii="宋体" w:hAnsi="宋体"/>
          <w:b/>
          <w:bCs/>
          <w:szCs w:val="21"/>
        </w:rPr>
      </w:pPr>
    </w:p>
    <w:p w14:paraId="747974F2">
      <w:pPr>
        <w:ind w:left="316" w:hanging="316"/>
        <w:rPr>
          <w:rFonts w:ascii="宋体" w:hAnsi="宋体"/>
          <w:b/>
          <w:szCs w:val="21"/>
        </w:rPr>
      </w:pPr>
    </w:p>
    <w:p w14:paraId="4C912908">
      <w:pPr>
        <w:adjustRightInd w:val="0"/>
        <w:snapToGrid w:val="0"/>
        <w:spacing w:line="360" w:lineRule="auto"/>
        <w:ind w:left="420" w:hanging="420"/>
        <w:rPr>
          <w:rFonts w:ascii="黑体" w:eastAsia="黑体"/>
          <w:sz w:val="28"/>
          <w:szCs w:val="28"/>
        </w:rPr>
      </w:pPr>
    </w:p>
    <w:p w14:paraId="731A2622">
      <w:pPr>
        <w:pStyle w:val="3"/>
        <w:ind w:left="316" w:hanging="316"/>
        <w:jc w:val="center"/>
      </w:pPr>
      <w:bookmarkStart w:id="55" w:name="_Toc29538858"/>
      <w:bookmarkStart w:id="56" w:name="_Toc6571"/>
      <w:bookmarkStart w:id="57" w:name="_Toc23711"/>
      <w:bookmarkStart w:id="58" w:name="_Toc20409"/>
      <w:bookmarkStart w:id="59" w:name="_Toc10226"/>
      <w:bookmarkStart w:id="60" w:name="_Toc16215"/>
      <w:bookmarkStart w:id="61" w:name="_Toc3451"/>
      <w:r>
        <w:rPr>
          <w:rFonts w:hint="eastAsia"/>
        </w:rPr>
        <w:t>第二节</w:t>
      </w:r>
      <w:bookmarkEnd w:id="55"/>
      <w:r>
        <w:rPr>
          <w:rFonts w:hint="eastAsia"/>
        </w:rPr>
        <w:t xml:space="preserve"> 磋商须知正文</w:t>
      </w:r>
      <w:bookmarkEnd w:id="56"/>
      <w:bookmarkEnd w:id="57"/>
      <w:bookmarkEnd w:id="58"/>
      <w:bookmarkEnd w:id="59"/>
      <w:bookmarkEnd w:id="60"/>
      <w:bookmarkEnd w:id="61"/>
    </w:p>
    <w:p w14:paraId="407507FF">
      <w:pPr>
        <w:adjustRightInd w:val="0"/>
        <w:snapToGrid w:val="0"/>
        <w:spacing w:line="360" w:lineRule="auto"/>
        <w:ind w:left="360" w:hanging="360"/>
        <w:rPr>
          <w:rFonts w:ascii="黑体" w:hAnsi="宋体" w:eastAsia="黑体"/>
          <w:sz w:val="24"/>
        </w:rPr>
      </w:pPr>
      <w:r>
        <w:rPr>
          <w:rFonts w:hint="eastAsia" w:ascii="黑体" w:hAnsi="宋体" w:eastAsia="黑体"/>
          <w:sz w:val="24"/>
        </w:rPr>
        <w:t>一、说明</w:t>
      </w:r>
    </w:p>
    <w:p w14:paraId="51625669">
      <w:pPr>
        <w:adjustRightInd w:val="0"/>
        <w:snapToGrid w:val="0"/>
        <w:spacing w:line="360" w:lineRule="auto"/>
        <w:ind w:left="316" w:hanging="316"/>
        <w:rPr>
          <w:rFonts w:ascii="宋体" w:hAnsi="宋体"/>
          <w:b/>
          <w:bCs/>
          <w:szCs w:val="21"/>
        </w:rPr>
      </w:pPr>
      <w:r>
        <w:rPr>
          <w:rFonts w:hint="eastAsia" w:ascii="宋体" w:hAnsi="宋体"/>
          <w:b/>
          <w:bCs/>
          <w:szCs w:val="21"/>
        </w:rPr>
        <w:t>1.适用范围</w:t>
      </w:r>
    </w:p>
    <w:p w14:paraId="5DF6C00D">
      <w:pPr>
        <w:adjustRightInd w:val="0"/>
        <w:snapToGrid w:val="0"/>
        <w:spacing w:line="360" w:lineRule="auto"/>
        <w:ind w:firstLine="420" w:firstLineChars="200"/>
        <w:rPr>
          <w:rFonts w:ascii="宋体" w:hAnsi="宋体"/>
          <w:szCs w:val="21"/>
        </w:rPr>
      </w:pPr>
      <w:r>
        <w:rPr>
          <w:rFonts w:hint="eastAsia" w:ascii="宋体" w:hAnsi="宋体"/>
          <w:szCs w:val="21"/>
        </w:rPr>
        <w:t>1.1本磋商文件仅适用于磋商须知前附表(以下简称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60FEFA64">
      <w:pPr>
        <w:adjustRightInd w:val="0"/>
        <w:snapToGrid w:val="0"/>
        <w:spacing w:line="360" w:lineRule="auto"/>
        <w:ind w:left="316" w:hanging="316"/>
        <w:rPr>
          <w:rFonts w:ascii="宋体" w:hAnsi="宋体"/>
          <w:b/>
          <w:bCs/>
          <w:szCs w:val="21"/>
        </w:rPr>
      </w:pPr>
      <w:r>
        <w:rPr>
          <w:rFonts w:hint="eastAsia" w:ascii="宋体" w:hAnsi="宋体"/>
          <w:b/>
          <w:bCs/>
          <w:szCs w:val="21"/>
        </w:rPr>
        <w:t>2.定义</w:t>
      </w:r>
    </w:p>
    <w:p w14:paraId="5DB6D442">
      <w:pPr>
        <w:adjustRightInd w:val="0"/>
        <w:snapToGrid w:val="0"/>
        <w:spacing w:line="360" w:lineRule="auto"/>
        <w:ind w:firstLine="420" w:firstLineChars="200"/>
        <w:rPr>
          <w:rFonts w:ascii="宋体" w:hAnsi="宋体"/>
          <w:b/>
          <w:szCs w:val="21"/>
        </w:rPr>
      </w:pPr>
      <w:r>
        <w:rPr>
          <w:rFonts w:hint="eastAsia" w:ascii="宋体" w:hAnsi="宋体"/>
          <w:szCs w:val="21"/>
        </w:rPr>
        <w:t>2.1“采购人”是指依法进行政府采购的国家机关、事业单位、团体组织。本次政府采购的采购人名称、地址、电话、联系人见</w:t>
      </w:r>
      <w:r>
        <w:rPr>
          <w:rFonts w:hint="eastAsia" w:ascii="宋体" w:hAnsi="宋体"/>
          <w:b/>
          <w:szCs w:val="21"/>
        </w:rPr>
        <w:t>磋商须知前附表</w:t>
      </w:r>
      <w:r>
        <w:rPr>
          <w:rFonts w:hint="eastAsia" w:ascii="宋体" w:hAnsi="宋体"/>
          <w:szCs w:val="21"/>
        </w:rPr>
        <w:t>。</w:t>
      </w:r>
    </w:p>
    <w:p w14:paraId="0319B412">
      <w:pPr>
        <w:adjustRightInd w:val="0"/>
        <w:snapToGrid w:val="0"/>
        <w:spacing w:line="360" w:lineRule="auto"/>
        <w:ind w:firstLine="420" w:firstLineChars="200"/>
        <w:rPr>
          <w:rFonts w:ascii="宋体" w:hAnsi="宋体"/>
          <w:b/>
          <w:szCs w:val="21"/>
        </w:rPr>
      </w:pPr>
      <w:r>
        <w:rPr>
          <w:rFonts w:hint="eastAsia" w:ascii="宋体" w:hAnsi="宋体"/>
          <w:szCs w:val="21"/>
        </w:rPr>
        <w:t>2.2“采购代理机构”是指接受采购人委托，代理采购项目的集中采购机构和其他采购代理机构。本次政府采购的采购代理机构名称、地址、电话、联系人见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7C69FA12">
      <w:pPr>
        <w:adjustRightInd w:val="0"/>
        <w:snapToGrid w:val="0"/>
        <w:spacing w:line="360" w:lineRule="auto"/>
        <w:ind w:firstLine="420" w:firstLineChars="200"/>
        <w:rPr>
          <w:rFonts w:ascii="宋体" w:hAnsi="宋体" w:cs="宋体"/>
          <w:bCs/>
          <w:kern w:val="36"/>
          <w:szCs w:val="21"/>
        </w:rPr>
      </w:pPr>
      <w:r>
        <w:rPr>
          <w:rFonts w:hint="eastAsia" w:ascii="宋体" w:hAnsi="宋体"/>
          <w:szCs w:val="21"/>
        </w:rPr>
        <w:t>2.3“供应商”是指响应磋商文件要求、参加竞争性磋商采购的法人、其他组织或者自然人。本次政府采购项目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1C9A3C59">
      <w:pPr>
        <w:adjustRightInd w:val="0"/>
        <w:snapToGrid w:val="0"/>
        <w:spacing w:line="360" w:lineRule="auto"/>
        <w:ind w:firstLine="420" w:firstLineChars="200"/>
        <w:rPr>
          <w:rFonts w:ascii="宋体" w:hAnsi="宋体" w:cs="宋体"/>
          <w:kern w:val="0"/>
          <w:szCs w:val="21"/>
        </w:rPr>
      </w:pPr>
      <w:r>
        <w:rPr>
          <w:rFonts w:hint="eastAsia" w:ascii="宋体" w:hAnsi="宋体"/>
          <w:szCs w:val="21"/>
        </w:rPr>
        <w:t>2.4“磋商小组”是指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32698C0E">
      <w:pPr>
        <w:adjustRightInd w:val="0"/>
        <w:snapToGrid w:val="0"/>
        <w:spacing w:line="360" w:lineRule="auto"/>
        <w:ind w:firstLine="420" w:firstLineChars="200"/>
        <w:rPr>
          <w:rFonts w:ascii="宋体" w:hAnsi="宋体"/>
          <w:szCs w:val="21"/>
        </w:rPr>
      </w:pPr>
      <w:r>
        <w:rPr>
          <w:rFonts w:hint="eastAsia" w:ascii="宋体" w:hAnsi="宋体"/>
          <w:szCs w:val="21"/>
        </w:rPr>
        <w:t>2.5“货物”是指各种形态和种类的物品，包括原资料、燃料、设备、产品等，详见《政府采购品目分类目录》(</w:t>
      </w:r>
      <w:r>
        <w:rPr>
          <w:rStyle w:val="50"/>
          <w:rFonts w:ascii="宋体" w:hAnsi="宋体"/>
          <w:b w:val="0"/>
        </w:rPr>
        <w:t>财库</w:t>
      </w:r>
      <w:r>
        <w:rPr>
          <w:rStyle w:val="50"/>
          <w:rFonts w:hint="eastAsia" w:ascii="宋体" w:hAnsi="宋体"/>
          <w:b w:val="0"/>
        </w:rPr>
        <w:t>[</w:t>
      </w:r>
      <w:r>
        <w:rPr>
          <w:rStyle w:val="50"/>
          <w:rFonts w:ascii="宋体" w:hAnsi="宋体"/>
          <w:b w:val="0"/>
        </w:rPr>
        <w:t>2013</w:t>
      </w:r>
      <w:r>
        <w:rPr>
          <w:rStyle w:val="50"/>
          <w:rFonts w:hint="eastAsia" w:ascii="宋体" w:hAnsi="宋体"/>
          <w:b w:val="0"/>
        </w:rPr>
        <w:t>]</w:t>
      </w:r>
      <w:r>
        <w:rPr>
          <w:rStyle w:val="50"/>
          <w:rFonts w:ascii="宋体" w:hAnsi="宋体"/>
          <w:b w:val="0"/>
        </w:rPr>
        <w:t>189号</w:t>
      </w:r>
      <w:r>
        <w:rPr>
          <w:rFonts w:hint="eastAsia" w:ascii="宋体" w:hAnsi="宋体"/>
          <w:szCs w:val="21"/>
        </w:rPr>
        <w:t>)。</w:t>
      </w:r>
    </w:p>
    <w:p w14:paraId="6876C0CA">
      <w:pPr>
        <w:adjustRightInd w:val="0"/>
        <w:snapToGrid w:val="0"/>
        <w:spacing w:line="360" w:lineRule="auto"/>
        <w:ind w:firstLine="420" w:firstLineChars="200"/>
        <w:rPr>
          <w:rFonts w:ascii="宋体" w:hAnsi="宋体"/>
          <w:szCs w:val="21"/>
        </w:rPr>
      </w:pPr>
      <w:r>
        <w:rPr>
          <w:rFonts w:hint="eastAsia" w:ascii="宋体" w:hAnsi="宋体"/>
          <w:szCs w:val="21"/>
        </w:rPr>
        <w:t>2.6“工程”是指建设工程，包括建筑物和构筑物的新建、改建、扩建、装修、拆除、修缮等，详见《政府采购品目分类目录》(</w:t>
      </w:r>
      <w:r>
        <w:rPr>
          <w:rStyle w:val="50"/>
          <w:rFonts w:ascii="宋体" w:hAnsi="宋体"/>
          <w:b w:val="0"/>
        </w:rPr>
        <w:t>财库</w:t>
      </w:r>
      <w:r>
        <w:rPr>
          <w:rStyle w:val="50"/>
          <w:rFonts w:hint="eastAsia" w:ascii="宋体" w:hAnsi="宋体"/>
          <w:b w:val="0"/>
        </w:rPr>
        <w:t>[</w:t>
      </w:r>
      <w:r>
        <w:rPr>
          <w:rStyle w:val="50"/>
          <w:rFonts w:ascii="宋体" w:hAnsi="宋体"/>
          <w:b w:val="0"/>
        </w:rPr>
        <w:t>2013</w:t>
      </w:r>
      <w:r>
        <w:rPr>
          <w:rStyle w:val="50"/>
          <w:rFonts w:hint="eastAsia" w:ascii="宋体" w:hAnsi="宋体"/>
          <w:b w:val="0"/>
        </w:rPr>
        <w:t>]</w:t>
      </w:r>
      <w:r>
        <w:rPr>
          <w:rStyle w:val="50"/>
          <w:rFonts w:ascii="宋体" w:hAnsi="宋体"/>
          <w:b w:val="0"/>
        </w:rPr>
        <w:t>189号</w:t>
      </w:r>
      <w:r>
        <w:rPr>
          <w:rFonts w:hint="eastAsia" w:ascii="宋体" w:hAnsi="宋体"/>
          <w:szCs w:val="21"/>
        </w:rPr>
        <w:t>)。</w:t>
      </w:r>
    </w:p>
    <w:p w14:paraId="355954C2">
      <w:pPr>
        <w:adjustRightInd w:val="0"/>
        <w:snapToGrid w:val="0"/>
        <w:spacing w:line="360" w:lineRule="auto"/>
        <w:ind w:firstLine="420" w:firstLineChars="200"/>
        <w:rPr>
          <w:rFonts w:ascii="宋体" w:hAnsi="宋体"/>
          <w:szCs w:val="21"/>
        </w:rPr>
      </w:pPr>
      <w:r>
        <w:rPr>
          <w:rFonts w:hint="eastAsia" w:ascii="宋体" w:hAnsi="宋体"/>
          <w:szCs w:val="21"/>
        </w:rPr>
        <w:t>2.7“服务”是指除货物和工程以外的其他政府采购对象，详见《政府采购品目分类目录》(</w:t>
      </w:r>
      <w:r>
        <w:rPr>
          <w:rStyle w:val="50"/>
          <w:rFonts w:ascii="宋体" w:hAnsi="宋体"/>
          <w:b w:val="0"/>
        </w:rPr>
        <w:t>财库</w:t>
      </w:r>
      <w:r>
        <w:rPr>
          <w:rStyle w:val="50"/>
          <w:rFonts w:hint="eastAsia" w:ascii="宋体" w:hAnsi="宋体"/>
          <w:b w:val="0"/>
        </w:rPr>
        <w:t>[</w:t>
      </w:r>
      <w:r>
        <w:rPr>
          <w:rStyle w:val="50"/>
          <w:rFonts w:ascii="宋体" w:hAnsi="宋体"/>
          <w:b w:val="0"/>
        </w:rPr>
        <w:t>2013</w:t>
      </w:r>
      <w:r>
        <w:rPr>
          <w:rStyle w:val="50"/>
          <w:rFonts w:hint="eastAsia" w:ascii="宋体" w:hAnsi="宋体"/>
          <w:b w:val="0"/>
        </w:rPr>
        <w:t>]</w:t>
      </w:r>
      <w:r>
        <w:rPr>
          <w:rStyle w:val="50"/>
          <w:rFonts w:ascii="宋体" w:hAnsi="宋体"/>
          <w:b w:val="0"/>
        </w:rPr>
        <w:t>189号</w:t>
      </w:r>
      <w:r>
        <w:rPr>
          <w:rFonts w:hint="eastAsia" w:ascii="宋体" w:hAnsi="宋体"/>
          <w:szCs w:val="21"/>
        </w:rPr>
        <w:t>)。</w:t>
      </w:r>
    </w:p>
    <w:p w14:paraId="5321D111">
      <w:pPr>
        <w:adjustRightInd w:val="0"/>
        <w:snapToGrid w:val="0"/>
        <w:spacing w:line="360" w:lineRule="auto"/>
        <w:ind w:firstLine="420" w:firstLineChars="200"/>
        <w:rPr>
          <w:rFonts w:ascii="宋体" w:hAnsi="宋体"/>
          <w:szCs w:val="21"/>
        </w:rPr>
      </w:pPr>
      <w:r>
        <w:rPr>
          <w:rFonts w:hint="eastAsia" w:ascii="宋体" w:hAnsi="宋体" w:cs="宋体"/>
          <w:kern w:val="0"/>
          <w:szCs w:val="21"/>
        </w:rPr>
        <w:t>2.8</w:t>
      </w:r>
      <w:r>
        <w:rPr>
          <w:rFonts w:hint="eastAsia" w:ascii="宋体" w:hAnsi="宋体"/>
          <w:szCs w:val="21"/>
        </w:rPr>
        <w:t>“节能产品”或者“环保产品”是指财政部发布的《节能产品政府采购清单》或者《环境标志产品政府采购清单》的产品。</w:t>
      </w:r>
    </w:p>
    <w:p w14:paraId="1B4DB604">
      <w:pPr>
        <w:adjustRightInd w:val="0"/>
        <w:snapToGrid w:val="0"/>
        <w:spacing w:line="360" w:lineRule="auto"/>
        <w:ind w:firstLine="420" w:firstLineChars="200"/>
        <w:rPr>
          <w:rFonts w:ascii="宋体" w:hAnsi="宋体" w:cs="宋体"/>
          <w:kern w:val="0"/>
          <w:szCs w:val="21"/>
        </w:rPr>
      </w:pPr>
      <w:r>
        <w:rPr>
          <w:rFonts w:hint="eastAsia" w:ascii="宋体" w:hAnsi="宋体"/>
          <w:szCs w:val="21"/>
        </w:rPr>
        <w:t>2.9</w:t>
      </w:r>
      <w:r>
        <w:rPr>
          <w:rFonts w:hint="eastAsia" w:ascii="宋体" w:hAnsi="宋体" w:cs="宋体"/>
          <w:kern w:val="0"/>
          <w:szCs w:val="21"/>
        </w:rPr>
        <w:t>“进口产品”是指通过中国海关报关验放进入中国境内且产自关境外的产品，详见《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kern w:val="0"/>
          <w:szCs w:val="21"/>
        </w:rPr>
        <w:t>》(财库[2007]119号)。</w:t>
      </w:r>
    </w:p>
    <w:p w14:paraId="6432B326">
      <w:pPr>
        <w:adjustRightInd w:val="0"/>
        <w:snapToGrid w:val="0"/>
        <w:spacing w:line="360" w:lineRule="auto"/>
        <w:ind w:firstLine="420" w:firstLineChars="200"/>
      </w:pPr>
      <w:r>
        <w:rPr>
          <w:rFonts w:hint="eastAsia" w:ascii="宋体" w:hAnsi="宋体"/>
          <w:szCs w:val="21"/>
        </w:rPr>
        <w:t>为贯彻落实《湖南省财政厅 湖南省农业农村厅 湖南省乡村振兴局 湖南省供销合作总社关于运用政府采购政策支持乡村振兴有关事项的通知》（湘财购〔2021〕11号）文件精神，深入开展政府采购脱贫地区农副产品工作，助力推进乡村振兴进程。</w:t>
      </w:r>
    </w:p>
    <w:p w14:paraId="11674B24">
      <w:pPr>
        <w:adjustRightInd w:val="0"/>
        <w:snapToGrid w:val="0"/>
        <w:spacing w:line="360" w:lineRule="auto"/>
        <w:ind w:left="316" w:hanging="316"/>
        <w:rPr>
          <w:rFonts w:ascii="宋体" w:hAnsi="宋体"/>
          <w:b/>
          <w:bCs/>
          <w:szCs w:val="21"/>
        </w:rPr>
      </w:pPr>
      <w:r>
        <w:rPr>
          <w:rFonts w:hint="eastAsia" w:ascii="宋体" w:hAnsi="宋体"/>
          <w:b/>
          <w:bCs/>
          <w:szCs w:val="21"/>
        </w:rPr>
        <w:t>3.供应商的资格要求</w:t>
      </w:r>
    </w:p>
    <w:p w14:paraId="6A3A7867">
      <w:pPr>
        <w:adjustRightInd w:val="0"/>
        <w:snapToGrid w:val="0"/>
        <w:spacing w:line="360" w:lineRule="auto"/>
        <w:ind w:firstLine="420" w:firstLineChars="200"/>
        <w:rPr>
          <w:rFonts w:ascii="宋体" w:hAnsi="宋体"/>
          <w:szCs w:val="21"/>
        </w:rPr>
      </w:pPr>
      <w:r>
        <w:rPr>
          <w:rFonts w:hint="eastAsia" w:ascii="宋体" w:hAnsi="宋体"/>
          <w:szCs w:val="21"/>
        </w:rPr>
        <w:t>3.1供应商应当符合</w:t>
      </w:r>
      <w:r>
        <w:rPr>
          <w:rFonts w:hint="eastAsia" w:ascii="宋体" w:hAnsi="宋体"/>
          <w:b/>
          <w:szCs w:val="21"/>
        </w:rPr>
        <w:t>磋商须知前附表</w:t>
      </w:r>
      <w:r>
        <w:rPr>
          <w:rFonts w:hint="eastAsia" w:ascii="宋体" w:hAnsi="宋体"/>
          <w:szCs w:val="21"/>
        </w:rPr>
        <w:t>中规定的资格条件要求。</w:t>
      </w:r>
    </w:p>
    <w:p w14:paraId="62E01017">
      <w:pPr>
        <w:adjustRightInd w:val="0"/>
        <w:snapToGrid w:val="0"/>
        <w:spacing w:line="360" w:lineRule="auto"/>
        <w:ind w:firstLine="420" w:firstLineChars="200"/>
        <w:rPr>
          <w:rFonts w:ascii="宋体" w:hAnsi="宋体"/>
          <w:szCs w:val="21"/>
        </w:rPr>
      </w:pPr>
      <w:r>
        <w:rPr>
          <w:rFonts w:hint="eastAsia" w:ascii="宋体" w:hAnsi="宋体"/>
          <w:szCs w:val="21"/>
        </w:rPr>
        <w:t>3.2供应商不得存在下列情形之一：</w:t>
      </w:r>
    </w:p>
    <w:p w14:paraId="4E5657AC">
      <w:pPr>
        <w:adjustRightInd w:val="0"/>
        <w:snapToGrid w:val="0"/>
        <w:spacing w:line="360" w:lineRule="auto"/>
        <w:ind w:firstLine="420" w:firstLineChars="200"/>
        <w:rPr>
          <w:rFonts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31471726">
      <w:pPr>
        <w:adjustRightInd w:val="0"/>
        <w:snapToGrid w:val="0"/>
        <w:spacing w:line="360" w:lineRule="auto"/>
        <w:ind w:firstLine="420" w:firstLineChars="200"/>
        <w:rPr>
          <w:rFonts w:ascii="宋体" w:hAnsi="宋体"/>
          <w:szCs w:val="21"/>
        </w:rPr>
      </w:pPr>
      <w:r>
        <w:rPr>
          <w:rFonts w:hint="eastAsia" w:ascii="宋体" w:hAnsi="宋体"/>
          <w:szCs w:val="21"/>
        </w:rPr>
        <w:t>（2）与其他供应商的法定代表人（或者负责人）为同一人，或者与其他供应商存在直接控股、管理关系。</w:t>
      </w:r>
    </w:p>
    <w:p w14:paraId="266C6678">
      <w:pPr>
        <w:adjustRightInd w:val="0"/>
        <w:snapToGrid w:val="0"/>
        <w:spacing w:line="360" w:lineRule="auto"/>
        <w:ind w:firstLine="420" w:firstLineChars="200"/>
        <w:rPr>
          <w:rFonts w:ascii="宋体" w:hAnsi="宋体"/>
          <w:szCs w:val="21"/>
        </w:rPr>
      </w:pPr>
      <w:r>
        <w:rPr>
          <w:rFonts w:hint="eastAsia" w:ascii="宋体" w:hAnsi="宋体"/>
          <w:szCs w:val="21"/>
        </w:rPr>
        <w:t>（3）</w:t>
      </w:r>
      <w:r>
        <w:rPr>
          <w:rFonts w:hint="eastAsia" w:ascii="宋体" w:hAnsi="宋体"/>
          <w:bCs/>
          <w:szCs w:val="21"/>
        </w:rPr>
        <w:t>受到刑事处罚，或者受到</w:t>
      </w:r>
      <w:r>
        <w:rPr>
          <w:rFonts w:hint="eastAsia" w:ascii="宋体" w:hAnsi="宋体" w:cs="宋体"/>
          <w:kern w:val="0"/>
          <w:szCs w:val="21"/>
          <w:lang w:val="zh-CN"/>
        </w:rPr>
        <w:t>较大数额罚款（较大数额罚款”认定为200万元以上的罚款，法律、行政法规以及国务院有关部门明确规定相关领域“较大数额罚款”标准高于200万元的，从其规定。）、</w:t>
      </w:r>
      <w:r>
        <w:rPr>
          <w:rFonts w:hint="eastAsia" w:ascii="宋体" w:hAnsi="宋体"/>
          <w:bCs/>
          <w:szCs w:val="21"/>
        </w:rPr>
        <w:t>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2CA457B9">
      <w:pPr>
        <w:adjustRightInd w:val="0"/>
        <w:snapToGrid w:val="0"/>
        <w:spacing w:line="360" w:lineRule="auto"/>
        <w:ind w:left="316" w:hanging="316"/>
        <w:rPr>
          <w:rFonts w:ascii="宋体" w:hAnsi="宋体"/>
          <w:b/>
          <w:bCs/>
          <w:szCs w:val="21"/>
        </w:rPr>
      </w:pPr>
      <w:r>
        <w:rPr>
          <w:rFonts w:hint="eastAsia" w:ascii="宋体" w:hAnsi="宋体"/>
          <w:b/>
          <w:bCs/>
          <w:szCs w:val="21"/>
        </w:rPr>
        <w:t>4.参与磋商的费用</w:t>
      </w:r>
    </w:p>
    <w:p w14:paraId="761E3C3D">
      <w:pPr>
        <w:adjustRightInd w:val="0"/>
        <w:snapToGrid w:val="0"/>
        <w:spacing w:line="360" w:lineRule="auto"/>
        <w:ind w:firstLine="420" w:firstLineChars="200"/>
        <w:rPr>
          <w:rFonts w:ascii="宋体" w:hAnsi="宋体"/>
          <w:szCs w:val="21"/>
        </w:rPr>
      </w:pPr>
      <w:r>
        <w:rPr>
          <w:rFonts w:hint="eastAsia" w:ascii="宋体" w:hAnsi="宋体"/>
          <w:szCs w:val="21"/>
        </w:rPr>
        <w:t>4.1无论磋商的结果如何，供应商应自行承担所有与竞争性磋商采购活动有关的全部费用。</w:t>
      </w:r>
    </w:p>
    <w:p w14:paraId="2B014AEF">
      <w:pPr>
        <w:pStyle w:val="25"/>
        <w:adjustRightInd w:val="0"/>
        <w:snapToGrid w:val="0"/>
        <w:spacing w:line="360" w:lineRule="auto"/>
        <w:ind w:left="316" w:hanging="316"/>
        <w:rPr>
          <w:rFonts w:hAnsi="宋体"/>
          <w:b/>
          <w:bCs/>
        </w:rPr>
      </w:pPr>
      <w:r>
        <w:rPr>
          <w:rFonts w:hint="eastAsia" w:hAnsi="宋体"/>
          <w:b/>
        </w:rPr>
        <w:t>5．</w:t>
      </w:r>
      <w:r>
        <w:rPr>
          <w:rFonts w:hint="eastAsia" w:hAnsi="宋体"/>
          <w:b/>
          <w:bCs/>
        </w:rPr>
        <w:t>授权委托</w:t>
      </w:r>
    </w:p>
    <w:p w14:paraId="5B825E5C">
      <w:pPr>
        <w:pStyle w:val="25"/>
        <w:adjustRightInd w:val="0"/>
        <w:snapToGrid w:val="0"/>
        <w:spacing w:line="360" w:lineRule="auto"/>
        <w:ind w:firstLine="420" w:firstLineChars="200"/>
        <w:rPr>
          <w:rFonts w:hAnsi="宋体" w:cs="宋体"/>
        </w:rPr>
      </w:pPr>
      <w:r>
        <w:rPr>
          <w:rFonts w:hint="eastAsia" w:hAnsi="宋体"/>
        </w:rPr>
        <w:t>5.1供应商代表为供应商法定代表人的，应持有法定代表人身份证明。供应商代表不是供应商法定代表人的，应持有法定代表人授权书，并附法定代表人身份证明。</w:t>
      </w:r>
      <w:r>
        <w:rPr>
          <w:rFonts w:hint="eastAsia" w:hAnsi="宋体" w:cs="宋体"/>
        </w:rPr>
        <w:t>请供应商的法人代表（或授权代表）凭法人证明（或授权委托书原件）及身份证原件准时参加磋商会议，否则，其磋商响应文件将被拒绝</w:t>
      </w:r>
      <w:r>
        <w:rPr>
          <w:rFonts w:hint="eastAsia" w:hAnsi="宋体"/>
        </w:rPr>
        <w:t>。</w:t>
      </w:r>
    </w:p>
    <w:p w14:paraId="0B0DD2BE">
      <w:pPr>
        <w:pStyle w:val="25"/>
        <w:adjustRightInd w:val="0"/>
        <w:snapToGrid w:val="0"/>
        <w:spacing w:line="360" w:lineRule="auto"/>
        <w:ind w:left="316" w:hanging="316"/>
        <w:rPr>
          <w:rFonts w:hAnsi="宋体"/>
          <w:b/>
        </w:rPr>
      </w:pPr>
      <w:r>
        <w:rPr>
          <w:rFonts w:hint="eastAsia" w:hAnsi="宋体"/>
          <w:b/>
        </w:rPr>
        <w:t>6．联合体形式</w:t>
      </w:r>
    </w:p>
    <w:p w14:paraId="1FB2BECF">
      <w:pPr>
        <w:pStyle w:val="25"/>
        <w:adjustRightInd w:val="0"/>
        <w:snapToGrid w:val="0"/>
        <w:spacing w:line="360" w:lineRule="auto"/>
        <w:ind w:firstLine="420" w:firstLineChars="200"/>
        <w:rPr>
          <w:rFonts w:hAnsi="宋体"/>
        </w:rPr>
      </w:pPr>
      <w:r>
        <w:rPr>
          <w:rFonts w:hint="eastAsia" w:hAnsi="宋体"/>
        </w:rPr>
        <w:t>6.1除</w:t>
      </w:r>
      <w:r>
        <w:rPr>
          <w:rFonts w:hint="eastAsia" w:hAnsi="宋体"/>
          <w:b/>
        </w:rPr>
        <w:t>磋商须知前附表</w:t>
      </w:r>
      <w:r>
        <w:rPr>
          <w:rFonts w:hint="eastAsia" w:hAnsi="宋体"/>
        </w:rPr>
        <w:t>中另有规定，本次磋商采购不接受为联合体形式的供应商。</w:t>
      </w:r>
    </w:p>
    <w:p w14:paraId="7204C8BA">
      <w:pPr>
        <w:adjustRightInd w:val="0"/>
        <w:snapToGrid w:val="0"/>
        <w:spacing w:line="360" w:lineRule="auto"/>
        <w:ind w:firstLine="420" w:firstLineChars="200"/>
        <w:jc w:val="left"/>
        <w:rPr>
          <w:rFonts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7EDA9200">
      <w:pPr>
        <w:adjustRightInd w:val="0"/>
        <w:snapToGrid w:val="0"/>
        <w:spacing w:line="360" w:lineRule="auto"/>
        <w:ind w:firstLine="420" w:firstLineChars="200"/>
        <w:jc w:val="left"/>
        <w:rPr>
          <w:rFonts w:ascii="宋体" w:hAnsi="宋体"/>
          <w:szCs w:val="21"/>
        </w:rPr>
      </w:pPr>
      <w:r>
        <w:rPr>
          <w:rFonts w:hint="eastAsia" w:ascii="宋体" w:hAnsi="宋体"/>
          <w:szCs w:val="21"/>
        </w:rPr>
        <w:t>（l）联合体各方必须签订联合体协议书，明确联合体牵头人和各方的义务、工作、合同工作量比例；</w:t>
      </w:r>
    </w:p>
    <w:p w14:paraId="276CD5EB">
      <w:pPr>
        <w:adjustRightInd w:val="0"/>
        <w:snapToGrid w:val="0"/>
        <w:spacing w:line="360" w:lineRule="auto"/>
        <w:ind w:firstLine="420" w:firstLineChars="200"/>
        <w:jc w:val="left"/>
        <w:rPr>
          <w:rFonts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7E9EBD36">
      <w:pPr>
        <w:adjustRightInd w:val="0"/>
        <w:snapToGrid w:val="0"/>
        <w:spacing w:line="360" w:lineRule="auto"/>
        <w:ind w:firstLine="420" w:firstLineChars="200"/>
        <w:jc w:val="left"/>
        <w:rPr>
          <w:rFonts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2AA77B71">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170A0AB9">
      <w:pPr>
        <w:adjustRightInd w:val="0"/>
        <w:snapToGrid w:val="0"/>
        <w:spacing w:line="360" w:lineRule="auto"/>
        <w:ind w:left="316" w:hanging="316"/>
        <w:rPr>
          <w:rFonts w:ascii="宋体" w:hAnsi="宋体"/>
          <w:b/>
          <w:szCs w:val="21"/>
        </w:rPr>
      </w:pPr>
      <w:r>
        <w:rPr>
          <w:rFonts w:hint="eastAsia" w:ascii="宋体" w:hAnsi="宋体"/>
          <w:b/>
          <w:szCs w:val="21"/>
        </w:rPr>
        <w:t>7.现场勘察</w:t>
      </w:r>
    </w:p>
    <w:p w14:paraId="7C74C5C7">
      <w:pPr>
        <w:adjustRightInd w:val="0"/>
        <w:snapToGrid w:val="0"/>
        <w:spacing w:line="360" w:lineRule="auto"/>
        <w:ind w:firstLine="420" w:firstLineChars="200"/>
        <w:rPr>
          <w:rFonts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5632B00A">
      <w:pPr>
        <w:adjustRightInd w:val="0"/>
        <w:snapToGrid w:val="0"/>
        <w:spacing w:line="360" w:lineRule="auto"/>
        <w:ind w:firstLine="420" w:firstLineChars="200"/>
        <w:rPr>
          <w:rFonts w:ascii="宋体" w:hAnsi="宋体"/>
          <w:szCs w:val="21"/>
        </w:rPr>
      </w:pPr>
      <w:r>
        <w:rPr>
          <w:rFonts w:hint="eastAsia" w:ascii="宋体" w:hAnsi="宋体"/>
          <w:szCs w:val="21"/>
        </w:rPr>
        <w:t>7.2勘查现场的费用由供应商自己承担，勘察期间所发生的人身伤害及财产损失由供应商自己负责。</w:t>
      </w:r>
    </w:p>
    <w:p w14:paraId="764767B2">
      <w:pPr>
        <w:adjustRightInd w:val="0"/>
        <w:snapToGrid w:val="0"/>
        <w:spacing w:line="360" w:lineRule="auto"/>
        <w:ind w:firstLine="420" w:firstLineChars="200"/>
        <w:jc w:val="left"/>
        <w:rPr>
          <w:rFonts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25526F27">
      <w:pPr>
        <w:adjustRightInd w:val="0"/>
        <w:snapToGrid w:val="0"/>
        <w:spacing w:line="360" w:lineRule="auto"/>
        <w:ind w:left="316" w:hanging="316"/>
        <w:jc w:val="left"/>
        <w:rPr>
          <w:rFonts w:ascii="宋体" w:hAnsi="宋体"/>
          <w:b/>
          <w:szCs w:val="21"/>
        </w:rPr>
      </w:pPr>
      <w:r>
        <w:rPr>
          <w:rFonts w:hint="eastAsia" w:ascii="宋体" w:hAnsi="宋体"/>
          <w:b/>
          <w:szCs w:val="21"/>
        </w:rPr>
        <w:t>8.采购进口产品</w:t>
      </w:r>
    </w:p>
    <w:p w14:paraId="05CB147F">
      <w:pPr>
        <w:adjustRightInd w:val="0"/>
        <w:snapToGrid w:val="0"/>
        <w:spacing w:line="360" w:lineRule="auto"/>
        <w:ind w:firstLine="420" w:firstLineChars="200"/>
        <w:jc w:val="left"/>
        <w:rPr>
          <w:rFonts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5E4CC7F6">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52392E70">
      <w:pPr>
        <w:adjustRightInd w:val="0"/>
        <w:snapToGrid w:val="0"/>
        <w:spacing w:line="360" w:lineRule="auto"/>
        <w:ind w:left="316" w:hanging="316"/>
        <w:jc w:val="left"/>
        <w:rPr>
          <w:rFonts w:ascii="宋体" w:hAnsi="宋体"/>
          <w:b/>
          <w:szCs w:val="21"/>
        </w:rPr>
      </w:pPr>
      <w:r>
        <w:rPr>
          <w:rFonts w:hint="eastAsia" w:ascii="宋体" w:hAnsi="宋体"/>
          <w:b/>
          <w:bCs/>
          <w:szCs w:val="21"/>
        </w:rPr>
        <w:t>9.</w:t>
      </w:r>
      <w:r>
        <w:rPr>
          <w:rFonts w:hint="eastAsia" w:ascii="宋体" w:hAnsi="宋体"/>
          <w:b/>
          <w:szCs w:val="21"/>
        </w:rPr>
        <w:t>政府采购政策支持</w:t>
      </w:r>
    </w:p>
    <w:p w14:paraId="321FB92B">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2EB0DB98">
      <w:pPr>
        <w:pStyle w:val="25"/>
        <w:adjustRightInd w:val="0"/>
        <w:snapToGrid w:val="0"/>
        <w:spacing w:line="360" w:lineRule="auto"/>
        <w:ind w:firstLine="420" w:firstLineChars="200"/>
      </w:pPr>
      <w:r>
        <w:rPr>
          <w:rFonts w:hint="eastAsia" w:hAnsi="宋体" w:cs="宋体"/>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kern w:val="0"/>
        </w:rPr>
        <w:t>磋商文件前附表。</w:t>
      </w:r>
    </w:p>
    <w:p w14:paraId="7EE896E6">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00DD87FC">
      <w:pPr>
        <w:adjustRightInd w:val="0"/>
        <w:snapToGrid w:val="0"/>
        <w:spacing w:line="360" w:lineRule="auto"/>
        <w:ind w:firstLine="420" w:firstLineChars="200"/>
        <w:jc w:val="left"/>
        <w:rPr>
          <w:rFonts w:ascii="宋体" w:hAnsi="宋体"/>
          <w:szCs w:val="21"/>
        </w:rPr>
      </w:pPr>
      <w:r>
        <w:rPr>
          <w:rFonts w:hint="eastAsia" w:ascii="宋体" w:hAnsi="宋体"/>
          <w:szCs w:val="21"/>
        </w:rPr>
        <w:t>9.4同一项目中部分产品属于优先采购政策的，评审时只对该部分产品的报价实行价格扣除及加分。</w:t>
      </w:r>
    </w:p>
    <w:p w14:paraId="258B92ED">
      <w:pPr>
        <w:adjustRightInd w:val="0"/>
        <w:snapToGrid w:val="0"/>
        <w:spacing w:line="360" w:lineRule="auto"/>
        <w:ind w:firstLine="420" w:firstLineChars="200"/>
        <w:jc w:val="left"/>
        <w:rPr>
          <w:rFonts w:ascii="宋体" w:hAnsi="宋体"/>
          <w:szCs w:val="21"/>
        </w:rPr>
      </w:pPr>
      <w:r>
        <w:rPr>
          <w:rFonts w:hint="eastAsia" w:ascii="宋体" w:hAnsi="宋体"/>
          <w:szCs w:val="21"/>
        </w:rPr>
        <w:t>9.5为贯彻落实《湖南省财政厅 湖南省农业农村厅 湖南省乡村振兴局 湖南省供销合作总社关于运用政府采购政策支持乡村振兴有关事项的通知》（湘财购〔2021〕11号）文件精神，深入开展政府采购脱贫地区农副产品工作，助力推进乡村振兴进程。</w:t>
      </w:r>
    </w:p>
    <w:p w14:paraId="442D8415">
      <w:pPr>
        <w:adjustRightInd w:val="0"/>
        <w:snapToGrid w:val="0"/>
        <w:spacing w:line="360" w:lineRule="auto"/>
        <w:ind w:firstLine="420" w:firstLineChars="200"/>
        <w:jc w:val="left"/>
        <w:rPr>
          <w:rFonts w:ascii="宋体" w:hAnsi="宋体"/>
          <w:szCs w:val="21"/>
        </w:rPr>
      </w:pPr>
      <w:r>
        <w:rPr>
          <w:rFonts w:hint="eastAsia" w:ascii="宋体" w:hAnsi="宋体"/>
          <w:szCs w:val="21"/>
        </w:rPr>
        <w:t>9.6符合本章第9.1</w:t>
      </w:r>
      <w:r>
        <w:rPr>
          <w:rFonts w:hint="eastAsia" w:ascii="宋体" w:hAnsi="宋体" w:cs="宋体"/>
          <w:kern w:val="0"/>
          <w:szCs w:val="21"/>
          <w:lang w:val="zh-CN"/>
        </w:rPr>
        <w:t>款、</w:t>
      </w:r>
      <w:r>
        <w:rPr>
          <w:rFonts w:hint="eastAsia" w:ascii="宋体" w:hAnsi="宋体"/>
          <w:szCs w:val="21"/>
        </w:rPr>
        <w:t>第9.2</w:t>
      </w:r>
      <w:r>
        <w:rPr>
          <w:rFonts w:hint="eastAsia" w:ascii="宋体" w:hAnsi="宋体" w:cs="宋体"/>
          <w:kern w:val="0"/>
          <w:szCs w:val="21"/>
          <w:lang w:val="zh-CN"/>
        </w:rPr>
        <w:t>款</w:t>
      </w:r>
      <w:r>
        <w:rPr>
          <w:rFonts w:hint="eastAsia" w:ascii="宋体" w:hAnsi="宋体"/>
          <w:szCs w:val="21"/>
        </w:rPr>
        <w:t>规定的，应提供相关证明资料。</w:t>
      </w:r>
    </w:p>
    <w:p w14:paraId="0C5394AD">
      <w:pPr>
        <w:adjustRightInd w:val="0"/>
        <w:snapToGrid w:val="0"/>
        <w:spacing w:line="360" w:lineRule="auto"/>
        <w:ind w:firstLine="420" w:firstLineChars="200"/>
        <w:jc w:val="left"/>
        <w:rPr>
          <w:rFonts w:ascii="宋体" w:hAnsi="宋体"/>
          <w:szCs w:val="21"/>
        </w:rPr>
      </w:pPr>
      <w:r>
        <w:rPr>
          <w:rFonts w:hint="eastAsia" w:ascii="宋体" w:hAnsi="宋体"/>
          <w:szCs w:val="21"/>
        </w:rPr>
        <w:t>9.7供应商有融资、担保需求的，具体办理流程可向</w:t>
      </w:r>
      <w:r>
        <w:rPr>
          <w:rFonts w:hint="eastAsia" w:ascii="宋体" w:hAnsi="宋体"/>
          <w:b/>
          <w:szCs w:val="21"/>
        </w:rPr>
        <w:t>磋商须知前附表</w:t>
      </w:r>
      <w:r>
        <w:rPr>
          <w:rFonts w:hint="eastAsia" w:ascii="宋体" w:hAnsi="宋体"/>
          <w:szCs w:val="21"/>
        </w:rPr>
        <w:t>所列金融机构和担保机构询问。</w:t>
      </w:r>
    </w:p>
    <w:p w14:paraId="78080EA8">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二、磋商文件</w:t>
      </w:r>
    </w:p>
    <w:p w14:paraId="3F87A2C5">
      <w:pPr>
        <w:adjustRightInd w:val="0"/>
        <w:snapToGrid w:val="0"/>
        <w:spacing w:line="360" w:lineRule="auto"/>
        <w:ind w:left="316" w:hanging="316"/>
        <w:rPr>
          <w:rFonts w:ascii="宋体" w:hAnsi="宋体"/>
          <w:b/>
          <w:bCs/>
          <w:szCs w:val="21"/>
        </w:rPr>
      </w:pPr>
      <w:r>
        <w:rPr>
          <w:rFonts w:hint="eastAsia" w:ascii="宋体" w:hAnsi="宋体"/>
          <w:b/>
          <w:bCs/>
          <w:szCs w:val="21"/>
        </w:rPr>
        <w:t>10．磋商文件的组成</w:t>
      </w:r>
    </w:p>
    <w:p w14:paraId="3AFFA684">
      <w:pPr>
        <w:pStyle w:val="25"/>
        <w:adjustRightInd w:val="0"/>
        <w:snapToGrid w:val="0"/>
        <w:spacing w:line="360" w:lineRule="auto"/>
        <w:ind w:firstLine="420" w:firstLineChars="200"/>
        <w:rPr>
          <w:rFonts w:hAnsi="宋体"/>
        </w:rPr>
      </w:pPr>
      <w:r>
        <w:rPr>
          <w:rFonts w:hint="eastAsia" w:hAnsi="宋体"/>
        </w:rPr>
        <w:t>10.1磋商文件由下列文件组成：</w:t>
      </w:r>
    </w:p>
    <w:p w14:paraId="4D7E56BE">
      <w:pPr>
        <w:pStyle w:val="25"/>
        <w:adjustRightInd w:val="0"/>
        <w:snapToGrid w:val="0"/>
        <w:spacing w:line="360" w:lineRule="auto"/>
        <w:ind w:firstLine="420" w:firstLineChars="200"/>
        <w:rPr>
          <w:rFonts w:hAnsi="宋体"/>
        </w:rPr>
      </w:pPr>
      <w:r>
        <w:rPr>
          <w:rFonts w:hint="eastAsia" w:hAnsi="宋体"/>
        </w:rPr>
        <w:t>第一章磋商邀请</w:t>
      </w:r>
    </w:p>
    <w:p w14:paraId="7F8BA838">
      <w:pPr>
        <w:pStyle w:val="25"/>
        <w:adjustRightInd w:val="0"/>
        <w:snapToGrid w:val="0"/>
        <w:spacing w:line="360" w:lineRule="auto"/>
        <w:ind w:firstLine="420" w:firstLineChars="200"/>
        <w:rPr>
          <w:rFonts w:hAnsi="宋体"/>
        </w:rPr>
      </w:pPr>
      <w:r>
        <w:rPr>
          <w:rFonts w:hint="eastAsia" w:hAnsi="宋体"/>
        </w:rPr>
        <w:t>第二章磋商须知</w:t>
      </w:r>
    </w:p>
    <w:p w14:paraId="3331D7EF">
      <w:pPr>
        <w:pStyle w:val="25"/>
        <w:adjustRightInd w:val="0"/>
        <w:snapToGrid w:val="0"/>
        <w:spacing w:line="360" w:lineRule="auto"/>
        <w:ind w:firstLine="420" w:firstLineChars="200"/>
        <w:rPr>
          <w:rFonts w:hAnsi="宋体"/>
        </w:rPr>
      </w:pPr>
      <w:r>
        <w:rPr>
          <w:rFonts w:hint="eastAsia" w:hAnsi="宋体"/>
        </w:rPr>
        <w:t>第三章政府采购合同格式条款</w:t>
      </w:r>
    </w:p>
    <w:p w14:paraId="6A74B03D">
      <w:pPr>
        <w:pStyle w:val="25"/>
        <w:adjustRightInd w:val="0"/>
        <w:snapToGrid w:val="0"/>
        <w:spacing w:line="360" w:lineRule="auto"/>
        <w:ind w:firstLine="420" w:firstLineChars="200"/>
        <w:rPr>
          <w:rFonts w:hAnsi="宋体"/>
        </w:rPr>
      </w:pPr>
      <w:r>
        <w:rPr>
          <w:rFonts w:hint="eastAsia" w:hAnsi="宋体"/>
        </w:rPr>
        <w:t>第四章采购需求</w:t>
      </w:r>
    </w:p>
    <w:p w14:paraId="2558712B">
      <w:pPr>
        <w:pStyle w:val="25"/>
        <w:adjustRightInd w:val="0"/>
        <w:snapToGrid w:val="0"/>
        <w:spacing w:line="360" w:lineRule="auto"/>
        <w:ind w:firstLine="420" w:firstLineChars="200"/>
        <w:rPr>
          <w:rFonts w:hAnsi="宋体"/>
        </w:rPr>
      </w:pPr>
      <w:r>
        <w:rPr>
          <w:rFonts w:hint="eastAsia" w:hAnsi="宋体"/>
        </w:rPr>
        <w:t>第五章响应文件组成</w:t>
      </w:r>
    </w:p>
    <w:p w14:paraId="02BE721E">
      <w:pPr>
        <w:pStyle w:val="25"/>
        <w:adjustRightInd w:val="0"/>
        <w:snapToGrid w:val="0"/>
        <w:spacing w:line="360" w:lineRule="auto"/>
        <w:ind w:firstLine="420" w:firstLineChars="200"/>
        <w:rPr>
          <w:rFonts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55546DF6">
      <w:pPr>
        <w:adjustRightInd w:val="0"/>
        <w:snapToGrid w:val="0"/>
        <w:spacing w:line="360" w:lineRule="auto"/>
        <w:ind w:firstLine="420" w:firstLineChars="200"/>
        <w:rPr>
          <w:rFonts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0C6F8722">
      <w:pPr>
        <w:adjustRightInd w:val="0"/>
        <w:snapToGrid w:val="0"/>
        <w:spacing w:line="360" w:lineRule="auto"/>
        <w:ind w:left="316" w:hanging="316"/>
        <w:rPr>
          <w:rFonts w:ascii="宋体" w:hAnsi="宋体"/>
          <w:b/>
          <w:szCs w:val="21"/>
        </w:rPr>
      </w:pPr>
      <w:r>
        <w:rPr>
          <w:rFonts w:hint="eastAsia" w:ascii="宋体" w:hAnsi="宋体"/>
          <w:b/>
          <w:szCs w:val="21"/>
        </w:rPr>
        <w:t>11.磋商文件的提供期限</w:t>
      </w:r>
    </w:p>
    <w:p w14:paraId="68E6D6A6">
      <w:pPr>
        <w:adjustRightInd w:val="0"/>
        <w:snapToGrid w:val="0"/>
        <w:spacing w:line="360" w:lineRule="auto"/>
        <w:ind w:firstLine="420" w:firstLineChars="200"/>
        <w:rPr>
          <w:rFonts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50D69D76">
      <w:pPr>
        <w:adjustRightInd w:val="0"/>
        <w:snapToGrid w:val="0"/>
        <w:spacing w:line="360" w:lineRule="auto"/>
        <w:ind w:firstLine="420" w:firstLineChars="200"/>
        <w:rPr>
          <w:rFonts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规定的资料领取磋商文件。</w:t>
      </w:r>
    </w:p>
    <w:p w14:paraId="057741AA">
      <w:pPr>
        <w:pStyle w:val="25"/>
        <w:adjustRightInd w:val="0"/>
        <w:snapToGrid w:val="0"/>
        <w:spacing w:line="360" w:lineRule="auto"/>
        <w:ind w:left="316" w:hanging="316"/>
        <w:rPr>
          <w:rFonts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3B3C1E8E">
      <w:pPr>
        <w:pStyle w:val="25"/>
        <w:adjustRightInd w:val="0"/>
        <w:snapToGrid w:val="0"/>
        <w:spacing w:line="360" w:lineRule="auto"/>
        <w:ind w:firstLine="420" w:firstLineChars="200"/>
        <w:rPr>
          <w:rFonts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6897F4BB">
      <w:pPr>
        <w:adjustRightInd w:val="0"/>
        <w:snapToGrid w:val="0"/>
        <w:spacing w:line="360" w:lineRule="auto"/>
        <w:ind w:left="316" w:hanging="316"/>
        <w:rPr>
          <w:rFonts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4C767AF1">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szCs w:val="21"/>
        </w:rPr>
        <w:t>13.1在</w:t>
      </w:r>
      <w:r>
        <w:rPr>
          <w:rFonts w:hint="eastAsia" w:ascii="宋体" w:hAnsi="宋体" w:cs="宋体"/>
          <w:kern w:val="0"/>
          <w:szCs w:val="21"/>
        </w:rPr>
        <w:t>提交首次响应文件截止之日前，采购人、采购代理机构可以对已发出的磋商文件进行必要的澄清或者修改。</w:t>
      </w:r>
    </w:p>
    <w:p w14:paraId="095793F1">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5日前，通过网上形式通知所有接收磋商文件的供应商，不足5日的，顺延供应商提交首次响应文件截止时间。</w:t>
      </w:r>
    </w:p>
    <w:p w14:paraId="1FEE92E4">
      <w:pPr>
        <w:pStyle w:val="25"/>
        <w:adjustRightInd w:val="0"/>
        <w:snapToGrid w:val="0"/>
        <w:spacing w:line="360" w:lineRule="auto"/>
        <w:ind w:firstLine="420" w:firstLineChars="200"/>
      </w:pPr>
      <w:r>
        <w:rPr>
          <w:rFonts w:hint="eastAsia"/>
        </w:rPr>
        <w:t>13.2</w:t>
      </w:r>
      <w:r>
        <w:rPr>
          <w:rFonts w:hint="eastAsia" w:hAnsi="宋体" w:cs="宋体"/>
          <w:kern w:val="0"/>
        </w:rPr>
        <w:t>提交首次响应文件截止时间前对磋商文件澄清或者修改内容，为磋商文件的组成部分。</w:t>
      </w:r>
    </w:p>
    <w:p w14:paraId="6A0FD75C">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三、响应文件</w:t>
      </w:r>
    </w:p>
    <w:p w14:paraId="63C0ACFA">
      <w:pPr>
        <w:adjustRightInd w:val="0"/>
        <w:snapToGrid w:val="0"/>
        <w:spacing w:line="360" w:lineRule="auto"/>
        <w:ind w:left="316" w:hanging="316"/>
        <w:rPr>
          <w:rFonts w:ascii="宋体" w:hAnsi="宋体"/>
          <w:b/>
          <w:bCs/>
          <w:szCs w:val="21"/>
        </w:rPr>
      </w:pPr>
      <w:r>
        <w:rPr>
          <w:rFonts w:hint="eastAsia" w:ascii="宋体" w:hAnsi="宋体"/>
          <w:b/>
          <w:bCs/>
          <w:szCs w:val="21"/>
        </w:rPr>
        <w:t>14.一般要求</w:t>
      </w:r>
    </w:p>
    <w:p w14:paraId="6461B527">
      <w:pPr>
        <w:adjustRightInd w:val="0"/>
        <w:snapToGrid w:val="0"/>
        <w:spacing w:line="360" w:lineRule="auto"/>
        <w:ind w:firstLine="420" w:firstLineChars="200"/>
        <w:rPr>
          <w:rFonts w:ascii="宋体" w:hAnsi="宋体"/>
          <w:bCs/>
          <w:szCs w:val="21"/>
        </w:rPr>
      </w:pPr>
      <w:r>
        <w:rPr>
          <w:rFonts w:hint="eastAsia" w:ascii="宋体" w:hAnsi="宋体"/>
          <w:bCs/>
          <w:szCs w:val="21"/>
        </w:rPr>
        <w:t>14.1供应商应仔细阅读磋商文件的所有内容，按磋商文件的要求编制响应文件，并保证所提供的全部资料的真实性，以使其响应文件对磋商文件做出实质性的响应。</w:t>
      </w:r>
    </w:p>
    <w:p w14:paraId="4FEAFCEA">
      <w:pPr>
        <w:adjustRightInd w:val="0"/>
        <w:snapToGrid w:val="0"/>
        <w:spacing w:line="360" w:lineRule="auto"/>
        <w:ind w:firstLine="420" w:firstLineChars="200"/>
        <w:rPr>
          <w:rFonts w:ascii="宋体" w:hAnsi="宋体"/>
          <w:bCs/>
          <w:szCs w:val="21"/>
        </w:rPr>
      </w:pPr>
      <w:r>
        <w:rPr>
          <w:rFonts w:hint="eastAsia" w:ascii="宋体" w:hAnsi="宋体"/>
          <w:bCs/>
          <w:szCs w:val="21"/>
        </w:rPr>
        <w:t>14.2</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21772461">
      <w:pPr>
        <w:pStyle w:val="25"/>
        <w:adjustRightInd w:val="0"/>
        <w:snapToGrid w:val="0"/>
        <w:spacing w:line="360" w:lineRule="auto"/>
        <w:ind w:firstLine="420" w:firstLineChars="200"/>
        <w:rPr>
          <w:rFonts w:hAnsi="宋体"/>
        </w:rPr>
      </w:pPr>
      <w:r>
        <w:rPr>
          <w:rFonts w:hint="eastAsia" w:hAnsi="宋体"/>
          <w:bCs/>
        </w:rPr>
        <w:t>14.3</w:t>
      </w:r>
      <w:r>
        <w:rPr>
          <w:rFonts w:hint="eastAsia" w:hAnsi="宋体"/>
        </w:rPr>
        <w:t>计量单位应使用我国法定计量单位，未列明时应默认为我国法定计量单位。</w:t>
      </w:r>
    </w:p>
    <w:p w14:paraId="5A06DBAF">
      <w:pPr>
        <w:pStyle w:val="25"/>
        <w:adjustRightInd w:val="0"/>
        <w:snapToGrid w:val="0"/>
        <w:spacing w:line="360" w:lineRule="auto"/>
        <w:ind w:firstLine="420" w:firstLineChars="200"/>
        <w:rPr>
          <w:rFonts w:hAnsi="宋体"/>
        </w:rPr>
      </w:pPr>
      <w:r>
        <w:rPr>
          <w:rFonts w:hint="eastAsia" w:hAnsi="宋体"/>
        </w:rPr>
        <w:t>14.4响应文件应采用书面形式，电报、传真、电子邮件形式的响应文件概不接受。</w:t>
      </w:r>
    </w:p>
    <w:p w14:paraId="1507D831">
      <w:pPr>
        <w:adjustRightInd w:val="0"/>
        <w:snapToGrid w:val="0"/>
        <w:spacing w:line="360" w:lineRule="auto"/>
        <w:ind w:firstLine="420" w:firstLineChars="200"/>
        <w:rPr>
          <w:rFonts w:ascii="宋体" w:hAnsi="宋体"/>
          <w:szCs w:val="21"/>
        </w:rPr>
      </w:pPr>
      <w:r>
        <w:rPr>
          <w:rFonts w:hint="eastAsia" w:ascii="宋体" w:hAnsi="宋体"/>
          <w:szCs w:val="21"/>
        </w:rPr>
        <w:t>14.5供应商应按磋商文件中提供的响应文件格式填写。</w:t>
      </w:r>
    </w:p>
    <w:p w14:paraId="2B1C5CD2">
      <w:pPr>
        <w:adjustRightInd w:val="0"/>
        <w:snapToGrid w:val="0"/>
        <w:spacing w:line="360" w:lineRule="auto"/>
        <w:ind w:left="316" w:hanging="316"/>
        <w:rPr>
          <w:rFonts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7F7422D0">
      <w:pPr>
        <w:adjustRightInd w:val="0"/>
        <w:snapToGrid w:val="0"/>
        <w:spacing w:line="360" w:lineRule="auto"/>
        <w:ind w:firstLine="420" w:firstLineChars="200"/>
        <w:jc w:val="left"/>
        <w:outlineLvl w:val="0"/>
        <w:rPr>
          <w:rFonts w:ascii="宋体" w:hAnsi="宋体"/>
          <w:szCs w:val="21"/>
        </w:rPr>
      </w:pPr>
      <w:r>
        <w:rPr>
          <w:rFonts w:hint="eastAsia" w:ascii="宋体" w:hAnsi="宋体"/>
        </w:rPr>
        <w:t>15.1</w:t>
      </w:r>
      <w:r>
        <w:rPr>
          <w:rFonts w:hint="eastAsia" w:hAnsi="宋体"/>
        </w:rPr>
        <w:t xml:space="preserve"> 响应文件包括下列内容：</w:t>
      </w:r>
      <w:r>
        <w:rPr>
          <w:rFonts w:hint="eastAsia" w:ascii="宋体" w:hAnsi="宋体"/>
          <w:szCs w:val="21"/>
        </w:rPr>
        <w:t xml:space="preserve"> </w:t>
      </w:r>
    </w:p>
    <w:p w14:paraId="37D77A2B">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第一章 磋商通知</w:t>
      </w:r>
    </w:p>
    <w:p w14:paraId="383490E2">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第二章 磋商须知</w:t>
      </w:r>
    </w:p>
    <w:p w14:paraId="6179CCE4">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第三章 评审方法及标准</w:t>
      </w:r>
    </w:p>
    <w:p w14:paraId="60B481A9">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第四章 政府采购合同格式条款</w:t>
      </w:r>
    </w:p>
    <w:p w14:paraId="4DF05CED">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第五章 采购需求</w:t>
      </w:r>
    </w:p>
    <w:p w14:paraId="0603820C">
      <w:pPr>
        <w:pStyle w:val="25"/>
        <w:adjustRightInd w:val="0"/>
        <w:snapToGrid w:val="0"/>
        <w:spacing w:line="420" w:lineRule="exact"/>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第六章 响应文件组成</w:t>
      </w:r>
    </w:p>
    <w:p w14:paraId="69FDDB0C">
      <w:pPr>
        <w:adjustRightInd w:val="0"/>
        <w:snapToGrid w:val="0"/>
        <w:spacing w:line="360" w:lineRule="auto"/>
        <w:ind w:firstLine="420" w:firstLineChars="200"/>
        <w:rPr>
          <w:rFonts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0A0C056F">
      <w:pPr>
        <w:adjustRightInd w:val="0"/>
        <w:snapToGrid w:val="0"/>
        <w:spacing w:line="360" w:lineRule="auto"/>
        <w:ind w:firstLine="420" w:firstLineChars="200"/>
        <w:rPr>
          <w:rFonts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《技术/商务响应与偏离表》中对应内容注明。</w:t>
      </w:r>
    </w:p>
    <w:p w14:paraId="38E125A5">
      <w:pPr>
        <w:adjustRightInd w:val="0"/>
        <w:snapToGrid w:val="0"/>
        <w:spacing w:line="360" w:lineRule="auto"/>
        <w:ind w:firstLine="420" w:firstLineChars="200"/>
        <w:rPr>
          <w:rFonts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39DA89AA">
      <w:pPr>
        <w:adjustRightInd w:val="0"/>
        <w:snapToGrid w:val="0"/>
        <w:spacing w:line="360" w:lineRule="auto"/>
        <w:ind w:left="316" w:hanging="316"/>
        <w:rPr>
          <w:rFonts w:ascii="宋体" w:hAnsi="宋体"/>
          <w:b/>
          <w:bCs/>
          <w:szCs w:val="21"/>
        </w:rPr>
      </w:pPr>
      <w:r>
        <w:rPr>
          <w:rFonts w:hint="eastAsia" w:ascii="宋体" w:hAnsi="宋体"/>
          <w:b/>
          <w:bCs/>
          <w:szCs w:val="21"/>
        </w:rPr>
        <w:t>16.报价</w:t>
      </w:r>
    </w:p>
    <w:p w14:paraId="735A246C">
      <w:pPr>
        <w:adjustRightInd w:val="0"/>
        <w:snapToGrid w:val="0"/>
        <w:spacing w:line="360" w:lineRule="auto"/>
        <w:ind w:firstLine="420" w:firstLineChars="200"/>
        <w:rPr>
          <w:rFonts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251F1B9E">
      <w:pPr>
        <w:pStyle w:val="129"/>
        <w:adjustRightInd w:val="0"/>
        <w:snapToGrid w:val="0"/>
        <w:spacing w:line="360" w:lineRule="auto"/>
        <w:ind w:firstLine="420" w:firstLineChars="200"/>
        <w:rPr>
          <w:rFonts w:ascii="宋体" w:hAnsi="宋体"/>
        </w:rPr>
      </w:pPr>
      <w:r>
        <w:rPr>
          <w:rFonts w:hint="eastAsia" w:ascii="宋体" w:hAnsi="宋体"/>
        </w:rPr>
        <w:t>16.2供应商应按第五章响应文件组成格式填写。</w:t>
      </w:r>
    </w:p>
    <w:p w14:paraId="2CB695AC">
      <w:pPr>
        <w:pStyle w:val="25"/>
        <w:adjustRightInd w:val="0"/>
        <w:snapToGrid w:val="0"/>
        <w:spacing w:line="360" w:lineRule="auto"/>
        <w:ind w:firstLine="420" w:firstLineChars="200"/>
        <w:rPr>
          <w:rFonts w:hAnsi="宋体"/>
        </w:rPr>
      </w:pPr>
      <w:r>
        <w:rPr>
          <w:rFonts w:hint="eastAsia" w:hAnsi="宋体"/>
        </w:rPr>
        <w:t>16.3响应文件中标明的价格在合同执行过程中是固定不变的，不得以任何理由予以变更。以可变动价格提交的报价将被认为是非实质响应而被拒绝。</w:t>
      </w:r>
    </w:p>
    <w:p w14:paraId="1ED84FFC">
      <w:pPr>
        <w:pStyle w:val="25"/>
        <w:adjustRightInd w:val="0"/>
        <w:snapToGrid w:val="0"/>
        <w:spacing w:line="360" w:lineRule="auto"/>
        <w:ind w:firstLine="420" w:firstLineChars="200"/>
        <w:rPr>
          <w:rFonts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485603D8">
      <w:pPr>
        <w:pStyle w:val="25"/>
        <w:adjustRightInd w:val="0"/>
        <w:snapToGrid w:val="0"/>
        <w:spacing w:line="360" w:lineRule="auto"/>
        <w:ind w:left="316" w:hanging="316"/>
        <w:rPr>
          <w:b/>
        </w:rPr>
      </w:pPr>
      <w:r>
        <w:rPr>
          <w:rFonts w:hint="eastAsia"/>
          <w:b/>
        </w:rPr>
        <w:t>17.供应商符合磋商文件规定的证明文件</w:t>
      </w:r>
    </w:p>
    <w:p w14:paraId="283940DA">
      <w:pPr>
        <w:adjustRightInd w:val="0"/>
        <w:snapToGrid w:val="0"/>
        <w:spacing w:line="360" w:lineRule="auto"/>
        <w:ind w:firstLine="420" w:firstLineChars="200"/>
        <w:jc w:val="left"/>
        <w:rPr>
          <w:rFonts w:ascii="宋体" w:hAnsi="宋体"/>
        </w:rPr>
      </w:pPr>
      <w:r>
        <w:rPr>
          <w:rFonts w:hint="eastAsia" w:ascii="宋体" w:hAnsi="宋体"/>
        </w:rPr>
        <w:t>17.1供应商应提交满足本章第3.1款规定的资格条件要求的证明文件,该证明文件作为响应文件的一部分。</w:t>
      </w:r>
    </w:p>
    <w:p w14:paraId="227678A3">
      <w:pPr>
        <w:adjustRightInd w:val="0"/>
        <w:snapToGrid w:val="0"/>
        <w:spacing w:line="360" w:lineRule="auto"/>
        <w:ind w:firstLine="420" w:firstLineChars="200"/>
        <w:jc w:val="left"/>
        <w:rPr>
          <w:rFonts w:ascii="宋体" w:hAnsi="宋体"/>
        </w:rPr>
      </w:pPr>
      <w:r>
        <w:rPr>
          <w:rFonts w:hint="eastAsia" w:ascii="宋体" w:hAnsi="宋体"/>
        </w:rPr>
        <w:t>17.2如果供应商为联合体，则应提交联合体各方资格证明文件、联合体协议。否则，在评审时将其视为无效响应。</w:t>
      </w:r>
    </w:p>
    <w:p w14:paraId="729C287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17.3除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2B114677">
      <w:pPr>
        <w:adjustRightInd w:val="0"/>
        <w:snapToGrid w:val="0"/>
        <w:spacing w:before="156" w:beforeLines="50" w:line="360" w:lineRule="auto"/>
        <w:ind w:left="316" w:hanging="316"/>
        <w:jc w:val="left"/>
        <w:rPr>
          <w:rFonts w:ascii="宋体" w:hAnsi="宋体"/>
          <w:b/>
          <w:szCs w:val="21"/>
        </w:rPr>
      </w:pPr>
      <w:r>
        <w:rPr>
          <w:rFonts w:hint="eastAsia" w:ascii="宋体" w:hAnsi="宋体"/>
          <w:b/>
          <w:szCs w:val="21"/>
        </w:rPr>
        <w:t>18．样品提供</w:t>
      </w:r>
    </w:p>
    <w:p w14:paraId="4981218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18.1</w:t>
      </w:r>
      <w:r>
        <w:rPr>
          <w:rFonts w:hint="eastAsia" w:ascii="宋体" w:hAnsi="宋体"/>
          <w:b/>
        </w:rPr>
        <w:t>磋商须知前附表</w:t>
      </w:r>
      <w:r>
        <w:rPr>
          <w:rFonts w:hint="eastAsia" w:ascii="宋体" w:hAnsi="宋体"/>
          <w:szCs w:val="21"/>
        </w:rPr>
        <w:t>规定</w:t>
      </w:r>
      <w:r>
        <w:rPr>
          <w:rFonts w:hint="eastAsia" w:ascii="宋体" w:hAnsi="宋体"/>
          <w:bCs/>
        </w:rPr>
        <w:t>供应商</w:t>
      </w:r>
      <w:r>
        <w:rPr>
          <w:rFonts w:hint="eastAsia" w:ascii="宋体" w:hAnsi="宋体"/>
          <w:szCs w:val="21"/>
        </w:rPr>
        <w:t>在</w:t>
      </w:r>
      <w:r>
        <w:rPr>
          <w:rFonts w:hint="eastAsia" w:ascii="宋体" w:hAnsi="宋体"/>
        </w:rPr>
        <w:t>磋商</w:t>
      </w:r>
      <w:r>
        <w:rPr>
          <w:rFonts w:hint="eastAsia" w:ascii="宋体" w:hAnsi="宋体"/>
          <w:szCs w:val="21"/>
        </w:rPr>
        <w:t>时提供样品的，</w:t>
      </w:r>
      <w:r>
        <w:rPr>
          <w:rFonts w:hint="eastAsia" w:ascii="宋体" w:hAnsi="宋体"/>
          <w:bCs/>
        </w:rPr>
        <w:t>供应商</w:t>
      </w:r>
      <w:r>
        <w:rPr>
          <w:rFonts w:ascii="宋体" w:hAnsi="宋体"/>
          <w:szCs w:val="21"/>
        </w:rPr>
        <w:t>有以下情形之一的</w:t>
      </w:r>
      <w:r>
        <w:rPr>
          <w:rFonts w:hint="eastAsia" w:ascii="宋体" w:hAnsi="宋体"/>
          <w:szCs w:val="21"/>
        </w:rPr>
        <w:t>，在评审时将其视为无效响应。</w:t>
      </w:r>
    </w:p>
    <w:p w14:paraId="7574A7D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（1）未在</w:t>
      </w:r>
      <w:r>
        <w:rPr>
          <w:rFonts w:hint="eastAsia" w:ascii="宋体" w:hAnsi="宋体"/>
          <w:b/>
        </w:rPr>
        <w:t>磋商须知前附表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30D06281">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w:t>
      </w:r>
      <w:r>
        <w:rPr>
          <w:rFonts w:hint="eastAsia" w:ascii="宋体" w:hAnsi="宋体"/>
          <w:bCs/>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3D8E3AD8">
      <w:pPr>
        <w:adjustRightInd w:val="0"/>
        <w:snapToGrid w:val="0"/>
        <w:spacing w:line="360" w:lineRule="auto"/>
        <w:ind w:left="316" w:hanging="316"/>
        <w:rPr>
          <w:rFonts w:ascii="宋体" w:hAnsi="宋体"/>
          <w:b/>
          <w:bCs/>
          <w:szCs w:val="21"/>
        </w:rPr>
      </w:pPr>
      <w:r>
        <w:rPr>
          <w:rFonts w:hint="eastAsia" w:ascii="宋体" w:hAnsi="宋体"/>
          <w:b/>
          <w:bCs/>
          <w:szCs w:val="21"/>
        </w:rPr>
        <w:t>19.磋商保证金</w:t>
      </w:r>
    </w:p>
    <w:p w14:paraId="25F911D4">
      <w:pPr>
        <w:pStyle w:val="25"/>
        <w:adjustRightInd w:val="0"/>
        <w:snapToGrid w:val="0"/>
        <w:spacing w:line="360" w:lineRule="auto"/>
        <w:ind w:firstLine="420" w:firstLineChars="200"/>
        <w:rPr>
          <w:rFonts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，在</w:t>
      </w:r>
      <w:r>
        <w:rPr>
          <w:rFonts w:hint="eastAsia" w:hAnsi="宋体" w:cs="宋体"/>
          <w:kern w:val="0"/>
        </w:rPr>
        <w:t>提交首次响应文件截止时间</w:t>
      </w:r>
      <w:r>
        <w:rPr>
          <w:rFonts w:hint="eastAsia" w:hAnsi="宋体"/>
        </w:rPr>
        <w:t>前应按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2B7CE159">
      <w:pPr>
        <w:adjustRightInd w:val="0"/>
        <w:snapToGrid w:val="0"/>
        <w:spacing w:line="360" w:lineRule="auto"/>
        <w:ind w:firstLine="420" w:firstLineChars="200"/>
        <w:rPr>
          <w:rFonts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2C4F33BB">
      <w:pPr>
        <w:pStyle w:val="25"/>
        <w:adjustRightInd w:val="0"/>
        <w:snapToGrid w:val="0"/>
        <w:spacing w:line="360" w:lineRule="auto"/>
        <w:ind w:firstLine="420" w:firstLineChars="200"/>
        <w:rPr>
          <w:rFonts w:hAnsi="宋体"/>
        </w:rPr>
      </w:pPr>
      <w:r>
        <w:rPr>
          <w:rFonts w:hint="eastAsia" w:hAnsi="宋体"/>
        </w:rPr>
        <w:t>19.3供应商未按照磋商文件要求提交磋商保证金的，响应无效。</w:t>
      </w:r>
    </w:p>
    <w:p w14:paraId="2979FB69">
      <w:pPr>
        <w:pStyle w:val="25"/>
        <w:tabs>
          <w:tab w:val="left" w:pos="6300"/>
        </w:tabs>
        <w:adjustRightInd w:val="0"/>
        <w:snapToGrid w:val="0"/>
        <w:spacing w:line="360" w:lineRule="auto"/>
        <w:ind w:firstLine="420" w:firstLineChars="200"/>
        <w:rPr>
          <w:rFonts w:hAnsi="宋体"/>
        </w:rPr>
      </w:pPr>
      <w:r>
        <w:rPr>
          <w:rFonts w:hint="eastAsia" w:hAnsi="宋体"/>
        </w:rPr>
        <w:t>19.4采购代理机构在成交通知书发出后5个工作日内退还未成交供应商的磋商保证金；在采购合同签订后5个工作日内退还成交供应商的磋商保证金，但因供应商自身原因导致无法及时退还的除外。</w:t>
      </w:r>
    </w:p>
    <w:p w14:paraId="3B16C698">
      <w:pPr>
        <w:pStyle w:val="25"/>
        <w:adjustRightInd w:val="0"/>
        <w:snapToGrid w:val="0"/>
        <w:spacing w:line="360" w:lineRule="auto"/>
        <w:ind w:firstLine="420" w:firstLineChars="200"/>
        <w:rPr>
          <w:kern w:val="0"/>
        </w:rPr>
      </w:pPr>
      <w:r>
        <w:rPr>
          <w:rFonts w:hint="eastAsia"/>
        </w:rPr>
        <w:t>19.5</w:t>
      </w:r>
      <w:r>
        <w:rPr>
          <w:rFonts w:hint="eastAsia"/>
          <w:kern w:val="0"/>
        </w:rPr>
        <w:t>有下列情形之一的，磋商保证金不予退还，并上缴本级财政国库：</w:t>
      </w:r>
    </w:p>
    <w:p w14:paraId="5C1848A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（1）供应商在提交首次响应文件截止时间后撤回响应文件的；</w:t>
      </w:r>
    </w:p>
    <w:p w14:paraId="53039485">
      <w:pPr>
        <w:widowControl/>
        <w:adjustRightInd w:val="0"/>
        <w:snapToGrid w:val="0"/>
        <w:spacing w:line="360" w:lineRule="auto"/>
        <w:ind w:firstLine="420" w:firstLineChars="200"/>
        <w:jc w:val="left"/>
        <w:rPr>
          <w:kern w:val="0"/>
        </w:rPr>
      </w:pPr>
      <w:r>
        <w:rPr>
          <w:rFonts w:hint="eastAsia"/>
          <w:kern w:val="0"/>
        </w:rPr>
        <w:t>（2）供应商在响应文件中提供虚假资料的；</w:t>
      </w:r>
    </w:p>
    <w:p w14:paraId="329060D1">
      <w:pPr>
        <w:widowControl/>
        <w:adjustRightInd w:val="0"/>
        <w:snapToGrid w:val="0"/>
        <w:spacing w:line="360" w:lineRule="auto"/>
        <w:ind w:firstLine="420" w:firstLineChars="200"/>
        <w:jc w:val="left"/>
        <w:rPr>
          <w:rFonts w:ascii="宋体" w:hAnsi="宋体" w:cs="宋体"/>
          <w:kern w:val="0"/>
          <w:szCs w:val="21"/>
        </w:rPr>
      </w:pPr>
      <w:r>
        <w:rPr>
          <w:rFonts w:hint="eastAsia"/>
          <w:kern w:val="0"/>
        </w:rPr>
        <w:t>（3）</w:t>
      </w:r>
      <w:r>
        <w:rPr>
          <w:rFonts w:hint="eastAsia"/>
        </w:rPr>
        <w:t>确定成交结果后，无正当理由放弃成交资格的；</w:t>
      </w:r>
    </w:p>
    <w:p w14:paraId="7E49381B">
      <w:pPr>
        <w:widowControl/>
        <w:adjustRightInd w:val="0"/>
        <w:snapToGrid w:val="0"/>
        <w:spacing w:line="360" w:lineRule="auto"/>
        <w:ind w:firstLine="525" w:firstLineChars="250"/>
        <w:jc w:val="left"/>
        <w:rPr>
          <w:rFonts w:ascii="宋体" w:hAnsi="宋体" w:cs="宋体"/>
          <w:kern w:val="0"/>
          <w:szCs w:val="21"/>
        </w:rPr>
      </w:pPr>
      <w:r>
        <w:rPr>
          <w:rFonts w:hint="eastAsia" w:ascii="宋体" w:hAnsi="宋体" w:cs="宋体"/>
          <w:kern w:val="0"/>
          <w:szCs w:val="21"/>
        </w:rPr>
        <w:t>(4)除因不可抗力或磋商文件认可的情形以外，成交供应商不与采购人签订合同的；</w:t>
      </w:r>
    </w:p>
    <w:p w14:paraId="39804D4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4E701A2B">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204E3287">
      <w:pPr>
        <w:adjustRightInd w:val="0"/>
        <w:snapToGrid w:val="0"/>
        <w:spacing w:line="360" w:lineRule="auto"/>
        <w:ind w:left="316" w:hanging="316"/>
        <w:rPr>
          <w:rFonts w:ascii="宋体" w:hAnsi="宋体"/>
          <w:b/>
          <w:bCs/>
          <w:szCs w:val="21"/>
        </w:rPr>
      </w:pPr>
      <w:r>
        <w:rPr>
          <w:rFonts w:hint="eastAsia" w:ascii="宋体" w:hAnsi="宋体"/>
          <w:b/>
          <w:bCs/>
          <w:szCs w:val="21"/>
        </w:rPr>
        <w:t>20.</w:t>
      </w:r>
      <w:r>
        <w:rPr>
          <w:rFonts w:hint="eastAsia" w:hAnsi="宋体"/>
          <w:b/>
        </w:rPr>
        <w:t>响应文件</w:t>
      </w:r>
      <w:r>
        <w:rPr>
          <w:rFonts w:hint="eastAsia" w:ascii="宋体" w:hAnsi="宋体"/>
          <w:b/>
          <w:szCs w:val="21"/>
        </w:rPr>
        <w:t>有效期</w:t>
      </w:r>
    </w:p>
    <w:p w14:paraId="107D065A">
      <w:pPr>
        <w:adjustRightInd w:val="0"/>
        <w:snapToGrid w:val="0"/>
        <w:spacing w:line="360" w:lineRule="auto"/>
        <w:ind w:firstLine="420" w:firstLineChars="200"/>
        <w:jc w:val="left"/>
        <w:rPr>
          <w:rFonts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0A02175C">
      <w:pPr>
        <w:adjustRightInd w:val="0"/>
        <w:snapToGrid w:val="0"/>
        <w:spacing w:line="360" w:lineRule="auto"/>
        <w:ind w:left="316" w:hanging="316"/>
        <w:rPr>
          <w:rFonts w:ascii="宋体" w:hAnsi="宋体"/>
          <w:b/>
          <w:bCs/>
          <w:szCs w:val="21"/>
        </w:rPr>
      </w:pPr>
      <w:r>
        <w:rPr>
          <w:rFonts w:hint="eastAsia" w:ascii="宋体" w:hAnsi="宋体"/>
          <w:b/>
          <w:bCs/>
          <w:szCs w:val="21"/>
        </w:rPr>
        <w:t>21.响应文件的签署及规定</w:t>
      </w:r>
    </w:p>
    <w:p w14:paraId="06B59622">
      <w:pPr>
        <w:pStyle w:val="25"/>
        <w:adjustRightInd w:val="0"/>
        <w:snapToGrid w:val="0"/>
        <w:spacing w:line="360" w:lineRule="auto"/>
        <w:ind w:firstLine="420" w:firstLineChars="200"/>
        <w:rPr>
          <w:rFonts w:hAnsi="宋体"/>
          <w:b/>
          <w:bCs/>
        </w:rPr>
      </w:pPr>
      <w:r>
        <w:rPr>
          <w:rFonts w:hint="eastAsia" w:hAnsi="宋体"/>
        </w:rPr>
        <w:t>21.1响应文件的正本和副本应装订成册，正本一份，副本份数见</w:t>
      </w:r>
      <w:r>
        <w:rPr>
          <w:rFonts w:hint="eastAsia" w:hAnsi="宋体"/>
          <w:b/>
        </w:rPr>
        <w:t>磋商须知前附表</w:t>
      </w:r>
      <w:r>
        <w:rPr>
          <w:rFonts w:hint="eastAsia" w:hAnsi="宋体"/>
        </w:rPr>
        <w:t>。正本和副本的封面上应标记“正本”或“副本”的字样，当正本和副本有差异时，以正本为准。电子版</w:t>
      </w:r>
      <w:r>
        <w:rPr>
          <w:rFonts w:hint="eastAsia" w:hAnsi="宋体"/>
          <w:b/>
          <w:bCs/>
        </w:rPr>
        <w:t>（电子文件须以PDF的格式存入U盘，内容与纸质投标文件的正本一致）。</w:t>
      </w:r>
    </w:p>
    <w:p w14:paraId="0D6F3682">
      <w:pPr>
        <w:pStyle w:val="25"/>
        <w:adjustRightInd w:val="0"/>
        <w:snapToGrid w:val="0"/>
        <w:spacing w:line="360" w:lineRule="auto"/>
        <w:ind w:firstLine="420" w:firstLineChars="200"/>
        <w:rPr>
          <w:rFonts w:hAnsi="宋体"/>
        </w:rPr>
      </w:pPr>
      <w:r>
        <w:rPr>
          <w:rFonts w:hint="eastAsia" w:hAnsi="宋体"/>
        </w:rPr>
        <w:t>21.2响应文件正本和副本应按磋商文件要求签章处盖单位章和由法定代表人或其委托代理人签字；任何加行、涂改、增删，应有法定代表人或其委托代理人在旁边签字。否则，将导致响应文件无效。</w:t>
      </w:r>
    </w:p>
    <w:p w14:paraId="22F085BD">
      <w:pPr>
        <w:pStyle w:val="25"/>
        <w:adjustRightInd w:val="0"/>
        <w:snapToGrid w:val="0"/>
        <w:spacing w:line="360" w:lineRule="auto"/>
        <w:ind w:firstLine="420" w:firstLineChars="200"/>
        <w:rPr>
          <w:rFonts w:hAnsi="宋体"/>
        </w:rPr>
      </w:pPr>
      <w:r>
        <w:rPr>
          <w:rFonts w:hint="eastAsia" w:hAnsi="宋体"/>
        </w:rPr>
        <w:t>21.3在磋商过程中，供应商按磋商文件规定和磋商小组要求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最后报价)，可打印或用不退色墨水书写，但需经法定代表人或其委托代理人签字，</w:t>
      </w:r>
      <w:r>
        <w:rPr>
          <w:rFonts w:hint="eastAsia" w:hAnsi="宋体" w:cs="宋体"/>
          <w:kern w:val="0"/>
        </w:rPr>
        <w:t>或者加盖供应商单位章</w:t>
      </w:r>
      <w:r>
        <w:rPr>
          <w:rFonts w:hint="eastAsia" w:hAnsi="宋体"/>
        </w:rPr>
        <w:t>。否则，将导致响应文件无效。</w:t>
      </w:r>
    </w:p>
    <w:p w14:paraId="3868D247">
      <w:pPr>
        <w:adjustRightInd w:val="0"/>
        <w:snapToGrid w:val="0"/>
        <w:spacing w:line="360" w:lineRule="auto"/>
        <w:ind w:left="360" w:hanging="360"/>
        <w:rPr>
          <w:rFonts w:ascii="黑体" w:hAnsi="宋体" w:eastAsia="黑体"/>
          <w:sz w:val="24"/>
        </w:rPr>
      </w:pPr>
      <w:r>
        <w:rPr>
          <w:rFonts w:hint="eastAsia" w:ascii="黑体" w:hAnsi="宋体" w:eastAsia="黑体"/>
          <w:sz w:val="24"/>
        </w:rPr>
        <w:t>四、响应文件的递交</w:t>
      </w:r>
    </w:p>
    <w:p w14:paraId="3C5B3F68">
      <w:pPr>
        <w:adjustRightInd w:val="0"/>
        <w:snapToGrid w:val="0"/>
        <w:spacing w:line="360" w:lineRule="auto"/>
        <w:ind w:left="316" w:hanging="316"/>
        <w:rPr>
          <w:rFonts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5E9EDDE6">
      <w:pPr>
        <w:pStyle w:val="25"/>
        <w:adjustRightInd w:val="0"/>
        <w:snapToGrid w:val="0"/>
        <w:spacing w:line="360" w:lineRule="auto"/>
        <w:ind w:firstLine="420" w:firstLineChars="200"/>
        <w:rPr>
          <w:rFonts w:hAnsi="宋体"/>
        </w:rPr>
      </w:pPr>
      <w:r>
        <w:rPr>
          <w:rFonts w:hint="eastAsia" w:hAnsi="宋体"/>
        </w:rPr>
        <w:t>22.1</w:t>
      </w:r>
      <w:r>
        <w:rPr>
          <w:rFonts w:hint="eastAsia" w:hAnsi="宋体" w:cs="宋体"/>
        </w:rPr>
        <w:t>各供应商必须将响应文件正本、副本、电子档U盘、所有原件（如磋商文件有规定提交的，须列明详细清单），各自单独密封，分别独立包装，分别加贴封条，并在封套的封口处（封套两端折叠封口处）盖供应商单位章并由法定代表人或授权委托人签字，一并递交，不得混装</w:t>
      </w:r>
      <w:r>
        <w:rPr>
          <w:rFonts w:hint="eastAsia" w:hAnsi="宋体"/>
        </w:rPr>
        <w:t>。</w:t>
      </w:r>
    </w:p>
    <w:p w14:paraId="59C22B49">
      <w:pPr>
        <w:adjustRightInd w:val="0"/>
        <w:snapToGrid w:val="0"/>
        <w:spacing w:line="360" w:lineRule="auto"/>
        <w:ind w:firstLine="420" w:firstLineChars="200"/>
        <w:jc w:val="left"/>
        <w:rPr>
          <w:rFonts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173CC66B">
      <w:pPr>
        <w:adjustRightInd w:val="0"/>
        <w:snapToGrid w:val="0"/>
        <w:spacing w:line="360" w:lineRule="auto"/>
        <w:ind w:firstLine="420" w:firstLineChars="200"/>
        <w:jc w:val="left"/>
        <w:rPr>
          <w:rFonts w:ascii="宋体" w:hAnsi="宋体"/>
          <w:szCs w:val="21"/>
        </w:rPr>
      </w:pPr>
      <w:r>
        <w:rPr>
          <w:rFonts w:hint="eastAsia" w:ascii="宋体" w:hAnsi="宋体"/>
          <w:szCs w:val="21"/>
        </w:rPr>
        <w:t>22.3响应文件如果未按上述规定密封和加写标记，采购人或采购代理机构将拒绝接收。</w:t>
      </w:r>
    </w:p>
    <w:p w14:paraId="1B8CBBF3">
      <w:pPr>
        <w:adjustRightInd w:val="0"/>
        <w:snapToGrid w:val="0"/>
        <w:spacing w:line="360" w:lineRule="auto"/>
        <w:ind w:left="316" w:hanging="316"/>
        <w:rPr>
          <w:rFonts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056402B7">
      <w:pPr>
        <w:pStyle w:val="25"/>
        <w:adjustRightInd w:val="0"/>
        <w:snapToGrid w:val="0"/>
        <w:spacing w:line="360" w:lineRule="auto"/>
        <w:ind w:firstLine="420" w:firstLineChars="200"/>
        <w:rPr>
          <w:rFonts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1850C262">
      <w:pPr>
        <w:pStyle w:val="25"/>
        <w:adjustRightInd w:val="0"/>
        <w:snapToGrid w:val="0"/>
        <w:spacing w:line="360" w:lineRule="auto"/>
        <w:ind w:firstLine="420" w:firstLineChars="200"/>
        <w:rPr>
          <w:rFonts w:hAnsi="宋体"/>
        </w:rPr>
      </w:pPr>
      <w:r>
        <w:rPr>
          <w:rFonts w:hint="eastAsia" w:hAnsi="宋体"/>
        </w:rPr>
        <w:t>23.2</w:t>
      </w:r>
      <w:r>
        <w:rPr>
          <w:rFonts w:hint="eastAsia" w:hAnsi="宋体" w:cs="宋体"/>
          <w:kern w:val="0"/>
          <w:lang w:val="zh-CN"/>
        </w:rPr>
        <w:t>补充、修改的内容与响应文件不一致时，以补充、修改的内容为准。</w:t>
      </w:r>
    </w:p>
    <w:p w14:paraId="1822695B">
      <w:pPr>
        <w:adjustRightInd w:val="0"/>
        <w:snapToGrid w:val="0"/>
        <w:spacing w:line="360" w:lineRule="auto"/>
        <w:ind w:left="316" w:hanging="316"/>
        <w:rPr>
          <w:rFonts w:ascii="宋体" w:hAnsi="宋体"/>
          <w:b/>
          <w:bCs/>
          <w:szCs w:val="21"/>
        </w:rPr>
      </w:pPr>
      <w:r>
        <w:rPr>
          <w:rFonts w:hint="eastAsia" w:ascii="宋体" w:hAnsi="宋体"/>
          <w:b/>
          <w:bCs/>
          <w:szCs w:val="21"/>
        </w:rPr>
        <w:t>24.响应文件的递交与接收</w:t>
      </w:r>
    </w:p>
    <w:p w14:paraId="6152CB77">
      <w:pPr>
        <w:adjustRightInd w:val="0"/>
        <w:snapToGrid w:val="0"/>
        <w:spacing w:line="360" w:lineRule="auto"/>
        <w:ind w:firstLine="420" w:firstLineChars="200"/>
        <w:rPr>
          <w:rFonts w:ascii="宋体" w:hAnsi="宋体"/>
          <w:szCs w:val="21"/>
        </w:rPr>
      </w:pPr>
      <w:r>
        <w:rPr>
          <w:rFonts w:hint="eastAsia" w:ascii="宋体" w:hAnsi="宋体"/>
          <w:szCs w:val="21"/>
        </w:rPr>
        <w:t>24.1供应商应在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3961A013">
      <w:pPr>
        <w:pStyle w:val="25"/>
        <w:adjustRightInd w:val="0"/>
        <w:snapToGrid w:val="0"/>
        <w:spacing w:line="360" w:lineRule="auto"/>
        <w:ind w:firstLine="420" w:firstLineChars="200"/>
        <w:rPr>
          <w:rFonts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659E0905">
      <w:pPr>
        <w:adjustRightInd w:val="0"/>
        <w:snapToGrid w:val="0"/>
        <w:spacing w:line="360" w:lineRule="auto"/>
        <w:ind w:left="360" w:hanging="360"/>
        <w:rPr>
          <w:rFonts w:ascii="黑体" w:hAnsi="宋体" w:eastAsia="黑体"/>
          <w:sz w:val="24"/>
        </w:rPr>
      </w:pPr>
      <w:r>
        <w:rPr>
          <w:rFonts w:hint="eastAsia" w:ascii="黑体" w:hAnsi="宋体" w:eastAsia="黑体"/>
          <w:sz w:val="24"/>
        </w:rPr>
        <w:t>五、响应文件的磋商与评审</w:t>
      </w:r>
    </w:p>
    <w:p w14:paraId="13F19890">
      <w:pPr>
        <w:tabs>
          <w:tab w:val="left" w:pos="0"/>
        </w:tabs>
        <w:adjustRightInd w:val="0"/>
        <w:snapToGrid w:val="0"/>
        <w:spacing w:line="360" w:lineRule="auto"/>
        <w:ind w:left="316" w:hanging="316"/>
        <w:rPr>
          <w:rFonts w:ascii="宋体" w:hAnsi="宋体"/>
          <w:b/>
          <w:bCs/>
          <w:szCs w:val="21"/>
        </w:rPr>
      </w:pPr>
      <w:r>
        <w:rPr>
          <w:rFonts w:hint="eastAsia" w:ascii="宋体" w:hAnsi="宋体"/>
          <w:b/>
          <w:bCs/>
          <w:szCs w:val="21"/>
        </w:rPr>
        <w:t>25.磋商程序</w:t>
      </w:r>
    </w:p>
    <w:p w14:paraId="31C4E666">
      <w:pPr>
        <w:widowControl/>
        <w:adjustRightInd w:val="0"/>
        <w:snapToGrid w:val="0"/>
        <w:spacing w:line="360" w:lineRule="auto"/>
        <w:ind w:hanging="315"/>
        <w:jc w:val="left"/>
        <w:rPr>
          <w:rFonts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67117653">
      <w:pPr>
        <w:widowControl/>
        <w:adjustRightInd w:val="0"/>
        <w:snapToGrid w:val="0"/>
        <w:spacing w:line="360" w:lineRule="auto"/>
        <w:ind w:left="316" w:hanging="316"/>
        <w:rPr>
          <w:rFonts w:ascii="宋体" w:hAnsi="宋体"/>
          <w:b/>
          <w:szCs w:val="21"/>
        </w:rPr>
      </w:pPr>
      <w:r>
        <w:rPr>
          <w:rFonts w:hint="eastAsia" w:ascii="宋体" w:hAnsi="宋体" w:cs="宋体"/>
          <w:b/>
          <w:kern w:val="0"/>
          <w:szCs w:val="21"/>
        </w:rPr>
        <w:t>26.响应文件审查</w:t>
      </w:r>
    </w:p>
    <w:p w14:paraId="553ACC1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26.1资格性审查：根据本章第3.1项规定的供应商资格条件要求，对</w:t>
      </w:r>
      <w:r>
        <w:rPr>
          <w:rFonts w:hint="eastAsia" w:ascii="宋体" w:hAnsi="宋体"/>
        </w:rPr>
        <w:t>响应</w:t>
      </w:r>
      <w:r>
        <w:rPr>
          <w:rFonts w:hint="eastAsia" w:ascii="宋体" w:hAnsi="宋体"/>
          <w:szCs w:val="21"/>
        </w:rPr>
        <w:t>文件的资格证明等进行审查，以确定供应商是否具备磋商资格条件。</w:t>
      </w:r>
    </w:p>
    <w:p w14:paraId="6B457305">
      <w:pPr>
        <w:adjustRightInd w:val="0"/>
        <w:snapToGrid w:val="0"/>
        <w:spacing w:line="360" w:lineRule="auto"/>
        <w:ind w:firstLine="420" w:firstLineChars="200"/>
        <w:rPr>
          <w:rFonts w:ascii="宋体" w:hAnsi="宋体"/>
          <w:szCs w:val="21"/>
        </w:rPr>
      </w:pPr>
      <w:r>
        <w:rPr>
          <w:rFonts w:hint="eastAsia" w:ascii="宋体" w:hAnsi="宋体"/>
          <w:szCs w:val="21"/>
        </w:rPr>
        <w:t>26.2符合性审查:对响应文件(包括首次提交的响应文件、重新提交的响应文件)的有效性、完整性和响应程度进行审查，以确定是否对磋商文件的实质性要求作出响应。</w:t>
      </w:r>
    </w:p>
    <w:p w14:paraId="2CCDC610">
      <w:pPr>
        <w:adjustRightInd w:val="0"/>
        <w:snapToGrid w:val="0"/>
        <w:spacing w:line="360" w:lineRule="auto"/>
        <w:ind w:firstLine="420" w:firstLineChars="200"/>
        <w:rPr>
          <w:rFonts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4D4530AB">
      <w:pPr>
        <w:pStyle w:val="25"/>
        <w:adjustRightInd w:val="0"/>
        <w:snapToGrid w:val="0"/>
        <w:spacing w:line="360" w:lineRule="auto"/>
        <w:ind w:left="316" w:hanging="316"/>
        <w:rPr>
          <w:rFonts w:hAnsi="宋体" w:cs="宋体"/>
          <w:b/>
          <w:kern w:val="0"/>
        </w:rPr>
      </w:pPr>
      <w:r>
        <w:rPr>
          <w:rFonts w:hint="eastAsia" w:hAnsi="宋体" w:cs="宋体"/>
          <w:b/>
          <w:kern w:val="0"/>
        </w:rPr>
        <w:t>27.实质性响应</w:t>
      </w:r>
    </w:p>
    <w:p w14:paraId="4417FBE8">
      <w:pPr>
        <w:pStyle w:val="25"/>
        <w:adjustRightInd w:val="0"/>
        <w:snapToGrid w:val="0"/>
        <w:spacing w:line="360" w:lineRule="auto"/>
        <w:ind w:firstLine="420" w:firstLineChars="200"/>
        <w:rPr>
          <w:rFonts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27CB6ED3">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28190666">
      <w:pPr>
        <w:pStyle w:val="25"/>
        <w:adjustRightInd w:val="0"/>
        <w:snapToGrid w:val="0"/>
        <w:spacing w:line="360" w:lineRule="auto"/>
        <w:ind w:left="316" w:hanging="316"/>
        <w:rPr>
          <w:rFonts w:cs="宋体"/>
          <w:b/>
          <w:kern w:val="0"/>
        </w:rPr>
      </w:pPr>
      <w:r>
        <w:rPr>
          <w:rFonts w:hint="eastAsia" w:cs="宋体"/>
          <w:b/>
          <w:kern w:val="0"/>
        </w:rPr>
        <w:t>28.无效响应</w:t>
      </w:r>
    </w:p>
    <w:p w14:paraId="0A2C9772">
      <w:pPr>
        <w:pStyle w:val="25"/>
        <w:adjustRightInd w:val="0"/>
        <w:snapToGrid w:val="0"/>
        <w:spacing w:line="360" w:lineRule="auto"/>
        <w:ind w:firstLine="411" w:firstLineChars="196"/>
        <w:rPr>
          <w:rFonts w:hAnsi="宋体" w:cs="宋体"/>
          <w:b/>
          <w:kern w:val="0"/>
        </w:rPr>
      </w:pPr>
      <w:r>
        <w:rPr>
          <w:rFonts w:hint="eastAsia" w:cs="宋体"/>
          <w:kern w:val="0"/>
        </w:rPr>
        <w:t>28.1</w:t>
      </w:r>
      <w:r>
        <w:rPr>
          <w:rFonts w:hint="eastAsia"/>
        </w:rPr>
        <w:t>磋商小组在对资格性和符合性进行审查时，有下列情况之一的，属无效响应，</w:t>
      </w:r>
      <w:r>
        <w:rPr>
          <w:rFonts w:hint="eastAsia" w:cs="宋体"/>
          <w:kern w:val="0"/>
        </w:rPr>
        <w:t>磋商小组应当告知有关供应商</w:t>
      </w:r>
      <w:r>
        <w:rPr>
          <w:rFonts w:hint="eastAsia"/>
        </w:rPr>
        <w:t>：</w:t>
      </w:r>
    </w:p>
    <w:p w14:paraId="71DA2CDA">
      <w:pPr>
        <w:adjustRightInd w:val="0"/>
        <w:snapToGrid w:val="0"/>
        <w:spacing w:line="360" w:lineRule="auto"/>
        <w:ind w:firstLine="420" w:firstLineChars="200"/>
        <w:rPr>
          <w:rFonts w:ascii="宋体" w:hAnsi="宋体"/>
          <w:szCs w:val="21"/>
        </w:rPr>
      </w:pPr>
      <w:r>
        <w:rPr>
          <w:rFonts w:hint="eastAsia" w:ascii="宋体" w:hAnsi="宋体"/>
          <w:szCs w:val="21"/>
        </w:rPr>
        <w:t>（1）供应商不具备本章第3.1款规定的供应商资格条件要求，或存在本章第3.3款情形的；</w:t>
      </w:r>
    </w:p>
    <w:p w14:paraId="768F5675">
      <w:pPr>
        <w:adjustRightInd w:val="0"/>
        <w:snapToGrid w:val="0"/>
        <w:spacing w:line="360" w:lineRule="auto"/>
        <w:ind w:firstLine="420" w:firstLineChars="200"/>
        <w:rPr>
          <w:rFonts w:ascii="宋体" w:hAnsi="宋体"/>
          <w:szCs w:val="21"/>
        </w:rPr>
      </w:pPr>
      <w:r>
        <w:rPr>
          <w:rFonts w:hint="eastAsia" w:ascii="宋体" w:hAnsi="宋体"/>
          <w:szCs w:val="21"/>
        </w:rPr>
        <w:t>（2）联合体不符合本章第3.2款规定的；</w:t>
      </w:r>
    </w:p>
    <w:p w14:paraId="071813C1">
      <w:pPr>
        <w:adjustRightInd w:val="0"/>
        <w:snapToGrid w:val="0"/>
        <w:spacing w:line="360" w:lineRule="auto"/>
        <w:ind w:firstLine="420" w:firstLineChars="200"/>
        <w:rPr>
          <w:rFonts w:ascii="宋体" w:hAnsi="宋体"/>
          <w:szCs w:val="21"/>
        </w:rPr>
      </w:pPr>
      <w:r>
        <w:rPr>
          <w:rFonts w:hint="eastAsia" w:ascii="宋体" w:hAnsi="宋体"/>
          <w:szCs w:val="21"/>
        </w:rPr>
        <w:t>（3）应交未交磋商保证金或金额不足、磋商保证金缴纳形式不符合磋商文件要求的；</w:t>
      </w:r>
    </w:p>
    <w:p w14:paraId="5CD4608E">
      <w:pPr>
        <w:adjustRightInd w:val="0"/>
        <w:snapToGrid w:val="0"/>
        <w:spacing w:line="360" w:lineRule="auto"/>
        <w:ind w:firstLine="420" w:firstLineChars="200"/>
        <w:rPr>
          <w:rFonts w:ascii="宋体" w:hAnsi="宋体"/>
          <w:szCs w:val="21"/>
        </w:rPr>
      </w:pPr>
      <w:r>
        <w:rPr>
          <w:rFonts w:hint="eastAsia" w:ascii="宋体" w:hAnsi="宋体"/>
          <w:szCs w:val="21"/>
        </w:rPr>
        <w:t>（4）响应文件未按照磋商文件要求签署、盖章的；</w:t>
      </w:r>
    </w:p>
    <w:p w14:paraId="1666567E">
      <w:pPr>
        <w:adjustRightInd w:val="0"/>
        <w:snapToGrid w:val="0"/>
        <w:spacing w:line="360" w:lineRule="auto"/>
        <w:ind w:firstLine="420" w:firstLineChars="200"/>
        <w:rPr>
          <w:rFonts w:ascii="宋体" w:hAnsi="宋体"/>
          <w:szCs w:val="21"/>
        </w:rPr>
      </w:pPr>
      <w:r>
        <w:rPr>
          <w:rFonts w:hint="eastAsia" w:ascii="宋体" w:hAnsi="宋体"/>
          <w:szCs w:val="21"/>
        </w:rPr>
        <w:t>（5）响应文件不满足本章第27.1款规定的实质性要求的；</w:t>
      </w:r>
    </w:p>
    <w:p w14:paraId="4646C0F8">
      <w:pPr>
        <w:adjustRightInd w:val="0"/>
        <w:snapToGrid w:val="0"/>
        <w:spacing w:line="360" w:lineRule="auto"/>
        <w:ind w:firstLine="420" w:firstLineChars="200"/>
        <w:rPr>
          <w:rFonts w:ascii="宋体" w:hAnsi="宋体"/>
          <w:szCs w:val="21"/>
        </w:rPr>
      </w:pPr>
      <w:r>
        <w:rPr>
          <w:rFonts w:hint="eastAsia" w:ascii="宋体" w:hAnsi="宋体"/>
          <w:szCs w:val="21"/>
        </w:rPr>
        <w:t>（6）报价超过采购项目预算的；</w:t>
      </w:r>
    </w:p>
    <w:p w14:paraId="4027A4BF">
      <w:pPr>
        <w:adjustRightInd w:val="0"/>
        <w:snapToGrid w:val="0"/>
        <w:spacing w:line="360" w:lineRule="auto"/>
        <w:ind w:firstLine="420" w:firstLineChars="200"/>
        <w:rPr>
          <w:rFonts w:ascii="宋体" w:hAnsi="宋体"/>
          <w:szCs w:val="21"/>
        </w:rPr>
      </w:pPr>
      <w:r>
        <w:rPr>
          <w:rFonts w:hint="eastAsia" w:ascii="宋体" w:hAnsi="宋体"/>
          <w:szCs w:val="21"/>
        </w:rPr>
        <w:t>（7）响应文件有效期不足的；</w:t>
      </w:r>
    </w:p>
    <w:p w14:paraId="2BE8DFF9">
      <w:pPr>
        <w:adjustRightInd w:val="0"/>
        <w:snapToGrid w:val="0"/>
        <w:spacing w:line="360" w:lineRule="auto"/>
        <w:ind w:firstLine="420" w:firstLineChars="200"/>
        <w:rPr>
          <w:rFonts w:ascii="宋体" w:hAnsi="宋体"/>
          <w:szCs w:val="21"/>
        </w:rPr>
      </w:pPr>
      <w:r>
        <w:rPr>
          <w:rFonts w:hint="eastAsia" w:ascii="宋体" w:hAnsi="宋体"/>
          <w:szCs w:val="21"/>
        </w:rPr>
        <w:t>（8）响应文件不符合法律、规章、规范性文件和磋商文件规定及要求的。</w:t>
      </w:r>
    </w:p>
    <w:p w14:paraId="1671BCAA">
      <w:pPr>
        <w:widowControl/>
        <w:adjustRightInd w:val="0"/>
        <w:snapToGrid w:val="0"/>
        <w:spacing w:line="360" w:lineRule="auto"/>
        <w:ind w:left="316" w:hanging="316"/>
        <w:jc w:val="left"/>
        <w:rPr>
          <w:rFonts w:ascii="宋体" w:hAnsi="宋体" w:cs="宋体"/>
          <w:b/>
          <w:kern w:val="0"/>
          <w:szCs w:val="21"/>
        </w:rPr>
      </w:pPr>
      <w:r>
        <w:rPr>
          <w:rFonts w:hint="eastAsia" w:ascii="宋体" w:hAnsi="宋体" w:cs="宋体"/>
          <w:b/>
          <w:kern w:val="0"/>
          <w:szCs w:val="21"/>
        </w:rPr>
        <w:t>29.澄清</w:t>
      </w:r>
    </w:p>
    <w:p w14:paraId="241865E0">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29.1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6133AAD">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29.2最后报价计算错误修正的原则：最后报价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18905316">
      <w:pPr>
        <w:widowControl/>
        <w:adjustRightInd w:val="0"/>
        <w:snapToGrid w:val="0"/>
        <w:spacing w:line="360" w:lineRule="auto"/>
        <w:ind w:left="316" w:hanging="316"/>
        <w:jc w:val="left"/>
        <w:rPr>
          <w:rFonts w:ascii="宋体" w:hAnsi="宋体" w:cs="宋体"/>
          <w:b/>
          <w:kern w:val="0"/>
          <w:szCs w:val="21"/>
        </w:rPr>
      </w:pPr>
      <w:r>
        <w:rPr>
          <w:rFonts w:hint="eastAsia" w:ascii="宋体" w:hAnsi="宋体" w:cs="宋体"/>
          <w:b/>
          <w:kern w:val="0"/>
          <w:szCs w:val="21"/>
        </w:rPr>
        <w:t>30.磋商</w:t>
      </w:r>
    </w:p>
    <w:p w14:paraId="1C4D8E41">
      <w:pPr>
        <w:widowControl/>
        <w:adjustRightInd w:val="0"/>
        <w:snapToGrid w:val="0"/>
        <w:spacing w:line="360" w:lineRule="auto"/>
        <w:ind w:hanging="315"/>
        <w:jc w:val="left"/>
        <w:rPr>
          <w:rFonts w:ascii="宋体" w:hAnsi="宋体"/>
          <w:bCs/>
          <w:szCs w:val="21"/>
        </w:rPr>
      </w:pPr>
      <w:r>
        <w:rPr>
          <w:rFonts w:hint="eastAsia" w:ascii="宋体" w:hAnsi="宋体" w:cs="宋体"/>
          <w:kern w:val="0"/>
          <w:szCs w:val="21"/>
        </w:rPr>
        <w:t>30.1</w:t>
      </w:r>
      <w:r>
        <w:rPr>
          <w:rFonts w:hint="eastAsia" w:ascii="宋体" w:hAnsi="宋体"/>
        </w:rPr>
        <w:t>本章第10.2项</w:t>
      </w:r>
      <w:r>
        <w:rPr>
          <w:rFonts w:hint="eastAsia" w:ascii="宋体" w:hAnsi="宋体" w:cs="宋体"/>
          <w:kern w:val="0"/>
          <w:szCs w:val="21"/>
        </w:rPr>
        <w:t>未明确磋商文件实质性变动内容的，或者磋商文件明确了可能发生实质性变动内容，但在磋商过程中，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磋商文件无需发生实质性变动的，磋商小组应当直接与响应文件审查合格的供应商就价格组织</w:t>
      </w:r>
      <w:r>
        <w:rPr>
          <w:rFonts w:hint="eastAsia" w:ascii="宋体" w:hAnsi="宋体"/>
          <w:bCs/>
          <w:szCs w:val="21"/>
        </w:rPr>
        <w:t>多轮磋商。</w:t>
      </w:r>
    </w:p>
    <w:p w14:paraId="50689F4F">
      <w:pPr>
        <w:widowControl/>
        <w:tabs>
          <w:tab w:val="left" w:pos="1080"/>
          <w:tab w:val="left" w:pos="1260"/>
        </w:tabs>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1555F53A">
      <w:pPr>
        <w:widowControl/>
        <w:tabs>
          <w:tab w:val="left" w:pos="1080"/>
          <w:tab w:val="left" w:pos="1260"/>
        </w:tabs>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6B04FA88">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30.2</w:t>
      </w:r>
      <w:r>
        <w:rPr>
          <w:rFonts w:hint="eastAsia" w:ascii="宋体" w:hAnsi="宋体"/>
        </w:rPr>
        <w:t>本章第10.2</w:t>
      </w:r>
      <w:r>
        <w:rPr>
          <w:rFonts w:hint="eastAsia" w:ascii="宋体" w:hAnsi="宋体" w:cs="宋体"/>
          <w:kern w:val="0"/>
          <w:szCs w:val="21"/>
          <w:lang w:val="zh-CN"/>
        </w:rPr>
        <w:t>款</w:t>
      </w:r>
      <w:r>
        <w:rPr>
          <w:rFonts w:hint="eastAsia" w:ascii="宋体" w:hAnsi="宋体" w:cs="宋体"/>
          <w:kern w:val="0"/>
          <w:szCs w:val="21"/>
        </w:rPr>
        <w:t>明确磋商文件实质性变动内容的，</w:t>
      </w:r>
      <w:r>
        <w:rPr>
          <w:rFonts w:hint="eastAsia" w:ascii="宋体" w:hAnsi="宋体"/>
          <w:bCs/>
          <w:szCs w:val="21"/>
        </w:rPr>
        <w:t>磋商小组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69EE56AE">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C1D0B81">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556156D9">
      <w:pPr>
        <w:widowControl/>
        <w:adjustRightInd w:val="0"/>
        <w:snapToGrid w:val="0"/>
        <w:spacing w:line="360" w:lineRule="auto"/>
        <w:ind w:hanging="315"/>
        <w:jc w:val="left"/>
        <w:rPr>
          <w:rFonts w:ascii="宋体" w:hAnsi="宋体"/>
          <w:bCs/>
          <w:szCs w:val="21"/>
        </w:rPr>
      </w:pPr>
      <w:r>
        <w:rPr>
          <w:rFonts w:hint="eastAsia" w:ascii="宋体" w:hAnsi="宋体"/>
          <w:bCs/>
          <w:szCs w:val="21"/>
        </w:rPr>
        <w:t>30.3</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16986E99">
      <w:pPr>
        <w:widowControl/>
        <w:adjustRightInd w:val="0"/>
        <w:snapToGrid w:val="0"/>
        <w:spacing w:line="360" w:lineRule="auto"/>
        <w:ind w:hanging="315"/>
        <w:jc w:val="left"/>
        <w:rPr>
          <w:rFonts w:ascii="宋体" w:hAnsi="宋体"/>
          <w:bCs/>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政府采购政策规定的价格扣除情况，磋商小组应召集所有参加最后报价的供应商当场开封公布，并由供应商代表签字确认。投标单位每次磋商的报价应比前一次更具有优势，不能超出前一次报价</w:t>
      </w:r>
      <w:r>
        <w:rPr>
          <w:rFonts w:hint="eastAsia" w:ascii="宋体" w:hAnsi="宋体"/>
          <w:bCs/>
          <w:szCs w:val="21"/>
        </w:rPr>
        <w:t>。磋商小组认为供应商最后报价明显不合理或低于成本，有可能影响项目实施和不能诚信履约的，可要求其在规定期限内提供书面文件及相关证明材料解释说明，否则，按无效响应处理。</w:t>
      </w:r>
    </w:p>
    <w:p w14:paraId="3EEA03FE">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7A41D79C">
      <w:pPr>
        <w:adjustRightInd w:val="0"/>
        <w:snapToGrid w:val="0"/>
        <w:spacing w:line="360" w:lineRule="auto"/>
        <w:ind w:firstLine="420" w:firstLineChars="200"/>
        <w:rPr>
          <w:rFonts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20D5CCAC">
      <w:pPr>
        <w:widowControl/>
        <w:tabs>
          <w:tab w:val="left" w:pos="6358"/>
        </w:tabs>
        <w:adjustRightInd w:val="0"/>
        <w:snapToGrid w:val="0"/>
        <w:spacing w:line="360" w:lineRule="auto"/>
        <w:ind w:left="316" w:hanging="316"/>
        <w:jc w:val="left"/>
        <w:rPr>
          <w:rFonts w:ascii="宋体" w:hAnsi="宋体"/>
          <w:b/>
          <w:bCs/>
          <w:szCs w:val="21"/>
        </w:rPr>
      </w:pPr>
      <w:r>
        <w:rPr>
          <w:rFonts w:hint="eastAsia" w:ascii="宋体" w:hAnsi="宋体" w:cs="宋体"/>
          <w:b/>
          <w:kern w:val="0"/>
          <w:szCs w:val="21"/>
        </w:rPr>
        <w:t>31.响应文件评审</w:t>
      </w:r>
      <w:r>
        <w:rPr>
          <w:rFonts w:ascii="宋体" w:hAnsi="宋体" w:cs="宋体"/>
          <w:b/>
          <w:kern w:val="0"/>
          <w:szCs w:val="21"/>
        </w:rPr>
        <w:tab/>
      </w:r>
    </w:p>
    <w:p w14:paraId="0C7B8302">
      <w:pPr>
        <w:widowControl/>
        <w:adjustRightInd w:val="0"/>
        <w:snapToGrid w:val="0"/>
        <w:spacing w:line="360" w:lineRule="auto"/>
        <w:ind w:firstLine="420" w:firstLineChars="200"/>
        <w:jc w:val="left"/>
        <w:rPr>
          <w:rFonts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4A036FFE">
      <w:pPr>
        <w:widowControl/>
        <w:adjustRightInd w:val="0"/>
        <w:snapToGrid w:val="0"/>
        <w:spacing w:line="360" w:lineRule="auto"/>
        <w:ind w:firstLine="420" w:firstLineChars="200"/>
        <w:jc w:val="left"/>
        <w:rPr>
          <w:rFonts w:ascii="宋体" w:hAnsi="宋体"/>
          <w:bCs/>
          <w:szCs w:val="21"/>
        </w:rPr>
      </w:pPr>
      <w:r>
        <w:rPr>
          <w:rFonts w:hint="eastAsia" w:ascii="宋体" w:hAnsi="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szCs w:val="21"/>
        </w:rPr>
        <w:t>磋商须知前附表。</w:t>
      </w:r>
    </w:p>
    <w:p w14:paraId="47BBD06A">
      <w:pPr>
        <w:widowControl/>
        <w:adjustRightInd w:val="0"/>
        <w:snapToGrid w:val="0"/>
        <w:spacing w:before="156" w:beforeLines="50" w:line="360" w:lineRule="auto"/>
        <w:ind w:firstLine="420" w:firstLineChars="200"/>
        <w:jc w:val="left"/>
        <w:rPr>
          <w:rFonts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2E8CD06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48271775">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7DA671D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4942F719">
      <w:pPr>
        <w:widowControl/>
        <w:adjustRightInd w:val="0"/>
        <w:snapToGrid w:val="0"/>
        <w:spacing w:before="156" w:beforeLines="50" w:line="360" w:lineRule="auto"/>
        <w:ind w:firstLine="420" w:firstLineChars="200"/>
        <w:jc w:val="left"/>
        <w:rPr>
          <w:rFonts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49DA9FB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2A5545F7">
      <w:pPr>
        <w:widowControl/>
        <w:adjustRightInd w:val="0"/>
        <w:snapToGrid w:val="0"/>
        <w:spacing w:before="156" w:beforeLines="50" w:line="360" w:lineRule="auto"/>
        <w:ind w:firstLine="420" w:firstLineChars="200"/>
        <w:jc w:val="left"/>
        <w:rPr>
          <w:rFonts w:ascii="宋体" w:hAnsi="宋体"/>
          <w:szCs w:val="21"/>
        </w:rPr>
      </w:pPr>
      <w:r>
        <w:rPr>
          <w:rFonts w:hint="eastAsia" w:ascii="宋体" w:hAnsi="宋体" w:cs="宋体"/>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52A8BEED">
      <w:pPr>
        <w:widowControl/>
        <w:adjustRightInd w:val="0"/>
        <w:snapToGrid w:val="0"/>
        <w:spacing w:line="360" w:lineRule="auto"/>
        <w:ind w:left="316" w:hanging="316"/>
        <w:jc w:val="left"/>
        <w:rPr>
          <w:rFonts w:ascii="宋体" w:hAnsi="宋体"/>
          <w:b/>
          <w:bCs/>
          <w:szCs w:val="21"/>
        </w:rPr>
      </w:pPr>
      <w:r>
        <w:rPr>
          <w:rFonts w:hint="eastAsia" w:ascii="宋体" w:hAnsi="宋体"/>
          <w:b/>
          <w:bCs/>
          <w:szCs w:val="21"/>
        </w:rPr>
        <w:t>32</w:t>
      </w:r>
      <w:r>
        <w:rPr>
          <w:rFonts w:hint="eastAsia" w:ascii="宋体" w:hAnsi="宋体" w:cs="宋体"/>
          <w:b/>
          <w:kern w:val="0"/>
          <w:szCs w:val="21"/>
        </w:rPr>
        <w:t>.</w:t>
      </w:r>
      <w:r>
        <w:rPr>
          <w:rFonts w:hint="eastAsia" w:ascii="宋体" w:hAnsi="宋体"/>
          <w:b/>
          <w:bCs/>
          <w:szCs w:val="21"/>
        </w:rPr>
        <w:t>提出成交供应商</w:t>
      </w:r>
    </w:p>
    <w:p w14:paraId="3E32BFBB">
      <w:pPr>
        <w:widowControl/>
        <w:spacing w:line="420" w:lineRule="atLeast"/>
        <w:ind w:hanging="315"/>
        <w:jc w:val="left"/>
        <w:rPr>
          <w:rFonts w:ascii="宋体" w:hAnsi="宋体"/>
          <w:bCs/>
          <w:szCs w:val="21"/>
        </w:rPr>
      </w:pPr>
      <w:r>
        <w:rPr>
          <w:rFonts w:hint="eastAsia" w:ascii="宋体" w:hAnsi="宋体" w:cs="宋体"/>
          <w:kern w:val="0"/>
          <w:szCs w:val="21"/>
        </w:rPr>
        <w:t>32.1</w:t>
      </w:r>
      <w:r>
        <w:rPr>
          <w:rFonts w:hint="eastAsia" w:ascii="宋体" w:hAnsi="宋体"/>
          <w:bCs/>
          <w:szCs w:val="21"/>
        </w:rPr>
        <w:t>磋商小组应当根据综合评分情况，按照评审得分由高到低顺序推荐3名（含）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6767A286">
      <w:pPr>
        <w:widowControl/>
        <w:spacing w:line="420" w:lineRule="atLeast"/>
        <w:ind w:left="316" w:hanging="316"/>
        <w:jc w:val="left"/>
        <w:rPr>
          <w:rFonts w:ascii="宋体" w:hAnsi="宋体"/>
          <w:b/>
          <w:bCs/>
          <w:szCs w:val="21"/>
        </w:rPr>
      </w:pPr>
      <w:r>
        <w:rPr>
          <w:rFonts w:hint="eastAsia" w:ascii="宋体" w:hAnsi="宋体"/>
          <w:b/>
          <w:bCs/>
          <w:szCs w:val="21"/>
        </w:rPr>
        <w:t>33.确定成交供应商</w:t>
      </w:r>
    </w:p>
    <w:p w14:paraId="6F55C3BD">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58D993">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200B7AA1">
      <w:pPr>
        <w:pStyle w:val="25"/>
        <w:adjustRightInd w:val="0"/>
        <w:snapToGrid w:val="0"/>
        <w:spacing w:line="360" w:lineRule="auto"/>
        <w:ind w:left="632" w:hanging="630" w:hangingChars="300"/>
        <w:rPr>
          <w:rFonts w:hAnsi="宋体"/>
          <w:b/>
        </w:rPr>
      </w:pPr>
      <w:r>
        <w:rPr>
          <w:rFonts w:hint="eastAsia" w:hAnsi="宋体"/>
          <w:b/>
        </w:rPr>
        <w:t>34.磋商终止</w:t>
      </w:r>
    </w:p>
    <w:p w14:paraId="5DB30F6A">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发布项目终止公告并说明原因，重新开展采购活动：</w:t>
      </w:r>
    </w:p>
    <w:p w14:paraId="03EE176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62685091">
      <w:pPr>
        <w:widowControl/>
        <w:adjustRightInd w:val="0"/>
        <w:snapToGrid w:val="0"/>
        <w:spacing w:line="360" w:lineRule="auto"/>
        <w:ind w:hanging="315"/>
        <w:jc w:val="left"/>
        <w:rPr>
          <w:rFonts w:ascii="宋体" w:hAnsi="宋体" w:cs="宋体"/>
          <w:kern w:val="0"/>
          <w:szCs w:val="21"/>
        </w:rPr>
      </w:pPr>
      <w:r>
        <w:rPr>
          <w:rFonts w:hint="eastAsia" w:ascii="宋体" w:hAnsi="宋体" w:cs="宋体"/>
          <w:kern w:val="0"/>
          <w:szCs w:val="21"/>
        </w:rPr>
        <w:t>（2）出现影响采购公正的违法、违规行为的；</w:t>
      </w:r>
    </w:p>
    <w:p w14:paraId="77766C93">
      <w:pPr>
        <w:widowControl/>
        <w:adjustRightInd w:val="0"/>
        <w:snapToGrid w:val="0"/>
        <w:spacing w:line="360" w:lineRule="auto"/>
        <w:ind w:hanging="315"/>
        <w:jc w:val="left"/>
        <w:rPr>
          <w:rFonts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5D79B648">
      <w:pPr>
        <w:widowControl/>
        <w:adjustRightInd w:val="0"/>
        <w:snapToGrid w:val="0"/>
        <w:spacing w:line="360" w:lineRule="auto"/>
        <w:ind w:hanging="315"/>
        <w:jc w:val="left"/>
        <w:rPr>
          <w:rFonts w:ascii="宋体" w:hAnsi="宋体"/>
          <w:bCs/>
          <w:szCs w:val="21"/>
        </w:rPr>
      </w:pPr>
      <w:r>
        <w:rPr>
          <w:rFonts w:hint="eastAsia" w:ascii="宋体" w:hAnsi="宋体" w:cs="宋体"/>
          <w:kern w:val="0"/>
          <w:szCs w:val="21"/>
        </w:rPr>
        <w:t>（4）因重大变故，采购任务取消的。</w:t>
      </w:r>
    </w:p>
    <w:p w14:paraId="76F0D8C1">
      <w:pPr>
        <w:widowControl/>
        <w:adjustRightInd w:val="0"/>
        <w:snapToGrid w:val="0"/>
        <w:spacing w:line="360" w:lineRule="auto"/>
        <w:ind w:left="316" w:hanging="316"/>
        <w:jc w:val="left"/>
        <w:rPr>
          <w:rFonts w:ascii="宋体" w:hAnsi="宋体" w:cs="宋体"/>
          <w:b/>
          <w:kern w:val="0"/>
          <w:szCs w:val="21"/>
        </w:rPr>
      </w:pPr>
      <w:r>
        <w:rPr>
          <w:rFonts w:hint="eastAsia" w:ascii="宋体" w:hAnsi="宋体" w:cs="宋体"/>
          <w:b/>
          <w:kern w:val="0"/>
          <w:szCs w:val="21"/>
        </w:rPr>
        <w:t>35．重新评审</w:t>
      </w:r>
    </w:p>
    <w:p w14:paraId="5A7BBF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4296D4A3">
      <w:pPr>
        <w:adjustRightInd w:val="0"/>
        <w:snapToGrid w:val="0"/>
        <w:spacing w:line="360" w:lineRule="auto"/>
        <w:ind w:left="316" w:hanging="316"/>
        <w:rPr>
          <w:rFonts w:ascii="宋体" w:hAnsi="宋体"/>
          <w:b/>
          <w:bCs/>
          <w:szCs w:val="21"/>
        </w:rPr>
      </w:pPr>
      <w:r>
        <w:rPr>
          <w:rFonts w:hint="eastAsia" w:ascii="宋体" w:hAnsi="宋体"/>
          <w:b/>
          <w:bCs/>
          <w:szCs w:val="21"/>
        </w:rPr>
        <w:t>36.保密及串通行为</w:t>
      </w:r>
    </w:p>
    <w:p w14:paraId="699C6353">
      <w:pPr>
        <w:adjustRightInd w:val="0"/>
        <w:snapToGrid w:val="0"/>
        <w:spacing w:line="360" w:lineRule="auto"/>
        <w:ind w:firstLine="420" w:firstLineChars="200"/>
        <w:rPr>
          <w:rFonts w:ascii="宋体" w:hAnsi="宋体"/>
        </w:rPr>
      </w:pPr>
      <w:r>
        <w:rPr>
          <w:rFonts w:hint="eastAsia" w:ascii="宋体" w:hAnsi="宋体"/>
        </w:rPr>
        <w:t>36.1磋商小组成员以及与评审工作有关的人员不得泄露评审情况以及评审过程中获悉的国家秘密、商业秘密。</w:t>
      </w:r>
    </w:p>
    <w:p w14:paraId="7CF1742B">
      <w:pPr>
        <w:adjustRightInd w:val="0"/>
        <w:snapToGrid w:val="0"/>
        <w:spacing w:line="360" w:lineRule="auto"/>
        <w:ind w:firstLine="420" w:firstLineChars="200"/>
        <w:rPr>
          <w:rFonts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1A668FAB">
      <w:pPr>
        <w:pStyle w:val="41"/>
        <w:adjustRightInd w:val="0"/>
        <w:snapToGrid w:val="0"/>
        <w:spacing w:before="0" w:beforeAutospacing="0" w:after="96" w:afterAutospacing="0" w:line="360" w:lineRule="auto"/>
        <w:ind w:firstLine="420" w:firstLineChars="200"/>
        <w:rPr>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4A7343E6">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096B4A2F">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（二）供应商按照采购人或者采购代理机构的授意撤换、修改投标文件或者响应文件；</w:t>
      </w:r>
    </w:p>
    <w:p w14:paraId="296AF90F">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（三）供应商之间协商报价、技术方案等投标文件或者响应文件的实质性内容；</w:t>
      </w:r>
    </w:p>
    <w:p w14:paraId="2549B8AF">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10CDE654">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E5F4176">
      <w:pPr>
        <w:pStyle w:val="41"/>
        <w:adjustRightInd w:val="0"/>
        <w:snapToGrid w:val="0"/>
        <w:spacing w:before="0" w:beforeAutospacing="0" w:after="96"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02A6FB38">
      <w:pPr>
        <w:pStyle w:val="41"/>
        <w:adjustRightInd w:val="0"/>
        <w:snapToGrid w:val="0"/>
        <w:spacing w:before="0" w:beforeAutospacing="0" w:after="96" w:afterAutospacing="0" w:line="348"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43E9D56A">
      <w:pPr>
        <w:adjustRightInd w:val="0"/>
        <w:snapToGrid w:val="0"/>
        <w:spacing w:line="348" w:lineRule="auto"/>
        <w:ind w:left="360" w:hanging="360"/>
        <w:rPr>
          <w:rFonts w:ascii="黑体" w:hAnsi="宋体" w:eastAsia="黑体"/>
          <w:sz w:val="24"/>
        </w:rPr>
      </w:pPr>
      <w:r>
        <w:rPr>
          <w:rFonts w:hint="eastAsia" w:ascii="黑体" w:hAnsi="宋体" w:eastAsia="黑体"/>
          <w:sz w:val="24"/>
        </w:rPr>
        <w:t>六、成交结果信息公布与授予合同</w:t>
      </w:r>
    </w:p>
    <w:p w14:paraId="732AA1D7">
      <w:pPr>
        <w:adjustRightInd w:val="0"/>
        <w:snapToGrid w:val="0"/>
        <w:spacing w:line="348" w:lineRule="auto"/>
        <w:ind w:left="316" w:hanging="316"/>
        <w:rPr>
          <w:rFonts w:ascii="宋体" w:hAnsi="宋体"/>
          <w:b/>
          <w:bCs/>
          <w:szCs w:val="21"/>
        </w:rPr>
      </w:pPr>
      <w:r>
        <w:rPr>
          <w:rFonts w:hint="eastAsia" w:ascii="宋体" w:hAnsi="宋体"/>
          <w:b/>
          <w:bCs/>
          <w:szCs w:val="21"/>
        </w:rPr>
        <w:t>37.成交信息的公布</w:t>
      </w:r>
    </w:p>
    <w:p w14:paraId="5EE52374">
      <w:pPr>
        <w:pStyle w:val="25"/>
        <w:adjustRightInd w:val="0"/>
        <w:snapToGrid w:val="0"/>
        <w:spacing w:line="348" w:lineRule="auto"/>
        <w:ind w:firstLine="420" w:firstLineChars="200"/>
        <w:rPr>
          <w:rFonts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34169539">
      <w:pPr>
        <w:adjustRightInd w:val="0"/>
        <w:snapToGrid w:val="0"/>
        <w:spacing w:line="348" w:lineRule="auto"/>
        <w:ind w:left="316" w:hanging="316"/>
        <w:rPr>
          <w:rFonts w:ascii="宋体" w:hAnsi="宋体"/>
          <w:b/>
          <w:bCs/>
          <w:szCs w:val="21"/>
        </w:rPr>
      </w:pPr>
      <w:r>
        <w:rPr>
          <w:rFonts w:hint="eastAsia" w:ascii="宋体" w:hAnsi="宋体"/>
          <w:b/>
          <w:bCs/>
          <w:szCs w:val="21"/>
        </w:rPr>
        <w:t>38.询问及质疑</w:t>
      </w:r>
    </w:p>
    <w:p w14:paraId="4F4B0EF5">
      <w:pPr>
        <w:adjustRightInd w:val="0"/>
        <w:snapToGrid w:val="0"/>
        <w:spacing w:line="348" w:lineRule="auto"/>
        <w:ind w:firstLine="420" w:firstLineChars="200"/>
        <w:jc w:val="left"/>
        <w:rPr>
          <w:rFonts w:hAnsi="宋体"/>
        </w:rPr>
      </w:pPr>
      <w:r>
        <w:rPr>
          <w:rFonts w:hint="eastAsia" w:ascii="宋体" w:hAnsi="宋体"/>
          <w:szCs w:val="21"/>
        </w:rPr>
        <w:t>38.1供应商对政府采购活动事项有疑问的，可以向采购人或采购代理机构提出询问。</w:t>
      </w:r>
    </w:p>
    <w:p w14:paraId="06852C47">
      <w:pPr>
        <w:adjustRightInd w:val="0"/>
        <w:snapToGrid w:val="0"/>
        <w:spacing w:line="348" w:lineRule="auto"/>
        <w:ind w:firstLine="420" w:firstLineChars="200"/>
        <w:jc w:val="left"/>
        <w:rPr>
          <w:rFonts w:ascii="宋体" w:hAnsi="宋体"/>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70B92596">
      <w:pPr>
        <w:adjustRightInd w:val="0"/>
        <w:snapToGrid w:val="0"/>
        <w:spacing w:line="348" w:lineRule="auto"/>
        <w:ind w:left="316" w:hanging="316"/>
        <w:rPr>
          <w:rFonts w:ascii="宋体" w:hAnsi="宋体"/>
          <w:b/>
          <w:bCs/>
          <w:szCs w:val="21"/>
        </w:rPr>
      </w:pPr>
      <w:r>
        <w:rPr>
          <w:rFonts w:hint="eastAsia" w:ascii="宋体" w:hAnsi="宋体"/>
          <w:b/>
          <w:bCs/>
          <w:szCs w:val="21"/>
        </w:rPr>
        <w:t>39.成交通知</w:t>
      </w:r>
    </w:p>
    <w:p w14:paraId="5F272D63">
      <w:pPr>
        <w:pStyle w:val="25"/>
        <w:adjustRightInd w:val="0"/>
        <w:snapToGrid w:val="0"/>
        <w:spacing w:line="348" w:lineRule="auto"/>
        <w:ind w:firstLine="420" w:firstLineChars="200"/>
        <w:rPr>
          <w:rFonts w:hAnsi="宋体"/>
        </w:rPr>
      </w:pPr>
      <w:r>
        <w:rPr>
          <w:rFonts w:hint="eastAsia" w:hAnsi="宋体"/>
        </w:rPr>
        <w:t>39.1成交供应商确定后，采购人或采购代理机构将以书面形式向成交供应商发出成交通知书。成交通知书对采购人和成交供应商具有同等法律效力。</w:t>
      </w:r>
    </w:p>
    <w:p w14:paraId="0783ECE6">
      <w:pPr>
        <w:pStyle w:val="25"/>
        <w:adjustRightInd w:val="0"/>
        <w:snapToGrid w:val="0"/>
        <w:spacing w:line="348" w:lineRule="auto"/>
        <w:ind w:firstLine="420" w:firstLineChars="200"/>
        <w:rPr>
          <w:rFonts w:hAnsi="宋体"/>
        </w:rPr>
      </w:pPr>
      <w:r>
        <w:rPr>
          <w:rFonts w:hint="eastAsia" w:hAnsi="宋体"/>
        </w:rPr>
        <w:t>39.2成交通知书是合同文件的组成部分。</w:t>
      </w:r>
    </w:p>
    <w:p w14:paraId="2EF7D730">
      <w:pPr>
        <w:tabs>
          <w:tab w:val="left" w:pos="7560"/>
          <w:tab w:val="left" w:pos="7740"/>
          <w:tab w:val="left" w:pos="7920"/>
        </w:tabs>
        <w:autoSpaceDN w:val="0"/>
        <w:adjustRightInd w:val="0"/>
        <w:snapToGrid w:val="0"/>
        <w:spacing w:line="348" w:lineRule="auto"/>
        <w:ind w:firstLine="420" w:firstLineChars="200"/>
        <w:rPr>
          <w:rFonts w:ascii="宋体" w:hAnsi="宋体"/>
          <w:szCs w:val="21"/>
        </w:rPr>
      </w:pPr>
      <w:r>
        <w:rPr>
          <w:rFonts w:hint="eastAsia" w:ascii="宋体" w:hAnsi="宋体" w:cs="宋体"/>
          <w:kern w:val="0"/>
          <w:szCs w:val="21"/>
        </w:rPr>
        <w:t>39.3</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w:t>
      </w:r>
    </w:p>
    <w:p w14:paraId="0B2E9FB9">
      <w:pPr>
        <w:pStyle w:val="25"/>
        <w:adjustRightInd w:val="0"/>
        <w:snapToGrid w:val="0"/>
        <w:spacing w:line="348" w:lineRule="auto"/>
        <w:ind w:firstLine="420" w:firstLineChars="200"/>
        <w:rPr>
          <w:rFonts w:hAnsi="宋体"/>
        </w:rPr>
      </w:pPr>
      <w:r>
        <w:rPr>
          <w:rFonts w:hint="eastAsia" w:hAnsi="宋体"/>
        </w:rPr>
        <w:t>39.4成交供应商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7BF090D7">
      <w:pPr>
        <w:adjustRightInd w:val="0"/>
        <w:snapToGrid w:val="0"/>
        <w:spacing w:line="348" w:lineRule="auto"/>
        <w:ind w:left="316" w:hanging="316"/>
        <w:rPr>
          <w:rFonts w:ascii="宋体" w:hAnsi="宋体"/>
          <w:b/>
          <w:bCs/>
          <w:szCs w:val="21"/>
        </w:rPr>
      </w:pPr>
      <w:r>
        <w:rPr>
          <w:rFonts w:hint="eastAsia" w:ascii="宋体" w:hAnsi="宋体"/>
          <w:b/>
          <w:bCs/>
          <w:szCs w:val="21"/>
        </w:rPr>
        <w:t>40.签订合同</w:t>
      </w:r>
    </w:p>
    <w:p w14:paraId="58D3644B">
      <w:pPr>
        <w:pStyle w:val="25"/>
        <w:adjustRightInd w:val="0"/>
        <w:snapToGrid w:val="0"/>
        <w:spacing w:line="348" w:lineRule="auto"/>
        <w:ind w:firstLine="420" w:firstLineChars="200"/>
        <w:rPr>
          <w:rFonts w:hAnsi="宋体"/>
        </w:rPr>
      </w:pPr>
      <w:r>
        <w:rPr>
          <w:rFonts w:hint="eastAsia" w:hAnsi="宋体"/>
        </w:rPr>
        <w:t>40.1成交供应商应当在成交通知书发出之日起30日内与采购人签订政府采购合同。</w:t>
      </w:r>
    </w:p>
    <w:p w14:paraId="0048CF75">
      <w:pPr>
        <w:pStyle w:val="25"/>
        <w:adjustRightInd w:val="0"/>
        <w:snapToGrid w:val="0"/>
        <w:spacing w:line="348" w:lineRule="auto"/>
        <w:ind w:firstLine="420" w:firstLineChars="200"/>
        <w:rPr>
          <w:rFonts w:hAnsi="宋体"/>
        </w:rPr>
      </w:pPr>
      <w:r>
        <w:rPr>
          <w:rFonts w:hint="eastAsia" w:hAnsi="宋体"/>
        </w:rPr>
        <w:t>40.2磋商文件、成交供应商的响应文件等均为签订政府采购合同的依据。</w:t>
      </w:r>
    </w:p>
    <w:p w14:paraId="18741F51">
      <w:pPr>
        <w:pStyle w:val="25"/>
        <w:adjustRightInd w:val="0"/>
        <w:snapToGrid w:val="0"/>
        <w:spacing w:line="348" w:lineRule="auto"/>
        <w:ind w:firstLine="420" w:firstLineChars="200"/>
        <w:rPr>
          <w:rFonts w:hAnsi="宋体"/>
        </w:rPr>
      </w:pPr>
      <w:r>
        <w:rPr>
          <w:rFonts w:hint="eastAsia" w:hAnsi="宋体"/>
        </w:rPr>
        <w:t>40.3成交供应商应当按照合同约定履行义务。成交供应商不得向他人转让成交项目，也不得将成交项目分包后分别向他人转让。</w:t>
      </w:r>
    </w:p>
    <w:p w14:paraId="5735D818">
      <w:pPr>
        <w:pStyle w:val="25"/>
        <w:adjustRightInd w:val="0"/>
        <w:snapToGrid w:val="0"/>
        <w:spacing w:line="348" w:lineRule="auto"/>
        <w:ind w:firstLine="420" w:firstLineChars="200"/>
        <w:rPr>
          <w:rFonts w:hAnsi="宋体"/>
        </w:rPr>
      </w:pPr>
      <w:r>
        <w:rPr>
          <w:rFonts w:hint="eastAsia" w:hAnsi="宋体"/>
        </w:rPr>
        <w:t>40.4成交供应商有下列情形之一的，责令限期改正，情节严重的，列入不良行为记录名单，在1至3年内禁止参加政府采购活动，并予以通报：</w:t>
      </w:r>
    </w:p>
    <w:p w14:paraId="665BEC6B">
      <w:pPr>
        <w:pStyle w:val="25"/>
        <w:adjustRightInd w:val="0"/>
        <w:snapToGrid w:val="0"/>
        <w:spacing w:line="348" w:lineRule="auto"/>
        <w:ind w:firstLine="420" w:firstLineChars="200"/>
        <w:rPr>
          <w:rFonts w:hAnsi="宋体"/>
        </w:rPr>
      </w:pPr>
      <w:r>
        <w:rPr>
          <w:rFonts w:hint="eastAsia" w:hAnsi="宋体"/>
        </w:rPr>
        <w:t>（一）成交后无正当理由不与采购人签订合同的；</w:t>
      </w:r>
    </w:p>
    <w:p w14:paraId="1479F9B1">
      <w:pPr>
        <w:pStyle w:val="25"/>
        <w:adjustRightInd w:val="0"/>
        <w:snapToGrid w:val="0"/>
        <w:spacing w:line="348"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459D2C70">
      <w:pPr>
        <w:pStyle w:val="25"/>
        <w:adjustRightInd w:val="0"/>
        <w:snapToGrid w:val="0"/>
        <w:spacing w:line="348" w:lineRule="auto"/>
        <w:ind w:firstLine="420" w:firstLineChars="200"/>
        <w:rPr>
          <w:rFonts w:hAnsi="宋体"/>
        </w:rPr>
      </w:pPr>
      <w:r>
        <w:rPr>
          <w:rFonts w:hint="eastAsia" w:hAnsi="宋体"/>
        </w:rPr>
        <w:t>（三）拒绝履行合同义务的；</w:t>
      </w:r>
    </w:p>
    <w:p w14:paraId="7192F205">
      <w:pPr>
        <w:pStyle w:val="25"/>
        <w:adjustRightInd w:val="0"/>
        <w:snapToGrid w:val="0"/>
        <w:spacing w:line="348"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5F59FBA3">
      <w:pPr>
        <w:adjustRightInd w:val="0"/>
        <w:snapToGrid w:val="0"/>
        <w:spacing w:line="348" w:lineRule="auto"/>
        <w:ind w:left="360" w:hanging="360"/>
        <w:rPr>
          <w:rFonts w:ascii="黑体" w:hAnsi="宋体" w:eastAsia="黑体"/>
          <w:sz w:val="24"/>
        </w:rPr>
      </w:pPr>
      <w:r>
        <w:rPr>
          <w:rFonts w:hint="eastAsia" w:ascii="黑体" w:hAnsi="宋体" w:eastAsia="黑体"/>
          <w:sz w:val="24"/>
        </w:rPr>
        <w:t>七、其他规定</w:t>
      </w:r>
    </w:p>
    <w:p w14:paraId="382ABCB0">
      <w:pPr>
        <w:adjustRightInd w:val="0"/>
        <w:snapToGrid w:val="0"/>
        <w:spacing w:line="348" w:lineRule="auto"/>
        <w:ind w:left="316" w:hanging="316"/>
        <w:jc w:val="left"/>
        <w:rPr>
          <w:rFonts w:ascii="宋体" w:hAnsi="宋体"/>
          <w:b/>
          <w:szCs w:val="21"/>
        </w:rPr>
      </w:pPr>
      <w:r>
        <w:rPr>
          <w:rFonts w:hint="eastAsia" w:ascii="宋体" w:hAnsi="宋体"/>
          <w:b/>
          <w:szCs w:val="21"/>
        </w:rPr>
        <w:t>41.1采购代理服务费</w:t>
      </w:r>
    </w:p>
    <w:p w14:paraId="6D483AC3">
      <w:pPr>
        <w:tabs>
          <w:tab w:val="left" w:pos="420"/>
          <w:tab w:val="left" w:pos="7560"/>
          <w:tab w:val="left" w:pos="7740"/>
          <w:tab w:val="left" w:pos="7920"/>
        </w:tabs>
        <w:adjustRightInd w:val="0"/>
        <w:snapToGrid w:val="0"/>
        <w:spacing w:line="348" w:lineRule="auto"/>
        <w:ind w:firstLine="420" w:firstLineChars="200"/>
        <w:rPr>
          <w:rFonts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1AF83CF1">
      <w:pPr>
        <w:tabs>
          <w:tab w:val="left" w:pos="420"/>
          <w:tab w:val="left" w:pos="7560"/>
          <w:tab w:val="left" w:pos="7740"/>
          <w:tab w:val="left" w:pos="7920"/>
        </w:tabs>
        <w:adjustRightInd w:val="0"/>
        <w:snapToGrid w:val="0"/>
        <w:spacing w:line="348" w:lineRule="auto"/>
        <w:ind w:firstLine="420" w:firstLineChars="200"/>
        <w:rPr>
          <w:rFonts w:ascii="宋体" w:hAnsi="宋体"/>
          <w:szCs w:val="21"/>
        </w:rPr>
      </w:pPr>
      <w:r>
        <w:rPr>
          <w:rFonts w:hint="eastAsia" w:ascii="宋体" w:hAnsi="宋体"/>
          <w:szCs w:val="21"/>
        </w:rPr>
        <w:t>41.2集中采购机构不得收取采购代理服务费。</w:t>
      </w:r>
    </w:p>
    <w:p w14:paraId="181953D4">
      <w:pPr>
        <w:tabs>
          <w:tab w:val="left" w:pos="420"/>
          <w:tab w:val="left" w:pos="7560"/>
          <w:tab w:val="left" w:pos="7740"/>
          <w:tab w:val="left" w:pos="7920"/>
        </w:tabs>
        <w:adjustRightInd w:val="0"/>
        <w:snapToGrid w:val="0"/>
        <w:spacing w:line="348" w:lineRule="auto"/>
        <w:ind w:left="316" w:hanging="316"/>
        <w:rPr>
          <w:rFonts w:hAnsi="宋体"/>
          <w:b/>
        </w:rPr>
      </w:pPr>
      <w:r>
        <w:rPr>
          <w:rFonts w:hint="eastAsia" w:ascii="宋体" w:hAnsi="宋体"/>
          <w:b/>
          <w:szCs w:val="21"/>
        </w:rPr>
        <w:t>42.</w:t>
      </w:r>
      <w:r>
        <w:rPr>
          <w:rFonts w:hint="eastAsia" w:hAnsi="宋体"/>
          <w:b/>
        </w:rPr>
        <w:t>其他规定</w:t>
      </w:r>
    </w:p>
    <w:p w14:paraId="60175FEC">
      <w:pPr>
        <w:tabs>
          <w:tab w:val="left" w:pos="420"/>
          <w:tab w:val="left" w:pos="7560"/>
          <w:tab w:val="left" w:pos="7740"/>
          <w:tab w:val="left" w:pos="7920"/>
        </w:tabs>
        <w:adjustRightInd w:val="0"/>
        <w:snapToGrid w:val="0"/>
        <w:spacing w:line="348" w:lineRule="auto"/>
        <w:ind w:firstLine="420" w:firstLineChars="200"/>
        <w:rPr>
          <w:rFonts w:ascii="黑体" w:eastAsia="黑体"/>
          <w:b/>
          <w:sz w:val="32"/>
          <w:szCs w:val="32"/>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6C1A0B95">
      <w:pPr>
        <w:adjustRightInd w:val="0"/>
        <w:snapToGrid w:val="0"/>
        <w:spacing w:before="156" w:beforeLines="50"/>
        <w:ind w:left="482" w:hanging="482"/>
        <w:jc w:val="center"/>
        <w:rPr>
          <w:rFonts w:asciiTheme="majorEastAsia" w:hAnsiTheme="majorEastAsia" w:eastAsiaTheme="majorEastAsia" w:cstheme="majorEastAsia"/>
          <w:b/>
          <w:bCs/>
          <w:sz w:val="32"/>
          <w:szCs w:val="32"/>
        </w:rPr>
      </w:pPr>
    </w:p>
    <w:p w14:paraId="285D5076">
      <w:pPr>
        <w:adjustRightInd w:val="0"/>
        <w:snapToGrid w:val="0"/>
        <w:spacing w:before="156" w:beforeLines="50"/>
        <w:ind w:left="482" w:hanging="482"/>
        <w:jc w:val="center"/>
        <w:rPr>
          <w:rFonts w:asciiTheme="majorEastAsia" w:hAnsiTheme="majorEastAsia" w:eastAsiaTheme="majorEastAsia" w:cstheme="majorEastAsia"/>
          <w:b/>
          <w:bCs/>
          <w:sz w:val="32"/>
          <w:szCs w:val="32"/>
        </w:rPr>
      </w:pPr>
    </w:p>
    <w:p w14:paraId="6E8554C0">
      <w:pPr>
        <w:adjustRightInd w:val="0"/>
        <w:snapToGrid w:val="0"/>
        <w:spacing w:before="156" w:beforeLines="50"/>
        <w:ind w:left="482" w:hanging="482"/>
        <w:jc w:val="center"/>
        <w:rPr>
          <w:rFonts w:asciiTheme="majorEastAsia" w:hAnsiTheme="majorEastAsia" w:eastAsiaTheme="majorEastAsia" w:cstheme="majorEastAsia"/>
          <w:b/>
          <w:bCs/>
          <w:sz w:val="32"/>
          <w:szCs w:val="32"/>
        </w:rPr>
      </w:pPr>
    </w:p>
    <w:p w14:paraId="76808443">
      <w:pPr>
        <w:adjustRightInd w:val="0"/>
        <w:snapToGrid w:val="0"/>
        <w:spacing w:before="156" w:beforeLines="50"/>
        <w:ind w:left="482" w:hanging="482"/>
        <w:jc w:val="center"/>
        <w:rPr>
          <w:rFonts w:asciiTheme="majorEastAsia" w:hAnsiTheme="majorEastAsia" w:eastAsiaTheme="majorEastAsia" w:cstheme="majorEastAsia"/>
          <w:b/>
          <w:bCs/>
          <w:sz w:val="32"/>
          <w:szCs w:val="32"/>
        </w:rPr>
      </w:pPr>
    </w:p>
    <w:p w14:paraId="5E20CF6D">
      <w:pPr>
        <w:ind w:left="482" w:hanging="482"/>
        <w:rPr>
          <w:rFonts w:asciiTheme="majorEastAsia" w:hAnsiTheme="majorEastAsia" w:eastAsiaTheme="majorEastAsia" w:cstheme="majorEastAsia"/>
          <w:b/>
          <w:bCs/>
          <w:sz w:val="32"/>
          <w:szCs w:val="32"/>
        </w:rPr>
      </w:pPr>
      <w:r>
        <w:rPr>
          <w:rFonts w:asciiTheme="majorEastAsia" w:hAnsiTheme="majorEastAsia" w:eastAsiaTheme="majorEastAsia" w:cstheme="majorEastAsia"/>
          <w:b/>
          <w:bCs/>
          <w:sz w:val="32"/>
          <w:szCs w:val="32"/>
        </w:rPr>
        <w:br w:type="page"/>
      </w:r>
    </w:p>
    <w:p w14:paraId="72998D49">
      <w:pPr>
        <w:adjustRightInd w:val="0"/>
        <w:snapToGrid w:val="0"/>
        <w:spacing w:before="156" w:beforeLines="50"/>
        <w:ind w:left="482" w:hanging="482"/>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第三章 评审办法及标准</w:t>
      </w:r>
    </w:p>
    <w:p w14:paraId="49B4309E">
      <w:pPr>
        <w:adjustRightInd w:val="0"/>
        <w:snapToGrid w:val="0"/>
        <w:spacing w:before="156" w:beforeLines="50" w:line="360" w:lineRule="auto"/>
        <w:ind w:left="316" w:hanging="316"/>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1.磋商小组</w:t>
      </w:r>
    </w:p>
    <w:p w14:paraId="6E7E529A">
      <w:pPr>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1.1评审由依法组成的磋商小组负责。</w:t>
      </w:r>
    </w:p>
    <w:p w14:paraId="33B3DEC6">
      <w:pPr>
        <w:adjustRightInd w:val="0"/>
        <w:snapToGrid w:val="0"/>
        <w:spacing w:before="156" w:beforeLines="50" w:line="360" w:lineRule="auto"/>
        <w:ind w:left="316" w:hanging="316"/>
        <w:rPr>
          <w:rFonts w:asciiTheme="minorEastAsia" w:hAnsiTheme="minorEastAsia" w:eastAsiaTheme="minorEastAsia" w:cstheme="minorEastAsia"/>
          <w:b/>
          <w:szCs w:val="21"/>
        </w:rPr>
      </w:pPr>
      <w:r>
        <w:rPr>
          <w:rFonts w:hint="eastAsia" w:asciiTheme="minorEastAsia" w:hAnsiTheme="minorEastAsia" w:eastAsiaTheme="minorEastAsia" w:cstheme="minorEastAsia"/>
          <w:b/>
          <w:bCs/>
          <w:szCs w:val="21"/>
        </w:rPr>
        <w:t>2.</w:t>
      </w:r>
      <w:r>
        <w:rPr>
          <w:rFonts w:hint="eastAsia" w:asciiTheme="minorEastAsia" w:hAnsiTheme="minorEastAsia" w:eastAsiaTheme="minorEastAsia" w:cstheme="minorEastAsia"/>
          <w:b/>
          <w:szCs w:val="21"/>
        </w:rPr>
        <w:t>评审方法</w:t>
      </w:r>
    </w:p>
    <w:p w14:paraId="0F4370A1">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2.1评审方法：综合评分法，即响应文件能够最大限度的满足磋商文件规定的各项综合评价标准且经评审得分最高的供应商为成交供应商的评标方法。</w:t>
      </w:r>
    </w:p>
    <w:p w14:paraId="6D66396E">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Cs/>
          <w:szCs w:val="21"/>
        </w:rPr>
        <w:t>2.2本采购项目</w:t>
      </w:r>
      <w:r>
        <w:rPr>
          <w:rFonts w:hint="eastAsia" w:asciiTheme="minorEastAsia" w:hAnsiTheme="minorEastAsia" w:eastAsiaTheme="minorEastAsia" w:cstheme="minorEastAsia"/>
          <w:szCs w:val="21"/>
        </w:rPr>
        <w:t>的评审因素和标准见</w:t>
      </w:r>
      <w:r>
        <w:rPr>
          <w:rFonts w:hint="eastAsia" w:asciiTheme="minorEastAsia" w:hAnsiTheme="minorEastAsia" w:eastAsiaTheme="minorEastAsia" w:cstheme="minorEastAsia"/>
          <w:b/>
          <w:szCs w:val="21"/>
        </w:rPr>
        <w:t>磋商文件前附表，</w:t>
      </w:r>
      <w:r>
        <w:rPr>
          <w:rFonts w:hint="eastAsia" w:asciiTheme="minorEastAsia" w:hAnsiTheme="minorEastAsia" w:eastAsiaTheme="minorEastAsia" w:cstheme="minorEastAsia"/>
          <w:szCs w:val="21"/>
        </w:rPr>
        <w:t>不得对响应文件优于磋商文件要求的评审因素给予加分。</w:t>
      </w:r>
    </w:p>
    <w:p w14:paraId="7D00D564">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评审因素：价格、技术、财务状况、信誉、业绩、服务、对磋商文件的响应程度，以及相应的比重或者权值等，但不包括第二章“磋商须知”第3.1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规定的供应商资格条件。</w:t>
      </w:r>
    </w:p>
    <w:p w14:paraId="00C3913D">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Cs/>
          <w:szCs w:val="21"/>
        </w:rPr>
        <w:t>2.3</w:t>
      </w:r>
      <w:r>
        <w:rPr>
          <w:rFonts w:hint="eastAsia" w:asciiTheme="minorEastAsia" w:hAnsiTheme="minorEastAsia" w:eastAsiaTheme="minorEastAsia" w:cstheme="minorEastAsia"/>
          <w:szCs w:val="21"/>
        </w:rPr>
        <w:t>权值的取值范围见下表，本采购项目的权值见</w:t>
      </w:r>
      <w:r>
        <w:rPr>
          <w:rFonts w:hint="eastAsia" w:asciiTheme="minorEastAsia" w:hAnsiTheme="minorEastAsia" w:eastAsiaTheme="minorEastAsia" w:cstheme="minorEastAsia"/>
          <w:b/>
          <w:szCs w:val="21"/>
        </w:rPr>
        <w:t>磋商文件前附表。</w:t>
      </w:r>
    </w:p>
    <w:tbl>
      <w:tblPr>
        <w:tblStyle w:val="47"/>
        <w:tblW w:w="882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680"/>
        <w:gridCol w:w="3420"/>
      </w:tblGrid>
      <w:tr w14:paraId="5E9611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720" w:type="dxa"/>
            <w:tcBorders>
              <w:top w:val="single" w:color="auto" w:sz="12" w:space="0"/>
            </w:tcBorders>
            <w:vAlign w:val="center"/>
          </w:tcPr>
          <w:p w14:paraId="4B4BF135">
            <w:pPr>
              <w:adjustRightInd w:val="0"/>
              <w:snapToGrid w:val="0"/>
              <w:spacing w:line="360" w:lineRule="auto"/>
              <w:ind w:left="300" w:hanging="300"/>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序号</w:t>
            </w:r>
          </w:p>
        </w:tc>
        <w:tc>
          <w:tcPr>
            <w:tcW w:w="4680" w:type="dxa"/>
            <w:tcBorders>
              <w:top w:val="single" w:color="auto" w:sz="12" w:space="0"/>
            </w:tcBorders>
            <w:vAlign w:val="center"/>
          </w:tcPr>
          <w:p w14:paraId="0F61AF10">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项     目</w:t>
            </w:r>
          </w:p>
        </w:tc>
        <w:tc>
          <w:tcPr>
            <w:tcW w:w="3420" w:type="dxa"/>
            <w:tcBorders>
              <w:top w:val="single" w:color="auto" w:sz="12" w:space="0"/>
            </w:tcBorders>
            <w:vAlign w:val="center"/>
          </w:tcPr>
          <w:p w14:paraId="6E522767">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权值的取值</w:t>
            </w:r>
          </w:p>
        </w:tc>
      </w:tr>
      <w:tr w14:paraId="3791B7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20" w:type="dxa"/>
            <w:vAlign w:val="center"/>
          </w:tcPr>
          <w:p w14:paraId="3AEF7C7B">
            <w:pPr>
              <w:adjustRightInd w:val="0"/>
              <w:snapToGrid w:val="0"/>
              <w:spacing w:line="360" w:lineRule="auto"/>
              <w:ind w:firstLine="200" w:firstLineChars="100"/>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1</w:t>
            </w:r>
          </w:p>
        </w:tc>
        <w:tc>
          <w:tcPr>
            <w:tcW w:w="4680" w:type="dxa"/>
            <w:vAlign w:val="center"/>
          </w:tcPr>
          <w:p w14:paraId="2C38638C">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商务</w:t>
            </w:r>
          </w:p>
        </w:tc>
        <w:tc>
          <w:tcPr>
            <w:tcW w:w="3420" w:type="dxa"/>
            <w:vMerge w:val="restart"/>
            <w:vAlign w:val="center"/>
          </w:tcPr>
          <w:p w14:paraId="7AB1C3AC">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详见评分细则</w:t>
            </w:r>
          </w:p>
        </w:tc>
      </w:tr>
      <w:tr w14:paraId="5DAF2B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720" w:type="dxa"/>
            <w:vAlign w:val="center"/>
          </w:tcPr>
          <w:p w14:paraId="3FCD9C8E">
            <w:pPr>
              <w:adjustRightInd w:val="0"/>
              <w:snapToGrid w:val="0"/>
              <w:spacing w:line="360" w:lineRule="auto"/>
              <w:ind w:firstLine="200" w:firstLineChars="100"/>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2</w:t>
            </w:r>
          </w:p>
        </w:tc>
        <w:tc>
          <w:tcPr>
            <w:tcW w:w="4680" w:type="dxa"/>
            <w:vAlign w:val="center"/>
          </w:tcPr>
          <w:p w14:paraId="28537775">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技术</w:t>
            </w:r>
          </w:p>
        </w:tc>
        <w:tc>
          <w:tcPr>
            <w:tcW w:w="3420" w:type="dxa"/>
            <w:vMerge w:val="continue"/>
            <w:vAlign w:val="center"/>
          </w:tcPr>
          <w:p w14:paraId="00D99AF6">
            <w:pPr>
              <w:adjustRightInd w:val="0"/>
              <w:snapToGrid w:val="0"/>
              <w:spacing w:line="360" w:lineRule="auto"/>
              <w:ind w:left="300" w:hanging="300"/>
              <w:jc w:val="center"/>
              <w:rPr>
                <w:rFonts w:asciiTheme="minorEastAsia" w:hAnsiTheme="minorEastAsia" w:eastAsiaTheme="minorEastAsia" w:cstheme="minorEastAsia"/>
                <w:kern w:val="0"/>
                <w:sz w:val="20"/>
                <w:szCs w:val="21"/>
              </w:rPr>
            </w:pPr>
          </w:p>
        </w:tc>
      </w:tr>
      <w:tr w14:paraId="3AA2C7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720" w:type="dxa"/>
            <w:vAlign w:val="center"/>
          </w:tcPr>
          <w:p w14:paraId="4F65B8D9">
            <w:pPr>
              <w:adjustRightInd w:val="0"/>
              <w:snapToGrid w:val="0"/>
              <w:spacing w:line="360" w:lineRule="auto"/>
              <w:ind w:firstLine="200" w:firstLineChars="100"/>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3</w:t>
            </w:r>
          </w:p>
        </w:tc>
        <w:tc>
          <w:tcPr>
            <w:tcW w:w="4680" w:type="dxa"/>
            <w:vAlign w:val="center"/>
          </w:tcPr>
          <w:p w14:paraId="3787AFD6">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价格</w:t>
            </w:r>
          </w:p>
        </w:tc>
        <w:tc>
          <w:tcPr>
            <w:tcW w:w="3420" w:type="dxa"/>
            <w:vMerge w:val="continue"/>
            <w:vAlign w:val="center"/>
          </w:tcPr>
          <w:p w14:paraId="52061DE1">
            <w:pPr>
              <w:adjustRightInd w:val="0"/>
              <w:snapToGrid w:val="0"/>
              <w:spacing w:line="360" w:lineRule="auto"/>
              <w:ind w:left="300" w:hanging="300"/>
              <w:jc w:val="center"/>
              <w:rPr>
                <w:rFonts w:asciiTheme="minorEastAsia" w:hAnsiTheme="minorEastAsia" w:eastAsiaTheme="minorEastAsia" w:cstheme="minorEastAsia"/>
                <w:kern w:val="0"/>
                <w:sz w:val="20"/>
                <w:szCs w:val="21"/>
              </w:rPr>
            </w:pPr>
          </w:p>
        </w:tc>
      </w:tr>
      <w:tr w14:paraId="2F56C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5400" w:type="dxa"/>
            <w:gridSpan w:val="2"/>
            <w:tcBorders>
              <w:bottom w:val="single" w:color="auto" w:sz="12" w:space="0"/>
            </w:tcBorders>
          </w:tcPr>
          <w:p w14:paraId="4A99A3DA">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∑(1+2+3)=100</w:t>
            </w:r>
          </w:p>
        </w:tc>
        <w:tc>
          <w:tcPr>
            <w:tcW w:w="3420" w:type="dxa"/>
            <w:tcBorders>
              <w:bottom w:val="single" w:color="auto" w:sz="12" w:space="0"/>
            </w:tcBorders>
            <w:vAlign w:val="center"/>
          </w:tcPr>
          <w:p w14:paraId="0A03E511">
            <w:pPr>
              <w:adjustRightInd w:val="0"/>
              <w:snapToGrid w:val="0"/>
              <w:spacing w:line="360" w:lineRule="auto"/>
              <w:ind w:left="300" w:hanging="300"/>
              <w:jc w:val="center"/>
              <w:rPr>
                <w:rFonts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100</w:t>
            </w:r>
          </w:p>
        </w:tc>
      </w:tr>
    </w:tbl>
    <w:p w14:paraId="698EE7E5">
      <w:pPr>
        <w:tabs>
          <w:tab w:val="left" w:pos="0"/>
        </w:tabs>
        <w:adjustRightInd w:val="0"/>
        <w:snapToGrid w:val="0"/>
        <w:spacing w:before="156" w:beforeLines="50" w:line="360" w:lineRule="auto"/>
        <w:ind w:left="316" w:hanging="316"/>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3.比较与评价</w:t>
      </w:r>
    </w:p>
    <w:p w14:paraId="3BC270C3">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3.1磋商小组应按照磋商文件中规定的评审方法、</w:t>
      </w:r>
      <w:r>
        <w:rPr>
          <w:rFonts w:hint="eastAsia" w:asciiTheme="minorEastAsia" w:hAnsiTheme="minorEastAsia" w:eastAsiaTheme="minorEastAsia" w:cstheme="minorEastAsia"/>
          <w:szCs w:val="21"/>
        </w:rPr>
        <w:t>标准和评标因素，</w:t>
      </w:r>
      <w:r>
        <w:rPr>
          <w:rFonts w:hint="eastAsia" w:asciiTheme="minorEastAsia" w:hAnsiTheme="minorEastAsia" w:eastAsiaTheme="minorEastAsia" w:cstheme="minorEastAsia"/>
          <w:bCs/>
          <w:szCs w:val="21"/>
        </w:rPr>
        <w:t>对</w:t>
      </w:r>
      <w:r>
        <w:rPr>
          <w:rFonts w:hint="eastAsia" w:asciiTheme="minorEastAsia" w:hAnsiTheme="minorEastAsia" w:eastAsiaTheme="minorEastAsia" w:cstheme="minorEastAsia"/>
          <w:szCs w:val="21"/>
        </w:rPr>
        <w:t>资格性检查和符合性检查</w:t>
      </w:r>
      <w:r>
        <w:rPr>
          <w:rFonts w:hint="eastAsia" w:asciiTheme="minorEastAsia" w:hAnsiTheme="minorEastAsia" w:eastAsiaTheme="minorEastAsia" w:cstheme="minorEastAsia"/>
          <w:bCs/>
          <w:szCs w:val="21"/>
        </w:rPr>
        <w:t>合格的响应文件进行评估，综合比较与评价。</w:t>
      </w:r>
    </w:p>
    <w:p w14:paraId="0C74AA72">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Cs/>
          <w:szCs w:val="21"/>
        </w:rPr>
        <w:t>3.2最终</w:t>
      </w:r>
      <w:r>
        <w:rPr>
          <w:rFonts w:hint="eastAsia" w:asciiTheme="minorEastAsia" w:hAnsiTheme="minorEastAsia" w:eastAsiaTheme="minorEastAsia" w:cstheme="minorEastAsia"/>
          <w:szCs w:val="21"/>
        </w:rPr>
        <w:t>报价评价。磋商小组以最终报价为基础，</w:t>
      </w:r>
      <w:r>
        <w:rPr>
          <w:rFonts w:hint="eastAsia" w:asciiTheme="minorEastAsia" w:hAnsiTheme="minorEastAsia" w:eastAsiaTheme="minorEastAsia" w:cstheme="minorEastAsia"/>
          <w:kern w:val="0"/>
          <w:szCs w:val="21"/>
        </w:rPr>
        <w:t>依次</w:t>
      </w:r>
      <w:r>
        <w:rPr>
          <w:rFonts w:hint="eastAsia" w:asciiTheme="minorEastAsia" w:hAnsiTheme="minorEastAsia" w:eastAsiaTheme="minorEastAsia" w:cstheme="minorEastAsia"/>
          <w:szCs w:val="21"/>
        </w:rPr>
        <w:t>对最终报价进行</w:t>
      </w:r>
      <w:r>
        <w:rPr>
          <w:rFonts w:hint="eastAsia" w:asciiTheme="minorEastAsia" w:hAnsiTheme="minorEastAsia" w:eastAsiaTheme="minorEastAsia" w:cstheme="minorEastAsia"/>
          <w:kern w:val="0"/>
          <w:szCs w:val="21"/>
        </w:rPr>
        <w:t>算术</w:t>
      </w:r>
      <w:r>
        <w:rPr>
          <w:rFonts w:hint="eastAsia" w:asciiTheme="minorEastAsia" w:hAnsiTheme="minorEastAsia" w:eastAsiaTheme="minorEastAsia" w:cstheme="minorEastAsia"/>
          <w:szCs w:val="21"/>
        </w:rPr>
        <w:t>修正和政府采购政策优惠价格扣除计算。</w:t>
      </w:r>
    </w:p>
    <w:p w14:paraId="4D15691C">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szCs w:val="21"/>
        </w:rPr>
        <w:t>3.3价格分采用低价优先法计算，即满足磋商文件要求且最终报价最低的价格为评审基准价，</w:t>
      </w:r>
      <w:r>
        <w:rPr>
          <w:rFonts w:hint="eastAsia" w:asciiTheme="minorEastAsia" w:hAnsiTheme="minorEastAsia" w:eastAsiaTheme="minorEastAsia" w:cstheme="minorEastAsia"/>
          <w:color w:val="auto"/>
          <w:szCs w:val="21"/>
          <w:highlight w:val="none"/>
        </w:rPr>
        <w:t>其价格分为满分，其他有效供应商的价格分按照下列公式计算：</w:t>
      </w:r>
    </w:p>
    <w:p w14:paraId="15B1281D">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磋商报价得分=（磋商基准价/最后磋商报价）×</w:t>
      </w:r>
      <w:r>
        <w:rPr>
          <w:rFonts w:asciiTheme="minorEastAsia" w:hAnsiTheme="minorEastAsia" w:eastAsiaTheme="minorEastAsia" w:cstheme="minorEastAsia"/>
          <w:color w:val="auto"/>
          <w:szCs w:val="21"/>
          <w:highlight w:val="none"/>
        </w:rPr>
        <w:t>30</w:t>
      </w:r>
    </w:p>
    <w:p w14:paraId="66E080FD">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本项所称最终报价为按本章第3.2款规定价值扣除后的最终报价。</w:t>
      </w:r>
    </w:p>
    <w:p w14:paraId="31AE45B1">
      <w:pPr>
        <w:widowControl/>
        <w:adjustRightInd w:val="0"/>
        <w:snapToGrid w:val="0"/>
        <w:spacing w:before="156" w:beforeLines="50" w:line="360" w:lineRule="auto"/>
        <w:ind w:firstLine="420" w:firstLineChars="200"/>
        <w:jc w:val="left"/>
        <w:rPr>
          <w:rFonts w:asciiTheme="minorEastAsia" w:hAnsiTheme="minorEastAsia" w:eastAsiaTheme="minorEastAsia" w:cstheme="minorEastAsia"/>
          <w:spacing w:val="-4"/>
          <w:szCs w:val="21"/>
        </w:rPr>
      </w:pPr>
      <w:r>
        <w:rPr>
          <w:rFonts w:hint="eastAsia" w:asciiTheme="minorEastAsia" w:hAnsiTheme="minorEastAsia" w:eastAsiaTheme="minorEastAsia" w:cstheme="minorEastAsia"/>
          <w:bCs/>
          <w:szCs w:val="21"/>
        </w:rPr>
        <w:t>3.4</w:t>
      </w:r>
      <w:r>
        <w:rPr>
          <w:rFonts w:hint="eastAsia" w:asciiTheme="minorEastAsia" w:hAnsiTheme="minorEastAsia" w:eastAsiaTheme="minorEastAsia" w:cstheme="minorEastAsia"/>
          <w:spacing w:val="-4"/>
          <w:szCs w:val="21"/>
        </w:rPr>
        <w:t>涉及政府采购政策优惠的，</w:t>
      </w:r>
      <w:r>
        <w:rPr>
          <w:rFonts w:hint="eastAsia" w:asciiTheme="minorEastAsia" w:hAnsiTheme="minorEastAsia" w:eastAsiaTheme="minorEastAsia" w:cstheme="minorEastAsia"/>
          <w:bCs/>
          <w:spacing w:val="-4"/>
          <w:szCs w:val="21"/>
        </w:rPr>
        <w:t>按</w:t>
      </w:r>
      <w:r>
        <w:rPr>
          <w:rFonts w:hint="eastAsia" w:asciiTheme="minorEastAsia" w:hAnsiTheme="minorEastAsia" w:eastAsiaTheme="minorEastAsia" w:cstheme="minorEastAsia"/>
          <w:b/>
          <w:spacing w:val="-4"/>
          <w:szCs w:val="21"/>
        </w:rPr>
        <w:t>磋商文件前附表</w:t>
      </w:r>
      <w:r>
        <w:rPr>
          <w:rFonts w:hint="eastAsia" w:asciiTheme="minorEastAsia" w:hAnsiTheme="minorEastAsia" w:eastAsiaTheme="minorEastAsia" w:cstheme="minorEastAsia"/>
          <w:bCs/>
          <w:spacing w:val="-4"/>
          <w:szCs w:val="21"/>
        </w:rPr>
        <w:t>规定</w:t>
      </w:r>
      <w:r>
        <w:rPr>
          <w:rFonts w:hint="eastAsia" w:asciiTheme="minorEastAsia" w:hAnsiTheme="minorEastAsia" w:eastAsiaTheme="minorEastAsia" w:cstheme="minorEastAsia"/>
          <w:spacing w:val="-4"/>
          <w:szCs w:val="21"/>
        </w:rPr>
        <w:t>调整供应商的技术、价格</w:t>
      </w:r>
      <w:r>
        <w:rPr>
          <w:rFonts w:hint="eastAsia" w:asciiTheme="minorEastAsia" w:hAnsiTheme="minorEastAsia" w:eastAsiaTheme="minorEastAsia" w:cstheme="minorEastAsia"/>
          <w:spacing w:val="-4"/>
          <w:kern w:val="0"/>
          <w:szCs w:val="21"/>
        </w:rPr>
        <w:t>得分或总得分</w:t>
      </w:r>
      <w:r>
        <w:rPr>
          <w:rFonts w:hint="eastAsia" w:asciiTheme="minorEastAsia" w:hAnsiTheme="minorEastAsia" w:eastAsiaTheme="minorEastAsia" w:cstheme="minorEastAsia"/>
          <w:spacing w:val="-4"/>
          <w:szCs w:val="21"/>
        </w:rPr>
        <w:t>。</w:t>
      </w:r>
    </w:p>
    <w:p w14:paraId="5A90C9B1">
      <w:pPr>
        <w:adjustRightInd w:val="0"/>
        <w:snapToGrid w:val="0"/>
        <w:spacing w:before="156" w:beforeLines="50" w:line="360" w:lineRule="auto"/>
        <w:ind w:firstLine="420" w:firstLineChars="200"/>
        <w:jc w:val="left"/>
        <w:rPr>
          <w:rFonts w:ascii="宋体" w:hAnsi="宋体" w:cs="宋体"/>
          <w:kern w:val="0"/>
        </w:rPr>
      </w:pPr>
      <w:r>
        <w:rPr>
          <w:rFonts w:hint="eastAsia" w:ascii="宋体" w:hAnsi="宋体" w:cs="宋体"/>
          <w:kern w:val="0"/>
        </w:rPr>
        <w:t xml:space="preserve">3.4.1 </w:t>
      </w:r>
      <w:r>
        <w:rPr>
          <w:rFonts w:hint="eastAsia" w:ascii="宋体" w:hAnsi="宋体" w:cs="宋体"/>
        </w:rPr>
        <w:t>价格评审优惠：</w:t>
      </w:r>
    </w:p>
    <w:p w14:paraId="13D401E7">
      <w:pPr>
        <w:adjustRightInd w:val="0"/>
        <w:snapToGrid w:val="0"/>
        <w:spacing w:before="156" w:beforeLines="50" w:line="360" w:lineRule="auto"/>
        <w:ind w:firstLine="420" w:firstLineChars="200"/>
        <w:jc w:val="left"/>
        <w:rPr>
          <w:rFonts w:ascii="宋体" w:hAnsi="宋体" w:cs="宋体"/>
        </w:rPr>
      </w:pPr>
      <w:r>
        <w:rPr>
          <w:rFonts w:hint="eastAsia" w:ascii="宋体" w:hAnsi="宋体" w:cs="宋体"/>
        </w:rPr>
        <w:t>（1）供应商</w:t>
      </w:r>
      <w:r>
        <w:rPr>
          <w:rFonts w:hint="eastAsia" w:asciiTheme="minorEastAsia" w:hAnsiTheme="minorEastAsia" w:eastAsiaTheme="minorEastAsia" w:cstheme="minorEastAsia"/>
          <w:bCs/>
          <w:szCs w:val="21"/>
        </w:rPr>
        <w:t>全部为符合政策要求的中小企业，</w:t>
      </w:r>
      <w:r>
        <w:rPr>
          <w:rFonts w:hint="eastAsia" w:ascii="宋体" w:hAnsi="宋体" w:cs="宋体"/>
        </w:rPr>
        <w:t>投标价格按</w:t>
      </w:r>
      <w:r>
        <w:rPr>
          <w:rFonts w:hint="eastAsia" w:asciiTheme="minorEastAsia" w:hAnsiTheme="minorEastAsia" w:eastAsiaTheme="minorEastAsia" w:cstheme="minorEastAsia"/>
          <w:b/>
          <w:szCs w:val="21"/>
        </w:rPr>
        <w:t>磋商文件前附表</w:t>
      </w:r>
      <w:r>
        <w:rPr>
          <w:rFonts w:hint="eastAsia" w:ascii="宋体" w:hAnsi="宋体" w:cs="宋体"/>
          <w:szCs w:val="21"/>
        </w:rPr>
        <w:t>有关规定</w:t>
      </w:r>
      <w:r>
        <w:rPr>
          <w:rFonts w:hint="eastAsia" w:ascii="宋体" w:hAnsi="宋体" w:cs="宋体"/>
        </w:rPr>
        <w:t>给予一定比例的价格折扣，用扣除后的价格参与评审。</w:t>
      </w:r>
    </w:p>
    <w:p w14:paraId="56D88474">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宋体" w:hAnsi="宋体" w:cs="宋体"/>
        </w:rPr>
        <w:t>（2）小型、微型企业参加联合体投标并在联合体协议中明确其在合同金额占联合体合同总金额 30%以上的，该联合体投标价格按</w:t>
      </w:r>
      <w:r>
        <w:rPr>
          <w:rFonts w:hint="eastAsia" w:ascii="宋体" w:hAnsi="宋体" w:cs="宋体"/>
          <w:szCs w:val="21"/>
        </w:rPr>
        <w:t>招标文件第四章第一节有关规定</w:t>
      </w:r>
      <w:r>
        <w:rPr>
          <w:rFonts w:hint="eastAsia" w:ascii="宋体" w:hAnsi="宋体" w:cs="宋体"/>
        </w:rPr>
        <w:t>给予一定比例的价格</w:t>
      </w:r>
      <w:r>
        <w:rPr>
          <w:rFonts w:hint="eastAsia" w:asciiTheme="minorEastAsia" w:hAnsiTheme="minorEastAsia" w:eastAsiaTheme="minorEastAsia" w:cstheme="minorEastAsia"/>
          <w:bCs/>
          <w:szCs w:val="21"/>
        </w:rPr>
        <w:t>折扣，用扣除后的价格参与评审。联合体各方均为小型、微型企业的，联合体视同为小型、微型企业；</w:t>
      </w:r>
    </w:p>
    <w:p w14:paraId="56461D8F">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（3）监狱企业、残疾人福利性单位视同小型、微型企业，享受评审中价格扣除等促进中小企业发展的政府采购政策。</w:t>
      </w:r>
    </w:p>
    <w:p w14:paraId="06C17B98">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3.4.2政府采购政策交叉与叠加</w:t>
      </w:r>
    </w:p>
    <w:p w14:paraId="66B724C1">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（1）供应商同时符合小型、微型企业及监狱企业、残疾人福利性单位要求的，评审时只有一种类型享受价格评审优惠政策；</w:t>
      </w:r>
    </w:p>
    <w:p w14:paraId="6E9E9248">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（2）供应商应按本章第3.4.3款规定提供相关证明资料（包括提供相关报价）。</w:t>
      </w:r>
    </w:p>
    <w:p w14:paraId="4C469CD0">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3.4.3供应商符合本章第3.4.1款规定的，应提供相关证明资料。</w:t>
      </w:r>
    </w:p>
    <w:p w14:paraId="385508B4">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（1）中小企业：按《政府采购促进中小企业发展管理办法》（财库【2020】46号）</w:t>
      </w:r>
      <w:r>
        <w:rPr>
          <w:rFonts w:hint="eastAsia" w:asciiTheme="minorEastAsia" w:hAnsiTheme="minorEastAsia" w:eastAsiaTheme="minorEastAsia"/>
          <w:szCs w:val="21"/>
        </w:rPr>
        <w:t>、</w:t>
      </w:r>
      <w:r>
        <w:rPr>
          <w:rFonts w:hint="eastAsia" w:ascii="宋体" w:hAnsi="宋体"/>
        </w:rPr>
        <w:t>湖南省财政厅关于政府采购促进中小企业发展有关措施的通知（</w:t>
      </w:r>
      <w:r>
        <w:rPr>
          <w:rFonts w:hint="eastAsia" w:asciiTheme="minorEastAsia" w:hAnsiTheme="minorEastAsia" w:eastAsiaTheme="minorEastAsia"/>
        </w:rPr>
        <w:t>湘财购[2022]17号</w:t>
      </w:r>
      <w:r>
        <w:rPr>
          <w:rFonts w:hint="eastAsia" w:ascii="宋体" w:hAnsi="宋体"/>
        </w:rPr>
        <w:t>）</w:t>
      </w:r>
      <w:r>
        <w:rPr>
          <w:rFonts w:hint="eastAsia" w:asciiTheme="minorEastAsia" w:hAnsiTheme="minorEastAsia" w:eastAsiaTheme="minorEastAsia" w:cstheme="minorEastAsia"/>
          <w:bCs/>
          <w:szCs w:val="21"/>
        </w:rPr>
        <w:t>规定，供应商提供《小型、微型企业声明函》（格式）。</w:t>
      </w:r>
    </w:p>
    <w:p w14:paraId="13E81132">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（2）监狱企业：按《关于政府采购支持监狱企业发展有关问题的通知》(财库〔2014〕68号)文件规定提供证明文件（复印件）。</w:t>
      </w:r>
    </w:p>
    <w:p w14:paraId="0D396B8C">
      <w:pPr>
        <w:tabs>
          <w:tab w:val="left" w:pos="0"/>
        </w:tabs>
        <w:adjustRightInd w:val="0"/>
        <w:snapToGrid w:val="0"/>
        <w:spacing w:before="156" w:beforeLines="50"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（4）残疾人福利性单位：按《关于促进残疾人就业政府采购政策的通知》(财库〔2017〕141号)文件规定提供《残疾人福利性单位声明函》（格式）</w:t>
      </w:r>
    </w:p>
    <w:p w14:paraId="0F446E1D">
      <w:pPr>
        <w:adjustRightInd w:val="0"/>
        <w:snapToGrid w:val="0"/>
        <w:spacing w:before="156" w:beforeLines="50"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3.5涉及多处获得政府采购政策优惠的，涉及调整得分的，</w:t>
      </w:r>
      <w:r>
        <w:rPr>
          <w:rFonts w:hint="eastAsia" w:asciiTheme="minorEastAsia" w:hAnsiTheme="minorEastAsia" w:eastAsiaTheme="minorEastAsia" w:cstheme="minorEastAsia"/>
          <w:kern w:val="0"/>
          <w:szCs w:val="21"/>
        </w:rPr>
        <w:t>按</w:t>
      </w:r>
      <w:r>
        <w:rPr>
          <w:rFonts w:hint="eastAsia" w:asciiTheme="minorEastAsia" w:hAnsiTheme="minorEastAsia" w:eastAsiaTheme="minorEastAsia" w:cstheme="minorEastAsia"/>
          <w:bCs/>
          <w:szCs w:val="21"/>
        </w:rPr>
        <w:t>本章第3.4</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bCs/>
          <w:szCs w:val="21"/>
        </w:rPr>
        <w:t>规定</w:t>
      </w:r>
      <w:r>
        <w:rPr>
          <w:rFonts w:hint="eastAsia" w:asciiTheme="minorEastAsia" w:hAnsiTheme="minorEastAsia" w:eastAsiaTheme="minorEastAsia" w:cstheme="minorEastAsia"/>
          <w:szCs w:val="21"/>
        </w:rPr>
        <w:t>调整得分；涉及调整价格的，</w:t>
      </w:r>
      <w:r>
        <w:rPr>
          <w:rFonts w:hint="eastAsia" w:asciiTheme="minorEastAsia" w:hAnsiTheme="minorEastAsia" w:eastAsiaTheme="minorEastAsia" w:cstheme="minorEastAsia"/>
          <w:kern w:val="0"/>
          <w:szCs w:val="21"/>
        </w:rPr>
        <w:t>按</w:t>
      </w:r>
      <w:r>
        <w:rPr>
          <w:rFonts w:hint="eastAsia" w:asciiTheme="minorEastAsia" w:hAnsiTheme="minorEastAsia" w:eastAsiaTheme="minorEastAsia" w:cstheme="minorEastAsia"/>
          <w:bCs/>
          <w:szCs w:val="21"/>
        </w:rPr>
        <w:t>本章第3.2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bCs/>
          <w:szCs w:val="21"/>
        </w:rPr>
        <w:t>规定</w:t>
      </w:r>
      <w:r>
        <w:rPr>
          <w:rFonts w:hint="eastAsia" w:asciiTheme="minorEastAsia" w:hAnsiTheme="minorEastAsia" w:eastAsiaTheme="minorEastAsia" w:cstheme="minorEastAsia"/>
          <w:szCs w:val="21"/>
        </w:rPr>
        <w:t>调整价格。综合调整见</w:t>
      </w:r>
      <w:r>
        <w:rPr>
          <w:rFonts w:hint="eastAsia" w:asciiTheme="minorEastAsia" w:hAnsiTheme="minorEastAsia" w:eastAsiaTheme="minorEastAsia" w:cstheme="minorEastAsia"/>
          <w:b/>
          <w:szCs w:val="21"/>
        </w:rPr>
        <w:t>磋商文件前附表</w:t>
      </w:r>
      <w:r>
        <w:rPr>
          <w:rFonts w:hint="eastAsia" w:asciiTheme="minorEastAsia" w:hAnsiTheme="minorEastAsia" w:eastAsiaTheme="minorEastAsia" w:cstheme="minorEastAsia"/>
          <w:szCs w:val="21"/>
        </w:rPr>
        <w:t>相关规定。</w:t>
      </w:r>
    </w:p>
    <w:p w14:paraId="2B14CC39">
      <w:pPr>
        <w:widowControl/>
        <w:adjustRightInd w:val="0"/>
        <w:snapToGrid w:val="0"/>
        <w:spacing w:before="156" w:beforeLines="50" w:line="360" w:lineRule="auto"/>
        <w:ind w:firstLine="420" w:firstLineChars="2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3.6</w:t>
      </w:r>
      <w:r>
        <w:rPr>
          <w:rFonts w:hint="eastAsia" w:asciiTheme="minorEastAsia" w:hAnsiTheme="minorEastAsia" w:eastAsiaTheme="minorEastAsia" w:cstheme="minorEastAsia"/>
          <w:szCs w:val="21"/>
        </w:rPr>
        <w:t>评审时，磋商小组各成员应当独立对每个供应商的</w:t>
      </w:r>
      <w:r>
        <w:rPr>
          <w:rFonts w:hint="eastAsia" w:asciiTheme="minorEastAsia" w:hAnsiTheme="minorEastAsia" w:eastAsiaTheme="minorEastAsia" w:cstheme="minorEastAsia"/>
          <w:bCs/>
          <w:szCs w:val="21"/>
        </w:rPr>
        <w:t>响应文件</w:t>
      </w:r>
      <w:r>
        <w:rPr>
          <w:rFonts w:hint="eastAsia" w:asciiTheme="minorEastAsia" w:hAnsiTheme="minorEastAsia" w:eastAsiaTheme="minorEastAsia" w:cstheme="minorEastAsia"/>
          <w:szCs w:val="21"/>
        </w:rPr>
        <w:t>进行评价、评分，然后汇总每个供应商项评分因素的得分。</w:t>
      </w:r>
    </w:p>
    <w:p w14:paraId="507BF6AF">
      <w:pPr>
        <w:widowControl/>
        <w:adjustRightInd w:val="0"/>
        <w:snapToGrid w:val="0"/>
        <w:spacing w:before="156" w:beforeLines="50" w:line="360" w:lineRule="auto"/>
        <w:ind w:firstLine="420" w:firstLineChars="2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3.7评分细则</w:t>
      </w:r>
    </w:p>
    <w:p w14:paraId="2EB97734">
      <w:pPr>
        <w:adjustRightInd w:val="0"/>
        <w:snapToGrid w:val="0"/>
        <w:spacing w:before="156" w:beforeLines="50" w:line="360" w:lineRule="auto"/>
        <w:ind w:firstLine="420" w:firstLineChars="200"/>
        <w:jc w:val="left"/>
        <w:rPr>
          <w:rFonts w:ascii="宋体" w:hAnsi="宋体"/>
          <w:bCs/>
          <w:szCs w:val="21"/>
        </w:rPr>
      </w:pPr>
    </w:p>
    <w:p w14:paraId="2E8277D7">
      <w:pPr>
        <w:widowControl/>
        <w:ind w:hanging="315"/>
        <w:jc w:val="center"/>
        <w:outlineLvl w:val="1"/>
        <w:rPr>
          <w:rFonts w:ascii="黑体" w:hAnsi="华文中宋" w:eastAsia="黑体"/>
          <w:color w:val="auto"/>
          <w:sz w:val="24"/>
          <w:highlight w:val="none"/>
        </w:rPr>
      </w:pPr>
      <w:r>
        <w:rPr>
          <w:rFonts w:ascii="宋体" w:hAnsi="宋体"/>
          <w:bCs/>
          <w:szCs w:val="21"/>
        </w:rPr>
        <w:br w:type="page"/>
      </w:r>
      <w:bookmarkStart w:id="62" w:name="OLE_LINK24"/>
      <w:bookmarkStart w:id="63" w:name="OLE_LINK25"/>
      <w:r>
        <w:rPr>
          <w:rFonts w:hint="eastAsia" w:ascii="黑体" w:hAnsi="华文中宋" w:eastAsia="黑体"/>
          <w:b/>
          <w:bCs/>
          <w:color w:val="auto"/>
          <w:sz w:val="24"/>
          <w:highlight w:val="none"/>
        </w:rPr>
        <w:t>评分标准表</w:t>
      </w:r>
    </w:p>
    <w:tbl>
      <w:tblPr>
        <w:tblStyle w:val="4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85"/>
        <w:gridCol w:w="1154"/>
        <w:gridCol w:w="679"/>
        <w:gridCol w:w="6137"/>
      </w:tblGrid>
      <w:tr w14:paraId="11A7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36" w:type="pct"/>
            <w:gridSpan w:val="2"/>
            <w:vAlign w:val="center"/>
          </w:tcPr>
          <w:p w14:paraId="6AAD2930">
            <w:pPr>
              <w:widowControl/>
              <w:spacing w:line="360" w:lineRule="auto"/>
              <w:ind w:hanging="315"/>
              <w:jc w:val="center"/>
              <w:textAlignment w:val="center"/>
              <w:rPr>
                <w:rFonts w:cs="楷体" w:asciiTheme="minorEastAsia" w:hAnsiTheme="minorEastAsia" w:eastAsiaTheme="minorEastAsia"/>
              </w:rPr>
            </w:pPr>
            <w:bookmarkStart w:id="64" w:name="_Toc12809"/>
            <w:bookmarkStart w:id="65" w:name="_Toc29054"/>
            <w:bookmarkStart w:id="66" w:name="_Toc27253"/>
            <w:bookmarkStart w:id="67" w:name="_Toc17538"/>
            <w:bookmarkStart w:id="68" w:name="_Toc6810"/>
            <w:bookmarkStart w:id="69" w:name="_Toc22540"/>
            <w:r>
              <w:rPr>
                <w:rFonts w:hint="eastAsia" w:cs="楷体" w:asciiTheme="minorEastAsia" w:hAnsiTheme="minorEastAsia" w:eastAsiaTheme="minorEastAsia"/>
              </w:rPr>
              <w:t>项目</w:t>
            </w:r>
          </w:p>
        </w:tc>
        <w:tc>
          <w:tcPr>
            <w:tcW w:w="375" w:type="pct"/>
            <w:vAlign w:val="center"/>
          </w:tcPr>
          <w:p w14:paraId="79C04D10">
            <w:pPr>
              <w:widowControl/>
              <w:spacing w:line="360" w:lineRule="auto"/>
              <w:jc w:val="center"/>
              <w:textAlignment w:val="center"/>
              <w:rPr>
                <w:rFonts w:cs="楷体" w:asciiTheme="minorEastAsia" w:hAnsiTheme="minorEastAsia" w:eastAsiaTheme="minorEastAsia"/>
              </w:rPr>
            </w:pPr>
            <w:r>
              <w:rPr>
                <w:rFonts w:hint="eastAsia" w:cs="楷体" w:asciiTheme="minorEastAsia" w:hAnsiTheme="minorEastAsia" w:eastAsiaTheme="minorEastAsia"/>
              </w:rPr>
              <w:t>分值</w:t>
            </w:r>
          </w:p>
        </w:tc>
        <w:tc>
          <w:tcPr>
            <w:tcW w:w="3389" w:type="pct"/>
            <w:vAlign w:val="center"/>
          </w:tcPr>
          <w:p w14:paraId="3180464F">
            <w:pPr>
              <w:widowControl/>
              <w:spacing w:line="360" w:lineRule="auto"/>
              <w:ind w:hanging="315"/>
              <w:jc w:val="center"/>
              <w:textAlignment w:val="center"/>
              <w:rPr>
                <w:rFonts w:cs="楷体" w:asciiTheme="minorEastAsia" w:hAnsiTheme="minorEastAsia" w:eastAsiaTheme="minorEastAsia"/>
              </w:rPr>
            </w:pPr>
            <w:r>
              <w:rPr>
                <w:rFonts w:hint="eastAsia" w:cs="楷体" w:asciiTheme="minorEastAsia" w:hAnsiTheme="minorEastAsia" w:eastAsiaTheme="minorEastAsia"/>
              </w:rPr>
              <w:t>分值细则</w:t>
            </w:r>
          </w:p>
        </w:tc>
      </w:tr>
      <w:tr w14:paraId="6FCE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236" w:type="pct"/>
            <w:gridSpan w:val="2"/>
            <w:vAlign w:val="center"/>
          </w:tcPr>
          <w:p w14:paraId="148D8ACA">
            <w:pPr>
              <w:spacing w:line="360" w:lineRule="auto"/>
              <w:ind w:hanging="315"/>
              <w:jc w:val="center"/>
              <w:rPr>
                <w:rFonts w:cs="楷体" w:asciiTheme="minorEastAsia" w:hAnsiTheme="minorEastAsia" w:eastAsiaTheme="minorEastAsia"/>
              </w:rPr>
            </w:pPr>
            <w:r>
              <w:rPr>
                <w:rFonts w:hint="eastAsia" w:cs="楷体" w:asciiTheme="minorEastAsia" w:hAnsiTheme="minorEastAsia" w:eastAsiaTheme="minorEastAsia"/>
              </w:rPr>
              <w:t>投标报价</w:t>
            </w:r>
          </w:p>
          <w:p w14:paraId="7807F923">
            <w:pPr>
              <w:spacing w:line="360" w:lineRule="auto"/>
              <w:ind w:hanging="315"/>
              <w:jc w:val="center"/>
              <w:rPr>
                <w:rFonts w:cs="楷体" w:asciiTheme="minorEastAsia" w:hAnsiTheme="minorEastAsia" w:eastAsiaTheme="minorEastAsia"/>
              </w:rPr>
            </w:pPr>
            <w:r>
              <w:rPr>
                <w:rFonts w:hint="eastAsia" w:cs="楷体" w:asciiTheme="minorEastAsia" w:hAnsiTheme="minorEastAsia" w:eastAsiaTheme="minorEastAsia"/>
              </w:rPr>
              <w:t>（</w:t>
            </w:r>
            <w:r>
              <w:rPr>
                <w:rFonts w:cs="楷体" w:asciiTheme="minorEastAsia" w:hAnsiTheme="minorEastAsia" w:eastAsiaTheme="minorEastAsia"/>
              </w:rPr>
              <w:t>30</w:t>
            </w:r>
            <w:r>
              <w:rPr>
                <w:rFonts w:hint="eastAsia" w:cs="楷体" w:asciiTheme="minorEastAsia" w:hAnsiTheme="minorEastAsia" w:eastAsiaTheme="minorEastAsia"/>
              </w:rPr>
              <w:t>分）</w:t>
            </w:r>
          </w:p>
        </w:tc>
        <w:tc>
          <w:tcPr>
            <w:tcW w:w="375" w:type="pct"/>
            <w:vAlign w:val="center"/>
          </w:tcPr>
          <w:p w14:paraId="2DAF5393">
            <w:pPr>
              <w:spacing w:line="360" w:lineRule="auto"/>
              <w:ind w:firstLine="210" w:firstLineChars="100"/>
              <w:rPr>
                <w:rFonts w:cs="楷体" w:asciiTheme="minorEastAsia" w:hAnsiTheme="minorEastAsia" w:eastAsiaTheme="minorEastAsia"/>
              </w:rPr>
            </w:pPr>
            <w:r>
              <w:rPr>
                <w:rFonts w:cs="楷体" w:asciiTheme="minorEastAsia" w:hAnsiTheme="minorEastAsia" w:eastAsiaTheme="minorEastAsia"/>
              </w:rPr>
              <w:t>30</w:t>
            </w:r>
          </w:p>
        </w:tc>
        <w:tc>
          <w:tcPr>
            <w:tcW w:w="3389" w:type="pct"/>
            <w:vAlign w:val="center"/>
          </w:tcPr>
          <w:p w14:paraId="48797BAB">
            <w:pPr>
              <w:pStyle w:val="198"/>
              <w:widowControl/>
              <w:numPr>
                <w:ilvl w:val="0"/>
                <w:numId w:val="2"/>
              </w:numPr>
              <w:tabs>
                <w:tab w:val="left" w:pos="312"/>
              </w:tabs>
              <w:spacing w:line="360" w:lineRule="auto"/>
              <w:ind w:firstLineChars="0"/>
              <w:jc w:val="left"/>
              <w:rPr>
                <w:rFonts w:ascii="宋体" w:cs="宋体"/>
              </w:rPr>
            </w:pPr>
            <w:r>
              <w:rPr>
                <w:rFonts w:hint="eastAsia" w:ascii="宋体" w:hAnsi="宋体" w:cs="宋体"/>
              </w:rPr>
              <w:t>报价调整：本项目专门面向中小企业采购，不再执行价格评审优惠的扶持政策。</w:t>
            </w:r>
          </w:p>
          <w:p w14:paraId="14E05ABE">
            <w:pPr>
              <w:numPr>
                <w:ilvl w:val="0"/>
                <w:numId w:val="2"/>
              </w:numPr>
              <w:spacing w:line="360" w:lineRule="auto"/>
              <w:ind w:left="360" w:leftChars="0" w:hanging="360" w:firstLineChars="0"/>
              <w:jc w:val="left"/>
              <w:rPr>
                <w:rFonts w:ascii="宋体" w:hAnsi="宋体"/>
              </w:rPr>
            </w:pPr>
            <w:r>
              <w:rPr>
                <w:rFonts w:hint="eastAsia" w:ascii="宋体" w:hAnsi="宋体" w:cs="宋体"/>
              </w:rPr>
              <w:t>以经磋商小组一致认定满足采购文件要求</w:t>
            </w:r>
            <w:r>
              <w:rPr>
                <w:rFonts w:hint="eastAsia" w:ascii="宋体" w:hAnsi="宋体"/>
              </w:rPr>
              <w:t>且最后报价最低的投标人的价格为磋商基准价，其价格分为满分</w:t>
            </w:r>
            <w:r>
              <w:rPr>
                <w:rFonts w:ascii="宋体" w:hAnsi="宋体"/>
              </w:rPr>
              <w:t>30</w:t>
            </w:r>
            <w:r>
              <w:rPr>
                <w:rFonts w:hint="eastAsia" w:ascii="宋体" w:hAnsi="宋体"/>
              </w:rPr>
              <w:t>分。其他投标人的价格分统一按照下列公式计算：磋商报价得分=（磋商基准价/最后磋商报价）×</w:t>
            </w:r>
            <w:r>
              <w:rPr>
                <w:rFonts w:ascii="宋体" w:hAnsi="宋体"/>
              </w:rPr>
              <w:t>30</w:t>
            </w:r>
          </w:p>
          <w:p w14:paraId="0C9692CD">
            <w:pPr>
              <w:numPr>
                <w:ilvl w:val="0"/>
                <w:numId w:val="2"/>
              </w:numPr>
              <w:spacing w:line="360" w:lineRule="auto"/>
              <w:ind w:left="360" w:leftChars="0" w:hanging="360" w:firstLineChars="0"/>
              <w:jc w:val="left"/>
              <w:rPr>
                <w:rFonts w:ascii="宋体" w:hAnsi="宋体"/>
              </w:rPr>
            </w:pPr>
            <w:r>
              <w:rPr>
                <w:rFonts w:hint="eastAsia" w:ascii="宋体" w:hAnsi="宋体"/>
              </w:rPr>
              <w:t>根据财库[2026]2号文件《财政部关于推动解决政府采购异常低价问题的通知》，供应商投标(响应)报价低于采购项目最高限价65%的属异常低价，按废标处理。</w:t>
            </w:r>
          </w:p>
          <w:p w14:paraId="7123DDD8">
            <w:pPr>
              <w:widowControl/>
              <w:spacing w:line="360" w:lineRule="auto"/>
              <w:jc w:val="left"/>
              <w:rPr>
                <w:rFonts w:ascii="宋体" w:hAnsi="宋体"/>
                <w:szCs w:val="21"/>
              </w:rPr>
            </w:pPr>
            <w:r>
              <w:rPr>
                <w:rFonts w:hint="eastAsia" w:ascii="宋体" w:hAnsi="宋体"/>
                <w:b/>
                <w:bCs/>
              </w:rPr>
              <w:t>评审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64A3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99" w:type="pct"/>
            <w:vMerge w:val="restart"/>
            <w:vAlign w:val="center"/>
          </w:tcPr>
          <w:p w14:paraId="3B626937">
            <w:pPr>
              <w:widowControl/>
              <w:spacing w:line="360" w:lineRule="auto"/>
              <w:textAlignment w:val="center"/>
              <w:rPr>
                <w:rFonts w:cs="楷体" w:asciiTheme="minorEastAsia" w:hAnsiTheme="minorEastAsia" w:eastAsiaTheme="minorEastAsia"/>
              </w:rPr>
            </w:pPr>
            <w:r>
              <w:rPr>
                <w:rFonts w:hint="eastAsia" w:cs="楷体" w:asciiTheme="minorEastAsia" w:hAnsiTheme="minorEastAsia" w:eastAsiaTheme="minorEastAsia"/>
              </w:rPr>
              <w:t>技术部分</w:t>
            </w:r>
          </w:p>
          <w:p w14:paraId="59C54512">
            <w:pPr>
              <w:widowControl/>
              <w:spacing w:line="360" w:lineRule="auto"/>
              <w:textAlignment w:val="center"/>
              <w:rPr>
                <w:rFonts w:cs="楷体" w:asciiTheme="minorEastAsia" w:hAnsiTheme="minorEastAsia" w:eastAsiaTheme="minorEastAsia"/>
              </w:rPr>
            </w:pPr>
            <w:r>
              <w:rPr>
                <w:rFonts w:hint="eastAsia" w:cs="楷体" w:asciiTheme="minorEastAsia" w:hAnsiTheme="minorEastAsia" w:eastAsiaTheme="minorEastAsia"/>
              </w:rPr>
              <w:t>（</w:t>
            </w:r>
            <w:r>
              <w:rPr>
                <w:rFonts w:cs="楷体" w:asciiTheme="minorEastAsia" w:hAnsiTheme="minorEastAsia" w:eastAsiaTheme="minorEastAsia"/>
              </w:rPr>
              <w:t>5</w:t>
            </w:r>
            <w:r>
              <w:rPr>
                <w:rFonts w:hint="eastAsia" w:cs="楷体" w:asciiTheme="minorEastAsia" w:hAnsiTheme="minorEastAsia" w:eastAsiaTheme="minorEastAsia"/>
              </w:rPr>
              <w:t>0分）</w:t>
            </w:r>
          </w:p>
        </w:tc>
        <w:tc>
          <w:tcPr>
            <w:tcW w:w="637" w:type="pct"/>
            <w:vAlign w:val="center"/>
          </w:tcPr>
          <w:p w14:paraId="7D535DEB">
            <w:pPr>
              <w:adjustRightInd w:val="0"/>
              <w:snapToGrid w:val="0"/>
              <w:spacing w:line="320" w:lineRule="exact"/>
              <w:jc w:val="center"/>
              <w:rPr>
                <w:rFonts w:ascii="宋体" w:hAnsi="宋体" w:cs="宋体"/>
                <w:szCs w:val="21"/>
              </w:rPr>
            </w:pPr>
            <w:r>
              <w:rPr>
                <w:rFonts w:hint="eastAsia" w:ascii="宋体" w:hAnsi="宋体" w:cs="宋体"/>
                <w:bCs/>
                <w:szCs w:val="21"/>
                <w:lang w:bidi="ar"/>
              </w:rPr>
              <w:t>项目整体实施方案与技术措施</w:t>
            </w:r>
          </w:p>
        </w:tc>
        <w:tc>
          <w:tcPr>
            <w:tcW w:w="375" w:type="pct"/>
            <w:vAlign w:val="center"/>
          </w:tcPr>
          <w:p w14:paraId="3B2527D2">
            <w:pPr>
              <w:spacing w:line="320" w:lineRule="exact"/>
              <w:jc w:val="center"/>
              <w:rPr>
                <w:rFonts w:ascii="宋体" w:hAnsi="宋体" w:cs="宋体"/>
                <w:color w:val="auto"/>
                <w:sz w:val="22"/>
                <w:szCs w:val="22"/>
              </w:rPr>
            </w:pPr>
            <w:r>
              <w:rPr>
                <w:rFonts w:hint="eastAsia" w:ascii="宋体" w:hAnsi="宋体" w:cs="宋体"/>
                <w:color w:val="auto"/>
                <w:sz w:val="22"/>
                <w:szCs w:val="22"/>
              </w:rPr>
              <w:t>10分</w:t>
            </w:r>
          </w:p>
        </w:tc>
        <w:tc>
          <w:tcPr>
            <w:tcW w:w="3389" w:type="pct"/>
            <w:vAlign w:val="center"/>
          </w:tcPr>
          <w:p w14:paraId="64FFEDEE">
            <w:pPr>
              <w:adjustRightInd w:val="0"/>
              <w:snapToGrid w:val="0"/>
              <w:spacing w:line="320" w:lineRule="exact"/>
              <w:rPr>
                <w:rFonts w:ascii="宋体" w:hAnsi="宋体" w:cs="宋体"/>
                <w:color w:val="auto"/>
                <w:kern w:val="0"/>
              </w:rPr>
            </w:pPr>
            <w:r>
              <w:rPr>
                <w:rFonts w:hint="eastAsia" w:ascii="宋体" w:hAnsi="宋体" w:cs="宋体"/>
                <w:color w:val="auto"/>
                <w:kern w:val="0"/>
              </w:rPr>
              <w:t>根据供应商提供的施工方案与技术措施方案，内容包括但不限于</w:t>
            </w:r>
            <w:r>
              <w:rPr>
                <w:rFonts w:ascii="宋体" w:hAnsi="宋体" w:cs="宋体"/>
                <w:color w:val="auto"/>
                <w:kern w:val="0"/>
              </w:rPr>
              <w:t>①</w:t>
            </w:r>
            <w:r>
              <w:rPr>
                <w:rFonts w:hint="eastAsia" w:ascii="宋体" w:hAnsi="宋体"/>
                <w:color w:val="auto"/>
              </w:rPr>
              <w:t>施工顺序，</w:t>
            </w:r>
            <w:r>
              <w:rPr>
                <w:rFonts w:ascii="宋体" w:hAnsi="宋体" w:cs="宋体"/>
                <w:color w:val="auto"/>
                <w:kern w:val="0"/>
              </w:rPr>
              <w:t>②</w:t>
            </w:r>
            <w:r>
              <w:rPr>
                <w:rFonts w:hint="eastAsia" w:ascii="宋体" w:hAnsi="宋体"/>
                <w:color w:val="auto"/>
              </w:rPr>
              <w:t>施工工艺，</w:t>
            </w:r>
            <w:r>
              <w:rPr>
                <w:rFonts w:ascii="宋体" w:hAnsi="宋体" w:cs="宋体"/>
                <w:color w:val="auto"/>
                <w:kern w:val="0"/>
              </w:rPr>
              <w:t>③</w:t>
            </w:r>
            <w:r>
              <w:rPr>
                <w:rFonts w:hint="eastAsia" w:ascii="宋体" w:hAnsi="宋体"/>
                <w:color w:val="auto"/>
              </w:rPr>
              <w:t>作业方法，④作业流程，⑤操作等进</w:t>
            </w:r>
            <w:r>
              <w:rPr>
                <w:rFonts w:hint="eastAsia" w:ascii="宋体" w:hAnsi="宋体" w:cs="宋体"/>
                <w:color w:val="auto"/>
                <w:kern w:val="0"/>
              </w:rPr>
              <w:t>行评审；本项满分为10 分；</w:t>
            </w:r>
          </w:p>
          <w:p w14:paraId="20DECFAD">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4分；</w:t>
            </w:r>
          </w:p>
          <w:p w14:paraId="7E062D29">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3分；</w:t>
            </w:r>
          </w:p>
          <w:p w14:paraId="6B443A29">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措施具备落地可行性强的计</w:t>
            </w:r>
            <w:r>
              <w:rPr>
                <w:rFonts w:ascii="宋体" w:hAnsi="宋体" w:cs="宋体"/>
                <w:color w:val="auto"/>
                <w:kern w:val="0"/>
              </w:rPr>
              <w:t>3分。</w:t>
            </w:r>
          </w:p>
          <w:p w14:paraId="6B964D2A">
            <w:pPr>
              <w:adjustRightInd w:val="0"/>
              <w:snapToGrid w:val="0"/>
              <w:spacing w:line="360" w:lineRule="auto"/>
              <w:rPr>
                <w:rFonts w:hint="eastAsia" w:ascii="宋体" w:hAnsi="宋体" w:cs="宋体"/>
                <w:color w:val="auto"/>
                <w:kern w:val="0"/>
              </w:rPr>
            </w:pPr>
            <w:r>
              <w:rPr>
                <w:rFonts w:hint="eastAsia" w:ascii="宋体" w:hAnsi="宋体" w:cs="宋体"/>
                <w:color w:val="auto"/>
                <w:kern w:val="0"/>
              </w:rPr>
              <w:t>关键项缺漏、不符要求的每处扣</w:t>
            </w:r>
            <w:r>
              <w:rPr>
                <w:rFonts w:ascii="宋体" w:hAnsi="宋体" w:cs="宋体"/>
                <w:color w:val="auto"/>
                <w:kern w:val="0"/>
              </w:rPr>
              <w:t>2分；存在一般性缺陷</w:t>
            </w:r>
            <w:r>
              <w:rPr>
                <w:rFonts w:hint="eastAsia" w:ascii="宋体" w:hAnsi="宋体" w:cs="宋体"/>
                <w:color w:val="auto"/>
                <w:kern w:val="0"/>
              </w:rPr>
              <w:t>的每处扣</w:t>
            </w:r>
            <w:r>
              <w:rPr>
                <w:rFonts w:ascii="宋体" w:hAnsi="宋体" w:cs="宋体"/>
                <w:color w:val="auto"/>
                <w:kern w:val="0"/>
              </w:rPr>
              <w:t xml:space="preserve">1 </w:t>
            </w:r>
            <w:r>
              <w:rPr>
                <w:rFonts w:hint="eastAsia" w:ascii="宋体" w:hAnsi="宋体" w:cs="宋体"/>
                <w:color w:val="auto"/>
                <w:kern w:val="0"/>
              </w:rPr>
              <w:t>分；内容欠合理的每处扣</w:t>
            </w:r>
            <w:r>
              <w:rPr>
                <w:rFonts w:ascii="宋体" w:hAnsi="宋体" w:cs="宋体"/>
                <w:color w:val="auto"/>
                <w:kern w:val="0"/>
              </w:rPr>
              <w:t>1分。扣分累计核算，分值最低</w:t>
            </w:r>
            <w:r>
              <w:rPr>
                <w:rFonts w:hint="eastAsia" w:ascii="宋体" w:hAnsi="宋体" w:cs="宋体"/>
                <w:color w:val="auto"/>
                <w:kern w:val="0"/>
              </w:rPr>
              <w:t>为</w:t>
            </w:r>
            <w:r>
              <w:rPr>
                <w:rFonts w:ascii="宋体" w:hAnsi="宋体" w:cs="宋体"/>
                <w:color w:val="auto"/>
                <w:kern w:val="0"/>
              </w:rPr>
              <w:t>0分，同一问题不重复扣分；未提供方案</w:t>
            </w:r>
            <w:r>
              <w:rPr>
                <w:rFonts w:hint="eastAsia" w:ascii="宋体" w:hAnsi="宋体" w:cs="宋体"/>
                <w:color w:val="auto"/>
                <w:kern w:val="0"/>
              </w:rPr>
              <w:t>的本项不计分。</w:t>
            </w:r>
          </w:p>
          <w:p w14:paraId="5906E567">
            <w:pPr>
              <w:adjustRightInd w:val="0"/>
              <w:snapToGrid w:val="0"/>
              <w:spacing w:line="360" w:lineRule="auto"/>
              <w:rPr>
                <w:rFonts w:hint="eastAsia" w:ascii="宋体" w:hAnsi="宋体" w:cs="宋体"/>
                <w:color w:val="auto"/>
                <w:kern w:val="0"/>
              </w:rPr>
            </w:pPr>
            <w:r>
              <w:rPr>
                <w:rFonts w:hint="eastAsia" w:ascii="宋体" w:hAnsi="宋体" w:cs="宋体"/>
                <w:color w:val="auto"/>
                <w:kern w:val="0"/>
                <w:lang w:val="en-US" w:eastAsia="zh-CN"/>
              </w:rPr>
              <w:t>注</w:t>
            </w:r>
            <w:r>
              <w:rPr>
                <w:rFonts w:hint="eastAsia" w:ascii="宋体" w:hAnsi="宋体" w:cs="宋体"/>
                <w:color w:val="auto"/>
                <w:kern w:val="0"/>
              </w:rPr>
              <w:t>：</w:t>
            </w:r>
            <w:r>
              <w:rPr>
                <w:rFonts w:hint="eastAsia" w:ascii="宋体" w:hAnsi="宋体" w:cs="宋体"/>
                <w:color w:val="auto"/>
                <w:kern w:val="0"/>
                <w:lang w:val="en-US" w:eastAsia="zh-CN"/>
              </w:rPr>
              <w:t>1</w:t>
            </w:r>
            <w:r>
              <w:rPr>
                <w:rFonts w:hint="eastAsia" w:ascii="宋体" w:hAnsi="宋体" w:cs="宋体"/>
                <w:color w:val="auto"/>
                <w:kern w:val="0"/>
              </w:rPr>
              <w:t>、缺漏项是指该项内容未提供具体的实施方案内容，或者整段内容照搬采购需求、评审办法的内容未做修改</w:t>
            </w:r>
            <w:r>
              <w:rPr>
                <w:rFonts w:hint="eastAsia" w:ascii="宋体" w:hAnsi="宋体" w:cs="宋体"/>
                <w:color w:val="auto"/>
                <w:kern w:val="0"/>
                <w:lang w:val="en-US" w:eastAsia="zh-CN"/>
              </w:rPr>
              <w:t>等</w:t>
            </w:r>
            <w:r>
              <w:rPr>
                <w:rFonts w:hint="eastAsia" w:ascii="宋体" w:hAnsi="宋体" w:cs="宋体"/>
                <w:color w:val="auto"/>
                <w:kern w:val="0"/>
              </w:rPr>
              <w:t>；</w:t>
            </w:r>
            <w:r>
              <w:rPr>
                <w:rFonts w:hint="eastAsia" w:ascii="宋体" w:hAnsi="宋体" w:cs="宋体"/>
                <w:color w:val="auto"/>
                <w:kern w:val="0"/>
                <w:lang w:val="en-US" w:eastAsia="zh-CN"/>
              </w:rPr>
              <w:t>2、欠</w:t>
            </w:r>
            <w:r>
              <w:rPr>
                <w:rFonts w:hint="eastAsia" w:ascii="宋体" w:hAnsi="宋体" w:cs="宋体"/>
                <w:color w:val="auto"/>
                <w:kern w:val="0"/>
              </w:rPr>
              <w:t>合理是指非专门针对本项目或者不适用项目的情形，内容不完整或者缺少关键安排，套用其他项目方案、内容前后矛盾、表述错误</w:t>
            </w:r>
            <w:r>
              <w:rPr>
                <w:rFonts w:hint="eastAsia" w:ascii="宋体" w:hAnsi="宋体" w:cs="宋体"/>
                <w:color w:val="auto"/>
                <w:kern w:val="0"/>
                <w:lang w:eastAsia="zh-CN"/>
              </w:rPr>
              <w:t>、</w:t>
            </w:r>
            <w:r>
              <w:rPr>
                <w:rFonts w:hint="eastAsia" w:ascii="宋体" w:hAnsi="宋体" w:cs="宋体"/>
                <w:color w:val="auto"/>
                <w:kern w:val="0"/>
              </w:rPr>
              <w:t>计划安排无条理性、方案内容空洞、存在歧义、逻辑混乱</w:t>
            </w:r>
            <w:r>
              <w:rPr>
                <w:rFonts w:hint="eastAsia" w:ascii="宋体" w:hAnsi="宋体" w:cs="宋体"/>
                <w:color w:val="auto"/>
                <w:kern w:val="0"/>
                <w:lang w:eastAsia="zh-CN"/>
              </w:rPr>
              <w:t>、</w:t>
            </w:r>
            <w:r>
              <w:rPr>
                <w:rFonts w:hint="eastAsia" w:ascii="宋体" w:hAnsi="宋体" w:cs="宋体"/>
                <w:color w:val="auto"/>
                <w:kern w:val="0"/>
              </w:rPr>
              <w:t>内容不完善等；针对性欠缺是指项目名称不符、未贴合采购需求、方案内容与项目需求不一致或没有关联性。</w:t>
            </w:r>
          </w:p>
        </w:tc>
      </w:tr>
      <w:tr w14:paraId="6CDB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99" w:type="pct"/>
            <w:vMerge w:val="continue"/>
            <w:vAlign w:val="center"/>
          </w:tcPr>
          <w:p w14:paraId="55936BA2">
            <w:pPr>
              <w:spacing w:line="360" w:lineRule="auto"/>
              <w:ind w:hanging="315"/>
              <w:jc w:val="center"/>
              <w:rPr>
                <w:rFonts w:cs="楷体" w:asciiTheme="minorEastAsia" w:hAnsiTheme="minorEastAsia" w:eastAsiaTheme="minorEastAsia"/>
              </w:rPr>
            </w:pPr>
          </w:p>
        </w:tc>
        <w:tc>
          <w:tcPr>
            <w:tcW w:w="637" w:type="pct"/>
            <w:vAlign w:val="center"/>
          </w:tcPr>
          <w:p w14:paraId="7540A972">
            <w:pPr>
              <w:spacing w:line="320" w:lineRule="exact"/>
              <w:jc w:val="center"/>
              <w:rPr>
                <w:rFonts w:ascii="宋体" w:hAnsi="宋体" w:cs="宋体"/>
                <w:szCs w:val="21"/>
              </w:rPr>
            </w:pPr>
            <w:r>
              <w:rPr>
                <w:rFonts w:hint="eastAsia" w:ascii="宋体" w:hAnsi="宋体" w:cs="宋体"/>
                <w:szCs w:val="21"/>
              </w:rPr>
              <w:t>质量管理体系与措施</w:t>
            </w:r>
          </w:p>
        </w:tc>
        <w:tc>
          <w:tcPr>
            <w:tcW w:w="375" w:type="pct"/>
            <w:vAlign w:val="center"/>
          </w:tcPr>
          <w:p w14:paraId="28065571">
            <w:pPr>
              <w:spacing w:line="320" w:lineRule="exact"/>
              <w:jc w:val="center"/>
              <w:rPr>
                <w:rFonts w:ascii="宋体" w:hAnsi="宋体"/>
                <w:szCs w:val="21"/>
              </w:rPr>
            </w:pPr>
            <w:r>
              <w:rPr>
                <w:rFonts w:hint="eastAsia" w:ascii="宋体" w:hAnsi="宋体"/>
                <w:szCs w:val="21"/>
              </w:rPr>
              <w:t>10</w:t>
            </w:r>
            <w:r>
              <w:rPr>
                <w:rFonts w:hint="eastAsia" w:ascii="宋体" w:hAnsi="宋体" w:cs="仿宋"/>
                <w:spacing w:val="-4"/>
                <w:szCs w:val="21"/>
              </w:rPr>
              <w:t>分</w:t>
            </w:r>
          </w:p>
        </w:tc>
        <w:tc>
          <w:tcPr>
            <w:tcW w:w="3389" w:type="pct"/>
            <w:vAlign w:val="center"/>
          </w:tcPr>
          <w:p w14:paraId="74A8EDB7">
            <w:pPr>
              <w:adjustRightInd w:val="0"/>
              <w:snapToGrid w:val="0"/>
              <w:spacing w:line="320" w:lineRule="exact"/>
              <w:rPr>
                <w:rFonts w:ascii="宋体" w:hAnsi="宋体" w:cs="宋体"/>
                <w:color w:val="auto"/>
                <w:kern w:val="0"/>
              </w:rPr>
            </w:pPr>
            <w:r>
              <w:rPr>
                <w:rFonts w:hint="eastAsia" w:ascii="宋体" w:hAnsi="宋体" w:cs="宋体"/>
                <w:kern w:val="0"/>
              </w:rPr>
              <w:t>根据供应商提供的</w:t>
            </w:r>
            <w:r>
              <w:rPr>
                <w:rFonts w:hint="eastAsia" w:ascii="宋体" w:hAnsi="宋体" w:cs="宋体"/>
                <w:szCs w:val="21"/>
              </w:rPr>
              <w:t>质量管理体系与措施</w:t>
            </w:r>
            <w:r>
              <w:rPr>
                <w:rFonts w:hint="eastAsia" w:ascii="宋体" w:hAnsi="宋体" w:cs="宋体"/>
                <w:kern w:val="0"/>
              </w:rPr>
              <w:t>方案，内容包括但不限于①质量管理体系；②工作质量目标；③工作的重点、难点分析；④质量</w:t>
            </w:r>
            <w:r>
              <w:rPr>
                <w:rFonts w:hint="eastAsia" w:ascii="宋体" w:hAnsi="宋体" w:cs="宋体"/>
                <w:color w:val="auto"/>
                <w:kern w:val="0"/>
              </w:rPr>
              <w:t>控制保证；</w:t>
            </w:r>
            <w:r>
              <w:rPr>
                <w:rFonts w:hint="eastAsia" w:ascii="宋体" w:hAnsi="宋体"/>
                <w:color w:val="auto"/>
              </w:rPr>
              <w:t>⑤</w:t>
            </w:r>
            <w:r>
              <w:rPr>
                <w:rFonts w:hint="eastAsia" w:ascii="宋体" w:hAnsi="宋体" w:cs="宋体"/>
                <w:color w:val="auto"/>
                <w:kern w:val="0"/>
              </w:rPr>
              <w:t>技术方案措施</w:t>
            </w:r>
            <w:r>
              <w:rPr>
                <w:rFonts w:hint="eastAsia" w:ascii="宋体" w:hAnsi="宋体" w:cs="宋体"/>
                <w:color w:val="auto"/>
                <w:szCs w:val="21"/>
              </w:rPr>
              <w:t>等</w:t>
            </w:r>
            <w:r>
              <w:rPr>
                <w:rFonts w:hint="eastAsia" w:ascii="宋体" w:hAnsi="宋体"/>
                <w:color w:val="auto"/>
              </w:rPr>
              <w:t>进</w:t>
            </w:r>
            <w:r>
              <w:rPr>
                <w:rFonts w:hint="eastAsia" w:ascii="宋体" w:hAnsi="宋体" w:cs="宋体"/>
                <w:color w:val="auto"/>
                <w:kern w:val="0"/>
              </w:rPr>
              <w:t>行评审；本项满分为10 分；</w:t>
            </w:r>
          </w:p>
          <w:p w14:paraId="15C5E79E">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4分；</w:t>
            </w:r>
          </w:p>
          <w:p w14:paraId="040A04EF">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3分；</w:t>
            </w:r>
          </w:p>
          <w:p w14:paraId="73EDF92B">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措施具备落地可行性强的计</w:t>
            </w:r>
            <w:r>
              <w:rPr>
                <w:rFonts w:ascii="宋体" w:hAnsi="宋体" w:cs="宋体"/>
                <w:color w:val="auto"/>
                <w:kern w:val="0"/>
              </w:rPr>
              <w:t>3分。</w:t>
            </w:r>
          </w:p>
          <w:p w14:paraId="5C6127C6">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rPr>
              <w:t>关键项缺漏、不符要求的每处扣</w:t>
            </w:r>
            <w:r>
              <w:rPr>
                <w:rFonts w:ascii="宋体" w:hAnsi="宋体" w:cs="宋体"/>
                <w:color w:val="auto"/>
                <w:kern w:val="0"/>
              </w:rPr>
              <w:t>2分；存在一般性缺陷</w:t>
            </w:r>
            <w:r>
              <w:rPr>
                <w:rFonts w:hint="eastAsia" w:ascii="宋体" w:hAnsi="宋体" w:cs="宋体"/>
                <w:color w:val="auto"/>
                <w:kern w:val="0"/>
              </w:rPr>
              <w:t>的每处扣</w:t>
            </w:r>
            <w:r>
              <w:rPr>
                <w:rFonts w:ascii="宋体" w:hAnsi="宋体" w:cs="宋体"/>
                <w:color w:val="auto"/>
                <w:kern w:val="0"/>
              </w:rPr>
              <w:t xml:space="preserve">1 </w:t>
            </w:r>
            <w:r>
              <w:rPr>
                <w:rFonts w:hint="eastAsia" w:ascii="宋体" w:hAnsi="宋体" w:cs="宋体"/>
                <w:color w:val="auto"/>
                <w:kern w:val="0"/>
              </w:rPr>
              <w:t>分；内容欠合理的每处扣</w:t>
            </w:r>
            <w:r>
              <w:rPr>
                <w:rFonts w:ascii="宋体" w:hAnsi="宋体" w:cs="宋体"/>
                <w:color w:val="auto"/>
                <w:kern w:val="0"/>
              </w:rPr>
              <w:t>1分。扣分累计核算，分值最低</w:t>
            </w:r>
            <w:r>
              <w:rPr>
                <w:rFonts w:hint="eastAsia" w:ascii="宋体" w:hAnsi="宋体" w:cs="宋体"/>
                <w:color w:val="auto"/>
                <w:kern w:val="0"/>
              </w:rPr>
              <w:t>为</w:t>
            </w:r>
            <w:r>
              <w:rPr>
                <w:rFonts w:ascii="宋体" w:hAnsi="宋体" w:cs="宋体"/>
                <w:color w:val="auto"/>
                <w:kern w:val="0"/>
              </w:rPr>
              <w:t>0分，同一问题不重复扣分；未提供方案</w:t>
            </w:r>
            <w:r>
              <w:rPr>
                <w:rFonts w:hint="eastAsia" w:ascii="宋体" w:hAnsi="宋体" w:cs="宋体"/>
                <w:color w:val="auto"/>
                <w:kern w:val="0"/>
              </w:rPr>
              <w:t>的本项不计分。</w:t>
            </w:r>
          </w:p>
          <w:p w14:paraId="19510F80">
            <w:pPr>
              <w:autoSpaceDE w:val="0"/>
              <w:autoSpaceDN w:val="0"/>
              <w:adjustRightInd w:val="0"/>
              <w:spacing w:line="320" w:lineRule="exact"/>
              <w:jc w:val="left"/>
              <w:rPr>
                <w:rFonts w:hint="eastAsia" w:ascii="宋体" w:hAnsi="宋体" w:cs="宋体"/>
                <w:color w:val="FF0000"/>
                <w:kern w:val="0"/>
              </w:rPr>
            </w:pPr>
            <w:r>
              <w:rPr>
                <w:rFonts w:hint="eastAsia" w:ascii="宋体" w:hAnsi="宋体" w:cs="宋体"/>
                <w:color w:val="auto"/>
                <w:kern w:val="0"/>
                <w:lang w:val="en-US" w:eastAsia="zh-CN"/>
              </w:rPr>
              <w:t>注</w:t>
            </w:r>
            <w:r>
              <w:rPr>
                <w:rFonts w:hint="eastAsia" w:ascii="宋体" w:hAnsi="宋体" w:cs="宋体"/>
                <w:color w:val="auto"/>
                <w:kern w:val="0"/>
              </w:rPr>
              <w:t>：</w:t>
            </w:r>
            <w:r>
              <w:rPr>
                <w:rFonts w:hint="eastAsia" w:ascii="宋体" w:hAnsi="宋体" w:cs="宋体"/>
                <w:color w:val="auto"/>
                <w:kern w:val="0"/>
                <w:lang w:val="en-US" w:eastAsia="zh-CN"/>
              </w:rPr>
              <w:t>1</w:t>
            </w:r>
            <w:r>
              <w:rPr>
                <w:rFonts w:hint="eastAsia" w:ascii="宋体" w:hAnsi="宋体" w:cs="宋体"/>
                <w:color w:val="auto"/>
                <w:kern w:val="0"/>
              </w:rPr>
              <w:t>、缺漏项是指该项内容未提供具体的实施方案内容，或者整段内容照搬采购需求、评审办法的内容未做修改</w:t>
            </w:r>
            <w:r>
              <w:rPr>
                <w:rFonts w:hint="eastAsia" w:ascii="宋体" w:hAnsi="宋体" w:cs="宋体"/>
                <w:color w:val="auto"/>
                <w:kern w:val="0"/>
                <w:lang w:val="en-US" w:eastAsia="zh-CN"/>
              </w:rPr>
              <w:t>等</w:t>
            </w:r>
            <w:r>
              <w:rPr>
                <w:rFonts w:hint="eastAsia" w:ascii="宋体" w:hAnsi="宋体" w:cs="宋体"/>
                <w:color w:val="auto"/>
                <w:kern w:val="0"/>
              </w:rPr>
              <w:t>；</w:t>
            </w:r>
            <w:r>
              <w:rPr>
                <w:rFonts w:hint="eastAsia" w:ascii="宋体" w:hAnsi="宋体" w:cs="宋体"/>
                <w:color w:val="auto"/>
                <w:kern w:val="0"/>
                <w:lang w:val="en-US" w:eastAsia="zh-CN"/>
              </w:rPr>
              <w:t>2、欠</w:t>
            </w:r>
            <w:r>
              <w:rPr>
                <w:rFonts w:hint="eastAsia" w:ascii="宋体" w:hAnsi="宋体" w:cs="宋体"/>
                <w:color w:val="auto"/>
                <w:kern w:val="0"/>
              </w:rPr>
              <w:t>合理是指非专门针对本项目或者不适用项目的情形，内容不完整或者缺少关键安排，套用其他项目方案、内容前后矛盾、表述错误</w:t>
            </w:r>
            <w:r>
              <w:rPr>
                <w:rFonts w:hint="eastAsia" w:ascii="宋体" w:hAnsi="宋体" w:cs="宋体"/>
                <w:color w:val="auto"/>
                <w:kern w:val="0"/>
                <w:lang w:eastAsia="zh-CN"/>
              </w:rPr>
              <w:t>、</w:t>
            </w:r>
            <w:r>
              <w:rPr>
                <w:rFonts w:hint="eastAsia" w:ascii="宋体" w:hAnsi="宋体" w:cs="宋体"/>
                <w:color w:val="auto"/>
                <w:kern w:val="0"/>
              </w:rPr>
              <w:t>计划安排无条理性、方案内容空洞、存在歧义、逻辑混乱</w:t>
            </w:r>
            <w:r>
              <w:rPr>
                <w:rFonts w:hint="eastAsia" w:ascii="宋体" w:hAnsi="宋体" w:cs="宋体"/>
                <w:color w:val="auto"/>
                <w:kern w:val="0"/>
                <w:lang w:eastAsia="zh-CN"/>
              </w:rPr>
              <w:t>、</w:t>
            </w:r>
            <w:r>
              <w:rPr>
                <w:rFonts w:hint="eastAsia" w:ascii="宋体" w:hAnsi="宋体" w:cs="宋体"/>
                <w:color w:val="auto"/>
                <w:kern w:val="0"/>
              </w:rPr>
              <w:t>内容不完善等；针对性欠缺是指项目名称不符、未贴合采购需求、方案内容与项目需求不一致或没有关联性。</w:t>
            </w:r>
          </w:p>
        </w:tc>
      </w:tr>
      <w:tr w14:paraId="6557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9" w:hRule="atLeast"/>
        </w:trPr>
        <w:tc>
          <w:tcPr>
            <w:tcW w:w="599" w:type="pct"/>
            <w:vMerge w:val="continue"/>
            <w:vAlign w:val="center"/>
          </w:tcPr>
          <w:p w14:paraId="57AF868E">
            <w:pPr>
              <w:spacing w:line="360" w:lineRule="auto"/>
              <w:ind w:hanging="315"/>
              <w:jc w:val="center"/>
              <w:rPr>
                <w:rFonts w:cs="楷体" w:asciiTheme="minorEastAsia" w:hAnsiTheme="minorEastAsia" w:eastAsiaTheme="minorEastAsia"/>
              </w:rPr>
            </w:pPr>
          </w:p>
        </w:tc>
        <w:tc>
          <w:tcPr>
            <w:tcW w:w="637" w:type="pct"/>
            <w:vAlign w:val="center"/>
          </w:tcPr>
          <w:p w14:paraId="7750A3BE">
            <w:pPr>
              <w:spacing w:line="320" w:lineRule="exact"/>
              <w:jc w:val="center"/>
              <w:rPr>
                <w:rFonts w:ascii="宋体" w:hAnsi="宋体" w:cs="宋体"/>
                <w:color w:val="auto"/>
                <w:szCs w:val="21"/>
              </w:rPr>
            </w:pPr>
            <w:r>
              <w:rPr>
                <w:rFonts w:hint="eastAsia" w:ascii="宋体" w:hAnsi="宋体" w:cs="宋体"/>
                <w:color w:val="auto"/>
                <w:szCs w:val="21"/>
              </w:rPr>
              <w:t>环境保护</w:t>
            </w:r>
          </w:p>
          <w:p w14:paraId="2A0B1511">
            <w:pPr>
              <w:spacing w:line="320" w:lineRule="exact"/>
              <w:jc w:val="center"/>
              <w:rPr>
                <w:rFonts w:ascii="宋体" w:hAnsi="宋体" w:cs="宋体"/>
                <w:color w:val="auto"/>
                <w:szCs w:val="21"/>
              </w:rPr>
            </w:pPr>
            <w:r>
              <w:rPr>
                <w:rFonts w:hint="eastAsia" w:ascii="宋体" w:hAnsi="宋体" w:cs="宋体"/>
                <w:color w:val="auto"/>
                <w:szCs w:val="21"/>
              </w:rPr>
              <w:t>管理体系与措施</w:t>
            </w:r>
          </w:p>
        </w:tc>
        <w:tc>
          <w:tcPr>
            <w:tcW w:w="375" w:type="pct"/>
            <w:vAlign w:val="center"/>
          </w:tcPr>
          <w:p w14:paraId="40D883E6">
            <w:pPr>
              <w:spacing w:line="320" w:lineRule="exact"/>
              <w:jc w:val="center"/>
              <w:rPr>
                <w:rFonts w:ascii="宋体" w:hAnsi="宋体"/>
                <w:color w:val="auto"/>
                <w:szCs w:val="21"/>
              </w:rPr>
            </w:pPr>
            <w:r>
              <w:rPr>
                <w:rFonts w:ascii="宋体" w:hAnsi="宋体" w:cs="仿宋"/>
                <w:color w:val="auto"/>
                <w:spacing w:val="-4"/>
                <w:szCs w:val="21"/>
              </w:rPr>
              <w:t>8</w:t>
            </w:r>
            <w:r>
              <w:rPr>
                <w:rFonts w:hint="eastAsia" w:ascii="宋体" w:hAnsi="宋体" w:cs="仿宋"/>
                <w:color w:val="auto"/>
                <w:spacing w:val="-4"/>
                <w:szCs w:val="21"/>
              </w:rPr>
              <w:t>分</w:t>
            </w:r>
          </w:p>
        </w:tc>
        <w:tc>
          <w:tcPr>
            <w:tcW w:w="3389" w:type="pct"/>
            <w:vAlign w:val="center"/>
          </w:tcPr>
          <w:p w14:paraId="09D1D488">
            <w:pPr>
              <w:adjustRightInd w:val="0"/>
              <w:snapToGrid w:val="0"/>
              <w:spacing w:line="320" w:lineRule="exact"/>
              <w:rPr>
                <w:rFonts w:ascii="宋体" w:hAnsi="宋体" w:cs="宋体"/>
                <w:color w:val="auto"/>
                <w:kern w:val="0"/>
              </w:rPr>
            </w:pPr>
            <w:r>
              <w:rPr>
                <w:rFonts w:hint="eastAsia" w:ascii="宋体" w:hAnsi="宋体" w:cs="宋体"/>
                <w:kern w:val="0"/>
              </w:rPr>
              <w:t>根</w:t>
            </w:r>
            <w:r>
              <w:rPr>
                <w:rFonts w:hint="eastAsia" w:ascii="宋体" w:hAnsi="宋体" w:cs="宋体"/>
                <w:color w:val="auto"/>
                <w:kern w:val="0"/>
              </w:rPr>
              <w:t>据供应商提供的环境保护管理体系与措施方案</w:t>
            </w:r>
            <w:r>
              <w:rPr>
                <w:rFonts w:hint="eastAsia" w:ascii="宋体" w:hAnsi="宋体" w:cs="宋体"/>
                <w:color w:val="auto"/>
                <w:szCs w:val="21"/>
              </w:rPr>
              <w:t>，</w:t>
            </w:r>
            <w:r>
              <w:rPr>
                <w:rFonts w:hint="eastAsia" w:ascii="宋体" w:hAnsi="宋体" w:cs="宋体"/>
                <w:color w:val="auto"/>
                <w:kern w:val="0"/>
              </w:rPr>
              <w:t>内容</w:t>
            </w:r>
            <w:r>
              <w:rPr>
                <w:rFonts w:hint="eastAsia" w:ascii="宋体" w:hAnsi="宋体" w:cs="宋体"/>
                <w:color w:val="auto"/>
                <w:szCs w:val="21"/>
              </w:rPr>
              <w:t>包括但不限于①</w:t>
            </w:r>
            <w:r>
              <w:rPr>
                <w:rFonts w:hint="eastAsia" w:ascii="宋体" w:hAnsi="宋体" w:cs="宋体"/>
                <w:color w:val="auto"/>
                <w:kern w:val="0"/>
              </w:rPr>
              <w:t>现场噪音控制；</w:t>
            </w:r>
            <w:r>
              <w:rPr>
                <w:rFonts w:ascii="宋体" w:hAnsi="宋体" w:cs="宋体"/>
                <w:color w:val="auto"/>
                <w:kern w:val="0"/>
              </w:rPr>
              <w:t>②</w:t>
            </w:r>
            <w:r>
              <w:rPr>
                <w:rFonts w:hint="eastAsia" w:ascii="宋体" w:hAnsi="宋体" w:cs="宋体"/>
                <w:color w:val="auto"/>
                <w:kern w:val="0"/>
              </w:rPr>
              <w:t>污水控制及扬尘控制；③材料堆放处理；④</w:t>
            </w:r>
            <w:r>
              <w:rPr>
                <w:rFonts w:hint="eastAsia" w:ascii="宋体" w:hAnsi="宋体" w:cs="宋体"/>
                <w:color w:val="auto"/>
                <w:szCs w:val="21"/>
              </w:rPr>
              <w:t>人员管理</w:t>
            </w:r>
            <w:r>
              <w:rPr>
                <w:rFonts w:hint="eastAsia" w:ascii="宋体" w:hAnsi="宋体" w:cs="宋体"/>
                <w:color w:val="auto"/>
                <w:kern w:val="0"/>
              </w:rPr>
              <w:t>等</w:t>
            </w:r>
            <w:r>
              <w:rPr>
                <w:rFonts w:hint="eastAsia" w:ascii="宋体" w:hAnsi="宋体" w:cs="宋体"/>
                <w:color w:val="auto"/>
                <w:szCs w:val="21"/>
              </w:rPr>
              <w:t>进行评审</w:t>
            </w:r>
            <w:r>
              <w:rPr>
                <w:rFonts w:hint="eastAsia" w:ascii="宋体" w:hAnsi="宋体" w:cs="宋体"/>
                <w:color w:val="auto"/>
                <w:kern w:val="0"/>
              </w:rPr>
              <w:t>；本项满分为</w:t>
            </w:r>
            <w:r>
              <w:rPr>
                <w:rFonts w:ascii="宋体" w:hAnsi="宋体" w:cs="宋体"/>
                <w:color w:val="auto"/>
                <w:kern w:val="0"/>
              </w:rPr>
              <w:t>8 分</w:t>
            </w:r>
            <w:r>
              <w:rPr>
                <w:rFonts w:hint="eastAsia" w:ascii="宋体" w:hAnsi="宋体" w:cs="宋体"/>
                <w:color w:val="auto"/>
                <w:kern w:val="0"/>
              </w:rPr>
              <w:t>；</w:t>
            </w:r>
          </w:p>
          <w:p w14:paraId="7C7F6FA6">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3</w:t>
            </w:r>
            <w:r>
              <w:rPr>
                <w:rFonts w:hint="eastAsia" w:ascii="宋体" w:hAnsi="宋体" w:cs="宋体"/>
                <w:color w:val="auto"/>
                <w:kern w:val="0"/>
              </w:rPr>
              <w:t>分；</w:t>
            </w:r>
          </w:p>
          <w:p w14:paraId="4A476BCD">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3分；</w:t>
            </w:r>
          </w:p>
          <w:p w14:paraId="51F8FE27">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措施具备落地可行性强的计</w:t>
            </w:r>
            <w:r>
              <w:rPr>
                <w:rFonts w:ascii="宋体" w:hAnsi="宋体" w:cs="宋体"/>
                <w:color w:val="auto"/>
                <w:kern w:val="0"/>
              </w:rPr>
              <w:t>2</w:t>
            </w:r>
            <w:r>
              <w:rPr>
                <w:rFonts w:hint="eastAsia" w:ascii="宋体" w:hAnsi="宋体" w:cs="宋体"/>
                <w:color w:val="auto"/>
                <w:kern w:val="0"/>
              </w:rPr>
              <w:t>分。</w:t>
            </w:r>
          </w:p>
          <w:p w14:paraId="2E127C8C">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rPr>
              <w:t>关键项缺漏、不符要求的每处扣</w:t>
            </w:r>
            <w:r>
              <w:rPr>
                <w:rFonts w:ascii="宋体" w:hAnsi="宋体" w:cs="宋体"/>
                <w:color w:val="auto"/>
                <w:kern w:val="0"/>
              </w:rPr>
              <w:t>2分；存在一般性缺陷</w:t>
            </w:r>
            <w:r>
              <w:rPr>
                <w:rFonts w:hint="eastAsia" w:ascii="宋体" w:hAnsi="宋体" w:cs="宋体"/>
                <w:color w:val="auto"/>
                <w:kern w:val="0"/>
              </w:rPr>
              <w:t>的每处扣</w:t>
            </w:r>
            <w:r>
              <w:rPr>
                <w:rFonts w:ascii="宋体" w:hAnsi="宋体" w:cs="宋体"/>
                <w:color w:val="auto"/>
                <w:kern w:val="0"/>
              </w:rPr>
              <w:t xml:space="preserve">1 </w:t>
            </w:r>
            <w:r>
              <w:rPr>
                <w:rFonts w:hint="eastAsia" w:ascii="宋体" w:hAnsi="宋体" w:cs="宋体"/>
                <w:color w:val="auto"/>
                <w:kern w:val="0"/>
              </w:rPr>
              <w:t>分；内容欠合理的每处扣</w:t>
            </w:r>
            <w:r>
              <w:rPr>
                <w:rFonts w:ascii="宋体" w:hAnsi="宋体" w:cs="宋体"/>
                <w:color w:val="auto"/>
                <w:kern w:val="0"/>
              </w:rPr>
              <w:t>1分。扣分累计核算，分值最低</w:t>
            </w:r>
            <w:r>
              <w:rPr>
                <w:rFonts w:hint="eastAsia" w:ascii="宋体" w:hAnsi="宋体" w:cs="宋体"/>
                <w:color w:val="auto"/>
                <w:kern w:val="0"/>
              </w:rPr>
              <w:t>为</w:t>
            </w:r>
            <w:r>
              <w:rPr>
                <w:rFonts w:ascii="宋体" w:hAnsi="宋体" w:cs="宋体"/>
                <w:color w:val="auto"/>
                <w:kern w:val="0"/>
              </w:rPr>
              <w:t>0分，同一问题不重复扣分；未提供方案</w:t>
            </w:r>
            <w:r>
              <w:rPr>
                <w:rFonts w:hint="eastAsia" w:ascii="宋体" w:hAnsi="宋体" w:cs="宋体"/>
                <w:color w:val="auto"/>
                <w:kern w:val="0"/>
              </w:rPr>
              <w:t>的本项不计分。</w:t>
            </w:r>
          </w:p>
          <w:p w14:paraId="4C18F0D6">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lang w:val="en-US" w:eastAsia="zh-CN"/>
              </w:rPr>
              <w:t>注</w:t>
            </w:r>
            <w:r>
              <w:rPr>
                <w:rFonts w:hint="eastAsia" w:ascii="宋体" w:hAnsi="宋体" w:cs="宋体"/>
                <w:color w:val="auto"/>
                <w:kern w:val="0"/>
              </w:rPr>
              <w:t>：</w:t>
            </w:r>
            <w:r>
              <w:rPr>
                <w:rFonts w:hint="eastAsia" w:ascii="宋体" w:hAnsi="宋体" w:cs="宋体"/>
                <w:color w:val="auto"/>
                <w:kern w:val="0"/>
                <w:lang w:val="en-US" w:eastAsia="zh-CN"/>
              </w:rPr>
              <w:t>1</w:t>
            </w:r>
            <w:r>
              <w:rPr>
                <w:rFonts w:hint="eastAsia" w:ascii="宋体" w:hAnsi="宋体" w:cs="宋体"/>
                <w:color w:val="auto"/>
                <w:kern w:val="0"/>
              </w:rPr>
              <w:t>、缺漏项是指该项内容未提供具体的实施方案内容，或者整段内容照搬采购需求、评审办法的内容未做修改</w:t>
            </w:r>
            <w:r>
              <w:rPr>
                <w:rFonts w:hint="eastAsia" w:ascii="宋体" w:hAnsi="宋体" w:cs="宋体"/>
                <w:color w:val="auto"/>
                <w:kern w:val="0"/>
                <w:lang w:val="en-US" w:eastAsia="zh-CN"/>
              </w:rPr>
              <w:t>等</w:t>
            </w:r>
            <w:r>
              <w:rPr>
                <w:rFonts w:hint="eastAsia" w:ascii="宋体" w:hAnsi="宋体" w:cs="宋体"/>
                <w:color w:val="auto"/>
                <w:kern w:val="0"/>
              </w:rPr>
              <w:t>；</w:t>
            </w:r>
            <w:r>
              <w:rPr>
                <w:rFonts w:hint="eastAsia" w:ascii="宋体" w:hAnsi="宋体" w:cs="宋体"/>
                <w:color w:val="auto"/>
                <w:kern w:val="0"/>
                <w:lang w:val="en-US" w:eastAsia="zh-CN"/>
              </w:rPr>
              <w:t>2、欠</w:t>
            </w:r>
            <w:r>
              <w:rPr>
                <w:rFonts w:hint="eastAsia" w:ascii="宋体" w:hAnsi="宋体" w:cs="宋体"/>
                <w:color w:val="auto"/>
                <w:kern w:val="0"/>
              </w:rPr>
              <w:t>合理是指非专门针对本项目或者不适用项目的情形，内容不完整或者缺少关键安排，套用其他项目方案、内容前后矛盾、表述错误</w:t>
            </w:r>
            <w:r>
              <w:rPr>
                <w:rFonts w:hint="eastAsia" w:ascii="宋体" w:hAnsi="宋体" w:cs="宋体"/>
                <w:color w:val="auto"/>
                <w:kern w:val="0"/>
                <w:lang w:eastAsia="zh-CN"/>
              </w:rPr>
              <w:t>、</w:t>
            </w:r>
            <w:r>
              <w:rPr>
                <w:rFonts w:hint="eastAsia" w:ascii="宋体" w:hAnsi="宋体" w:cs="宋体"/>
                <w:color w:val="auto"/>
                <w:kern w:val="0"/>
              </w:rPr>
              <w:t>计划安排无条理性、方案内容空洞、存在歧义、逻辑混乱</w:t>
            </w:r>
            <w:r>
              <w:rPr>
                <w:rFonts w:hint="eastAsia" w:ascii="宋体" w:hAnsi="宋体" w:cs="宋体"/>
                <w:color w:val="auto"/>
                <w:kern w:val="0"/>
                <w:lang w:eastAsia="zh-CN"/>
              </w:rPr>
              <w:t>、</w:t>
            </w:r>
            <w:r>
              <w:rPr>
                <w:rFonts w:hint="eastAsia" w:ascii="宋体" w:hAnsi="宋体" w:cs="宋体"/>
                <w:color w:val="auto"/>
                <w:kern w:val="0"/>
              </w:rPr>
              <w:t>内容不完善等；针对性欠缺是指项目名称不符、未贴合采购需求、方案内容与项目需求不一致或没有关联性。</w:t>
            </w:r>
          </w:p>
        </w:tc>
      </w:tr>
      <w:tr w14:paraId="57AF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99" w:type="pct"/>
            <w:vMerge w:val="continue"/>
            <w:vAlign w:val="center"/>
          </w:tcPr>
          <w:p w14:paraId="6F41FCAC">
            <w:pPr>
              <w:spacing w:line="360" w:lineRule="auto"/>
              <w:ind w:hanging="315"/>
              <w:jc w:val="center"/>
              <w:rPr>
                <w:rFonts w:cs="楷体" w:asciiTheme="minorEastAsia" w:hAnsiTheme="minorEastAsia" w:eastAsiaTheme="minorEastAsia"/>
              </w:rPr>
            </w:pPr>
          </w:p>
        </w:tc>
        <w:tc>
          <w:tcPr>
            <w:tcW w:w="637" w:type="pct"/>
            <w:vAlign w:val="center"/>
          </w:tcPr>
          <w:p w14:paraId="63125368">
            <w:pPr>
              <w:spacing w:line="320" w:lineRule="exact"/>
              <w:jc w:val="center"/>
              <w:rPr>
                <w:rFonts w:ascii="宋体" w:hAnsi="宋体" w:cs="宋体"/>
                <w:color w:val="auto"/>
                <w:szCs w:val="21"/>
              </w:rPr>
            </w:pPr>
            <w:r>
              <w:rPr>
                <w:rFonts w:hint="eastAsia" w:ascii="宋体" w:hAnsi="宋体" w:cs="宋体"/>
                <w:color w:val="auto"/>
                <w:szCs w:val="21"/>
              </w:rPr>
              <w:t>安全管理体系与措施</w:t>
            </w:r>
          </w:p>
        </w:tc>
        <w:tc>
          <w:tcPr>
            <w:tcW w:w="375" w:type="pct"/>
            <w:vAlign w:val="center"/>
          </w:tcPr>
          <w:p w14:paraId="378D5481">
            <w:pPr>
              <w:spacing w:line="320" w:lineRule="exact"/>
              <w:jc w:val="center"/>
              <w:rPr>
                <w:rFonts w:ascii="宋体" w:hAnsi="宋体"/>
                <w:color w:val="auto"/>
                <w:szCs w:val="21"/>
              </w:rPr>
            </w:pPr>
            <w:r>
              <w:rPr>
                <w:rFonts w:ascii="宋体" w:hAnsi="宋体"/>
                <w:color w:val="auto"/>
                <w:szCs w:val="21"/>
              </w:rPr>
              <w:t>10</w:t>
            </w:r>
            <w:r>
              <w:rPr>
                <w:rFonts w:hint="eastAsia" w:ascii="宋体" w:hAnsi="宋体" w:cs="仿宋"/>
                <w:color w:val="auto"/>
                <w:spacing w:val="-4"/>
                <w:szCs w:val="21"/>
              </w:rPr>
              <w:t>分</w:t>
            </w:r>
          </w:p>
        </w:tc>
        <w:tc>
          <w:tcPr>
            <w:tcW w:w="3389" w:type="pct"/>
            <w:vAlign w:val="center"/>
          </w:tcPr>
          <w:p w14:paraId="022E2A97">
            <w:pPr>
              <w:adjustRightInd w:val="0"/>
              <w:snapToGrid w:val="0"/>
              <w:spacing w:line="320" w:lineRule="exact"/>
              <w:rPr>
                <w:rFonts w:ascii="宋体" w:hAnsi="宋体" w:cs="宋体"/>
                <w:color w:val="auto"/>
                <w:kern w:val="0"/>
              </w:rPr>
            </w:pPr>
            <w:r>
              <w:rPr>
                <w:rFonts w:hint="eastAsia" w:ascii="宋体" w:hAnsi="宋体" w:cs="宋体"/>
                <w:kern w:val="0"/>
              </w:rPr>
              <w:t>根据供应商提供的</w:t>
            </w:r>
            <w:r>
              <w:rPr>
                <w:rFonts w:hint="eastAsia" w:ascii="宋体" w:hAnsi="宋体" w:cs="宋体"/>
                <w:szCs w:val="21"/>
              </w:rPr>
              <w:t>安全管理体系与措施</w:t>
            </w:r>
            <w:r>
              <w:rPr>
                <w:rFonts w:hint="eastAsia" w:ascii="宋体" w:hAnsi="宋体" w:cs="宋体"/>
                <w:kern w:val="0"/>
              </w:rPr>
              <w:t>方案，内容包括但不限于</w:t>
            </w:r>
            <w:r>
              <w:rPr>
                <w:rFonts w:ascii="宋体" w:hAnsi="宋体" w:cs="宋体"/>
                <w:kern w:val="0"/>
              </w:rPr>
              <w:t>①</w:t>
            </w:r>
            <w:r>
              <w:rPr>
                <w:rFonts w:hint="eastAsia" w:ascii="宋体" w:hAnsi="宋体" w:cs="宋体"/>
                <w:kern w:val="0"/>
              </w:rPr>
              <w:t>安全管理体</w:t>
            </w:r>
            <w:r>
              <w:rPr>
                <w:rFonts w:hint="eastAsia" w:ascii="宋体" w:hAnsi="宋体" w:cs="宋体"/>
                <w:color w:val="auto"/>
                <w:kern w:val="0"/>
              </w:rPr>
              <w:t>系，</w:t>
            </w:r>
            <w:r>
              <w:rPr>
                <w:rFonts w:ascii="宋体" w:hAnsi="宋体" w:cs="宋体"/>
                <w:color w:val="auto"/>
                <w:kern w:val="0"/>
              </w:rPr>
              <w:t>②</w:t>
            </w:r>
            <w:r>
              <w:rPr>
                <w:rFonts w:hint="eastAsia" w:ascii="宋体" w:hAnsi="宋体" w:cs="宋体"/>
                <w:color w:val="auto"/>
                <w:kern w:val="0"/>
              </w:rPr>
              <w:t>工作制度，</w:t>
            </w:r>
            <w:r>
              <w:rPr>
                <w:rFonts w:ascii="宋体" w:hAnsi="宋体" w:cs="宋体"/>
                <w:color w:val="auto"/>
                <w:kern w:val="0"/>
              </w:rPr>
              <w:t>③</w:t>
            </w:r>
            <w:r>
              <w:rPr>
                <w:rFonts w:hint="eastAsia" w:ascii="宋体" w:hAnsi="宋体" w:cs="宋体"/>
                <w:color w:val="auto"/>
                <w:kern w:val="0"/>
              </w:rPr>
              <w:t>风险预防，④应急处置措施，</w:t>
            </w:r>
            <w:r>
              <w:rPr>
                <w:rFonts w:hint="eastAsia" w:ascii="宋体" w:hAnsi="宋体"/>
                <w:color w:val="auto"/>
              </w:rPr>
              <w:t>⑤应急响应处理</w:t>
            </w:r>
            <w:r>
              <w:rPr>
                <w:rFonts w:hint="eastAsia" w:ascii="宋体" w:hAnsi="宋体" w:cs="宋体"/>
                <w:color w:val="auto"/>
                <w:kern w:val="0"/>
              </w:rPr>
              <w:t>等进行评审；本项满分为</w:t>
            </w:r>
            <w:r>
              <w:rPr>
                <w:rFonts w:ascii="宋体" w:hAnsi="宋体" w:cs="宋体"/>
                <w:color w:val="auto"/>
                <w:kern w:val="0"/>
              </w:rPr>
              <w:t xml:space="preserve">10 </w:t>
            </w:r>
            <w:r>
              <w:rPr>
                <w:rFonts w:hint="eastAsia" w:ascii="宋体" w:hAnsi="宋体" w:cs="宋体"/>
                <w:color w:val="auto"/>
                <w:kern w:val="0"/>
              </w:rPr>
              <w:t>分；</w:t>
            </w:r>
          </w:p>
          <w:p w14:paraId="12B68A88">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4分；</w:t>
            </w:r>
          </w:p>
          <w:p w14:paraId="5F8686EB">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3分；</w:t>
            </w:r>
          </w:p>
          <w:p w14:paraId="0A085AE3">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措施具备落地可行性强的计</w:t>
            </w:r>
            <w:r>
              <w:rPr>
                <w:rFonts w:ascii="宋体" w:hAnsi="宋体" w:cs="宋体"/>
                <w:color w:val="auto"/>
                <w:kern w:val="0"/>
              </w:rPr>
              <w:t>3分。</w:t>
            </w:r>
          </w:p>
          <w:p w14:paraId="2A85C0DA">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rPr>
              <w:t>关键项缺漏、不符要求的每处扣</w:t>
            </w:r>
            <w:r>
              <w:rPr>
                <w:rFonts w:ascii="宋体" w:hAnsi="宋体" w:cs="宋体"/>
                <w:color w:val="auto"/>
                <w:kern w:val="0"/>
              </w:rPr>
              <w:t>2分；存在一般性缺陷</w:t>
            </w:r>
            <w:r>
              <w:rPr>
                <w:rFonts w:hint="eastAsia" w:ascii="宋体" w:hAnsi="宋体" w:cs="宋体"/>
                <w:color w:val="auto"/>
                <w:kern w:val="0"/>
              </w:rPr>
              <w:t>的每处扣</w:t>
            </w:r>
            <w:r>
              <w:rPr>
                <w:rFonts w:ascii="宋体" w:hAnsi="宋体" w:cs="宋体"/>
                <w:color w:val="auto"/>
                <w:kern w:val="0"/>
              </w:rPr>
              <w:t xml:space="preserve">1 </w:t>
            </w:r>
            <w:r>
              <w:rPr>
                <w:rFonts w:hint="eastAsia" w:ascii="宋体" w:hAnsi="宋体" w:cs="宋体"/>
                <w:color w:val="auto"/>
                <w:kern w:val="0"/>
              </w:rPr>
              <w:t>分；内容欠合理的每处扣</w:t>
            </w:r>
            <w:r>
              <w:rPr>
                <w:rFonts w:ascii="宋体" w:hAnsi="宋体" w:cs="宋体"/>
                <w:color w:val="auto"/>
                <w:kern w:val="0"/>
              </w:rPr>
              <w:t>1分。扣分累计核算，分值最低</w:t>
            </w:r>
            <w:r>
              <w:rPr>
                <w:rFonts w:hint="eastAsia" w:ascii="宋体" w:hAnsi="宋体" w:cs="宋体"/>
                <w:color w:val="auto"/>
                <w:kern w:val="0"/>
              </w:rPr>
              <w:t>为</w:t>
            </w:r>
            <w:r>
              <w:rPr>
                <w:rFonts w:ascii="宋体" w:hAnsi="宋体" w:cs="宋体"/>
                <w:color w:val="auto"/>
                <w:kern w:val="0"/>
              </w:rPr>
              <w:t>0分，同一问题不重复扣分；未提供方案</w:t>
            </w:r>
            <w:r>
              <w:rPr>
                <w:rFonts w:hint="eastAsia" w:ascii="宋体" w:hAnsi="宋体" w:cs="宋体"/>
                <w:color w:val="auto"/>
                <w:kern w:val="0"/>
              </w:rPr>
              <w:t>的本项不计分。</w:t>
            </w:r>
          </w:p>
          <w:p w14:paraId="16EE5632">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lang w:val="en-US" w:eastAsia="zh-CN"/>
              </w:rPr>
              <w:t>注</w:t>
            </w:r>
            <w:r>
              <w:rPr>
                <w:rFonts w:hint="eastAsia" w:ascii="宋体" w:hAnsi="宋体" w:cs="宋体"/>
                <w:color w:val="auto"/>
                <w:kern w:val="0"/>
              </w:rPr>
              <w:t>：</w:t>
            </w:r>
            <w:r>
              <w:rPr>
                <w:rFonts w:hint="eastAsia" w:ascii="宋体" w:hAnsi="宋体" w:cs="宋体"/>
                <w:color w:val="auto"/>
                <w:kern w:val="0"/>
                <w:lang w:val="en-US" w:eastAsia="zh-CN"/>
              </w:rPr>
              <w:t>1</w:t>
            </w:r>
            <w:r>
              <w:rPr>
                <w:rFonts w:hint="eastAsia" w:ascii="宋体" w:hAnsi="宋体" w:cs="宋体"/>
                <w:color w:val="auto"/>
                <w:kern w:val="0"/>
              </w:rPr>
              <w:t>、缺漏项是指该项内容未提供具体的实施方案内容，或者整段内容照搬采购需求、评审办法的内容未做修改</w:t>
            </w:r>
            <w:r>
              <w:rPr>
                <w:rFonts w:hint="eastAsia" w:ascii="宋体" w:hAnsi="宋体" w:cs="宋体"/>
                <w:color w:val="auto"/>
                <w:kern w:val="0"/>
                <w:lang w:val="en-US" w:eastAsia="zh-CN"/>
              </w:rPr>
              <w:t>等</w:t>
            </w:r>
            <w:r>
              <w:rPr>
                <w:rFonts w:hint="eastAsia" w:ascii="宋体" w:hAnsi="宋体" w:cs="宋体"/>
                <w:color w:val="auto"/>
                <w:kern w:val="0"/>
              </w:rPr>
              <w:t>；</w:t>
            </w:r>
            <w:r>
              <w:rPr>
                <w:rFonts w:hint="eastAsia" w:ascii="宋体" w:hAnsi="宋体" w:cs="宋体"/>
                <w:color w:val="auto"/>
                <w:kern w:val="0"/>
                <w:lang w:val="en-US" w:eastAsia="zh-CN"/>
              </w:rPr>
              <w:t>2、欠</w:t>
            </w:r>
            <w:r>
              <w:rPr>
                <w:rFonts w:hint="eastAsia" w:ascii="宋体" w:hAnsi="宋体" w:cs="宋体"/>
                <w:color w:val="auto"/>
                <w:kern w:val="0"/>
              </w:rPr>
              <w:t>合理是指非专门针对本项目或者不适用项目的情形，内容不完整或者缺少关键安排，套用其他项目方案、内容前后矛盾、表述错误</w:t>
            </w:r>
            <w:r>
              <w:rPr>
                <w:rFonts w:hint="eastAsia" w:ascii="宋体" w:hAnsi="宋体" w:cs="宋体"/>
                <w:color w:val="auto"/>
                <w:kern w:val="0"/>
                <w:lang w:eastAsia="zh-CN"/>
              </w:rPr>
              <w:t>、</w:t>
            </w:r>
            <w:r>
              <w:rPr>
                <w:rFonts w:hint="eastAsia" w:ascii="宋体" w:hAnsi="宋体" w:cs="宋体"/>
                <w:color w:val="auto"/>
                <w:kern w:val="0"/>
              </w:rPr>
              <w:t>计划安排无条理性、方案内容空洞、存在歧义、逻辑混乱</w:t>
            </w:r>
            <w:r>
              <w:rPr>
                <w:rFonts w:hint="eastAsia" w:ascii="宋体" w:hAnsi="宋体" w:cs="宋体"/>
                <w:color w:val="auto"/>
                <w:kern w:val="0"/>
                <w:lang w:eastAsia="zh-CN"/>
              </w:rPr>
              <w:t>、</w:t>
            </w:r>
            <w:r>
              <w:rPr>
                <w:rFonts w:hint="eastAsia" w:ascii="宋体" w:hAnsi="宋体" w:cs="宋体"/>
                <w:color w:val="auto"/>
                <w:kern w:val="0"/>
              </w:rPr>
              <w:t>内容不完善等；针对性欠缺是指项目名称不符、未贴合采购需求、方案内容与项目需求不一致或没有关联性。</w:t>
            </w:r>
          </w:p>
        </w:tc>
      </w:tr>
      <w:tr w14:paraId="63A0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99" w:type="pct"/>
            <w:vMerge w:val="continue"/>
            <w:vAlign w:val="center"/>
          </w:tcPr>
          <w:p w14:paraId="4C1C5336">
            <w:pPr>
              <w:spacing w:line="360" w:lineRule="auto"/>
              <w:ind w:hanging="315"/>
              <w:jc w:val="center"/>
              <w:rPr>
                <w:rFonts w:cs="楷体" w:asciiTheme="minorEastAsia" w:hAnsiTheme="minorEastAsia" w:eastAsiaTheme="minorEastAsia"/>
              </w:rPr>
            </w:pPr>
          </w:p>
        </w:tc>
        <w:tc>
          <w:tcPr>
            <w:tcW w:w="637" w:type="pct"/>
            <w:vAlign w:val="center"/>
          </w:tcPr>
          <w:p w14:paraId="69C1CF0F">
            <w:pPr>
              <w:spacing w:line="320" w:lineRule="exact"/>
              <w:jc w:val="center"/>
              <w:rPr>
                <w:rFonts w:ascii="宋体" w:hAnsi="宋体" w:cs="宋体"/>
                <w:szCs w:val="21"/>
              </w:rPr>
            </w:pPr>
            <w:r>
              <w:rPr>
                <w:rFonts w:hint="eastAsia" w:ascii="宋体" w:hAnsi="宋体" w:cs="宋体"/>
                <w:szCs w:val="21"/>
              </w:rPr>
              <w:t>资源配备</w:t>
            </w:r>
          </w:p>
          <w:p w14:paraId="29FABF18">
            <w:pPr>
              <w:spacing w:line="320" w:lineRule="exact"/>
              <w:jc w:val="center"/>
              <w:rPr>
                <w:rFonts w:ascii="宋体" w:hAnsi="宋体" w:cs="宋体"/>
                <w:szCs w:val="21"/>
              </w:rPr>
            </w:pPr>
            <w:r>
              <w:rPr>
                <w:rFonts w:hint="eastAsia" w:ascii="宋体" w:hAnsi="宋体" w:cs="宋体"/>
                <w:szCs w:val="21"/>
              </w:rPr>
              <w:t>计划</w:t>
            </w:r>
          </w:p>
        </w:tc>
        <w:tc>
          <w:tcPr>
            <w:tcW w:w="375" w:type="pct"/>
            <w:vAlign w:val="center"/>
          </w:tcPr>
          <w:p w14:paraId="4EF7C48B">
            <w:pPr>
              <w:spacing w:line="320" w:lineRule="exact"/>
              <w:jc w:val="center"/>
              <w:rPr>
                <w:rFonts w:ascii="宋体" w:hAnsi="宋体"/>
                <w:szCs w:val="21"/>
              </w:rPr>
            </w:pPr>
            <w:r>
              <w:rPr>
                <w:rFonts w:hint="eastAsia" w:ascii="宋体" w:hAnsi="宋体"/>
                <w:szCs w:val="21"/>
              </w:rPr>
              <w:t>6</w:t>
            </w:r>
            <w:r>
              <w:rPr>
                <w:rFonts w:hint="eastAsia" w:ascii="宋体" w:hAnsi="宋体" w:cs="仿宋"/>
                <w:spacing w:val="-4"/>
                <w:szCs w:val="21"/>
              </w:rPr>
              <w:t>分</w:t>
            </w:r>
          </w:p>
        </w:tc>
        <w:tc>
          <w:tcPr>
            <w:tcW w:w="3389" w:type="pct"/>
            <w:vAlign w:val="center"/>
          </w:tcPr>
          <w:p w14:paraId="2EB8403B">
            <w:pPr>
              <w:adjustRightInd w:val="0"/>
              <w:snapToGrid w:val="0"/>
              <w:spacing w:line="320" w:lineRule="exact"/>
              <w:rPr>
                <w:rFonts w:ascii="宋体" w:hAnsi="宋体" w:cs="宋体"/>
                <w:color w:val="auto"/>
                <w:kern w:val="0"/>
              </w:rPr>
            </w:pPr>
            <w:r>
              <w:rPr>
                <w:rFonts w:hint="eastAsia" w:ascii="宋体" w:hAnsi="宋体" w:cs="宋体"/>
              </w:rPr>
              <w:t>根据提供的资源配备计划方案</w:t>
            </w:r>
            <w:r>
              <w:rPr>
                <w:rFonts w:hint="eastAsia" w:ascii="宋体" w:hAnsi="宋体" w:cs="宋体"/>
                <w:szCs w:val="21"/>
              </w:rPr>
              <w:t>，内容包括但不限于①拟投入本项目的人员及安排；②施工机械及工器具；③材料安排计划等进行评审</w:t>
            </w:r>
            <w:r>
              <w:rPr>
                <w:rFonts w:hint="eastAsia" w:ascii="宋体" w:hAnsi="宋体" w:cs="宋体"/>
                <w:kern w:val="0"/>
              </w:rPr>
              <w:t>；</w:t>
            </w:r>
            <w:r>
              <w:rPr>
                <w:rFonts w:hint="eastAsia" w:ascii="宋体" w:hAnsi="宋体" w:cs="宋体"/>
                <w:color w:val="auto"/>
                <w:kern w:val="0"/>
              </w:rPr>
              <w:t>本项满分为6 分；</w:t>
            </w:r>
          </w:p>
          <w:p w14:paraId="4A68EC3D">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2</w:t>
            </w:r>
            <w:r>
              <w:rPr>
                <w:rFonts w:hint="eastAsia" w:ascii="宋体" w:hAnsi="宋体" w:cs="宋体"/>
                <w:color w:val="auto"/>
                <w:kern w:val="0"/>
              </w:rPr>
              <w:t>分；</w:t>
            </w:r>
          </w:p>
          <w:p w14:paraId="3A31E5A1">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2</w:t>
            </w:r>
            <w:r>
              <w:rPr>
                <w:rFonts w:hint="eastAsia" w:ascii="宋体" w:hAnsi="宋体" w:cs="宋体"/>
                <w:color w:val="auto"/>
                <w:kern w:val="0"/>
              </w:rPr>
              <w:t>分；</w:t>
            </w:r>
          </w:p>
          <w:p w14:paraId="2127A89D">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措施具备落地可行性强的计</w:t>
            </w:r>
            <w:r>
              <w:rPr>
                <w:rFonts w:ascii="宋体" w:hAnsi="宋体" w:cs="宋体"/>
                <w:color w:val="auto"/>
                <w:kern w:val="0"/>
              </w:rPr>
              <w:t>2</w:t>
            </w:r>
            <w:r>
              <w:rPr>
                <w:rFonts w:hint="eastAsia" w:ascii="宋体" w:hAnsi="宋体" w:cs="宋体"/>
                <w:color w:val="auto"/>
                <w:kern w:val="0"/>
              </w:rPr>
              <w:t>分。</w:t>
            </w:r>
          </w:p>
          <w:p w14:paraId="19B8A1BE">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rPr>
              <w:t>关键项缺漏、不符要求的每处扣</w:t>
            </w:r>
            <w:r>
              <w:rPr>
                <w:rFonts w:ascii="宋体" w:hAnsi="宋体" w:cs="宋体"/>
                <w:color w:val="auto"/>
                <w:kern w:val="0"/>
              </w:rPr>
              <w:t>2分；存在一般性缺陷</w:t>
            </w:r>
            <w:r>
              <w:rPr>
                <w:rFonts w:hint="eastAsia" w:ascii="宋体" w:hAnsi="宋体" w:cs="宋体"/>
                <w:color w:val="auto"/>
                <w:kern w:val="0"/>
              </w:rPr>
              <w:t>的每处扣</w:t>
            </w:r>
            <w:r>
              <w:rPr>
                <w:rFonts w:ascii="宋体" w:hAnsi="宋体" w:cs="宋体"/>
                <w:color w:val="auto"/>
                <w:kern w:val="0"/>
              </w:rPr>
              <w:t xml:space="preserve">1 </w:t>
            </w:r>
            <w:r>
              <w:rPr>
                <w:rFonts w:hint="eastAsia" w:ascii="宋体" w:hAnsi="宋体" w:cs="宋体"/>
                <w:color w:val="auto"/>
                <w:kern w:val="0"/>
              </w:rPr>
              <w:t>分；内容欠合理的每处扣</w:t>
            </w:r>
            <w:r>
              <w:rPr>
                <w:rFonts w:ascii="宋体" w:hAnsi="宋体" w:cs="宋体"/>
                <w:color w:val="auto"/>
                <w:kern w:val="0"/>
              </w:rPr>
              <w:t>1分。扣分累计核算，分值最低</w:t>
            </w:r>
            <w:r>
              <w:rPr>
                <w:rFonts w:hint="eastAsia" w:ascii="宋体" w:hAnsi="宋体" w:cs="宋体"/>
                <w:color w:val="auto"/>
                <w:kern w:val="0"/>
              </w:rPr>
              <w:t>为</w:t>
            </w:r>
            <w:r>
              <w:rPr>
                <w:rFonts w:ascii="宋体" w:hAnsi="宋体" w:cs="宋体"/>
                <w:color w:val="auto"/>
                <w:kern w:val="0"/>
              </w:rPr>
              <w:t>0分，同一问题不重复扣分；未提供方案</w:t>
            </w:r>
            <w:r>
              <w:rPr>
                <w:rFonts w:hint="eastAsia" w:ascii="宋体" w:hAnsi="宋体" w:cs="宋体"/>
                <w:color w:val="auto"/>
                <w:kern w:val="0"/>
              </w:rPr>
              <w:t>的本项不计分。</w:t>
            </w:r>
          </w:p>
          <w:p w14:paraId="30CBCEE5">
            <w:pPr>
              <w:autoSpaceDE w:val="0"/>
              <w:autoSpaceDN w:val="0"/>
              <w:adjustRightInd w:val="0"/>
              <w:spacing w:line="320" w:lineRule="exact"/>
              <w:jc w:val="left"/>
              <w:rPr>
                <w:rFonts w:hint="eastAsia" w:ascii="宋体" w:hAnsi="宋体" w:cs="宋体"/>
                <w:color w:val="auto"/>
                <w:kern w:val="0"/>
              </w:rPr>
            </w:pPr>
            <w:r>
              <w:rPr>
                <w:rFonts w:hint="eastAsia" w:ascii="宋体" w:hAnsi="宋体" w:cs="宋体"/>
                <w:color w:val="auto"/>
                <w:kern w:val="0"/>
                <w:lang w:val="en-US" w:eastAsia="zh-CN"/>
              </w:rPr>
              <w:t>注</w:t>
            </w:r>
            <w:r>
              <w:rPr>
                <w:rFonts w:hint="eastAsia" w:ascii="宋体" w:hAnsi="宋体" w:cs="宋体"/>
                <w:color w:val="auto"/>
                <w:kern w:val="0"/>
              </w:rPr>
              <w:t>：</w:t>
            </w:r>
            <w:r>
              <w:rPr>
                <w:rFonts w:hint="eastAsia" w:ascii="宋体" w:hAnsi="宋体" w:cs="宋体"/>
                <w:color w:val="auto"/>
                <w:kern w:val="0"/>
                <w:lang w:val="en-US" w:eastAsia="zh-CN"/>
              </w:rPr>
              <w:t>1</w:t>
            </w:r>
            <w:r>
              <w:rPr>
                <w:rFonts w:hint="eastAsia" w:ascii="宋体" w:hAnsi="宋体" w:cs="宋体"/>
                <w:color w:val="auto"/>
                <w:kern w:val="0"/>
              </w:rPr>
              <w:t>、缺漏项是指该项内容未提供具体的实施方案内容，或者整段内容照搬采购需求、评审办法的内容未做修改</w:t>
            </w:r>
            <w:r>
              <w:rPr>
                <w:rFonts w:hint="eastAsia" w:ascii="宋体" w:hAnsi="宋体" w:cs="宋体"/>
                <w:color w:val="auto"/>
                <w:kern w:val="0"/>
                <w:lang w:val="en-US" w:eastAsia="zh-CN"/>
              </w:rPr>
              <w:t>等</w:t>
            </w:r>
            <w:r>
              <w:rPr>
                <w:rFonts w:hint="eastAsia" w:ascii="宋体" w:hAnsi="宋体" w:cs="宋体"/>
                <w:color w:val="auto"/>
                <w:kern w:val="0"/>
              </w:rPr>
              <w:t>；</w:t>
            </w:r>
            <w:r>
              <w:rPr>
                <w:rFonts w:hint="eastAsia" w:ascii="宋体" w:hAnsi="宋体" w:cs="宋体"/>
                <w:color w:val="auto"/>
                <w:kern w:val="0"/>
                <w:lang w:val="en-US" w:eastAsia="zh-CN"/>
              </w:rPr>
              <w:t>2、欠</w:t>
            </w:r>
            <w:r>
              <w:rPr>
                <w:rFonts w:hint="eastAsia" w:ascii="宋体" w:hAnsi="宋体" w:cs="宋体"/>
                <w:color w:val="auto"/>
                <w:kern w:val="0"/>
              </w:rPr>
              <w:t>合理是指非专门针对本项目或者不适用项目的情形，内容不完整或者缺少关键安排，套用其他项目方案、内容前后矛盾、表述错误</w:t>
            </w:r>
            <w:r>
              <w:rPr>
                <w:rFonts w:hint="eastAsia" w:ascii="宋体" w:hAnsi="宋体" w:cs="宋体"/>
                <w:color w:val="auto"/>
                <w:kern w:val="0"/>
                <w:lang w:eastAsia="zh-CN"/>
              </w:rPr>
              <w:t>、</w:t>
            </w:r>
            <w:r>
              <w:rPr>
                <w:rFonts w:hint="eastAsia" w:ascii="宋体" w:hAnsi="宋体" w:cs="宋体"/>
                <w:color w:val="auto"/>
                <w:kern w:val="0"/>
              </w:rPr>
              <w:t>计划安排无条理性、方案内容空洞、存在歧义、逻辑混乱</w:t>
            </w:r>
            <w:r>
              <w:rPr>
                <w:rFonts w:hint="eastAsia" w:ascii="宋体" w:hAnsi="宋体" w:cs="宋体"/>
                <w:color w:val="auto"/>
                <w:kern w:val="0"/>
                <w:lang w:eastAsia="zh-CN"/>
              </w:rPr>
              <w:t>、</w:t>
            </w:r>
            <w:r>
              <w:rPr>
                <w:rFonts w:hint="eastAsia" w:ascii="宋体" w:hAnsi="宋体" w:cs="宋体"/>
                <w:color w:val="auto"/>
                <w:kern w:val="0"/>
              </w:rPr>
              <w:t>内容不完善等；针对性欠缺是指项目名称不符、未贴合采购需求、方案内容与项目需求不一致或没有关联性。</w:t>
            </w:r>
          </w:p>
        </w:tc>
      </w:tr>
      <w:tr w14:paraId="1879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599" w:type="pct"/>
            <w:vMerge w:val="continue"/>
            <w:vAlign w:val="center"/>
          </w:tcPr>
          <w:p w14:paraId="1C05F5C5">
            <w:pPr>
              <w:spacing w:line="360" w:lineRule="auto"/>
              <w:ind w:hanging="315"/>
              <w:jc w:val="center"/>
              <w:rPr>
                <w:rFonts w:cs="楷体" w:asciiTheme="minorEastAsia" w:hAnsiTheme="minorEastAsia" w:eastAsiaTheme="minorEastAsia"/>
              </w:rPr>
            </w:pPr>
          </w:p>
        </w:tc>
        <w:tc>
          <w:tcPr>
            <w:tcW w:w="637" w:type="pct"/>
            <w:vAlign w:val="center"/>
          </w:tcPr>
          <w:p w14:paraId="2A099582">
            <w:pPr>
              <w:spacing w:line="320" w:lineRule="exact"/>
              <w:jc w:val="center"/>
              <w:rPr>
                <w:rFonts w:ascii="宋体" w:hAnsi="宋体" w:cs="宋体"/>
                <w:szCs w:val="21"/>
              </w:rPr>
            </w:pPr>
            <w:r>
              <w:rPr>
                <w:rFonts w:hint="eastAsia" w:ascii="宋体" w:hAnsi="宋体" w:cs="宋体"/>
                <w:szCs w:val="21"/>
              </w:rPr>
              <w:t>工程进度计划与保证措施</w:t>
            </w:r>
          </w:p>
        </w:tc>
        <w:tc>
          <w:tcPr>
            <w:tcW w:w="375" w:type="pct"/>
            <w:vAlign w:val="center"/>
          </w:tcPr>
          <w:p w14:paraId="5AAA1D3A">
            <w:pPr>
              <w:spacing w:line="320" w:lineRule="exact"/>
              <w:jc w:val="center"/>
              <w:rPr>
                <w:rFonts w:ascii="宋体" w:hAnsi="宋体" w:cs="宋体"/>
                <w:sz w:val="22"/>
                <w:szCs w:val="22"/>
              </w:rPr>
            </w:pPr>
            <w:r>
              <w:rPr>
                <w:rFonts w:hint="eastAsia" w:ascii="宋体" w:hAnsi="宋体"/>
                <w:szCs w:val="21"/>
              </w:rPr>
              <w:t>6</w:t>
            </w:r>
            <w:r>
              <w:rPr>
                <w:rFonts w:hint="eastAsia" w:ascii="宋体" w:hAnsi="宋体" w:cs="仿宋"/>
                <w:spacing w:val="-4"/>
                <w:szCs w:val="21"/>
              </w:rPr>
              <w:t>分</w:t>
            </w:r>
          </w:p>
        </w:tc>
        <w:tc>
          <w:tcPr>
            <w:tcW w:w="3389" w:type="pct"/>
            <w:vAlign w:val="center"/>
          </w:tcPr>
          <w:p w14:paraId="22C162F2">
            <w:pPr>
              <w:adjustRightInd w:val="0"/>
              <w:snapToGrid w:val="0"/>
              <w:spacing w:line="320" w:lineRule="exact"/>
              <w:rPr>
                <w:rFonts w:ascii="宋体" w:hAnsi="宋体" w:cs="宋体"/>
                <w:color w:val="auto"/>
                <w:kern w:val="0"/>
              </w:rPr>
            </w:pPr>
            <w:r>
              <w:rPr>
                <w:rFonts w:hint="eastAsia" w:ascii="宋体" w:hAnsi="宋体" w:cs="宋体"/>
                <w:szCs w:val="21"/>
              </w:rPr>
              <w:t>根据供应商提供的工程进度计划与保证措施方案，</w:t>
            </w:r>
            <w:r>
              <w:rPr>
                <w:rFonts w:hint="eastAsia" w:ascii="宋体" w:hAnsi="宋体" w:cs="宋体"/>
                <w:kern w:val="0"/>
              </w:rPr>
              <w:t>内容包括但不限于</w:t>
            </w:r>
            <w:r>
              <w:rPr>
                <w:rFonts w:hint="eastAsia" w:ascii="宋体" w:hAnsi="宋体" w:cs="宋体"/>
                <w:szCs w:val="21"/>
              </w:rPr>
              <w:t>①项目特点，②控制性工程以及重难点工程的分析③各类型维修进度计</w:t>
            </w:r>
            <w:r>
              <w:rPr>
                <w:rFonts w:hint="eastAsia" w:ascii="宋体" w:hAnsi="宋体" w:cs="宋体"/>
                <w:color w:val="auto"/>
                <w:szCs w:val="21"/>
              </w:rPr>
              <w:t>划等进行评审</w:t>
            </w:r>
            <w:r>
              <w:rPr>
                <w:rFonts w:hint="eastAsia" w:ascii="宋体" w:hAnsi="宋体" w:cs="宋体"/>
                <w:color w:val="auto"/>
                <w:kern w:val="0"/>
              </w:rPr>
              <w:t>；本项满分为</w:t>
            </w:r>
            <w:r>
              <w:rPr>
                <w:rFonts w:ascii="宋体" w:hAnsi="宋体" w:cs="宋体"/>
                <w:color w:val="auto"/>
                <w:kern w:val="0"/>
              </w:rPr>
              <w:t>6 分</w:t>
            </w:r>
            <w:r>
              <w:rPr>
                <w:rFonts w:hint="eastAsia" w:ascii="宋体" w:hAnsi="宋体" w:cs="宋体"/>
                <w:color w:val="auto"/>
                <w:kern w:val="0"/>
              </w:rPr>
              <w:t>；</w:t>
            </w:r>
          </w:p>
          <w:p w14:paraId="26B391CF">
            <w:pPr>
              <w:numPr>
                <w:ilvl w:val="255"/>
                <w:numId w:val="0"/>
              </w:numPr>
              <w:adjustRightInd w:val="0"/>
              <w:snapToGrid w:val="0"/>
              <w:spacing w:line="320" w:lineRule="exact"/>
              <w:rPr>
                <w:rFonts w:ascii="宋体" w:hAnsi="宋体" w:cs="宋体"/>
                <w:color w:val="auto"/>
                <w:kern w:val="0"/>
              </w:rPr>
            </w:pPr>
            <w:r>
              <w:rPr>
                <w:rFonts w:ascii="宋体" w:hAnsi="宋体" w:cs="宋体"/>
                <w:color w:val="auto"/>
                <w:kern w:val="0"/>
              </w:rPr>
              <w:t>1、方案</w:t>
            </w:r>
            <w:r>
              <w:rPr>
                <w:rFonts w:hint="eastAsia" w:ascii="宋体" w:hAnsi="宋体" w:cs="宋体"/>
                <w:color w:val="auto"/>
                <w:kern w:val="0"/>
              </w:rPr>
              <w:t>内容根据以上要求进行提供，内容齐全且符合项目要求的计</w:t>
            </w:r>
            <w:r>
              <w:rPr>
                <w:rFonts w:ascii="宋体" w:hAnsi="宋体" w:cs="宋体"/>
                <w:color w:val="auto"/>
                <w:kern w:val="0"/>
              </w:rPr>
              <w:t>2</w:t>
            </w:r>
            <w:r>
              <w:rPr>
                <w:rFonts w:hint="eastAsia" w:ascii="宋体" w:hAnsi="宋体" w:cs="宋体"/>
                <w:color w:val="auto"/>
                <w:kern w:val="0"/>
              </w:rPr>
              <w:t>分；</w:t>
            </w:r>
          </w:p>
          <w:p w14:paraId="076FBF78">
            <w:pPr>
              <w:numPr>
                <w:ilvl w:val="255"/>
                <w:numId w:val="0"/>
              </w:numPr>
              <w:adjustRightInd w:val="0"/>
              <w:snapToGrid w:val="0"/>
              <w:spacing w:line="320" w:lineRule="exact"/>
              <w:rPr>
                <w:rFonts w:asciiTheme="minorEastAsia" w:hAnsiTheme="minorEastAsia" w:eastAsiaTheme="minorEastAsia" w:cstheme="minorEastAsia"/>
                <w:color w:val="auto"/>
              </w:rPr>
            </w:pPr>
            <w:r>
              <w:rPr>
                <w:rFonts w:ascii="宋体" w:hAnsi="宋体" w:cs="宋体"/>
                <w:color w:val="auto"/>
                <w:kern w:val="0"/>
              </w:rPr>
              <w:t>2、方案</w:t>
            </w:r>
            <w:r>
              <w:rPr>
                <w:rFonts w:hint="eastAsia" w:ascii="宋体" w:hAnsi="宋体" w:cs="宋体"/>
                <w:color w:val="auto"/>
                <w:kern w:val="0"/>
              </w:rPr>
              <w:t>内容根据以上要求进行提供，内容科学合理的计</w:t>
            </w:r>
            <w:r>
              <w:rPr>
                <w:rFonts w:ascii="宋体" w:hAnsi="宋体" w:cs="宋体"/>
                <w:color w:val="auto"/>
                <w:kern w:val="0"/>
              </w:rPr>
              <w:t>2</w:t>
            </w:r>
            <w:r>
              <w:rPr>
                <w:rFonts w:hint="eastAsia" w:ascii="宋体" w:hAnsi="宋体" w:cs="宋体"/>
                <w:color w:val="auto"/>
                <w:kern w:val="0"/>
              </w:rPr>
              <w:t>分；</w:t>
            </w:r>
          </w:p>
          <w:p w14:paraId="0AFD2751">
            <w:pPr>
              <w:autoSpaceDE w:val="0"/>
              <w:autoSpaceDN w:val="0"/>
              <w:adjustRightInd w:val="0"/>
              <w:spacing w:line="320" w:lineRule="exact"/>
              <w:jc w:val="left"/>
              <w:rPr>
                <w:rFonts w:hint="eastAsia" w:ascii="宋体" w:hAnsi="宋体" w:eastAsia="宋体" w:cs="宋体"/>
                <w:color w:val="auto"/>
                <w:kern w:val="0"/>
              </w:rPr>
            </w:pPr>
            <w:r>
              <w:rPr>
                <w:rFonts w:ascii="宋体" w:hAnsi="宋体" w:cs="宋体"/>
                <w:color w:val="auto"/>
                <w:kern w:val="0"/>
              </w:rPr>
              <w:t>3、方案内容根据以上要求进行提供，方案</w:t>
            </w:r>
            <w:r>
              <w:rPr>
                <w:rFonts w:hint="eastAsia" w:ascii="宋体" w:hAnsi="宋体" w:cs="宋体"/>
                <w:color w:val="auto"/>
                <w:kern w:val="0"/>
              </w:rPr>
              <w:t>措施具备落地可行性强的</w:t>
            </w:r>
            <w:r>
              <w:rPr>
                <w:rFonts w:hint="eastAsia" w:ascii="宋体" w:hAnsi="宋体" w:eastAsia="宋体" w:cs="宋体"/>
                <w:color w:val="auto"/>
                <w:kern w:val="0"/>
              </w:rPr>
              <w:t>计2分。</w:t>
            </w:r>
          </w:p>
          <w:p w14:paraId="0AD8BF5C">
            <w:pPr>
              <w:autoSpaceDE w:val="0"/>
              <w:autoSpaceDN w:val="0"/>
              <w:adjustRightInd w:val="0"/>
              <w:spacing w:line="320" w:lineRule="exact"/>
              <w:jc w:val="left"/>
              <w:rPr>
                <w:rFonts w:hint="eastAsia" w:ascii="宋体" w:hAnsi="宋体" w:eastAsia="宋体" w:cs="宋体"/>
                <w:color w:val="auto"/>
                <w:kern w:val="0"/>
              </w:rPr>
            </w:pPr>
            <w:r>
              <w:rPr>
                <w:rFonts w:hint="eastAsia" w:ascii="宋体" w:hAnsi="宋体" w:eastAsia="宋体" w:cs="宋体"/>
                <w:color w:val="auto"/>
                <w:kern w:val="0"/>
              </w:rPr>
              <w:t>关键项缺漏、不符要求的每处扣2分；存在一般性缺陷的每处扣1 分；内容欠合理的每处扣1分。扣分累计核算，分值最低为0分，同一问题不重复扣分；未提供方案的本项不计分。</w:t>
            </w:r>
          </w:p>
          <w:p w14:paraId="759C7FC8">
            <w:pPr>
              <w:autoSpaceDE w:val="0"/>
              <w:autoSpaceDN w:val="0"/>
              <w:adjustRightInd w:val="0"/>
              <w:spacing w:line="320" w:lineRule="exact"/>
              <w:jc w:val="left"/>
              <w:rPr>
                <w:rFonts w:hint="eastAsia" w:ascii="宋体" w:hAnsi="宋体" w:cs="宋体"/>
                <w:color w:val="auto"/>
                <w:kern w:val="0"/>
              </w:rPr>
            </w:pPr>
            <w:r>
              <w:rPr>
                <w:rFonts w:hint="eastAsia" w:ascii="宋体" w:hAnsi="宋体" w:eastAsia="宋体" w:cs="宋体"/>
                <w:color w:val="auto"/>
                <w:kern w:val="0"/>
                <w:lang w:val="en-US" w:eastAsia="zh-CN"/>
              </w:rPr>
              <w:t>注</w:t>
            </w:r>
            <w:r>
              <w:rPr>
                <w:rFonts w:hint="eastAsia" w:ascii="宋体" w:hAnsi="宋体" w:eastAsia="宋体" w:cs="宋体"/>
                <w:color w:val="auto"/>
                <w:kern w:val="0"/>
              </w:rPr>
              <w:t>：</w:t>
            </w:r>
            <w:r>
              <w:rPr>
                <w:rFonts w:hint="eastAsia" w:ascii="宋体" w:hAnsi="宋体" w:eastAsia="宋体" w:cs="宋体"/>
                <w:color w:val="auto"/>
                <w:kern w:val="0"/>
                <w:lang w:val="en-US" w:eastAsia="zh-CN"/>
              </w:rPr>
              <w:t>1</w:t>
            </w:r>
            <w:r>
              <w:rPr>
                <w:rFonts w:hint="eastAsia" w:ascii="宋体" w:hAnsi="宋体" w:eastAsia="宋体" w:cs="宋体"/>
                <w:color w:val="auto"/>
                <w:kern w:val="0"/>
              </w:rPr>
              <w:t>、缺漏项是指该项内容未提供具体的实施方案内容，或者整段内容照搬采购需求、评审办法的内容未做修改</w:t>
            </w:r>
            <w:r>
              <w:rPr>
                <w:rFonts w:hint="eastAsia" w:ascii="宋体" w:hAnsi="宋体" w:eastAsia="宋体" w:cs="宋体"/>
                <w:color w:val="auto"/>
                <w:kern w:val="0"/>
                <w:lang w:val="en-US" w:eastAsia="zh-CN"/>
              </w:rPr>
              <w:t>等</w:t>
            </w:r>
            <w:r>
              <w:rPr>
                <w:rFonts w:hint="eastAsia" w:ascii="宋体" w:hAnsi="宋体" w:eastAsia="宋体" w:cs="宋体"/>
                <w:color w:val="auto"/>
                <w:kern w:val="0"/>
              </w:rPr>
              <w:t>；</w:t>
            </w:r>
            <w:r>
              <w:rPr>
                <w:rFonts w:hint="eastAsia" w:ascii="宋体" w:hAnsi="宋体" w:eastAsia="宋体" w:cs="宋体"/>
                <w:color w:val="auto"/>
                <w:kern w:val="0"/>
                <w:lang w:val="en-US" w:eastAsia="zh-CN"/>
              </w:rPr>
              <w:t>2、欠</w:t>
            </w:r>
            <w:r>
              <w:rPr>
                <w:rFonts w:hint="eastAsia" w:ascii="宋体" w:hAnsi="宋体" w:eastAsia="宋体" w:cs="宋体"/>
                <w:color w:val="auto"/>
                <w:kern w:val="0"/>
              </w:rPr>
              <w:t>合理是指非专门针对本项目或者不适用项目的情形，内容不完整或者缺少关键安排，套用其他项目方案、内容前后矛盾、表述错误</w:t>
            </w:r>
            <w:r>
              <w:rPr>
                <w:rFonts w:hint="eastAsia" w:ascii="宋体" w:hAnsi="宋体" w:eastAsia="宋体" w:cs="宋体"/>
                <w:color w:val="auto"/>
                <w:kern w:val="0"/>
                <w:lang w:eastAsia="zh-CN"/>
              </w:rPr>
              <w:t>、</w:t>
            </w:r>
            <w:r>
              <w:rPr>
                <w:rFonts w:hint="eastAsia" w:ascii="宋体" w:hAnsi="宋体" w:eastAsia="宋体" w:cs="宋体"/>
                <w:color w:val="auto"/>
                <w:kern w:val="0"/>
              </w:rPr>
              <w:t>计划安排无条理性、方案内容空洞、存在歧义、逻辑混乱</w:t>
            </w:r>
            <w:r>
              <w:rPr>
                <w:rFonts w:hint="eastAsia" w:ascii="宋体" w:hAnsi="宋体" w:eastAsia="宋体" w:cs="宋体"/>
                <w:color w:val="auto"/>
                <w:kern w:val="0"/>
                <w:lang w:eastAsia="zh-CN"/>
              </w:rPr>
              <w:t>、</w:t>
            </w:r>
            <w:r>
              <w:rPr>
                <w:rFonts w:hint="eastAsia" w:ascii="宋体" w:hAnsi="宋体" w:eastAsia="宋体" w:cs="宋体"/>
                <w:color w:val="auto"/>
                <w:kern w:val="0"/>
              </w:rPr>
              <w:t>内容不完善等；针对性欠缺是指项目名称不符、未贴合采购需求、方案内容与项目需求不一致或没有关联性。</w:t>
            </w:r>
          </w:p>
        </w:tc>
      </w:tr>
      <w:tr w14:paraId="257A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87" w:hRule="atLeast"/>
        </w:trPr>
        <w:tc>
          <w:tcPr>
            <w:tcW w:w="599" w:type="pct"/>
            <w:vMerge w:val="restart"/>
            <w:vAlign w:val="center"/>
          </w:tcPr>
          <w:p w14:paraId="329ABC98">
            <w:pPr>
              <w:widowControl/>
              <w:spacing w:line="360" w:lineRule="auto"/>
              <w:textAlignment w:val="center"/>
              <w:rPr>
                <w:rFonts w:cs="楷体" w:asciiTheme="minorEastAsia" w:hAnsiTheme="minorEastAsia" w:eastAsiaTheme="minorEastAsia"/>
              </w:rPr>
            </w:pPr>
            <w:r>
              <w:rPr>
                <w:rFonts w:hint="eastAsia" w:cs="楷体" w:asciiTheme="minorEastAsia" w:hAnsiTheme="minorEastAsia" w:eastAsiaTheme="minorEastAsia"/>
              </w:rPr>
              <w:t>商务部分（20分）</w:t>
            </w:r>
          </w:p>
        </w:tc>
        <w:tc>
          <w:tcPr>
            <w:tcW w:w="637" w:type="pct"/>
            <w:vAlign w:val="center"/>
          </w:tcPr>
          <w:p w14:paraId="14FE6056">
            <w:pPr>
              <w:widowControl/>
              <w:spacing w:line="360" w:lineRule="auto"/>
              <w:textAlignment w:val="center"/>
              <w:rPr>
                <w:rFonts w:cs="楷体" w:asciiTheme="minorEastAsia" w:hAnsiTheme="minorEastAsia" w:eastAsiaTheme="minorEastAsia"/>
              </w:rPr>
            </w:pPr>
            <w:r>
              <w:rPr>
                <w:rFonts w:hint="eastAsia" w:cs="楷体" w:asciiTheme="minorEastAsia" w:hAnsiTheme="minorEastAsia" w:eastAsiaTheme="minorEastAsia"/>
              </w:rPr>
              <w:t>类似业绩</w:t>
            </w:r>
          </w:p>
        </w:tc>
        <w:tc>
          <w:tcPr>
            <w:tcW w:w="375" w:type="pct"/>
            <w:vAlign w:val="center"/>
          </w:tcPr>
          <w:p w14:paraId="5AF5165B">
            <w:pPr>
              <w:widowControl/>
              <w:spacing w:line="320" w:lineRule="exact"/>
              <w:jc w:val="center"/>
              <w:textAlignment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p>
        </w:tc>
        <w:tc>
          <w:tcPr>
            <w:tcW w:w="3389" w:type="pct"/>
            <w:vAlign w:val="center"/>
          </w:tcPr>
          <w:p w14:paraId="75B6BA41">
            <w:pPr>
              <w:widowControl/>
              <w:adjustRightInd w:val="0"/>
              <w:snapToGrid w:val="0"/>
              <w:spacing w:line="320" w:lineRule="exact"/>
              <w:jc w:val="left"/>
              <w:rPr>
                <w:rFonts w:ascii="宋体" w:hAnsi="宋体"/>
                <w:color w:val="auto"/>
                <w:szCs w:val="21"/>
              </w:rPr>
            </w:pPr>
            <w:r>
              <w:rPr>
                <w:rFonts w:hint="eastAsia" w:ascii="宋体" w:hAnsi="宋体"/>
                <w:color w:val="auto"/>
                <w:szCs w:val="21"/>
              </w:rPr>
              <w:t>供应商提供自投标截止时间前36个月内的同类（</w:t>
            </w:r>
            <w:r>
              <w:rPr>
                <w:rFonts w:hint="eastAsia" w:ascii="宋体" w:hAnsi="宋体"/>
                <w:color w:val="auto"/>
                <w:szCs w:val="21"/>
                <w:lang w:val="en-US" w:eastAsia="zh-CN"/>
              </w:rPr>
              <w:t>市政</w:t>
            </w:r>
            <w:r>
              <w:rPr>
                <w:rFonts w:hint="eastAsia" w:ascii="宋体" w:hAnsi="宋体"/>
                <w:color w:val="auto"/>
                <w:szCs w:val="21"/>
              </w:rPr>
              <w:t>工程）项目业绩的，每提供一个计2分，本项最多计10分。</w:t>
            </w:r>
          </w:p>
          <w:p w14:paraId="5E377363">
            <w:pPr>
              <w:widowControl/>
              <w:adjustRightInd w:val="0"/>
              <w:snapToGrid w:val="0"/>
              <w:spacing w:line="320" w:lineRule="exact"/>
              <w:jc w:val="left"/>
              <w:rPr>
                <w:rFonts w:asciiTheme="minorEastAsia" w:hAnsiTheme="minorEastAsia" w:eastAsiaTheme="minorEastAsia" w:cstheme="minorEastAsia"/>
                <w:color w:val="auto"/>
              </w:rPr>
            </w:pPr>
            <w:r>
              <w:rPr>
                <w:rFonts w:hint="eastAsia" w:ascii="宋体" w:hAnsi="宋体"/>
                <w:color w:val="auto"/>
                <w:szCs w:val="21"/>
              </w:rPr>
              <w:t>以项目合同签订时间为准，须提供施工合同复印件并加盖供应商公章，否则不计分。</w:t>
            </w:r>
          </w:p>
        </w:tc>
      </w:tr>
      <w:tr w14:paraId="1948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87" w:hRule="atLeast"/>
        </w:trPr>
        <w:tc>
          <w:tcPr>
            <w:tcW w:w="599" w:type="pct"/>
            <w:vMerge w:val="continue"/>
            <w:vAlign w:val="center"/>
          </w:tcPr>
          <w:p w14:paraId="036B3365">
            <w:pPr>
              <w:widowControl/>
              <w:spacing w:line="360" w:lineRule="auto"/>
              <w:ind w:hanging="315"/>
              <w:jc w:val="center"/>
              <w:textAlignment w:val="center"/>
              <w:rPr>
                <w:rFonts w:cs="楷体" w:asciiTheme="minorEastAsia" w:hAnsiTheme="minorEastAsia" w:eastAsiaTheme="minorEastAsia"/>
              </w:rPr>
            </w:pPr>
          </w:p>
        </w:tc>
        <w:tc>
          <w:tcPr>
            <w:tcW w:w="637" w:type="pct"/>
            <w:vAlign w:val="center"/>
          </w:tcPr>
          <w:p w14:paraId="0E271294">
            <w:pPr>
              <w:widowControl/>
              <w:spacing w:line="360" w:lineRule="auto"/>
              <w:textAlignment w:val="center"/>
              <w:rPr>
                <w:rFonts w:cs="楷体" w:asciiTheme="minorEastAsia" w:hAnsiTheme="minorEastAsia" w:eastAsiaTheme="minorEastAsia"/>
              </w:rPr>
            </w:pPr>
            <w:r>
              <w:rPr>
                <w:rFonts w:hint="eastAsia" w:ascii="宋体" w:hAnsi="宋体" w:cs="宋体"/>
                <w:szCs w:val="21"/>
              </w:rPr>
              <w:t>售后服务</w:t>
            </w:r>
          </w:p>
        </w:tc>
        <w:tc>
          <w:tcPr>
            <w:tcW w:w="375" w:type="pct"/>
            <w:vAlign w:val="center"/>
          </w:tcPr>
          <w:p w14:paraId="32A2E52B">
            <w:pPr>
              <w:widowControl/>
              <w:spacing w:line="320" w:lineRule="exact"/>
              <w:jc w:val="center"/>
              <w:textAlignment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w:t>
            </w:r>
          </w:p>
        </w:tc>
        <w:tc>
          <w:tcPr>
            <w:tcW w:w="3389" w:type="pct"/>
            <w:vAlign w:val="center"/>
          </w:tcPr>
          <w:p w14:paraId="6A929146">
            <w:pPr>
              <w:adjustRightInd w:val="0"/>
              <w:snapToGrid w:val="0"/>
              <w:spacing w:line="320" w:lineRule="exact"/>
              <w:rPr>
                <w:rFonts w:ascii="宋体" w:hAnsi="宋体"/>
                <w:color w:val="auto"/>
                <w:szCs w:val="21"/>
              </w:rPr>
            </w:pPr>
            <w:r>
              <w:rPr>
                <w:rFonts w:hint="eastAsia" w:ascii="宋体" w:hAnsi="宋体"/>
                <w:color w:val="auto"/>
                <w:szCs w:val="21"/>
              </w:rPr>
              <w:t>投标人获得有效的质量管理体系认证证书、职业健康安全管理体系认证证书、环境管理体系认证证书，每提供一个计2分，本项最高计6分。</w:t>
            </w:r>
          </w:p>
          <w:p w14:paraId="5ED07676">
            <w:pPr>
              <w:adjustRightInd w:val="0"/>
              <w:snapToGrid w:val="0"/>
              <w:spacing w:line="320" w:lineRule="exact"/>
              <w:rPr>
                <w:rFonts w:asciiTheme="minorEastAsia" w:hAnsiTheme="minorEastAsia" w:eastAsiaTheme="minorEastAsia" w:cstheme="minorEastAsia"/>
                <w:color w:val="auto"/>
              </w:rPr>
            </w:pPr>
            <w:r>
              <w:rPr>
                <w:rFonts w:hint="eastAsia" w:ascii="宋体" w:hAnsi="宋体"/>
                <w:color w:val="auto"/>
                <w:szCs w:val="21"/>
              </w:rPr>
              <w:t>（需提供证书复印件并加盖供应商公章，否则不计分。）</w:t>
            </w:r>
          </w:p>
        </w:tc>
      </w:tr>
      <w:tr w14:paraId="353D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86" w:hRule="atLeast"/>
        </w:trPr>
        <w:tc>
          <w:tcPr>
            <w:tcW w:w="599" w:type="pct"/>
            <w:vMerge w:val="continue"/>
            <w:vAlign w:val="center"/>
          </w:tcPr>
          <w:p w14:paraId="0D469C32">
            <w:pPr>
              <w:spacing w:line="360" w:lineRule="auto"/>
              <w:ind w:hanging="315"/>
              <w:jc w:val="center"/>
              <w:rPr>
                <w:rFonts w:cs="楷体" w:asciiTheme="minorEastAsia" w:hAnsiTheme="minorEastAsia" w:eastAsiaTheme="minorEastAsia"/>
              </w:rPr>
            </w:pPr>
          </w:p>
        </w:tc>
        <w:tc>
          <w:tcPr>
            <w:tcW w:w="637" w:type="pct"/>
            <w:vAlign w:val="center"/>
          </w:tcPr>
          <w:p w14:paraId="10CBBB53">
            <w:pPr>
              <w:widowControl/>
              <w:spacing w:line="360" w:lineRule="auto"/>
              <w:textAlignment w:val="center"/>
              <w:rPr>
                <w:rFonts w:cs="楷体" w:asciiTheme="minorEastAsia" w:hAnsiTheme="minorEastAsia" w:eastAsiaTheme="minorEastAsia"/>
              </w:rPr>
            </w:pPr>
            <w:r>
              <w:rPr>
                <w:rFonts w:cs="楷体" w:asciiTheme="minorEastAsia" w:hAnsiTheme="minorEastAsia" w:eastAsiaTheme="minorEastAsia"/>
              </w:rPr>
              <w:t>无不良行为</w:t>
            </w:r>
          </w:p>
        </w:tc>
        <w:tc>
          <w:tcPr>
            <w:tcW w:w="375" w:type="pct"/>
            <w:vAlign w:val="center"/>
          </w:tcPr>
          <w:p w14:paraId="4B010BAF">
            <w:pPr>
              <w:widowControl/>
              <w:spacing w:line="360" w:lineRule="auto"/>
              <w:ind w:firstLine="210" w:firstLineChars="100"/>
              <w:textAlignment w:val="center"/>
              <w:rPr>
                <w:rFonts w:cs="楷体" w:asciiTheme="minorEastAsia" w:hAnsiTheme="minorEastAsia" w:eastAsiaTheme="minorEastAsia"/>
              </w:rPr>
            </w:pPr>
            <w:r>
              <w:rPr>
                <w:rFonts w:hint="eastAsia" w:cs="楷体" w:asciiTheme="minorEastAsia" w:hAnsiTheme="minorEastAsia" w:eastAsiaTheme="minorEastAsia"/>
              </w:rPr>
              <w:t>4</w:t>
            </w:r>
          </w:p>
        </w:tc>
        <w:tc>
          <w:tcPr>
            <w:tcW w:w="3389" w:type="pct"/>
            <w:vAlign w:val="center"/>
          </w:tcPr>
          <w:p w14:paraId="3A4E7E86">
            <w:pPr>
              <w:widowControl/>
              <w:spacing w:line="360" w:lineRule="auto"/>
              <w:jc w:val="left"/>
              <w:rPr>
                <w:rFonts w:ascii="宋体" w:hAnsi="宋体"/>
                <w:szCs w:val="21"/>
              </w:rPr>
            </w:pPr>
            <w:r>
              <w:rPr>
                <w:rFonts w:hint="eastAsia" w:ascii="宋体" w:hAnsi="宋体"/>
                <w:szCs w:val="21"/>
              </w:rPr>
              <w:t>根据供应商及拟任项目负责人近三年以来的不良行为记录情况，供应商应在响应文件中如实反映其单位及拟任项目负责人2023年以来的不良行为记录，无不良行为记录的计</w:t>
            </w:r>
            <w:r>
              <w:rPr>
                <w:rFonts w:ascii="宋体" w:hAnsi="宋体"/>
                <w:szCs w:val="21"/>
              </w:rPr>
              <w:t>4</w:t>
            </w:r>
            <w:r>
              <w:rPr>
                <w:rFonts w:hint="eastAsia" w:ascii="宋体" w:hAnsi="宋体"/>
                <w:szCs w:val="21"/>
              </w:rPr>
              <w:t>分，发生一次不良行为记录该项不计分。</w:t>
            </w:r>
          </w:p>
          <w:p w14:paraId="3B427B49">
            <w:pPr>
              <w:widowControl/>
              <w:adjustRightInd w:val="0"/>
              <w:snapToGrid w:val="0"/>
              <w:spacing w:line="360" w:lineRule="auto"/>
              <w:ind w:firstLine="211"/>
              <w:jc w:val="left"/>
              <w:rPr>
                <w:rFonts w:cs="楷体" w:asciiTheme="minorEastAsia" w:hAnsiTheme="minorEastAsia" w:eastAsiaTheme="minorEastAsia"/>
              </w:rPr>
            </w:pPr>
            <w:r>
              <w:rPr>
                <w:rFonts w:hint="eastAsia" w:ascii="宋体" w:hAnsi="宋体"/>
                <w:b/>
                <w:bCs/>
                <w:szCs w:val="21"/>
              </w:rPr>
              <w:t>注：须提供官网查询结果或无不良行为记录承诺函。以省级及以上建设行政主管部门公布的不良行为记录为准。一旦发现弄虚作假，取消投标资格或成交资格。</w:t>
            </w:r>
          </w:p>
        </w:tc>
      </w:tr>
      <w:tr w14:paraId="70B4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36" w:type="pct"/>
            <w:gridSpan w:val="2"/>
            <w:vAlign w:val="center"/>
          </w:tcPr>
          <w:p w14:paraId="062E69DC">
            <w:pPr>
              <w:widowControl/>
              <w:spacing w:line="360" w:lineRule="auto"/>
              <w:ind w:hanging="315"/>
              <w:textAlignment w:val="center"/>
              <w:rPr>
                <w:rFonts w:cs="楷体" w:asciiTheme="minorEastAsia" w:hAnsiTheme="minorEastAsia" w:eastAsiaTheme="minorEastAsia"/>
              </w:rPr>
            </w:pPr>
            <w:r>
              <w:rPr>
                <w:rFonts w:hint="eastAsia" w:cs="楷体" w:asciiTheme="minorEastAsia" w:hAnsiTheme="minorEastAsia" w:eastAsiaTheme="minorEastAsia"/>
              </w:rPr>
              <w:t>合计</w:t>
            </w:r>
          </w:p>
        </w:tc>
        <w:tc>
          <w:tcPr>
            <w:tcW w:w="375" w:type="pct"/>
            <w:vAlign w:val="center"/>
          </w:tcPr>
          <w:p w14:paraId="7B0FBEDC">
            <w:pPr>
              <w:widowControl/>
              <w:spacing w:line="360" w:lineRule="auto"/>
              <w:ind w:firstLine="210" w:firstLineChars="100"/>
              <w:textAlignment w:val="center"/>
              <w:rPr>
                <w:rFonts w:cs="楷体" w:asciiTheme="minorEastAsia" w:hAnsiTheme="minorEastAsia" w:eastAsiaTheme="minorEastAsia"/>
              </w:rPr>
            </w:pPr>
            <w:r>
              <w:rPr>
                <w:rFonts w:hint="eastAsia" w:cs="楷体" w:asciiTheme="minorEastAsia" w:hAnsiTheme="minorEastAsia" w:eastAsiaTheme="minorEastAsia"/>
              </w:rPr>
              <w:t>100</w:t>
            </w:r>
          </w:p>
        </w:tc>
        <w:tc>
          <w:tcPr>
            <w:tcW w:w="3389" w:type="pct"/>
            <w:vAlign w:val="center"/>
          </w:tcPr>
          <w:p w14:paraId="42AF0B8D">
            <w:pPr>
              <w:spacing w:line="360" w:lineRule="auto"/>
              <w:ind w:hanging="315"/>
              <w:rPr>
                <w:rFonts w:cs="楷体" w:asciiTheme="minorEastAsia" w:hAnsiTheme="minorEastAsia" w:eastAsiaTheme="minorEastAsia"/>
              </w:rPr>
            </w:pPr>
          </w:p>
        </w:tc>
      </w:tr>
      <w:tr w14:paraId="2C8B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00" w:type="pct"/>
            <w:gridSpan w:val="4"/>
            <w:vAlign w:val="center"/>
          </w:tcPr>
          <w:p w14:paraId="500232DC">
            <w:pPr>
              <w:adjustRightInd w:val="0"/>
              <w:snapToGrid w:val="0"/>
              <w:spacing w:line="360" w:lineRule="auto"/>
              <w:rPr>
                <w:rFonts w:ascii="宋体" w:hAnsi="宋体" w:cs="宋体"/>
                <w:szCs w:val="21"/>
              </w:rPr>
            </w:pPr>
            <w:r>
              <w:rPr>
                <w:rFonts w:hint="eastAsia" w:ascii="宋体" w:hAnsi="宋体" w:cs="宋体"/>
                <w:szCs w:val="21"/>
              </w:rPr>
              <w:t>说明：</w:t>
            </w:r>
          </w:p>
          <w:p w14:paraId="4AA18EA7">
            <w:pPr>
              <w:adjustRightInd w:val="0"/>
              <w:snapToGrid w:val="0"/>
              <w:spacing w:line="360" w:lineRule="auto"/>
              <w:rPr>
                <w:rFonts w:ascii="宋体" w:hAnsi="宋体" w:cs="宋体"/>
                <w:szCs w:val="21"/>
              </w:rPr>
            </w:pPr>
            <w:r>
              <w:rPr>
                <w:rFonts w:hint="eastAsia" w:ascii="宋体" w:hAnsi="宋体" w:cs="宋体"/>
                <w:szCs w:val="21"/>
              </w:rPr>
              <w:t>1、评分依据评标标准，对照响应文件进行。评标标准涉及要求提供复印件的，响应文件中须附相关证书和证明文件的复印件并加盖单位公章，否则相应计分项不予计分。评标标准或资格条件中涉及要求递交原件备查的，供应商须在投标截止时间前将要求提供的原件单独密封包装（外包装上注明供应商名称和证件明细）与投标文件一起递交，否则相应计分项不予计分。</w:t>
            </w:r>
          </w:p>
          <w:p w14:paraId="55595BED">
            <w:pPr>
              <w:adjustRightInd w:val="0"/>
              <w:snapToGrid w:val="0"/>
              <w:spacing w:line="360" w:lineRule="auto"/>
              <w:ind w:hanging="315"/>
              <w:rPr>
                <w:rFonts w:ascii="宋体" w:hAnsi="宋体" w:cs="宋体"/>
                <w:szCs w:val="21"/>
              </w:rPr>
            </w:pPr>
            <w:r>
              <w:rPr>
                <w:rFonts w:hint="eastAsia" w:ascii="宋体" w:hAnsi="宋体" w:cs="宋体"/>
                <w:szCs w:val="21"/>
              </w:rPr>
              <w:t>2、2、磋商小组认为供应商的报价明显低于其他供应商报价，使得其投标报价可能低于本招标项目成本价的，有可能影响项目质量或不能诚信履约的，给采购人带来严重风险的，供应商应按磋商小组要求作出书面说明并提供相关证明材料，不做说明、不能合理说明或不能提供相关证明材料或拒绝说明的，将被认定为恶意低价竞标并作无效投标处理。</w:t>
            </w:r>
          </w:p>
          <w:p w14:paraId="0EDB67A4">
            <w:pPr>
              <w:pStyle w:val="2"/>
              <w:jc w:val="both"/>
            </w:pPr>
            <w:r>
              <w:rPr>
                <w:rFonts w:ascii="宋体" w:hAnsi="宋体" w:eastAsia="宋体" w:cs="宋体"/>
                <w:b w:val="0"/>
                <w:bCs w:val="0"/>
                <w:sz w:val="21"/>
                <w:szCs w:val="21"/>
              </w:rPr>
              <w:t>3、</w:t>
            </w:r>
            <w:r>
              <w:rPr>
                <w:rFonts w:hint="eastAsia" w:ascii="宋体" w:hAnsi="宋体" w:eastAsia="宋体" w:cs="宋体"/>
                <w:b w:val="0"/>
                <w:bCs w:val="0"/>
                <w:sz w:val="21"/>
                <w:szCs w:val="21"/>
              </w:rPr>
              <w:t>评分所指缺陷为：有标题无实质性描述、非专门针对本项目或不适用项目特性的情形、内容不完整或缺少关键节点、套用其他项目方案、内容前后矛盾、涉及的规范及标准错误、不利于项目实施、不可能实现的情形等任意一种情形。</w:t>
            </w:r>
          </w:p>
        </w:tc>
      </w:tr>
      <w:bookmarkEnd w:id="62"/>
      <w:bookmarkEnd w:id="63"/>
    </w:tbl>
    <w:p w14:paraId="6549555E">
      <w:pPr>
        <w:ind w:hanging="315"/>
      </w:pPr>
    </w:p>
    <w:p w14:paraId="4D59EC6F">
      <w:pPr>
        <w:numPr>
          <w:ilvl w:val="0"/>
          <w:numId w:val="3"/>
        </w:numPr>
        <w:adjustRightInd w:val="0"/>
        <w:snapToGrid w:val="0"/>
        <w:spacing w:before="156" w:beforeLines="50" w:line="440" w:lineRule="exact"/>
        <w:ind w:left="316" w:hanging="316"/>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推荐成交候选人名单</w:t>
      </w:r>
    </w:p>
    <w:p w14:paraId="43949966">
      <w:pPr>
        <w:adjustRightInd w:val="0"/>
        <w:snapToGrid w:val="0"/>
        <w:spacing w:before="156" w:beforeLines="50" w:line="440" w:lineRule="exact"/>
        <w:ind w:firstLine="420" w:firstLineChars="200"/>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szCs w:val="21"/>
        </w:rPr>
        <w:t>4.1按评审后得分由高到低顺序排列。得分相同的，按最终报价由低到高顺序排列。得分且最终报价相同的，按技术指标优劣顺序排列。</w:t>
      </w:r>
    </w:p>
    <w:p w14:paraId="554E7A4E">
      <w:pPr>
        <w:ind w:hanging="315"/>
      </w:pPr>
      <w:r>
        <w:rPr>
          <w:rFonts w:hint="eastAsia"/>
        </w:rPr>
        <w:br w:type="page"/>
      </w:r>
    </w:p>
    <w:p w14:paraId="7B546E23">
      <w:pPr>
        <w:pStyle w:val="90"/>
      </w:pPr>
    </w:p>
    <w:p w14:paraId="7E590710">
      <w:pPr>
        <w:pStyle w:val="2"/>
        <w:ind w:left="482" w:hanging="482"/>
      </w:pPr>
      <w:r>
        <w:rPr>
          <w:rFonts w:hint="eastAsia"/>
        </w:rPr>
        <w:t>第四章 政府采购合同</w:t>
      </w:r>
      <w:bookmarkEnd w:id="64"/>
      <w:bookmarkEnd w:id="65"/>
      <w:bookmarkEnd w:id="66"/>
      <w:bookmarkEnd w:id="67"/>
      <w:bookmarkEnd w:id="68"/>
      <w:bookmarkEnd w:id="69"/>
      <w:r>
        <w:rPr>
          <w:rFonts w:hint="eastAsia"/>
        </w:rPr>
        <w:t>格式</w:t>
      </w:r>
    </w:p>
    <w:p w14:paraId="4D7AEAD6">
      <w:pPr>
        <w:spacing w:line="500" w:lineRule="exact"/>
        <w:ind w:left="843" w:hanging="843"/>
        <w:jc w:val="center"/>
        <w:rPr>
          <w:rFonts w:eastAsia="方正小标宋简体"/>
          <w:b/>
          <w:spacing w:val="20"/>
          <w:sz w:val="52"/>
          <w:szCs w:val="52"/>
        </w:rPr>
      </w:pPr>
      <w:bookmarkStart w:id="70" w:name="_Toc539"/>
      <w:bookmarkStart w:id="71" w:name="_Toc10693"/>
      <w:bookmarkStart w:id="72" w:name="_Toc30309"/>
      <w:bookmarkStart w:id="73" w:name="_Toc27247"/>
      <w:bookmarkStart w:id="74" w:name="_Toc2181"/>
      <w:bookmarkStart w:id="75" w:name="_Toc28848"/>
    </w:p>
    <w:p w14:paraId="1E7A4AAC">
      <w:pPr>
        <w:ind w:left="452" w:hanging="452"/>
        <w:rPr>
          <w:rFonts w:ascii="仿宋_GB2312" w:hAnsi="宋体" w:eastAsia="仿宋_GB2312"/>
          <w:b/>
          <w:color w:val="000000"/>
          <w:sz w:val="30"/>
          <w:szCs w:val="30"/>
        </w:rPr>
      </w:pPr>
      <w:bookmarkStart w:id="76" w:name="_Toc25666"/>
      <w:bookmarkStart w:id="77" w:name="_Toc21013"/>
      <w:r>
        <w:rPr>
          <w:rFonts w:ascii="仿宋_GB2312" w:hAnsi="宋体" w:eastAsia="仿宋_GB2312"/>
          <w:b/>
          <w:color w:val="000000"/>
          <w:sz w:val="30"/>
          <w:szCs w:val="30"/>
        </w:rPr>
        <w:t>立项编号：</w:t>
      </w:r>
      <w:r>
        <w:rPr>
          <w:rFonts w:eastAsia="新宋体"/>
          <w:b/>
          <w:sz w:val="30"/>
          <w:szCs w:val="30"/>
          <w:u w:val="single"/>
        </w:rPr>
        <w:t>　　　　　　　　　　　　　</w:t>
      </w:r>
    </w:p>
    <w:p w14:paraId="387FE556">
      <w:pPr>
        <w:ind w:left="452" w:hanging="452"/>
        <w:rPr>
          <w:rFonts w:ascii="仿宋_GB2312" w:hAnsi="宋体" w:eastAsia="仿宋_GB2312"/>
          <w:b/>
          <w:color w:val="000000"/>
          <w:sz w:val="30"/>
          <w:szCs w:val="30"/>
          <w:u w:val="single"/>
        </w:rPr>
      </w:pPr>
      <w:r>
        <w:rPr>
          <w:rFonts w:hint="eastAsia" w:ascii="仿宋_GB2312" w:hAnsi="宋体" w:eastAsia="仿宋_GB2312"/>
          <w:b/>
          <w:color w:val="000000"/>
          <w:sz w:val="30"/>
          <w:szCs w:val="30"/>
        </w:rPr>
        <w:t>合同编号：</w:t>
      </w:r>
      <w:r>
        <w:rPr>
          <w:rFonts w:hint="eastAsia" w:ascii="仿宋_GB2312" w:hAnsi="宋体" w:eastAsia="仿宋_GB2312"/>
          <w:b/>
          <w:color w:val="000000"/>
          <w:sz w:val="30"/>
          <w:szCs w:val="30"/>
          <w:u w:val="single"/>
        </w:rPr>
        <w:t>湘大基建维改字（2</w:t>
      </w:r>
      <w:r>
        <w:rPr>
          <w:rFonts w:ascii="仿宋_GB2312" w:hAnsi="宋体" w:eastAsia="仿宋_GB2312"/>
          <w:b/>
          <w:color w:val="000000"/>
          <w:sz w:val="30"/>
          <w:szCs w:val="30"/>
          <w:u w:val="single"/>
        </w:rPr>
        <w:t>02</w:t>
      </w:r>
      <w:r>
        <w:rPr>
          <w:rFonts w:hint="eastAsia" w:ascii="仿宋_GB2312" w:hAnsi="宋体" w:eastAsia="仿宋_GB2312"/>
          <w:b/>
          <w:color w:val="000000"/>
          <w:sz w:val="30"/>
          <w:szCs w:val="30"/>
          <w:u w:val="single"/>
        </w:rPr>
        <w:t>6）第</w:t>
      </w:r>
      <w:r>
        <w:rPr>
          <w:rFonts w:hAnsi="宋体"/>
          <w:b/>
          <w:sz w:val="32"/>
          <w:szCs w:val="32"/>
          <w:u w:val="thick"/>
        </w:rPr>
        <w:t>　　</w:t>
      </w:r>
      <w:r>
        <w:rPr>
          <w:rFonts w:ascii="仿宋_GB2312" w:hAnsi="宋体" w:eastAsia="仿宋_GB2312"/>
          <w:b/>
          <w:color w:val="000000"/>
          <w:sz w:val="30"/>
          <w:szCs w:val="30"/>
          <w:u w:val="single"/>
        </w:rPr>
        <w:t>号</w:t>
      </w:r>
      <w:r>
        <w:rPr>
          <w:rFonts w:hint="eastAsia" w:ascii="仿宋_GB2312" w:hAnsi="宋体" w:eastAsia="仿宋_GB2312"/>
          <w:b/>
          <w:color w:val="000000"/>
          <w:sz w:val="30"/>
          <w:szCs w:val="30"/>
          <w:u w:val="single"/>
        </w:rPr>
        <w:t xml:space="preserve"> </w:t>
      </w:r>
    </w:p>
    <w:p w14:paraId="55DC77DA">
      <w:pPr>
        <w:ind w:left="1260" w:hanging="1260"/>
        <w:jc w:val="center"/>
        <w:rPr>
          <w:rFonts w:ascii="隶书" w:hAnsi="华文中宋" w:eastAsia="隶书" w:cs="Courier New"/>
          <w:sz w:val="84"/>
          <w:szCs w:val="84"/>
        </w:rPr>
      </w:pPr>
    </w:p>
    <w:p w14:paraId="1F300DBC">
      <w:pPr>
        <w:snapToGrid w:val="0"/>
        <w:spacing w:before="156" w:beforeLines="50" w:line="360" w:lineRule="auto"/>
        <w:ind w:left="1265" w:hanging="1265"/>
        <w:jc w:val="center"/>
        <w:rPr>
          <w:rFonts w:ascii="黑体" w:hAnsi="宋体" w:eastAsia="黑体"/>
          <w:b/>
          <w:bCs/>
          <w:snapToGrid w:val="0"/>
          <w:kern w:val="0"/>
          <w:sz w:val="84"/>
          <w:szCs w:val="84"/>
        </w:rPr>
      </w:pPr>
      <w:r>
        <w:rPr>
          <w:rFonts w:hint="eastAsia" w:ascii="黑体" w:hAnsi="宋体" w:eastAsia="黑体" w:cs="黑体"/>
          <w:b/>
          <w:bCs/>
          <w:snapToGrid w:val="0"/>
          <w:kern w:val="0"/>
          <w:sz w:val="84"/>
          <w:szCs w:val="84"/>
        </w:rPr>
        <w:t>政府采购合同</w:t>
      </w:r>
    </w:p>
    <w:p w14:paraId="291F7C0D">
      <w:pPr>
        <w:snapToGrid w:val="0"/>
        <w:spacing w:line="540" w:lineRule="exact"/>
        <w:ind w:left="452" w:hanging="452"/>
        <w:jc w:val="center"/>
        <w:rPr>
          <w:rFonts w:ascii="仿宋_GB2312" w:hAnsi="宋体" w:eastAsia="仿宋_GB2312"/>
          <w:b/>
          <w:bCs/>
          <w:snapToGrid w:val="0"/>
          <w:kern w:val="0"/>
          <w:sz w:val="30"/>
          <w:szCs w:val="30"/>
        </w:rPr>
      </w:pPr>
    </w:p>
    <w:p w14:paraId="153F83C0">
      <w:pPr>
        <w:pStyle w:val="90"/>
      </w:pPr>
    </w:p>
    <w:p w14:paraId="03A5037F">
      <w:pPr>
        <w:pStyle w:val="90"/>
      </w:pPr>
    </w:p>
    <w:p w14:paraId="337A39FB">
      <w:pPr>
        <w:adjustRightInd w:val="0"/>
        <w:snapToGrid w:val="0"/>
        <w:spacing w:line="360" w:lineRule="auto"/>
        <w:ind w:left="2563" w:leftChars="554" w:hanging="1400" w:hangingChars="700"/>
        <w:rPr>
          <w:rFonts w:ascii="Tahoma" w:hAnsi="Tahoma" w:cs="Tahoma"/>
          <w:sz w:val="20"/>
          <w:szCs w:val="20"/>
        </w:rPr>
      </w:pPr>
    </w:p>
    <w:p w14:paraId="6BA183B4">
      <w:pPr>
        <w:adjustRightInd w:val="0"/>
        <w:snapToGrid w:val="0"/>
        <w:spacing w:line="360" w:lineRule="auto"/>
        <w:ind w:left="2563" w:leftChars="554" w:hanging="1400" w:hangingChars="700"/>
        <w:rPr>
          <w:rFonts w:ascii="Tahoma" w:hAnsi="Tahoma" w:cs="Tahoma"/>
          <w:sz w:val="20"/>
          <w:szCs w:val="20"/>
        </w:rPr>
      </w:pPr>
    </w:p>
    <w:p w14:paraId="524AB297">
      <w:pPr>
        <w:adjustRightInd w:val="0"/>
        <w:snapToGrid w:val="0"/>
        <w:spacing w:line="360" w:lineRule="auto"/>
        <w:ind w:left="3341" w:leftChars="534" w:hanging="2220" w:hangingChars="694"/>
        <w:rPr>
          <w:rFonts w:hAnsi="宋体"/>
          <w:b/>
          <w:sz w:val="32"/>
          <w:szCs w:val="32"/>
        </w:rPr>
      </w:pPr>
      <w:r>
        <w:rPr>
          <w:rFonts w:hint="eastAsia" w:hAnsi="宋体"/>
          <w:b/>
          <w:sz w:val="32"/>
          <w:szCs w:val="32"/>
        </w:rPr>
        <w:t>采购项目名称：</w:t>
      </w:r>
      <w:r>
        <w:rPr>
          <w:rFonts w:hint="eastAsia" w:hAnsi="宋体"/>
          <w:b/>
          <w:sz w:val="32"/>
          <w:szCs w:val="32"/>
          <w:u w:val="single"/>
        </w:rPr>
        <w:t>松涛片区综合管线改造工程</w:t>
      </w:r>
    </w:p>
    <w:p w14:paraId="322A201C">
      <w:pPr>
        <w:adjustRightInd w:val="0"/>
        <w:snapToGrid w:val="0"/>
        <w:spacing w:line="360" w:lineRule="auto"/>
        <w:ind w:firstLine="1120" w:firstLineChars="350"/>
        <w:rPr>
          <w:rFonts w:hAnsi="宋体"/>
          <w:b/>
          <w:sz w:val="32"/>
          <w:szCs w:val="32"/>
          <w:u w:val="single"/>
        </w:rPr>
      </w:pPr>
      <w:r>
        <w:rPr>
          <w:rFonts w:hint="eastAsia" w:hAnsi="宋体"/>
          <w:b/>
          <w:sz w:val="32"/>
          <w:szCs w:val="32"/>
        </w:rPr>
        <w:t>采</w:t>
      </w:r>
      <w:r>
        <w:rPr>
          <w:rFonts w:hAnsi="宋体"/>
          <w:b/>
          <w:sz w:val="32"/>
          <w:szCs w:val="32"/>
        </w:rPr>
        <w:t xml:space="preserve">   </w:t>
      </w:r>
      <w:r>
        <w:rPr>
          <w:rFonts w:hint="eastAsia" w:hAnsi="宋体"/>
          <w:b/>
          <w:sz w:val="32"/>
          <w:szCs w:val="32"/>
        </w:rPr>
        <w:t>购</w:t>
      </w:r>
      <w:r>
        <w:rPr>
          <w:rFonts w:hAnsi="宋体"/>
          <w:b/>
          <w:sz w:val="32"/>
          <w:szCs w:val="32"/>
        </w:rPr>
        <w:t xml:space="preserve">   </w:t>
      </w:r>
      <w:r>
        <w:rPr>
          <w:rFonts w:hint="eastAsia" w:hAnsi="宋体"/>
          <w:b/>
          <w:sz w:val="32"/>
          <w:szCs w:val="32"/>
        </w:rPr>
        <w:t>人：</w:t>
      </w:r>
      <w:r>
        <w:rPr>
          <w:rFonts w:hint="eastAsia" w:hAnsi="宋体"/>
          <w:b/>
          <w:sz w:val="32"/>
          <w:szCs w:val="32"/>
          <w:u w:val="single"/>
        </w:rPr>
        <w:t xml:space="preserve">湘潭大学         </w:t>
      </w:r>
    </w:p>
    <w:p w14:paraId="16F7C3C6">
      <w:pPr>
        <w:pStyle w:val="25"/>
        <w:adjustRightInd w:val="0"/>
        <w:snapToGrid w:val="0"/>
        <w:spacing w:line="360" w:lineRule="auto"/>
        <w:ind w:firstLine="1120" w:firstLineChars="350"/>
        <w:rPr>
          <w:rFonts w:ascii="仿宋_GB2312" w:hAnsi="华文中宋" w:eastAsia="仿宋_GB2312" w:cs="仿宋_GB2312"/>
          <w:b/>
          <w:bCs/>
          <w:sz w:val="32"/>
          <w:szCs w:val="32"/>
        </w:rPr>
      </w:pPr>
      <w:r>
        <w:rPr>
          <w:rFonts w:hint="eastAsia" w:ascii="Times New Roman" w:hAnsi="宋体"/>
          <w:b/>
          <w:sz w:val="32"/>
          <w:szCs w:val="32"/>
        </w:rPr>
        <w:t xml:space="preserve">供  </w:t>
      </w:r>
      <w:r>
        <w:rPr>
          <w:rFonts w:ascii="Times New Roman" w:hAnsi="宋体"/>
          <w:b/>
          <w:sz w:val="32"/>
          <w:szCs w:val="32"/>
        </w:rPr>
        <w:t xml:space="preserve"> </w:t>
      </w:r>
      <w:r>
        <w:rPr>
          <w:rFonts w:hint="eastAsia" w:ascii="Times New Roman" w:hAnsi="宋体"/>
          <w:b/>
          <w:sz w:val="32"/>
          <w:szCs w:val="32"/>
        </w:rPr>
        <w:t xml:space="preserve">应 </w:t>
      </w:r>
      <w:r>
        <w:rPr>
          <w:rFonts w:ascii="Times New Roman" w:hAnsi="宋体"/>
          <w:b/>
          <w:sz w:val="32"/>
          <w:szCs w:val="32"/>
        </w:rPr>
        <w:t xml:space="preserve"> </w:t>
      </w:r>
      <w:r>
        <w:rPr>
          <w:rFonts w:hint="eastAsia" w:ascii="Times New Roman" w:hAnsi="宋体"/>
          <w:b/>
          <w:sz w:val="32"/>
          <w:szCs w:val="32"/>
        </w:rPr>
        <w:t xml:space="preserve"> 商：</w:t>
      </w:r>
      <w:r>
        <w:rPr>
          <w:rFonts w:hAnsi="宋体"/>
          <w:b/>
          <w:sz w:val="32"/>
          <w:szCs w:val="32"/>
          <w:u w:val="thick"/>
        </w:rPr>
        <w:t>　　　　</w:t>
      </w:r>
      <w:r>
        <w:rPr>
          <w:rFonts w:hint="eastAsia" w:ascii="Times New Roman" w:hAnsi="宋体"/>
          <w:b/>
          <w:sz w:val="32"/>
          <w:szCs w:val="32"/>
          <w:u w:val="thick"/>
        </w:rPr>
        <w:t xml:space="preserve">         </w:t>
      </w:r>
    </w:p>
    <w:p w14:paraId="76759DBB">
      <w:pPr>
        <w:adjustRightInd w:val="0"/>
        <w:snapToGrid w:val="0"/>
        <w:spacing w:line="360" w:lineRule="auto"/>
        <w:ind w:firstLine="1120" w:firstLineChars="350"/>
        <w:rPr>
          <w:rFonts w:hAnsi="宋体"/>
          <w:b/>
          <w:sz w:val="32"/>
          <w:szCs w:val="32"/>
        </w:rPr>
      </w:pPr>
      <w:r>
        <w:rPr>
          <w:rFonts w:hint="eastAsia" w:hAnsi="宋体"/>
          <w:b/>
          <w:sz w:val="32"/>
          <w:szCs w:val="32"/>
        </w:rPr>
        <w:t>政府采购计划编号：</w:t>
      </w:r>
      <w:r>
        <w:rPr>
          <w:rFonts w:hint="eastAsia" w:hAnsi="宋体" w:cs="Courier New"/>
          <w:b/>
          <w:sz w:val="32"/>
          <w:szCs w:val="32"/>
          <w:u w:val="thick"/>
        </w:rPr>
        <w:t xml:space="preserve"> </w:t>
      </w:r>
      <w:r>
        <w:rPr>
          <w:rFonts w:hAnsi="宋体" w:cs="Courier New"/>
          <w:b/>
          <w:sz w:val="32"/>
          <w:szCs w:val="32"/>
          <w:u w:val="thick"/>
        </w:rPr>
        <w:t xml:space="preserve">         </w:t>
      </w:r>
      <w:r>
        <w:rPr>
          <w:rFonts w:hint="eastAsia" w:hAnsi="宋体"/>
          <w:b/>
          <w:sz w:val="32"/>
          <w:szCs w:val="32"/>
          <w:u w:val="single"/>
        </w:rPr>
        <w:t xml:space="preserve">   </w:t>
      </w:r>
    </w:p>
    <w:p w14:paraId="588916FD">
      <w:pPr>
        <w:adjustRightInd w:val="0"/>
        <w:snapToGrid w:val="0"/>
        <w:spacing w:line="360" w:lineRule="auto"/>
        <w:ind w:left="482" w:hanging="482"/>
        <w:rPr>
          <w:rFonts w:ascii="仿宋_GB2312" w:hAnsi="宋体" w:eastAsia="仿宋_GB2312" w:cs="Courier New"/>
          <w:b/>
          <w:sz w:val="32"/>
          <w:szCs w:val="21"/>
        </w:rPr>
      </w:pPr>
    </w:p>
    <w:p w14:paraId="399D95D3">
      <w:pPr>
        <w:adjustRightInd w:val="0"/>
        <w:snapToGrid w:val="0"/>
        <w:spacing w:line="360" w:lineRule="auto"/>
        <w:ind w:left="482" w:hanging="482"/>
        <w:jc w:val="center"/>
        <w:rPr>
          <w:rFonts w:ascii="仿宋_GB2312" w:hAnsi="宋体" w:eastAsia="仿宋_GB2312" w:cs="Courier New"/>
          <w:b/>
          <w:sz w:val="32"/>
          <w:szCs w:val="21"/>
        </w:rPr>
      </w:pPr>
    </w:p>
    <w:p w14:paraId="1BC8197D">
      <w:pPr>
        <w:pStyle w:val="12"/>
      </w:pPr>
    </w:p>
    <w:p w14:paraId="250266A3">
      <w:pPr>
        <w:adjustRightInd w:val="0"/>
        <w:snapToGrid w:val="0"/>
        <w:spacing w:line="360" w:lineRule="auto"/>
        <w:ind w:left="482" w:hanging="482"/>
        <w:rPr>
          <w:rFonts w:ascii="仿宋_GB2312" w:hAnsi="宋体" w:eastAsia="仿宋_GB2312" w:cs="Courier New"/>
          <w:b/>
          <w:sz w:val="32"/>
          <w:szCs w:val="21"/>
        </w:rPr>
      </w:pPr>
    </w:p>
    <w:p w14:paraId="623C62C7">
      <w:pPr>
        <w:adjustRightInd w:val="0"/>
        <w:snapToGrid w:val="0"/>
        <w:spacing w:line="360" w:lineRule="auto"/>
        <w:ind w:left="482" w:hanging="482"/>
        <w:jc w:val="center"/>
        <w:rPr>
          <w:rFonts w:ascii="宋体" w:hAnsi="宋体" w:cs="Courier New"/>
          <w:b/>
          <w:sz w:val="32"/>
          <w:szCs w:val="21"/>
        </w:rPr>
      </w:pPr>
      <w:r>
        <w:rPr>
          <w:rFonts w:hint="eastAsia" w:ascii="宋体" w:hAnsi="宋体" w:cs="Courier New"/>
          <w:b/>
          <w:sz w:val="32"/>
          <w:szCs w:val="21"/>
        </w:rPr>
        <w:t>二〇二六年</w:t>
      </w:r>
      <w:r>
        <w:rPr>
          <w:rFonts w:hAnsi="宋体"/>
          <w:b/>
          <w:sz w:val="32"/>
          <w:szCs w:val="32"/>
        </w:rPr>
        <w:t>　</w:t>
      </w:r>
      <w:r>
        <w:rPr>
          <w:rFonts w:hint="eastAsia" w:ascii="宋体" w:hAnsi="宋体" w:cs="Courier New"/>
          <w:b/>
          <w:sz w:val="32"/>
          <w:szCs w:val="21"/>
        </w:rPr>
        <w:t>月</w:t>
      </w:r>
    </w:p>
    <w:p w14:paraId="799E4366">
      <w:pPr>
        <w:ind w:left="422" w:hanging="422"/>
        <w:jc w:val="center"/>
        <w:outlineLvl w:val="1"/>
        <w:rPr>
          <w:rFonts w:ascii="宋体" w:hAnsi="宋体" w:cs="宋体"/>
          <w:b/>
          <w:bCs/>
          <w:sz w:val="28"/>
          <w:szCs w:val="28"/>
        </w:rPr>
      </w:pPr>
    </w:p>
    <w:p w14:paraId="435A0FB4">
      <w:pPr>
        <w:pStyle w:val="3"/>
        <w:ind w:left="316" w:hanging="316"/>
      </w:pPr>
      <w:r>
        <w:br w:type="page"/>
      </w:r>
    </w:p>
    <w:p w14:paraId="0E69C8F1">
      <w:pPr>
        <w:ind w:left="422" w:hanging="422"/>
        <w:jc w:val="center"/>
        <w:outlineLvl w:val="2"/>
        <w:rPr>
          <w:rFonts w:ascii="宋体"/>
          <w:b/>
          <w:bCs/>
          <w:sz w:val="28"/>
          <w:szCs w:val="28"/>
        </w:rPr>
      </w:pPr>
      <w:r>
        <w:rPr>
          <w:rFonts w:hint="eastAsia" w:ascii="宋体" w:hAnsi="宋体" w:cs="宋体"/>
          <w:b/>
          <w:bCs/>
          <w:sz w:val="28"/>
          <w:szCs w:val="28"/>
        </w:rPr>
        <w:t>政府采购合同协议书</w:t>
      </w:r>
      <w:bookmarkEnd w:id="76"/>
      <w:bookmarkEnd w:id="77"/>
    </w:p>
    <w:p w14:paraId="4E431A59">
      <w:pPr>
        <w:spacing w:line="400" w:lineRule="exact"/>
        <w:ind w:right="23" w:rightChars="11"/>
        <w:jc w:val="center"/>
        <w:rPr>
          <w:rFonts w:ascii="宋体"/>
        </w:rPr>
      </w:pPr>
    </w:p>
    <w:p w14:paraId="1B2585B6">
      <w:pPr>
        <w:adjustRightInd w:val="0"/>
        <w:snapToGrid w:val="0"/>
        <w:spacing w:line="360" w:lineRule="auto"/>
        <w:ind w:right="23" w:rightChars="11"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采购人（全称）：</w:t>
      </w:r>
      <w:r>
        <w:rPr>
          <w:rFonts w:hint="eastAsia" w:ascii="宋体" w:hAnsi="宋体" w:cs="宋体"/>
          <w:color w:val="000000" w:themeColor="text1"/>
          <w:u w:val="single"/>
          <w14:textFill>
            <w14:solidFill>
              <w14:schemeClr w14:val="tx1"/>
            </w14:solidFill>
          </w14:textFill>
        </w:rPr>
        <w:t xml:space="preserve">       湘潭大学                      </w:t>
      </w:r>
      <w:r>
        <w:rPr>
          <w:rFonts w:hint="eastAsia" w:ascii="宋体" w:hAnsi="宋体" w:cs="宋体"/>
          <w:color w:val="000000" w:themeColor="text1"/>
          <w14:textFill>
            <w14:solidFill>
              <w14:schemeClr w14:val="tx1"/>
            </w14:solidFill>
          </w14:textFill>
        </w:rPr>
        <w:t>（甲方）</w:t>
      </w:r>
    </w:p>
    <w:p w14:paraId="6A8FBEBB">
      <w:pPr>
        <w:adjustRightInd w:val="0"/>
        <w:snapToGrid w:val="0"/>
        <w:spacing w:line="360" w:lineRule="auto"/>
        <w:ind w:right="23" w:rightChars="11" w:firstLine="420" w:firstLineChars="200"/>
        <w:rPr>
          <w:rFonts w:ascii="宋体" w:hAnsi="宋体" w:cs="宋体"/>
        </w:rPr>
      </w:pPr>
      <w:r>
        <w:rPr>
          <w:rFonts w:hint="eastAsia" w:ascii="宋体" w:hAnsi="宋体" w:cs="宋体"/>
          <w:color w:val="000000" w:themeColor="text1"/>
          <w14:textFill>
            <w14:solidFill>
              <w14:schemeClr w14:val="tx1"/>
            </w14:solidFill>
          </w14:textFill>
        </w:rPr>
        <w:t>供应商（全称）：</w:t>
      </w:r>
      <w:r>
        <w:rPr>
          <w:rFonts w:hint="eastAsia" w:ascii="宋体" w:hAnsi="宋体" w:cs="宋体"/>
          <w:color w:val="000000" w:themeColor="text1"/>
          <w:u w:val="single"/>
          <w14:textFill>
            <w14:solidFill>
              <w14:schemeClr w14:val="tx1"/>
            </w14:solidFill>
          </w14:textFill>
        </w:rPr>
        <w:t xml:space="preserve">     </w:t>
      </w:r>
      <w:r>
        <w:rPr>
          <w:rFonts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u w:val="single"/>
          <w14:textFill>
            <w14:solidFill>
              <w14:schemeClr w14:val="tx1"/>
            </w14:solidFill>
          </w14:textFill>
        </w:rPr>
        <w:t xml:space="preserve"> </w:t>
      </w:r>
      <w:r>
        <w:rPr>
          <w:rFonts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（乙方）</w:t>
      </w:r>
    </w:p>
    <w:p w14:paraId="0DFD887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为了保护甲、乙双方合法权益，根据《中华人民共和国民法典》、《中华人民共和国政府采购法》及其他有关法律、法规、规章，双方签订本合同协议书。</w:t>
      </w:r>
    </w:p>
    <w:p w14:paraId="1700DA35">
      <w:pPr>
        <w:adjustRightInd w:val="0"/>
        <w:snapToGrid w:val="0"/>
        <w:spacing w:line="360" w:lineRule="auto"/>
        <w:ind w:left="316" w:right="23" w:rightChars="11" w:hanging="316"/>
        <w:rPr>
          <w:rFonts w:ascii="宋体"/>
          <w:b/>
          <w:bCs/>
        </w:rPr>
      </w:pPr>
      <w:r>
        <w:rPr>
          <w:rFonts w:ascii="宋体" w:hAnsi="宋体" w:cs="宋体"/>
          <w:b/>
          <w:bCs/>
        </w:rPr>
        <w:t>1</w:t>
      </w:r>
      <w:r>
        <w:rPr>
          <w:rFonts w:hint="eastAsia" w:ascii="宋体" w:hAnsi="宋体" w:cs="宋体"/>
          <w:b/>
          <w:bCs/>
        </w:rPr>
        <w:t>、项目信息</w:t>
      </w:r>
    </w:p>
    <w:p w14:paraId="66C7A1AC">
      <w:pPr>
        <w:adjustRightInd w:val="0"/>
        <w:snapToGrid w:val="0"/>
        <w:spacing w:line="360" w:lineRule="auto"/>
        <w:rPr>
          <w:rFonts w:ascii="宋体" w:hAnsi="宋体"/>
          <w:szCs w:val="21"/>
        </w:rPr>
      </w:pPr>
      <w:r>
        <w:rPr>
          <w:rFonts w:hint="eastAsia" w:ascii="宋体" w:hAnsi="宋体"/>
          <w:szCs w:val="21"/>
        </w:rPr>
        <w:t>（1）采购项目名称：</w:t>
      </w:r>
      <w:r>
        <w:rPr>
          <w:rFonts w:ascii="宋体" w:hAnsi="宋体"/>
          <w:szCs w:val="21"/>
          <w:u w:val="single"/>
        </w:rPr>
        <w:t xml:space="preserve"> </w:t>
      </w:r>
      <w:r>
        <w:rPr>
          <w:rFonts w:hint="eastAsia" w:hAnsi="宋体"/>
          <w:szCs w:val="21"/>
          <w:u w:val="single"/>
        </w:rPr>
        <w:t>湘潭大学</w:t>
      </w:r>
      <w:r>
        <w:rPr>
          <w:rFonts w:ascii="宋体" w:hAnsi="宋体" w:cs="宋体"/>
          <w:color w:val="000000" w:themeColor="text1"/>
          <w:u w:val="single"/>
          <w14:textFill>
            <w14:solidFill>
              <w14:schemeClr w14:val="tx1"/>
            </w14:solidFill>
          </w14:textFill>
        </w:rPr>
        <w:t>　　　　</w:t>
      </w:r>
      <w:r>
        <w:rPr>
          <w:rFonts w:ascii="宋体" w:hAnsi="宋体"/>
          <w:szCs w:val="21"/>
          <w:u w:val="single"/>
        </w:rPr>
        <w:t xml:space="preserve">   </w:t>
      </w:r>
    </w:p>
    <w:p w14:paraId="5F885326">
      <w:pPr>
        <w:adjustRightInd w:val="0"/>
        <w:snapToGrid w:val="0"/>
        <w:spacing w:line="360" w:lineRule="auto"/>
        <w:rPr>
          <w:rFonts w:ascii="宋体" w:hAnsi="宋体" w:eastAsiaTheme="minorEastAsia"/>
          <w:szCs w:val="21"/>
        </w:rPr>
      </w:pPr>
      <w:r>
        <w:rPr>
          <w:rFonts w:hint="eastAsia" w:ascii="宋体" w:hAnsi="宋体"/>
          <w:szCs w:val="21"/>
        </w:rPr>
        <w:t>（2）政府采购计划编号：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ascii="宋体" w:hAnsi="宋体" w:cs="宋体"/>
          <w:color w:val="000000" w:themeColor="text1"/>
          <w:u w:val="single"/>
          <w14:textFill>
            <w14:solidFill>
              <w14:schemeClr w14:val="tx1"/>
            </w14:solidFill>
          </w14:textFill>
        </w:rPr>
        <w:t>　　　　</w:t>
      </w:r>
      <w:r>
        <w:rPr>
          <w:rFonts w:hint="eastAsia" w:asciiTheme="minorEastAsia" w:hAnsiTheme="minorEastAsia" w:eastAsiaTheme="minorEastAsia" w:cstheme="minorEastAsia"/>
          <w:szCs w:val="21"/>
          <w:u w:val="single"/>
        </w:rPr>
        <w:t xml:space="preserve">    </w:t>
      </w:r>
    </w:p>
    <w:p w14:paraId="3BD840FB">
      <w:pPr>
        <w:adjustRightInd w:val="0"/>
        <w:snapToGrid w:val="0"/>
        <w:spacing w:line="360" w:lineRule="auto"/>
        <w:rPr>
          <w:rFonts w:ascii="宋体" w:hAnsi="宋体"/>
          <w:szCs w:val="21"/>
        </w:rPr>
      </w:pPr>
      <w:r>
        <w:rPr>
          <w:rFonts w:hint="eastAsia" w:ascii="宋体" w:hAnsi="宋体"/>
          <w:szCs w:val="21"/>
        </w:rPr>
        <w:t>（3）项目内容：</w:t>
      </w:r>
      <w:r>
        <w:rPr>
          <w:rFonts w:hint="eastAsia" w:ascii="宋体" w:hAnsi="宋体"/>
          <w:szCs w:val="21"/>
          <w:u w:val="single"/>
        </w:rPr>
        <w:t xml:space="preserve">     </w:t>
      </w:r>
      <w:r>
        <w:rPr>
          <w:rFonts w:hint="eastAsia" w:ascii="宋体" w:hAnsi="宋体"/>
          <w:bCs/>
          <w:u w:val="single"/>
        </w:rPr>
        <w:t>包括工程量清单及所提供施工图所示的全部</w:t>
      </w:r>
      <w:r>
        <w:rPr>
          <w:rFonts w:hint="eastAsia" w:ascii="宋体" w:hAnsi="宋体" w:cs="宋体"/>
          <w:u w:val="single"/>
        </w:rPr>
        <w:t>内容</w:t>
      </w:r>
      <w:r>
        <w:rPr>
          <w:rFonts w:ascii="宋体" w:hAnsi="宋体" w:cs="宋体"/>
          <w:u w:val="single"/>
        </w:rPr>
        <w:t xml:space="preserve">  </w:t>
      </w:r>
      <w:r>
        <w:rPr>
          <w:rFonts w:hint="eastAsia" w:ascii="宋体" w:hAnsi="宋体"/>
          <w:szCs w:val="21"/>
          <w:u w:val="single"/>
        </w:rPr>
        <w:t xml:space="preserve">       </w:t>
      </w:r>
    </w:p>
    <w:p w14:paraId="5E1AC13A">
      <w:pPr>
        <w:adjustRightInd w:val="0"/>
        <w:snapToGrid w:val="0"/>
        <w:spacing w:line="360" w:lineRule="auto"/>
        <w:rPr>
          <w:rFonts w:ascii="宋体" w:hAnsi="宋体"/>
          <w:szCs w:val="21"/>
        </w:rPr>
      </w:pPr>
      <w:r>
        <w:rPr>
          <w:rFonts w:hint="eastAsia" w:ascii="宋体" w:hAnsi="宋体"/>
          <w:szCs w:val="21"/>
        </w:rPr>
        <w:t>（4）是否分包：</w:t>
      </w:r>
      <w:r>
        <w:rPr>
          <w:rFonts w:hint="eastAsia" w:ascii="宋体" w:hAnsi="宋体"/>
          <w:szCs w:val="21"/>
          <w:u w:val="single"/>
        </w:rPr>
        <w:t xml:space="preserve">       否        </w:t>
      </w:r>
      <w:r>
        <w:rPr>
          <w:rFonts w:hint="eastAsia" w:ascii="宋体" w:hAnsi="宋体"/>
          <w:szCs w:val="21"/>
        </w:rPr>
        <w:t>。</w:t>
      </w:r>
    </w:p>
    <w:p w14:paraId="2116F733">
      <w:pPr>
        <w:adjustRightInd w:val="0"/>
        <w:snapToGrid w:val="0"/>
        <w:spacing w:before="156" w:beforeLines="50" w:line="360" w:lineRule="auto"/>
        <w:ind w:left="316" w:hanging="316"/>
        <w:rPr>
          <w:rFonts w:ascii="宋体" w:hAnsi="宋体"/>
          <w:b/>
          <w:szCs w:val="21"/>
        </w:rPr>
      </w:pPr>
      <w:r>
        <w:rPr>
          <w:rFonts w:hint="eastAsia" w:ascii="宋体" w:hAnsi="宋体"/>
          <w:b/>
          <w:szCs w:val="21"/>
        </w:rPr>
        <w:t>2.合同金额</w:t>
      </w:r>
    </w:p>
    <w:p w14:paraId="2BD8AB0D">
      <w:pPr>
        <w:adjustRightInd w:val="0"/>
        <w:snapToGrid w:val="0"/>
        <w:spacing w:line="360" w:lineRule="auto"/>
        <w:ind w:left="210" w:hanging="210" w:hangingChars="100"/>
        <w:rPr>
          <w:rFonts w:ascii="宋体" w:hAnsi="宋体"/>
          <w:szCs w:val="21"/>
        </w:rPr>
      </w:pPr>
      <w:r>
        <w:rPr>
          <w:rFonts w:hint="eastAsia" w:ascii="宋体" w:hAnsi="宋体"/>
          <w:szCs w:val="21"/>
        </w:rPr>
        <w:t>（1）合同</w:t>
      </w:r>
      <w:r>
        <w:rPr>
          <w:rFonts w:hint="eastAsia" w:ascii="宋体" w:hAnsi="宋体"/>
          <w:color w:val="auto"/>
          <w:szCs w:val="21"/>
        </w:rPr>
        <w:t>金额：小写：</w:t>
      </w:r>
      <w:r>
        <w:rPr>
          <w:rFonts w:ascii="宋体" w:hAnsi="宋体" w:cs="宋体"/>
          <w:color w:val="auto"/>
          <w:u w:val="single"/>
        </w:rPr>
        <w:t>　　　　</w:t>
      </w:r>
      <w:r>
        <w:rPr>
          <w:rFonts w:hint="eastAsia" w:ascii="宋体" w:hAnsi="宋体"/>
          <w:color w:val="auto"/>
          <w:szCs w:val="21"/>
          <w:u w:val="single"/>
        </w:rPr>
        <w:t>；</w:t>
      </w:r>
      <w:r>
        <w:rPr>
          <w:rFonts w:ascii="宋体" w:hAnsi="宋体"/>
          <w:color w:val="auto"/>
          <w:szCs w:val="21"/>
          <w:u w:val="single"/>
        </w:rPr>
        <w:t xml:space="preserve"> </w:t>
      </w:r>
      <w:r>
        <w:rPr>
          <w:rFonts w:hint="eastAsia" w:ascii="宋体" w:hAnsi="宋体"/>
          <w:color w:val="auto"/>
          <w:szCs w:val="21"/>
        </w:rPr>
        <w:t>大写：</w:t>
      </w:r>
      <w:r>
        <w:rPr>
          <w:rFonts w:ascii="宋体" w:hAnsi="宋体" w:cs="宋体"/>
          <w:color w:val="auto"/>
          <w:u w:val="single"/>
        </w:rPr>
        <w:t>　　　　</w:t>
      </w:r>
      <w:r>
        <w:rPr>
          <w:rFonts w:hint="eastAsia" w:ascii="宋体" w:hAnsi="宋体"/>
          <w:color w:val="auto"/>
          <w:szCs w:val="21"/>
          <w:u w:val="single"/>
        </w:rPr>
        <w:t>，</w:t>
      </w:r>
      <w:r>
        <w:rPr>
          <w:rFonts w:ascii="宋体" w:hAnsi="宋体"/>
          <w:color w:val="auto"/>
          <w:szCs w:val="21"/>
          <w:u w:val="single"/>
        </w:rPr>
        <w:t>其中暂列金额为：小写</w:t>
      </w:r>
      <w:r>
        <w:rPr>
          <w:rFonts w:ascii="宋体" w:hAnsi="宋体" w:cs="宋体"/>
          <w:color w:val="auto"/>
          <w:u w:val="single"/>
        </w:rPr>
        <w:t>　　　　（大写　　　　）</w:t>
      </w:r>
      <w:r>
        <w:rPr>
          <w:rFonts w:ascii="宋体" w:hAnsi="宋体"/>
          <w:color w:val="auto"/>
          <w:szCs w:val="21"/>
          <w:u w:val="single"/>
        </w:rPr>
        <w:t xml:space="preserve">  。</w:t>
      </w:r>
      <w:r>
        <w:rPr>
          <w:rFonts w:hint="eastAsia" w:ascii="宋体" w:hAnsi="宋体"/>
          <w:szCs w:val="21"/>
        </w:rPr>
        <w:t>项目中标金额不能作为总价包干依据，最终结算价以</w:t>
      </w:r>
      <w:r>
        <w:rPr>
          <w:rFonts w:hint="eastAsia" w:ascii="宋体" w:hAnsi="宋体"/>
          <w:szCs w:val="21"/>
          <w:lang w:val="en-US" w:eastAsia="zh-CN"/>
        </w:rPr>
        <w:t>学校审计部门</w:t>
      </w:r>
      <w:r>
        <w:rPr>
          <w:rFonts w:hint="eastAsia" w:ascii="宋体" w:hAnsi="宋体"/>
          <w:szCs w:val="21"/>
        </w:rPr>
        <w:t>的审计结论为准。供应商应根据项目要求和现场情况，详细列明项目所需的设备、材料以及所有人工、管理、财务等所有费用，如供应商遗漏谈判文件所列工程量清单内容，均由成交人自负，采购人不再支付任何费用。</w:t>
      </w:r>
    </w:p>
    <w:p w14:paraId="48806432">
      <w:pPr>
        <w:adjustRightInd w:val="0"/>
        <w:snapToGrid w:val="0"/>
        <w:spacing w:line="360" w:lineRule="auto"/>
        <w:rPr>
          <w:rFonts w:ascii="宋体" w:hAnsi="宋体"/>
          <w:szCs w:val="21"/>
        </w:rPr>
      </w:pPr>
      <w:r>
        <w:rPr>
          <w:rFonts w:hint="eastAsia" w:ascii="宋体" w:hAnsi="宋体"/>
          <w:szCs w:val="21"/>
        </w:rPr>
        <w:t>（2）具体标的见附件。</w:t>
      </w:r>
    </w:p>
    <w:p w14:paraId="14FD70A5">
      <w:pPr>
        <w:spacing w:line="360" w:lineRule="auto"/>
        <w:rPr>
          <w:rFonts w:ascii="宋体"/>
        </w:rPr>
      </w:pPr>
      <w:r>
        <w:rPr>
          <w:rFonts w:hint="eastAsia" w:ascii="宋体" w:hAnsi="宋体"/>
          <w:szCs w:val="21"/>
        </w:rPr>
        <w:t>（</w:t>
      </w:r>
      <w:r>
        <w:rPr>
          <w:rFonts w:ascii="宋体" w:hAnsi="宋体"/>
          <w:szCs w:val="21"/>
        </w:rPr>
        <w:t>3</w:t>
      </w:r>
      <w:r>
        <w:rPr>
          <w:rFonts w:hint="eastAsia" w:ascii="宋体" w:hAnsi="宋体"/>
          <w:szCs w:val="21"/>
        </w:rPr>
        <w:t>）付款方式：</w:t>
      </w:r>
      <w:r>
        <w:rPr>
          <w:rFonts w:hint="eastAsia" w:ascii="宋体" w:hAnsi="宋体" w:cs="宋体"/>
          <w:u w:val="single"/>
        </w:rPr>
        <w:t>按专用</w:t>
      </w:r>
      <w:r>
        <w:rPr>
          <w:rFonts w:ascii="宋体" w:hAnsi="宋体" w:cs="宋体"/>
          <w:u w:val="single"/>
        </w:rPr>
        <w:t>合同条款</w:t>
      </w:r>
      <w:r>
        <w:rPr>
          <w:rFonts w:hint="eastAsia" w:ascii="宋体" w:hAnsi="宋体" w:cs="宋体"/>
          <w:u w:val="single"/>
        </w:rPr>
        <w:t>12.4（工程</w:t>
      </w:r>
      <w:r>
        <w:rPr>
          <w:rFonts w:ascii="宋体" w:hAnsi="宋体" w:cs="宋体"/>
          <w:u w:val="single"/>
        </w:rPr>
        <w:t>进度款</w:t>
      </w:r>
      <w:r>
        <w:rPr>
          <w:rFonts w:hint="eastAsia" w:ascii="宋体" w:hAnsi="宋体" w:cs="宋体"/>
          <w:u w:val="single"/>
        </w:rPr>
        <w:t>）支付</w:t>
      </w:r>
      <w:r>
        <w:rPr>
          <w:rFonts w:ascii="宋体" w:hAnsi="宋体" w:cs="宋体"/>
          <w:u w:val="single"/>
        </w:rPr>
        <w:t>。</w:t>
      </w:r>
    </w:p>
    <w:p w14:paraId="120953CC">
      <w:pPr>
        <w:adjustRightInd w:val="0"/>
        <w:snapToGrid w:val="0"/>
        <w:spacing w:before="156" w:beforeLines="50" w:line="360" w:lineRule="auto"/>
        <w:ind w:firstLine="420" w:firstLineChars="200"/>
        <w:rPr>
          <w:rFonts w:ascii="宋体" w:hAnsi="宋体"/>
          <w:szCs w:val="21"/>
          <w:u w:val="single"/>
        </w:rPr>
      </w:pPr>
      <w:r>
        <w:rPr>
          <w:rFonts w:hint="eastAsia" w:ascii="宋体" w:hAnsi="宋体"/>
          <w:b/>
          <w:szCs w:val="21"/>
        </w:rPr>
        <w:t>3.合同履行</w:t>
      </w:r>
    </w:p>
    <w:p w14:paraId="67ACD11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（1）起始日期：</w:t>
      </w:r>
      <w:r>
        <w:rPr>
          <w:rFonts w:hint="eastAsia" w:ascii="宋体" w:hAnsi="宋体"/>
          <w:szCs w:val="21"/>
          <w:u w:val="single"/>
        </w:rPr>
        <w:t xml:space="preserve">  </w:t>
      </w:r>
      <w:r>
        <w:rPr>
          <w:rFonts w:ascii="宋体" w:hAnsi="宋体"/>
          <w:szCs w:val="21"/>
          <w:u w:val="single"/>
        </w:rPr>
        <w:t>2026</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rPr>
        <w:t>日，完成日期：</w:t>
      </w:r>
      <w:r>
        <w:rPr>
          <w:rFonts w:hint="eastAsia" w:ascii="宋体" w:hAnsi="宋体"/>
          <w:szCs w:val="21"/>
          <w:u w:val="single"/>
        </w:rPr>
        <w:t xml:space="preserve">  </w:t>
      </w:r>
      <w:r>
        <w:rPr>
          <w:rFonts w:ascii="宋体" w:hAnsi="宋体"/>
          <w:szCs w:val="21"/>
          <w:u w:val="single"/>
        </w:rPr>
        <w:t>2025</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天。</w:t>
      </w:r>
    </w:p>
    <w:p w14:paraId="45537EFA">
      <w:pPr>
        <w:adjustRightInd w:val="0"/>
        <w:snapToGrid w:val="0"/>
        <w:spacing w:before="156" w:beforeLines="50" w:line="360" w:lineRule="auto"/>
        <w:ind w:firstLine="420" w:firstLineChars="200"/>
        <w:rPr>
          <w:rFonts w:ascii="宋体" w:hAnsi="宋体"/>
          <w:szCs w:val="21"/>
          <w:u w:val="single"/>
        </w:rPr>
      </w:pPr>
      <w:r>
        <w:rPr>
          <w:rFonts w:hint="eastAsia" w:ascii="宋体" w:hAnsi="宋体"/>
          <w:szCs w:val="21"/>
        </w:rPr>
        <w:t>（2）地点</w:t>
      </w:r>
      <w:r>
        <w:rPr>
          <w:rFonts w:hint="eastAsia" w:ascii="宋体" w:hAnsi="宋体"/>
          <w:b/>
          <w:szCs w:val="21"/>
        </w:rPr>
        <w:t>：</w:t>
      </w:r>
      <w:r>
        <w:rPr>
          <w:rFonts w:hint="eastAsia" w:ascii="宋体" w:hAnsi="宋体"/>
          <w:szCs w:val="21"/>
          <w:u w:val="single"/>
        </w:rPr>
        <w:t xml:space="preserve">      湘潭大学校园内          </w:t>
      </w:r>
    </w:p>
    <w:p w14:paraId="250441A9">
      <w:pPr>
        <w:adjustRightInd w:val="0"/>
        <w:snapToGrid w:val="0"/>
        <w:spacing w:before="156" w:beforeLines="50" w:line="360" w:lineRule="auto"/>
        <w:ind w:firstLine="420" w:firstLineChars="200"/>
        <w:rPr>
          <w:rFonts w:ascii="宋体" w:hAnsi="宋体"/>
          <w:szCs w:val="21"/>
          <w:u w:val="single"/>
        </w:rPr>
      </w:pPr>
      <w:r>
        <w:rPr>
          <w:rFonts w:hint="eastAsia" w:ascii="宋体" w:hAnsi="宋体"/>
          <w:szCs w:val="21"/>
        </w:rPr>
        <w:t>（3）方式：</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p>
    <w:p w14:paraId="0CACE12A">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（4）履约担保：</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p>
    <w:p w14:paraId="60A7C389">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（5）质量保证金：</w:t>
      </w:r>
      <w:r>
        <w:rPr>
          <w:rFonts w:hint="eastAsia" w:ascii="宋体" w:hAnsi="宋体"/>
          <w:bCs/>
          <w:szCs w:val="21"/>
          <w:u w:val="single"/>
        </w:rPr>
        <w:t>按结算总价款的3%进行扣留</w:t>
      </w:r>
      <w:r>
        <w:rPr>
          <w:rFonts w:hint="eastAsia" w:ascii="宋体" w:hAnsi="宋体"/>
          <w:bCs/>
          <w:szCs w:val="21"/>
        </w:rPr>
        <w:t>。</w:t>
      </w:r>
    </w:p>
    <w:p w14:paraId="124FE71E">
      <w:pPr>
        <w:adjustRightInd w:val="0"/>
        <w:snapToGrid w:val="0"/>
        <w:spacing w:before="156" w:beforeLines="50" w:line="360" w:lineRule="auto"/>
        <w:ind w:firstLine="420" w:firstLineChars="200"/>
        <w:rPr>
          <w:rFonts w:ascii="宋体" w:hAnsi="宋体"/>
          <w:b/>
          <w:szCs w:val="21"/>
        </w:rPr>
      </w:pPr>
      <w:r>
        <w:rPr>
          <w:rFonts w:hint="eastAsia" w:ascii="宋体" w:hAnsi="宋体"/>
          <w:b/>
          <w:szCs w:val="21"/>
        </w:rPr>
        <w:t>4.合同验收</w:t>
      </w:r>
    </w:p>
    <w:p w14:paraId="3CFB4C8A">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（1）验收主体：</w:t>
      </w:r>
      <w:r>
        <w:rPr>
          <w:rFonts w:hint="eastAsia" w:ascii="宋体" w:hAnsi="宋体"/>
          <w:bCs/>
          <w:szCs w:val="21"/>
          <w:u w:val="single"/>
        </w:rPr>
        <w:t xml:space="preserve">     湘潭大学基建监管小组 </w:t>
      </w:r>
      <w:r>
        <w:rPr>
          <w:rFonts w:hint="eastAsia" w:ascii="宋体" w:hAnsi="宋体"/>
          <w:bCs/>
          <w:szCs w:val="21"/>
        </w:rPr>
        <w:t>。</w:t>
      </w:r>
    </w:p>
    <w:p w14:paraId="3EC03262">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（2）验收方式：</w:t>
      </w:r>
      <w:r>
        <w:rPr>
          <w:rFonts w:hint="eastAsia" w:ascii="宋体" w:hAnsi="宋体"/>
          <w:bCs/>
          <w:szCs w:val="21"/>
          <w:u w:val="single"/>
        </w:rPr>
        <w:t xml:space="preserve">           现场</w:t>
      </w:r>
      <w:r>
        <w:rPr>
          <w:rFonts w:ascii="宋体" w:hAnsi="宋体"/>
          <w:bCs/>
          <w:szCs w:val="21"/>
          <w:u w:val="single"/>
        </w:rPr>
        <w:t>验收</w:t>
      </w:r>
      <w:r>
        <w:rPr>
          <w:rFonts w:hint="eastAsia" w:ascii="宋体" w:hAnsi="宋体"/>
          <w:bCs/>
          <w:szCs w:val="21"/>
          <w:u w:val="single"/>
        </w:rPr>
        <w:t xml:space="preserve">              </w:t>
      </w:r>
      <w:r>
        <w:rPr>
          <w:rFonts w:hint="eastAsia" w:ascii="宋体" w:hAnsi="宋体"/>
          <w:bCs/>
          <w:szCs w:val="21"/>
        </w:rPr>
        <w:t>。</w:t>
      </w:r>
    </w:p>
    <w:p w14:paraId="1BFCA0B9">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（3）验收标准：</w:t>
      </w:r>
      <w:r>
        <w:rPr>
          <w:rFonts w:hint="eastAsia" w:ascii="宋体" w:hAnsi="宋体" w:cs="宋体"/>
          <w:u w:val="single"/>
        </w:rPr>
        <w:t>符合《工程施工质量验收规范》要求的合格工程</w:t>
      </w:r>
      <w:r>
        <w:rPr>
          <w:rFonts w:hint="eastAsia" w:ascii="宋体" w:hAnsi="宋体"/>
          <w:bCs/>
          <w:szCs w:val="21"/>
        </w:rPr>
        <w:t>。</w:t>
      </w:r>
    </w:p>
    <w:p w14:paraId="2B491374">
      <w:pPr>
        <w:adjustRightInd w:val="0"/>
        <w:snapToGrid w:val="0"/>
        <w:spacing w:before="156" w:beforeLines="50" w:line="360" w:lineRule="auto"/>
        <w:ind w:firstLine="420" w:firstLineChars="200"/>
        <w:rPr>
          <w:rFonts w:ascii="宋体" w:hAnsi="宋体"/>
          <w:b/>
          <w:szCs w:val="21"/>
        </w:rPr>
      </w:pPr>
      <w:r>
        <w:rPr>
          <w:rFonts w:hint="eastAsia" w:ascii="宋体" w:hAnsi="宋体"/>
          <w:b/>
          <w:szCs w:val="21"/>
        </w:rPr>
        <w:t>5.组成合同的文件</w:t>
      </w:r>
    </w:p>
    <w:p w14:paraId="2D3D511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4DE3630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（1）在采购或合同履行过程中乙方作出的承诺以及双方协商达成的变更或补充协议</w:t>
      </w:r>
    </w:p>
    <w:p w14:paraId="3E29800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（2）本合同协议书</w:t>
      </w:r>
    </w:p>
    <w:p w14:paraId="7BBA34F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（3）成交通知书</w:t>
      </w:r>
    </w:p>
    <w:p w14:paraId="7A0D0668">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w:t>
      </w:r>
    </w:p>
    <w:p w14:paraId="42C6469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（5）政府采购合同专用条款</w:t>
      </w:r>
    </w:p>
    <w:p w14:paraId="4283717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（6）政府采购合同通用条款</w:t>
      </w:r>
    </w:p>
    <w:p w14:paraId="0883D074">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（7）标准、规范及有关技术文件，图纸。</w:t>
      </w:r>
    </w:p>
    <w:p w14:paraId="3BF670E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（8）其他合同文件。</w:t>
      </w:r>
    </w:p>
    <w:p w14:paraId="313DFA79">
      <w:pPr>
        <w:adjustRightInd w:val="0"/>
        <w:snapToGrid w:val="0"/>
        <w:spacing w:before="156" w:beforeLines="50" w:line="360" w:lineRule="auto"/>
        <w:ind w:firstLine="308" w:firstLineChars="147"/>
        <w:rPr>
          <w:rFonts w:ascii="宋体" w:hAnsi="宋体"/>
          <w:b/>
          <w:szCs w:val="21"/>
        </w:rPr>
      </w:pPr>
      <w:r>
        <w:rPr>
          <w:rFonts w:hint="eastAsia" w:ascii="宋体" w:hAnsi="宋体"/>
          <w:b/>
          <w:szCs w:val="21"/>
        </w:rPr>
        <w:t>6.合同生效</w:t>
      </w:r>
    </w:p>
    <w:p w14:paraId="5FA3362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双方签字、盖章之日起     </w:t>
      </w:r>
      <w:r>
        <w:rPr>
          <w:rFonts w:hint="eastAsia" w:ascii="宋体" w:hAnsi="宋体"/>
          <w:szCs w:val="21"/>
        </w:rPr>
        <w:t>生效。</w:t>
      </w:r>
    </w:p>
    <w:p w14:paraId="0EFB205E">
      <w:pPr>
        <w:adjustRightInd w:val="0"/>
        <w:snapToGrid w:val="0"/>
        <w:spacing w:before="156" w:beforeLines="50" w:line="360" w:lineRule="auto"/>
        <w:ind w:firstLine="308" w:firstLineChars="147"/>
        <w:rPr>
          <w:rFonts w:ascii="宋体" w:hAnsi="宋体"/>
          <w:b/>
          <w:szCs w:val="21"/>
        </w:rPr>
      </w:pPr>
      <w:r>
        <w:rPr>
          <w:rFonts w:hint="eastAsia" w:ascii="宋体" w:hAnsi="宋体"/>
          <w:b/>
          <w:szCs w:val="21"/>
        </w:rPr>
        <w:t>7.合同份数</w:t>
      </w:r>
    </w:p>
    <w:p w14:paraId="6E9C891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陆</w:t>
      </w:r>
      <w:r>
        <w:rPr>
          <w:rFonts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肆  </w:t>
      </w:r>
      <w:r>
        <w:rPr>
          <w:rFonts w:hint="eastAsia" w:ascii="宋体" w:hAnsi="宋体"/>
          <w:szCs w:val="21"/>
        </w:rPr>
        <w:t>份，供应商执</w:t>
      </w:r>
      <w:r>
        <w:rPr>
          <w:rFonts w:hint="eastAsia" w:ascii="宋体" w:hAnsi="宋体"/>
          <w:szCs w:val="21"/>
          <w:u w:val="single"/>
        </w:rPr>
        <w:t xml:space="preserve">  贰 </w:t>
      </w:r>
      <w:r>
        <w:rPr>
          <w:rFonts w:hint="eastAsia" w:ascii="宋体" w:hAnsi="宋体"/>
          <w:szCs w:val="21"/>
        </w:rPr>
        <w:t>份，均具有同等法律效力。</w:t>
      </w:r>
    </w:p>
    <w:p w14:paraId="317E24A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rPr>
        <w:t xml:space="preserve">6     </w:t>
      </w:r>
      <w:r>
        <w:rPr>
          <w:rFonts w:hint="eastAsia" w:ascii="宋体" w:hAnsi="宋体"/>
          <w:szCs w:val="21"/>
        </w:rPr>
        <w:t>年</w:t>
      </w:r>
      <w:r>
        <w:rPr>
          <w:rFonts w:hint="eastAsia"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ascii="宋体" w:hAnsi="宋体" w:cs="宋体"/>
          <w:color w:val="000000" w:themeColor="text1"/>
          <w:u w:val="single"/>
          <w14:textFill>
            <w14:solidFill>
              <w14:schemeClr w14:val="tx1"/>
            </w14:solidFill>
          </w14:textFill>
        </w:rPr>
        <w:t>　　</w:t>
      </w:r>
      <w:r>
        <w:rPr>
          <w:rFonts w:hint="eastAsia" w:ascii="宋体" w:hAnsi="宋体"/>
          <w:szCs w:val="21"/>
          <w:u w:val="single"/>
        </w:rPr>
        <w:t xml:space="preserve"> </w:t>
      </w:r>
      <w:r>
        <w:rPr>
          <w:rFonts w:hint="eastAsia" w:ascii="宋体" w:hAnsi="宋体"/>
          <w:szCs w:val="21"/>
        </w:rPr>
        <w:t>日</w:t>
      </w:r>
    </w:p>
    <w:p w14:paraId="07181C8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r>
        <w:rPr>
          <w:rFonts w:hint="eastAsia" w:ascii="宋体" w:hAnsi="宋体" w:cs="宋体"/>
          <w:u w:val="single"/>
        </w:rPr>
        <w:t>湘潭</w:t>
      </w:r>
      <w:r>
        <w:rPr>
          <w:rFonts w:ascii="宋体" w:hAnsi="宋体" w:cs="宋体"/>
          <w:u w:val="single"/>
        </w:rPr>
        <w:t>大学</w:t>
      </w:r>
      <w:r>
        <w:rPr>
          <w:rFonts w:hint="eastAsia" w:ascii="宋体" w:hAnsi="宋体" w:cs="宋体"/>
          <w:u w:val="single"/>
        </w:rPr>
        <w:t>综合</w:t>
      </w:r>
      <w:r>
        <w:rPr>
          <w:rFonts w:ascii="宋体" w:hAnsi="宋体" w:cs="宋体"/>
          <w:u w:val="single"/>
        </w:rPr>
        <w:t>办公楼</w:t>
      </w:r>
      <w:r>
        <w:rPr>
          <w:rFonts w:hint="eastAsia" w:ascii="宋体" w:hAnsi="宋体"/>
          <w:szCs w:val="21"/>
          <w:u w:val="single"/>
        </w:rPr>
        <w:t xml:space="preserve">  </w:t>
      </w:r>
    </w:p>
    <w:p w14:paraId="6394639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 xml:space="preserve">附件：具体标的明细、分包合同等。    </w:t>
      </w:r>
      <w:r>
        <w:rPr>
          <w:rFonts w:ascii="宋体" w:hAnsi="宋体" w:cs="宋体"/>
        </w:rPr>
        <w:t xml:space="preserve">   </w:t>
      </w:r>
    </w:p>
    <w:p w14:paraId="43883E16">
      <w:pPr>
        <w:adjustRightInd w:val="0"/>
        <w:snapToGrid w:val="0"/>
        <w:spacing w:before="156" w:beforeLines="50" w:line="360" w:lineRule="auto"/>
        <w:rPr>
          <w:rFonts w:ascii="宋体" w:hAnsi="宋体"/>
          <w:szCs w:val="21"/>
        </w:rPr>
      </w:pPr>
      <w:r>
        <w:rPr>
          <w:rFonts w:hint="eastAsia" w:ascii="宋体" w:hAnsi="宋体"/>
          <w:szCs w:val="21"/>
        </w:rPr>
        <w:t>甲      方：（公章）                    乙      方：（公章）</w:t>
      </w:r>
    </w:p>
    <w:p w14:paraId="77EC7033">
      <w:pPr>
        <w:adjustRightInd w:val="0"/>
        <w:snapToGrid w:val="0"/>
        <w:spacing w:before="156" w:beforeLines="50" w:line="360" w:lineRule="auto"/>
        <w:rPr>
          <w:rFonts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7096AF49">
      <w:pPr>
        <w:adjustRightInd w:val="0"/>
        <w:snapToGrid w:val="0"/>
        <w:spacing w:before="156" w:beforeLines="50" w:line="360" w:lineRule="auto"/>
        <w:rPr>
          <w:rFonts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4EEBC9C">
      <w:pPr>
        <w:adjustRightInd w:val="0"/>
        <w:snapToGrid w:val="0"/>
        <w:spacing w:before="156" w:beforeLines="50" w:line="360" w:lineRule="auto"/>
        <w:rPr>
          <w:rFonts w:ascii="宋体" w:hAnsi="宋体"/>
          <w:szCs w:val="21"/>
          <w:highlight w:val="green"/>
        </w:rPr>
      </w:pPr>
      <w:r>
        <w:rPr>
          <w:rFonts w:hint="eastAsia" w:ascii="宋体" w:hAnsi="宋体"/>
          <w:szCs w:val="21"/>
        </w:rPr>
        <w:t>电      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ascii="宋体" w:hAnsi="宋体"/>
          <w:szCs w:val="21"/>
          <w:u w:val="single"/>
        </w:rPr>
        <w:t xml:space="preserve">                  </w:t>
      </w:r>
    </w:p>
    <w:p w14:paraId="4EBE32F5">
      <w:pPr>
        <w:adjustRightInd w:val="0"/>
        <w:snapToGrid w:val="0"/>
        <w:spacing w:before="156" w:beforeLines="50" w:line="360" w:lineRule="auto"/>
        <w:rPr>
          <w:rFonts w:ascii="宋体" w:hAnsi="宋体"/>
          <w:szCs w:val="21"/>
        </w:rPr>
      </w:pPr>
      <w:r>
        <w:rPr>
          <w:rFonts w:hint="eastAsia" w:ascii="宋体" w:hAnsi="宋体"/>
          <w:szCs w:val="21"/>
        </w:rPr>
        <w:t>传      真：</w:t>
      </w:r>
      <w:r>
        <w:rPr>
          <w:rFonts w:hint="eastAsia" w:ascii="宋体" w:hAnsi="宋体"/>
          <w:szCs w:val="21"/>
          <w:u w:val="single"/>
        </w:rPr>
        <w:t xml:space="preserve">   </w:t>
      </w:r>
      <w:r>
        <w:rPr>
          <w:rFonts w:ascii="宋体" w:hAnsi="宋体"/>
          <w:szCs w:val="21"/>
          <w:u w:val="single"/>
        </w:rPr>
        <w:t>0731-58293323</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传      真：</w:t>
      </w:r>
      <w:r>
        <w:rPr>
          <w:rFonts w:hint="eastAsia" w:ascii="宋体" w:hAnsi="宋体"/>
          <w:szCs w:val="21"/>
          <w:u w:val="single"/>
        </w:rPr>
        <w:t xml:space="preserve">         /         </w:t>
      </w:r>
      <w:r>
        <w:rPr>
          <w:rFonts w:ascii="宋体" w:hAnsi="宋体"/>
          <w:szCs w:val="21"/>
          <w:u w:val="single"/>
        </w:rPr>
        <w:t xml:space="preserve"> </w:t>
      </w:r>
      <w:r>
        <w:rPr>
          <w:rFonts w:hint="eastAsia" w:ascii="宋体" w:hAnsi="宋体"/>
          <w:szCs w:val="21"/>
          <w:u w:val="single"/>
        </w:rPr>
        <w:t xml:space="preserve"> </w:t>
      </w:r>
    </w:p>
    <w:p w14:paraId="5576A086">
      <w:pPr>
        <w:spacing w:line="360" w:lineRule="auto"/>
        <w:ind w:left="5460" w:hanging="5460" w:hangingChars="2600"/>
        <w:rPr>
          <w:rFonts w:ascii="宋体" w:hAnsi="宋体"/>
          <w:szCs w:val="21"/>
        </w:rPr>
      </w:pPr>
      <w:r>
        <w:rPr>
          <w:rFonts w:hint="eastAsia" w:ascii="宋体" w:hAnsi="宋体"/>
          <w:szCs w:val="21"/>
        </w:rPr>
        <w:t xml:space="preserve">                                        开户银行：</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 xml:space="preserve"> </w:t>
      </w:r>
    </w:p>
    <w:p w14:paraId="6ED37C60">
      <w:pPr>
        <w:spacing w:line="360" w:lineRule="auto"/>
        <w:rPr>
          <w:rFonts w:ascii="宋体" w:hAnsi="宋体"/>
          <w:szCs w:val="21"/>
          <w:u w:val="single"/>
        </w:rPr>
      </w:pP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账    号：</w:t>
      </w:r>
      <w:r>
        <w:rPr>
          <w:rFonts w:hint="eastAsia" w:ascii="宋体" w:hAnsi="宋体"/>
          <w:szCs w:val="21"/>
          <w:u w:val="single"/>
        </w:rPr>
        <w:t xml:space="preserve"> </w:t>
      </w:r>
      <w:r>
        <w:rPr>
          <w:rFonts w:ascii="宋体" w:hAnsi="宋体"/>
          <w:szCs w:val="21"/>
          <w:u w:val="single"/>
        </w:rPr>
        <w:t xml:space="preserve">                         </w:t>
      </w:r>
    </w:p>
    <w:p w14:paraId="22DE2C62">
      <w:pPr>
        <w:adjustRightInd w:val="0"/>
        <w:snapToGrid w:val="0"/>
        <w:spacing w:before="156" w:beforeLines="50" w:line="360" w:lineRule="auto"/>
        <w:ind w:left="316" w:hanging="316"/>
        <w:jc w:val="center"/>
        <w:rPr>
          <w:rFonts w:ascii="宋体" w:hAnsi="宋体"/>
          <w:b/>
          <w:szCs w:val="21"/>
        </w:rPr>
        <w:sectPr>
          <w:headerReference r:id="rId4" w:type="default"/>
          <w:footerReference r:id="rId5" w:type="default"/>
          <w:pgSz w:w="11906" w:h="16838"/>
          <w:pgMar w:top="1418" w:right="1418" w:bottom="1134" w:left="1418" w:header="851" w:footer="992" w:gutter="0"/>
          <w:cols w:space="720" w:num="1"/>
          <w:docGrid w:type="linesAndChars" w:linePitch="312" w:charSpace="0"/>
        </w:sectPr>
      </w:pPr>
    </w:p>
    <w:p w14:paraId="684B1A2E">
      <w:pPr>
        <w:snapToGrid w:val="0"/>
        <w:spacing w:line="360" w:lineRule="auto"/>
        <w:ind w:left="316" w:right="23" w:rightChars="11" w:hanging="316"/>
        <w:rPr>
          <w:rFonts w:ascii="宋体"/>
          <w:b/>
          <w:bCs/>
        </w:rPr>
      </w:pPr>
    </w:p>
    <w:p w14:paraId="0194BBCD">
      <w:pPr>
        <w:keepNext/>
        <w:keepLines/>
        <w:adjustRightInd w:val="0"/>
        <w:snapToGrid w:val="0"/>
        <w:spacing w:before="120" w:beforeLines="50" w:line="360" w:lineRule="auto"/>
        <w:ind w:left="422" w:hanging="422"/>
        <w:jc w:val="center"/>
        <w:outlineLvl w:val="1"/>
        <w:rPr>
          <w:rFonts w:ascii="黑体" w:hAnsi="黑体" w:eastAsia="黑体"/>
          <w:b/>
          <w:bCs/>
          <w:sz w:val="28"/>
          <w:szCs w:val="28"/>
        </w:rPr>
      </w:pPr>
      <w:bookmarkStart w:id="78" w:name="_Toc32542"/>
      <w:bookmarkStart w:id="79" w:name="_Toc449"/>
      <w:bookmarkStart w:id="80" w:name="_Toc22201111"/>
      <w:r>
        <w:rPr>
          <w:rFonts w:hint="eastAsia" w:ascii="黑体" w:hAnsi="黑体" w:eastAsia="黑体"/>
          <w:b/>
          <w:bCs/>
          <w:sz w:val="28"/>
          <w:szCs w:val="28"/>
        </w:rPr>
        <w:t>二、 政府采购合同</w:t>
      </w:r>
      <w:bookmarkEnd w:id="78"/>
      <w:bookmarkEnd w:id="79"/>
      <w:bookmarkEnd w:id="80"/>
    </w:p>
    <w:p w14:paraId="27F41C0E">
      <w:pPr>
        <w:tabs>
          <w:tab w:val="left" w:pos="8820"/>
          <w:tab w:val="left" w:pos="9345"/>
          <w:tab w:val="left" w:pos="9765"/>
        </w:tabs>
        <w:adjustRightInd w:val="0"/>
        <w:snapToGrid w:val="0"/>
        <w:spacing w:before="120" w:beforeLines="50" w:line="360" w:lineRule="auto"/>
        <w:ind w:right="384" w:rightChars="183" w:firstLine="301"/>
        <w:jc w:val="center"/>
        <w:rPr>
          <w:rFonts w:ascii="黑体" w:hAnsi="华文中宋" w:eastAsia="黑体"/>
          <w:b/>
          <w:bCs/>
          <w:color w:val="auto"/>
          <w:sz w:val="30"/>
          <w:szCs w:val="30"/>
          <w:highlight w:val="none"/>
        </w:rPr>
      </w:pPr>
      <w:bookmarkStart w:id="81" w:name="OLE_LINK26"/>
      <w:bookmarkStart w:id="82" w:name="OLE_LINK27"/>
      <w:bookmarkStart w:id="83" w:name="_Toc10708"/>
      <w:r>
        <w:rPr>
          <w:rFonts w:hint="eastAsia" w:ascii="黑体" w:hAnsi="华文中宋" w:eastAsia="黑体" w:cs="黑体"/>
          <w:b/>
          <w:bCs/>
          <w:color w:val="auto"/>
          <w:sz w:val="30"/>
          <w:szCs w:val="30"/>
          <w:highlight w:val="none"/>
        </w:rPr>
        <w:t>政府采购合同通用条款（工程类）</w:t>
      </w:r>
    </w:p>
    <w:p w14:paraId="6071A049">
      <w:pPr>
        <w:snapToGrid w:val="0"/>
        <w:spacing w:before="120" w:line="360" w:lineRule="auto"/>
        <w:ind w:right="23" w:rightChars="11" w:firstLine="211"/>
        <w:jc w:val="center"/>
        <w:rPr>
          <w:rFonts w:hAnsi="宋体"/>
          <w:b/>
          <w:bCs/>
          <w:color w:val="auto"/>
          <w:highlight w:val="none"/>
        </w:rPr>
      </w:pPr>
      <w:r>
        <w:rPr>
          <w:rFonts w:hint="eastAsia" w:hAnsi="宋体"/>
          <w:b/>
          <w:bCs/>
          <w:color w:val="auto"/>
          <w:highlight w:val="none"/>
        </w:rPr>
        <w:t>采用“《建设工程施工合同》（示范本）（</w:t>
      </w:r>
      <w:r>
        <w:rPr>
          <w:rFonts w:hAnsi="宋体"/>
          <w:b/>
          <w:bCs/>
          <w:color w:val="auto"/>
          <w:highlight w:val="none"/>
        </w:rPr>
        <w:t>GF—201</w:t>
      </w:r>
      <w:r>
        <w:rPr>
          <w:rFonts w:hint="eastAsia" w:hAnsi="宋体"/>
          <w:b/>
          <w:bCs/>
          <w:color w:val="auto"/>
          <w:highlight w:val="none"/>
        </w:rPr>
        <w:t>7</w:t>
      </w:r>
      <w:r>
        <w:rPr>
          <w:rFonts w:hAnsi="宋体"/>
          <w:b/>
          <w:bCs/>
          <w:color w:val="auto"/>
          <w:highlight w:val="none"/>
        </w:rPr>
        <w:t>—</w:t>
      </w:r>
      <w:r>
        <w:rPr>
          <w:rFonts w:hint="eastAsia" w:hAnsi="宋体"/>
          <w:b/>
          <w:bCs/>
          <w:color w:val="auto"/>
          <w:highlight w:val="none"/>
        </w:rPr>
        <w:t>0201）”通用条款（略）</w:t>
      </w:r>
    </w:p>
    <w:bookmarkEnd w:id="81"/>
    <w:bookmarkEnd w:id="82"/>
    <w:p w14:paraId="0167DED9">
      <w:pPr>
        <w:spacing w:line="660" w:lineRule="exact"/>
        <w:ind w:left="422" w:right="23" w:rightChars="11" w:hanging="422"/>
        <w:jc w:val="center"/>
        <w:outlineLvl w:val="2"/>
        <w:rPr>
          <w:rFonts w:ascii="宋体" w:hAnsi="宋体" w:cs="宋体"/>
          <w:b/>
          <w:bCs/>
          <w:sz w:val="28"/>
          <w:szCs w:val="28"/>
        </w:rPr>
      </w:pPr>
    </w:p>
    <w:p w14:paraId="0F2458FF">
      <w:pPr>
        <w:spacing w:line="660" w:lineRule="exact"/>
        <w:ind w:left="422" w:right="23" w:rightChars="11" w:hanging="422"/>
        <w:jc w:val="center"/>
        <w:outlineLvl w:val="2"/>
        <w:rPr>
          <w:rFonts w:ascii="宋体" w:hAnsi="宋体" w:cs="宋体"/>
          <w:b/>
          <w:bCs/>
          <w:sz w:val="28"/>
          <w:szCs w:val="28"/>
        </w:rPr>
      </w:pPr>
    </w:p>
    <w:p w14:paraId="2E280403">
      <w:pPr>
        <w:spacing w:line="660" w:lineRule="exact"/>
        <w:ind w:left="422" w:right="23" w:rightChars="11" w:hanging="422"/>
        <w:jc w:val="center"/>
        <w:outlineLvl w:val="2"/>
        <w:rPr>
          <w:rFonts w:ascii="宋体" w:hAnsi="宋体" w:cs="宋体"/>
          <w:b/>
          <w:bCs/>
          <w:sz w:val="28"/>
          <w:szCs w:val="28"/>
        </w:rPr>
      </w:pPr>
    </w:p>
    <w:p w14:paraId="5EA74FF2">
      <w:pPr>
        <w:spacing w:line="660" w:lineRule="exact"/>
        <w:ind w:left="422" w:right="23" w:rightChars="11" w:hanging="422"/>
        <w:jc w:val="center"/>
        <w:outlineLvl w:val="2"/>
        <w:rPr>
          <w:rFonts w:ascii="宋体" w:hAnsi="宋体" w:cs="宋体"/>
          <w:b/>
          <w:bCs/>
          <w:sz w:val="28"/>
          <w:szCs w:val="28"/>
        </w:rPr>
      </w:pPr>
    </w:p>
    <w:p w14:paraId="7AC02088">
      <w:pPr>
        <w:spacing w:line="660" w:lineRule="exact"/>
        <w:ind w:left="422" w:right="23" w:rightChars="11" w:hanging="422"/>
        <w:jc w:val="center"/>
        <w:outlineLvl w:val="2"/>
        <w:rPr>
          <w:rFonts w:ascii="宋体" w:hAnsi="宋体" w:cs="宋体"/>
          <w:b/>
          <w:bCs/>
          <w:sz w:val="28"/>
          <w:szCs w:val="28"/>
        </w:rPr>
      </w:pPr>
    </w:p>
    <w:p w14:paraId="10FE684D">
      <w:pPr>
        <w:spacing w:line="660" w:lineRule="exact"/>
        <w:ind w:left="422" w:right="23" w:rightChars="11" w:hanging="422"/>
        <w:jc w:val="center"/>
        <w:outlineLvl w:val="2"/>
        <w:rPr>
          <w:rFonts w:ascii="宋体" w:hAnsi="宋体" w:cs="宋体"/>
          <w:b/>
          <w:bCs/>
          <w:sz w:val="28"/>
          <w:szCs w:val="28"/>
        </w:rPr>
      </w:pPr>
    </w:p>
    <w:p w14:paraId="2B7AF26D">
      <w:pPr>
        <w:spacing w:line="660" w:lineRule="exact"/>
        <w:ind w:left="422" w:right="23" w:rightChars="11" w:hanging="422"/>
        <w:jc w:val="center"/>
        <w:outlineLvl w:val="2"/>
        <w:rPr>
          <w:rFonts w:ascii="宋体" w:hAnsi="宋体" w:cs="宋体"/>
          <w:b/>
          <w:bCs/>
          <w:sz w:val="28"/>
          <w:szCs w:val="28"/>
        </w:rPr>
      </w:pPr>
    </w:p>
    <w:p w14:paraId="06C5FE07">
      <w:pPr>
        <w:spacing w:line="660" w:lineRule="exact"/>
        <w:ind w:left="422" w:right="23" w:rightChars="11" w:hanging="422"/>
        <w:jc w:val="center"/>
        <w:outlineLvl w:val="2"/>
        <w:rPr>
          <w:rFonts w:ascii="宋体" w:hAnsi="宋体" w:cs="宋体"/>
          <w:b/>
          <w:bCs/>
          <w:sz w:val="28"/>
          <w:szCs w:val="28"/>
        </w:rPr>
      </w:pPr>
    </w:p>
    <w:p w14:paraId="7A2EB2B5">
      <w:pPr>
        <w:spacing w:line="660" w:lineRule="exact"/>
        <w:ind w:left="422" w:right="23" w:rightChars="11" w:hanging="422"/>
        <w:jc w:val="center"/>
        <w:outlineLvl w:val="2"/>
        <w:rPr>
          <w:rFonts w:ascii="宋体" w:hAnsi="宋体" w:cs="宋体"/>
          <w:b/>
          <w:bCs/>
          <w:sz w:val="28"/>
          <w:szCs w:val="28"/>
        </w:rPr>
      </w:pPr>
    </w:p>
    <w:p w14:paraId="6F5307E8">
      <w:pPr>
        <w:spacing w:line="660" w:lineRule="exact"/>
        <w:ind w:left="422" w:right="23" w:rightChars="11" w:hanging="422"/>
        <w:jc w:val="center"/>
        <w:outlineLvl w:val="2"/>
        <w:rPr>
          <w:rFonts w:ascii="宋体" w:hAnsi="宋体" w:cs="宋体"/>
          <w:b/>
          <w:bCs/>
          <w:sz w:val="28"/>
          <w:szCs w:val="28"/>
        </w:rPr>
      </w:pPr>
    </w:p>
    <w:p w14:paraId="0BA215AB">
      <w:pPr>
        <w:spacing w:line="660" w:lineRule="exact"/>
        <w:ind w:left="422" w:right="23" w:rightChars="11" w:hanging="422"/>
        <w:jc w:val="center"/>
        <w:outlineLvl w:val="2"/>
        <w:rPr>
          <w:rFonts w:ascii="宋体" w:hAnsi="宋体" w:cs="宋体"/>
          <w:b/>
          <w:bCs/>
          <w:sz w:val="28"/>
          <w:szCs w:val="28"/>
        </w:rPr>
      </w:pPr>
    </w:p>
    <w:p w14:paraId="7DD909C3">
      <w:pPr>
        <w:spacing w:line="660" w:lineRule="exact"/>
        <w:ind w:left="422" w:right="23" w:rightChars="11" w:hanging="422"/>
        <w:jc w:val="center"/>
        <w:outlineLvl w:val="2"/>
        <w:rPr>
          <w:rFonts w:ascii="宋体" w:hAnsi="宋体" w:cs="宋体"/>
          <w:b/>
          <w:bCs/>
          <w:sz w:val="28"/>
          <w:szCs w:val="28"/>
        </w:rPr>
      </w:pPr>
    </w:p>
    <w:p w14:paraId="2313C68A">
      <w:pPr>
        <w:spacing w:line="660" w:lineRule="exact"/>
        <w:ind w:left="422" w:right="23" w:rightChars="11" w:hanging="422"/>
        <w:jc w:val="center"/>
        <w:outlineLvl w:val="2"/>
        <w:rPr>
          <w:rFonts w:ascii="宋体" w:hAnsi="宋体" w:cs="宋体"/>
          <w:b/>
          <w:bCs/>
          <w:sz w:val="28"/>
          <w:szCs w:val="28"/>
        </w:rPr>
      </w:pPr>
    </w:p>
    <w:p w14:paraId="530B38F9">
      <w:pPr>
        <w:spacing w:line="660" w:lineRule="exact"/>
        <w:ind w:left="422" w:right="23" w:rightChars="11" w:hanging="422"/>
        <w:jc w:val="center"/>
        <w:outlineLvl w:val="2"/>
        <w:rPr>
          <w:rFonts w:ascii="宋体" w:hAnsi="宋体" w:cs="宋体"/>
          <w:b/>
          <w:bCs/>
          <w:sz w:val="28"/>
          <w:szCs w:val="28"/>
        </w:rPr>
      </w:pPr>
    </w:p>
    <w:p w14:paraId="7CA5C78B">
      <w:pPr>
        <w:spacing w:line="660" w:lineRule="exact"/>
        <w:ind w:left="422" w:right="23" w:rightChars="11" w:hanging="422"/>
        <w:jc w:val="center"/>
        <w:outlineLvl w:val="2"/>
        <w:rPr>
          <w:rFonts w:ascii="宋体" w:hAnsi="宋体" w:cs="宋体"/>
          <w:b/>
          <w:bCs/>
          <w:sz w:val="28"/>
          <w:szCs w:val="28"/>
        </w:rPr>
      </w:pPr>
    </w:p>
    <w:p w14:paraId="18E066C0">
      <w:pPr>
        <w:spacing w:line="660" w:lineRule="exact"/>
        <w:ind w:left="422" w:right="23" w:rightChars="11" w:hanging="422"/>
        <w:jc w:val="center"/>
        <w:outlineLvl w:val="2"/>
        <w:rPr>
          <w:rFonts w:ascii="宋体" w:hAnsi="宋体" w:cs="宋体"/>
          <w:b/>
          <w:bCs/>
          <w:sz w:val="28"/>
          <w:szCs w:val="28"/>
        </w:rPr>
      </w:pPr>
    </w:p>
    <w:p w14:paraId="14B91664">
      <w:pPr>
        <w:spacing w:line="660" w:lineRule="exact"/>
        <w:ind w:left="422" w:right="23" w:rightChars="11" w:hanging="422"/>
        <w:jc w:val="center"/>
        <w:outlineLvl w:val="2"/>
        <w:rPr>
          <w:rFonts w:ascii="宋体" w:hAnsi="宋体" w:cs="宋体"/>
          <w:b/>
          <w:bCs/>
          <w:sz w:val="28"/>
          <w:szCs w:val="28"/>
        </w:rPr>
      </w:pPr>
    </w:p>
    <w:p w14:paraId="4F3CBC56">
      <w:pPr>
        <w:spacing w:line="660" w:lineRule="exact"/>
        <w:ind w:left="422" w:right="23" w:rightChars="11" w:hanging="422"/>
        <w:jc w:val="center"/>
        <w:outlineLvl w:val="2"/>
        <w:rPr>
          <w:rFonts w:ascii="宋体"/>
          <w:b/>
          <w:bCs/>
        </w:rPr>
      </w:pPr>
      <w:r>
        <w:rPr>
          <w:rFonts w:hint="eastAsia" w:ascii="宋体" w:hAnsi="宋体" w:cs="宋体"/>
          <w:b/>
          <w:bCs/>
          <w:sz w:val="28"/>
          <w:szCs w:val="28"/>
        </w:rPr>
        <w:t>三、专用合同条款</w:t>
      </w:r>
      <w:bookmarkEnd w:id="83"/>
    </w:p>
    <w:p w14:paraId="084E5A3C">
      <w:pPr>
        <w:spacing w:line="360" w:lineRule="auto"/>
        <w:ind w:left="316" w:hanging="316"/>
        <w:jc w:val="center"/>
        <w:outlineLvl w:val="3"/>
        <w:rPr>
          <w:rFonts w:ascii="宋体" w:hAnsi="宋体" w:cs="宋体"/>
          <w:b/>
          <w:bCs/>
        </w:rPr>
      </w:pPr>
      <w:r>
        <w:rPr>
          <w:rFonts w:hint="eastAsia" w:ascii="宋体" w:hAnsi="宋体" w:cs="宋体"/>
          <w:b/>
          <w:bCs/>
        </w:rPr>
        <w:t>（专用合同以具体签订为准）</w:t>
      </w:r>
    </w:p>
    <w:p w14:paraId="027C93F9">
      <w:pPr>
        <w:pStyle w:val="5"/>
        <w:spacing w:before="120" w:after="120" w:line="360" w:lineRule="auto"/>
        <w:rPr>
          <w:rFonts w:asciiTheme="minorEastAsia" w:hAnsiTheme="minorEastAsia" w:eastAsiaTheme="minorEastAsia"/>
          <w:b w:val="0"/>
          <w:color w:val="000000"/>
          <w:sz w:val="21"/>
          <w:szCs w:val="21"/>
        </w:rPr>
      </w:pPr>
      <w:bookmarkStart w:id="84" w:name="_Toc351203633"/>
      <w:bookmarkStart w:id="85" w:name="OLE_LINK29"/>
      <w:bookmarkStart w:id="86" w:name="OLE_LINK28"/>
      <w:r>
        <w:rPr>
          <w:rFonts w:hint="eastAsia" w:asciiTheme="minorEastAsia" w:hAnsiTheme="minorEastAsia" w:eastAsiaTheme="minorEastAsia"/>
          <w:b w:val="0"/>
          <w:color w:val="000000"/>
          <w:sz w:val="21"/>
          <w:szCs w:val="21"/>
        </w:rPr>
        <w:t>1</w:t>
      </w:r>
      <w:bookmarkStart w:id="87" w:name="_Toc292559866"/>
      <w:bookmarkStart w:id="88" w:name="_Toc292559361"/>
      <w:bookmarkStart w:id="89" w:name="_Toc297048342"/>
      <w:bookmarkStart w:id="90" w:name="_Toc297120456"/>
      <w:bookmarkStart w:id="91" w:name="_Toc296944495"/>
      <w:bookmarkStart w:id="92" w:name="_Toc296503156"/>
      <w:bookmarkStart w:id="93" w:name="_Toc296891196"/>
      <w:bookmarkStart w:id="94" w:name="_Toc296347155"/>
      <w:bookmarkStart w:id="95" w:name="_Toc296346657"/>
      <w:bookmarkStart w:id="96" w:name="_Toc296890984"/>
      <w:r>
        <w:rPr>
          <w:rFonts w:hint="eastAsia" w:asciiTheme="minorEastAsia" w:hAnsiTheme="minorEastAsia" w:eastAsiaTheme="minorEastAsia"/>
          <w:b w:val="0"/>
          <w:color w:val="000000"/>
          <w:sz w:val="21"/>
          <w:szCs w:val="21"/>
        </w:rPr>
        <w:t>. 一般约定</w:t>
      </w:r>
      <w:bookmarkEnd w:id="84"/>
    </w:p>
    <w:bookmarkEnd w:id="87"/>
    <w:bookmarkEnd w:id="88"/>
    <w:bookmarkEnd w:id="89"/>
    <w:bookmarkEnd w:id="90"/>
    <w:bookmarkEnd w:id="91"/>
    <w:bookmarkEnd w:id="92"/>
    <w:bookmarkEnd w:id="93"/>
    <w:bookmarkEnd w:id="94"/>
    <w:bookmarkEnd w:id="95"/>
    <w:bookmarkEnd w:id="96"/>
    <w:p w14:paraId="06E4D3F9">
      <w:pPr>
        <w:spacing w:before="120" w:after="120" w:line="360" w:lineRule="auto"/>
        <w:ind w:firstLine="420" w:firstLineChars="200"/>
        <w:outlineLvl w:val="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 词语定义</w:t>
      </w:r>
    </w:p>
    <w:p w14:paraId="1875791F">
      <w:pPr>
        <w:spacing w:before="120" w:line="360" w:lineRule="auto"/>
        <w:ind w:firstLine="420" w:firstLineChars="200"/>
        <w:rPr>
          <w:rFonts w:hint="eastAsia" w:asciiTheme="minorEastAsia" w:hAnsiTheme="minorEastAsia" w:eastAsiaTheme="minorEastAsia"/>
          <w:color w:val="000000"/>
          <w:kern w:val="0"/>
          <w:szCs w:val="21"/>
        </w:rPr>
      </w:pPr>
      <w:r>
        <w:rPr>
          <w:rFonts w:hint="eastAsia" w:asciiTheme="minorEastAsia" w:hAnsiTheme="minorEastAsia" w:eastAsiaTheme="minorEastAsia"/>
          <w:color w:val="000000"/>
          <w:kern w:val="0"/>
          <w:szCs w:val="21"/>
        </w:rPr>
        <w:t>1.1.1合同</w:t>
      </w:r>
    </w:p>
    <w:p w14:paraId="2D6EE95D">
      <w:pPr>
        <w:spacing w:before="120" w:line="360" w:lineRule="auto"/>
        <w:ind w:firstLine="420" w:firstLineChars="200"/>
        <w:rPr>
          <w:rFonts w:hint="eastAsia" w:asciiTheme="minorEastAsia" w:hAnsiTheme="minorEastAsia" w:eastAsiaTheme="minorEastAsia"/>
          <w:color w:val="000000"/>
          <w:kern w:val="0"/>
          <w:szCs w:val="21"/>
        </w:rPr>
      </w:pPr>
      <w:r>
        <w:rPr>
          <w:rFonts w:hint="eastAsia" w:asciiTheme="minorEastAsia" w:hAnsiTheme="minorEastAsia" w:eastAsiaTheme="minorEastAsia"/>
          <w:color w:val="000000"/>
          <w:kern w:val="0"/>
          <w:szCs w:val="21"/>
        </w:rPr>
        <w:t>1.1.1.10其他合同文件包括：</w:t>
      </w:r>
      <w:r>
        <w:rPr>
          <w:rFonts w:hint="eastAsia" w:asciiTheme="minorEastAsia" w:hAnsiTheme="minorEastAsia" w:eastAsiaTheme="minorEastAsia"/>
          <w:color w:val="000000"/>
          <w:szCs w:val="21"/>
          <w:u w:val="single"/>
        </w:rPr>
        <w:t></w:t>
      </w:r>
      <w:r>
        <w:rPr>
          <w:rFonts w:hint="eastAsia" w:asciiTheme="minorEastAsia" w:hAnsiTheme="minorEastAsia" w:eastAsiaTheme="minorEastAsia"/>
          <w:szCs w:val="21"/>
          <w:u w:val="single"/>
        </w:rPr>
        <w:t xml:space="preserve">招标文件及补充通知、招标答疑及其附件；洽商、变更等明确双方权利义务的纪要、书面协议等  </w:t>
      </w:r>
      <w:r>
        <w:rPr>
          <w:rFonts w:hint="eastAsia" w:asciiTheme="minorEastAsia" w:hAnsiTheme="minorEastAsia" w:eastAsiaTheme="minorEastAsia"/>
          <w:szCs w:val="21"/>
        </w:rPr>
        <w:t>。</w:t>
      </w:r>
    </w:p>
    <w:p w14:paraId="664A6666">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1.1.2 合同当事人及其他相关方</w:t>
      </w:r>
    </w:p>
    <w:p w14:paraId="38A48F0D">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1.1.2.4监理人：</w:t>
      </w:r>
    </w:p>
    <w:p w14:paraId="69F42946">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名    称：</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6D5B2759">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资质类别和等级</w:t>
      </w:r>
      <w:r>
        <w:rPr>
          <w:rFonts w:hint="eastAsia" w:asciiTheme="minorEastAsia" w:hAnsiTheme="minorEastAsia" w:eastAsiaTheme="minorEastAsia"/>
          <w:color w:val="000000"/>
          <w:szCs w:val="21"/>
          <w:u w:val="single"/>
        </w:rPr>
        <w:t>/           </w:t>
      </w:r>
      <w:r>
        <w:rPr>
          <w:rFonts w:hint="eastAsia" w:asciiTheme="minorEastAsia" w:hAnsiTheme="minorEastAsia" w:eastAsiaTheme="minorEastAsia"/>
          <w:color w:val="000000"/>
          <w:szCs w:val="21"/>
        </w:rPr>
        <w:t xml:space="preserve"> ；          </w:t>
      </w:r>
    </w:p>
    <w:p w14:paraId="627257E3">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联系电话：</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70BA45A1">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电子信箱：</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25FF0F7F">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通信地址：</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4CAB339D">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1.1.2.5 设计人：</w:t>
      </w:r>
    </w:p>
    <w:p w14:paraId="34C8D7FC">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名    称：</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6400386B">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资质类别和等级：</w:t>
      </w:r>
      <w:r>
        <w:rPr>
          <w:rFonts w:hint="eastAsia" w:asciiTheme="minorEastAsia" w:hAnsiTheme="minorEastAsia" w:eastAsiaTheme="minorEastAsia"/>
          <w:color w:val="000000"/>
          <w:szCs w:val="21"/>
          <w:u w:val="single"/>
        </w:rPr>
        <w:t xml:space="preserve">/             </w:t>
      </w:r>
      <w:r>
        <w:rPr>
          <w:rFonts w:hint="eastAsia" w:asciiTheme="minorEastAsia" w:hAnsiTheme="minorEastAsia" w:eastAsiaTheme="minorEastAsia"/>
          <w:color w:val="000000"/>
          <w:szCs w:val="21"/>
        </w:rPr>
        <w:t>；</w:t>
      </w:r>
    </w:p>
    <w:p w14:paraId="1A7CFEFF">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联系电话：</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51F72F7D">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电子信箱：</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655D6C90">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通信地址：</w:t>
      </w:r>
      <w:r>
        <w:rPr>
          <w:rFonts w:hint="eastAsia" w:asciiTheme="minorEastAsia" w:hAnsiTheme="minorEastAsia" w:eastAsiaTheme="minorEastAsia"/>
          <w:color w:val="000000"/>
          <w:szCs w:val="21"/>
          <w:u w:val="single"/>
        </w:rPr>
        <w:t xml:space="preserve"> /               </w:t>
      </w:r>
      <w:r>
        <w:rPr>
          <w:rFonts w:hint="eastAsia" w:asciiTheme="minorEastAsia" w:hAnsiTheme="minorEastAsia" w:eastAsiaTheme="minorEastAsia"/>
          <w:color w:val="000000"/>
          <w:szCs w:val="21"/>
        </w:rPr>
        <w:t>。</w:t>
      </w:r>
    </w:p>
    <w:p w14:paraId="6DA4DE3E">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1.1.3 工程和设备</w:t>
      </w:r>
    </w:p>
    <w:p w14:paraId="44F1A079">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1.1.3.7 作为施工现场组成部分的其他场所包括：发包人根据项目施工实际需要指定给予承包人用于完成项目施工的场地。</w:t>
      </w:r>
    </w:p>
    <w:p w14:paraId="7B007AA1">
      <w:pPr>
        <w:spacing w:before="120" w:line="360" w:lineRule="auto"/>
        <w:ind w:firstLine="420" w:firstLineChars="200"/>
        <w:jc w:val="left"/>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1.1.3.9 永久占地包括： 依据设计图纸确定的工程项目完工后需长期占用的土地 。</w:t>
      </w:r>
    </w:p>
    <w:p w14:paraId="3568602A">
      <w:pPr>
        <w:spacing w:before="120"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1.1.3.10 临时占地包括：</w:t>
      </w:r>
    </w:p>
    <w:p w14:paraId="3C3C86F8">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发包人原则上不提供临时占地，工程施工所需场地均在工程永久用地范围进行规划，承包人应当为各阶段、各专业分包的单位统一协调好施工临时设施用地，本项目主体结构不得作为临时设施用地（房）使用。</w:t>
      </w:r>
    </w:p>
    <w:p w14:paraId="583C89AE">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（2）如项目施工确实需要另行增加临时占地，以发包人指定区域为准，工程完工后由承包人负责恢复原状。</w:t>
      </w:r>
    </w:p>
    <w:p w14:paraId="6CB01E52">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1.3法律 </w:t>
      </w:r>
    </w:p>
    <w:p w14:paraId="3EECDD88">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适用于合同的其他规范性文件：国家、行业、湖南省及湘潭市现行的有关规范性文件 。</w:t>
      </w:r>
    </w:p>
    <w:p w14:paraId="7444348E">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 标准和规范</w:t>
      </w:r>
    </w:p>
    <w:p w14:paraId="4144104E">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1.4.1适用于工程的标准规范包括：</w:t>
      </w:r>
      <w:r>
        <w:rPr>
          <w:rFonts w:hint="eastAsia" w:asciiTheme="minorEastAsia" w:hAnsiTheme="minorEastAsia" w:eastAsiaTheme="minorEastAsia"/>
          <w:color w:val="000000"/>
          <w:szCs w:val="21"/>
          <w:u w:val="single"/>
        </w:rPr>
        <w:t>   按照通用条款执行   </w:t>
      </w:r>
      <w:r>
        <w:rPr>
          <w:rFonts w:hint="eastAsia" w:asciiTheme="minorEastAsia" w:hAnsiTheme="minorEastAsia" w:eastAsiaTheme="minorEastAsia"/>
          <w:color w:val="000000"/>
          <w:szCs w:val="21"/>
        </w:rPr>
        <w:t>。</w:t>
      </w:r>
    </w:p>
    <w:p w14:paraId="31DE9754">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1.4.2 发包人提供国外标准、规范的名称： </w:t>
      </w:r>
      <w:r>
        <w:rPr>
          <w:rFonts w:hint="eastAsia" w:asciiTheme="minorEastAsia" w:hAnsiTheme="minorEastAsia" w:eastAsiaTheme="minorEastAsia"/>
          <w:color w:val="000000"/>
          <w:szCs w:val="21"/>
          <w:u w:val="single"/>
        </w:rPr>
        <w:t xml:space="preserve">   /    </w:t>
      </w:r>
      <w:r>
        <w:rPr>
          <w:rFonts w:hint="eastAsia" w:asciiTheme="minorEastAsia" w:hAnsiTheme="minorEastAsia" w:eastAsiaTheme="minorEastAsia"/>
          <w:color w:val="000000"/>
          <w:szCs w:val="21"/>
        </w:rPr>
        <w:t xml:space="preserve"> ；</w:t>
      </w:r>
    </w:p>
    <w:p w14:paraId="2445F942">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发包人提供国外标准、规范的份数：</w:t>
      </w:r>
      <w:r>
        <w:rPr>
          <w:rFonts w:hint="eastAsia" w:asciiTheme="minorEastAsia" w:hAnsiTheme="minorEastAsia" w:eastAsiaTheme="minorEastAsia"/>
          <w:color w:val="000000"/>
          <w:szCs w:val="21"/>
          <w:u w:val="single"/>
        </w:rPr>
        <w:t xml:space="preserve">   /   </w:t>
      </w:r>
      <w:r>
        <w:rPr>
          <w:rFonts w:hint="eastAsia" w:asciiTheme="minorEastAsia" w:hAnsiTheme="minorEastAsia" w:eastAsiaTheme="minorEastAsia"/>
          <w:color w:val="000000"/>
          <w:szCs w:val="21"/>
        </w:rPr>
        <w:t xml:space="preserve"> ；</w:t>
      </w:r>
    </w:p>
    <w:p w14:paraId="3A5524DC">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发包人提供国外标准、规范的名称：</w:t>
      </w:r>
      <w:r>
        <w:rPr>
          <w:rFonts w:hint="eastAsia" w:asciiTheme="minorEastAsia" w:hAnsiTheme="minorEastAsia" w:eastAsiaTheme="minorEastAsia"/>
          <w:color w:val="000000"/>
          <w:szCs w:val="21"/>
          <w:u w:val="single"/>
        </w:rPr>
        <w:t xml:space="preserve">   /   </w:t>
      </w:r>
      <w:r>
        <w:rPr>
          <w:rFonts w:hint="eastAsia" w:asciiTheme="minorEastAsia" w:hAnsiTheme="minorEastAsia" w:eastAsiaTheme="minorEastAsia"/>
          <w:color w:val="000000"/>
          <w:szCs w:val="21"/>
        </w:rPr>
        <w:t xml:space="preserve">  。</w:t>
      </w:r>
    </w:p>
    <w:p w14:paraId="33BF2AAC">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1.4.3发包人对工程的技术标准和功能要求的特殊要求：</w:t>
      </w:r>
      <w:r>
        <w:rPr>
          <w:rFonts w:hint="eastAsia" w:asciiTheme="minorEastAsia" w:hAnsiTheme="minorEastAsia" w:eastAsiaTheme="minorEastAsia"/>
          <w:color w:val="000000"/>
          <w:szCs w:val="21"/>
          <w:u w:val="single"/>
        </w:rPr>
        <w:t xml:space="preserve">   /   </w:t>
      </w:r>
      <w:r>
        <w:rPr>
          <w:rFonts w:hint="eastAsia" w:asciiTheme="minorEastAsia" w:hAnsiTheme="minorEastAsia" w:eastAsiaTheme="minorEastAsia"/>
          <w:color w:val="000000"/>
          <w:szCs w:val="21"/>
        </w:rPr>
        <w:t xml:space="preserve"> 。</w:t>
      </w:r>
    </w:p>
    <w:p w14:paraId="4DFB9191">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 合同文件的优先顺序</w:t>
      </w:r>
    </w:p>
    <w:p w14:paraId="07A84A9E">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合同文件组成及优先顺序为：</w:t>
      </w:r>
      <w:r>
        <w:rPr>
          <w:rFonts w:hint="eastAsia" w:asciiTheme="minorEastAsia" w:hAnsiTheme="minorEastAsia" w:eastAsiaTheme="minorEastAsia"/>
          <w:color w:val="000000"/>
          <w:szCs w:val="21"/>
          <w:u w:val="single"/>
        </w:rPr>
        <w:t>按照通用条款执行</w:t>
      </w:r>
      <w:r>
        <w:rPr>
          <w:rFonts w:hint="eastAsia" w:asciiTheme="minorEastAsia" w:hAnsiTheme="minorEastAsia" w:eastAsiaTheme="minorEastAsia"/>
          <w:color w:val="000000"/>
          <w:szCs w:val="21"/>
        </w:rPr>
        <w:t>。</w:t>
      </w:r>
    </w:p>
    <w:p w14:paraId="4D404752">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 图纸和承包人文件</w:t>
      </w:r>
      <w:r>
        <w:rPr>
          <w:rFonts w:hint="eastAsia" w:asciiTheme="minorEastAsia" w:hAnsiTheme="minorEastAsia" w:eastAsiaTheme="minorEastAsia"/>
          <w:color w:val="000000"/>
          <w:szCs w:val="21"/>
        </w:rPr>
        <w:tab/>
      </w:r>
    </w:p>
    <w:p w14:paraId="67884C18">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1.6.1 图纸的提供</w:t>
      </w:r>
    </w:p>
    <w:p w14:paraId="4B2836CD">
      <w:pPr>
        <w:spacing w:before="120" w:line="360" w:lineRule="auto"/>
        <w:ind w:firstLine="420" w:firstLineChars="200"/>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发包人向承包人提供图纸的期限：</w:t>
      </w:r>
      <w:r>
        <w:rPr>
          <w:rFonts w:hint="eastAsia" w:asciiTheme="minorEastAsia" w:hAnsiTheme="minorEastAsia" w:eastAsiaTheme="minorEastAsia"/>
          <w:color w:val="000000"/>
          <w:szCs w:val="21"/>
          <w:u w:val="single"/>
        </w:rPr>
        <w:t>至迟不晚于开工通知载明开工日期前14天</w:t>
      </w:r>
      <w:r>
        <w:rPr>
          <w:rFonts w:hint="eastAsia" w:asciiTheme="minorEastAsia" w:hAnsiTheme="minorEastAsia" w:eastAsiaTheme="minorEastAsia"/>
          <w:color w:val="000000"/>
          <w:szCs w:val="21"/>
        </w:rPr>
        <w:t>；</w:t>
      </w:r>
    </w:p>
    <w:p w14:paraId="3178EB89">
      <w:pPr>
        <w:spacing w:before="120" w:line="360" w:lineRule="auto"/>
        <w:ind w:firstLine="420" w:firstLineChars="200"/>
        <w:rPr>
          <w:rFonts w:hint="eastAsia" w:ascii="宋体" w:hAnsi="宋体"/>
          <w:szCs w:val="21"/>
        </w:rPr>
      </w:pPr>
      <w:r>
        <w:rPr>
          <w:rFonts w:hint="eastAsia" w:ascii="宋体" w:hAnsi="宋体"/>
          <w:color w:val="000000"/>
          <w:szCs w:val="21"/>
        </w:rPr>
        <w:t>发包人向承包人提供图纸的数量：</w:t>
      </w:r>
      <w:r>
        <w:rPr>
          <w:rFonts w:hint="eastAsia" w:ascii="宋体" w:hAnsi="宋体"/>
          <w:color w:val="000000"/>
          <w:szCs w:val="21"/>
          <w:u w:val="single"/>
        </w:rPr>
        <w:t></w:t>
      </w:r>
      <w:r>
        <w:rPr>
          <w:rFonts w:hint="eastAsia" w:ascii="宋体" w:hAnsi="宋体"/>
          <w:szCs w:val="21"/>
          <w:u w:val="single"/>
        </w:rPr>
        <w:t xml:space="preserve">肆套     </w:t>
      </w:r>
      <w:r>
        <w:rPr>
          <w:rFonts w:hint="eastAsia" w:ascii="宋体" w:hAnsi="宋体"/>
          <w:szCs w:val="21"/>
        </w:rPr>
        <w:t>；</w:t>
      </w:r>
    </w:p>
    <w:p w14:paraId="53C05819">
      <w:pPr>
        <w:spacing w:before="120" w:line="360" w:lineRule="auto"/>
        <w:ind w:firstLine="420" w:firstLineChars="200"/>
        <w:rPr>
          <w:rFonts w:hint="eastAsia" w:ascii="宋体" w:hAnsi="宋体"/>
          <w:color w:val="000000"/>
          <w:szCs w:val="21"/>
        </w:rPr>
      </w:pPr>
      <w:r>
        <w:rPr>
          <w:rFonts w:hint="eastAsia" w:ascii="宋体" w:hAnsi="宋体"/>
          <w:szCs w:val="21"/>
        </w:rPr>
        <w:t>发包人向承包人提供图纸的内容：</w:t>
      </w:r>
      <w:r>
        <w:rPr>
          <w:rFonts w:hint="eastAsia" w:ascii="宋体" w:hAnsi="宋体"/>
          <w:szCs w:val="21"/>
          <w:u w:val="single"/>
        </w:rPr>
        <w:t xml:space="preserve">全套施工图纸  </w:t>
      </w:r>
      <w:r>
        <w:rPr>
          <w:rFonts w:hint="eastAsia" w:ascii="宋体" w:hAnsi="宋体"/>
          <w:color w:val="000000"/>
          <w:szCs w:val="21"/>
          <w:u w:val="single"/>
        </w:rPr>
        <w:t xml:space="preserve"> </w:t>
      </w:r>
      <w:r>
        <w:rPr>
          <w:rFonts w:hint="eastAsia" w:ascii="宋体" w:hAnsi="宋体"/>
          <w:color w:val="000000"/>
          <w:szCs w:val="21"/>
        </w:rPr>
        <w:t>。</w:t>
      </w:r>
    </w:p>
    <w:p w14:paraId="49DB8857">
      <w:pPr>
        <w:spacing w:before="120" w:line="360" w:lineRule="auto"/>
        <w:ind w:firstLine="420" w:firstLineChars="200"/>
        <w:rPr>
          <w:rFonts w:hint="eastAsia" w:ascii="宋体" w:hAnsi="宋体"/>
          <w:color w:val="000000"/>
          <w:szCs w:val="21"/>
        </w:rPr>
      </w:pPr>
      <w:r>
        <w:rPr>
          <w:rFonts w:hint="eastAsia" w:ascii="宋体" w:hAnsi="宋体"/>
          <w:color w:val="000000"/>
          <w:szCs w:val="21"/>
        </w:rPr>
        <w:t>1.6.4 承包人文件</w:t>
      </w:r>
    </w:p>
    <w:p w14:paraId="17FF1C11">
      <w:pPr>
        <w:spacing w:before="120" w:line="360" w:lineRule="auto"/>
        <w:ind w:firstLine="420" w:firstLineChars="200"/>
        <w:jc w:val="left"/>
        <w:rPr>
          <w:rFonts w:hint="eastAsia" w:ascii="宋体" w:hAnsi="宋体"/>
          <w:szCs w:val="21"/>
        </w:rPr>
      </w:pPr>
      <w:r>
        <w:rPr>
          <w:rFonts w:hint="eastAsia" w:ascii="宋体" w:hAnsi="宋体"/>
          <w:szCs w:val="21"/>
        </w:rPr>
        <w:t>需要由承包人提供的文件，包括：</w:t>
      </w:r>
      <w:r>
        <w:rPr>
          <w:rFonts w:hint="eastAsia" w:ascii="宋体" w:hAnsi="宋体"/>
          <w:szCs w:val="21"/>
          <w:u w:val="single"/>
        </w:rPr>
        <w:t>按发包人和监理规范要求的文件，提供与本工程建设施工有关的文件，包括但不限于：施工组织设计、质量安全控制体系、安全生产责任制度、组织机构、专项施工方案、隐蔽工程验收申请、工程款支付申请、现场签证单、工作联系单等；承包人每周、每月需向监理人提交下周、下月施工计划、施工月报、每月工程量报告等</w:t>
      </w:r>
      <w:r>
        <w:rPr>
          <w:rFonts w:hint="eastAsia" w:ascii="宋体" w:hAnsi="宋体"/>
          <w:szCs w:val="21"/>
        </w:rPr>
        <w:t>。</w:t>
      </w:r>
    </w:p>
    <w:p w14:paraId="20E070EE">
      <w:pPr>
        <w:spacing w:before="120" w:line="360" w:lineRule="auto"/>
        <w:ind w:firstLine="420" w:firstLineChars="200"/>
        <w:rPr>
          <w:rFonts w:hint="eastAsia" w:ascii="宋体" w:hAnsi="宋体"/>
          <w:szCs w:val="21"/>
        </w:rPr>
      </w:pPr>
      <w:r>
        <w:rPr>
          <w:rFonts w:hint="eastAsia" w:ascii="宋体" w:hAnsi="宋体"/>
          <w:szCs w:val="21"/>
        </w:rPr>
        <w:t>承包人提供的文件的期限为：</w:t>
      </w:r>
      <w:r>
        <w:rPr>
          <w:rFonts w:hint="eastAsia" w:ascii="宋体" w:hAnsi="宋体"/>
          <w:szCs w:val="21"/>
          <w:u w:val="single"/>
        </w:rPr>
        <w:t>相应工程施工前14天向监理人提供，并由监理人报送发包人。具体时间如下：施工组织设计、质量安全控制体系、安全生产责任制度、组织机构、专项方案应在合同签订后7天内提供；在每周五前提供下周计划、每月25日前提供下月施工计划、施工月报</w:t>
      </w:r>
      <w:r>
        <w:rPr>
          <w:rFonts w:hint="eastAsia" w:ascii="宋体" w:hAnsi="宋体"/>
          <w:szCs w:val="21"/>
        </w:rPr>
        <w:t>。</w:t>
      </w:r>
    </w:p>
    <w:p w14:paraId="710A332C">
      <w:pPr>
        <w:spacing w:before="120" w:line="360" w:lineRule="auto"/>
        <w:ind w:firstLine="420" w:firstLineChars="200"/>
        <w:rPr>
          <w:rFonts w:hint="eastAsia" w:ascii="宋体" w:hAnsi="宋体"/>
          <w:szCs w:val="21"/>
        </w:rPr>
      </w:pPr>
      <w:r>
        <w:rPr>
          <w:rFonts w:hint="eastAsia" w:ascii="宋体" w:hAnsi="宋体"/>
          <w:szCs w:val="21"/>
        </w:rPr>
        <w:t>承包人提供的文件的数量为：</w:t>
      </w:r>
      <w:r>
        <w:rPr>
          <w:rFonts w:hint="eastAsia" w:ascii="宋体" w:hAnsi="宋体"/>
          <w:szCs w:val="21"/>
          <w:u w:val="single"/>
        </w:rPr>
        <w:t>肆份 </w:t>
      </w:r>
      <w:r>
        <w:rPr>
          <w:rFonts w:hint="eastAsia" w:ascii="宋体" w:hAnsi="宋体"/>
          <w:szCs w:val="21"/>
        </w:rPr>
        <w:t>；</w:t>
      </w:r>
    </w:p>
    <w:p w14:paraId="76F68A9F">
      <w:pPr>
        <w:spacing w:before="120" w:line="360" w:lineRule="auto"/>
        <w:ind w:firstLine="420" w:firstLineChars="200"/>
        <w:rPr>
          <w:rFonts w:hint="eastAsia" w:ascii="宋体" w:hAnsi="宋体"/>
          <w:szCs w:val="21"/>
        </w:rPr>
      </w:pPr>
      <w:r>
        <w:rPr>
          <w:rFonts w:hint="eastAsia" w:ascii="宋体" w:hAnsi="宋体"/>
          <w:szCs w:val="21"/>
        </w:rPr>
        <w:t>承包人提供的文件的形式为：</w:t>
      </w:r>
      <w:r>
        <w:rPr>
          <w:rFonts w:hint="eastAsia" w:ascii="宋体" w:hAnsi="宋体"/>
          <w:szCs w:val="21"/>
          <w:u w:val="single"/>
        </w:rPr>
        <w:t>纸质版文件和内容一致的电子版文件</w:t>
      </w:r>
      <w:r>
        <w:rPr>
          <w:rFonts w:hint="eastAsia" w:ascii="宋体" w:hAnsi="宋体"/>
          <w:szCs w:val="21"/>
        </w:rPr>
        <w:t>；</w:t>
      </w:r>
    </w:p>
    <w:p w14:paraId="2E751B48">
      <w:pPr>
        <w:spacing w:before="120" w:line="360" w:lineRule="auto"/>
        <w:ind w:firstLine="420" w:firstLineChars="200"/>
        <w:rPr>
          <w:rFonts w:hint="eastAsia" w:ascii="宋体" w:hAnsi="宋体"/>
          <w:szCs w:val="21"/>
        </w:rPr>
      </w:pPr>
      <w:r>
        <w:rPr>
          <w:rFonts w:hint="eastAsia" w:ascii="宋体" w:hAnsi="宋体"/>
          <w:szCs w:val="21"/>
        </w:rPr>
        <w:t>发包人审批承包人文件的期限：</w:t>
      </w:r>
      <w:r>
        <w:rPr>
          <w:rFonts w:hint="eastAsia" w:ascii="宋体" w:hAnsi="宋体"/>
          <w:szCs w:val="21"/>
          <w:u w:val="single"/>
        </w:rPr>
        <w:t xml:space="preserve">  收到承包人文件后14天内审查完毕</w:t>
      </w:r>
      <w:r>
        <w:rPr>
          <w:rFonts w:hint="eastAsia" w:ascii="宋体" w:hAnsi="宋体"/>
          <w:szCs w:val="21"/>
        </w:rPr>
        <w:t>。</w:t>
      </w:r>
    </w:p>
    <w:p w14:paraId="59DB9A77">
      <w:pPr>
        <w:spacing w:before="120" w:line="360" w:lineRule="auto"/>
        <w:ind w:firstLine="420" w:firstLineChars="200"/>
        <w:rPr>
          <w:rFonts w:hint="eastAsia" w:ascii="宋体" w:hAnsi="宋体"/>
          <w:szCs w:val="21"/>
        </w:rPr>
      </w:pPr>
      <w:r>
        <w:rPr>
          <w:rFonts w:hint="eastAsia" w:ascii="宋体" w:hAnsi="宋体"/>
          <w:szCs w:val="21"/>
        </w:rPr>
        <w:t>1.6.5 现场图纸准备</w:t>
      </w:r>
    </w:p>
    <w:p w14:paraId="441ABFED">
      <w:pPr>
        <w:spacing w:before="120" w:line="360" w:lineRule="auto"/>
        <w:ind w:firstLine="420" w:firstLineChars="200"/>
        <w:rPr>
          <w:rFonts w:hint="eastAsia" w:ascii="宋体" w:hAnsi="宋体"/>
          <w:szCs w:val="21"/>
        </w:rPr>
      </w:pPr>
      <w:r>
        <w:rPr>
          <w:rFonts w:hint="eastAsia" w:ascii="宋体" w:hAnsi="宋体"/>
          <w:szCs w:val="21"/>
        </w:rPr>
        <w:t>关于现场图纸准备的约定：</w:t>
      </w:r>
      <w:r>
        <w:rPr>
          <w:rFonts w:hint="eastAsia" w:ascii="宋体" w:hAnsi="宋体"/>
          <w:szCs w:val="21"/>
          <w:u w:val="single"/>
        </w:rPr>
        <w:t xml:space="preserve">承包人负责保存一套完整的图纸及承包人文件，其他按通用条款执行  </w:t>
      </w:r>
      <w:r>
        <w:rPr>
          <w:rFonts w:hint="eastAsia" w:ascii="宋体" w:hAnsi="宋体"/>
          <w:szCs w:val="21"/>
        </w:rPr>
        <w:t>。</w:t>
      </w:r>
    </w:p>
    <w:p w14:paraId="57BD4E03">
      <w:pPr>
        <w:spacing w:before="120" w:after="120" w:line="360" w:lineRule="auto"/>
        <w:ind w:firstLine="420" w:firstLineChars="200"/>
        <w:outlineLvl w:val="0"/>
        <w:rPr>
          <w:rFonts w:hint="eastAsia" w:ascii="宋体" w:hAnsi="宋体"/>
          <w:szCs w:val="21"/>
        </w:rPr>
      </w:pPr>
      <w:r>
        <w:rPr>
          <w:rFonts w:hint="eastAsia" w:ascii="宋体" w:hAnsi="宋体"/>
          <w:szCs w:val="21"/>
        </w:rPr>
        <w:t>1.7 联络</w:t>
      </w:r>
    </w:p>
    <w:p w14:paraId="1746D02B">
      <w:pPr>
        <w:spacing w:before="120" w:line="360" w:lineRule="auto"/>
        <w:ind w:firstLine="420" w:firstLineChars="200"/>
        <w:rPr>
          <w:rFonts w:hint="eastAsia" w:ascii="宋体" w:hAnsi="宋体"/>
          <w:color w:val="000000"/>
          <w:kern w:val="0"/>
          <w:szCs w:val="21"/>
        </w:rPr>
      </w:pPr>
      <w:r>
        <w:rPr>
          <w:rFonts w:hint="eastAsia" w:ascii="宋体" w:hAnsi="宋体"/>
          <w:color w:val="000000"/>
          <w:kern w:val="0"/>
          <w:szCs w:val="21"/>
        </w:rPr>
        <w:t>1.7.1发包人和承包人应当在</w:t>
      </w:r>
      <w:r>
        <w:rPr>
          <w:rFonts w:hint="eastAsia" w:ascii="宋体" w:hAnsi="宋体"/>
          <w:szCs w:val="21"/>
          <w:u w:val="single"/>
        </w:rPr>
        <w:t xml:space="preserve">7 </w:t>
      </w:r>
      <w:r>
        <w:rPr>
          <w:rFonts w:hint="eastAsia" w:ascii="宋体" w:hAnsi="宋体"/>
          <w:color w:val="FF0000"/>
          <w:szCs w:val="21"/>
          <w:u w:val="single"/>
        </w:rPr>
        <w:t xml:space="preserve"> </w:t>
      </w:r>
      <w:r>
        <w:rPr>
          <w:rFonts w:hint="eastAsia" w:ascii="宋体" w:hAnsi="宋体"/>
          <w:color w:val="000000"/>
          <w:kern w:val="0"/>
          <w:szCs w:val="21"/>
        </w:rPr>
        <w:t>天内将与合同有关的通知、批准、证明、证书、指示、指令、要求、请求、同意、意见、确定和决定等书面函件送达对方当事人。</w:t>
      </w:r>
    </w:p>
    <w:p w14:paraId="459231EC">
      <w:pPr>
        <w:spacing w:before="120" w:line="360" w:lineRule="auto"/>
        <w:ind w:firstLine="420" w:firstLineChars="200"/>
        <w:rPr>
          <w:rFonts w:hint="eastAsia" w:ascii="宋体" w:hAnsi="宋体"/>
          <w:kern w:val="0"/>
          <w:szCs w:val="21"/>
        </w:rPr>
      </w:pPr>
      <w:r>
        <w:rPr>
          <w:rFonts w:hint="eastAsia" w:ascii="宋体" w:hAnsi="宋体"/>
          <w:color w:val="000000"/>
          <w:kern w:val="0"/>
          <w:szCs w:val="21"/>
        </w:rPr>
        <w:t>1.7.2 发包人接收文件的地点：</w:t>
      </w:r>
      <w:r>
        <w:rPr>
          <w:rFonts w:hint="eastAsia" w:ascii="宋体" w:hAnsi="宋体"/>
          <w:color w:val="000000"/>
          <w:szCs w:val="21"/>
          <w:u w:val="single"/>
        </w:rPr>
        <w:t></w:t>
      </w:r>
      <w:r>
        <w:rPr>
          <w:rFonts w:hint="eastAsia" w:ascii="宋体" w:hAnsi="宋体"/>
          <w:szCs w:val="21"/>
          <w:u w:val="single"/>
        </w:rPr>
        <w:t>湘潭大学基建处 </w:t>
      </w:r>
      <w:r>
        <w:rPr>
          <w:rFonts w:hint="eastAsia" w:ascii="宋体" w:hAnsi="宋体"/>
          <w:kern w:val="0"/>
          <w:szCs w:val="21"/>
        </w:rPr>
        <w:t>；</w:t>
      </w:r>
    </w:p>
    <w:p w14:paraId="41ECA70A">
      <w:pPr>
        <w:spacing w:before="120" w:line="360" w:lineRule="auto"/>
        <w:ind w:firstLine="420" w:firstLineChars="200"/>
        <w:rPr>
          <w:rFonts w:hint="eastAsia" w:ascii="宋体" w:hAnsi="宋体"/>
          <w:kern w:val="0"/>
          <w:szCs w:val="21"/>
        </w:rPr>
      </w:pPr>
      <w:r>
        <w:rPr>
          <w:rFonts w:hint="eastAsia" w:ascii="宋体" w:hAnsi="宋体"/>
          <w:kern w:val="0"/>
          <w:szCs w:val="21"/>
        </w:rPr>
        <w:t>发包人指定的接收人为：</w:t>
      </w:r>
      <w:r>
        <w:rPr>
          <w:rFonts w:hint="eastAsia" w:ascii="宋体" w:hAnsi="宋体"/>
          <w:szCs w:val="21"/>
          <w:u w:val="single"/>
        </w:rPr>
        <w:t xml:space="preserve">       </w:t>
      </w:r>
      <w:r>
        <w:rPr>
          <w:rFonts w:hint="eastAsia" w:ascii="宋体" w:hAnsi="宋体"/>
          <w:kern w:val="0"/>
          <w:szCs w:val="21"/>
        </w:rPr>
        <w:t>。</w:t>
      </w:r>
    </w:p>
    <w:p w14:paraId="651F33BE">
      <w:pPr>
        <w:spacing w:before="120" w:line="360" w:lineRule="auto"/>
        <w:ind w:firstLine="420" w:firstLineChars="200"/>
        <w:rPr>
          <w:rFonts w:hint="eastAsia" w:ascii="宋体" w:hAnsi="宋体"/>
          <w:kern w:val="0"/>
          <w:szCs w:val="21"/>
        </w:rPr>
      </w:pPr>
      <w:r>
        <w:rPr>
          <w:rFonts w:hint="eastAsia" w:ascii="宋体" w:hAnsi="宋体"/>
          <w:kern w:val="0"/>
          <w:szCs w:val="21"/>
        </w:rPr>
        <w:t>承包人接收文件的地点：</w:t>
      </w:r>
      <w:r>
        <w:rPr>
          <w:rFonts w:hint="eastAsia" w:ascii="宋体" w:hAnsi="宋体"/>
          <w:szCs w:val="21"/>
          <w:u w:val="single"/>
        </w:rPr>
        <w:t> 工地办公室     </w:t>
      </w:r>
      <w:r>
        <w:rPr>
          <w:rFonts w:hint="eastAsia" w:ascii="宋体" w:hAnsi="宋体"/>
          <w:kern w:val="0"/>
          <w:szCs w:val="21"/>
        </w:rPr>
        <w:t>；</w:t>
      </w:r>
    </w:p>
    <w:p w14:paraId="72411B23">
      <w:pPr>
        <w:spacing w:before="120" w:line="360" w:lineRule="auto"/>
        <w:ind w:firstLine="420" w:firstLineChars="200"/>
        <w:rPr>
          <w:rFonts w:hint="eastAsia" w:ascii="宋体" w:hAnsi="宋体"/>
          <w:kern w:val="0"/>
          <w:szCs w:val="21"/>
        </w:rPr>
      </w:pPr>
      <w:r>
        <w:rPr>
          <w:rFonts w:hint="eastAsia" w:ascii="宋体" w:hAnsi="宋体"/>
          <w:kern w:val="0"/>
          <w:szCs w:val="21"/>
        </w:rPr>
        <w:t>承包人指定的接收人为：</w:t>
      </w:r>
      <w:r>
        <w:rPr>
          <w:rFonts w:hint="eastAsia" w:ascii="宋体" w:hAnsi="宋体"/>
          <w:szCs w:val="21"/>
          <w:u w:val="single"/>
        </w:rPr>
        <w:t xml:space="preserve">          </w:t>
      </w:r>
      <w:r>
        <w:rPr>
          <w:rFonts w:hint="eastAsia" w:ascii="宋体" w:hAnsi="宋体"/>
          <w:kern w:val="0"/>
          <w:szCs w:val="21"/>
        </w:rPr>
        <w:t>。</w:t>
      </w:r>
    </w:p>
    <w:p w14:paraId="45092EFE">
      <w:pPr>
        <w:spacing w:before="120" w:line="360" w:lineRule="auto"/>
        <w:ind w:firstLine="420" w:firstLineChars="200"/>
        <w:rPr>
          <w:rFonts w:hint="eastAsia" w:ascii="宋体" w:hAnsi="宋体"/>
          <w:kern w:val="0"/>
          <w:szCs w:val="21"/>
        </w:rPr>
      </w:pPr>
      <w:r>
        <w:rPr>
          <w:rFonts w:hint="eastAsia" w:ascii="宋体" w:hAnsi="宋体"/>
          <w:kern w:val="0"/>
          <w:szCs w:val="21"/>
        </w:rPr>
        <w:t>监理人接收文件的地点：</w:t>
      </w:r>
      <w:r>
        <w:rPr>
          <w:rFonts w:hint="eastAsia" w:ascii="宋体" w:hAnsi="宋体"/>
          <w:szCs w:val="21"/>
          <w:u w:val="single"/>
        </w:rPr>
        <w:t> 工地办公室       </w:t>
      </w:r>
      <w:r>
        <w:rPr>
          <w:rFonts w:hint="eastAsia" w:ascii="宋体" w:hAnsi="宋体"/>
          <w:kern w:val="0"/>
          <w:szCs w:val="21"/>
        </w:rPr>
        <w:t>；</w:t>
      </w:r>
    </w:p>
    <w:p w14:paraId="3EF501E6">
      <w:pPr>
        <w:spacing w:before="120" w:line="360" w:lineRule="auto"/>
        <w:ind w:firstLine="420" w:firstLineChars="200"/>
        <w:rPr>
          <w:rFonts w:hint="eastAsia" w:ascii="宋体" w:hAnsi="宋体"/>
          <w:color w:val="000000"/>
          <w:kern w:val="0"/>
          <w:szCs w:val="21"/>
        </w:rPr>
      </w:pPr>
      <w:r>
        <w:rPr>
          <w:rFonts w:hint="eastAsia" w:ascii="宋体" w:hAnsi="宋体"/>
          <w:kern w:val="0"/>
          <w:szCs w:val="21"/>
        </w:rPr>
        <w:t>监理人指定的接收人为：</w:t>
      </w:r>
      <w:r>
        <w:rPr>
          <w:rFonts w:hint="eastAsia" w:ascii="宋体" w:hAnsi="宋体"/>
          <w:szCs w:val="21"/>
          <w:u w:val="single"/>
        </w:rPr>
        <w:t> /      </w:t>
      </w:r>
      <w:r>
        <w:rPr>
          <w:rFonts w:hint="eastAsia" w:ascii="宋体" w:hAnsi="宋体"/>
          <w:color w:val="000000"/>
          <w:kern w:val="0"/>
          <w:szCs w:val="21"/>
        </w:rPr>
        <w:t>。</w:t>
      </w:r>
    </w:p>
    <w:p w14:paraId="70980CDF">
      <w:pPr>
        <w:spacing w:before="120" w:after="120" w:line="360" w:lineRule="auto"/>
        <w:ind w:firstLine="420" w:firstLineChars="200"/>
        <w:outlineLvl w:val="0"/>
        <w:rPr>
          <w:rFonts w:hint="eastAsia" w:ascii="宋体" w:hAnsi="宋体"/>
          <w:color w:val="000000"/>
          <w:szCs w:val="21"/>
        </w:rPr>
      </w:pPr>
      <w:r>
        <w:rPr>
          <w:rFonts w:hint="eastAsia" w:ascii="宋体" w:hAnsi="宋体"/>
          <w:color w:val="000000"/>
          <w:szCs w:val="21"/>
        </w:rPr>
        <w:t>1.10 交通运输</w:t>
      </w:r>
    </w:p>
    <w:p w14:paraId="1F590DB1">
      <w:pPr>
        <w:spacing w:before="120" w:line="360" w:lineRule="auto"/>
        <w:ind w:firstLine="420" w:firstLineChars="200"/>
        <w:outlineLvl w:val="0"/>
        <w:rPr>
          <w:rFonts w:hint="eastAsia" w:ascii="宋体" w:hAnsi="宋体"/>
          <w:szCs w:val="21"/>
        </w:rPr>
      </w:pPr>
      <w:r>
        <w:rPr>
          <w:rFonts w:hint="eastAsia" w:ascii="宋体" w:hAnsi="宋体"/>
          <w:szCs w:val="21"/>
        </w:rPr>
        <w:t>1</w:t>
      </w:r>
      <w:bookmarkStart w:id="97" w:name="_Toc303539100"/>
      <w:bookmarkStart w:id="98" w:name="_Toc304295521"/>
      <w:bookmarkStart w:id="99" w:name="_Toc312677986"/>
      <w:bookmarkStart w:id="100" w:name="_Toc318581155"/>
      <w:bookmarkStart w:id="101" w:name="_Toc300934943"/>
      <w:r>
        <w:rPr>
          <w:rFonts w:hint="eastAsia" w:ascii="宋体" w:hAnsi="宋体"/>
          <w:szCs w:val="21"/>
        </w:rPr>
        <w:t>.10.1 出入现场的权利</w:t>
      </w:r>
    </w:p>
    <w:p w14:paraId="0421800F">
      <w:pPr>
        <w:spacing w:before="120" w:line="360" w:lineRule="auto"/>
        <w:ind w:firstLine="420" w:firstLineChars="200"/>
        <w:rPr>
          <w:rFonts w:hint="eastAsia" w:ascii="宋体" w:hAnsi="宋体"/>
          <w:szCs w:val="21"/>
        </w:rPr>
      </w:pPr>
      <w:r>
        <w:rPr>
          <w:rFonts w:hint="eastAsia" w:ascii="宋体" w:hAnsi="宋体"/>
          <w:szCs w:val="21"/>
        </w:rPr>
        <w:t>关于出入现场的权利的约定：</w:t>
      </w:r>
      <w:r>
        <w:rPr>
          <w:rFonts w:hint="eastAsia" w:ascii="宋体" w:hAnsi="宋体"/>
          <w:szCs w:val="21"/>
          <w:u w:val="single"/>
        </w:rPr>
        <w:t>服从湘潭大学基建处管理</w:t>
      </w:r>
      <w:r>
        <w:rPr>
          <w:rFonts w:hint="eastAsia" w:ascii="宋体" w:hAnsi="宋体"/>
          <w:szCs w:val="21"/>
        </w:rPr>
        <w:t>。</w:t>
      </w:r>
    </w:p>
    <w:bookmarkEnd w:id="97"/>
    <w:bookmarkEnd w:id="98"/>
    <w:bookmarkEnd w:id="99"/>
    <w:bookmarkEnd w:id="100"/>
    <w:bookmarkEnd w:id="101"/>
    <w:p w14:paraId="228589B8">
      <w:pPr>
        <w:spacing w:before="120" w:line="360" w:lineRule="auto"/>
        <w:ind w:firstLine="420" w:firstLineChars="200"/>
        <w:jc w:val="left"/>
        <w:outlineLvl w:val="0"/>
        <w:rPr>
          <w:rFonts w:hint="eastAsia" w:ascii="宋体" w:hAnsi="宋体"/>
          <w:szCs w:val="21"/>
        </w:rPr>
      </w:pPr>
      <w:r>
        <w:rPr>
          <w:rFonts w:hint="eastAsia" w:ascii="宋体" w:hAnsi="宋体"/>
          <w:szCs w:val="21"/>
        </w:rPr>
        <w:t>1</w:t>
      </w:r>
      <w:bookmarkStart w:id="102" w:name="_Toc303539101"/>
      <w:bookmarkStart w:id="103" w:name="_Toc312677987"/>
      <w:bookmarkStart w:id="104" w:name="_Toc300934944"/>
      <w:bookmarkStart w:id="105" w:name="_Toc318581156"/>
      <w:bookmarkStart w:id="106" w:name="_Toc304295522"/>
      <w:r>
        <w:rPr>
          <w:rFonts w:hint="eastAsia" w:ascii="宋体" w:hAnsi="宋体"/>
          <w:szCs w:val="21"/>
        </w:rPr>
        <w:t>.10.3 场内交通</w:t>
      </w:r>
    </w:p>
    <w:p w14:paraId="2E787807">
      <w:pPr>
        <w:spacing w:before="120" w:line="360" w:lineRule="auto"/>
        <w:ind w:firstLine="420" w:firstLineChars="200"/>
        <w:jc w:val="left"/>
        <w:rPr>
          <w:rFonts w:hint="eastAsia" w:ascii="宋体" w:hAnsi="宋体"/>
          <w:kern w:val="0"/>
          <w:szCs w:val="21"/>
        </w:rPr>
      </w:pPr>
      <w:r>
        <w:rPr>
          <w:rFonts w:hint="eastAsia" w:ascii="宋体" w:hAnsi="宋体"/>
          <w:kern w:val="0"/>
          <w:szCs w:val="21"/>
        </w:rPr>
        <w:t>关于场外交通和场内交通的边界的约定：</w:t>
      </w:r>
      <w:r>
        <w:rPr>
          <w:rFonts w:hint="eastAsia" w:ascii="宋体" w:hAnsi="宋体"/>
          <w:kern w:val="0"/>
          <w:szCs w:val="21"/>
          <w:u w:val="single"/>
        </w:rPr>
        <w:t xml:space="preserve">  以发包人现场代表指定为准 </w:t>
      </w:r>
      <w:r>
        <w:rPr>
          <w:rFonts w:hint="eastAsia" w:ascii="宋体" w:hAnsi="宋体"/>
          <w:szCs w:val="21"/>
          <w:u w:val="single"/>
        </w:rPr>
        <w:t xml:space="preserve"> </w:t>
      </w:r>
      <w:r>
        <w:rPr>
          <w:rFonts w:hint="eastAsia" w:ascii="宋体" w:hAnsi="宋体"/>
          <w:szCs w:val="21"/>
        </w:rPr>
        <w:t>。</w:t>
      </w:r>
    </w:p>
    <w:p w14:paraId="4EBCBABA">
      <w:pPr>
        <w:spacing w:before="120" w:line="360" w:lineRule="auto"/>
        <w:ind w:firstLine="420" w:firstLineChars="200"/>
        <w:jc w:val="left"/>
        <w:rPr>
          <w:rFonts w:hint="eastAsia" w:ascii="宋体" w:hAnsi="宋体"/>
          <w:szCs w:val="21"/>
        </w:rPr>
      </w:pPr>
      <w:r>
        <w:rPr>
          <w:rFonts w:hint="eastAsia" w:ascii="宋体" w:hAnsi="宋体"/>
          <w:szCs w:val="21"/>
        </w:rPr>
        <w:t>关于发包人向承包人免费提供满足工程施工需要的场内道路和交通设施的约定：</w:t>
      </w:r>
      <w:r>
        <w:rPr>
          <w:rFonts w:hint="eastAsia" w:ascii="宋体" w:hAnsi="宋体"/>
          <w:szCs w:val="21"/>
          <w:u w:val="single"/>
        </w:rPr>
        <w:t>发包人为承包人的场内运输提供必要的通行条件和便利，承包人可免费使用场内道路和交通设施，但承包人应合理使用并承担合理的注意义务，保持场内道路和交通设施的安全、完好、整洁。因承包人原因造成场内道路或交通设施损坏的，由承包人负责修复并承担由此产生的费用；造成场内道路脏乱或交通设施污染的，由承包人负责恢复原貌。</w:t>
      </w:r>
      <w:bookmarkEnd w:id="102"/>
      <w:bookmarkEnd w:id="103"/>
      <w:bookmarkEnd w:id="104"/>
      <w:bookmarkEnd w:id="105"/>
      <w:bookmarkEnd w:id="106"/>
      <w:r>
        <w:rPr>
          <w:rFonts w:hint="eastAsia" w:ascii="宋体" w:hAnsi="宋体"/>
          <w:szCs w:val="21"/>
        </w:rPr>
        <w:t xml:space="preserve"> </w:t>
      </w:r>
      <w:bookmarkStart w:id="107" w:name="_Toc318581157"/>
    </w:p>
    <w:p w14:paraId="73CFC29D">
      <w:pPr>
        <w:spacing w:before="120" w:line="360" w:lineRule="auto"/>
        <w:ind w:firstLine="420" w:firstLineChars="200"/>
        <w:jc w:val="left"/>
        <w:rPr>
          <w:rFonts w:hint="eastAsia" w:ascii="宋体" w:hAnsi="宋体"/>
          <w:szCs w:val="21"/>
        </w:rPr>
      </w:pPr>
      <w:r>
        <w:rPr>
          <w:rFonts w:hint="eastAsia" w:ascii="宋体" w:hAnsi="宋体"/>
          <w:szCs w:val="21"/>
        </w:rPr>
        <w:t>1.10.4超大件和超重件的运输</w:t>
      </w:r>
    </w:p>
    <w:p w14:paraId="7C0CA56C">
      <w:pPr>
        <w:spacing w:before="120" w:line="360" w:lineRule="auto"/>
        <w:ind w:firstLine="420" w:firstLineChars="200"/>
        <w:jc w:val="left"/>
        <w:rPr>
          <w:rFonts w:hint="eastAsia" w:ascii="宋体" w:hAnsi="宋体"/>
          <w:szCs w:val="21"/>
        </w:rPr>
      </w:pPr>
      <w:r>
        <w:rPr>
          <w:rFonts w:hint="eastAsia" w:ascii="宋体" w:hAnsi="宋体"/>
          <w:szCs w:val="21"/>
        </w:rPr>
        <w:t>运输超大件或超重件所需的道路和桥梁临时加固改造费用和其他有关</w:t>
      </w:r>
      <w:r>
        <w:rPr>
          <w:rFonts w:hint="eastAsia" w:ascii="宋体" w:hAnsi="宋体"/>
          <w:color w:val="auto"/>
          <w:szCs w:val="21"/>
        </w:rPr>
        <w:t>费用由</w:t>
      </w:r>
      <w:r>
        <w:rPr>
          <w:rFonts w:hint="eastAsia" w:ascii="宋体" w:hAnsi="宋体"/>
          <w:color w:val="auto"/>
          <w:szCs w:val="21"/>
          <w:u w:val="single"/>
        </w:rPr>
        <w:t xml:space="preserve">  </w:t>
      </w:r>
      <w:r>
        <w:rPr>
          <w:rFonts w:hint="eastAsia" w:ascii="宋体" w:hAnsi="宋体"/>
          <w:color w:val="auto"/>
          <w:szCs w:val="21"/>
          <w:u w:val="single"/>
          <w:lang w:val="en-US" w:eastAsia="zh-CN"/>
        </w:rPr>
        <w:t>中标人</w:t>
      </w:r>
      <w:r>
        <w:rPr>
          <w:rFonts w:hint="eastAsia" w:ascii="宋体" w:hAnsi="宋体"/>
          <w:color w:val="auto"/>
          <w:szCs w:val="21"/>
          <w:u w:val="single"/>
        </w:rPr>
        <w:t xml:space="preserve"> </w:t>
      </w:r>
      <w:r>
        <w:rPr>
          <w:rFonts w:hint="eastAsia" w:ascii="宋体" w:hAnsi="宋体"/>
          <w:color w:val="auto"/>
          <w:szCs w:val="21"/>
        </w:rPr>
        <w:t>承担。</w:t>
      </w:r>
    </w:p>
    <w:bookmarkEnd w:id="107"/>
    <w:p w14:paraId="71631F10">
      <w:pPr>
        <w:spacing w:before="120" w:after="120" w:line="360" w:lineRule="auto"/>
        <w:ind w:firstLine="420" w:firstLineChars="200"/>
        <w:outlineLvl w:val="0"/>
        <w:rPr>
          <w:rFonts w:hint="eastAsia" w:ascii="宋体" w:hAnsi="宋体"/>
          <w:color w:val="000000"/>
          <w:szCs w:val="21"/>
        </w:rPr>
      </w:pPr>
      <w:r>
        <w:rPr>
          <w:rFonts w:hint="eastAsia" w:ascii="宋体" w:hAnsi="宋体"/>
          <w:color w:val="000000"/>
          <w:szCs w:val="21"/>
        </w:rPr>
        <w:t>1.11 知识产权</w:t>
      </w:r>
    </w:p>
    <w:p w14:paraId="61C69484">
      <w:pPr>
        <w:spacing w:before="120" w:line="360" w:lineRule="auto"/>
        <w:ind w:firstLine="420" w:firstLineChars="200"/>
        <w:rPr>
          <w:rFonts w:hint="eastAsia" w:ascii="宋体" w:hAnsi="宋体"/>
          <w:szCs w:val="21"/>
        </w:rPr>
      </w:pPr>
      <w:r>
        <w:rPr>
          <w:rFonts w:hint="eastAsia" w:ascii="宋体" w:hAnsi="宋体"/>
          <w:color w:val="000000"/>
          <w:szCs w:val="21"/>
        </w:rPr>
        <w:t>1.11.1关于发包人提供给承包人的图纸、发包人为实施工程自行编制或委托编制的技</w:t>
      </w:r>
      <w:r>
        <w:rPr>
          <w:rFonts w:hint="eastAsia" w:ascii="宋体" w:hAnsi="宋体"/>
          <w:szCs w:val="21"/>
        </w:rPr>
        <w:t>术规范以及反映发包人关于合同要求或其他类似性质的文件的著作权的归属：</w:t>
      </w:r>
      <w:r>
        <w:rPr>
          <w:rFonts w:hint="eastAsia" w:ascii="宋体" w:hAnsi="宋体"/>
          <w:szCs w:val="21"/>
          <w:u w:val="single"/>
        </w:rPr>
        <w:t xml:space="preserve">归发包人所有 </w:t>
      </w:r>
      <w:r>
        <w:rPr>
          <w:rFonts w:hint="eastAsia" w:ascii="宋体" w:hAnsi="宋体"/>
          <w:szCs w:val="21"/>
        </w:rPr>
        <w:t>。</w:t>
      </w:r>
    </w:p>
    <w:p w14:paraId="16B138FF">
      <w:pPr>
        <w:spacing w:before="120" w:line="360" w:lineRule="auto"/>
        <w:ind w:firstLine="420" w:firstLineChars="200"/>
        <w:rPr>
          <w:rFonts w:hint="eastAsia" w:ascii="宋体" w:hAnsi="宋体"/>
          <w:szCs w:val="21"/>
        </w:rPr>
      </w:pPr>
      <w:r>
        <w:rPr>
          <w:rFonts w:hint="eastAsia" w:ascii="宋体" w:hAnsi="宋体"/>
          <w:szCs w:val="21"/>
        </w:rPr>
        <w:t>关于发包人提供的上述文件的使用限制的要求：</w:t>
      </w:r>
      <w:r>
        <w:rPr>
          <w:rFonts w:hint="eastAsia" w:ascii="宋体" w:hAnsi="宋体"/>
          <w:szCs w:val="21"/>
          <w:u w:val="single"/>
        </w:rPr>
        <w:t xml:space="preserve"> 未经发包人书面同意，承包人不得为合同以外的目的而复制、使用上述文件或将上述文件提供、泄露给任何第三方  </w:t>
      </w:r>
      <w:r>
        <w:rPr>
          <w:rFonts w:hint="eastAsia" w:ascii="宋体" w:hAnsi="宋体"/>
          <w:szCs w:val="21"/>
        </w:rPr>
        <w:t>。</w:t>
      </w:r>
    </w:p>
    <w:p w14:paraId="7EF6CA09">
      <w:pPr>
        <w:spacing w:before="120" w:line="360" w:lineRule="auto"/>
        <w:ind w:firstLine="420" w:firstLineChars="200"/>
        <w:rPr>
          <w:rFonts w:hint="eastAsia" w:ascii="宋体" w:hAnsi="宋体"/>
          <w:szCs w:val="21"/>
        </w:rPr>
      </w:pPr>
      <w:r>
        <w:rPr>
          <w:rFonts w:hint="eastAsia" w:ascii="宋体" w:hAnsi="宋体"/>
          <w:szCs w:val="21"/>
        </w:rPr>
        <w:t>1.11.2 关于承包人为实施工程所编制文件的著作权的归属：</w:t>
      </w:r>
      <w:r>
        <w:rPr>
          <w:rFonts w:hint="eastAsia" w:ascii="宋体" w:hAnsi="宋体"/>
          <w:szCs w:val="21"/>
          <w:u w:val="single"/>
        </w:rPr>
        <w:t xml:space="preserve"> 除署名权以外的著作权归发包人所有  </w:t>
      </w:r>
      <w:r>
        <w:rPr>
          <w:rFonts w:hint="eastAsia" w:ascii="宋体" w:hAnsi="宋体"/>
          <w:szCs w:val="21"/>
        </w:rPr>
        <w:t>。</w:t>
      </w:r>
    </w:p>
    <w:p w14:paraId="4E9C85F0">
      <w:pPr>
        <w:spacing w:before="120" w:line="360" w:lineRule="auto"/>
        <w:ind w:firstLine="420" w:firstLineChars="200"/>
        <w:rPr>
          <w:rFonts w:hint="eastAsia" w:ascii="宋体" w:hAnsi="宋体"/>
          <w:szCs w:val="21"/>
        </w:rPr>
      </w:pPr>
      <w:r>
        <w:rPr>
          <w:rFonts w:hint="eastAsia" w:ascii="宋体" w:hAnsi="宋体"/>
          <w:szCs w:val="21"/>
        </w:rPr>
        <w:t>关于承包人提供的上述文件的使用限制的要求：</w:t>
      </w:r>
      <w:r>
        <w:rPr>
          <w:rFonts w:hint="eastAsia" w:ascii="宋体" w:hAnsi="宋体"/>
          <w:szCs w:val="21"/>
          <w:u w:val="single"/>
        </w:rPr>
        <w:t>未经发包人书面同意，承包人不得为合同以外的目的而复制、使用上述文件或将上述文件提供、泄露给任何第三方</w:t>
      </w:r>
      <w:r>
        <w:rPr>
          <w:rFonts w:hint="eastAsia" w:ascii="宋体" w:hAnsi="宋体"/>
          <w:szCs w:val="21"/>
        </w:rPr>
        <w:t>。</w:t>
      </w:r>
    </w:p>
    <w:p w14:paraId="10EF4017">
      <w:pPr>
        <w:spacing w:before="120" w:line="360" w:lineRule="auto"/>
        <w:ind w:firstLine="420" w:firstLineChars="200"/>
        <w:outlineLvl w:val="0"/>
        <w:rPr>
          <w:rFonts w:hint="eastAsia" w:ascii="宋体" w:hAnsi="宋体"/>
          <w:kern w:val="0"/>
          <w:szCs w:val="21"/>
        </w:rPr>
      </w:pPr>
      <w:r>
        <w:rPr>
          <w:rFonts w:hint="eastAsia" w:ascii="宋体" w:hAnsi="宋体"/>
          <w:szCs w:val="21"/>
        </w:rPr>
        <w:t>1.11.4 承包人在施工过程中所采用的专利、专有技术、技术秘密的使用费的承担方式：</w:t>
      </w:r>
      <w:r>
        <w:rPr>
          <w:rFonts w:hint="eastAsia" w:ascii="宋体" w:hAnsi="宋体"/>
          <w:szCs w:val="21"/>
          <w:u w:val="single"/>
        </w:rPr>
        <w:t xml:space="preserve"> 由承包人承担   </w:t>
      </w:r>
      <w:r>
        <w:rPr>
          <w:rFonts w:hint="eastAsia" w:ascii="宋体" w:hAnsi="宋体"/>
          <w:kern w:val="0"/>
          <w:szCs w:val="21"/>
        </w:rPr>
        <w:t>。</w:t>
      </w:r>
    </w:p>
    <w:p w14:paraId="219E746C">
      <w:pPr>
        <w:spacing w:before="120" w:after="120" w:line="360" w:lineRule="auto"/>
        <w:ind w:firstLine="420" w:firstLineChars="200"/>
        <w:rPr>
          <w:rFonts w:hint="eastAsia" w:ascii="宋体" w:hAnsi="宋体"/>
          <w:szCs w:val="21"/>
        </w:rPr>
      </w:pPr>
      <w:r>
        <w:rPr>
          <w:rFonts w:hint="eastAsia" w:ascii="宋体" w:hAnsi="宋体"/>
          <w:szCs w:val="21"/>
        </w:rPr>
        <w:t>1.13工程量清单错误的修正</w:t>
      </w:r>
    </w:p>
    <w:p w14:paraId="28133EEA">
      <w:pPr>
        <w:spacing w:before="120" w:line="360" w:lineRule="auto"/>
        <w:ind w:firstLine="420" w:firstLineChars="200"/>
        <w:rPr>
          <w:rFonts w:hint="eastAsia" w:ascii="宋体" w:hAnsi="宋体"/>
          <w:szCs w:val="21"/>
        </w:rPr>
      </w:pPr>
      <w:r>
        <w:rPr>
          <w:rFonts w:hint="eastAsia" w:ascii="宋体" w:hAnsi="宋体"/>
          <w:szCs w:val="21"/>
        </w:rPr>
        <w:t>出现工程量清单错误时，是否调整合同价格：</w:t>
      </w:r>
      <w:r>
        <w:rPr>
          <w:rFonts w:hint="eastAsia" w:ascii="宋体" w:hAnsi="宋体"/>
          <w:szCs w:val="21"/>
          <w:u w:val="single"/>
        </w:rPr>
        <w:t xml:space="preserve">  是  </w:t>
      </w:r>
      <w:r>
        <w:rPr>
          <w:rFonts w:hint="eastAsia" w:ascii="宋体" w:hAnsi="宋体"/>
          <w:kern w:val="0"/>
          <w:szCs w:val="21"/>
        </w:rPr>
        <w:t>。</w:t>
      </w:r>
    </w:p>
    <w:p w14:paraId="3F47702D">
      <w:pPr>
        <w:spacing w:before="120" w:line="360" w:lineRule="auto"/>
        <w:ind w:firstLine="420" w:firstLineChars="200"/>
        <w:rPr>
          <w:rFonts w:hint="eastAsia" w:ascii="宋体" w:hAnsi="宋体"/>
          <w:szCs w:val="21"/>
          <w:u w:val="single"/>
        </w:rPr>
      </w:pPr>
      <w:r>
        <w:rPr>
          <w:rFonts w:hint="eastAsia" w:ascii="宋体" w:hAnsi="宋体"/>
          <w:szCs w:val="21"/>
          <w:u w:val="single"/>
        </w:rPr>
        <w:t>允许调整合同价格的工程量偏差范围：按照</w:t>
      </w:r>
      <w:bookmarkStart w:id="108" w:name="OLE_LINK17"/>
      <w:r>
        <w:rPr>
          <w:rFonts w:hint="eastAsia" w:ascii="宋体" w:hAnsi="宋体"/>
          <w:szCs w:val="21"/>
          <w:u w:val="single"/>
        </w:rPr>
        <w:t>2025</w:t>
      </w:r>
      <w:bookmarkEnd w:id="108"/>
      <w:r>
        <w:rPr>
          <w:rFonts w:hint="eastAsia" w:ascii="宋体" w:hAnsi="宋体"/>
          <w:szCs w:val="21"/>
          <w:u w:val="single"/>
        </w:rPr>
        <w:t>湖南省住建厅关于执行《建设工程工程量清单计价标准》及配套工程量计算标准的通知（</w:t>
      </w:r>
      <w:r>
        <w:rPr>
          <w:rFonts w:hint="eastAsia" w:ascii="宋体" w:hAnsi="宋体"/>
          <w:szCs w:val="21"/>
        </w:rPr>
        <w:t>湘建科函〔2025〕150号）。</w:t>
      </w:r>
    </w:p>
    <w:p w14:paraId="095CA01D">
      <w:pPr>
        <w:pStyle w:val="5"/>
        <w:spacing w:before="120" w:after="120" w:line="360" w:lineRule="auto"/>
        <w:rPr>
          <w:rFonts w:hint="eastAsia" w:ascii="宋体" w:hAnsi="宋体" w:eastAsia="宋体"/>
          <w:b w:val="0"/>
          <w:sz w:val="21"/>
          <w:szCs w:val="21"/>
        </w:rPr>
      </w:pPr>
      <w:bookmarkStart w:id="109" w:name="_Toc351203634"/>
      <w:r>
        <w:rPr>
          <w:rFonts w:hint="eastAsia" w:ascii="宋体" w:hAnsi="宋体" w:eastAsia="宋体"/>
          <w:b w:val="0"/>
          <w:sz w:val="21"/>
          <w:szCs w:val="21"/>
        </w:rPr>
        <w:t>2</w:t>
      </w:r>
      <w:bookmarkStart w:id="110" w:name="_Toc296346658"/>
      <w:bookmarkStart w:id="111" w:name="_Toc292559867"/>
      <w:bookmarkStart w:id="112" w:name="_Toc292559362"/>
      <w:bookmarkStart w:id="113" w:name="_Toc297120457"/>
      <w:bookmarkStart w:id="114" w:name="_Toc296891197"/>
      <w:bookmarkStart w:id="115" w:name="_Toc296944496"/>
      <w:bookmarkStart w:id="116" w:name="_Toc296503157"/>
      <w:bookmarkStart w:id="117" w:name="_Toc296890985"/>
      <w:bookmarkStart w:id="118" w:name="_Toc296347156"/>
      <w:bookmarkStart w:id="119" w:name="_Toc297048343"/>
      <w:r>
        <w:rPr>
          <w:rFonts w:hint="eastAsia" w:ascii="宋体" w:hAnsi="宋体" w:eastAsia="宋体"/>
          <w:b w:val="0"/>
          <w:sz w:val="21"/>
          <w:szCs w:val="21"/>
        </w:rPr>
        <w:t>. 发包人</w:t>
      </w:r>
      <w:bookmarkEnd w:id="109"/>
    </w:p>
    <w:bookmarkEnd w:id="110"/>
    <w:bookmarkEnd w:id="111"/>
    <w:bookmarkEnd w:id="112"/>
    <w:bookmarkEnd w:id="113"/>
    <w:bookmarkEnd w:id="114"/>
    <w:bookmarkEnd w:id="115"/>
    <w:bookmarkEnd w:id="116"/>
    <w:bookmarkEnd w:id="117"/>
    <w:bookmarkEnd w:id="118"/>
    <w:bookmarkEnd w:id="119"/>
    <w:p w14:paraId="03456BC2">
      <w:pPr>
        <w:spacing w:before="120" w:after="120" w:line="360" w:lineRule="auto"/>
        <w:ind w:firstLine="420" w:firstLineChars="200"/>
        <w:outlineLvl w:val="0"/>
        <w:rPr>
          <w:rFonts w:hint="eastAsia" w:ascii="宋体" w:hAnsi="宋体"/>
          <w:szCs w:val="21"/>
        </w:rPr>
      </w:pPr>
      <w:r>
        <w:rPr>
          <w:rFonts w:hint="eastAsia" w:ascii="宋体" w:hAnsi="宋体"/>
          <w:szCs w:val="21"/>
        </w:rPr>
        <w:t>2.2 发包人代表</w:t>
      </w:r>
    </w:p>
    <w:p w14:paraId="21571BF1">
      <w:pPr>
        <w:spacing w:before="120" w:line="360" w:lineRule="auto"/>
        <w:ind w:firstLine="420" w:firstLineChars="200"/>
        <w:rPr>
          <w:rFonts w:hint="eastAsia" w:ascii="宋体" w:hAnsi="宋体"/>
          <w:szCs w:val="21"/>
        </w:rPr>
      </w:pPr>
      <w:r>
        <w:rPr>
          <w:rFonts w:hint="eastAsia" w:ascii="宋体" w:hAnsi="宋体"/>
          <w:szCs w:val="21"/>
        </w:rPr>
        <w:t>发包人代表：</w:t>
      </w:r>
    </w:p>
    <w:p w14:paraId="74076879">
      <w:pPr>
        <w:spacing w:before="120" w:line="360" w:lineRule="auto"/>
        <w:ind w:firstLine="420" w:firstLineChars="200"/>
        <w:rPr>
          <w:rFonts w:hint="eastAsia" w:ascii="宋体" w:hAnsi="宋体"/>
          <w:szCs w:val="21"/>
        </w:rPr>
      </w:pPr>
      <w:r>
        <w:rPr>
          <w:rFonts w:hint="eastAsia" w:ascii="宋体" w:hAnsi="宋体"/>
          <w:szCs w:val="21"/>
        </w:rPr>
        <w:t>姓    名：</w:t>
      </w:r>
      <w:r>
        <w:rPr>
          <w:rFonts w:hint="eastAsia" w:ascii="宋体" w:hAnsi="宋体"/>
          <w:szCs w:val="21"/>
          <w:u w:val="single"/>
        </w:rPr>
        <w:t>  </w:t>
      </w:r>
      <w:r>
        <w:rPr>
          <w:rFonts w:hint="eastAsia" w:ascii="宋体" w:hAnsi="宋体"/>
          <w:szCs w:val="21"/>
        </w:rPr>
        <w:t>；</w:t>
      </w:r>
    </w:p>
    <w:p w14:paraId="6B681992">
      <w:pPr>
        <w:spacing w:before="120" w:line="360" w:lineRule="auto"/>
        <w:ind w:firstLine="420" w:firstLineChars="200"/>
        <w:rPr>
          <w:rFonts w:hint="eastAsia" w:ascii="宋体" w:hAnsi="宋体"/>
          <w:szCs w:val="21"/>
        </w:rPr>
      </w:pPr>
      <w:r>
        <w:rPr>
          <w:rFonts w:hint="eastAsia" w:ascii="宋体" w:hAnsi="宋体"/>
          <w:szCs w:val="21"/>
        </w:rPr>
        <w:t>职    务：</w:t>
      </w:r>
      <w:r>
        <w:rPr>
          <w:rFonts w:hint="eastAsia" w:ascii="宋体" w:hAnsi="宋体"/>
          <w:szCs w:val="21"/>
          <w:u w:val="single"/>
        </w:rPr>
        <w:t>    </w:t>
      </w:r>
      <w:r>
        <w:rPr>
          <w:rFonts w:hint="eastAsia" w:ascii="宋体" w:hAnsi="宋体"/>
          <w:szCs w:val="21"/>
        </w:rPr>
        <w:t>；</w:t>
      </w:r>
    </w:p>
    <w:p w14:paraId="2467E75B">
      <w:pPr>
        <w:spacing w:before="120" w:line="360" w:lineRule="auto"/>
        <w:ind w:firstLine="420" w:firstLineChars="200"/>
        <w:rPr>
          <w:rFonts w:hint="eastAsia" w:ascii="宋体" w:hAnsi="宋体"/>
          <w:szCs w:val="21"/>
        </w:rPr>
      </w:pPr>
      <w:r>
        <w:rPr>
          <w:rFonts w:hint="eastAsia" w:ascii="宋体" w:hAnsi="宋体"/>
          <w:szCs w:val="21"/>
        </w:rPr>
        <w:t>联系电话：</w:t>
      </w:r>
      <w:r>
        <w:rPr>
          <w:rFonts w:hint="eastAsia" w:ascii="宋体" w:hAnsi="宋体"/>
          <w:szCs w:val="21"/>
          <w:u w:val="single"/>
        </w:rPr>
        <w:t>                </w:t>
      </w:r>
      <w:r>
        <w:rPr>
          <w:rFonts w:hint="eastAsia" w:ascii="宋体" w:hAnsi="宋体"/>
          <w:szCs w:val="21"/>
        </w:rPr>
        <w:t>；</w:t>
      </w:r>
    </w:p>
    <w:p w14:paraId="3F8946EA">
      <w:pPr>
        <w:spacing w:before="120" w:line="360" w:lineRule="auto"/>
        <w:ind w:firstLine="420" w:firstLineChars="200"/>
        <w:rPr>
          <w:rFonts w:hint="eastAsia" w:ascii="宋体" w:hAnsi="宋体"/>
          <w:szCs w:val="21"/>
        </w:rPr>
      </w:pPr>
      <w:r>
        <w:rPr>
          <w:rFonts w:hint="eastAsia" w:ascii="宋体" w:hAnsi="宋体"/>
          <w:szCs w:val="21"/>
        </w:rPr>
        <w:t>电子信箱：</w:t>
      </w:r>
      <w:r>
        <w:rPr>
          <w:rFonts w:hint="eastAsia" w:ascii="宋体" w:hAnsi="宋体"/>
          <w:szCs w:val="21"/>
          <w:u w:val="single"/>
        </w:rPr>
        <w:t>     </w:t>
      </w:r>
      <w:r>
        <w:rPr>
          <w:rFonts w:hint="eastAsia" w:ascii="宋体" w:hAnsi="宋体"/>
          <w:szCs w:val="21"/>
        </w:rPr>
        <w:t>；</w:t>
      </w:r>
    </w:p>
    <w:p w14:paraId="711AFE36">
      <w:pPr>
        <w:spacing w:before="120" w:line="360" w:lineRule="auto"/>
        <w:ind w:firstLine="420" w:firstLineChars="200"/>
        <w:rPr>
          <w:rFonts w:hint="eastAsia" w:ascii="宋体" w:hAnsi="宋体"/>
          <w:szCs w:val="21"/>
        </w:rPr>
      </w:pPr>
      <w:r>
        <w:rPr>
          <w:rFonts w:hint="eastAsia" w:ascii="宋体" w:hAnsi="宋体"/>
          <w:szCs w:val="21"/>
        </w:rPr>
        <w:t>通信地址：</w:t>
      </w:r>
      <w:r>
        <w:rPr>
          <w:rFonts w:hint="eastAsia" w:ascii="宋体" w:hAnsi="宋体"/>
          <w:szCs w:val="21"/>
          <w:u w:val="single"/>
        </w:rPr>
        <w:t>                       </w:t>
      </w:r>
      <w:r>
        <w:rPr>
          <w:rFonts w:hint="eastAsia" w:ascii="宋体" w:hAnsi="宋体"/>
          <w:szCs w:val="21"/>
        </w:rPr>
        <w:t>。</w:t>
      </w:r>
    </w:p>
    <w:p w14:paraId="2AA20E1D">
      <w:pPr>
        <w:pStyle w:val="18"/>
        <w:spacing w:before="120" w:line="343" w:lineRule="auto"/>
        <w:ind w:left="420" w:right="63" w:firstLine="399" w:firstLineChars="190"/>
        <w:jc w:val="left"/>
        <w:rPr>
          <w:rFonts w:hint="eastAsia" w:ascii="宋体" w:hAnsi="宋体"/>
          <w:szCs w:val="21"/>
        </w:rPr>
      </w:pPr>
      <w:r>
        <w:rPr>
          <w:rFonts w:hint="eastAsia" w:ascii="宋体" w:hAnsi="宋体"/>
          <w:szCs w:val="21"/>
        </w:rPr>
        <w:t>发包人对发包人代表的授权范围如下：</w:t>
      </w:r>
      <w:r>
        <w:rPr>
          <w:rFonts w:hint="eastAsia" w:ascii="宋体" w:hAnsi="宋体"/>
          <w:szCs w:val="21"/>
          <w:u w:val="single"/>
        </w:rPr>
        <w:t>（1）工程施工过程中，协调施工现场各方面的关系，督促指导监理工程师行使职权，对监理人、承包人在工程质量、工程进度及安全文明施工控制等方面进行监督管理，代表发包人发出相关指令。（2）发包人代表的指令、通知、意见、批准、答复等，承包人应予以执行。如发包人代表的指令等承包人认为不能执行时，应在24小时内给予书面的回复说明。（3）在工程管理过程中，解决有关设计和经济、技术签证问题，办理、签认现场经济、技术签证，审核工程进度报表、索赔事项的处理，在监理人配合下处理合同变更的事项。发包人的指令、通知、意见、答复需由发包人代表签字并盖章，且均以书面形式交付承包人。</w:t>
      </w:r>
    </w:p>
    <w:p w14:paraId="41CEBEC7">
      <w:pPr>
        <w:spacing w:before="120" w:after="120" w:line="360" w:lineRule="auto"/>
        <w:ind w:firstLine="420" w:firstLineChars="200"/>
        <w:outlineLvl w:val="0"/>
        <w:rPr>
          <w:rFonts w:hint="eastAsia" w:ascii="宋体" w:hAnsi="宋体"/>
          <w:szCs w:val="21"/>
        </w:rPr>
      </w:pPr>
      <w:r>
        <w:rPr>
          <w:rFonts w:hint="eastAsia" w:ascii="宋体" w:hAnsi="宋体"/>
          <w:szCs w:val="21"/>
        </w:rPr>
        <w:t>2.4 施工现场、施工条件和基础资料的提供</w:t>
      </w:r>
    </w:p>
    <w:p w14:paraId="0728AEC7">
      <w:pPr>
        <w:spacing w:before="120" w:line="360" w:lineRule="auto"/>
        <w:ind w:firstLine="420" w:firstLineChars="200"/>
        <w:rPr>
          <w:rFonts w:hint="eastAsia" w:ascii="宋体" w:hAnsi="宋体"/>
          <w:szCs w:val="21"/>
        </w:rPr>
      </w:pPr>
      <w:r>
        <w:rPr>
          <w:rFonts w:hint="eastAsia" w:ascii="宋体" w:hAnsi="宋体"/>
          <w:szCs w:val="21"/>
        </w:rPr>
        <w:t>2.4.1 提供施工现场</w:t>
      </w:r>
    </w:p>
    <w:p w14:paraId="3098CF35">
      <w:pPr>
        <w:spacing w:before="120" w:line="360" w:lineRule="auto"/>
        <w:ind w:firstLine="420" w:firstLineChars="200"/>
        <w:jc w:val="left"/>
        <w:rPr>
          <w:rFonts w:hint="eastAsia" w:ascii="宋体" w:hAnsi="宋体"/>
          <w:szCs w:val="21"/>
          <w:u w:val="single"/>
        </w:rPr>
      </w:pPr>
      <w:r>
        <w:rPr>
          <w:rFonts w:hint="eastAsia" w:ascii="宋体" w:hAnsi="宋体"/>
          <w:szCs w:val="21"/>
        </w:rPr>
        <w:t>关于发包人移交施工现场的期限要求：</w:t>
      </w:r>
      <w:r>
        <w:rPr>
          <w:rFonts w:hint="eastAsia" w:ascii="宋体" w:hAnsi="宋体"/>
          <w:szCs w:val="21"/>
          <w:u w:val="single"/>
        </w:rPr>
        <w:t>按通用条款,</w:t>
      </w:r>
      <w:r>
        <w:rPr>
          <w:rFonts w:hint="eastAsia" w:ascii="宋体" w:hAnsi="宋体"/>
          <w:kern w:val="0"/>
          <w:szCs w:val="21"/>
          <w:u w:val="single"/>
        </w:rPr>
        <w:t xml:space="preserve"> 最迟于开工日期7天前向承包人移交施工现场</w:t>
      </w:r>
      <w:r>
        <w:rPr>
          <w:rFonts w:hint="eastAsia" w:ascii="宋体" w:hAnsi="宋体"/>
          <w:szCs w:val="21"/>
          <w:u w:val="single"/>
        </w:rPr>
        <w:t>。</w:t>
      </w:r>
    </w:p>
    <w:p w14:paraId="6641E347">
      <w:pPr>
        <w:spacing w:before="120" w:line="360" w:lineRule="auto"/>
        <w:ind w:firstLine="420" w:firstLineChars="200"/>
        <w:rPr>
          <w:rFonts w:hint="eastAsia" w:ascii="宋体" w:hAnsi="宋体"/>
          <w:szCs w:val="21"/>
        </w:rPr>
      </w:pPr>
      <w:r>
        <w:rPr>
          <w:rFonts w:hint="eastAsia" w:ascii="宋体" w:hAnsi="宋体"/>
          <w:szCs w:val="21"/>
        </w:rPr>
        <w:t>2.4.2 提供施工条件</w:t>
      </w:r>
    </w:p>
    <w:p w14:paraId="5F4D6698">
      <w:pPr>
        <w:spacing w:before="120" w:line="360" w:lineRule="auto"/>
        <w:ind w:firstLine="420" w:firstLineChars="200"/>
        <w:rPr>
          <w:rFonts w:hint="eastAsia" w:ascii="宋体" w:hAnsi="宋体"/>
          <w:szCs w:val="21"/>
          <w:u w:val="single"/>
        </w:rPr>
      </w:pPr>
      <w:r>
        <w:rPr>
          <w:rFonts w:hint="eastAsia" w:ascii="宋体" w:hAnsi="宋体"/>
          <w:szCs w:val="21"/>
        </w:rPr>
        <w:t>关于发包人应负责提供施工所需要的条件，包括：</w:t>
      </w:r>
      <w:r>
        <w:rPr>
          <w:rFonts w:hint="eastAsia" w:ascii="宋体" w:hAnsi="宋体"/>
          <w:szCs w:val="21"/>
          <w:u w:val="single"/>
        </w:rPr>
        <w:t xml:space="preserve"> 满足施工条件所需要的“三通一平”，并向承包人指定施工用水、施工用电接点，接点至施工现场段管道及管线、计量设备由承包人自行解决，施工期间至竣工验收所产生的水、电费由承包人承担，价格执行学校用水用电价格（承包人同意按照《湘潭大学水电管理办法（试行）》执行），相应水电设备的看管和维护由承包人负责  </w:t>
      </w:r>
      <w:r>
        <w:rPr>
          <w:rFonts w:hint="eastAsia" w:ascii="宋体" w:hAnsi="宋体"/>
          <w:szCs w:val="21"/>
        </w:rPr>
        <w:t>。</w:t>
      </w:r>
    </w:p>
    <w:p w14:paraId="3632D2A7">
      <w:pPr>
        <w:spacing w:before="120" w:after="120" w:line="360" w:lineRule="auto"/>
        <w:ind w:firstLine="420" w:firstLineChars="200"/>
        <w:outlineLvl w:val="0"/>
        <w:rPr>
          <w:rFonts w:hint="eastAsia" w:ascii="宋体" w:hAnsi="宋体"/>
          <w:szCs w:val="21"/>
        </w:rPr>
      </w:pPr>
      <w:r>
        <w:rPr>
          <w:rFonts w:hint="eastAsia" w:ascii="宋体" w:hAnsi="宋体"/>
          <w:szCs w:val="21"/>
        </w:rPr>
        <w:t>2.5 资金来源证明及支付担保</w:t>
      </w:r>
    </w:p>
    <w:p w14:paraId="129D56DD">
      <w:pPr>
        <w:spacing w:before="120" w:line="360" w:lineRule="auto"/>
        <w:ind w:firstLine="420" w:firstLineChars="200"/>
        <w:rPr>
          <w:rFonts w:hint="eastAsia" w:ascii="宋体" w:hAnsi="宋体"/>
          <w:szCs w:val="21"/>
        </w:rPr>
      </w:pPr>
      <w:r>
        <w:rPr>
          <w:rFonts w:hint="eastAsia" w:ascii="宋体" w:hAnsi="宋体"/>
          <w:szCs w:val="21"/>
        </w:rPr>
        <w:t>发包人提供资金来源证明的期限要求：</w:t>
      </w:r>
      <w:r>
        <w:rPr>
          <w:rFonts w:hint="eastAsia" w:ascii="宋体" w:hAnsi="宋体"/>
          <w:szCs w:val="21"/>
          <w:u w:val="single"/>
        </w:rPr>
        <w:t xml:space="preserve">按通用条款    </w:t>
      </w:r>
      <w:r>
        <w:rPr>
          <w:rFonts w:hint="eastAsia" w:ascii="宋体" w:hAnsi="宋体"/>
          <w:szCs w:val="21"/>
        </w:rPr>
        <w:t>。</w:t>
      </w:r>
    </w:p>
    <w:p w14:paraId="34858A99">
      <w:pPr>
        <w:spacing w:before="120" w:line="360" w:lineRule="auto"/>
        <w:ind w:firstLine="420" w:firstLineChars="200"/>
        <w:rPr>
          <w:rFonts w:hint="eastAsia" w:ascii="宋体" w:hAnsi="宋体"/>
          <w:szCs w:val="21"/>
        </w:rPr>
      </w:pPr>
      <w:r>
        <w:rPr>
          <w:rFonts w:hint="eastAsia" w:ascii="宋体" w:hAnsi="宋体"/>
          <w:szCs w:val="21"/>
        </w:rPr>
        <w:t>发包人是否提供支付担保：</w:t>
      </w:r>
      <w:r>
        <w:rPr>
          <w:rFonts w:hint="eastAsia" w:ascii="宋体" w:hAnsi="宋体"/>
          <w:szCs w:val="21"/>
          <w:u w:val="single"/>
        </w:rPr>
        <w:t xml:space="preserve">/   </w:t>
      </w:r>
      <w:r>
        <w:rPr>
          <w:rFonts w:hint="eastAsia" w:ascii="宋体" w:hAnsi="宋体"/>
          <w:szCs w:val="21"/>
        </w:rPr>
        <w:t>。</w:t>
      </w:r>
    </w:p>
    <w:p w14:paraId="44C96956">
      <w:pPr>
        <w:spacing w:before="120" w:line="360" w:lineRule="auto"/>
        <w:ind w:firstLine="420" w:firstLineChars="200"/>
        <w:rPr>
          <w:rFonts w:hint="eastAsia" w:ascii="宋体" w:hAnsi="宋体"/>
          <w:szCs w:val="21"/>
          <w:u w:val="single"/>
        </w:rPr>
      </w:pPr>
      <w:r>
        <w:rPr>
          <w:rFonts w:hint="eastAsia" w:ascii="宋体" w:hAnsi="宋体"/>
          <w:szCs w:val="21"/>
        </w:rPr>
        <w:t>发包人提供支付担保的形式：</w:t>
      </w:r>
      <w:r>
        <w:rPr>
          <w:rFonts w:hint="eastAsia" w:ascii="宋体" w:hAnsi="宋体"/>
          <w:szCs w:val="21"/>
          <w:u w:val="single"/>
        </w:rPr>
        <w:t> 否  </w:t>
      </w:r>
      <w:r>
        <w:rPr>
          <w:rFonts w:hint="eastAsia" w:ascii="宋体" w:hAnsi="宋体"/>
          <w:szCs w:val="21"/>
        </w:rPr>
        <w:t>。</w:t>
      </w:r>
    </w:p>
    <w:p w14:paraId="0BB13C35">
      <w:pPr>
        <w:pStyle w:val="5"/>
        <w:spacing w:before="120" w:after="120" w:line="360" w:lineRule="auto"/>
        <w:rPr>
          <w:rFonts w:hint="eastAsia" w:ascii="宋体" w:hAnsi="宋体" w:eastAsia="宋体"/>
          <w:b w:val="0"/>
          <w:sz w:val="21"/>
          <w:szCs w:val="21"/>
        </w:rPr>
      </w:pPr>
      <w:bookmarkStart w:id="120" w:name="_Toc351203635"/>
      <w:r>
        <w:rPr>
          <w:rFonts w:hint="eastAsia" w:ascii="宋体" w:hAnsi="宋体" w:eastAsia="宋体"/>
          <w:b w:val="0"/>
          <w:sz w:val="21"/>
          <w:szCs w:val="21"/>
        </w:rPr>
        <w:t>3</w:t>
      </w:r>
      <w:bookmarkStart w:id="121" w:name="_Toc296503158"/>
      <w:bookmarkStart w:id="122" w:name="_Toc297048344"/>
      <w:bookmarkStart w:id="123" w:name="_Toc296891198"/>
      <w:bookmarkStart w:id="124" w:name="_Toc296347157"/>
      <w:bookmarkStart w:id="125" w:name="_Toc296890986"/>
      <w:bookmarkStart w:id="126" w:name="_Toc292559868"/>
      <w:bookmarkStart w:id="127" w:name="_Toc292559363"/>
      <w:bookmarkStart w:id="128" w:name="_Toc296944497"/>
      <w:bookmarkStart w:id="129" w:name="_Toc297120458"/>
      <w:bookmarkStart w:id="130" w:name="_Toc296346659"/>
      <w:r>
        <w:rPr>
          <w:rFonts w:hint="eastAsia" w:ascii="宋体" w:hAnsi="宋体" w:eastAsia="宋体"/>
          <w:b w:val="0"/>
          <w:sz w:val="21"/>
          <w:szCs w:val="21"/>
        </w:rPr>
        <w:t>. 承包人</w:t>
      </w:r>
      <w:bookmarkEnd w:id="120"/>
    </w:p>
    <w:bookmarkEnd w:id="121"/>
    <w:bookmarkEnd w:id="122"/>
    <w:bookmarkEnd w:id="123"/>
    <w:bookmarkEnd w:id="124"/>
    <w:bookmarkEnd w:id="125"/>
    <w:bookmarkEnd w:id="126"/>
    <w:bookmarkEnd w:id="127"/>
    <w:bookmarkEnd w:id="128"/>
    <w:bookmarkEnd w:id="129"/>
    <w:bookmarkEnd w:id="130"/>
    <w:p w14:paraId="2869D2F8">
      <w:pPr>
        <w:spacing w:before="120" w:after="120" w:line="360" w:lineRule="auto"/>
        <w:ind w:firstLine="420" w:firstLineChars="200"/>
        <w:rPr>
          <w:rFonts w:hint="eastAsia" w:ascii="宋体" w:hAnsi="宋体"/>
          <w:szCs w:val="21"/>
        </w:rPr>
      </w:pPr>
      <w:r>
        <w:rPr>
          <w:rFonts w:hint="eastAsia" w:ascii="宋体" w:hAnsi="宋体"/>
          <w:szCs w:val="21"/>
        </w:rPr>
        <w:t>3.1 承包人的一般义务</w:t>
      </w:r>
    </w:p>
    <w:p w14:paraId="00AF8E01">
      <w:pPr>
        <w:spacing w:before="120" w:line="360" w:lineRule="auto"/>
        <w:ind w:firstLine="420" w:firstLineChars="200"/>
        <w:jc w:val="left"/>
        <w:rPr>
          <w:rFonts w:hint="eastAsia" w:ascii="宋体" w:hAnsi="宋体"/>
          <w:szCs w:val="21"/>
        </w:rPr>
      </w:pPr>
      <w:r>
        <w:rPr>
          <w:rFonts w:hint="eastAsia" w:ascii="宋体" w:hAnsi="宋体"/>
          <w:kern w:val="0"/>
          <w:szCs w:val="21"/>
        </w:rPr>
        <w:t>（9）</w:t>
      </w:r>
      <w:r>
        <w:rPr>
          <w:rFonts w:hint="eastAsia" w:ascii="宋体" w:hAnsi="宋体"/>
          <w:szCs w:val="21"/>
        </w:rPr>
        <w:t>承包人提交的竣工资料的内容：</w:t>
      </w:r>
      <w:r>
        <w:rPr>
          <w:rFonts w:hint="eastAsia" w:ascii="宋体" w:hAnsi="宋体"/>
          <w:szCs w:val="21"/>
          <w:u w:val="single"/>
        </w:rPr>
        <w:t>按《建设工程文件归档整理规范》标准并达到建设行政主管部门竣工验收备案标准，提供《建设工程竣工验收备案证》。提交的所有资料必须为纸质档原件并同步提交内容一致的电子文档</w:t>
      </w:r>
      <w:r>
        <w:rPr>
          <w:rFonts w:hint="eastAsia" w:ascii="宋体" w:hAnsi="宋体"/>
          <w:szCs w:val="21"/>
        </w:rPr>
        <w:t>。</w:t>
      </w:r>
    </w:p>
    <w:p w14:paraId="33602DA5">
      <w:pPr>
        <w:spacing w:before="120" w:line="360" w:lineRule="auto"/>
        <w:ind w:firstLine="420" w:firstLineChars="200"/>
        <w:jc w:val="left"/>
        <w:rPr>
          <w:rFonts w:hint="eastAsia" w:ascii="宋体" w:hAnsi="宋体"/>
          <w:szCs w:val="21"/>
        </w:rPr>
      </w:pPr>
      <w:r>
        <w:rPr>
          <w:rFonts w:hint="eastAsia" w:ascii="宋体" w:hAnsi="宋体"/>
          <w:szCs w:val="21"/>
        </w:rPr>
        <w:t>承包人需要提交的竣工资料套数：</w:t>
      </w:r>
      <w:r>
        <w:rPr>
          <w:rFonts w:hint="eastAsia" w:ascii="宋体" w:hAnsi="宋体"/>
          <w:szCs w:val="21"/>
          <w:u w:val="single"/>
        </w:rPr>
        <w:t xml:space="preserve"> 根据实际需要提供  </w:t>
      </w:r>
      <w:r>
        <w:rPr>
          <w:rFonts w:hint="eastAsia" w:ascii="宋体" w:hAnsi="宋体"/>
          <w:szCs w:val="21"/>
        </w:rPr>
        <w:t>。</w:t>
      </w:r>
    </w:p>
    <w:p w14:paraId="55792DD8">
      <w:pPr>
        <w:spacing w:before="120" w:line="360" w:lineRule="auto"/>
        <w:ind w:firstLine="420" w:firstLineChars="200"/>
        <w:jc w:val="left"/>
        <w:rPr>
          <w:rFonts w:hint="eastAsia" w:ascii="宋体" w:hAnsi="宋体"/>
          <w:szCs w:val="21"/>
        </w:rPr>
      </w:pPr>
      <w:r>
        <w:rPr>
          <w:rFonts w:hint="eastAsia" w:ascii="宋体" w:hAnsi="宋体"/>
          <w:szCs w:val="21"/>
        </w:rPr>
        <w:t>承包人提交的竣工资料的费用承担：</w:t>
      </w:r>
      <w:r>
        <w:rPr>
          <w:rFonts w:hint="eastAsia" w:ascii="宋体" w:hAnsi="宋体"/>
          <w:szCs w:val="21"/>
          <w:u w:val="single"/>
        </w:rPr>
        <w:t xml:space="preserve">   由承包人承担    </w:t>
      </w:r>
      <w:r>
        <w:rPr>
          <w:rFonts w:hint="eastAsia" w:ascii="宋体" w:hAnsi="宋体"/>
          <w:szCs w:val="21"/>
        </w:rPr>
        <w:t>。</w:t>
      </w:r>
    </w:p>
    <w:p w14:paraId="3CBB38FC">
      <w:pPr>
        <w:spacing w:before="120" w:line="360" w:lineRule="auto"/>
        <w:ind w:firstLine="420" w:firstLineChars="200"/>
        <w:jc w:val="left"/>
        <w:rPr>
          <w:rFonts w:hint="eastAsia" w:ascii="宋体" w:hAnsi="宋体"/>
          <w:szCs w:val="21"/>
        </w:rPr>
      </w:pPr>
      <w:r>
        <w:rPr>
          <w:rFonts w:hint="eastAsia" w:ascii="宋体" w:hAnsi="宋体"/>
          <w:szCs w:val="21"/>
        </w:rPr>
        <w:t>承包人提交的竣工资料移交时间：</w:t>
      </w:r>
      <w:r>
        <w:rPr>
          <w:rFonts w:hint="eastAsia" w:ascii="宋体" w:hAnsi="宋体"/>
          <w:szCs w:val="21"/>
          <w:u w:val="single"/>
        </w:rPr>
        <w:t>工程竣工验收合格后30天内提交竣工资料并送审，待审计结论出来后30天内，完成档案存档手续</w:t>
      </w:r>
      <w:r>
        <w:rPr>
          <w:rFonts w:hint="eastAsia" w:ascii="宋体" w:hAnsi="宋体"/>
          <w:szCs w:val="21"/>
        </w:rPr>
        <w:t>。</w:t>
      </w:r>
    </w:p>
    <w:p w14:paraId="3A0957CD">
      <w:pPr>
        <w:spacing w:before="120" w:line="360" w:lineRule="auto"/>
        <w:ind w:firstLine="420" w:firstLineChars="200"/>
        <w:jc w:val="left"/>
        <w:rPr>
          <w:rFonts w:hint="eastAsia" w:ascii="宋体" w:hAnsi="宋体"/>
          <w:szCs w:val="21"/>
        </w:rPr>
      </w:pPr>
      <w:r>
        <w:rPr>
          <w:rFonts w:hint="eastAsia" w:ascii="宋体" w:hAnsi="宋体"/>
          <w:szCs w:val="21"/>
        </w:rPr>
        <w:t>承包人提交的竣工资料形式要求：</w:t>
      </w:r>
      <w:r>
        <w:rPr>
          <w:rFonts w:hint="eastAsia" w:ascii="宋体" w:hAnsi="宋体"/>
          <w:szCs w:val="21"/>
          <w:u w:val="single"/>
        </w:rPr>
        <w:t>:满足存档要求的纸质及电子文档资料，并上传相关资料进入湘潭大学基建管理系统。</w:t>
      </w:r>
    </w:p>
    <w:p w14:paraId="17F947BF">
      <w:pPr>
        <w:spacing w:before="120" w:line="360" w:lineRule="auto"/>
        <w:ind w:firstLine="420" w:firstLineChars="200"/>
        <w:rPr>
          <w:rFonts w:hint="eastAsia" w:ascii="宋体" w:hAnsi="宋体"/>
          <w:kern w:val="0"/>
          <w:szCs w:val="21"/>
        </w:rPr>
      </w:pPr>
      <w:r>
        <w:rPr>
          <w:rFonts w:hint="eastAsia" w:ascii="宋体" w:hAnsi="宋体"/>
          <w:kern w:val="0"/>
          <w:szCs w:val="21"/>
        </w:rPr>
        <w:t>（10）承包人应履行的其他义务：</w:t>
      </w:r>
    </w:p>
    <w:p w14:paraId="08B0FC04">
      <w:pPr>
        <w:spacing w:before="120" w:line="360" w:lineRule="auto"/>
        <w:ind w:firstLine="420" w:firstLineChars="200"/>
        <w:rPr>
          <w:rFonts w:hint="eastAsia" w:ascii="宋体" w:hAnsi="宋体"/>
          <w:szCs w:val="21"/>
          <w:u w:val="single"/>
        </w:rPr>
      </w:pPr>
      <w:r>
        <w:rPr>
          <w:rFonts w:hint="eastAsia" w:ascii="宋体" w:hAnsi="宋体"/>
          <w:szCs w:val="21"/>
          <w:u w:val="single"/>
        </w:rPr>
        <w:t>①本工程施工所需设备、临时设施进入现场后，即应被视为是专门供本工程施工使用。施工期间，承包人如需运出现场，需征得监理人和发包人的书面同意。</w:t>
      </w:r>
    </w:p>
    <w:p w14:paraId="37289977">
      <w:pPr>
        <w:spacing w:before="120" w:line="360" w:lineRule="auto"/>
        <w:ind w:firstLine="420" w:firstLineChars="200"/>
        <w:rPr>
          <w:rFonts w:hint="eastAsia" w:ascii="宋体" w:hAnsi="宋体"/>
          <w:szCs w:val="21"/>
          <w:u w:val="single"/>
        </w:rPr>
      </w:pPr>
      <w:r>
        <w:rPr>
          <w:rFonts w:hint="eastAsia" w:ascii="宋体" w:hAnsi="宋体"/>
          <w:szCs w:val="21"/>
          <w:u w:val="single"/>
        </w:rPr>
        <w:t>②承包人应及时提出用水、用电申请，经批准后在发包人提供的水、电源设置点自费装表按 表计量，费用按学校水、电单价计价缴纳，进度款支付或结算时从工程款中扣回。其水、电设置点位置的维护、管理费用由承包人负责。 承包人负责完成由设置点起至施工区域内的水、电、通讯线路的架设及施工区域内施工通道的修建，费用由承包人承担。承包人应准备备用发电机、水池等设施，任何停水停电，不予签证增加费用和延长工期。</w:t>
      </w:r>
    </w:p>
    <w:p w14:paraId="16043968">
      <w:pPr>
        <w:spacing w:before="120" w:line="360" w:lineRule="auto"/>
        <w:ind w:firstLine="420" w:firstLineChars="200"/>
        <w:rPr>
          <w:rFonts w:hint="eastAsia" w:ascii="宋体" w:hAnsi="宋体"/>
          <w:szCs w:val="21"/>
          <w:u w:val="single"/>
        </w:rPr>
      </w:pPr>
      <w:r>
        <w:rPr>
          <w:rFonts w:hint="eastAsia" w:ascii="宋体" w:hAnsi="宋体"/>
          <w:szCs w:val="21"/>
          <w:u w:val="single"/>
        </w:rPr>
        <w:t>③施工过程中，承包人不得对原工程设计擅自进行变更。承包人擅自变更设计的应及时按原设计进行整改，发生的费用和由此导致发包人的损失，由承包人承担，延误的工期不予顺延。</w:t>
      </w:r>
    </w:p>
    <w:p w14:paraId="73878483">
      <w:pPr>
        <w:spacing w:before="120" w:line="360" w:lineRule="auto"/>
        <w:ind w:firstLine="420" w:firstLineChars="200"/>
        <w:rPr>
          <w:rFonts w:hint="eastAsia" w:ascii="宋体" w:hAnsi="宋体"/>
          <w:szCs w:val="21"/>
          <w:u w:val="single"/>
        </w:rPr>
      </w:pPr>
      <w:r>
        <w:rPr>
          <w:rFonts w:hint="eastAsia" w:ascii="宋体" w:hAnsi="宋体"/>
          <w:szCs w:val="21"/>
          <w:u w:val="single"/>
        </w:rPr>
        <w:t>④承包人投标报价时已考虑施工期间已有成品保护等各种可能因素影响施工所需增加的费用和工期，承包人承诺在前述可能影响工期和费用的因素出现时不要求发包人增加费用和顺延工期。</w:t>
      </w:r>
    </w:p>
    <w:p w14:paraId="30416B8A">
      <w:pPr>
        <w:spacing w:before="120" w:line="360" w:lineRule="auto"/>
        <w:ind w:firstLine="420" w:firstLineChars="200"/>
        <w:rPr>
          <w:rFonts w:hint="eastAsia" w:ascii="宋体" w:hAnsi="宋体"/>
          <w:szCs w:val="21"/>
          <w:u w:val="single"/>
        </w:rPr>
      </w:pPr>
      <w:r>
        <w:rPr>
          <w:rFonts w:hint="eastAsia" w:ascii="宋体" w:hAnsi="宋体"/>
          <w:szCs w:val="21"/>
          <w:u w:val="single"/>
        </w:rPr>
        <w:t>⑤承包人完工后应及时拆除临时设施，配合发包人和监理人办理工程交接手续。</w:t>
      </w:r>
    </w:p>
    <w:p w14:paraId="5D75C470">
      <w:pPr>
        <w:spacing w:before="120" w:line="360" w:lineRule="auto"/>
        <w:ind w:firstLine="420" w:firstLineChars="200"/>
        <w:rPr>
          <w:rFonts w:hint="eastAsia" w:ascii="宋体" w:hAnsi="宋体"/>
          <w:szCs w:val="21"/>
          <w:u w:val="single"/>
        </w:rPr>
      </w:pPr>
      <w:r>
        <w:rPr>
          <w:rFonts w:hint="eastAsia" w:ascii="宋体" w:hAnsi="宋体"/>
          <w:szCs w:val="21"/>
          <w:u w:val="single"/>
        </w:rPr>
        <w:t>⑥如果承包人在核查合同文件或在本工程实施过程中，发现有关工程设计、规范、图纸或其它资料存在任何差错、遗漏或缺陷，应立即以书面形式报发包人和监理人，否则，由此产生的费用或给发包人造成的损失由承包人承担。承包人对现场人员（包括施工人员及第三方人员）及未交工前的工程（包括材料、设施、设备）的安全及管理负全部责任。</w:t>
      </w:r>
    </w:p>
    <w:p w14:paraId="664ECEEF">
      <w:pPr>
        <w:spacing w:before="120" w:line="360" w:lineRule="auto"/>
        <w:ind w:firstLine="420" w:firstLineChars="200"/>
        <w:rPr>
          <w:rFonts w:hint="eastAsia" w:ascii="宋体" w:hAnsi="宋体"/>
          <w:szCs w:val="21"/>
          <w:u w:val="single"/>
        </w:rPr>
      </w:pPr>
      <w:r>
        <w:rPr>
          <w:rFonts w:hint="eastAsia" w:ascii="宋体" w:hAnsi="宋体"/>
          <w:szCs w:val="21"/>
          <w:u w:val="single"/>
        </w:rPr>
        <w:t>⑦承包人应维护和爱护施工现场周围环境，包括现场周围现有的设施、植物等均不得损害，否则承包人应负责修复或赔偿。施工过程中，承包人应保持场地、道路清洁，并承担相应费用；应保护好施工场地周围地下管线和邻近建筑物、构筑物等，费用由承包人承担；应遵守地方政府和有关部门对施工场地交通和施工噪音等管理规定，按规定办理有关手续，由此发生的费用由承包人承担。承包人负责处理由于施工噪音、排污、垃圾外运、土方外运和回填等引起的与相关职能部门、单位、附近居民关系协调导致对工程的影响。承包人处理不当导致受到行政处罚的，由承包人承担。</w:t>
      </w:r>
    </w:p>
    <w:p w14:paraId="02A1EC66">
      <w:pPr>
        <w:spacing w:before="120" w:line="360" w:lineRule="auto"/>
        <w:ind w:firstLine="420" w:firstLineChars="200"/>
        <w:rPr>
          <w:rFonts w:hint="eastAsia" w:ascii="宋体" w:hAnsi="宋体"/>
          <w:szCs w:val="21"/>
          <w:u w:val="single"/>
        </w:rPr>
      </w:pPr>
      <w:r>
        <w:rPr>
          <w:rFonts w:hint="eastAsia" w:ascii="宋体" w:hAnsi="宋体"/>
          <w:szCs w:val="21"/>
          <w:u w:val="single"/>
        </w:rPr>
        <w:t>⑧发包人定期召开施工、设计协调会，承包人必须由设计负责人和施工负责人参加， 及时解决应由承包人解决的问题。如发包人认为根据工程项目进度需要增加会议次数，承包人也应当出席。</w:t>
      </w:r>
    </w:p>
    <w:p w14:paraId="30FD099F">
      <w:pPr>
        <w:spacing w:before="120" w:line="360" w:lineRule="auto"/>
        <w:ind w:firstLine="420" w:firstLineChars="200"/>
        <w:rPr>
          <w:rFonts w:hint="eastAsia" w:ascii="宋体" w:hAnsi="宋体"/>
          <w:szCs w:val="21"/>
          <w:u w:val="single"/>
        </w:rPr>
      </w:pPr>
      <w:r>
        <w:rPr>
          <w:rFonts w:hint="eastAsia" w:ascii="宋体" w:hAnsi="宋体"/>
          <w:szCs w:val="21"/>
          <w:u w:val="single"/>
        </w:rPr>
        <w:t>⑨已竣工工程未交付发包人验收使用之前，负责成品保护，保护期间发生损坏、损失的风险和责任由承包人承担，承包人自费予以修复。</w:t>
      </w:r>
    </w:p>
    <w:p w14:paraId="4BB3DC39">
      <w:pPr>
        <w:spacing w:before="120" w:line="360" w:lineRule="auto"/>
        <w:ind w:firstLine="420" w:firstLineChars="200"/>
        <w:rPr>
          <w:rFonts w:hint="eastAsia" w:ascii="宋体" w:hAnsi="宋体"/>
          <w:szCs w:val="21"/>
          <w:u w:val="single"/>
        </w:rPr>
      </w:pPr>
      <w:r>
        <w:rPr>
          <w:rFonts w:hint="eastAsia" w:ascii="宋体" w:hAnsi="宋体"/>
          <w:szCs w:val="21"/>
          <w:u w:val="single"/>
        </w:rPr>
        <w:t>⑩承包人应协助发包人办理建设工程质量、安全监督注册，取得建设工程施工许可证，办理临时施工用水、电、道路手续，办理设计图纸审查备案，办理节能设计备案，办理消防验收、防雷验收、水电验收、电梯验收、联合竣工验收、竣工验收备案、城建档案馆备案等业务，依法需要发包人承担的费用由发包人负责，依法需要承包人承担的费用由承包人负责。资料移交城建档案馆需发生的档案整理编制等费用已含在签约合同价中。</w:t>
      </w:r>
    </w:p>
    <w:p w14:paraId="73146CE1">
      <w:pPr>
        <w:spacing w:before="120" w:line="360" w:lineRule="auto"/>
        <w:ind w:firstLine="420" w:firstLineChars="200"/>
        <w:rPr>
          <w:rFonts w:hint="eastAsia" w:ascii="宋体" w:hAnsi="宋体"/>
          <w:kern w:val="0"/>
          <w:szCs w:val="21"/>
        </w:rPr>
      </w:pPr>
      <w:r>
        <w:rPr>
          <w:rFonts w:hint="eastAsia" w:ascii="宋体" w:hAnsi="宋体"/>
          <w:kern w:val="0"/>
          <w:szCs w:val="21"/>
        </w:rPr>
        <w:t>3.2 项目经理</w:t>
      </w:r>
    </w:p>
    <w:p w14:paraId="3B6060C6">
      <w:pPr>
        <w:spacing w:before="120" w:line="360" w:lineRule="auto"/>
        <w:ind w:firstLine="420" w:firstLineChars="200"/>
        <w:rPr>
          <w:rFonts w:hint="eastAsia" w:ascii="宋体" w:hAnsi="宋体"/>
          <w:szCs w:val="21"/>
        </w:rPr>
      </w:pPr>
      <w:r>
        <w:rPr>
          <w:rFonts w:hint="eastAsia" w:ascii="宋体" w:hAnsi="宋体"/>
          <w:kern w:val="0"/>
          <w:szCs w:val="21"/>
        </w:rPr>
        <w:t xml:space="preserve">3.2.1 </w:t>
      </w:r>
      <w:r>
        <w:rPr>
          <w:rFonts w:hint="eastAsia" w:ascii="宋体" w:hAnsi="宋体"/>
          <w:szCs w:val="21"/>
        </w:rPr>
        <w:t>项目经理：</w:t>
      </w:r>
    </w:p>
    <w:p w14:paraId="3DDDF204">
      <w:pPr>
        <w:spacing w:before="120" w:line="360" w:lineRule="auto"/>
        <w:ind w:firstLine="420" w:firstLineChars="200"/>
        <w:rPr>
          <w:rFonts w:hint="eastAsia" w:ascii="宋体" w:hAnsi="宋体"/>
          <w:szCs w:val="21"/>
        </w:rPr>
      </w:pPr>
      <w:r>
        <w:rPr>
          <w:rFonts w:hint="eastAsia" w:ascii="宋体" w:hAnsi="宋体"/>
          <w:szCs w:val="21"/>
        </w:rPr>
        <w:t>姓    名：</w:t>
      </w:r>
      <w:r>
        <w:rPr>
          <w:rFonts w:hint="eastAsia" w:ascii="宋体" w:hAnsi="宋体"/>
          <w:szCs w:val="21"/>
          <w:u w:val="single"/>
        </w:rPr>
        <w:t>         </w:t>
      </w:r>
      <w:r>
        <w:rPr>
          <w:rFonts w:hint="eastAsia" w:ascii="宋体" w:hAnsi="宋体"/>
          <w:szCs w:val="21"/>
        </w:rPr>
        <w:t>；</w:t>
      </w:r>
    </w:p>
    <w:p w14:paraId="3094A3F7">
      <w:pPr>
        <w:spacing w:before="120" w:line="360" w:lineRule="auto"/>
        <w:ind w:firstLine="420" w:firstLineChars="200"/>
        <w:rPr>
          <w:rFonts w:hint="eastAsia" w:ascii="宋体" w:hAnsi="宋体"/>
          <w:szCs w:val="21"/>
        </w:rPr>
      </w:pPr>
      <w:r>
        <w:rPr>
          <w:rFonts w:hint="eastAsia" w:ascii="宋体" w:hAnsi="宋体"/>
          <w:szCs w:val="21"/>
        </w:rPr>
        <w:t>身份证号：</w:t>
      </w:r>
      <w:r>
        <w:rPr>
          <w:rFonts w:hint="eastAsia" w:ascii="宋体" w:hAnsi="宋体"/>
          <w:szCs w:val="21"/>
          <w:u w:val="single"/>
        </w:rPr>
        <w:t xml:space="preserve">                     </w:t>
      </w:r>
      <w:r>
        <w:rPr>
          <w:rFonts w:hint="eastAsia" w:ascii="宋体" w:hAnsi="宋体"/>
          <w:szCs w:val="21"/>
        </w:rPr>
        <w:t>；</w:t>
      </w:r>
    </w:p>
    <w:p w14:paraId="2EABE7E4">
      <w:pPr>
        <w:spacing w:before="120" w:line="360" w:lineRule="auto"/>
        <w:ind w:firstLine="420" w:firstLineChars="200"/>
        <w:rPr>
          <w:rFonts w:hint="eastAsia" w:ascii="宋体" w:hAnsi="宋体"/>
          <w:szCs w:val="21"/>
        </w:rPr>
      </w:pPr>
      <w:r>
        <w:rPr>
          <w:rFonts w:hint="eastAsia" w:ascii="宋体" w:hAnsi="宋体"/>
          <w:szCs w:val="21"/>
        </w:rPr>
        <w:t>建造师执业资格等级：</w:t>
      </w:r>
      <w:r>
        <w:rPr>
          <w:rFonts w:hint="eastAsia" w:ascii="宋体" w:hAnsi="宋体"/>
          <w:szCs w:val="21"/>
          <w:u w:val="single"/>
        </w:rPr>
        <w:t>   </w:t>
      </w:r>
      <w:r>
        <w:rPr>
          <w:rFonts w:hint="eastAsia" w:ascii="宋体" w:hAnsi="宋体"/>
          <w:szCs w:val="21"/>
        </w:rPr>
        <w:t>；</w:t>
      </w:r>
    </w:p>
    <w:p w14:paraId="1C223C4A">
      <w:pPr>
        <w:spacing w:before="120" w:line="360" w:lineRule="auto"/>
        <w:ind w:firstLine="420" w:firstLineChars="200"/>
        <w:rPr>
          <w:rFonts w:hint="eastAsia" w:ascii="宋体" w:hAnsi="宋体"/>
          <w:szCs w:val="21"/>
        </w:rPr>
      </w:pPr>
      <w:r>
        <w:rPr>
          <w:rFonts w:hint="eastAsia" w:ascii="宋体" w:hAnsi="宋体"/>
          <w:szCs w:val="21"/>
        </w:rPr>
        <w:t>建造师注册证书号：</w:t>
      </w:r>
      <w:r>
        <w:rPr>
          <w:rFonts w:hint="eastAsia" w:ascii="宋体" w:hAnsi="宋体"/>
          <w:szCs w:val="21"/>
          <w:u w:val="single"/>
        </w:rPr>
        <w:t>                  </w:t>
      </w:r>
      <w:r>
        <w:rPr>
          <w:rFonts w:hint="eastAsia" w:ascii="宋体" w:hAnsi="宋体"/>
          <w:szCs w:val="21"/>
        </w:rPr>
        <w:t>；</w:t>
      </w:r>
    </w:p>
    <w:p w14:paraId="7E0FE391">
      <w:pPr>
        <w:spacing w:before="120" w:line="360" w:lineRule="auto"/>
        <w:ind w:firstLine="420" w:firstLineChars="200"/>
        <w:rPr>
          <w:rFonts w:hint="eastAsia" w:ascii="宋体" w:hAnsi="宋体"/>
          <w:szCs w:val="21"/>
        </w:rPr>
      </w:pPr>
      <w:r>
        <w:rPr>
          <w:rFonts w:hint="eastAsia" w:ascii="宋体" w:hAnsi="宋体"/>
          <w:szCs w:val="21"/>
        </w:rPr>
        <w:t>建造师执业印章号：</w:t>
      </w:r>
      <w:r>
        <w:rPr>
          <w:rFonts w:hint="eastAsia" w:ascii="宋体" w:hAnsi="宋体"/>
          <w:szCs w:val="21"/>
          <w:u w:val="single"/>
        </w:rPr>
        <w:t>/ </w:t>
      </w:r>
      <w:r>
        <w:rPr>
          <w:rFonts w:hint="eastAsia" w:ascii="宋体" w:hAnsi="宋体"/>
          <w:szCs w:val="21"/>
        </w:rPr>
        <w:t>；</w:t>
      </w:r>
    </w:p>
    <w:p w14:paraId="5F7171D1">
      <w:pPr>
        <w:spacing w:before="120" w:line="360" w:lineRule="auto"/>
        <w:ind w:firstLine="420" w:firstLineChars="200"/>
        <w:rPr>
          <w:rFonts w:hint="eastAsia" w:ascii="宋体" w:hAnsi="宋体"/>
          <w:szCs w:val="21"/>
        </w:rPr>
      </w:pPr>
      <w:r>
        <w:rPr>
          <w:rFonts w:hint="eastAsia" w:ascii="宋体" w:hAnsi="宋体"/>
          <w:szCs w:val="21"/>
        </w:rPr>
        <w:t>安全生产考核合格证书号：</w:t>
      </w:r>
      <w:r>
        <w:rPr>
          <w:rFonts w:hint="eastAsia" w:ascii="宋体" w:hAnsi="宋体"/>
          <w:szCs w:val="21"/>
          <w:u w:val="single"/>
        </w:rPr>
        <w:t>                     </w:t>
      </w:r>
      <w:r>
        <w:rPr>
          <w:rFonts w:hint="eastAsia" w:ascii="宋体" w:hAnsi="宋体"/>
          <w:szCs w:val="21"/>
        </w:rPr>
        <w:t>；</w:t>
      </w:r>
    </w:p>
    <w:p w14:paraId="63CB9B69">
      <w:pPr>
        <w:spacing w:before="120" w:line="360" w:lineRule="auto"/>
        <w:ind w:firstLine="420" w:firstLineChars="200"/>
        <w:rPr>
          <w:rFonts w:hint="eastAsia" w:ascii="宋体" w:hAnsi="宋体"/>
          <w:szCs w:val="21"/>
        </w:rPr>
      </w:pPr>
      <w:r>
        <w:rPr>
          <w:rFonts w:hint="eastAsia" w:ascii="宋体" w:hAnsi="宋体"/>
          <w:szCs w:val="21"/>
        </w:rPr>
        <w:t>联系电话：</w:t>
      </w:r>
      <w:r>
        <w:rPr>
          <w:rFonts w:hint="eastAsia" w:ascii="宋体" w:hAnsi="宋体"/>
          <w:szCs w:val="21"/>
          <w:u w:val="single"/>
        </w:rPr>
        <w:t>/         </w:t>
      </w:r>
      <w:r>
        <w:rPr>
          <w:rFonts w:hint="eastAsia" w:ascii="宋体" w:hAnsi="宋体"/>
          <w:szCs w:val="21"/>
        </w:rPr>
        <w:t>；</w:t>
      </w:r>
    </w:p>
    <w:p w14:paraId="0BCDFD13">
      <w:pPr>
        <w:spacing w:before="120" w:line="360" w:lineRule="auto"/>
        <w:ind w:firstLine="420" w:firstLineChars="200"/>
        <w:rPr>
          <w:rFonts w:hint="eastAsia" w:ascii="宋体" w:hAnsi="宋体"/>
          <w:szCs w:val="21"/>
        </w:rPr>
      </w:pPr>
      <w:r>
        <w:rPr>
          <w:rFonts w:hint="eastAsia" w:ascii="宋体" w:hAnsi="宋体"/>
          <w:szCs w:val="21"/>
        </w:rPr>
        <w:t>电子信箱：</w:t>
      </w:r>
      <w:r>
        <w:rPr>
          <w:rFonts w:hint="eastAsia" w:ascii="宋体" w:hAnsi="宋体"/>
          <w:szCs w:val="21"/>
          <w:u w:val="single"/>
        </w:rPr>
        <w:t>/         </w:t>
      </w:r>
      <w:r>
        <w:rPr>
          <w:rFonts w:hint="eastAsia" w:ascii="宋体" w:hAnsi="宋体"/>
          <w:szCs w:val="21"/>
        </w:rPr>
        <w:t>；</w:t>
      </w:r>
    </w:p>
    <w:p w14:paraId="3C9BD49D">
      <w:pPr>
        <w:spacing w:before="120" w:line="360" w:lineRule="auto"/>
        <w:ind w:firstLine="420" w:firstLineChars="200"/>
        <w:rPr>
          <w:rFonts w:hint="eastAsia" w:ascii="宋体" w:hAnsi="宋体"/>
          <w:szCs w:val="21"/>
        </w:rPr>
      </w:pPr>
      <w:r>
        <w:rPr>
          <w:rFonts w:hint="eastAsia" w:ascii="宋体" w:hAnsi="宋体"/>
          <w:szCs w:val="21"/>
        </w:rPr>
        <w:t>通信地址：</w:t>
      </w:r>
      <w:r>
        <w:rPr>
          <w:rFonts w:hint="eastAsia" w:ascii="宋体" w:hAnsi="宋体"/>
          <w:szCs w:val="21"/>
          <w:u w:val="single"/>
        </w:rPr>
        <w:t>/         </w:t>
      </w:r>
      <w:r>
        <w:rPr>
          <w:rFonts w:hint="eastAsia" w:ascii="宋体" w:hAnsi="宋体"/>
          <w:szCs w:val="21"/>
        </w:rPr>
        <w:t>；</w:t>
      </w:r>
    </w:p>
    <w:p w14:paraId="0E1E70B7">
      <w:pPr>
        <w:spacing w:before="120" w:line="360" w:lineRule="auto"/>
        <w:ind w:firstLine="420" w:firstLineChars="200"/>
        <w:rPr>
          <w:rFonts w:hint="eastAsia" w:ascii="宋体" w:hAnsi="宋体"/>
          <w:szCs w:val="21"/>
        </w:rPr>
      </w:pPr>
      <w:r>
        <w:rPr>
          <w:rFonts w:hint="eastAsia" w:ascii="宋体" w:hAnsi="宋体"/>
          <w:szCs w:val="21"/>
        </w:rPr>
        <w:t>承包人对项目经理的授权范围如下：</w:t>
      </w:r>
      <w:r>
        <w:rPr>
          <w:rFonts w:hint="eastAsia" w:ascii="宋体" w:hAnsi="宋体"/>
          <w:szCs w:val="21"/>
          <w:u w:val="single"/>
        </w:rPr>
        <w:t xml:space="preserve">全面代表承包人行使本合同约定的权利，履行本合同约定的义务，处理施工期间的突发事件，其行为后果由承包人承担  </w:t>
      </w:r>
      <w:r>
        <w:rPr>
          <w:rFonts w:hint="eastAsia" w:ascii="宋体" w:hAnsi="宋体"/>
          <w:szCs w:val="21"/>
        </w:rPr>
        <w:t>。</w:t>
      </w:r>
    </w:p>
    <w:p w14:paraId="1A510990">
      <w:pPr>
        <w:spacing w:before="120" w:line="360" w:lineRule="auto"/>
        <w:ind w:firstLine="420" w:firstLineChars="200"/>
        <w:jc w:val="left"/>
        <w:rPr>
          <w:rFonts w:hint="eastAsia" w:ascii="宋体" w:hAnsi="宋体"/>
          <w:kern w:val="0"/>
          <w:szCs w:val="21"/>
        </w:rPr>
      </w:pPr>
      <w:r>
        <w:rPr>
          <w:rFonts w:hint="eastAsia" w:ascii="宋体" w:hAnsi="宋体"/>
          <w:kern w:val="0"/>
          <w:szCs w:val="21"/>
        </w:rPr>
        <w:t>关于项目经理每月在施工现场的时间要求：</w:t>
      </w:r>
      <w:r>
        <w:rPr>
          <w:rFonts w:hint="eastAsia" w:ascii="宋体" w:hAnsi="宋体"/>
          <w:szCs w:val="21"/>
          <w:u w:val="single"/>
        </w:rPr>
        <w:t xml:space="preserve">   不少于22天</w:t>
      </w:r>
      <w:r>
        <w:rPr>
          <w:rFonts w:hint="eastAsia" w:ascii="宋体" w:hAnsi="宋体"/>
          <w:szCs w:val="21"/>
        </w:rPr>
        <w:t>。</w:t>
      </w:r>
    </w:p>
    <w:p w14:paraId="4FC40FDF">
      <w:pPr>
        <w:spacing w:before="120" w:line="360" w:lineRule="auto"/>
        <w:ind w:firstLine="420" w:firstLineChars="200"/>
        <w:rPr>
          <w:rFonts w:hint="eastAsia" w:ascii="宋体" w:hAnsi="宋体"/>
          <w:kern w:val="0"/>
          <w:szCs w:val="21"/>
        </w:rPr>
      </w:pPr>
      <w:r>
        <w:rPr>
          <w:rFonts w:hint="eastAsia" w:ascii="宋体" w:hAnsi="宋体"/>
          <w:kern w:val="0"/>
          <w:szCs w:val="21"/>
        </w:rPr>
        <w:t>承包人未提交劳动合同，以及没有为项目经理缴纳社会保险证明的违约责任：</w:t>
      </w:r>
      <w:r>
        <w:rPr>
          <w:rFonts w:hint="eastAsia" w:ascii="宋体" w:hAnsi="宋体"/>
          <w:szCs w:val="21"/>
          <w:u w:val="single"/>
        </w:rPr>
        <w:t xml:space="preserve">  项目经理无权履行职责，发包人有权要求更换项目经理，由此增加的费用和（或）延误的工期由承包人承担，并向发包人支付10万元违约金</w:t>
      </w:r>
      <w:r>
        <w:rPr>
          <w:rFonts w:hint="eastAsia" w:ascii="宋体" w:hAnsi="宋体"/>
          <w:szCs w:val="21"/>
        </w:rPr>
        <w:t>。</w:t>
      </w:r>
    </w:p>
    <w:p w14:paraId="198584FE">
      <w:pPr>
        <w:spacing w:before="120" w:line="360" w:lineRule="auto"/>
        <w:ind w:firstLine="420" w:firstLineChars="200"/>
        <w:rPr>
          <w:rFonts w:hint="eastAsia" w:ascii="宋体" w:hAnsi="宋体"/>
          <w:szCs w:val="21"/>
          <w:u w:val="single"/>
        </w:rPr>
      </w:pPr>
      <w:r>
        <w:rPr>
          <w:rFonts w:hint="eastAsia" w:ascii="宋体" w:hAnsi="宋体"/>
          <w:kern w:val="0"/>
          <w:szCs w:val="21"/>
        </w:rPr>
        <w:t>项目经理未经批准，擅自离开施工现场的违约责任：</w:t>
      </w:r>
      <w:r>
        <w:rPr>
          <w:rFonts w:hint="eastAsia" w:ascii="宋体" w:hAnsi="宋体"/>
          <w:szCs w:val="21"/>
          <w:u w:val="single"/>
        </w:rPr>
        <w:t>每发现一次，承包人向发包人支付1万元的违约金，并按发包人要求立即整改，承包人承担上述违约给发包人造成的一切损失</w:t>
      </w:r>
      <w:r>
        <w:rPr>
          <w:rFonts w:hint="eastAsia" w:ascii="宋体" w:hAnsi="宋体"/>
          <w:szCs w:val="21"/>
        </w:rPr>
        <w:t>。</w:t>
      </w:r>
    </w:p>
    <w:p w14:paraId="5DF1E6CE">
      <w:pPr>
        <w:spacing w:before="120" w:line="360" w:lineRule="auto"/>
        <w:ind w:firstLine="420" w:firstLineChars="200"/>
        <w:rPr>
          <w:rFonts w:hint="eastAsia" w:ascii="宋体" w:hAnsi="宋体"/>
          <w:szCs w:val="21"/>
        </w:rPr>
      </w:pPr>
      <w:r>
        <w:rPr>
          <w:rFonts w:hint="eastAsia" w:ascii="宋体" w:hAnsi="宋体"/>
          <w:szCs w:val="21"/>
        </w:rPr>
        <w:t>3.2.3 承包人擅自更换项目经理的违约责任：</w:t>
      </w:r>
      <w:r>
        <w:rPr>
          <w:rFonts w:hint="eastAsia" w:ascii="宋体" w:hAnsi="宋体"/>
          <w:szCs w:val="21"/>
          <w:u w:val="single"/>
        </w:rPr>
        <w:t xml:space="preserve"> 承包人向发包人支付2万元/次的违约金，并按发包人要求立即整改，承包人承担上述违约给发包人造成的一切损失</w:t>
      </w:r>
      <w:r>
        <w:rPr>
          <w:rFonts w:hint="eastAsia" w:ascii="宋体" w:hAnsi="宋体"/>
          <w:szCs w:val="21"/>
        </w:rPr>
        <w:t>。</w:t>
      </w:r>
    </w:p>
    <w:p w14:paraId="6639FFD4">
      <w:pPr>
        <w:spacing w:before="120" w:line="360" w:lineRule="auto"/>
        <w:outlineLvl w:val="0"/>
        <w:rPr>
          <w:rFonts w:hint="eastAsia" w:ascii="宋体" w:hAnsi="宋体"/>
          <w:szCs w:val="21"/>
          <w:u w:val="single"/>
        </w:rPr>
      </w:pPr>
      <w:r>
        <w:rPr>
          <w:rFonts w:hint="eastAsia" w:ascii="宋体" w:hAnsi="宋体"/>
          <w:szCs w:val="21"/>
        </w:rPr>
        <w:t xml:space="preserve">    3.2.4 承包人无正当理由拒绝更换项目经理的违约责任：</w:t>
      </w:r>
      <w:r>
        <w:rPr>
          <w:rFonts w:hint="eastAsia" w:ascii="宋体" w:hAnsi="宋体"/>
          <w:szCs w:val="21"/>
          <w:u w:val="single"/>
        </w:rPr>
        <w:t>承包人按合同总价款的2%承担的违约金，从工程款中扣除，承包人承担因此增加的费用和延误的工期。同时发包人有权单方解除本合同并责令承包人退场，由此产生的一切损失及后果由承包人承担，由此给发包人造成的直接和间接损失由承包人赔偿。</w:t>
      </w:r>
    </w:p>
    <w:p w14:paraId="0A2DA794">
      <w:pPr>
        <w:spacing w:before="120" w:after="120" w:line="360" w:lineRule="auto"/>
        <w:ind w:firstLine="420" w:firstLineChars="200"/>
        <w:rPr>
          <w:rFonts w:hint="eastAsia" w:ascii="宋体" w:hAnsi="宋体"/>
          <w:szCs w:val="21"/>
        </w:rPr>
      </w:pPr>
      <w:r>
        <w:rPr>
          <w:rFonts w:hint="eastAsia" w:ascii="宋体" w:hAnsi="宋体"/>
          <w:szCs w:val="21"/>
        </w:rPr>
        <w:t>3.3 承包人人员</w:t>
      </w:r>
    </w:p>
    <w:p w14:paraId="6AB96734">
      <w:pPr>
        <w:spacing w:before="120" w:line="360" w:lineRule="auto"/>
        <w:ind w:firstLine="420" w:firstLineChars="200"/>
        <w:rPr>
          <w:rFonts w:hint="eastAsia" w:ascii="宋体" w:hAnsi="宋体"/>
          <w:szCs w:val="21"/>
        </w:rPr>
      </w:pPr>
      <w:r>
        <w:rPr>
          <w:rFonts w:hint="eastAsia" w:ascii="宋体" w:hAnsi="宋体"/>
          <w:szCs w:val="21"/>
        </w:rPr>
        <w:t>3.3.1 承包人提交项目管理机构及施工现场管理人员安排报告的期限：</w:t>
      </w:r>
      <w:r>
        <w:rPr>
          <w:rFonts w:hint="eastAsia" w:ascii="宋体" w:hAnsi="宋体"/>
          <w:szCs w:val="21"/>
          <w:u w:val="single"/>
        </w:rPr>
        <w:t xml:space="preserve">  至迟不晚于开工前7天     </w:t>
      </w:r>
      <w:r>
        <w:rPr>
          <w:rFonts w:hint="eastAsia" w:ascii="宋体" w:hAnsi="宋体"/>
          <w:szCs w:val="21"/>
        </w:rPr>
        <w:t>。</w:t>
      </w:r>
    </w:p>
    <w:p w14:paraId="25AE06C5">
      <w:pPr>
        <w:pStyle w:val="91"/>
        <w:spacing w:before="120" w:line="360" w:lineRule="auto"/>
        <w:ind w:firstLine="504" w:firstLineChars="240"/>
        <w:rPr>
          <w:rFonts w:hint="eastAsia" w:ascii="宋体" w:hAnsi="宋体" w:cs="Times New Roman"/>
          <w:szCs w:val="21"/>
          <w:u w:val="single"/>
        </w:rPr>
      </w:pPr>
      <w:r>
        <w:rPr>
          <w:rFonts w:hint="eastAsia" w:ascii="宋体" w:hAnsi="宋体" w:cs="Times New Roman"/>
          <w:szCs w:val="21"/>
          <w:u w:val="single"/>
        </w:rPr>
        <w:t>3.3.2 为完成本合同约定的各项工作，承包人除按通用合同条款相应的约定执行外，向工程施工场地派遣或雇佣的关键岗位人员数量不得低于湖南省住房和城乡建设厅有关文件规定的最低配备标准以及投标文件中承诺的人员标准。</w:t>
      </w:r>
    </w:p>
    <w:p w14:paraId="21667173">
      <w:pPr>
        <w:spacing w:before="120" w:line="360" w:lineRule="auto"/>
        <w:ind w:firstLine="420" w:firstLineChars="200"/>
        <w:rPr>
          <w:rFonts w:hint="eastAsia" w:ascii="宋体" w:hAnsi="宋体"/>
          <w:szCs w:val="21"/>
        </w:rPr>
      </w:pPr>
      <w:r>
        <w:rPr>
          <w:rFonts w:hint="eastAsia" w:ascii="宋体" w:hAnsi="宋体"/>
          <w:szCs w:val="21"/>
        </w:rPr>
        <w:t>3.3.3 承包人无正当理由拒绝撤换主要施工管理人员的违约责任：</w:t>
      </w:r>
      <w:r>
        <w:rPr>
          <w:rFonts w:hint="eastAsia" w:ascii="宋体" w:hAnsi="宋体"/>
          <w:szCs w:val="21"/>
          <w:u w:val="single"/>
        </w:rPr>
        <w:t>承包人承担合同总价款的2%金额的违约金，从工程款中扣除，承包人承担因此增加的费用和延误的工期。同时发包人有权单方解除本合同并责令承包人退场，由此产生的一切损失及后果由承包人承担，由此给发包人造成的直接和间接损失由承包人赔偿。</w:t>
      </w:r>
    </w:p>
    <w:p w14:paraId="51C42438">
      <w:pPr>
        <w:spacing w:before="120" w:line="360" w:lineRule="auto"/>
        <w:ind w:firstLine="420" w:firstLineChars="200"/>
        <w:rPr>
          <w:rFonts w:hint="eastAsia" w:ascii="宋体" w:hAnsi="宋体"/>
          <w:szCs w:val="21"/>
          <w:u w:val="single"/>
        </w:rPr>
      </w:pPr>
      <w:r>
        <w:rPr>
          <w:rFonts w:hint="eastAsia" w:ascii="宋体" w:hAnsi="宋体"/>
          <w:szCs w:val="21"/>
        </w:rPr>
        <w:t xml:space="preserve">3.3.4 承包人主要施工管理人员离开施工现场的批准要求：   </w:t>
      </w:r>
      <w:r>
        <w:rPr>
          <w:rFonts w:hint="eastAsia" w:ascii="宋体" w:hAnsi="宋体"/>
          <w:szCs w:val="21"/>
          <w:u w:val="single"/>
        </w:rPr>
        <w:t xml:space="preserve">   按照通用条款执行      </w:t>
      </w:r>
      <w:r>
        <w:rPr>
          <w:rFonts w:hint="eastAsia" w:ascii="宋体" w:hAnsi="宋体"/>
          <w:szCs w:val="21"/>
        </w:rPr>
        <w:t>。</w:t>
      </w:r>
    </w:p>
    <w:p w14:paraId="7BCB9A39">
      <w:pPr>
        <w:spacing w:before="120" w:line="360" w:lineRule="auto"/>
        <w:ind w:firstLine="420" w:firstLineChars="200"/>
        <w:rPr>
          <w:rFonts w:hint="eastAsia" w:ascii="宋体" w:hAnsi="宋体"/>
          <w:szCs w:val="21"/>
        </w:rPr>
      </w:pPr>
      <w:r>
        <w:rPr>
          <w:rFonts w:hint="eastAsia" w:ascii="宋体" w:hAnsi="宋体"/>
          <w:szCs w:val="21"/>
        </w:rPr>
        <w:t>3.3.5承包人擅自更换主要施工管理人员的违约责任：</w:t>
      </w:r>
      <w:r>
        <w:rPr>
          <w:rFonts w:hint="eastAsia" w:ascii="宋体" w:hAnsi="宋体"/>
          <w:szCs w:val="21"/>
          <w:u w:val="single"/>
        </w:rPr>
        <w:t xml:space="preserve"> 承包人向发包人支付2万元/次的违约金，并按发包人要求立即整改，承包人承担上述违约给发包人造成的一切损失 </w:t>
      </w:r>
      <w:r>
        <w:rPr>
          <w:rFonts w:hint="eastAsia" w:ascii="宋体" w:hAnsi="宋体"/>
          <w:szCs w:val="21"/>
        </w:rPr>
        <w:t>。</w:t>
      </w:r>
    </w:p>
    <w:p w14:paraId="32E580E4">
      <w:pPr>
        <w:spacing w:before="120" w:line="360" w:lineRule="auto"/>
        <w:ind w:firstLine="420" w:firstLineChars="200"/>
        <w:rPr>
          <w:rFonts w:hint="eastAsia" w:ascii="宋体" w:hAnsi="宋体"/>
          <w:szCs w:val="21"/>
        </w:rPr>
      </w:pPr>
      <w:r>
        <w:rPr>
          <w:rFonts w:hint="eastAsia" w:ascii="宋体" w:hAnsi="宋体"/>
          <w:szCs w:val="21"/>
        </w:rPr>
        <w:t>承包人主要施工管理人员擅自离开施工现场的违约责任：</w:t>
      </w:r>
      <w:r>
        <w:rPr>
          <w:rFonts w:hint="eastAsia" w:ascii="宋体" w:hAnsi="宋体"/>
          <w:szCs w:val="21"/>
          <w:u w:val="single"/>
        </w:rPr>
        <w:t xml:space="preserve">每发现一次，承包人向发包人支付1万元/次的违约金，并按发包人要求立即整改，承包人承担上述违约给发包人造成的一切损失 </w:t>
      </w:r>
      <w:r>
        <w:rPr>
          <w:rFonts w:hint="eastAsia" w:ascii="宋体" w:hAnsi="宋体"/>
          <w:szCs w:val="21"/>
        </w:rPr>
        <w:t>。</w:t>
      </w:r>
    </w:p>
    <w:p w14:paraId="1A9378F2">
      <w:pPr>
        <w:spacing w:before="120" w:after="120" w:line="360" w:lineRule="auto"/>
        <w:ind w:firstLine="420" w:firstLineChars="200"/>
        <w:rPr>
          <w:rFonts w:hint="eastAsia" w:ascii="宋体" w:hAnsi="宋体"/>
          <w:szCs w:val="21"/>
        </w:rPr>
      </w:pPr>
      <w:r>
        <w:rPr>
          <w:rFonts w:hint="eastAsia" w:ascii="宋体" w:hAnsi="宋体"/>
          <w:szCs w:val="21"/>
        </w:rPr>
        <w:t>3</w:t>
      </w:r>
      <w:bookmarkStart w:id="131" w:name="_Toc297216151"/>
      <w:bookmarkStart w:id="132" w:name="_Toc292559364"/>
      <w:bookmarkStart w:id="133" w:name="_Toc296503159"/>
      <w:bookmarkStart w:id="134" w:name="_Toc296890987"/>
      <w:bookmarkStart w:id="135" w:name="_Toc297120459"/>
      <w:bookmarkStart w:id="136" w:name="_Toc304295523"/>
      <w:bookmarkStart w:id="137" w:name="_Toc292559869"/>
      <w:bookmarkStart w:id="138" w:name="_Toc312677988"/>
      <w:bookmarkStart w:id="139" w:name="_Toc296347158"/>
      <w:bookmarkStart w:id="140" w:name="_Toc297048345"/>
      <w:bookmarkStart w:id="141" w:name="_Toc300934945"/>
      <w:bookmarkStart w:id="142" w:name="_Toc297123492"/>
      <w:bookmarkStart w:id="143" w:name="_Toc296944498"/>
      <w:bookmarkStart w:id="144" w:name="_Toc296891199"/>
      <w:bookmarkStart w:id="145" w:name="_Toc296346660"/>
      <w:bookmarkStart w:id="146" w:name="_Toc303539102"/>
      <w:r>
        <w:rPr>
          <w:rFonts w:hint="eastAsia" w:ascii="宋体" w:hAnsi="宋体"/>
          <w:szCs w:val="21"/>
        </w:rPr>
        <w:t>.5 分包</w:t>
      </w:r>
    </w:p>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14:paraId="108087AB">
      <w:pPr>
        <w:spacing w:before="120" w:line="360" w:lineRule="auto"/>
        <w:ind w:firstLine="420" w:firstLineChars="200"/>
        <w:rPr>
          <w:rFonts w:hint="eastAsia" w:ascii="宋体" w:hAnsi="宋体"/>
          <w:szCs w:val="21"/>
        </w:rPr>
      </w:pPr>
      <w:r>
        <w:rPr>
          <w:rFonts w:hint="eastAsia" w:ascii="宋体" w:hAnsi="宋体"/>
          <w:szCs w:val="21"/>
        </w:rPr>
        <w:t>3</w:t>
      </w:r>
      <w:bookmarkStart w:id="147" w:name="_Toc304295524"/>
      <w:bookmarkStart w:id="148" w:name="_Toc292559365"/>
      <w:bookmarkStart w:id="149" w:name="_Toc297120460"/>
      <w:bookmarkStart w:id="150" w:name="_Toc297216152"/>
      <w:bookmarkStart w:id="151" w:name="_Toc297048346"/>
      <w:bookmarkStart w:id="152" w:name="_Toc292559870"/>
      <w:bookmarkStart w:id="153" w:name="_Toc296347159"/>
      <w:bookmarkStart w:id="154" w:name="_Toc297123493"/>
      <w:bookmarkStart w:id="155" w:name="_Toc296944499"/>
      <w:bookmarkStart w:id="156" w:name="_Toc296503160"/>
      <w:bookmarkStart w:id="157" w:name="_Toc300934946"/>
      <w:bookmarkStart w:id="158" w:name="_Toc296891200"/>
      <w:bookmarkStart w:id="159" w:name="_Toc296890988"/>
      <w:bookmarkStart w:id="160" w:name="_Toc296346661"/>
      <w:bookmarkStart w:id="161" w:name="_Toc303539103"/>
      <w:bookmarkStart w:id="162" w:name="_Toc312677989"/>
      <w:bookmarkStart w:id="163" w:name="_Toc318581158"/>
      <w:r>
        <w:rPr>
          <w:rFonts w:hint="eastAsia" w:ascii="宋体" w:hAnsi="宋体"/>
          <w:szCs w:val="21"/>
        </w:rPr>
        <w:t>.5.1 分包的一般约定</w:t>
      </w:r>
    </w:p>
    <w:p w14:paraId="25778F72">
      <w:pPr>
        <w:spacing w:before="120" w:line="360" w:lineRule="auto"/>
        <w:ind w:firstLine="420" w:firstLineChars="200"/>
        <w:jc w:val="left"/>
        <w:rPr>
          <w:rFonts w:hint="eastAsia" w:ascii="宋体" w:hAnsi="宋体"/>
          <w:szCs w:val="21"/>
        </w:rPr>
      </w:pPr>
      <w:r>
        <w:rPr>
          <w:rFonts w:hint="eastAsia" w:ascii="宋体" w:hAnsi="宋体"/>
          <w:szCs w:val="21"/>
        </w:rPr>
        <w:t>禁止分包的工程包括：</w:t>
      </w:r>
      <w:r>
        <w:rPr>
          <w:rFonts w:hint="eastAsia" w:ascii="宋体" w:hAnsi="宋体"/>
          <w:szCs w:val="21"/>
          <w:u w:val="single"/>
        </w:rPr>
        <w:t xml:space="preserve">法律法规禁止及未经发包人同意的工程或工作        </w:t>
      </w:r>
      <w:r>
        <w:rPr>
          <w:rFonts w:hint="eastAsia" w:ascii="宋体" w:hAnsi="宋体"/>
          <w:szCs w:val="21"/>
        </w:rPr>
        <w:t>。</w:t>
      </w:r>
    </w:p>
    <w:p w14:paraId="19B6CF5B">
      <w:pPr>
        <w:spacing w:before="120" w:line="360" w:lineRule="auto"/>
        <w:ind w:firstLine="420" w:firstLineChars="200"/>
        <w:jc w:val="left"/>
        <w:rPr>
          <w:rFonts w:hint="eastAsia" w:ascii="宋体" w:hAnsi="宋体"/>
          <w:szCs w:val="21"/>
          <w:u w:val="single"/>
        </w:rPr>
      </w:pPr>
      <w:r>
        <w:rPr>
          <w:rFonts w:hint="eastAsia" w:ascii="宋体" w:hAnsi="宋体"/>
          <w:szCs w:val="21"/>
        </w:rPr>
        <w:t>主体结构、关键性工作的范围：</w:t>
      </w:r>
      <w:r>
        <w:rPr>
          <w:rFonts w:hint="eastAsia" w:ascii="宋体" w:hAnsi="宋体"/>
          <w:szCs w:val="21"/>
          <w:u w:val="single"/>
        </w:rPr>
        <w:t xml:space="preserve">/    </w:t>
      </w:r>
      <w:r>
        <w:rPr>
          <w:rFonts w:hint="eastAsia" w:ascii="宋体" w:hAnsi="宋体"/>
          <w:szCs w:val="21"/>
        </w:rPr>
        <w: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Start w:id="164" w:name="_Toc297048347"/>
      <w:bookmarkStart w:id="165" w:name="_Toc297123494"/>
      <w:bookmarkStart w:id="166" w:name="_Toc296346662"/>
      <w:bookmarkStart w:id="167" w:name="_Toc297216153"/>
      <w:bookmarkStart w:id="168" w:name="_Toc296503161"/>
      <w:bookmarkStart w:id="169" w:name="_Toc296891201"/>
      <w:bookmarkStart w:id="170" w:name="_Toc304295525"/>
      <w:bookmarkStart w:id="171" w:name="_Toc296944500"/>
      <w:bookmarkStart w:id="172" w:name="_Toc300934947"/>
      <w:bookmarkStart w:id="173" w:name="_Toc296890989"/>
      <w:bookmarkStart w:id="174" w:name="_Toc297120461"/>
      <w:bookmarkStart w:id="175" w:name="_Toc296347160"/>
      <w:bookmarkStart w:id="176" w:name="_Toc303539104"/>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14:paraId="5FF3F2DA">
      <w:pPr>
        <w:spacing w:before="120" w:line="360" w:lineRule="auto"/>
        <w:rPr>
          <w:rFonts w:hint="eastAsia" w:ascii="宋体" w:hAnsi="宋体"/>
          <w:szCs w:val="21"/>
        </w:rPr>
      </w:pPr>
      <w:r>
        <w:rPr>
          <w:rFonts w:hint="eastAsia" w:ascii="宋体" w:hAnsi="宋体"/>
          <w:szCs w:val="21"/>
        </w:rPr>
        <w:t xml:space="preserve">    3</w:t>
      </w:r>
      <w:bookmarkStart w:id="177" w:name="_Toc318581159"/>
      <w:bookmarkStart w:id="178" w:name="_Toc312677990"/>
      <w:r>
        <w:rPr>
          <w:rFonts w:hint="eastAsia" w:ascii="宋体" w:hAnsi="宋体"/>
          <w:szCs w:val="21"/>
        </w:rPr>
        <w:t>.5.2分包的确定</w:t>
      </w:r>
    </w:p>
    <w:p w14:paraId="3E17E510">
      <w:pPr>
        <w:spacing w:before="120" w:line="360" w:lineRule="auto"/>
        <w:ind w:firstLine="420" w:firstLineChars="200"/>
        <w:rPr>
          <w:rFonts w:hint="eastAsia" w:ascii="宋体" w:hAnsi="宋体"/>
          <w:szCs w:val="21"/>
          <w:u w:val="single"/>
        </w:rPr>
      </w:pPr>
      <w:r>
        <w:rPr>
          <w:rFonts w:hint="eastAsia" w:ascii="宋体" w:hAnsi="宋体"/>
          <w:szCs w:val="21"/>
        </w:rPr>
        <w:t>允许分包的专业工程包括：</w:t>
      </w:r>
      <w:r>
        <w:rPr>
          <w:rFonts w:hint="eastAsia" w:ascii="宋体" w:hAnsi="宋体"/>
          <w:szCs w:val="21"/>
          <w:u w:val="single"/>
        </w:rPr>
        <w:t xml:space="preserve">/      </w:t>
      </w:r>
      <w:r>
        <w:rPr>
          <w:rFonts w:hint="eastAsia" w:ascii="宋体" w:hAnsi="宋体"/>
          <w:szCs w:val="21"/>
        </w:rPr>
        <w:t>。</w:t>
      </w:r>
    </w:p>
    <w:p w14:paraId="2D17DDD0">
      <w:pPr>
        <w:spacing w:before="120" w:line="360" w:lineRule="auto"/>
        <w:ind w:firstLine="420" w:firstLineChars="200"/>
        <w:rPr>
          <w:rFonts w:hint="eastAsia" w:ascii="宋体" w:hAnsi="宋体"/>
          <w:szCs w:val="21"/>
        </w:rPr>
      </w:pPr>
      <w:r>
        <w:rPr>
          <w:rFonts w:hint="eastAsia" w:ascii="宋体" w:hAnsi="宋体"/>
          <w:szCs w:val="21"/>
        </w:rPr>
        <w:t>其他关于分包的约定：</w:t>
      </w:r>
      <w:r>
        <w:rPr>
          <w:rFonts w:hint="eastAsia" w:ascii="宋体" w:hAnsi="宋体"/>
          <w:szCs w:val="21"/>
          <w:u w:val="single"/>
        </w:rPr>
        <w:t xml:space="preserve">   /     </w:t>
      </w:r>
      <w:r>
        <w:rPr>
          <w:rFonts w:hint="eastAsia" w:ascii="宋体" w:hAnsi="宋体"/>
          <w:szCs w:val="21"/>
        </w:rPr>
        <w:t>。</w:t>
      </w:r>
    </w:p>
    <w:p w14:paraId="5D294B6B">
      <w:pPr>
        <w:spacing w:before="120" w:line="360" w:lineRule="auto"/>
        <w:ind w:firstLine="420" w:firstLineChars="200"/>
        <w:rPr>
          <w:rFonts w:hint="eastAsia" w:ascii="宋体" w:hAnsi="宋体"/>
          <w:szCs w:val="21"/>
        </w:rPr>
      </w:pPr>
      <w:r>
        <w:rPr>
          <w:rFonts w:hint="eastAsia" w:ascii="宋体" w:hAnsi="宋体"/>
          <w:szCs w:val="21"/>
        </w:rPr>
        <w:t>3.5.4 分包合同价款</w:t>
      </w:r>
    </w:p>
    <w:p w14:paraId="62C452C7">
      <w:pPr>
        <w:spacing w:before="120" w:line="360" w:lineRule="auto"/>
        <w:ind w:firstLine="420" w:firstLineChars="200"/>
        <w:rPr>
          <w:rFonts w:hint="eastAsia" w:ascii="宋体" w:hAnsi="宋体"/>
          <w:szCs w:val="21"/>
        </w:rPr>
      </w:pPr>
      <w:r>
        <w:rPr>
          <w:rFonts w:hint="eastAsia" w:ascii="宋体" w:hAnsi="宋体"/>
          <w:szCs w:val="21"/>
        </w:rPr>
        <w:t>关于分包合同价款支付的约定：</w:t>
      </w:r>
      <w:r>
        <w:rPr>
          <w:rFonts w:hint="eastAsia" w:ascii="宋体" w:hAnsi="宋体"/>
          <w:szCs w:val="21"/>
          <w:u w:val="single"/>
        </w:rPr>
        <w:t xml:space="preserve"> /      </w:t>
      </w:r>
      <w:r>
        <w:rPr>
          <w:rFonts w:hint="eastAsia" w:ascii="宋体" w:hAnsi="宋体"/>
          <w:szCs w:val="21"/>
        </w:rPr>
        <w:t>。</w:t>
      </w:r>
    </w:p>
    <w:bookmarkEnd w:id="177"/>
    <w:bookmarkEnd w:id="178"/>
    <w:p w14:paraId="3BCCB19D">
      <w:pPr>
        <w:spacing w:before="120" w:after="120" w:line="360" w:lineRule="auto"/>
        <w:ind w:firstLine="420" w:firstLineChars="200"/>
        <w:rPr>
          <w:rFonts w:hint="eastAsia" w:ascii="宋体" w:hAnsi="宋体"/>
          <w:szCs w:val="21"/>
        </w:rPr>
      </w:pPr>
      <w:r>
        <w:rPr>
          <w:rFonts w:hint="eastAsia" w:ascii="宋体" w:hAnsi="宋体"/>
          <w:szCs w:val="21"/>
        </w:rPr>
        <w:t>3.6 工程照管与成品、半成品保护</w:t>
      </w:r>
    </w:p>
    <w:p w14:paraId="04C68C8A">
      <w:pPr>
        <w:spacing w:before="120" w:after="120" w:line="360" w:lineRule="auto"/>
        <w:ind w:firstLine="420" w:firstLineChars="200"/>
        <w:rPr>
          <w:rFonts w:hint="eastAsia" w:ascii="宋体" w:hAnsi="宋体"/>
          <w:kern w:val="0"/>
          <w:szCs w:val="21"/>
          <w:u w:val="single"/>
        </w:rPr>
      </w:pPr>
      <w:r>
        <w:rPr>
          <w:rFonts w:hint="eastAsia" w:ascii="宋体" w:hAnsi="宋体"/>
          <w:kern w:val="0"/>
          <w:szCs w:val="21"/>
        </w:rPr>
        <w:t>承包人负责照管工程及工程相关的材料、工程设备的起始时间：</w:t>
      </w:r>
      <w:r>
        <w:rPr>
          <w:rFonts w:hint="eastAsia" w:ascii="宋体" w:hAnsi="宋体"/>
          <w:kern w:val="0"/>
          <w:szCs w:val="21"/>
          <w:u w:val="single"/>
        </w:rPr>
        <w:t xml:space="preserve">   </w:t>
      </w:r>
      <w:r>
        <w:rPr>
          <w:rFonts w:hint="eastAsia" w:ascii="宋体" w:hAnsi="宋体"/>
          <w:szCs w:val="21"/>
          <w:u w:val="single"/>
        </w:rPr>
        <w:t>按照通用条款执行</w:t>
      </w:r>
      <w:r>
        <w:rPr>
          <w:rFonts w:hint="eastAsia" w:ascii="宋体" w:hAnsi="宋体"/>
          <w:kern w:val="0"/>
          <w:szCs w:val="21"/>
          <w:u w:val="single"/>
        </w:rPr>
        <w:t xml:space="preserve">   </w:t>
      </w:r>
      <w:r>
        <w:rPr>
          <w:rFonts w:hint="eastAsia" w:ascii="宋体" w:hAnsi="宋体"/>
          <w:kern w:val="0"/>
          <w:szCs w:val="21"/>
        </w:rPr>
        <w:t>。</w:t>
      </w:r>
    </w:p>
    <w:p w14:paraId="5098D1AC">
      <w:pPr>
        <w:spacing w:before="120" w:after="120" w:line="360" w:lineRule="auto"/>
        <w:ind w:firstLine="420" w:firstLineChars="200"/>
        <w:rPr>
          <w:rFonts w:hint="eastAsia" w:ascii="宋体" w:hAnsi="宋体"/>
          <w:szCs w:val="21"/>
        </w:rPr>
      </w:pPr>
      <w:r>
        <w:rPr>
          <w:rFonts w:hint="eastAsia" w:ascii="宋体" w:hAnsi="宋体"/>
          <w:szCs w:val="21"/>
        </w:rPr>
        <w:t>3.7 履约担保</w:t>
      </w:r>
    </w:p>
    <w:p w14:paraId="5ADC4918">
      <w:pPr>
        <w:spacing w:before="120" w:line="360" w:lineRule="auto"/>
        <w:ind w:firstLine="420" w:firstLineChars="200"/>
        <w:jc w:val="left"/>
        <w:rPr>
          <w:rFonts w:hint="eastAsia" w:ascii="宋体" w:hAnsi="宋体"/>
          <w:szCs w:val="21"/>
        </w:rPr>
      </w:pPr>
      <w:r>
        <w:rPr>
          <w:rFonts w:hint="eastAsia" w:ascii="宋体" w:hAnsi="宋体"/>
          <w:szCs w:val="21"/>
        </w:rPr>
        <w:t>承包人是否提供履约担保：</w:t>
      </w:r>
      <w:r>
        <w:rPr>
          <w:rFonts w:hint="eastAsia" w:ascii="宋体" w:hAnsi="宋体"/>
          <w:szCs w:val="21"/>
          <w:u w:val="single"/>
        </w:rPr>
        <w:t xml:space="preserve">    否     </w:t>
      </w:r>
      <w:r>
        <w:rPr>
          <w:rFonts w:hint="eastAsia" w:ascii="宋体" w:hAnsi="宋体"/>
          <w:szCs w:val="21"/>
        </w:rPr>
        <w:t>。</w:t>
      </w:r>
    </w:p>
    <w:p w14:paraId="31B1B192">
      <w:pPr>
        <w:spacing w:before="120" w:line="360" w:lineRule="auto"/>
        <w:ind w:firstLine="420" w:firstLineChars="200"/>
        <w:jc w:val="left"/>
        <w:rPr>
          <w:rFonts w:hint="eastAsia" w:ascii="宋体" w:hAnsi="宋体"/>
          <w:szCs w:val="21"/>
        </w:rPr>
      </w:pPr>
      <w:r>
        <w:rPr>
          <w:rFonts w:hint="eastAsia" w:ascii="宋体" w:hAnsi="宋体"/>
          <w:szCs w:val="21"/>
        </w:rPr>
        <w:t>承包人提供履约担保的形式、金额及期限的：</w:t>
      </w:r>
      <w:r>
        <w:rPr>
          <w:rFonts w:hint="eastAsia" w:ascii="宋体" w:hAnsi="宋体"/>
          <w:szCs w:val="21"/>
          <w:u w:val="single"/>
        </w:rPr>
        <w:t>承包人应在合同签订前向发包人提供履约担保，履约担保金额为签约合同价款的3%，履约担保有效期的截止时间为本合同约定的工程竣工验收合格之日后180天。履约担保形式采取：银行业金融机构保函。如承包人未按时足额提供履约担保，发包人有权单方面解除承包人中标资格，并由承包人承担相应经济赔偿损失。其他按通用条款执行。</w:t>
      </w:r>
    </w:p>
    <w:p w14:paraId="4D5DE63B">
      <w:pPr>
        <w:pStyle w:val="5"/>
        <w:spacing w:before="120" w:after="120" w:line="360" w:lineRule="auto"/>
        <w:rPr>
          <w:rFonts w:hint="eastAsia" w:ascii="宋体" w:hAnsi="宋体" w:eastAsia="宋体"/>
          <w:b w:val="0"/>
          <w:sz w:val="21"/>
          <w:szCs w:val="21"/>
        </w:rPr>
      </w:pPr>
      <w:bookmarkStart w:id="179" w:name="_Toc351203636"/>
      <w:r>
        <w:rPr>
          <w:rFonts w:hint="eastAsia" w:ascii="宋体" w:hAnsi="宋体" w:eastAsia="宋体"/>
          <w:b w:val="0"/>
          <w:sz w:val="21"/>
          <w:szCs w:val="21"/>
        </w:rPr>
        <w:t>4</w:t>
      </w:r>
      <w:bookmarkStart w:id="180" w:name="_Toc296890990"/>
      <w:bookmarkStart w:id="181" w:name="_Toc297120462"/>
      <w:bookmarkStart w:id="182" w:name="_Toc296891202"/>
      <w:bookmarkStart w:id="183" w:name="_Toc297048348"/>
      <w:bookmarkStart w:id="184" w:name="_Toc267251413"/>
      <w:bookmarkStart w:id="185" w:name="_Toc296346663"/>
      <w:bookmarkStart w:id="186" w:name="_Toc296944501"/>
      <w:bookmarkStart w:id="187" w:name="_Toc296503162"/>
      <w:bookmarkStart w:id="188" w:name="_Toc296347161"/>
      <w:bookmarkStart w:id="189" w:name="_Toc292559871"/>
      <w:bookmarkStart w:id="190" w:name="_Toc292559366"/>
      <w:r>
        <w:rPr>
          <w:rFonts w:hint="eastAsia" w:ascii="宋体" w:hAnsi="宋体" w:eastAsia="宋体"/>
          <w:b w:val="0"/>
          <w:sz w:val="21"/>
          <w:szCs w:val="21"/>
        </w:rPr>
        <w:t>. 监</w:t>
      </w:r>
      <w:bookmarkEnd w:id="180"/>
      <w:bookmarkEnd w:id="181"/>
      <w:bookmarkEnd w:id="182"/>
      <w:bookmarkEnd w:id="183"/>
      <w:bookmarkEnd w:id="184"/>
      <w:bookmarkEnd w:id="185"/>
      <w:bookmarkEnd w:id="186"/>
      <w:bookmarkEnd w:id="187"/>
      <w:bookmarkEnd w:id="188"/>
      <w:bookmarkEnd w:id="189"/>
      <w:bookmarkEnd w:id="190"/>
      <w:r>
        <w:rPr>
          <w:rFonts w:hint="eastAsia" w:ascii="宋体" w:hAnsi="宋体" w:eastAsia="宋体"/>
          <w:b w:val="0"/>
          <w:sz w:val="21"/>
          <w:szCs w:val="21"/>
        </w:rPr>
        <w:t>理人</w:t>
      </w:r>
      <w:bookmarkEnd w:id="179"/>
    </w:p>
    <w:p w14:paraId="1DC2DECF">
      <w:pPr>
        <w:spacing w:before="120" w:after="120" w:line="360" w:lineRule="auto"/>
        <w:ind w:firstLine="420" w:firstLineChars="200"/>
        <w:rPr>
          <w:rFonts w:hint="eastAsia" w:ascii="宋体" w:hAnsi="宋体"/>
          <w:szCs w:val="21"/>
        </w:rPr>
      </w:pPr>
      <w:r>
        <w:rPr>
          <w:rFonts w:hint="eastAsia" w:ascii="宋体" w:hAnsi="宋体"/>
          <w:szCs w:val="21"/>
        </w:rPr>
        <w:t>4.1监理人的一般规定</w:t>
      </w:r>
    </w:p>
    <w:p w14:paraId="1B433AED">
      <w:pPr>
        <w:spacing w:before="120" w:line="360" w:lineRule="auto"/>
        <w:ind w:firstLine="420" w:firstLineChars="200"/>
        <w:jc w:val="left"/>
        <w:rPr>
          <w:rFonts w:hint="eastAsia" w:ascii="宋体" w:hAnsi="宋体"/>
          <w:szCs w:val="21"/>
        </w:rPr>
      </w:pPr>
      <w:r>
        <w:rPr>
          <w:rFonts w:hint="eastAsia" w:ascii="宋体" w:hAnsi="宋体"/>
          <w:szCs w:val="21"/>
        </w:rPr>
        <w:t>关于监理人的监理内容：</w:t>
      </w:r>
      <w:r>
        <w:rPr>
          <w:rFonts w:hint="eastAsia" w:ascii="宋体" w:hAnsi="宋体"/>
          <w:szCs w:val="21"/>
          <w:u w:val="single"/>
        </w:rPr>
        <w:t xml:space="preserve">在监理合同约定的范围内，依照法律、法规及有关的技术标准、设计文件、工程承包合同，对承包人建设工程质量、建设工期和建设投资的控制等方面实施监督管理  </w:t>
      </w:r>
      <w:r>
        <w:rPr>
          <w:rFonts w:hint="eastAsia" w:ascii="宋体" w:hAnsi="宋体"/>
          <w:szCs w:val="21"/>
        </w:rPr>
        <w:t>。</w:t>
      </w:r>
    </w:p>
    <w:p w14:paraId="634733E0">
      <w:pPr>
        <w:spacing w:before="120" w:line="360" w:lineRule="auto"/>
        <w:ind w:firstLine="420" w:firstLineChars="200"/>
        <w:jc w:val="left"/>
        <w:rPr>
          <w:rFonts w:hint="eastAsia" w:ascii="宋体" w:hAnsi="宋体"/>
          <w:szCs w:val="21"/>
        </w:rPr>
      </w:pPr>
      <w:r>
        <w:rPr>
          <w:rFonts w:hint="eastAsia" w:ascii="宋体" w:hAnsi="宋体"/>
          <w:szCs w:val="21"/>
        </w:rPr>
        <w:t>关于监理人的监理权限：</w:t>
      </w:r>
      <w:r>
        <w:rPr>
          <w:rFonts w:hint="eastAsia" w:ascii="宋体" w:hAnsi="宋体"/>
          <w:szCs w:val="21"/>
          <w:u w:val="single"/>
        </w:rPr>
        <w:t xml:space="preserve">  工程质量、进度、造价、施工安全、处理索赔（不包括索赔申请终止审核权）、保修等施工阶段全过程监理权限，详见监理合同及实施细则  </w:t>
      </w:r>
      <w:r>
        <w:rPr>
          <w:rFonts w:hint="eastAsia" w:ascii="宋体" w:hAnsi="宋体"/>
          <w:szCs w:val="21"/>
        </w:rPr>
        <w:t xml:space="preserve">。 </w:t>
      </w:r>
    </w:p>
    <w:p w14:paraId="6649E29F">
      <w:pPr>
        <w:spacing w:before="120" w:line="360" w:lineRule="auto"/>
        <w:ind w:firstLine="420" w:firstLineChars="200"/>
        <w:rPr>
          <w:rFonts w:hint="eastAsia" w:ascii="宋体" w:hAnsi="宋体"/>
          <w:szCs w:val="21"/>
        </w:rPr>
      </w:pPr>
      <w:r>
        <w:rPr>
          <w:rFonts w:hint="eastAsia" w:ascii="宋体" w:hAnsi="宋体"/>
          <w:szCs w:val="21"/>
        </w:rPr>
        <w:t>关于监理人在施工现场的办公场所、生活场所的提供和费用承担的约定：</w:t>
      </w:r>
      <w:r>
        <w:rPr>
          <w:rFonts w:hint="eastAsia" w:ascii="宋体" w:hAnsi="宋体"/>
          <w:szCs w:val="21"/>
          <w:u w:val="single"/>
        </w:rPr>
        <w:t xml:space="preserve">  按照通用条款执行   </w:t>
      </w:r>
      <w:r>
        <w:rPr>
          <w:rFonts w:hint="eastAsia" w:ascii="宋体" w:hAnsi="宋体"/>
          <w:szCs w:val="21"/>
        </w:rPr>
        <w:t>。</w:t>
      </w:r>
    </w:p>
    <w:p w14:paraId="222B3BE0">
      <w:pPr>
        <w:spacing w:before="120" w:after="120" w:line="360" w:lineRule="auto"/>
        <w:ind w:firstLine="420" w:firstLineChars="200"/>
        <w:rPr>
          <w:rFonts w:hint="eastAsia" w:ascii="宋体" w:hAnsi="宋体"/>
          <w:szCs w:val="21"/>
        </w:rPr>
      </w:pPr>
      <w:r>
        <w:rPr>
          <w:rFonts w:hint="eastAsia" w:ascii="宋体" w:hAnsi="宋体"/>
          <w:szCs w:val="21"/>
        </w:rPr>
        <w:t>4.2 监理人员</w:t>
      </w:r>
    </w:p>
    <w:p w14:paraId="40DD72BE">
      <w:pPr>
        <w:spacing w:before="120" w:line="360" w:lineRule="auto"/>
        <w:ind w:firstLine="420" w:firstLineChars="200"/>
        <w:rPr>
          <w:rFonts w:hint="eastAsia" w:ascii="宋体" w:hAnsi="宋体"/>
          <w:szCs w:val="21"/>
        </w:rPr>
      </w:pPr>
      <w:r>
        <w:rPr>
          <w:rFonts w:hint="eastAsia" w:ascii="宋体" w:hAnsi="宋体"/>
          <w:szCs w:val="21"/>
        </w:rPr>
        <w:t>总监理工程师：</w:t>
      </w:r>
    </w:p>
    <w:p w14:paraId="49A2AA29">
      <w:pPr>
        <w:spacing w:before="120" w:line="360" w:lineRule="auto"/>
        <w:ind w:firstLine="420" w:firstLineChars="200"/>
        <w:rPr>
          <w:rFonts w:hint="eastAsia" w:ascii="宋体" w:hAnsi="宋体"/>
          <w:szCs w:val="21"/>
        </w:rPr>
      </w:pPr>
      <w:r>
        <w:rPr>
          <w:rFonts w:hint="eastAsia" w:ascii="宋体" w:hAnsi="宋体"/>
          <w:szCs w:val="21"/>
        </w:rPr>
        <w:t>姓    名：</w:t>
      </w:r>
      <w:r>
        <w:rPr>
          <w:rFonts w:hint="eastAsia" w:ascii="宋体" w:hAnsi="宋体"/>
          <w:szCs w:val="21"/>
          <w:u w:val="single"/>
        </w:rPr>
        <w:t>/   </w:t>
      </w:r>
      <w:r>
        <w:rPr>
          <w:rFonts w:hint="eastAsia" w:ascii="宋体" w:hAnsi="宋体"/>
          <w:szCs w:val="21"/>
        </w:rPr>
        <w:t>；</w:t>
      </w:r>
    </w:p>
    <w:p w14:paraId="59FA87DE">
      <w:pPr>
        <w:spacing w:before="120" w:line="360" w:lineRule="auto"/>
        <w:ind w:firstLine="420" w:firstLineChars="200"/>
        <w:rPr>
          <w:rFonts w:hint="eastAsia" w:ascii="宋体" w:hAnsi="宋体"/>
          <w:szCs w:val="21"/>
        </w:rPr>
      </w:pPr>
      <w:r>
        <w:rPr>
          <w:rFonts w:hint="eastAsia" w:ascii="宋体" w:hAnsi="宋体"/>
          <w:szCs w:val="21"/>
        </w:rPr>
        <w:t>职    务：</w:t>
      </w:r>
      <w:r>
        <w:rPr>
          <w:rFonts w:hint="eastAsia" w:ascii="宋体" w:hAnsi="宋体"/>
          <w:szCs w:val="21"/>
          <w:u w:val="single"/>
        </w:rPr>
        <w:t>/   </w:t>
      </w:r>
      <w:r>
        <w:rPr>
          <w:rFonts w:hint="eastAsia" w:ascii="宋体" w:hAnsi="宋体"/>
          <w:szCs w:val="21"/>
        </w:rPr>
        <w:t>；</w:t>
      </w:r>
    </w:p>
    <w:p w14:paraId="53BF2548">
      <w:pPr>
        <w:spacing w:before="120" w:line="360" w:lineRule="auto"/>
        <w:ind w:firstLine="420" w:firstLineChars="200"/>
        <w:rPr>
          <w:rFonts w:hint="eastAsia" w:ascii="宋体" w:hAnsi="宋体"/>
          <w:szCs w:val="21"/>
        </w:rPr>
      </w:pPr>
      <w:r>
        <w:rPr>
          <w:rFonts w:hint="eastAsia" w:ascii="宋体" w:hAnsi="宋体"/>
          <w:szCs w:val="21"/>
        </w:rPr>
        <w:t>监理工程师执业资格证书号：</w:t>
      </w:r>
      <w:r>
        <w:rPr>
          <w:rFonts w:hint="eastAsia" w:ascii="宋体" w:hAnsi="宋体"/>
          <w:szCs w:val="21"/>
          <w:u w:val="single"/>
        </w:rPr>
        <w:t>/ </w:t>
      </w:r>
      <w:r>
        <w:rPr>
          <w:rFonts w:hint="eastAsia" w:ascii="宋体" w:hAnsi="宋体"/>
          <w:szCs w:val="21"/>
        </w:rPr>
        <w:t>；</w:t>
      </w:r>
    </w:p>
    <w:p w14:paraId="5BDE7488">
      <w:pPr>
        <w:spacing w:before="120" w:line="360" w:lineRule="auto"/>
        <w:ind w:firstLine="420" w:firstLineChars="200"/>
        <w:rPr>
          <w:rFonts w:hint="eastAsia" w:ascii="宋体" w:hAnsi="宋体"/>
          <w:szCs w:val="21"/>
        </w:rPr>
      </w:pPr>
      <w:r>
        <w:rPr>
          <w:rFonts w:hint="eastAsia" w:ascii="宋体" w:hAnsi="宋体"/>
          <w:szCs w:val="21"/>
        </w:rPr>
        <w:t>联系电话：</w:t>
      </w:r>
      <w:r>
        <w:rPr>
          <w:rFonts w:hint="eastAsia" w:ascii="宋体" w:hAnsi="宋体"/>
          <w:szCs w:val="21"/>
          <w:u w:val="single"/>
        </w:rPr>
        <w:t>/   </w:t>
      </w:r>
      <w:r>
        <w:rPr>
          <w:rFonts w:hint="eastAsia" w:ascii="宋体" w:hAnsi="宋体"/>
          <w:szCs w:val="21"/>
        </w:rPr>
        <w:t>；</w:t>
      </w:r>
    </w:p>
    <w:p w14:paraId="0CB595FA">
      <w:pPr>
        <w:spacing w:before="120" w:line="360" w:lineRule="auto"/>
        <w:ind w:firstLine="420" w:firstLineChars="200"/>
        <w:rPr>
          <w:rFonts w:hint="eastAsia" w:ascii="宋体" w:hAnsi="宋体"/>
          <w:szCs w:val="21"/>
        </w:rPr>
      </w:pPr>
      <w:r>
        <w:rPr>
          <w:rFonts w:hint="eastAsia" w:ascii="宋体" w:hAnsi="宋体"/>
          <w:szCs w:val="21"/>
        </w:rPr>
        <w:t>电子信箱：</w:t>
      </w:r>
      <w:r>
        <w:rPr>
          <w:rFonts w:hint="eastAsia" w:ascii="宋体" w:hAnsi="宋体"/>
          <w:szCs w:val="21"/>
          <w:u w:val="single"/>
        </w:rPr>
        <w:t>/   </w:t>
      </w:r>
      <w:r>
        <w:rPr>
          <w:rFonts w:hint="eastAsia" w:ascii="宋体" w:hAnsi="宋体"/>
          <w:szCs w:val="21"/>
        </w:rPr>
        <w:t>；</w:t>
      </w:r>
    </w:p>
    <w:p w14:paraId="5A0847F1">
      <w:pPr>
        <w:spacing w:before="120" w:line="360" w:lineRule="auto"/>
        <w:ind w:firstLine="420" w:firstLineChars="200"/>
        <w:rPr>
          <w:rFonts w:hint="eastAsia" w:ascii="宋体" w:hAnsi="宋体"/>
          <w:szCs w:val="21"/>
        </w:rPr>
      </w:pPr>
      <w:r>
        <w:rPr>
          <w:rFonts w:hint="eastAsia" w:ascii="宋体" w:hAnsi="宋体"/>
          <w:szCs w:val="21"/>
        </w:rPr>
        <w:t>通信地址：</w:t>
      </w:r>
      <w:r>
        <w:rPr>
          <w:rFonts w:hint="eastAsia" w:ascii="宋体" w:hAnsi="宋体"/>
          <w:szCs w:val="21"/>
          <w:u w:val="single"/>
        </w:rPr>
        <w:t>/   </w:t>
      </w:r>
      <w:r>
        <w:rPr>
          <w:rFonts w:hint="eastAsia" w:ascii="宋体" w:hAnsi="宋体"/>
          <w:szCs w:val="21"/>
        </w:rPr>
        <w:t>；</w:t>
      </w:r>
    </w:p>
    <w:p w14:paraId="07B9CB51">
      <w:pPr>
        <w:spacing w:before="120" w:line="360" w:lineRule="auto"/>
        <w:ind w:firstLine="420" w:firstLineChars="200"/>
        <w:rPr>
          <w:rFonts w:hint="eastAsia" w:ascii="宋体" w:hAnsi="宋体"/>
          <w:szCs w:val="21"/>
        </w:rPr>
      </w:pPr>
      <w:r>
        <w:rPr>
          <w:rFonts w:hint="eastAsia" w:ascii="宋体" w:hAnsi="宋体"/>
          <w:szCs w:val="21"/>
        </w:rPr>
        <w:t>关于监理人的其他约定：</w:t>
      </w:r>
      <w:r>
        <w:rPr>
          <w:rFonts w:hint="eastAsia" w:ascii="宋体" w:hAnsi="宋体"/>
          <w:szCs w:val="21"/>
          <w:u w:val="single"/>
        </w:rPr>
        <w:t>/   </w:t>
      </w:r>
      <w:r>
        <w:rPr>
          <w:rFonts w:hint="eastAsia" w:ascii="宋体" w:hAnsi="宋体"/>
          <w:szCs w:val="21"/>
        </w:rPr>
        <w:t>。</w:t>
      </w:r>
    </w:p>
    <w:p w14:paraId="1D9D07E9">
      <w:pPr>
        <w:spacing w:before="120" w:after="120" w:line="360" w:lineRule="auto"/>
        <w:ind w:firstLine="420" w:firstLineChars="200"/>
        <w:rPr>
          <w:rFonts w:hint="eastAsia" w:ascii="宋体" w:hAnsi="宋体"/>
          <w:szCs w:val="21"/>
        </w:rPr>
      </w:pPr>
      <w:r>
        <w:rPr>
          <w:rFonts w:hint="eastAsia" w:ascii="宋体" w:hAnsi="宋体"/>
          <w:szCs w:val="21"/>
        </w:rPr>
        <w:t>4.4 商定或确定</w:t>
      </w:r>
    </w:p>
    <w:p w14:paraId="0324805D">
      <w:pPr>
        <w:spacing w:before="120" w:line="360" w:lineRule="auto"/>
        <w:ind w:firstLine="420" w:firstLineChars="200"/>
        <w:rPr>
          <w:rFonts w:hint="eastAsia" w:ascii="宋体" w:hAnsi="宋体"/>
          <w:szCs w:val="21"/>
        </w:rPr>
      </w:pPr>
      <w:bookmarkStart w:id="191" w:name="_Toc267251418"/>
      <w:r>
        <w:rPr>
          <w:rFonts w:hint="eastAsia" w:ascii="宋体" w:hAnsi="宋体"/>
          <w:szCs w:val="21"/>
        </w:rPr>
        <w:t>在发包人和承包人不能通过协商达成一致意见时，发包人授权监理人对以下事项进行确定：</w:t>
      </w:r>
    </w:p>
    <w:p w14:paraId="6CDF83A2">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（1）</w:t>
      </w:r>
      <w:r>
        <w:rPr>
          <w:rFonts w:hint="eastAsia" w:ascii="宋体" w:hAnsi="宋体"/>
          <w:szCs w:val="21"/>
          <w:u w:val="single"/>
        </w:rPr>
        <w:t xml:space="preserve"> </w:t>
      </w:r>
      <w:r>
        <w:rPr>
          <w:rFonts w:hint="eastAsia" w:ascii="宋体" w:hAnsi="宋体"/>
          <w:kern w:val="0"/>
          <w:szCs w:val="21"/>
          <w:u w:val="single"/>
        </w:rPr>
        <w:t>施工过程中对施工图纸不明确或需要变更时对发包人或设计单位的建议权</w:t>
      </w:r>
      <w:r>
        <w:rPr>
          <w:rFonts w:hint="eastAsia" w:ascii="宋体" w:hAnsi="宋体"/>
          <w:kern w:val="0"/>
          <w:szCs w:val="21"/>
        </w:rPr>
        <w:t>；</w:t>
      </w:r>
    </w:p>
    <w:p w14:paraId="07494327">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（2）</w:t>
      </w:r>
      <w:r>
        <w:rPr>
          <w:rFonts w:hint="eastAsia" w:ascii="宋体" w:hAnsi="宋体"/>
          <w:szCs w:val="21"/>
          <w:u w:val="single"/>
        </w:rPr>
        <w:t xml:space="preserve"> 对承包人的施工进度、质量、安全、造价等的监督权 </w:t>
      </w:r>
      <w:r>
        <w:rPr>
          <w:rFonts w:hint="eastAsia" w:ascii="宋体" w:hAnsi="宋体"/>
          <w:szCs w:val="21"/>
        </w:rPr>
        <w:t>；</w:t>
      </w:r>
    </w:p>
    <w:p w14:paraId="43D7678F">
      <w:pPr>
        <w:autoSpaceDE w:val="0"/>
        <w:autoSpaceDN w:val="0"/>
        <w:adjustRightInd w:val="0"/>
        <w:spacing w:before="120" w:line="360" w:lineRule="auto"/>
        <w:ind w:firstLine="420" w:firstLineChars="200"/>
        <w:jc w:val="left"/>
        <w:rPr>
          <w:rFonts w:hint="eastAsia" w:ascii="宋体" w:hAnsi="宋体"/>
          <w:szCs w:val="21"/>
        </w:rPr>
      </w:pPr>
      <w:r>
        <w:rPr>
          <w:rFonts w:hint="eastAsia" w:ascii="宋体" w:hAnsi="宋体"/>
          <w:kern w:val="0"/>
          <w:szCs w:val="21"/>
        </w:rPr>
        <w:t>（3）</w:t>
      </w:r>
      <w:r>
        <w:rPr>
          <w:rFonts w:hint="eastAsia" w:ascii="宋体" w:hAnsi="宋体"/>
          <w:szCs w:val="21"/>
          <w:u w:val="single"/>
        </w:rPr>
        <w:t xml:space="preserve"> 施工现场交叉作业，配合施工组织协调权  </w:t>
      </w:r>
      <w:r>
        <w:rPr>
          <w:rFonts w:hint="eastAsia" w:ascii="宋体" w:hAnsi="宋体"/>
          <w:szCs w:val="21"/>
        </w:rPr>
        <w:t>。</w:t>
      </w:r>
    </w:p>
    <w:p w14:paraId="69D7F109">
      <w:pPr>
        <w:pStyle w:val="91"/>
        <w:spacing w:before="120"/>
        <w:ind w:firstLine="441" w:firstLineChars="210"/>
        <w:rPr>
          <w:rFonts w:hint="eastAsia" w:ascii="宋体" w:hAnsi="宋体" w:cs="Times New Roman"/>
          <w:kern w:val="0"/>
          <w:szCs w:val="21"/>
        </w:rPr>
      </w:pPr>
      <w:r>
        <w:rPr>
          <w:rFonts w:hint="eastAsia" w:ascii="宋体" w:hAnsi="宋体" w:cs="Times New Roman"/>
          <w:kern w:val="0"/>
          <w:szCs w:val="21"/>
        </w:rPr>
        <w:t>（4）</w:t>
      </w:r>
      <w:r>
        <w:rPr>
          <w:rFonts w:hint="eastAsia" w:ascii="宋体" w:hAnsi="宋体" w:cs="Times New Roman"/>
          <w:kern w:val="0"/>
          <w:szCs w:val="21"/>
          <w:u w:val="single"/>
        </w:rPr>
        <w:t>发包人的其他授权。</w:t>
      </w:r>
    </w:p>
    <w:p w14:paraId="6664EE35">
      <w:pPr>
        <w:pStyle w:val="5"/>
        <w:spacing w:before="120" w:after="120" w:line="360" w:lineRule="auto"/>
        <w:rPr>
          <w:rFonts w:hint="eastAsia" w:ascii="宋体" w:hAnsi="宋体" w:eastAsia="宋体"/>
          <w:b w:val="0"/>
          <w:sz w:val="21"/>
          <w:szCs w:val="21"/>
        </w:rPr>
      </w:pPr>
      <w:bookmarkStart w:id="192" w:name="_Toc351203637"/>
      <w:r>
        <w:rPr>
          <w:rFonts w:hint="eastAsia" w:ascii="宋体" w:hAnsi="宋体" w:eastAsia="宋体"/>
          <w:b w:val="0"/>
          <w:sz w:val="21"/>
          <w:szCs w:val="21"/>
        </w:rPr>
        <w:t>5</w:t>
      </w:r>
      <w:bookmarkEnd w:id="191"/>
      <w:bookmarkStart w:id="193" w:name="_Toc292559872"/>
      <w:bookmarkStart w:id="194" w:name="_Toc297120463"/>
      <w:bookmarkStart w:id="195" w:name="_Toc296347162"/>
      <w:bookmarkStart w:id="196" w:name="_Toc296944502"/>
      <w:bookmarkStart w:id="197" w:name="_Toc297048349"/>
      <w:bookmarkStart w:id="198" w:name="_Toc296891203"/>
      <w:bookmarkStart w:id="199" w:name="_Toc292559367"/>
      <w:bookmarkStart w:id="200" w:name="_Toc296503163"/>
      <w:bookmarkStart w:id="201" w:name="_Toc296346664"/>
      <w:bookmarkStart w:id="202" w:name="_Toc296890991"/>
      <w:r>
        <w:rPr>
          <w:rFonts w:hint="eastAsia" w:ascii="宋体" w:hAnsi="宋体" w:eastAsia="宋体"/>
          <w:b w:val="0"/>
          <w:sz w:val="21"/>
          <w:szCs w:val="21"/>
        </w:rPr>
        <w:t>. 工程质量</w:t>
      </w:r>
      <w:bookmarkEnd w:id="192"/>
    </w:p>
    <w:p w14:paraId="21749719">
      <w:pPr>
        <w:spacing w:before="120" w:after="120" w:line="360" w:lineRule="auto"/>
        <w:ind w:firstLine="420" w:firstLineChars="200"/>
        <w:outlineLvl w:val="0"/>
        <w:rPr>
          <w:rFonts w:hint="eastAsia" w:ascii="宋体" w:hAnsi="宋体"/>
          <w:szCs w:val="21"/>
        </w:rPr>
      </w:pPr>
      <w:r>
        <w:rPr>
          <w:rFonts w:hint="eastAsia" w:ascii="宋体" w:hAnsi="宋体"/>
          <w:szCs w:val="21"/>
        </w:rPr>
        <w:t>5.1 质量要求</w:t>
      </w:r>
    </w:p>
    <w:p w14:paraId="7E777C11">
      <w:pPr>
        <w:spacing w:before="120" w:line="360" w:lineRule="auto"/>
        <w:ind w:firstLine="420" w:firstLineChars="200"/>
        <w:jc w:val="left"/>
        <w:rPr>
          <w:rFonts w:hint="eastAsia" w:ascii="宋体" w:hAnsi="宋体"/>
          <w:szCs w:val="21"/>
        </w:rPr>
      </w:pPr>
      <w:r>
        <w:rPr>
          <w:rFonts w:hint="eastAsia" w:ascii="宋体" w:hAnsi="宋体"/>
          <w:szCs w:val="21"/>
        </w:rPr>
        <w:t>质量标准和要求：</w:t>
      </w:r>
      <w:r>
        <w:rPr>
          <w:rFonts w:hint="eastAsia" w:ascii="宋体" w:hAnsi="宋体"/>
          <w:szCs w:val="21"/>
          <w:u w:val="single"/>
        </w:rPr>
        <w:t xml:space="preserve">  按照通用条款执行 </w:t>
      </w:r>
      <w:r>
        <w:rPr>
          <w:rFonts w:hint="eastAsia" w:ascii="宋体" w:hAnsi="宋体"/>
          <w:szCs w:val="21"/>
        </w:rPr>
        <w:t>。</w:t>
      </w:r>
    </w:p>
    <w:p w14:paraId="51E52B7C">
      <w:pPr>
        <w:spacing w:before="120" w:line="360" w:lineRule="auto"/>
        <w:ind w:firstLine="420" w:firstLineChars="200"/>
        <w:jc w:val="left"/>
        <w:rPr>
          <w:rFonts w:hint="eastAsia" w:ascii="宋体" w:hAnsi="宋体"/>
          <w:szCs w:val="21"/>
        </w:rPr>
      </w:pPr>
      <w:r>
        <w:rPr>
          <w:rFonts w:hint="eastAsia" w:ascii="宋体" w:hAnsi="宋体"/>
          <w:szCs w:val="21"/>
        </w:rPr>
        <w:t>5</w:t>
      </w:r>
      <w:bookmarkStart w:id="203" w:name="_Toc297123496"/>
      <w:bookmarkStart w:id="204" w:name="_Toc297216155"/>
      <w:bookmarkStart w:id="205" w:name="_Toc300934949"/>
      <w:bookmarkStart w:id="206" w:name="_Toc303539106"/>
      <w:bookmarkStart w:id="207" w:name="_Toc312677997"/>
      <w:bookmarkStart w:id="208" w:name="_Toc304295527"/>
      <w:bookmarkStart w:id="209" w:name="_Toc318581164"/>
      <w:r>
        <w:rPr>
          <w:rFonts w:hint="eastAsia" w:ascii="宋体" w:hAnsi="宋体"/>
          <w:szCs w:val="21"/>
        </w:rPr>
        <w:t>.1.1 特殊质量标准和要求：</w:t>
      </w:r>
      <w:r>
        <w:rPr>
          <w:rFonts w:hint="eastAsia" w:ascii="宋体" w:hAnsi="宋体"/>
          <w:szCs w:val="21"/>
          <w:u w:val="single"/>
        </w:rPr>
        <w:t xml:space="preserve"> 满足设计文件的要求 </w:t>
      </w:r>
      <w:r>
        <w:rPr>
          <w:rFonts w:hint="eastAsia" w:ascii="宋体" w:hAnsi="宋体"/>
          <w:szCs w:val="21"/>
        </w:rPr>
        <w:t>。</w:t>
      </w:r>
    </w:p>
    <w:p w14:paraId="6F7A6B11">
      <w:pPr>
        <w:spacing w:before="120" w:line="360" w:lineRule="auto"/>
        <w:ind w:firstLine="420" w:firstLineChars="200"/>
        <w:jc w:val="left"/>
        <w:rPr>
          <w:rFonts w:hint="eastAsia" w:ascii="宋体" w:hAnsi="宋体"/>
          <w:szCs w:val="21"/>
        </w:rPr>
      </w:pPr>
      <w:r>
        <w:rPr>
          <w:rFonts w:hint="eastAsia" w:ascii="宋体" w:hAnsi="宋体"/>
          <w:szCs w:val="21"/>
        </w:rPr>
        <w:t>关于工程奖项的约定：</w:t>
      </w:r>
      <w:r>
        <w:rPr>
          <w:rFonts w:hint="eastAsia" w:ascii="宋体" w:hAnsi="宋体"/>
          <w:szCs w:val="21"/>
          <w:u w:val="single"/>
        </w:rPr>
        <w:t xml:space="preserve">       /      </w:t>
      </w:r>
      <w:r>
        <w:rPr>
          <w:rFonts w:hint="eastAsia" w:ascii="宋体" w:hAnsi="宋体"/>
          <w:szCs w:val="21"/>
        </w:rPr>
        <w:t>。</w:t>
      </w:r>
    </w:p>
    <w:p w14:paraId="1B2D05F1">
      <w:pPr>
        <w:spacing w:before="120" w:after="120" w:line="360" w:lineRule="auto"/>
        <w:ind w:firstLine="420" w:firstLineChars="200"/>
        <w:outlineLvl w:val="0"/>
        <w:rPr>
          <w:rFonts w:hint="eastAsia" w:ascii="宋体" w:hAnsi="宋体"/>
          <w:szCs w:val="21"/>
        </w:rPr>
      </w:pPr>
      <w:r>
        <w:rPr>
          <w:rFonts w:hint="eastAsia" w:ascii="宋体" w:hAnsi="宋体"/>
          <w:szCs w:val="21"/>
        </w:rPr>
        <w:t>5.3 隐蔽工程检查</w:t>
      </w:r>
    </w:p>
    <w:p w14:paraId="43EF63CF">
      <w:pPr>
        <w:spacing w:before="120" w:line="360" w:lineRule="auto"/>
        <w:ind w:firstLine="420" w:firstLineChars="200"/>
        <w:jc w:val="left"/>
        <w:rPr>
          <w:rFonts w:hint="eastAsia" w:ascii="宋体" w:hAnsi="宋体"/>
          <w:szCs w:val="21"/>
        </w:rPr>
      </w:pPr>
      <w:r>
        <w:rPr>
          <w:rFonts w:hint="eastAsia" w:ascii="宋体" w:hAnsi="宋体"/>
          <w:szCs w:val="21"/>
        </w:rPr>
        <w:t>5.3.2承包人提前通知监理人隐蔽工程检查的期限的约定：</w:t>
      </w:r>
      <w:r>
        <w:rPr>
          <w:rFonts w:hint="eastAsia" w:ascii="宋体" w:hAnsi="宋体"/>
          <w:szCs w:val="21"/>
          <w:u w:val="single"/>
        </w:rPr>
        <w:t xml:space="preserve">  按照通用条款执行  </w:t>
      </w:r>
      <w:r>
        <w:rPr>
          <w:rFonts w:hint="eastAsia" w:ascii="宋体" w:hAnsi="宋体"/>
          <w:szCs w:val="21"/>
        </w:rPr>
        <w:t>。</w:t>
      </w:r>
    </w:p>
    <w:p w14:paraId="38688F42">
      <w:pPr>
        <w:spacing w:before="120" w:line="360" w:lineRule="auto"/>
        <w:ind w:firstLine="420" w:firstLineChars="200"/>
        <w:jc w:val="left"/>
        <w:rPr>
          <w:rFonts w:hint="eastAsia" w:ascii="宋体" w:hAnsi="宋体"/>
          <w:szCs w:val="21"/>
        </w:rPr>
      </w:pPr>
      <w:r>
        <w:rPr>
          <w:rFonts w:hint="eastAsia" w:ascii="宋体" w:hAnsi="宋体"/>
          <w:szCs w:val="21"/>
        </w:rPr>
        <w:t>监理人不能按时进行检查时，应提前</w:t>
      </w:r>
      <w:r>
        <w:rPr>
          <w:rFonts w:hint="eastAsia" w:ascii="宋体" w:hAnsi="宋体"/>
          <w:szCs w:val="21"/>
          <w:u w:val="single"/>
        </w:rPr>
        <w:t xml:space="preserve">   24   </w:t>
      </w:r>
      <w:r>
        <w:rPr>
          <w:rFonts w:hint="eastAsia" w:ascii="宋体" w:hAnsi="宋体"/>
          <w:szCs w:val="21"/>
        </w:rPr>
        <w:t>小时提交书面延期要求。</w:t>
      </w:r>
    </w:p>
    <w:p w14:paraId="228BD1E4">
      <w:pPr>
        <w:spacing w:before="120" w:line="360" w:lineRule="auto"/>
        <w:ind w:firstLine="420" w:firstLineChars="200"/>
        <w:jc w:val="left"/>
        <w:rPr>
          <w:rFonts w:hint="eastAsia" w:ascii="宋体" w:hAnsi="宋体"/>
          <w:szCs w:val="21"/>
        </w:rPr>
      </w:pPr>
      <w:r>
        <w:rPr>
          <w:rFonts w:hint="eastAsia" w:ascii="宋体" w:hAnsi="宋体"/>
          <w:szCs w:val="21"/>
        </w:rPr>
        <w:t>关于延期最长不得超过：</w:t>
      </w:r>
      <w:r>
        <w:rPr>
          <w:rFonts w:hint="eastAsia" w:ascii="宋体" w:hAnsi="宋体"/>
          <w:szCs w:val="21"/>
          <w:u w:val="single"/>
        </w:rPr>
        <w:t xml:space="preserve">  48  </w:t>
      </w:r>
      <w:r>
        <w:rPr>
          <w:rFonts w:hint="eastAsia" w:ascii="宋体" w:hAnsi="宋体"/>
          <w:szCs w:val="21"/>
        </w:rPr>
        <w:t>小时。</w:t>
      </w:r>
    </w:p>
    <w:p w14:paraId="5304B14D">
      <w:pPr>
        <w:pStyle w:val="5"/>
        <w:spacing w:before="120" w:after="120" w:line="360" w:lineRule="auto"/>
        <w:rPr>
          <w:rFonts w:hint="eastAsia" w:ascii="宋体" w:hAnsi="宋体" w:eastAsia="宋体"/>
          <w:b w:val="0"/>
          <w:sz w:val="21"/>
          <w:szCs w:val="21"/>
        </w:rPr>
      </w:pPr>
      <w:bookmarkStart w:id="210" w:name="_Toc351203638"/>
      <w:r>
        <w:rPr>
          <w:rFonts w:hint="eastAsia" w:ascii="宋体" w:hAnsi="宋体" w:eastAsia="宋体"/>
          <w:b w:val="0"/>
          <w:sz w:val="21"/>
          <w:szCs w:val="21"/>
        </w:rPr>
        <w:t>6. 安全文明施工与环境保护</w:t>
      </w:r>
      <w:bookmarkEnd w:id="210"/>
    </w:p>
    <w:p w14:paraId="0B45D513">
      <w:pPr>
        <w:spacing w:before="120" w:after="120" w:line="360" w:lineRule="auto"/>
        <w:ind w:firstLine="420" w:firstLineChars="200"/>
        <w:rPr>
          <w:rFonts w:hint="eastAsia" w:ascii="宋体" w:hAnsi="宋体"/>
          <w:szCs w:val="21"/>
        </w:rPr>
      </w:pPr>
      <w:r>
        <w:rPr>
          <w:rFonts w:hint="eastAsia" w:ascii="宋体" w:hAnsi="宋体"/>
          <w:szCs w:val="21"/>
        </w:rPr>
        <w:t>6.1安全文明施工</w:t>
      </w:r>
    </w:p>
    <w:p w14:paraId="2829A0F7">
      <w:pPr>
        <w:spacing w:before="120" w:line="360" w:lineRule="auto"/>
        <w:ind w:firstLine="420" w:firstLineChars="200"/>
        <w:jc w:val="left"/>
        <w:rPr>
          <w:rFonts w:hint="eastAsia" w:ascii="宋体" w:hAnsi="宋体"/>
          <w:szCs w:val="21"/>
          <w:u w:val="single"/>
        </w:rPr>
      </w:pPr>
      <w:r>
        <w:rPr>
          <w:rFonts w:hint="eastAsia" w:ascii="宋体" w:hAnsi="宋体"/>
          <w:szCs w:val="21"/>
        </w:rPr>
        <w:t>6.1.1 项目安全生产的达标目标及相应事项的约定：</w:t>
      </w:r>
      <w:r>
        <w:rPr>
          <w:rFonts w:hint="eastAsia" w:ascii="宋体" w:hAnsi="宋体"/>
          <w:szCs w:val="21"/>
          <w:u w:val="single"/>
        </w:rPr>
        <w:t>要求达到《建筑施工安全检查标准》（JGJ59-2011）及湖南省、湘潭市现行相关标准，不得出现任何安全责任事故。</w:t>
      </w:r>
    </w:p>
    <w:p w14:paraId="342A8AA4">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除履行通用条款规定的安全职责外，承包人还应履行：（1）承包人应采取有效措施保证所有在现场和周边的人员、车辆、设施、建筑安全。在确有必要的时间段和地方，承包人应提供照明、警卫、护栅、警告标志等安全保护措施。（2）在整个施工过程中对承包人采取的安全、保卫和环境保护措施，监理人和发包人有权监督，并向承包人提出整改要求。承包人对其负责的上述事项、施工及缺陷期全过程而导致或发生与此有关的人身伤亡、财产损失、罚款、索赔、诉讼费用及其他一切责任应由承包人负责。（3）发生重大伤亡及其他安全事故，承包人应按有关规定立即上报有关部门并通知监理人，同时按政府有关部门要求处理，由承包人承担由此发生的一切费用。有事故责任方的，承包人在承担费用之后，可以向事故责任方索赔，但不影响承包人先行承担一切费用。（4）承包人应对专业承包商（含业主另发包的专业工程）的安全生产承担连带责</w:t>
      </w:r>
    </w:p>
    <w:p w14:paraId="35F404AC">
      <w:pPr>
        <w:spacing w:before="120" w:line="360" w:lineRule="auto"/>
        <w:ind w:firstLine="420" w:firstLineChars="200"/>
        <w:jc w:val="left"/>
        <w:rPr>
          <w:rFonts w:hint="eastAsia" w:ascii="宋体" w:hAnsi="宋体"/>
          <w:szCs w:val="21"/>
        </w:rPr>
      </w:pPr>
      <w:r>
        <w:rPr>
          <w:rFonts w:hint="eastAsia" w:ascii="宋体" w:hAnsi="宋体"/>
          <w:szCs w:val="21"/>
        </w:rPr>
        <w:t>6.1.4 关于治安保卫的特别约定：</w:t>
      </w:r>
      <w:r>
        <w:rPr>
          <w:rFonts w:hint="eastAsia" w:ascii="宋体" w:hAnsi="宋体"/>
          <w:szCs w:val="21"/>
          <w:u w:val="single"/>
        </w:rPr>
        <w:t xml:space="preserve"> 按照通用条款执行。</w:t>
      </w:r>
    </w:p>
    <w:p w14:paraId="12FEF1AA">
      <w:pPr>
        <w:spacing w:before="120" w:line="360" w:lineRule="auto"/>
        <w:ind w:firstLine="420" w:firstLineChars="200"/>
        <w:jc w:val="left"/>
        <w:rPr>
          <w:rFonts w:hint="eastAsia" w:ascii="宋体" w:hAnsi="宋体"/>
          <w:szCs w:val="21"/>
        </w:rPr>
      </w:pPr>
      <w:r>
        <w:rPr>
          <w:rFonts w:hint="eastAsia" w:ascii="宋体" w:hAnsi="宋体"/>
          <w:szCs w:val="21"/>
        </w:rPr>
        <w:t>关于编制施工场地治安管理计划的约定：</w:t>
      </w:r>
      <w:r>
        <w:rPr>
          <w:rFonts w:hint="eastAsia" w:ascii="宋体" w:hAnsi="宋体"/>
          <w:szCs w:val="21"/>
          <w:u w:val="single"/>
        </w:rPr>
        <w:t xml:space="preserve">  承包人至迟在开工前3天向发包人和监理人提供施工场地治安管理计划。</w:t>
      </w:r>
    </w:p>
    <w:p w14:paraId="04C7BB35">
      <w:pPr>
        <w:spacing w:before="120" w:line="360" w:lineRule="auto"/>
        <w:ind w:firstLine="420" w:firstLineChars="200"/>
        <w:jc w:val="left"/>
        <w:rPr>
          <w:rFonts w:hint="eastAsia" w:ascii="宋体" w:hAnsi="宋体"/>
          <w:szCs w:val="21"/>
        </w:rPr>
      </w:pPr>
      <w:r>
        <w:rPr>
          <w:rFonts w:hint="eastAsia" w:ascii="宋体" w:hAnsi="宋体"/>
          <w:szCs w:val="21"/>
        </w:rPr>
        <w:t>6.1.5 文明施工</w:t>
      </w:r>
    </w:p>
    <w:p w14:paraId="01BDD396">
      <w:pPr>
        <w:spacing w:before="120" w:line="360" w:lineRule="auto"/>
        <w:ind w:firstLine="420" w:firstLineChars="200"/>
        <w:jc w:val="left"/>
        <w:rPr>
          <w:rFonts w:hint="eastAsia" w:ascii="宋体" w:hAnsi="宋体"/>
          <w:szCs w:val="21"/>
          <w:u w:val="single"/>
        </w:rPr>
      </w:pPr>
      <w:r>
        <w:rPr>
          <w:rFonts w:hint="eastAsia" w:ascii="宋体" w:hAnsi="宋体"/>
          <w:szCs w:val="21"/>
        </w:rPr>
        <w:t>合同当事人对文明施工的要求：</w:t>
      </w:r>
      <w:r>
        <w:rPr>
          <w:rFonts w:hint="eastAsia" w:ascii="宋体" w:hAnsi="宋体"/>
          <w:szCs w:val="21"/>
          <w:u w:val="single"/>
        </w:rPr>
        <w:t>达到《建筑工程施工现场环境与卫生标准》（JGJ146-2013）和湖南省、湘潭市现行相关标准。若文明不达标，承包人向发包人交纳1万元违约金；竣工验收后10天内，做到料净场清，若因承包人原因，未在规定时间内完成上述工作，则发包人有权自行安排清理，产生的费用从承包人工程款中扣除。</w:t>
      </w:r>
    </w:p>
    <w:p w14:paraId="4E42A07A">
      <w:pPr>
        <w:pStyle w:val="15"/>
        <w:spacing w:before="120" w:line="360" w:lineRule="auto"/>
        <w:ind w:firstLine="420" w:firstLineChars="200"/>
        <w:rPr>
          <w:rFonts w:hint="eastAsia" w:ascii="宋体" w:hAnsi="宋体"/>
          <w:szCs w:val="21"/>
        </w:rPr>
      </w:pPr>
      <w:r>
        <w:rPr>
          <w:rFonts w:hint="eastAsia" w:ascii="宋体" w:hAnsi="宋体"/>
          <w:szCs w:val="21"/>
        </w:rPr>
        <w:t>6.1.6 关于安全文明施工费支付比例和支付期限的约定：</w:t>
      </w:r>
      <w:r>
        <w:rPr>
          <w:rFonts w:hint="eastAsia" w:ascii="宋体" w:hAnsi="宋体"/>
          <w:szCs w:val="21"/>
          <w:u w:val="single"/>
        </w:rPr>
        <w:t>安全文明施工费已包含在合同价款中，按《湖南省住房和城乡建设厅关于进一步加强我省建筑工程安全防护、文明施工措施费用使用管理的通知》（湘建建〔2022〕227号）第三条执行。</w:t>
      </w:r>
    </w:p>
    <w:bookmarkEnd w:id="203"/>
    <w:bookmarkEnd w:id="204"/>
    <w:bookmarkEnd w:id="205"/>
    <w:bookmarkEnd w:id="206"/>
    <w:bookmarkEnd w:id="207"/>
    <w:bookmarkEnd w:id="208"/>
    <w:bookmarkEnd w:id="209"/>
    <w:p w14:paraId="5C8966A7">
      <w:pPr>
        <w:pStyle w:val="5"/>
        <w:spacing w:before="120" w:after="120" w:line="360" w:lineRule="auto"/>
        <w:rPr>
          <w:rFonts w:hint="eastAsia" w:ascii="宋体" w:hAnsi="宋体" w:eastAsia="宋体"/>
          <w:b w:val="0"/>
          <w:sz w:val="21"/>
          <w:szCs w:val="21"/>
        </w:rPr>
      </w:pPr>
      <w:bookmarkStart w:id="211" w:name="_Toc351203639"/>
      <w:r>
        <w:rPr>
          <w:rFonts w:hint="eastAsia" w:ascii="宋体" w:hAnsi="宋体" w:eastAsia="宋体"/>
          <w:b w:val="0"/>
          <w:sz w:val="21"/>
          <w:szCs w:val="21"/>
        </w:rPr>
        <w:t>7. 工期和进度</w:t>
      </w:r>
      <w:bookmarkEnd w:id="211"/>
    </w:p>
    <w:p w14:paraId="22E7B25A">
      <w:pPr>
        <w:spacing w:before="120" w:after="120" w:line="360" w:lineRule="auto"/>
        <w:ind w:firstLine="420" w:firstLineChars="200"/>
        <w:rPr>
          <w:rFonts w:hint="eastAsia" w:ascii="宋体" w:hAnsi="宋体"/>
          <w:szCs w:val="21"/>
        </w:rPr>
      </w:pPr>
      <w:r>
        <w:rPr>
          <w:rFonts w:hint="eastAsia" w:ascii="宋体" w:hAnsi="宋体"/>
          <w:szCs w:val="21"/>
        </w:rPr>
        <w:t>7.1 施工组织设计</w:t>
      </w:r>
    </w:p>
    <w:p w14:paraId="75DC8BE6">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szCs w:val="21"/>
        </w:rPr>
        <w:t>7.1.1 合</w:t>
      </w:r>
      <w:r>
        <w:rPr>
          <w:rFonts w:hint="eastAsia" w:ascii="宋体" w:hAnsi="宋体"/>
          <w:kern w:val="0"/>
          <w:szCs w:val="21"/>
        </w:rPr>
        <w:t>同当事人约定的施工组织设计应包括的其他内容：</w:t>
      </w:r>
      <w:r>
        <w:rPr>
          <w:rFonts w:hint="eastAsia" w:ascii="宋体" w:hAnsi="宋体"/>
          <w:szCs w:val="21"/>
          <w:u w:val="single"/>
        </w:rPr>
        <w:t xml:space="preserve"> 对于危险性较大的分部分项工程，承包人在施工组织设计中应根据《危险性较大的分部分项工程安全管理规定》等相关规定，编制危险性较大的分部分项工程的专项施工方案，对于超过一定规模的危险性较大的分部分项工程，承包人还应组织专家对此专项方案进行论证评审，并承担相应费用</w:t>
      </w:r>
      <w:r>
        <w:rPr>
          <w:rFonts w:hint="eastAsia" w:ascii="宋体" w:hAnsi="宋体"/>
          <w:szCs w:val="21"/>
        </w:rPr>
        <w:t>。</w:t>
      </w:r>
    </w:p>
    <w:p w14:paraId="7B213E56">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szCs w:val="21"/>
        </w:rPr>
        <w:t xml:space="preserve">7.1.2 </w:t>
      </w:r>
      <w:r>
        <w:rPr>
          <w:rFonts w:hint="eastAsia" w:ascii="宋体" w:hAnsi="宋体"/>
          <w:kern w:val="0"/>
          <w:szCs w:val="21"/>
        </w:rPr>
        <w:t>施工组织设计的提交和修改</w:t>
      </w:r>
    </w:p>
    <w:p w14:paraId="3C201838">
      <w:pPr>
        <w:autoSpaceDE w:val="0"/>
        <w:autoSpaceDN w:val="0"/>
        <w:adjustRightInd w:val="0"/>
        <w:spacing w:before="120" w:line="360" w:lineRule="auto"/>
        <w:ind w:firstLine="420" w:firstLineChars="200"/>
        <w:jc w:val="left"/>
        <w:rPr>
          <w:rFonts w:hint="eastAsia" w:ascii="宋体" w:hAnsi="宋体"/>
          <w:szCs w:val="21"/>
        </w:rPr>
      </w:pPr>
      <w:r>
        <w:rPr>
          <w:rFonts w:hint="eastAsia" w:ascii="宋体" w:hAnsi="宋体"/>
          <w:kern w:val="0"/>
          <w:szCs w:val="21"/>
        </w:rPr>
        <w:t>承包人提交详细施工组织设计的期限的约定：</w:t>
      </w:r>
      <w:r>
        <w:rPr>
          <w:rFonts w:hint="eastAsia" w:ascii="宋体" w:hAnsi="宋体"/>
          <w:szCs w:val="21"/>
          <w:u w:val="single"/>
        </w:rPr>
        <w:t xml:space="preserve">  至迟不得晚于单位工程或单项工程开工前7天，承包人向发包人提供施工组织设计书，经发包人和监理人批准后实施，并在当月20日前提供次月施工进度计划表</w:t>
      </w:r>
      <w:r>
        <w:rPr>
          <w:rFonts w:hint="eastAsia" w:ascii="宋体" w:hAnsi="宋体"/>
          <w:szCs w:val="21"/>
        </w:rPr>
        <w:t>。</w:t>
      </w:r>
    </w:p>
    <w:p w14:paraId="0211F167">
      <w:pPr>
        <w:spacing w:before="120" w:line="360" w:lineRule="auto"/>
        <w:ind w:firstLine="420" w:firstLineChars="200"/>
        <w:jc w:val="left"/>
        <w:rPr>
          <w:rFonts w:hint="eastAsia" w:ascii="宋体" w:hAnsi="宋体"/>
          <w:szCs w:val="21"/>
        </w:rPr>
      </w:pPr>
      <w:r>
        <w:rPr>
          <w:rFonts w:hint="eastAsia" w:ascii="宋体" w:hAnsi="宋体"/>
          <w:szCs w:val="21"/>
        </w:rPr>
        <w:t>发包人和监理人在收到详细的施工组织设计后确认或提出修改意见的期限：</w:t>
      </w:r>
      <w:r>
        <w:rPr>
          <w:rFonts w:hint="eastAsia" w:ascii="宋体" w:hAnsi="宋体"/>
          <w:szCs w:val="21"/>
          <w:u w:val="single"/>
        </w:rPr>
        <w:t xml:space="preserve">  按照通用条款执行   </w:t>
      </w:r>
      <w:r>
        <w:rPr>
          <w:rFonts w:hint="eastAsia" w:ascii="宋体" w:hAnsi="宋体"/>
          <w:szCs w:val="21"/>
        </w:rPr>
        <w:t>。</w:t>
      </w:r>
    </w:p>
    <w:p w14:paraId="41491FFF">
      <w:pPr>
        <w:spacing w:before="120" w:after="120" w:line="360" w:lineRule="auto"/>
        <w:ind w:firstLine="420" w:firstLineChars="200"/>
        <w:rPr>
          <w:rFonts w:hint="eastAsia" w:ascii="宋体" w:hAnsi="宋体"/>
          <w:szCs w:val="21"/>
        </w:rPr>
      </w:pPr>
      <w:r>
        <w:rPr>
          <w:rFonts w:hint="eastAsia" w:ascii="宋体" w:hAnsi="宋体"/>
          <w:szCs w:val="21"/>
        </w:rPr>
        <w:t>7</w:t>
      </w:r>
      <w:bookmarkStart w:id="212" w:name="_Toc297216173"/>
      <w:bookmarkStart w:id="213" w:name="_Toc312678005"/>
      <w:bookmarkStart w:id="214" w:name="_Toc304295541"/>
      <w:bookmarkStart w:id="215" w:name="_Toc312677479"/>
      <w:bookmarkStart w:id="216" w:name="_Toc297123514"/>
      <w:bookmarkStart w:id="217" w:name="_Toc303539123"/>
      <w:bookmarkStart w:id="218" w:name="_Toc300934966"/>
      <w:r>
        <w:rPr>
          <w:rFonts w:hint="eastAsia" w:ascii="宋体" w:hAnsi="宋体"/>
          <w:szCs w:val="21"/>
        </w:rPr>
        <w:t>.2 施工进度计划</w:t>
      </w:r>
    </w:p>
    <w:p w14:paraId="3B0B3DE6">
      <w:pPr>
        <w:spacing w:before="120" w:line="360" w:lineRule="auto"/>
        <w:ind w:firstLine="420" w:firstLineChars="200"/>
        <w:jc w:val="left"/>
        <w:rPr>
          <w:rFonts w:hint="eastAsia" w:ascii="宋体" w:hAnsi="宋体"/>
          <w:szCs w:val="21"/>
        </w:rPr>
      </w:pPr>
      <w:r>
        <w:rPr>
          <w:rFonts w:hint="eastAsia" w:ascii="宋体" w:hAnsi="宋体"/>
          <w:szCs w:val="21"/>
        </w:rPr>
        <w:t>7.2.2 施工进度计划的修订</w:t>
      </w:r>
    </w:p>
    <w:p w14:paraId="39E9503D">
      <w:pPr>
        <w:spacing w:before="120" w:line="360" w:lineRule="auto"/>
        <w:ind w:firstLine="420" w:firstLineChars="200"/>
        <w:jc w:val="left"/>
        <w:rPr>
          <w:rFonts w:hint="eastAsia" w:ascii="宋体" w:hAnsi="宋体"/>
          <w:szCs w:val="21"/>
        </w:rPr>
      </w:pPr>
      <w:r>
        <w:rPr>
          <w:rFonts w:hint="eastAsia" w:ascii="宋体" w:hAnsi="宋体"/>
          <w:szCs w:val="21"/>
        </w:rPr>
        <w:t>发包人和监理人在收到修订的施工进度计划后确认或提出修改意见的期限：</w:t>
      </w:r>
      <w:r>
        <w:rPr>
          <w:rFonts w:hint="eastAsia" w:ascii="宋体" w:hAnsi="宋体"/>
          <w:szCs w:val="21"/>
          <w:u w:val="single"/>
        </w:rPr>
        <w:t xml:space="preserve">       按照通用条款执行         </w:t>
      </w:r>
      <w:r>
        <w:rPr>
          <w:rFonts w:hint="eastAsia" w:ascii="宋体" w:hAnsi="宋体"/>
          <w:szCs w:val="21"/>
        </w:rPr>
        <w:t>。</w:t>
      </w:r>
    </w:p>
    <w:p w14:paraId="5E45DE60">
      <w:pPr>
        <w:spacing w:before="120" w:after="120" w:line="360" w:lineRule="auto"/>
        <w:ind w:firstLine="420" w:firstLineChars="200"/>
        <w:rPr>
          <w:rFonts w:hint="eastAsia" w:ascii="宋体" w:hAnsi="宋体"/>
          <w:szCs w:val="21"/>
        </w:rPr>
      </w:pPr>
      <w:r>
        <w:rPr>
          <w:rFonts w:hint="eastAsia" w:ascii="宋体" w:hAnsi="宋体"/>
          <w:szCs w:val="21"/>
        </w:rPr>
        <w:t>7.3 开工</w:t>
      </w:r>
    </w:p>
    <w:p w14:paraId="0A77D3AB">
      <w:pPr>
        <w:spacing w:before="120" w:line="360" w:lineRule="auto"/>
        <w:ind w:firstLine="420" w:firstLineChars="200"/>
        <w:jc w:val="left"/>
        <w:rPr>
          <w:rFonts w:hint="eastAsia" w:ascii="宋体" w:hAnsi="宋体"/>
          <w:szCs w:val="21"/>
        </w:rPr>
      </w:pPr>
      <w:r>
        <w:rPr>
          <w:rFonts w:hint="eastAsia" w:ascii="宋体" w:hAnsi="宋体"/>
          <w:szCs w:val="21"/>
        </w:rPr>
        <w:t>7.3.1 开工准备</w:t>
      </w:r>
    </w:p>
    <w:p w14:paraId="435F3154">
      <w:pPr>
        <w:spacing w:before="120" w:line="360" w:lineRule="auto"/>
        <w:ind w:firstLine="210"/>
        <w:jc w:val="left"/>
        <w:rPr>
          <w:rFonts w:hint="eastAsia" w:ascii="宋体" w:hAnsi="宋体"/>
          <w:szCs w:val="21"/>
          <w:u w:val="single"/>
        </w:rPr>
      </w:pPr>
      <w:r>
        <w:rPr>
          <w:rFonts w:hint="eastAsia" w:ascii="宋体" w:hAnsi="宋体"/>
          <w:szCs w:val="21"/>
        </w:rPr>
        <w:t>关于承包人提交</w:t>
      </w:r>
      <w:r>
        <w:rPr>
          <w:rFonts w:hint="eastAsia" w:ascii="宋体" w:hAnsi="宋体"/>
          <w:kern w:val="0"/>
          <w:szCs w:val="21"/>
        </w:rPr>
        <w:t>工程开工报审表的期限：</w:t>
      </w:r>
      <w:r>
        <w:rPr>
          <w:rFonts w:hint="eastAsia" w:ascii="宋体" w:hAnsi="宋体"/>
          <w:szCs w:val="21"/>
          <w:u w:val="single"/>
        </w:rPr>
        <w:t>合同签订后14天内</w:t>
      </w:r>
      <w:r>
        <w:rPr>
          <w:rFonts w:hint="eastAsia" w:ascii="宋体" w:hAnsi="宋体"/>
          <w:szCs w:val="21"/>
        </w:rPr>
        <w:t>。</w:t>
      </w:r>
    </w:p>
    <w:p w14:paraId="0E440C11">
      <w:pPr>
        <w:spacing w:before="120" w:line="360" w:lineRule="auto"/>
        <w:ind w:firstLine="420" w:firstLineChars="200"/>
        <w:jc w:val="left"/>
        <w:rPr>
          <w:rFonts w:hint="eastAsia" w:ascii="宋体" w:hAnsi="宋体"/>
          <w:szCs w:val="21"/>
        </w:rPr>
      </w:pPr>
      <w:r>
        <w:rPr>
          <w:rFonts w:hint="eastAsia" w:ascii="宋体" w:hAnsi="宋体"/>
          <w:szCs w:val="21"/>
        </w:rPr>
        <w:t>关于发包人应完成的其他开工准备工作及期限：</w:t>
      </w:r>
      <w:r>
        <w:rPr>
          <w:rFonts w:hint="eastAsia" w:ascii="宋体" w:hAnsi="宋体"/>
          <w:szCs w:val="21"/>
          <w:u w:val="single"/>
        </w:rPr>
        <w:t>至迟不得晚于载明的开工时间前3天</w:t>
      </w:r>
      <w:r>
        <w:rPr>
          <w:rFonts w:hint="eastAsia" w:ascii="宋体" w:hAnsi="宋体"/>
          <w:szCs w:val="21"/>
        </w:rPr>
        <w:t>。</w:t>
      </w:r>
    </w:p>
    <w:p w14:paraId="108ABE41">
      <w:pPr>
        <w:spacing w:before="120" w:line="360" w:lineRule="auto"/>
        <w:ind w:firstLine="420" w:firstLineChars="200"/>
        <w:jc w:val="left"/>
        <w:rPr>
          <w:rFonts w:hint="eastAsia" w:ascii="宋体" w:hAnsi="宋体"/>
          <w:szCs w:val="21"/>
          <w:u w:val="single"/>
        </w:rPr>
      </w:pPr>
      <w:r>
        <w:rPr>
          <w:rFonts w:hint="eastAsia" w:ascii="宋体" w:hAnsi="宋体"/>
          <w:szCs w:val="21"/>
        </w:rPr>
        <w:t>关于承包人应完成的其他开工准备工作及期限：</w:t>
      </w:r>
      <w:r>
        <w:rPr>
          <w:rFonts w:hint="eastAsia" w:ascii="宋体" w:hAnsi="宋体"/>
          <w:szCs w:val="21"/>
          <w:u w:val="single"/>
        </w:rPr>
        <w:t>承包人按相关要求和约定自行准备。</w:t>
      </w:r>
    </w:p>
    <w:p w14:paraId="39257C95">
      <w:pPr>
        <w:spacing w:before="120" w:line="360" w:lineRule="auto"/>
        <w:ind w:firstLine="420" w:firstLineChars="200"/>
        <w:jc w:val="left"/>
        <w:rPr>
          <w:rFonts w:hint="eastAsia" w:ascii="宋体" w:hAnsi="宋体"/>
          <w:szCs w:val="21"/>
        </w:rPr>
      </w:pPr>
      <w:r>
        <w:rPr>
          <w:rFonts w:hint="eastAsia" w:ascii="宋体" w:hAnsi="宋体"/>
          <w:szCs w:val="21"/>
        </w:rPr>
        <w:t>7.3.2开工通知</w:t>
      </w:r>
    </w:p>
    <w:p w14:paraId="7CF417EA">
      <w:pPr>
        <w:spacing w:before="120" w:line="360" w:lineRule="auto"/>
        <w:ind w:firstLine="420" w:firstLineChars="200"/>
        <w:jc w:val="left"/>
        <w:rPr>
          <w:rFonts w:hint="eastAsia" w:ascii="宋体" w:hAnsi="宋体"/>
          <w:szCs w:val="21"/>
        </w:rPr>
      </w:pPr>
      <w:r>
        <w:rPr>
          <w:rFonts w:hint="eastAsia" w:ascii="宋体" w:hAnsi="宋体"/>
          <w:szCs w:val="21"/>
        </w:rPr>
        <w:t>因发包人原因造成监理人未能在计划开工日期之日起</w:t>
      </w:r>
      <w:r>
        <w:rPr>
          <w:rFonts w:hint="eastAsia" w:ascii="宋体" w:hAnsi="宋体"/>
          <w:szCs w:val="21"/>
          <w:u w:val="single"/>
        </w:rPr>
        <w:t xml:space="preserve">  90  </w:t>
      </w:r>
      <w:r>
        <w:rPr>
          <w:rFonts w:hint="eastAsia" w:ascii="宋体" w:hAnsi="宋体"/>
          <w:szCs w:val="21"/>
        </w:rPr>
        <w:t>天内发出开工通知的，承包人有权提出价格调整要求，或者解除合同。</w:t>
      </w:r>
    </w:p>
    <w:bookmarkEnd w:id="212"/>
    <w:bookmarkEnd w:id="213"/>
    <w:bookmarkEnd w:id="214"/>
    <w:bookmarkEnd w:id="215"/>
    <w:bookmarkEnd w:id="216"/>
    <w:bookmarkEnd w:id="217"/>
    <w:bookmarkEnd w:id="218"/>
    <w:p w14:paraId="6677ECEC">
      <w:pPr>
        <w:spacing w:before="120" w:after="120" w:line="360" w:lineRule="auto"/>
        <w:ind w:firstLine="420" w:firstLineChars="200"/>
        <w:rPr>
          <w:rFonts w:hint="eastAsia" w:ascii="宋体" w:hAnsi="宋体"/>
          <w:szCs w:val="21"/>
        </w:rPr>
      </w:pPr>
      <w:r>
        <w:rPr>
          <w:rFonts w:hint="eastAsia" w:ascii="宋体" w:hAnsi="宋体"/>
          <w:szCs w:val="21"/>
        </w:rPr>
        <w:t>7.4 测量放线</w:t>
      </w:r>
    </w:p>
    <w:p w14:paraId="1BB225E6">
      <w:pPr>
        <w:spacing w:before="120" w:line="360" w:lineRule="auto"/>
        <w:ind w:firstLine="420" w:firstLineChars="200"/>
        <w:jc w:val="left"/>
        <w:rPr>
          <w:rFonts w:hint="eastAsia" w:ascii="宋体" w:hAnsi="宋体"/>
          <w:szCs w:val="21"/>
          <w:u w:val="single"/>
        </w:rPr>
      </w:pPr>
      <w:r>
        <w:rPr>
          <w:rFonts w:hint="eastAsia" w:ascii="宋体" w:hAnsi="宋体"/>
          <w:szCs w:val="21"/>
        </w:rPr>
        <w:t>7.4.1发包人通过监理人向承包人提供测量基准点、基准线和水准点及其书面资料的期限：</w:t>
      </w:r>
      <w:r>
        <w:rPr>
          <w:rFonts w:hint="eastAsia" w:ascii="宋体" w:hAnsi="宋体"/>
          <w:szCs w:val="21"/>
          <w:u w:val="single"/>
        </w:rPr>
        <w:t xml:space="preserve">  按照通用条款执行  </w:t>
      </w:r>
      <w:r>
        <w:rPr>
          <w:rFonts w:hint="eastAsia" w:ascii="宋体" w:hAnsi="宋体"/>
          <w:szCs w:val="21"/>
        </w:rPr>
        <w:t>。</w:t>
      </w:r>
    </w:p>
    <w:p w14:paraId="7B4044A0">
      <w:pPr>
        <w:spacing w:before="120" w:after="120" w:line="360" w:lineRule="auto"/>
        <w:ind w:firstLine="420" w:firstLineChars="200"/>
        <w:rPr>
          <w:rFonts w:hint="eastAsia" w:ascii="宋体" w:hAnsi="宋体"/>
          <w:szCs w:val="21"/>
        </w:rPr>
      </w:pPr>
      <w:r>
        <w:rPr>
          <w:rFonts w:hint="eastAsia" w:ascii="宋体" w:hAnsi="宋体"/>
          <w:szCs w:val="21"/>
        </w:rPr>
        <w:t>7</w:t>
      </w:r>
      <w:bookmarkStart w:id="219" w:name="_Toc312677484"/>
      <w:bookmarkStart w:id="220" w:name="_Toc304295546"/>
      <w:bookmarkStart w:id="221" w:name="_Toc300934968"/>
      <w:bookmarkStart w:id="222" w:name="_Toc297123516"/>
      <w:bookmarkStart w:id="223" w:name="_Toc312678010"/>
      <w:bookmarkStart w:id="224" w:name="_Toc297216175"/>
      <w:bookmarkStart w:id="225" w:name="_Toc303539125"/>
      <w:r>
        <w:rPr>
          <w:rFonts w:hint="eastAsia" w:ascii="宋体" w:hAnsi="宋体"/>
          <w:szCs w:val="21"/>
        </w:rPr>
        <w:t>.5 工期延误</w:t>
      </w:r>
    </w:p>
    <w:bookmarkEnd w:id="219"/>
    <w:bookmarkEnd w:id="220"/>
    <w:bookmarkEnd w:id="221"/>
    <w:bookmarkEnd w:id="222"/>
    <w:bookmarkEnd w:id="223"/>
    <w:bookmarkEnd w:id="224"/>
    <w:bookmarkEnd w:id="225"/>
    <w:p w14:paraId="680A86E5">
      <w:pPr>
        <w:spacing w:before="120" w:line="360" w:lineRule="auto"/>
        <w:ind w:firstLine="420" w:firstLineChars="200"/>
        <w:jc w:val="left"/>
        <w:rPr>
          <w:rFonts w:hint="eastAsia" w:ascii="宋体" w:hAnsi="宋体"/>
          <w:szCs w:val="21"/>
        </w:rPr>
      </w:pPr>
      <w:r>
        <w:rPr>
          <w:rFonts w:hint="eastAsia" w:ascii="宋体" w:hAnsi="宋体"/>
          <w:szCs w:val="21"/>
        </w:rPr>
        <w:t>7.5.1 因发包人原因导致工期延误</w:t>
      </w:r>
    </w:p>
    <w:p w14:paraId="565D1C2C">
      <w:pPr>
        <w:spacing w:before="120" w:line="360" w:lineRule="auto"/>
        <w:ind w:firstLine="420" w:firstLineChars="200"/>
        <w:jc w:val="left"/>
        <w:rPr>
          <w:rFonts w:hint="eastAsia" w:ascii="宋体" w:hAnsi="宋体"/>
          <w:szCs w:val="21"/>
        </w:rPr>
      </w:pPr>
      <w:r>
        <w:rPr>
          <w:rFonts w:hint="eastAsia" w:ascii="宋体" w:hAnsi="宋体"/>
          <w:szCs w:val="21"/>
        </w:rPr>
        <w:t>（7）因发包人原因导致工期延误的其他情形：</w:t>
      </w:r>
      <w:r>
        <w:rPr>
          <w:rFonts w:hint="eastAsia" w:ascii="宋体" w:hAnsi="宋体"/>
          <w:szCs w:val="21"/>
          <w:u w:val="single"/>
        </w:rPr>
        <w:t xml:space="preserve">   /   </w:t>
      </w:r>
    </w:p>
    <w:p w14:paraId="1D22438E">
      <w:pPr>
        <w:spacing w:before="120" w:line="360" w:lineRule="auto"/>
        <w:ind w:firstLine="420" w:firstLineChars="200"/>
        <w:jc w:val="left"/>
        <w:rPr>
          <w:rFonts w:hint="eastAsia" w:ascii="宋体" w:hAnsi="宋体"/>
          <w:szCs w:val="21"/>
        </w:rPr>
      </w:pPr>
      <w:r>
        <w:rPr>
          <w:rFonts w:hint="eastAsia" w:ascii="宋体" w:hAnsi="宋体"/>
          <w:szCs w:val="21"/>
        </w:rPr>
        <w:t>7</w:t>
      </w:r>
      <w:bookmarkStart w:id="226" w:name="_Toc318581169"/>
      <w:bookmarkStart w:id="227" w:name="_Toc312678012"/>
      <w:bookmarkStart w:id="228" w:name="_Toc312677486"/>
      <w:bookmarkStart w:id="229" w:name="_Toc303539127"/>
      <w:bookmarkStart w:id="230" w:name="_Toc297216177"/>
      <w:bookmarkStart w:id="231" w:name="_Toc297123518"/>
      <w:bookmarkStart w:id="232" w:name="_Toc300934970"/>
      <w:bookmarkStart w:id="233" w:name="_Toc304295548"/>
      <w:r>
        <w:rPr>
          <w:rFonts w:hint="eastAsia" w:ascii="宋体" w:hAnsi="宋体"/>
          <w:szCs w:val="21"/>
        </w:rPr>
        <w:t>.5.2 因承包人原因导致工期延误</w:t>
      </w:r>
    </w:p>
    <w:bookmarkEnd w:id="226"/>
    <w:bookmarkEnd w:id="227"/>
    <w:bookmarkEnd w:id="228"/>
    <w:p w14:paraId="716A7257">
      <w:pPr>
        <w:spacing w:before="120" w:line="360" w:lineRule="auto"/>
        <w:ind w:firstLine="420" w:firstLineChars="200"/>
        <w:jc w:val="left"/>
        <w:rPr>
          <w:rFonts w:hint="eastAsia" w:ascii="宋体" w:hAnsi="宋体"/>
          <w:kern w:val="0"/>
          <w:szCs w:val="21"/>
          <w:u w:val="single"/>
        </w:rPr>
      </w:pPr>
      <w:r>
        <w:rPr>
          <w:rFonts w:hint="eastAsia" w:ascii="宋体" w:hAnsi="宋体"/>
          <w:szCs w:val="21"/>
        </w:rPr>
        <w:t>因</w:t>
      </w:r>
      <w:bookmarkStart w:id="234" w:name="_Toc318581170"/>
      <w:bookmarkStart w:id="235" w:name="_Toc312677487"/>
      <w:bookmarkStart w:id="236" w:name="_Toc312678013"/>
      <w:r>
        <w:rPr>
          <w:rFonts w:hint="eastAsia" w:ascii="宋体" w:hAnsi="宋体"/>
          <w:szCs w:val="21"/>
        </w:rPr>
        <w:t>承包人原因造成工期延误，逾期竣工违约金的计算方法为：</w:t>
      </w:r>
      <w:r>
        <w:rPr>
          <w:rFonts w:hint="eastAsia" w:ascii="宋体" w:hAnsi="宋体"/>
          <w:kern w:val="0"/>
          <w:szCs w:val="21"/>
          <w:u w:val="single"/>
        </w:rPr>
        <w:t>发包人原因造成的延误时间与承包人原因造成的延误时间可互相抵消，当承包人原因造成的延误时间超过发包人原因造成的延误时间时，每超过1日的，承包人向发包人支付违约金1000元/日。当发包人原因造成的延误时间等于或超过承包人原因造成的延误时间时，互不补偿。</w:t>
      </w:r>
    </w:p>
    <w:bookmarkEnd w:id="229"/>
    <w:bookmarkEnd w:id="230"/>
    <w:bookmarkEnd w:id="231"/>
    <w:bookmarkEnd w:id="232"/>
    <w:bookmarkEnd w:id="233"/>
    <w:bookmarkEnd w:id="234"/>
    <w:bookmarkEnd w:id="235"/>
    <w:bookmarkEnd w:id="236"/>
    <w:p w14:paraId="2DBA101F">
      <w:pPr>
        <w:spacing w:before="120" w:line="360" w:lineRule="auto"/>
        <w:ind w:firstLine="420" w:firstLineChars="200"/>
        <w:jc w:val="left"/>
        <w:rPr>
          <w:rFonts w:hint="eastAsia" w:ascii="宋体" w:hAnsi="宋体"/>
          <w:szCs w:val="21"/>
        </w:rPr>
      </w:pPr>
      <w:r>
        <w:rPr>
          <w:rFonts w:hint="eastAsia" w:ascii="宋体" w:hAnsi="宋体"/>
          <w:szCs w:val="21"/>
        </w:rPr>
        <w:t>因承包人原因造成工期延误，逾</w:t>
      </w:r>
      <w:bookmarkStart w:id="237" w:name="_Toc318581171"/>
      <w:bookmarkStart w:id="238" w:name="_Toc312678014"/>
      <w:r>
        <w:rPr>
          <w:rFonts w:hint="eastAsia" w:ascii="宋体" w:hAnsi="宋体"/>
          <w:szCs w:val="21"/>
        </w:rPr>
        <w:t>期竣工违约金的上限：</w:t>
      </w:r>
      <w:r>
        <w:rPr>
          <w:rFonts w:hint="eastAsia" w:ascii="宋体" w:hAnsi="宋体"/>
          <w:szCs w:val="21"/>
          <w:u w:val="single"/>
        </w:rPr>
        <w:t xml:space="preserve"> 总额不超过合同价款10%  </w:t>
      </w:r>
      <w:r>
        <w:rPr>
          <w:rFonts w:hint="eastAsia" w:ascii="宋体" w:hAnsi="宋体"/>
          <w:szCs w:val="21"/>
        </w:rPr>
        <w:t>。</w:t>
      </w:r>
    </w:p>
    <w:bookmarkEnd w:id="237"/>
    <w:bookmarkEnd w:id="238"/>
    <w:p w14:paraId="3B789EA1">
      <w:pPr>
        <w:spacing w:before="120" w:after="120" w:line="360" w:lineRule="auto"/>
        <w:ind w:firstLine="420" w:firstLineChars="200"/>
        <w:rPr>
          <w:rFonts w:hint="eastAsia" w:ascii="宋体" w:hAnsi="宋体"/>
          <w:szCs w:val="21"/>
        </w:rPr>
      </w:pPr>
      <w:r>
        <w:rPr>
          <w:rFonts w:hint="eastAsia" w:ascii="宋体" w:hAnsi="宋体"/>
          <w:szCs w:val="21"/>
        </w:rPr>
        <w:t>7</w:t>
      </w:r>
      <w:bookmarkStart w:id="239" w:name="_Toc300934971"/>
      <w:bookmarkStart w:id="240" w:name="_Toc304295549"/>
      <w:bookmarkStart w:id="241" w:name="_Toc312678015"/>
      <w:bookmarkStart w:id="242" w:name="_Toc303539128"/>
      <w:bookmarkStart w:id="243" w:name="_Toc297216178"/>
      <w:bookmarkStart w:id="244" w:name="_Toc297123519"/>
      <w:r>
        <w:rPr>
          <w:rFonts w:hint="eastAsia" w:ascii="宋体" w:hAnsi="宋体"/>
          <w:szCs w:val="21"/>
        </w:rPr>
        <w:t>.6 不</w:t>
      </w:r>
      <w:bookmarkEnd w:id="239"/>
      <w:bookmarkEnd w:id="240"/>
      <w:bookmarkEnd w:id="241"/>
      <w:bookmarkEnd w:id="242"/>
      <w:bookmarkEnd w:id="243"/>
      <w:bookmarkEnd w:id="244"/>
      <w:r>
        <w:rPr>
          <w:rFonts w:hint="eastAsia" w:ascii="宋体" w:hAnsi="宋体"/>
          <w:szCs w:val="21"/>
        </w:rPr>
        <w:t>利物质条件</w:t>
      </w:r>
    </w:p>
    <w:p w14:paraId="42C80D9B">
      <w:pPr>
        <w:spacing w:before="120" w:line="360" w:lineRule="auto"/>
        <w:ind w:firstLine="420" w:firstLineChars="200"/>
        <w:jc w:val="left"/>
        <w:rPr>
          <w:rFonts w:hint="eastAsia" w:ascii="宋体" w:hAnsi="宋体"/>
          <w:szCs w:val="21"/>
        </w:rPr>
      </w:pPr>
      <w:bookmarkStart w:id="245" w:name="_Toc300934972"/>
      <w:bookmarkStart w:id="246" w:name="_Toc297123520"/>
      <w:bookmarkStart w:id="247" w:name="_Toc304295550"/>
      <w:bookmarkStart w:id="248" w:name="_Toc297216179"/>
      <w:bookmarkStart w:id="249" w:name="_Toc312678016"/>
      <w:bookmarkStart w:id="250" w:name="_Toc303539129"/>
      <w:bookmarkStart w:id="251" w:name="_Toc318581172"/>
      <w:r>
        <w:rPr>
          <w:rFonts w:hint="eastAsia" w:ascii="宋体" w:hAnsi="宋体"/>
          <w:szCs w:val="21"/>
        </w:rPr>
        <w:t>不利物质条件的其他情形和有关约定：</w:t>
      </w:r>
      <w:r>
        <w:rPr>
          <w:rFonts w:hint="eastAsia" w:ascii="宋体" w:hAnsi="宋体"/>
          <w:szCs w:val="21"/>
          <w:u w:val="single"/>
        </w:rPr>
        <w:t xml:space="preserve">  承包人应充分勘查现场，施工过程中遇到不利物质条件时，应及时通知发包人和监理人，并按发包人和监理人确定的指示，采取相应措施。承包人未按发包人和监理人确定的指示执行或采取不合理措施的，因此增加的费用及工期延误的责任，由承包人承担 </w:t>
      </w:r>
      <w:r>
        <w:rPr>
          <w:rFonts w:hint="eastAsia" w:ascii="宋体" w:hAnsi="宋体"/>
          <w:szCs w:val="21"/>
        </w:rPr>
        <w:t>。</w:t>
      </w:r>
    </w:p>
    <w:bookmarkEnd w:id="245"/>
    <w:bookmarkEnd w:id="246"/>
    <w:bookmarkEnd w:id="247"/>
    <w:bookmarkEnd w:id="248"/>
    <w:bookmarkEnd w:id="249"/>
    <w:bookmarkEnd w:id="250"/>
    <w:bookmarkEnd w:id="251"/>
    <w:p w14:paraId="021FC8E9">
      <w:pPr>
        <w:spacing w:before="120" w:after="120" w:line="360" w:lineRule="auto"/>
        <w:ind w:firstLine="420" w:firstLineChars="200"/>
        <w:rPr>
          <w:rFonts w:hint="eastAsia" w:ascii="宋体" w:hAnsi="宋体"/>
          <w:szCs w:val="21"/>
        </w:rPr>
      </w:pPr>
      <w:r>
        <w:rPr>
          <w:rFonts w:hint="eastAsia" w:ascii="宋体" w:hAnsi="宋体"/>
          <w:szCs w:val="21"/>
        </w:rPr>
        <w:t>7</w:t>
      </w:r>
      <w:bookmarkStart w:id="252" w:name="_Toc297216180"/>
      <w:bookmarkStart w:id="253" w:name="_Toc312678017"/>
      <w:bookmarkStart w:id="254" w:name="_Toc297123521"/>
      <w:bookmarkStart w:id="255" w:name="_Toc304295551"/>
      <w:bookmarkStart w:id="256" w:name="_Toc300934973"/>
      <w:bookmarkStart w:id="257" w:name="_Toc303539130"/>
      <w:r>
        <w:rPr>
          <w:rFonts w:hint="eastAsia" w:ascii="宋体" w:hAnsi="宋体"/>
          <w:szCs w:val="21"/>
        </w:rPr>
        <w:t>.7异常恶劣的气候条件</w:t>
      </w:r>
    </w:p>
    <w:bookmarkEnd w:id="252"/>
    <w:bookmarkEnd w:id="253"/>
    <w:bookmarkEnd w:id="254"/>
    <w:bookmarkEnd w:id="255"/>
    <w:bookmarkEnd w:id="256"/>
    <w:bookmarkEnd w:id="257"/>
    <w:p w14:paraId="06FB5984">
      <w:pPr>
        <w:spacing w:before="120" w:line="360" w:lineRule="auto"/>
        <w:ind w:firstLine="420" w:firstLineChars="200"/>
        <w:jc w:val="left"/>
        <w:rPr>
          <w:rFonts w:hint="eastAsia" w:ascii="宋体" w:hAnsi="宋体"/>
          <w:szCs w:val="21"/>
        </w:rPr>
      </w:pPr>
      <w:r>
        <w:rPr>
          <w:rFonts w:hint="eastAsia" w:ascii="宋体" w:hAnsi="宋体"/>
          <w:szCs w:val="21"/>
        </w:rPr>
        <w:t>发包人和承包人同意以下情形视为异常恶劣的气候条件：</w:t>
      </w:r>
      <w:r>
        <w:rPr>
          <w:rFonts w:hint="eastAsia" w:ascii="宋体" w:hAnsi="宋体"/>
          <w:szCs w:val="21"/>
          <w:u w:val="single"/>
        </w:rPr>
        <w:t>政府及气象部门公开发布信息的气候灾害。对本项目而言，是指发生六级（含六级）以上地震、龙卷风、工地受淹、超过桥梁设计洪水位以及30年一遇的罕见气候现象（包括温度、降水、降雪、风等）等引起延误的情况。发包人同意顺延工期，不补偿费用。</w:t>
      </w:r>
    </w:p>
    <w:p w14:paraId="4A5BCE87">
      <w:pPr>
        <w:spacing w:before="120" w:after="120" w:line="360" w:lineRule="auto"/>
        <w:ind w:firstLine="420" w:firstLineChars="200"/>
        <w:outlineLvl w:val="0"/>
        <w:rPr>
          <w:rFonts w:hint="eastAsia" w:ascii="宋体" w:hAnsi="宋体"/>
          <w:szCs w:val="21"/>
        </w:rPr>
      </w:pPr>
      <w:r>
        <w:rPr>
          <w:rFonts w:hint="eastAsia" w:ascii="宋体" w:hAnsi="宋体"/>
          <w:szCs w:val="21"/>
        </w:rPr>
        <w:t>7.9 提前竣工的奖励</w:t>
      </w:r>
    </w:p>
    <w:p w14:paraId="4ED60C82">
      <w:pPr>
        <w:spacing w:before="120" w:line="360" w:lineRule="auto"/>
        <w:ind w:firstLine="420" w:firstLineChars="200"/>
        <w:jc w:val="left"/>
        <w:rPr>
          <w:rFonts w:hint="eastAsia" w:ascii="宋体" w:hAnsi="宋体"/>
          <w:szCs w:val="21"/>
        </w:rPr>
      </w:pPr>
      <w:r>
        <w:rPr>
          <w:rFonts w:hint="eastAsia" w:ascii="宋体" w:hAnsi="宋体"/>
          <w:szCs w:val="21"/>
        </w:rPr>
        <w:t>7.9.2提前竣工的奖励：</w:t>
      </w:r>
      <w:r>
        <w:rPr>
          <w:rFonts w:hint="eastAsia" w:ascii="宋体" w:hAnsi="宋体"/>
          <w:szCs w:val="21"/>
          <w:u w:val="single"/>
        </w:rPr>
        <w:t xml:space="preserve">   无    </w:t>
      </w:r>
      <w:r>
        <w:rPr>
          <w:rFonts w:hint="eastAsia" w:ascii="宋体" w:hAnsi="宋体"/>
          <w:szCs w:val="21"/>
        </w:rPr>
        <w:t>。</w:t>
      </w:r>
    </w:p>
    <w:p w14:paraId="01108388">
      <w:pPr>
        <w:pStyle w:val="5"/>
        <w:spacing w:before="120" w:after="120" w:line="360" w:lineRule="auto"/>
        <w:rPr>
          <w:rFonts w:hint="eastAsia" w:ascii="宋体" w:hAnsi="宋体" w:eastAsia="宋体"/>
          <w:b w:val="0"/>
          <w:sz w:val="21"/>
          <w:szCs w:val="21"/>
        </w:rPr>
      </w:pPr>
      <w:bookmarkStart w:id="258" w:name="_Toc351203640"/>
      <w:r>
        <w:rPr>
          <w:rFonts w:hint="eastAsia" w:ascii="宋体" w:hAnsi="宋体" w:eastAsia="宋体"/>
          <w:b w:val="0"/>
          <w:sz w:val="21"/>
          <w:szCs w:val="21"/>
        </w:rPr>
        <w:t>8. 材料与设备</w:t>
      </w:r>
      <w:bookmarkEnd w:id="258"/>
    </w:p>
    <w:bookmarkEnd w:id="193"/>
    <w:bookmarkEnd w:id="194"/>
    <w:bookmarkEnd w:id="195"/>
    <w:bookmarkEnd w:id="196"/>
    <w:bookmarkEnd w:id="197"/>
    <w:bookmarkEnd w:id="198"/>
    <w:bookmarkEnd w:id="199"/>
    <w:bookmarkEnd w:id="200"/>
    <w:bookmarkEnd w:id="201"/>
    <w:bookmarkEnd w:id="202"/>
    <w:p w14:paraId="4A8FC067">
      <w:pPr>
        <w:spacing w:before="120" w:after="120" w:line="360" w:lineRule="auto"/>
        <w:ind w:firstLine="420" w:firstLineChars="200"/>
        <w:rPr>
          <w:rFonts w:hint="eastAsia" w:ascii="宋体" w:hAnsi="宋体"/>
          <w:szCs w:val="21"/>
        </w:rPr>
      </w:pPr>
      <w:r>
        <w:rPr>
          <w:rFonts w:hint="eastAsia" w:ascii="宋体" w:hAnsi="宋体"/>
          <w:szCs w:val="21"/>
        </w:rPr>
        <w:t>8</w:t>
      </w:r>
      <w:bookmarkStart w:id="259" w:name="_Toc300934979"/>
      <w:bookmarkStart w:id="260" w:name="_Toc312678019"/>
      <w:bookmarkStart w:id="261" w:name="_Toc297120467"/>
      <w:bookmarkStart w:id="262" w:name="_Toc296890995"/>
      <w:bookmarkStart w:id="263" w:name="_Toc296346668"/>
      <w:bookmarkStart w:id="264" w:name="_Toc297216186"/>
      <w:bookmarkStart w:id="265" w:name="_Toc303539136"/>
      <w:bookmarkStart w:id="266" w:name="_Toc280868654"/>
      <w:bookmarkStart w:id="267" w:name="_Toc292559877"/>
      <w:bookmarkStart w:id="268" w:name="_Toc292559372"/>
      <w:bookmarkStart w:id="269" w:name="_Toc296891207"/>
      <w:bookmarkStart w:id="270" w:name="_Toc296347166"/>
      <w:bookmarkStart w:id="271" w:name="_Toc304295556"/>
      <w:bookmarkStart w:id="272" w:name="_Toc297123527"/>
      <w:bookmarkStart w:id="273" w:name="_Toc296944506"/>
      <w:bookmarkStart w:id="274" w:name="_Toc297048353"/>
      <w:bookmarkStart w:id="275" w:name="_Toc312677493"/>
      <w:bookmarkStart w:id="276" w:name="_Toc296503167"/>
      <w:bookmarkStart w:id="277" w:name="_Toc280868656"/>
      <w:bookmarkStart w:id="278" w:name="_Toc267251424"/>
      <w:bookmarkStart w:id="279" w:name="_Toc280868655"/>
      <w:r>
        <w:rPr>
          <w:rFonts w:hint="eastAsia" w:ascii="宋体" w:hAnsi="宋体"/>
          <w:szCs w:val="21"/>
        </w:rPr>
        <w:t>.4材料与工程设备的保管与使用</w:t>
      </w:r>
    </w:p>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14:paraId="73859175">
      <w:pPr>
        <w:spacing w:before="120" w:line="360" w:lineRule="auto"/>
        <w:ind w:firstLine="420" w:firstLineChars="200"/>
        <w:jc w:val="left"/>
        <w:rPr>
          <w:rFonts w:hint="eastAsia" w:ascii="宋体" w:hAnsi="宋体"/>
          <w:szCs w:val="21"/>
          <w:u w:val="single"/>
        </w:rPr>
      </w:pPr>
      <w:r>
        <w:rPr>
          <w:rFonts w:hint="eastAsia" w:ascii="宋体" w:hAnsi="宋体"/>
          <w:szCs w:val="21"/>
        </w:rPr>
        <w:t>8</w:t>
      </w:r>
      <w:bookmarkStart w:id="280" w:name="_Toc292559373"/>
      <w:bookmarkStart w:id="281" w:name="_Toc292559878"/>
      <w:bookmarkStart w:id="282" w:name="_Toc296890996"/>
      <w:bookmarkStart w:id="283" w:name="_Toc297216187"/>
      <w:bookmarkStart w:id="284" w:name="_Toc303539137"/>
      <w:bookmarkStart w:id="285" w:name="_Toc297120468"/>
      <w:bookmarkStart w:id="286" w:name="_Toc296503168"/>
      <w:bookmarkStart w:id="287" w:name="_Toc297048354"/>
      <w:bookmarkStart w:id="288" w:name="_Toc300934980"/>
      <w:bookmarkStart w:id="289" w:name="_Toc296347167"/>
      <w:bookmarkStart w:id="290" w:name="_Toc296346669"/>
      <w:bookmarkStart w:id="291" w:name="_Toc312678020"/>
      <w:bookmarkStart w:id="292" w:name="_Toc318581173"/>
      <w:bookmarkStart w:id="293" w:name="_Toc312677494"/>
      <w:bookmarkStart w:id="294" w:name="_Toc297123528"/>
      <w:bookmarkStart w:id="295" w:name="_Toc296944507"/>
      <w:bookmarkStart w:id="296" w:name="_Toc296891208"/>
      <w:bookmarkStart w:id="297" w:name="_Toc304295557"/>
      <w:r>
        <w:rPr>
          <w:rFonts w:hint="eastAsia" w:ascii="宋体" w:hAnsi="宋体"/>
          <w:szCs w:val="21"/>
        </w:rPr>
        <w:t>.4.1发包人供应的材料设备的保管费用的承担：</w:t>
      </w:r>
      <w:r>
        <w:rPr>
          <w:rFonts w:hint="eastAsia" w:ascii="宋体" w:hAnsi="宋体"/>
          <w:szCs w:val="21"/>
          <w:u w:val="single"/>
        </w:rPr>
        <w:t xml:space="preserve"> </w:t>
      </w:r>
      <w:bookmarkEnd w:id="280"/>
      <w:bookmarkEnd w:id="281"/>
      <w:r>
        <w:rPr>
          <w:rFonts w:hint="eastAsia" w:ascii="宋体" w:hAnsi="宋体"/>
          <w:szCs w:val="21"/>
          <w:u w:val="single"/>
        </w:rPr>
        <w:t>按照省住建厅关于印发《湖南省建设工程材料价格信息管理办法》（湘建建【2023】22号）的规定执行。</w:t>
      </w:r>
    </w:p>
    <w:p w14:paraId="4DE21F1B">
      <w:pPr>
        <w:spacing w:before="120" w:line="360" w:lineRule="auto"/>
        <w:ind w:firstLine="420" w:firstLineChars="200"/>
        <w:jc w:val="left"/>
        <w:rPr>
          <w:rFonts w:hint="eastAsia" w:ascii="宋体" w:hAnsi="宋体"/>
          <w:szCs w:val="21"/>
        </w:rPr>
      </w:pPr>
      <w:r>
        <w:rPr>
          <w:rFonts w:hint="eastAsia" w:ascii="宋体" w:hAnsi="宋体"/>
          <w:szCs w:val="21"/>
        </w:rPr>
        <w:t>8.6 样品</w:t>
      </w:r>
    </w:p>
    <w:p w14:paraId="140D4758">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8.6.1</w:t>
      </w:r>
      <w:r>
        <w:rPr>
          <w:rFonts w:hint="eastAsia" w:ascii="宋体" w:hAnsi="宋体"/>
          <w:kern w:val="0"/>
          <w:szCs w:val="21"/>
        </w:rPr>
        <w:tab/>
      </w:r>
      <w:r>
        <w:rPr>
          <w:rFonts w:hint="eastAsia" w:ascii="宋体" w:hAnsi="宋体"/>
          <w:kern w:val="0"/>
          <w:szCs w:val="21"/>
        </w:rPr>
        <w:t>样品的报送与封存</w:t>
      </w:r>
    </w:p>
    <w:p w14:paraId="56CD068A">
      <w:pPr>
        <w:autoSpaceDE w:val="0"/>
        <w:autoSpaceDN w:val="0"/>
        <w:adjustRightInd w:val="0"/>
        <w:spacing w:before="120" w:line="360" w:lineRule="auto"/>
        <w:ind w:firstLine="420" w:firstLineChars="200"/>
        <w:jc w:val="left"/>
        <w:rPr>
          <w:rFonts w:hint="eastAsia" w:ascii="宋体" w:hAnsi="宋体"/>
          <w:szCs w:val="21"/>
          <w:u w:val="single"/>
        </w:rPr>
      </w:pPr>
      <w:r>
        <w:rPr>
          <w:rFonts w:hint="eastAsia" w:ascii="宋体" w:hAnsi="宋体"/>
          <w:kern w:val="0"/>
          <w:szCs w:val="21"/>
        </w:rPr>
        <w:t>需要承包人报送样品的材料或工程设备，样品的种类、名称、规格、数量要求：</w:t>
      </w:r>
    </w:p>
    <w:p w14:paraId="3561DEA9">
      <w:pPr>
        <w:autoSpaceDE w:val="0"/>
        <w:autoSpaceDN w:val="0"/>
        <w:adjustRightInd w:val="0"/>
        <w:spacing w:before="120" w:line="360" w:lineRule="auto"/>
        <w:ind w:firstLine="420" w:firstLineChars="200"/>
        <w:jc w:val="left"/>
        <w:rPr>
          <w:rFonts w:hint="eastAsia" w:ascii="宋体" w:hAnsi="宋体"/>
          <w:szCs w:val="21"/>
        </w:rPr>
      </w:pPr>
      <w:r>
        <w:rPr>
          <w:rFonts w:hint="eastAsia" w:ascii="宋体" w:hAnsi="宋体"/>
          <w:szCs w:val="21"/>
          <w:u w:val="single"/>
        </w:rPr>
        <w:t xml:space="preserve"> 按施工规程、监理单位要求和发包人需求确定，由发包人、监理人在材料使用前向承包人发出样品报送指示  </w:t>
      </w:r>
      <w:r>
        <w:rPr>
          <w:rFonts w:hint="eastAsia" w:ascii="宋体" w:hAnsi="宋体"/>
          <w:szCs w:val="21"/>
        </w:rPr>
        <w:t>。</w:t>
      </w:r>
    </w:p>
    <w:p w14:paraId="783E20B0">
      <w:pPr>
        <w:spacing w:before="120" w:after="120" w:line="360" w:lineRule="auto"/>
        <w:ind w:firstLine="420" w:firstLineChars="200"/>
        <w:outlineLvl w:val="0"/>
        <w:rPr>
          <w:rFonts w:hint="eastAsia" w:ascii="宋体" w:hAnsi="宋体"/>
          <w:szCs w:val="21"/>
        </w:rPr>
      </w:pPr>
      <w:r>
        <w:rPr>
          <w:rFonts w:hint="eastAsia" w:ascii="宋体" w:hAnsi="宋体"/>
          <w:szCs w:val="21"/>
        </w:rPr>
        <w:t>8.8 施工设备和临时设施</w:t>
      </w:r>
    </w:p>
    <w:p w14:paraId="660805A2">
      <w:pPr>
        <w:autoSpaceDE w:val="0"/>
        <w:autoSpaceDN w:val="0"/>
        <w:adjustRightInd w:val="0"/>
        <w:spacing w:before="120" w:line="360" w:lineRule="auto"/>
        <w:ind w:firstLine="420" w:firstLineChars="200"/>
        <w:jc w:val="left"/>
        <w:rPr>
          <w:rFonts w:hint="eastAsia" w:ascii="宋体" w:hAnsi="宋体"/>
          <w:szCs w:val="21"/>
        </w:rPr>
      </w:pPr>
      <w:r>
        <w:rPr>
          <w:rFonts w:hint="eastAsia" w:ascii="宋体" w:hAnsi="宋体"/>
          <w:szCs w:val="21"/>
        </w:rPr>
        <w:t>8.8.1 承包人提供的施工设备和临时设施</w:t>
      </w:r>
    </w:p>
    <w:p w14:paraId="55DBC156">
      <w:pPr>
        <w:autoSpaceDE w:val="0"/>
        <w:autoSpaceDN w:val="0"/>
        <w:adjustRightInd w:val="0"/>
        <w:spacing w:before="120" w:line="360" w:lineRule="auto"/>
        <w:ind w:firstLine="420" w:firstLineChars="200"/>
        <w:jc w:val="left"/>
        <w:rPr>
          <w:rFonts w:hint="eastAsia" w:ascii="宋体" w:hAnsi="宋体"/>
          <w:szCs w:val="21"/>
        </w:rPr>
      </w:pPr>
      <w:r>
        <w:rPr>
          <w:rFonts w:hint="eastAsia" w:ascii="宋体" w:hAnsi="宋体"/>
          <w:szCs w:val="21"/>
        </w:rPr>
        <w:t>关于修建临时设施费用承担的约定：</w:t>
      </w:r>
      <w:r>
        <w:rPr>
          <w:rFonts w:hint="eastAsia" w:ascii="宋体" w:hAnsi="宋体"/>
          <w:szCs w:val="21"/>
          <w:u w:val="single"/>
        </w:rPr>
        <w:t xml:space="preserve">    由承包人承担     </w:t>
      </w:r>
      <w:r>
        <w:rPr>
          <w:rFonts w:hint="eastAsia" w:ascii="宋体" w:hAnsi="宋体"/>
          <w:szCs w:val="21"/>
        </w:rPr>
        <w:t>。</w:t>
      </w:r>
    </w:p>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14:paraId="7EB6DA0A">
      <w:pPr>
        <w:pStyle w:val="5"/>
        <w:spacing w:before="120" w:after="120" w:line="360" w:lineRule="auto"/>
        <w:rPr>
          <w:rFonts w:hint="eastAsia" w:ascii="宋体" w:hAnsi="宋体" w:eastAsia="宋体"/>
          <w:b w:val="0"/>
          <w:sz w:val="21"/>
          <w:szCs w:val="21"/>
        </w:rPr>
      </w:pPr>
      <w:bookmarkStart w:id="298" w:name="_Toc351203641"/>
      <w:r>
        <w:rPr>
          <w:rFonts w:hint="eastAsia" w:ascii="宋体" w:hAnsi="宋体" w:eastAsia="宋体"/>
          <w:b w:val="0"/>
          <w:sz w:val="21"/>
          <w:szCs w:val="21"/>
        </w:rPr>
        <w:t>9</w:t>
      </w:r>
      <w:bookmarkEnd w:id="277"/>
      <w:bookmarkEnd w:id="278"/>
      <w:bookmarkEnd w:id="279"/>
      <w:bookmarkStart w:id="299" w:name="_Toc300934982"/>
      <w:bookmarkStart w:id="300" w:name="_Toc297216192"/>
      <w:bookmarkStart w:id="301" w:name="_Toc312678021"/>
      <w:bookmarkStart w:id="302" w:name="_Toc303539139"/>
      <w:bookmarkStart w:id="303" w:name="_Toc312677495"/>
      <w:bookmarkStart w:id="304" w:name="_Toc304295559"/>
      <w:bookmarkStart w:id="305" w:name="_Toc297123533"/>
      <w:bookmarkStart w:id="306" w:name="_Toc296503173"/>
      <w:bookmarkStart w:id="307" w:name="_Toc296891001"/>
      <w:bookmarkStart w:id="308" w:name="_Toc296891213"/>
      <w:bookmarkStart w:id="309" w:name="_Toc297120473"/>
      <w:bookmarkStart w:id="310" w:name="_Toc296347172"/>
      <w:bookmarkStart w:id="311" w:name="_Toc267251428"/>
      <w:bookmarkStart w:id="312" w:name="_Toc296346674"/>
      <w:bookmarkStart w:id="313" w:name="_Toc267251427"/>
      <w:bookmarkStart w:id="314" w:name="_Toc292559378"/>
      <w:bookmarkStart w:id="315" w:name="_Toc296944512"/>
      <w:bookmarkStart w:id="316" w:name="_Toc297048359"/>
      <w:bookmarkStart w:id="317" w:name="_Toc292559883"/>
      <w:r>
        <w:rPr>
          <w:rFonts w:hint="eastAsia" w:ascii="宋体" w:hAnsi="宋体" w:eastAsia="宋体"/>
          <w:b w:val="0"/>
          <w:sz w:val="21"/>
          <w:szCs w:val="21"/>
        </w:rPr>
        <w:t>. 试验与检验</w:t>
      </w:r>
      <w:bookmarkEnd w:id="298"/>
    </w:p>
    <w:bookmarkEnd w:id="299"/>
    <w:bookmarkEnd w:id="300"/>
    <w:bookmarkEnd w:id="301"/>
    <w:bookmarkEnd w:id="302"/>
    <w:bookmarkEnd w:id="303"/>
    <w:bookmarkEnd w:id="304"/>
    <w:bookmarkEnd w:id="305"/>
    <w:p w14:paraId="7061C088">
      <w:pPr>
        <w:spacing w:before="120" w:after="120" w:line="360" w:lineRule="auto"/>
        <w:ind w:firstLine="420" w:firstLineChars="200"/>
        <w:rPr>
          <w:rFonts w:hint="eastAsia" w:ascii="宋体" w:hAnsi="宋体"/>
          <w:szCs w:val="21"/>
        </w:rPr>
      </w:pPr>
      <w:r>
        <w:rPr>
          <w:rFonts w:hint="eastAsia" w:ascii="宋体" w:hAnsi="宋体"/>
          <w:szCs w:val="21"/>
        </w:rPr>
        <w:t>9</w:t>
      </w:r>
      <w:bookmarkStart w:id="318" w:name="_Toc312678022"/>
      <w:bookmarkStart w:id="319" w:name="_Toc312677496"/>
      <w:bookmarkStart w:id="320" w:name="_Toc297216193"/>
      <w:bookmarkStart w:id="321" w:name="_Toc297123534"/>
      <w:bookmarkStart w:id="322" w:name="_Toc303539140"/>
      <w:bookmarkStart w:id="323" w:name="_Toc304295560"/>
      <w:bookmarkStart w:id="324" w:name="_Toc300934983"/>
      <w:r>
        <w:rPr>
          <w:rFonts w:hint="eastAsia" w:ascii="宋体" w:hAnsi="宋体"/>
          <w:szCs w:val="21"/>
        </w:rPr>
        <w:t>.1试验设备与试验人员</w:t>
      </w:r>
    </w:p>
    <w:bookmarkEnd w:id="318"/>
    <w:bookmarkEnd w:id="319"/>
    <w:bookmarkEnd w:id="320"/>
    <w:bookmarkEnd w:id="321"/>
    <w:bookmarkEnd w:id="322"/>
    <w:bookmarkEnd w:id="323"/>
    <w:bookmarkEnd w:id="324"/>
    <w:p w14:paraId="70205D9D">
      <w:pPr>
        <w:spacing w:before="120" w:line="360" w:lineRule="auto"/>
        <w:ind w:firstLine="420" w:firstLineChars="200"/>
        <w:jc w:val="left"/>
        <w:rPr>
          <w:rFonts w:hint="eastAsia" w:ascii="宋体" w:hAnsi="宋体"/>
          <w:szCs w:val="21"/>
        </w:rPr>
      </w:pPr>
      <w:r>
        <w:rPr>
          <w:rFonts w:hint="eastAsia" w:ascii="宋体" w:hAnsi="宋体"/>
          <w:szCs w:val="21"/>
        </w:rPr>
        <w:t>9</w:t>
      </w:r>
      <w:bookmarkStart w:id="325" w:name="_Toc297216194"/>
      <w:bookmarkStart w:id="326" w:name="_Toc303539141"/>
      <w:bookmarkStart w:id="327" w:name="_Toc300934984"/>
      <w:bookmarkStart w:id="328" w:name="_Toc312678023"/>
      <w:bookmarkStart w:id="329" w:name="_Toc297123535"/>
      <w:bookmarkStart w:id="330" w:name="_Toc304295561"/>
      <w:bookmarkStart w:id="331" w:name="_Toc312677497"/>
      <w:bookmarkStart w:id="332" w:name="_Toc318581174"/>
      <w:r>
        <w:rPr>
          <w:rFonts w:hint="eastAsia" w:ascii="宋体" w:hAnsi="宋体"/>
          <w:szCs w:val="21"/>
        </w:rPr>
        <w:t>.1.2 试验设备施工现场需要配置的试验场所：</w:t>
      </w:r>
      <w:bookmarkEnd w:id="325"/>
      <w:bookmarkEnd w:id="326"/>
      <w:bookmarkEnd w:id="327"/>
      <w:bookmarkEnd w:id="328"/>
      <w:bookmarkEnd w:id="329"/>
      <w:bookmarkEnd w:id="330"/>
      <w:bookmarkEnd w:id="331"/>
      <w:bookmarkStart w:id="333" w:name="_Toc312677498"/>
      <w:bookmarkStart w:id="334" w:name="_Toc297123536"/>
      <w:bookmarkStart w:id="335" w:name="_Toc304295562"/>
      <w:bookmarkStart w:id="336" w:name="_Toc303539142"/>
      <w:bookmarkStart w:id="337" w:name="_Toc312678024"/>
      <w:bookmarkStart w:id="338" w:name="_Toc300934985"/>
      <w:bookmarkStart w:id="339" w:name="_Toc297216195"/>
      <w:r>
        <w:rPr>
          <w:rFonts w:hint="eastAsia" w:ascii="宋体" w:hAnsi="宋体"/>
          <w:szCs w:val="21"/>
          <w:u w:val="single"/>
        </w:rPr>
        <w:t xml:space="preserve">   由承包人根据施工现场管理，在符合施工规范、安全管理的情况下进行安排   </w:t>
      </w:r>
      <w:r>
        <w:rPr>
          <w:rFonts w:hint="eastAsia" w:ascii="宋体" w:hAnsi="宋体"/>
          <w:szCs w:val="21"/>
        </w:rPr>
        <w:t xml:space="preserve">。 </w:t>
      </w:r>
    </w:p>
    <w:p w14:paraId="13D50B46">
      <w:pPr>
        <w:spacing w:before="120" w:line="360" w:lineRule="auto"/>
        <w:ind w:firstLine="420" w:firstLineChars="200"/>
        <w:jc w:val="left"/>
        <w:rPr>
          <w:rFonts w:hint="eastAsia" w:ascii="宋体" w:hAnsi="宋体"/>
          <w:szCs w:val="21"/>
        </w:rPr>
      </w:pPr>
      <w:r>
        <w:rPr>
          <w:rFonts w:hint="eastAsia" w:ascii="宋体" w:hAnsi="宋体"/>
          <w:szCs w:val="21"/>
        </w:rPr>
        <w:t>施工现场需要配备的试验设备：</w:t>
      </w:r>
      <w:r>
        <w:rPr>
          <w:rFonts w:hint="eastAsia" w:ascii="宋体" w:hAnsi="宋体"/>
          <w:szCs w:val="21"/>
          <w:u w:val="single"/>
        </w:rPr>
        <w:t xml:space="preserve">   由发包人、监理人根据施工需要和材料检测需要提前向承包人发出配备通知  </w:t>
      </w:r>
      <w:r>
        <w:rPr>
          <w:rFonts w:hint="eastAsia" w:ascii="宋体" w:hAnsi="宋体"/>
          <w:szCs w:val="21"/>
        </w:rPr>
        <w:t>。</w:t>
      </w:r>
    </w:p>
    <w:p w14:paraId="7E06671B">
      <w:pPr>
        <w:spacing w:before="120" w:line="360" w:lineRule="auto"/>
        <w:ind w:firstLine="420" w:firstLineChars="200"/>
        <w:jc w:val="left"/>
        <w:rPr>
          <w:rFonts w:hint="eastAsia" w:ascii="宋体" w:hAnsi="宋体"/>
          <w:szCs w:val="21"/>
        </w:rPr>
      </w:pPr>
      <w:r>
        <w:rPr>
          <w:rFonts w:hint="eastAsia" w:ascii="宋体" w:hAnsi="宋体"/>
          <w:szCs w:val="21"/>
        </w:rPr>
        <w:t>施工现场需要具备的其他试验条件：</w:t>
      </w:r>
      <w:r>
        <w:rPr>
          <w:rFonts w:hint="eastAsia" w:ascii="宋体" w:hAnsi="宋体"/>
          <w:szCs w:val="21"/>
          <w:u w:val="single"/>
        </w:rPr>
        <w:t xml:space="preserve"> 由发包人、监理人根据施工需要和材料检测需要提前向承包人发出条件准备通知，由承包人完善  </w:t>
      </w:r>
      <w:r>
        <w:rPr>
          <w:rFonts w:hint="eastAsia" w:ascii="宋体" w:hAnsi="宋体"/>
          <w:szCs w:val="21"/>
        </w:rPr>
        <w:t>。</w:t>
      </w:r>
    </w:p>
    <w:p w14:paraId="008F3BE4">
      <w:pPr>
        <w:spacing w:before="120" w:after="120" w:line="360" w:lineRule="auto"/>
        <w:ind w:firstLine="420" w:firstLineChars="200"/>
        <w:outlineLvl w:val="0"/>
        <w:rPr>
          <w:rFonts w:hint="eastAsia" w:ascii="宋体" w:hAnsi="宋体"/>
          <w:szCs w:val="21"/>
        </w:rPr>
      </w:pPr>
      <w:r>
        <w:rPr>
          <w:rFonts w:hint="eastAsia" w:ascii="宋体" w:hAnsi="宋体"/>
          <w:szCs w:val="21"/>
        </w:rPr>
        <w:t xml:space="preserve">9.4 现场工艺试验 </w:t>
      </w:r>
    </w:p>
    <w:p w14:paraId="064F482E">
      <w:pPr>
        <w:spacing w:before="120" w:line="360" w:lineRule="auto"/>
        <w:ind w:firstLine="420" w:firstLineChars="200"/>
        <w:jc w:val="left"/>
        <w:rPr>
          <w:rFonts w:hint="eastAsia" w:ascii="宋体" w:hAnsi="宋体"/>
          <w:szCs w:val="21"/>
        </w:rPr>
      </w:pPr>
      <w:r>
        <w:rPr>
          <w:rFonts w:hint="eastAsia" w:ascii="宋体" w:hAnsi="宋体"/>
          <w:szCs w:val="21"/>
        </w:rPr>
        <w:t>现场工艺试验的有关约定：</w:t>
      </w:r>
      <w:r>
        <w:rPr>
          <w:rFonts w:hint="eastAsia" w:ascii="宋体" w:hAnsi="宋体"/>
          <w:szCs w:val="21"/>
          <w:u w:val="single"/>
        </w:rPr>
        <w:t xml:space="preserve">   按照通用条款执行   </w:t>
      </w:r>
      <w:r>
        <w:rPr>
          <w:rFonts w:hint="eastAsia" w:ascii="宋体" w:hAnsi="宋体"/>
          <w:szCs w:val="21"/>
        </w:rPr>
        <w:t>。</w:t>
      </w:r>
    </w:p>
    <w:bookmarkEnd w:id="332"/>
    <w:bookmarkEnd w:id="333"/>
    <w:bookmarkEnd w:id="334"/>
    <w:bookmarkEnd w:id="335"/>
    <w:bookmarkEnd w:id="336"/>
    <w:bookmarkEnd w:id="337"/>
    <w:bookmarkEnd w:id="338"/>
    <w:bookmarkEnd w:id="339"/>
    <w:p w14:paraId="28462D21">
      <w:pPr>
        <w:pStyle w:val="5"/>
        <w:spacing w:before="120" w:after="120" w:line="360" w:lineRule="auto"/>
        <w:rPr>
          <w:rFonts w:hint="eastAsia" w:ascii="宋体" w:hAnsi="宋体" w:eastAsia="宋体"/>
          <w:b w:val="0"/>
          <w:sz w:val="21"/>
          <w:szCs w:val="21"/>
        </w:rPr>
      </w:pPr>
      <w:bookmarkStart w:id="340" w:name="_Toc351203642"/>
      <w:r>
        <w:rPr>
          <w:rFonts w:hint="eastAsia" w:ascii="宋体" w:hAnsi="宋体" w:eastAsia="宋体"/>
          <w:b w:val="0"/>
          <w:sz w:val="21"/>
          <w:szCs w:val="21"/>
        </w:rPr>
        <w:t>1</w:t>
      </w:r>
      <w:bookmarkEnd w:id="306"/>
      <w:bookmarkEnd w:id="307"/>
      <w:bookmarkEnd w:id="308"/>
      <w:bookmarkEnd w:id="309"/>
      <w:bookmarkEnd w:id="310"/>
      <w:bookmarkEnd w:id="311"/>
      <w:bookmarkEnd w:id="312"/>
      <w:bookmarkEnd w:id="313"/>
      <w:bookmarkEnd w:id="314"/>
      <w:bookmarkEnd w:id="315"/>
      <w:bookmarkEnd w:id="316"/>
      <w:bookmarkEnd w:id="317"/>
      <w:bookmarkStart w:id="341" w:name="_Toc297048379"/>
      <w:bookmarkStart w:id="342" w:name="_Toc296891233"/>
      <w:bookmarkStart w:id="343" w:name="_Toc296503193"/>
      <w:bookmarkStart w:id="344" w:name="_Toc300934989"/>
      <w:bookmarkStart w:id="345" w:name="_Toc296944532"/>
      <w:bookmarkStart w:id="346" w:name="_Toc297216199"/>
      <w:bookmarkStart w:id="347" w:name="_Toc303539146"/>
      <w:bookmarkStart w:id="348" w:name="_Toc292559903"/>
      <w:bookmarkStart w:id="349" w:name="_Toc292559398"/>
      <w:bookmarkStart w:id="350" w:name="_Toc296347192"/>
      <w:bookmarkStart w:id="351" w:name="_Toc297120493"/>
      <w:bookmarkStart w:id="352" w:name="_Toc296891021"/>
      <w:bookmarkStart w:id="353" w:name="_Toc296346694"/>
      <w:bookmarkStart w:id="354" w:name="_Toc297123540"/>
      <w:bookmarkStart w:id="355" w:name="_Toc304295566"/>
      <w:bookmarkStart w:id="356" w:name="_Toc312678025"/>
      <w:bookmarkStart w:id="357" w:name="_Toc312677499"/>
      <w:bookmarkStart w:id="358" w:name="_Toc267251441"/>
      <w:bookmarkStart w:id="359" w:name="_Toc267251435"/>
      <w:bookmarkStart w:id="360" w:name="_Toc267251440"/>
      <w:bookmarkStart w:id="361" w:name="_Toc267251433"/>
      <w:bookmarkStart w:id="362" w:name="_Toc267251437"/>
      <w:bookmarkStart w:id="363" w:name="_Toc267251439"/>
      <w:bookmarkStart w:id="364" w:name="_Toc267251442"/>
      <w:r>
        <w:rPr>
          <w:rFonts w:hint="eastAsia" w:ascii="宋体" w:hAnsi="宋体" w:eastAsia="宋体"/>
          <w:b w:val="0"/>
          <w:sz w:val="21"/>
          <w:szCs w:val="21"/>
        </w:rPr>
        <w:t>0. 变更</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bookmarkEnd w:id="356"/>
    <w:bookmarkEnd w:id="357"/>
    <w:p w14:paraId="55DB3982">
      <w:pPr>
        <w:spacing w:before="120" w:after="120" w:line="360" w:lineRule="auto"/>
        <w:ind w:firstLine="420" w:firstLineChars="200"/>
        <w:rPr>
          <w:rFonts w:hint="eastAsia" w:ascii="宋体" w:hAnsi="宋体"/>
          <w:szCs w:val="21"/>
        </w:rPr>
      </w:pPr>
      <w:r>
        <w:rPr>
          <w:rFonts w:hint="eastAsia" w:ascii="宋体" w:hAnsi="宋体"/>
          <w:szCs w:val="21"/>
        </w:rPr>
        <w:t>1</w:t>
      </w:r>
      <w:bookmarkStart w:id="365" w:name="_Toc292559399"/>
      <w:bookmarkStart w:id="366" w:name="_Toc296891234"/>
      <w:bookmarkStart w:id="367" w:name="_Toc300934990"/>
      <w:bookmarkStart w:id="368" w:name="_Toc312677500"/>
      <w:bookmarkStart w:id="369" w:name="_Toc297123541"/>
      <w:bookmarkStart w:id="370" w:name="_Toc296944533"/>
      <w:bookmarkStart w:id="371" w:name="_Toc297048380"/>
      <w:bookmarkStart w:id="372" w:name="_Toc292559904"/>
      <w:bookmarkStart w:id="373" w:name="_Toc296346695"/>
      <w:bookmarkStart w:id="374" w:name="_Toc312678026"/>
      <w:bookmarkStart w:id="375" w:name="_Toc297120494"/>
      <w:bookmarkStart w:id="376" w:name="_Toc296347193"/>
      <w:bookmarkStart w:id="377" w:name="_Toc304295567"/>
      <w:bookmarkStart w:id="378" w:name="_Toc297216200"/>
      <w:bookmarkStart w:id="379" w:name="_Toc303539147"/>
      <w:bookmarkStart w:id="380" w:name="_Toc296503194"/>
      <w:bookmarkStart w:id="381" w:name="_Toc296891022"/>
      <w:r>
        <w:rPr>
          <w:rFonts w:hint="eastAsia" w:ascii="宋体" w:hAnsi="宋体"/>
          <w:szCs w:val="21"/>
        </w:rPr>
        <w:t>0.1变更的范围</w:t>
      </w:r>
    </w:p>
    <w:p w14:paraId="4E50539B">
      <w:pPr>
        <w:spacing w:before="120" w:line="360" w:lineRule="auto"/>
        <w:ind w:firstLine="420" w:firstLineChars="200"/>
        <w:jc w:val="left"/>
        <w:rPr>
          <w:rFonts w:hint="eastAsia" w:ascii="宋体" w:hAnsi="宋体"/>
          <w:szCs w:val="21"/>
        </w:rPr>
      </w:pPr>
      <w:r>
        <w:rPr>
          <w:rFonts w:hint="eastAsia" w:ascii="宋体" w:hAnsi="宋体"/>
          <w:szCs w:val="21"/>
        </w:rPr>
        <w:t>关于变更的范围的约定：</w:t>
      </w:r>
      <w:r>
        <w:rPr>
          <w:rFonts w:hint="eastAsia" w:ascii="宋体" w:hAnsi="宋体"/>
          <w:szCs w:val="21"/>
          <w:u w:val="single"/>
        </w:rPr>
        <w:t xml:space="preserve">  设计变更项目以设计单位出具并经发包人、监理人确认的设计变更通知书为准。其他变更项目以发包人、承包人、监理人现场共同签证为准。其余按通用条款执行  </w:t>
      </w:r>
      <w:r>
        <w:rPr>
          <w:rFonts w:hint="eastAsia" w:ascii="宋体" w:hAnsi="宋体"/>
          <w:szCs w:val="21"/>
        </w:rPr>
        <w:t>。</w:t>
      </w:r>
    </w:p>
    <w:p w14:paraId="55F9DF50">
      <w:pPr>
        <w:spacing w:before="120" w:after="120" w:line="360" w:lineRule="auto"/>
        <w:ind w:firstLine="420" w:firstLineChars="200"/>
        <w:outlineLvl w:val="0"/>
        <w:rPr>
          <w:rFonts w:hint="eastAsia" w:ascii="宋体" w:hAnsi="宋体"/>
          <w:szCs w:val="21"/>
        </w:rPr>
      </w:pPr>
      <w:r>
        <w:rPr>
          <w:rFonts w:hint="eastAsia" w:ascii="宋体" w:hAnsi="宋体"/>
          <w:szCs w:val="21"/>
        </w:rPr>
        <w:t>10.4 变更估价</w:t>
      </w:r>
    </w:p>
    <w:p w14:paraId="0A2C60BA">
      <w:pPr>
        <w:spacing w:before="120" w:line="360" w:lineRule="auto"/>
        <w:ind w:firstLine="420" w:firstLineChars="200"/>
        <w:jc w:val="left"/>
        <w:rPr>
          <w:rFonts w:hint="eastAsia" w:ascii="宋体" w:hAnsi="宋体"/>
          <w:szCs w:val="21"/>
        </w:rPr>
      </w:pPr>
      <w:r>
        <w:rPr>
          <w:rFonts w:hint="eastAsia" w:ascii="宋体" w:hAnsi="宋体"/>
          <w:szCs w:val="21"/>
        </w:rPr>
        <w:t>10.4.1 变更估价原则</w:t>
      </w:r>
    </w:p>
    <w:p w14:paraId="43D0324A">
      <w:pPr>
        <w:spacing w:before="120" w:line="360" w:lineRule="auto"/>
        <w:ind w:firstLine="420" w:firstLineChars="200"/>
        <w:jc w:val="left"/>
        <w:rPr>
          <w:rFonts w:hint="eastAsia" w:ascii="宋体" w:hAnsi="宋体"/>
          <w:szCs w:val="21"/>
          <w:u w:val="single"/>
        </w:rPr>
      </w:pPr>
      <w:r>
        <w:rPr>
          <w:rFonts w:hint="eastAsia" w:ascii="宋体" w:hAnsi="宋体"/>
          <w:szCs w:val="21"/>
        </w:rPr>
        <w:t xml:space="preserve">关于变更估价的约定: </w:t>
      </w:r>
    </w:p>
    <w:p w14:paraId="1A7F1B82">
      <w:pPr>
        <w:spacing w:before="120" w:line="40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由于变更引起工程量变化的调整原则：变更部分按照《湖南省住房和城乡建设厅关于执行&lt;建设工程工程量清单计价标准&gt;及配套工程量计算标准的通知》 (湘建科函〔2025〕150号)，《湖南省住房和城乡建设厅关于发布2025《湖南省建设工程消耗量标准》的通知》（湘建科函[2025]151号）及相关法律法规及规范性文件确定变更计价。</w:t>
      </w:r>
    </w:p>
    <w:p w14:paraId="3F3E94C1">
      <w:pPr>
        <w:spacing w:before="120" w:line="360" w:lineRule="auto"/>
        <w:ind w:firstLine="420" w:firstLineChars="200"/>
        <w:rPr>
          <w:rFonts w:hint="eastAsia" w:ascii="宋体" w:hAnsi="宋体"/>
          <w:szCs w:val="21"/>
        </w:rPr>
      </w:pPr>
      <w:r>
        <w:rPr>
          <w:rFonts w:hint="eastAsia" w:ascii="宋体" w:hAnsi="宋体"/>
          <w:szCs w:val="21"/>
        </w:rPr>
        <w:t>1</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Start w:id="382" w:name="_Toc296346698"/>
      <w:bookmarkStart w:id="383" w:name="_Toc296503197"/>
      <w:bookmarkStart w:id="384" w:name="_Toc292559907"/>
      <w:bookmarkStart w:id="385" w:name="_Toc297123544"/>
      <w:bookmarkStart w:id="386" w:name="_Toc303539150"/>
      <w:bookmarkStart w:id="387" w:name="_Toc296891025"/>
      <w:bookmarkStart w:id="388" w:name="_Toc300934993"/>
      <w:bookmarkStart w:id="389" w:name="_Toc296891237"/>
      <w:bookmarkStart w:id="390" w:name="_Toc296347196"/>
      <w:bookmarkStart w:id="391" w:name="_Toc297120497"/>
      <w:bookmarkStart w:id="392" w:name="_Toc297048383"/>
      <w:bookmarkStart w:id="393" w:name="_Toc296944536"/>
      <w:bookmarkStart w:id="394" w:name="_Toc297216203"/>
      <w:bookmarkStart w:id="395" w:name="_Toc292559402"/>
      <w:bookmarkStart w:id="396" w:name="_Toc312678029"/>
      <w:bookmarkStart w:id="397" w:name="_Toc304295570"/>
      <w:bookmarkStart w:id="398" w:name="_Toc312677503"/>
      <w:r>
        <w:rPr>
          <w:rFonts w:hint="eastAsia" w:ascii="宋体" w:hAnsi="宋体"/>
          <w:szCs w:val="21"/>
        </w:rPr>
        <w:t>0.5承</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Start w:id="399" w:name="_Toc296347202"/>
      <w:bookmarkStart w:id="400" w:name="_Toc292559913"/>
      <w:bookmarkStart w:id="401" w:name="_Toc296944542"/>
      <w:bookmarkStart w:id="402" w:name="_Toc297048389"/>
      <w:bookmarkStart w:id="403" w:name="_Toc292559408"/>
      <w:bookmarkStart w:id="404" w:name="_Toc296503203"/>
      <w:bookmarkStart w:id="405" w:name="_Toc297120503"/>
      <w:bookmarkStart w:id="406" w:name="_Toc296346704"/>
      <w:bookmarkStart w:id="407" w:name="_Toc297123545"/>
      <w:bookmarkStart w:id="408" w:name="_Toc296891243"/>
      <w:bookmarkStart w:id="409" w:name="_Toc300934994"/>
      <w:bookmarkStart w:id="410" w:name="_Toc297216204"/>
      <w:bookmarkStart w:id="411" w:name="_Toc296891031"/>
      <w:bookmarkStart w:id="412" w:name="_Toc303539151"/>
      <w:r>
        <w:rPr>
          <w:rFonts w:hint="eastAsia" w:ascii="宋体" w:hAnsi="宋体"/>
          <w:szCs w:val="21"/>
        </w:rPr>
        <w:t>包人的合理化建议</w:t>
      </w:r>
    </w:p>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14:paraId="6899E8C5">
      <w:pPr>
        <w:spacing w:before="120" w:line="360" w:lineRule="auto"/>
        <w:ind w:firstLine="420" w:firstLineChars="200"/>
        <w:jc w:val="left"/>
        <w:rPr>
          <w:rFonts w:hint="eastAsia" w:ascii="宋体" w:hAnsi="宋体"/>
          <w:szCs w:val="21"/>
        </w:rPr>
      </w:pPr>
      <w:r>
        <w:rPr>
          <w:rFonts w:hint="eastAsia" w:ascii="宋体" w:hAnsi="宋体"/>
          <w:szCs w:val="21"/>
        </w:rPr>
        <w:t>监理人审查承包人合理化建议的期限：</w:t>
      </w:r>
      <w:r>
        <w:rPr>
          <w:rFonts w:hint="eastAsia" w:ascii="宋体" w:hAnsi="宋体"/>
          <w:szCs w:val="21"/>
          <w:u w:val="single"/>
        </w:rPr>
        <w:t xml:space="preserve">    按通用条款      </w:t>
      </w:r>
      <w:r>
        <w:rPr>
          <w:rFonts w:hint="eastAsia" w:ascii="宋体" w:hAnsi="宋体"/>
          <w:szCs w:val="21"/>
        </w:rPr>
        <w:t>。</w:t>
      </w:r>
    </w:p>
    <w:p w14:paraId="25F28CBE">
      <w:pPr>
        <w:spacing w:before="120" w:line="360" w:lineRule="auto"/>
        <w:ind w:firstLine="420" w:firstLineChars="200"/>
        <w:jc w:val="left"/>
        <w:rPr>
          <w:rFonts w:hint="eastAsia" w:ascii="宋体" w:hAnsi="宋体"/>
          <w:szCs w:val="21"/>
        </w:rPr>
      </w:pPr>
      <w:r>
        <w:rPr>
          <w:rFonts w:hint="eastAsia" w:ascii="宋体" w:hAnsi="宋体"/>
          <w:szCs w:val="21"/>
        </w:rPr>
        <w:t>发包人审批承包人合理化建议的期限：</w:t>
      </w:r>
      <w:r>
        <w:rPr>
          <w:rFonts w:hint="eastAsia" w:ascii="宋体" w:hAnsi="宋体"/>
          <w:szCs w:val="21"/>
          <w:u w:val="single"/>
        </w:rPr>
        <w:t xml:space="preserve">    按通用条款      </w:t>
      </w:r>
      <w:r>
        <w:rPr>
          <w:rFonts w:hint="eastAsia" w:ascii="宋体" w:hAnsi="宋体"/>
          <w:szCs w:val="21"/>
        </w:rPr>
        <w:t>。</w:t>
      </w:r>
    </w:p>
    <w:p w14:paraId="4C4B969E">
      <w:pPr>
        <w:spacing w:before="120" w:line="360" w:lineRule="auto"/>
        <w:ind w:firstLine="420" w:firstLineChars="200"/>
        <w:jc w:val="left"/>
        <w:rPr>
          <w:rFonts w:hint="eastAsia" w:ascii="宋体" w:hAnsi="宋体"/>
          <w:szCs w:val="21"/>
          <w:u w:val="single"/>
        </w:rPr>
      </w:pPr>
      <w:r>
        <w:rPr>
          <w:rFonts w:hint="eastAsia" w:ascii="宋体" w:hAnsi="宋体"/>
          <w:szCs w:val="21"/>
        </w:rPr>
        <w:t>承</w:t>
      </w:r>
      <w:bookmarkStart w:id="413" w:name="_Toc304295571"/>
      <w:bookmarkStart w:id="414" w:name="_Toc296347203"/>
      <w:bookmarkStart w:id="415" w:name="_Toc296891244"/>
      <w:bookmarkStart w:id="416" w:name="_Toc297123546"/>
      <w:bookmarkStart w:id="417" w:name="_Toc297216205"/>
      <w:bookmarkStart w:id="418" w:name="_Toc303539152"/>
      <w:bookmarkStart w:id="419" w:name="_Toc318581175"/>
      <w:bookmarkStart w:id="420" w:name="_Toc297048390"/>
      <w:bookmarkStart w:id="421" w:name="_Toc292559409"/>
      <w:bookmarkStart w:id="422" w:name="_Toc312678030"/>
      <w:bookmarkStart w:id="423" w:name="_Toc300934995"/>
      <w:bookmarkStart w:id="424" w:name="_Toc296346705"/>
      <w:bookmarkStart w:id="425" w:name="_Toc292559914"/>
      <w:bookmarkStart w:id="426" w:name="_Toc296944543"/>
      <w:bookmarkStart w:id="427" w:name="_Toc296891032"/>
      <w:bookmarkStart w:id="428" w:name="_Toc312677504"/>
      <w:bookmarkStart w:id="429" w:name="_Toc297120504"/>
      <w:bookmarkStart w:id="430" w:name="_Toc296503204"/>
      <w:r>
        <w:rPr>
          <w:rFonts w:hint="eastAsia" w:ascii="宋体" w:hAnsi="宋体"/>
          <w:szCs w:val="21"/>
        </w:rPr>
        <w:t>包人提出的合理化建议降低了合同价格或者提高了工程经济效益的奖励的方法和金额为：</w:t>
      </w:r>
      <w:r>
        <w:rPr>
          <w:rFonts w:hint="eastAsia" w:ascii="宋体" w:hAnsi="宋体"/>
          <w:szCs w:val="21"/>
          <w:u w:val="single"/>
        </w:rPr>
        <w:t xml:space="preserve">   发包人鼓励承包人提出合理化建议，但不为此支付任何费用  </w:t>
      </w:r>
      <w:r>
        <w:rPr>
          <w:rFonts w:hint="eastAsia" w:ascii="宋体" w:hAnsi="宋体"/>
          <w:szCs w:val="21"/>
        </w:rPr>
        <w:t>。</w:t>
      </w:r>
    </w:p>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14:paraId="42689BAD">
      <w:pPr>
        <w:spacing w:before="120" w:after="120" w:line="360" w:lineRule="auto"/>
        <w:ind w:firstLine="420" w:firstLineChars="200"/>
        <w:outlineLvl w:val="0"/>
        <w:rPr>
          <w:rFonts w:hint="eastAsia" w:ascii="宋体" w:hAnsi="宋体"/>
          <w:szCs w:val="21"/>
        </w:rPr>
      </w:pPr>
      <w:r>
        <w:rPr>
          <w:rFonts w:hint="eastAsia" w:ascii="宋体" w:hAnsi="宋体"/>
          <w:szCs w:val="21"/>
        </w:rPr>
        <w:t>1</w:t>
      </w:r>
      <w:bookmarkStart w:id="431" w:name="_Toc297048385"/>
      <w:bookmarkStart w:id="432" w:name="_Toc296346700"/>
      <w:bookmarkStart w:id="433" w:name="_Toc296891027"/>
      <w:bookmarkStart w:id="434" w:name="_Toc312677507"/>
      <w:bookmarkStart w:id="435" w:name="_Toc312678033"/>
      <w:bookmarkStart w:id="436" w:name="_Toc296503199"/>
      <w:bookmarkStart w:id="437" w:name="_Toc300934997"/>
      <w:bookmarkStart w:id="438" w:name="_Toc297123548"/>
      <w:bookmarkStart w:id="439" w:name="_Toc296347198"/>
      <w:bookmarkStart w:id="440" w:name="_Toc292559909"/>
      <w:bookmarkStart w:id="441" w:name="_Toc303539154"/>
      <w:bookmarkStart w:id="442" w:name="_Toc297120499"/>
      <w:bookmarkStart w:id="443" w:name="_Toc297216207"/>
      <w:bookmarkStart w:id="444" w:name="_Toc296944538"/>
      <w:bookmarkStart w:id="445" w:name="_Toc296891239"/>
      <w:bookmarkStart w:id="446" w:name="_Toc304295574"/>
      <w:bookmarkStart w:id="447" w:name="_Toc292559404"/>
      <w:r>
        <w:rPr>
          <w:rFonts w:hint="eastAsia" w:ascii="宋体" w:hAnsi="宋体"/>
          <w:szCs w:val="21"/>
        </w:rPr>
        <w:t>0.7 暂估价</w:t>
      </w:r>
    </w:p>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14:paraId="60940981">
      <w:pPr>
        <w:spacing w:before="120" w:line="360" w:lineRule="auto"/>
        <w:ind w:firstLine="420" w:firstLineChars="200"/>
        <w:jc w:val="left"/>
        <w:rPr>
          <w:rFonts w:hint="eastAsia" w:ascii="宋体" w:hAnsi="宋体"/>
          <w:szCs w:val="21"/>
        </w:rPr>
      </w:pPr>
      <w:r>
        <w:rPr>
          <w:rFonts w:hint="eastAsia" w:ascii="宋体" w:hAnsi="宋体"/>
          <w:kern w:val="0"/>
          <w:szCs w:val="21"/>
        </w:rPr>
        <w:t>暂</w:t>
      </w:r>
      <w:bookmarkStart w:id="448" w:name="_Toc312677508"/>
      <w:bookmarkStart w:id="449" w:name="_Toc312678034"/>
      <w:bookmarkStart w:id="450" w:name="_Toc318581176"/>
      <w:r>
        <w:rPr>
          <w:rFonts w:hint="eastAsia" w:ascii="宋体" w:hAnsi="宋体"/>
          <w:kern w:val="0"/>
          <w:szCs w:val="21"/>
        </w:rPr>
        <w:t>估价材料和工程设备的明细详见附件11：《</w:t>
      </w:r>
      <w:r>
        <w:rPr>
          <w:rFonts w:hint="eastAsia" w:ascii="宋体" w:hAnsi="宋体"/>
          <w:szCs w:val="21"/>
        </w:rPr>
        <w:t>暂估价一览表》</w:t>
      </w:r>
      <w:r>
        <w:rPr>
          <w:rFonts w:hint="eastAsia" w:ascii="宋体" w:hAnsi="宋体"/>
          <w:kern w:val="0"/>
          <w:szCs w:val="21"/>
        </w:rPr>
        <w:t>。</w:t>
      </w:r>
    </w:p>
    <w:bookmarkEnd w:id="448"/>
    <w:bookmarkEnd w:id="449"/>
    <w:bookmarkEnd w:id="450"/>
    <w:p w14:paraId="7814D18D">
      <w:pPr>
        <w:spacing w:before="120" w:line="360" w:lineRule="auto"/>
        <w:ind w:firstLine="420" w:firstLineChars="200"/>
        <w:jc w:val="left"/>
        <w:rPr>
          <w:rFonts w:hint="eastAsia" w:ascii="宋体" w:hAnsi="宋体"/>
          <w:szCs w:val="21"/>
        </w:rPr>
      </w:pPr>
      <w:r>
        <w:rPr>
          <w:rFonts w:hint="eastAsia" w:ascii="宋体" w:hAnsi="宋体"/>
          <w:szCs w:val="21"/>
        </w:rPr>
        <w:t>1</w:t>
      </w:r>
      <w:bookmarkStart w:id="451" w:name="_Toc312678035"/>
      <w:bookmarkStart w:id="452" w:name="_Toc318581177"/>
      <w:bookmarkStart w:id="453" w:name="_Toc312677509"/>
      <w:r>
        <w:rPr>
          <w:rFonts w:hint="eastAsia" w:ascii="宋体" w:hAnsi="宋体"/>
          <w:szCs w:val="21"/>
        </w:rPr>
        <w:t>0.7.1 依法必须招标的暂估价项目</w:t>
      </w:r>
    </w:p>
    <w:bookmarkEnd w:id="451"/>
    <w:bookmarkEnd w:id="452"/>
    <w:bookmarkEnd w:id="453"/>
    <w:p w14:paraId="2618A263">
      <w:pPr>
        <w:spacing w:before="120" w:line="360" w:lineRule="auto"/>
        <w:ind w:firstLine="420" w:firstLineChars="200"/>
        <w:jc w:val="left"/>
        <w:rPr>
          <w:rFonts w:hint="eastAsia" w:ascii="宋体" w:hAnsi="宋体"/>
          <w:szCs w:val="21"/>
        </w:rPr>
      </w:pPr>
      <w:r>
        <w:rPr>
          <w:rFonts w:hint="eastAsia" w:ascii="宋体" w:hAnsi="宋体"/>
          <w:szCs w:val="21"/>
        </w:rPr>
        <w:t>对于依法必须招标的暂估价项目的确认和批准采取第</w:t>
      </w:r>
      <w:r>
        <w:rPr>
          <w:rFonts w:hint="eastAsia" w:ascii="宋体" w:hAnsi="宋体"/>
          <w:szCs w:val="21"/>
          <w:u w:val="single"/>
        </w:rPr>
        <w:t xml:space="preserve"> 2 </w:t>
      </w:r>
      <w:r>
        <w:rPr>
          <w:rFonts w:hint="eastAsia" w:ascii="宋体" w:hAnsi="宋体"/>
          <w:szCs w:val="21"/>
        </w:rPr>
        <w:t>种方式确定。</w:t>
      </w:r>
    </w:p>
    <w:p w14:paraId="18E3AE46">
      <w:pPr>
        <w:spacing w:before="120" w:line="360" w:lineRule="auto"/>
        <w:ind w:firstLine="420" w:firstLineChars="200"/>
        <w:jc w:val="left"/>
        <w:rPr>
          <w:rFonts w:hint="eastAsia" w:ascii="宋体" w:hAnsi="宋体"/>
          <w:kern w:val="0"/>
          <w:szCs w:val="21"/>
        </w:rPr>
      </w:pPr>
      <w:r>
        <w:rPr>
          <w:rFonts w:hint="eastAsia" w:ascii="宋体" w:hAnsi="宋体"/>
          <w:kern w:val="0"/>
          <w:szCs w:val="21"/>
        </w:rPr>
        <w:t>第1种方式：对于依法必须招标的暂估价项目，由承包人招标，对该暂估价项目的确认和批准按照以下约定执行：</w:t>
      </w:r>
    </w:p>
    <w:p w14:paraId="5DE0611C">
      <w:pPr>
        <w:spacing w:before="120" w:line="360" w:lineRule="auto"/>
        <w:ind w:firstLine="420" w:firstLineChars="200"/>
        <w:jc w:val="left"/>
        <w:rPr>
          <w:rFonts w:hint="eastAsia" w:ascii="宋体" w:hAnsi="宋体"/>
          <w:kern w:val="0"/>
          <w:szCs w:val="21"/>
        </w:rPr>
      </w:pPr>
      <w:r>
        <w:rPr>
          <w:rFonts w:hint="eastAsia" w:ascii="宋体" w:hAnsi="宋体"/>
          <w:kern w:val="0"/>
          <w:szCs w:val="21"/>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54504B4">
      <w:pPr>
        <w:spacing w:before="120" w:line="360" w:lineRule="auto"/>
        <w:ind w:firstLine="420" w:firstLineChars="200"/>
        <w:jc w:val="left"/>
        <w:rPr>
          <w:rFonts w:hint="eastAsia" w:ascii="宋体" w:hAnsi="宋体"/>
          <w:kern w:val="0"/>
          <w:szCs w:val="21"/>
        </w:rPr>
      </w:pPr>
      <w:r>
        <w:rPr>
          <w:rFonts w:hint="eastAsia" w:ascii="宋体" w:hAnsi="宋体"/>
          <w:kern w:val="0"/>
          <w:szCs w:val="21"/>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1ABEDA00">
      <w:pPr>
        <w:spacing w:before="120" w:line="360" w:lineRule="auto"/>
        <w:ind w:firstLine="420" w:firstLineChars="200"/>
        <w:jc w:val="left"/>
        <w:rPr>
          <w:rFonts w:hint="eastAsia" w:ascii="宋体" w:hAnsi="宋体"/>
          <w:kern w:val="0"/>
          <w:szCs w:val="21"/>
        </w:rPr>
      </w:pPr>
      <w:r>
        <w:rPr>
          <w:rFonts w:hint="eastAsia" w:ascii="宋体" w:hAnsi="宋体"/>
          <w:kern w:val="0"/>
          <w:szCs w:val="21"/>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0A23638">
      <w:pPr>
        <w:spacing w:before="120" w:line="360" w:lineRule="auto"/>
        <w:ind w:firstLine="420" w:firstLineChars="200"/>
        <w:jc w:val="left"/>
        <w:rPr>
          <w:rFonts w:hint="eastAsia" w:ascii="宋体" w:hAnsi="宋体"/>
          <w:kern w:val="0"/>
          <w:szCs w:val="21"/>
        </w:rPr>
      </w:pPr>
      <w:r>
        <w:rPr>
          <w:rFonts w:hint="eastAsia" w:ascii="宋体" w:hAnsi="宋体"/>
          <w:kern w:val="0"/>
          <w:szCs w:val="21"/>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88092AC">
      <w:pPr>
        <w:spacing w:before="120" w:line="360" w:lineRule="auto"/>
        <w:ind w:firstLine="420" w:firstLineChars="200"/>
        <w:jc w:val="left"/>
        <w:rPr>
          <w:rFonts w:hint="eastAsia" w:ascii="宋体" w:hAnsi="宋体"/>
          <w:szCs w:val="21"/>
        </w:rPr>
      </w:pPr>
      <w:r>
        <w:rPr>
          <w:rFonts w:hint="eastAsia" w:ascii="宋体" w:hAnsi="宋体"/>
          <w:szCs w:val="21"/>
        </w:rPr>
        <w:t>10.7.2 不属于依法必须招标的暂估价项目</w:t>
      </w:r>
    </w:p>
    <w:p w14:paraId="128EDFF4">
      <w:pPr>
        <w:spacing w:before="120" w:line="360" w:lineRule="auto"/>
        <w:ind w:firstLine="420" w:firstLineChars="200"/>
        <w:jc w:val="left"/>
        <w:rPr>
          <w:rFonts w:hint="eastAsia" w:ascii="宋体" w:hAnsi="宋体"/>
          <w:szCs w:val="21"/>
        </w:rPr>
      </w:pPr>
      <w:r>
        <w:rPr>
          <w:rFonts w:hint="eastAsia" w:ascii="宋体" w:hAnsi="宋体"/>
          <w:szCs w:val="21"/>
        </w:rPr>
        <w:t>对于不属于依法必须招标的暂估价项目的确认和批准采取第</w:t>
      </w:r>
      <w:r>
        <w:rPr>
          <w:rFonts w:hint="eastAsia" w:ascii="宋体" w:hAnsi="宋体"/>
          <w:szCs w:val="21"/>
          <w:u w:val="single"/>
        </w:rPr>
        <w:t xml:space="preserve"> 1 </w:t>
      </w:r>
      <w:r>
        <w:rPr>
          <w:rFonts w:hint="eastAsia" w:ascii="宋体" w:hAnsi="宋体"/>
          <w:szCs w:val="21"/>
        </w:rPr>
        <w:t xml:space="preserve"> 种方式确定。</w:t>
      </w:r>
    </w:p>
    <w:p w14:paraId="156477B3">
      <w:pPr>
        <w:spacing w:before="120" w:line="360" w:lineRule="auto"/>
        <w:ind w:firstLine="420" w:firstLineChars="200"/>
        <w:jc w:val="left"/>
        <w:rPr>
          <w:rFonts w:hint="eastAsia" w:ascii="宋体" w:hAnsi="宋体"/>
          <w:kern w:val="0"/>
          <w:szCs w:val="21"/>
        </w:rPr>
      </w:pPr>
      <w:r>
        <w:rPr>
          <w:rFonts w:hint="eastAsia" w:ascii="宋体" w:hAnsi="宋体"/>
          <w:kern w:val="0"/>
          <w:szCs w:val="21"/>
        </w:rPr>
        <w:t>第1种方式：对于不属于依法必须招标的暂估价项目，按本项约定确认和批准：</w:t>
      </w:r>
    </w:p>
    <w:p w14:paraId="205E11E3">
      <w:pPr>
        <w:spacing w:before="120" w:line="360" w:lineRule="auto"/>
        <w:ind w:firstLine="420" w:firstLineChars="200"/>
        <w:jc w:val="left"/>
        <w:rPr>
          <w:rFonts w:hint="eastAsia" w:ascii="宋体" w:hAnsi="宋体"/>
          <w:kern w:val="0"/>
          <w:szCs w:val="21"/>
        </w:rPr>
      </w:pPr>
      <w:r>
        <w:rPr>
          <w:rFonts w:hint="eastAsia" w:ascii="宋体" w:hAnsi="宋体"/>
          <w:kern w:val="0"/>
          <w:szCs w:val="21"/>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04299C46">
      <w:pPr>
        <w:spacing w:before="120" w:line="360" w:lineRule="auto"/>
        <w:ind w:firstLine="420" w:firstLineChars="200"/>
        <w:jc w:val="left"/>
        <w:rPr>
          <w:rFonts w:hint="eastAsia" w:ascii="宋体" w:hAnsi="宋体"/>
          <w:kern w:val="0"/>
          <w:szCs w:val="21"/>
        </w:rPr>
      </w:pPr>
      <w:r>
        <w:rPr>
          <w:rFonts w:hint="eastAsia" w:ascii="宋体" w:hAnsi="宋体"/>
          <w:kern w:val="0"/>
          <w:szCs w:val="21"/>
        </w:rPr>
        <w:t>（2）发包人认为承包人确定的供应商、分包人无法满足工程质量或合同要求的，发包人可以要求承包人重新确定暂估价项目的供应商、分包人;</w:t>
      </w:r>
    </w:p>
    <w:p w14:paraId="1C26B861">
      <w:pPr>
        <w:spacing w:before="120" w:line="360" w:lineRule="auto"/>
        <w:ind w:firstLine="420" w:firstLineChars="200"/>
        <w:jc w:val="left"/>
        <w:rPr>
          <w:rFonts w:hint="eastAsia" w:ascii="宋体" w:hAnsi="宋体"/>
          <w:kern w:val="0"/>
          <w:szCs w:val="21"/>
        </w:rPr>
      </w:pPr>
      <w:r>
        <w:rPr>
          <w:rFonts w:hint="eastAsia" w:ascii="宋体" w:hAnsi="宋体"/>
          <w:kern w:val="0"/>
          <w:szCs w:val="21"/>
        </w:rPr>
        <w:t>（3）承包人应当在签订暂估价合同后7天内，将暂估价合同副本报送发包人留存。</w:t>
      </w:r>
    </w:p>
    <w:p w14:paraId="28165485">
      <w:pPr>
        <w:spacing w:before="120" w:line="360" w:lineRule="auto"/>
        <w:ind w:firstLine="420" w:firstLineChars="200"/>
        <w:jc w:val="left"/>
        <w:rPr>
          <w:rFonts w:hint="eastAsia" w:ascii="宋体" w:hAnsi="宋体"/>
          <w:color w:val="000000"/>
          <w:kern w:val="0"/>
          <w:szCs w:val="21"/>
        </w:rPr>
      </w:pPr>
      <w:r>
        <w:rPr>
          <w:rFonts w:hint="eastAsia" w:ascii="宋体" w:hAnsi="宋体"/>
          <w:kern w:val="0"/>
          <w:szCs w:val="21"/>
        </w:rPr>
        <w:t>第2种方式：承包人按照第10.7.1项〔依法必须招标的暂估价项目〕约定的第1种方</w:t>
      </w:r>
      <w:r>
        <w:rPr>
          <w:rFonts w:hint="eastAsia" w:ascii="宋体" w:hAnsi="宋体"/>
          <w:color w:val="000000"/>
          <w:kern w:val="0"/>
          <w:szCs w:val="21"/>
        </w:rPr>
        <w:t>式确定暂估价项目。</w:t>
      </w:r>
    </w:p>
    <w:p w14:paraId="28FBBAC4">
      <w:pPr>
        <w:spacing w:before="120" w:line="360" w:lineRule="auto"/>
        <w:ind w:firstLine="420" w:firstLineChars="200"/>
        <w:jc w:val="left"/>
        <w:rPr>
          <w:rFonts w:hint="eastAsia" w:ascii="宋体" w:hAnsi="宋体"/>
          <w:color w:val="000000"/>
          <w:kern w:val="0"/>
          <w:szCs w:val="21"/>
        </w:rPr>
      </w:pPr>
      <w:r>
        <w:rPr>
          <w:rFonts w:hint="eastAsia" w:ascii="宋体" w:hAnsi="宋体"/>
          <w:color w:val="000000"/>
          <w:szCs w:val="21"/>
        </w:rPr>
        <w:t>第3种方式：</w:t>
      </w:r>
      <w:r>
        <w:rPr>
          <w:rFonts w:hint="eastAsia" w:ascii="宋体" w:hAnsi="宋体"/>
          <w:color w:val="000000"/>
          <w:kern w:val="0"/>
          <w:szCs w:val="21"/>
        </w:rPr>
        <w:t>承包人直接实施的暂估价项目</w:t>
      </w:r>
    </w:p>
    <w:p w14:paraId="0FC73214">
      <w:pPr>
        <w:spacing w:before="120" w:line="360" w:lineRule="auto"/>
        <w:ind w:firstLine="420" w:firstLineChars="200"/>
        <w:jc w:val="left"/>
        <w:rPr>
          <w:rFonts w:hint="eastAsia" w:ascii="宋体" w:hAnsi="宋体"/>
          <w:color w:val="000000"/>
          <w:kern w:val="0"/>
          <w:szCs w:val="21"/>
        </w:rPr>
      </w:pPr>
      <w:r>
        <w:rPr>
          <w:rFonts w:hint="eastAsia" w:ascii="宋体" w:hAnsi="宋体"/>
          <w:color w:val="000000"/>
          <w:kern w:val="0"/>
          <w:szCs w:val="21"/>
        </w:rPr>
        <w:t>承包人具备实施暂估价项目的资格和条件的，经发包人和承包人协商一致后，可由承包人自行实施暂估价项目，合同当事人可以在专用合同条款约定具体事项。</w:t>
      </w:r>
    </w:p>
    <w:p w14:paraId="433F5D4A">
      <w:pPr>
        <w:spacing w:before="120" w:after="120" w:line="360" w:lineRule="auto"/>
        <w:ind w:firstLine="420" w:firstLineChars="200"/>
        <w:rPr>
          <w:rFonts w:hint="eastAsia" w:ascii="宋体" w:hAnsi="宋体"/>
          <w:szCs w:val="21"/>
        </w:rPr>
      </w:pPr>
      <w:r>
        <w:rPr>
          <w:rFonts w:hint="eastAsia" w:ascii="宋体" w:hAnsi="宋体"/>
          <w:color w:val="000000"/>
          <w:szCs w:val="21"/>
        </w:rPr>
        <w:t>10.8 暂列金额</w:t>
      </w:r>
    </w:p>
    <w:p w14:paraId="63A9285F">
      <w:pPr>
        <w:autoSpaceDE w:val="0"/>
        <w:autoSpaceDN w:val="0"/>
        <w:adjustRightInd w:val="0"/>
        <w:spacing w:before="120" w:line="360" w:lineRule="auto"/>
        <w:ind w:firstLine="420" w:firstLineChars="200"/>
        <w:jc w:val="left"/>
        <w:rPr>
          <w:rFonts w:hint="eastAsia" w:ascii="宋体" w:hAnsi="宋体"/>
          <w:szCs w:val="21"/>
          <w:u w:val="single"/>
        </w:rPr>
      </w:pPr>
      <w:r>
        <w:rPr>
          <w:rFonts w:hint="eastAsia" w:ascii="宋体" w:hAnsi="宋体"/>
          <w:kern w:val="0"/>
          <w:szCs w:val="21"/>
        </w:rPr>
        <w:t>合同当事人关于暂列金额使用的约定：</w:t>
      </w:r>
      <w:r>
        <w:rPr>
          <w:rFonts w:hint="eastAsia" w:ascii="宋体" w:hAnsi="宋体"/>
          <w:kern w:val="0"/>
          <w:szCs w:val="21"/>
          <w:u w:val="single"/>
        </w:rPr>
        <w:t>用于工程合同签订时尚未确定或者不可预见的所需材料、工程设备、服务的采购，施工中可能发生的工程变更、合同约定调整因素出现时的合同价格调整以及发生的索赔、现场签证确认等的费用。</w:t>
      </w:r>
    </w:p>
    <w:p w14:paraId="3F6EA25C">
      <w:pPr>
        <w:pStyle w:val="5"/>
        <w:spacing w:before="120" w:after="120" w:line="360" w:lineRule="auto"/>
        <w:ind w:firstLine="420" w:firstLineChars="200"/>
        <w:rPr>
          <w:rFonts w:hint="eastAsia" w:ascii="宋体" w:hAnsi="宋体" w:eastAsia="宋体"/>
          <w:b w:val="0"/>
          <w:color w:val="000000"/>
          <w:sz w:val="21"/>
          <w:szCs w:val="21"/>
        </w:rPr>
      </w:pPr>
      <w:bookmarkStart w:id="454" w:name="_Toc351203643"/>
      <w:r>
        <w:rPr>
          <w:rFonts w:hint="eastAsia" w:ascii="宋体" w:hAnsi="宋体" w:eastAsia="宋体"/>
          <w:b w:val="0"/>
          <w:color w:val="000000"/>
          <w:sz w:val="21"/>
          <w:szCs w:val="21"/>
        </w:rPr>
        <w:t>11. 价格调整</w:t>
      </w:r>
      <w:bookmarkEnd w:id="454"/>
    </w:p>
    <w:p w14:paraId="163C46FC">
      <w:pPr>
        <w:spacing w:before="120" w:after="120" w:line="360" w:lineRule="auto"/>
        <w:ind w:firstLine="420" w:firstLineChars="200"/>
        <w:rPr>
          <w:rFonts w:hint="eastAsia" w:ascii="宋体" w:hAnsi="宋体"/>
          <w:szCs w:val="21"/>
        </w:rPr>
      </w:pPr>
      <w:bookmarkStart w:id="455" w:name="_Toc296503201"/>
      <w:bookmarkStart w:id="456" w:name="_Toc303539157"/>
      <w:bookmarkStart w:id="457" w:name="_Toc312678039"/>
      <w:bookmarkStart w:id="458" w:name="_Toc304295577"/>
      <w:bookmarkStart w:id="459" w:name="_Toc296891029"/>
      <w:bookmarkStart w:id="460" w:name="_Toc297216209"/>
      <w:bookmarkStart w:id="461" w:name="_Toc296944540"/>
      <w:bookmarkStart w:id="462" w:name="_Toc297048387"/>
      <w:bookmarkStart w:id="463" w:name="_Toc297123550"/>
      <w:bookmarkStart w:id="464" w:name="_Toc300935000"/>
      <w:bookmarkStart w:id="465" w:name="_Toc297120501"/>
      <w:bookmarkStart w:id="466" w:name="_Toc292559911"/>
      <w:bookmarkStart w:id="467" w:name="_Toc296347200"/>
      <w:bookmarkStart w:id="468" w:name="_Toc292559406"/>
      <w:bookmarkStart w:id="469" w:name="_Toc296891241"/>
      <w:bookmarkStart w:id="470" w:name="_Toc296346702"/>
      <w:r>
        <w:rPr>
          <w:rFonts w:hint="eastAsia" w:ascii="宋体" w:hAnsi="宋体"/>
          <w:color w:val="000000"/>
          <w:szCs w:val="21"/>
        </w:rPr>
        <w:t>11.1 市场价格波动引起的调</w:t>
      </w:r>
      <w:r>
        <w:rPr>
          <w:rFonts w:hint="eastAsia" w:ascii="宋体" w:hAnsi="宋体"/>
          <w:szCs w:val="21"/>
        </w:rPr>
        <w:t>整</w:t>
      </w:r>
    </w:p>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14:paraId="408ED997">
      <w:pPr>
        <w:spacing w:before="120" w:line="360" w:lineRule="auto"/>
        <w:ind w:firstLine="420" w:firstLineChars="200"/>
        <w:jc w:val="left"/>
        <w:rPr>
          <w:rFonts w:hint="eastAsia" w:ascii="宋体" w:hAnsi="宋体"/>
          <w:szCs w:val="21"/>
        </w:rPr>
      </w:pPr>
      <w:r>
        <w:rPr>
          <w:rFonts w:hint="eastAsia" w:ascii="宋体" w:hAnsi="宋体"/>
          <w:kern w:val="0"/>
          <w:szCs w:val="21"/>
        </w:rPr>
        <w:t>市场价格波动是否调整合同价格的约定：</w:t>
      </w:r>
      <w:r>
        <w:rPr>
          <w:rFonts w:hint="eastAsia" w:ascii="宋体" w:hAnsi="宋体"/>
          <w:szCs w:val="21"/>
          <w:u w:val="single"/>
        </w:rPr>
        <w:t xml:space="preserve"> 是 </w:t>
      </w:r>
      <w:r>
        <w:rPr>
          <w:rFonts w:hint="eastAsia" w:ascii="宋体" w:hAnsi="宋体"/>
          <w:szCs w:val="21"/>
        </w:rPr>
        <w:t>。</w:t>
      </w:r>
    </w:p>
    <w:p w14:paraId="2E46EE63">
      <w:pPr>
        <w:spacing w:before="120" w:line="360" w:lineRule="auto"/>
        <w:ind w:firstLine="420" w:firstLineChars="200"/>
        <w:jc w:val="left"/>
        <w:rPr>
          <w:rFonts w:hint="eastAsia" w:ascii="宋体" w:hAnsi="宋体"/>
          <w:szCs w:val="21"/>
        </w:rPr>
      </w:pPr>
      <w:r>
        <w:rPr>
          <w:rFonts w:hint="eastAsia" w:ascii="宋体" w:hAnsi="宋体"/>
          <w:szCs w:val="21"/>
        </w:rPr>
        <w:t>因市场价格波动调整合同价格，采用以下第</w:t>
      </w:r>
      <w:r>
        <w:rPr>
          <w:rFonts w:hint="eastAsia" w:ascii="宋体" w:hAnsi="宋体"/>
          <w:szCs w:val="21"/>
          <w:u w:val="single"/>
        </w:rPr>
        <w:t xml:space="preserve">  3  </w:t>
      </w:r>
      <w:r>
        <w:rPr>
          <w:rFonts w:hint="eastAsia" w:ascii="宋体" w:hAnsi="宋体"/>
          <w:szCs w:val="21"/>
        </w:rPr>
        <w:t>种方式对合同价格进行调整：</w:t>
      </w:r>
    </w:p>
    <w:p w14:paraId="76D1EDA3">
      <w:pPr>
        <w:spacing w:before="120" w:line="360" w:lineRule="auto"/>
        <w:ind w:firstLine="420" w:firstLineChars="200"/>
        <w:jc w:val="left"/>
        <w:rPr>
          <w:rFonts w:hint="eastAsia" w:ascii="宋体" w:hAnsi="宋体"/>
          <w:szCs w:val="21"/>
        </w:rPr>
      </w:pPr>
      <w:r>
        <w:rPr>
          <w:rFonts w:hint="eastAsia" w:ascii="宋体" w:hAnsi="宋体"/>
          <w:szCs w:val="21"/>
        </w:rPr>
        <w:t>第1种方式：采用价格指数进行价格调整。</w:t>
      </w:r>
    </w:p>
    <w:p w14:paraId="66C1EC22">
      <w:pPr>
        <w:spacing w:before="120" w:line="360" w:lineRule="auto"/>
        <w:ind w:firstLine="420" w:firstLineChars="200"/>
        <w:jc w:val="left"/>
        <w:rPr>
          <w:rFonts w:hint="eastAsia" w:ascii="宋体" w:hAnsi="宋体"/>
          <w:szCs w:val="21"/>
          <w:u w:val="single"/>
        </w:rPr>
      </w:pPr>
      <w:r>
        <w:rPr>
          <w:rFonts w:hint="eastAsia" w:ascii="宋体" w:hAnsi="宋体"/>
          <w:szCs w:val="21"/>
        </w:rPr>
        <w:t>关于各可调因子、定值和变值权重，以及基本价格指数及其来源的约定：</w:t>
      </w:r>
      <w:r>
        <w:rPr>
          <w:rFonts w:hint="eastAsia" w:ascii="宋体" w:hAnsi="宋体"/>
          <w:szCs w:val="21"/>
          <w:u w:val="single"/>
        </w:rPr>
        <w:t xml:space="preserve">      /      </w:t>
      </w:r>
      <w:r>
        <w:rPr>
          <w:rFonts w:hint="eastAsia" w:ascii="宋体" w:hAnsi="宋体"/>
          <w:szCs w:val="21"/>
        </w:rPr>
        <w:t xml:space="preserve">；  </w:t>
      </w:r>
    </w:p>
    <w:p w14:paraId="745100F9">
      <w:pPr>
        <w:spacing w:before="120" w:line="360" w:lineRule="auto"/>
        <w:ind w:firstLine="420" w:firstLineChars="200"/>
        <w:jc w:val="left"/>
        <w:rPr>
          <w:rFonts w:hint="eastAsia" w:ascii="宋体" w:hAnsi="宋体"/>
          <w:szCs w:val="21"/>
        </w:rPr>
      </w:pPr>
      <w:r>
        <w:rPr>
          <w:rFonts w:hint="eastAsia" w:ascii="宋体" w:hAnsi="宋体"/>
          <w:szCs w:val="21"/>
        </w:rPr>
        <w:t>第2种方式：采用造价信息进行价格调整。</w:t>
      </w:r>
    </w:p>
    <w:p w14:paraId="1474E177">
      <w:pPr>
        <w:spacing w:before="120" w:line="360" w:lineRule="auto"/>
        <w:ind w:firstLine="420" w:firstLineChars="200"/>
        <w:rPr>
          <w:rFonts w:hint="eastAsia" w:ascii="宋体" w:hAnsi="宋体"/>
          <w:szCs w:val="21"/>
        </w:rPr>
      </w:pPr>
      <w:r>
        <w:rPr>
          <w:rFonts w:hint="eastAsia" w:ascii="宋体" w:hAnsi="宋体"/>
          <w:szCs w:val="21"/>
        </w:rPr>
        <w:t>第3种方式：专用合同条款约定的其他方式。</w:t>
      </w:r>
    </w:p>
    <w:p w14:paraId="772D44EC">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（1）可调价材料范围为：按财政有关规定的主材。</w:t>
      </w:r>
    </w:p>
    <w:p w14:paraId="51012BC2">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（2）关于基准价格的约定：《湘潭建设造价》发布的材料预算价格为基期价格。</w:t>
      </w:r>
    </w:p>
    <w:bookmarkEnd w:id="358"/>
    <w:bookmarkEnd w:id="359"/>
    <w:bookmarkEnd w:id="360"/>
    <w:bookmarkEnd w:id="361"/>
    <w:bookmarkEnd w:id="362"/>
    <w:bookmarkEnd w:id="363"/>
    <w:p w14:paraId="0B2DFE09">
      <w:pPr>
        <w:spacing w:before="120" w:line="360" w:lineRule="auto"/>
        <w:ind w:firstLine="420" w:firstLineChars="200"/>
        <w:jc w:val="left"/>
        <w:rPr>
          <w:rFonts w:hint="eastAsia" w:ascii="宋体" w:hAnsi="宋体"/>
          <w:color w:val="auto"/>
          <w:szCs w:val="21"/>
          <w:highlight w:val="none"/>
          <w:u w:val="single"/>
        </w:rPr>
      </w:pPr>
      <w:bookmarkStart w:id="471" w:name="_Toc296347204"/>
      <w:bookmarkStart w:id="472" w:name="_Toc297048391"/>
      <w:bookmarkStart w:id="473" w:name="_Toc292559410"/>
      <w:bookmarkStart w:id="474" w:name="_Toc296891033"/>
      <w:bookmarkStart w:id="475" w:name="_Toc297120505"/>
      <w:bookmarkStart w:id="476" w:name="_Toc296503205"/>
      <w:bookmarkStart w:id="477" w:name="_Toc296346706"/>
      <w:bookmarkStart w:id="478" w:name="_Toc296891245"/>
      <w:bookmarkStart w:id="479" w:name="_Toc292559915"/>
      <w:bookmarkStart w:id="480" w:name="_Toc296944544"/>
      <w:bookmarkStart w:id="481" w:name="_Toc351203644"/>
      <w:bookmarkStart w:id="482" w:name="_Toc297123552"/>
      <w:bookmarkStart w:id="483" w:name="_Toc297216211"/>
      <w:bookmarkStart w:id="484" w:name="_Toc304295579"/>
      <w:bookmarkStart w:id="485" w:name="_Toc300935002"/>
      <w:bookmarkStart w:id="486" w:name="_Toc312678040"/>
      <w:bookmarkStart w:id="487" w:name="_Toc303539159"/>
      <w:r>
        <w:rPr>
          <w:rFonts w:hint="eastAsia" w:ascii="宋体" w:hAnsi="宋体"/>
          <w:color w:val="auto"/>
          <w:szCs w:val="21"/>
          <w:highlight w:val="none"/>
          <w:u w:val="single"/>
        </w:rPr>
        <w:t>（3）材料调价部分的计算方式按省住建厅关于执行《建设工程工程量清单计价标准》及配套工程量计价标准的通知（湘建科函[2025]150号）相关规定执行。</w:t>
      </w:r>
    </w:p>
    <w:p w14:paraId="426C683F">
      <w:pPr>
        <w:spacing w:before="120" w:line="360" w:lineRule="auto"/>
        <w:ind w:firstLine="420" w:firstLineChars="200"/>
        <w:jc w:val="left"/>
        <w:rPr>
          <w:rFonts w:hint="eastAsia" w:ascii="宋体" w:hAnsi="宋体"/>
          <w:color w:val="auto"/>
          <w:szCs w:val="21"/>
          <w:highlight w:val="none"/>
          <w:u w:val="single"/>
        </w:rPr>
      </w:pPr>
      <w:r>
        <w:rPr>
          <w:rFonts w:hint="eastAsia" w:ascii="宋体" w:hAnsi="宋体"/>
          <w:color w:val="auto"/>
          <w:szCs w:val="21"/>
          <w:highlight w:val="none"/>
          <w:u w:val="single"/>
        </w:rPr>
        <w:t>（4）人工工资调整：按湘建科函〔2025〕150号的相关规定执行。</w:t>
      </w:r>
    </w:p>
    <w:p w14:paraId="38BF4AF0">
      <w:pPr>
        <w:pStyle w:val="5"/>
        <w:spacing w:before="120" w:after="120" w:line="360" w:lineRule="auto"/>
        <w:rPr>
          <w:rFonts w:hint="eastAsia" w:ascii="宋体" w:hAnsi="宋体" w:eastAsia="宋体"/>
          <w:b w:val="0"/>
          <w:color w:val="000000"/>
          <w:sz w:val="21"/>
          <w:szCs w:val="21"/>
        </w:rPr>
      </w:pPr>
      <w:r>
        <w:rPr>
          <w:rFonts w:hint="eastAsia" w:ascii="宋体" w:hAnsi="宋体" w:eastAsia="宋体"/>
          <w:b w:val="0"/>
          <w:color w:val="000000"/>
          <w:sz w:val="21"/>
          <w:szCs w:val="21"/>
        </w:rPr>
        <w:t xml:space="preserve">12. </w:t>
      </w:r>
      <w:bookmarkEnd w:id="471"/>
      <w:bookmarkEnd w:id="472"/>
      <w:bookmarkEnd w:id="473"/>
      <w:bookmarkEnd w:id="474"/>
      <w:bookmarkEnd w:id="475"/>
      <w:bookmarkEnd w:id="476"/>
      <w:bookmarkEnd w:id="477"/>
      <w:bookmarkEnd w:id="478"/>
      <w:bookmarkEnd w:id="479"/>
      <w:bookmarkEnd w:id="480"/>
      <w:r>
        <w:rPr>
          <w:rFonts w:hint="eastAsia" w:ascii="宋体" w:hAnsi="宋体" w:eastAsia="宋体"/>
          <w:b w:val="0"/>
          <w:color w:val="000000"/>
          <w:sz w:val="21"/>
          <w:szCs w:val="21"/>
        </w:rPr>
        <w:t>合同价格、计量与支付</w:t>
      </w:r>
      <w:bookmarkEnd w:id="481"/>
    </w:p>
    <w:bookmarkEnd w:id="482"/>
    <w:bookmarkEnd w:id="483"/>
    <w:bookmarkEnd w:id="484"/>
    <w:bookmarkEnd w:id="485"/>
    <w:bookmarkEnd w:id="486"/>
    <w:bookmarkEnd w:id="487"/>
    <w:p w14:paraId="3A95E863">
      <w:pPr>
        <w:spacing w:before="120" w:after="120" w:line="360" w:lineRule="auto"/>
        <w:ind w:firstLine="420" w:firstLineChars="200"/>
        <w:rPr>
          <w:rFonts w:hint="eastAsia" w:ascii="宋体" w:hAnsi="宋体"/>
          <w:szCs w:val="21"/>
        </w:rPr>
      </w:pPr>
      <w:bookmarkStart w:id="488" w:name="_Toc267251461"/>
      <w:bookmarkStart w:id="489" w:name="_Toc292559916"/>
      <w:bookmarkStart w:id="490" w:name="_Toc292559411"/>
      <w:bookmarkStart w:id="491" w:name="_Toc296891246"/>
      <w:bookmarkStart w:id="492" w:name="_Toc296891034"/>
      <w:bookmarkStart w:id="493" w:name="_Toc297120506"/>
      <w:bookmarkStart w:id="494" w:name="_Toc296503206"/>
      <w:bookmarkStart w:id="495" w:name="_Toc296347205"/>
      <w:bookmarkStart w:id="496" w:name="_Toc296944545"/>
      <w:bookmarkStart w:id="497" w:name="_Toc297048392"/>
      <w:bookmarkStart w:id="498" w:name="_Toc296346707"/>
      <w:bookmarkStart w:id="499" w:name="_Toc300935003"/>
      <w:bookmarkStart w:id="500" w:name="_Toc312678041"/>
      <w:bookmarkStart w:id="501" w:name="_Toc304295580"/>
      <w:bookmarkStart w:id="502" w:name="_Toc303539160"/>
      <w:bookmarkStart w:id="503" w:name="_Toc297123553"/>
      <w:bookmarkStart w:id="504" w:name="_Toc297216212"/>
      <w:r>
        <w:rPr>
          <w:rFonts w:hint="eastAsia" w:ascii="宋体" w:hAnsi="宋体"/>
          <w:color w:val="000000"/>
          <w:szCs w:val="21"/>
        </w:rPr>
        <w:t>12.1 合</w:t>
      </w:r>
      <w:bookmarkEnd w:id="488"/>
      <w:bookmarkEnd w:id="489"/>
      <w:bookmarkEnd w:id="490"/>
      <w:r>
        <w:rPr>
          <w:rFonts w:hint="eastAsia" w:ascii="宋体" w:hAnsi="宋体"/>
          <w:color w:val="000000"/>
          <w:szCs w:val="21"/>
        </w:rPr>
        <w:t>同</w:t>
      </w:r>
      <w:r>
        <w:rPr>
          <w:rFonts w:hint="eastAsia" w:ascii="宋体" w:hAnsi="宋体"/>
          <w:szCs w:val="21"/>
        </w:rPr>
        <w:t>价</w:t>
      </w:r>
      <w:bookmarkEnd w:id="491"/>
      <w:bookmarkEnd w:id="492"/>
      <w:bookmarkEnd w:id="493"/>
      <w:bookmarkEnd w:id="494"/>
      <w:bookmarkEnd w:id="495"/>
      <w:bookmarkEnd w:id="496"/>
      <w:bookmarkEnd w:id="497"/>
      <w:bookmarkEnd w:id="498"/>
      <w:r>
        <w:rPr>
          <w:rFonts w:hint="eastAsia" w:ascii="宋体" w:hAnsi="宋体"/>
          <w:szCs w:val="21"/>
        </w:rPr>
        <w:t>格形式</w:t>
      </w:r>
    </w:p>
    <w:bookmarkEnd w:id="499"/>
    <w:bookmarkEnd w:id="500"/>
    <w:bookmarkEnd w:id="501"/>
    <w:bookmarkEnd w:id="502"/>
    <w:bookmarkEnd w:id="503"/>
    <w:bookmarkEnd w:id="504"/>
    <w:p w14:paraId="1FF004A9">
      <w:pPr>
        <w:spacing w:before="120" w:line="360" w:lineRule="auto"/>
        <w:ind w:firstLine="420" w:firstLineChars="200"/>
        <w:jc w:val="left"/>
        <w:rPr>
          <w:rFonts w:hint="eastAsia" w:ascii="宋体" w:hAnsi="宋体"/>
          <w:szCs w:val="21"/>
        </w:rPr>
      </w:pPr>
      <w:r>
        <w:rPr>
          <w:rFonts w:hint="eastAsia" w:ascii="宋体" w:hAnsi="宋体"/>
          <w:szCs w:val="21"/>
        </w:rPr>
        <w:t>1. 单价合同。</w:t>
      </w:r>
    </w:p>
    <w:p w14:paraId="3A40B71C">
      <w:pPr>
        <w:spacing w:before="120" w:line="360" w:lineRule="auto"/>
        <w:ind w:firstLine="420" w:firstLineChars="200"/>
        <w:jc w:val="left"/>
        <w:rPr>
          <w:rFonts w:hint="eastAsia" w:ascii="宋体" w:hAnsi="宋体"/>
          <w:szCs w:val="21"/>
        </w:rPr>
      </w:pPr>
      <w:r>
        <w:rPr>
          <w:rFonts w:hint="eastAsia" w:ascii="宋体" w:hAnsi="宋体"/>
          <w:szCs w:val="21"/>
        </w:rPr>
        <w:t>本合同价款</w:t>
      </w:r>
      <w:r>
        <w:rPr>
          <w:rFonts w:hint="eastAsia" w:ascii="宋体" w:hAnsi="宋体"/>
          <w:szCs w:val="21"/>
          <w:u w:val="single"/>
        </w:rPr>
        <w:t xml:space="preserve">  采用固定综合单价进行结算 </w:t>
      </w:r>
      <w:r>
        <w:rPr>
          <w:rFonts w:hint="eastAsia" w:ascii="宋体" w:hAnsi="宋体"/>
          <w:szCs w:val="21"/>
        </w:rPr>
        <w:t>。</w:t>
      </w:r>
    </w:p>
    <w:p w14:paraId="74B5EEF5">
      <w:pPr>
        <w:spacing w:before="120" w:line="360" w:lineRule="auto"/>
        <w:ind w:firstLine="420" w:firstLineChars="200"/>
        <w:jc w:val="left"/>
        <w:rPr>
          <w:rFonts w:hint="eastAsia" w:ascii="宋体" w:hAnsi="宋体"/>
          <w:szCs w:val="21"/>
        </w:rPr>
      </w:pPr>
      <w:r>
        <w:rPr>
          <w:rFonts w:hint="eastAsia" w:ascii="宋体" w:hAnsi="宋体"/>
          <w:szCs w:val="21"/>
        </w:rPr>
        <w:t>综合单价包含的风险范围：</w:t>
      </w:r>
      <w:r>
        <w:rPr>
          <w:rFonts w:hint="eastAsia" w:ascii="宋体" w:hAnsi="宋体"/>
          <w:szCs w:val="21"/>
          <w:u w:val="single"/>
        </w:rPr>
        <w:t xml:space="preserve">①市场主要材料价格波动±3%以内的风险；②投标截止（或没有招投标的按合同签订日期）前28天政策性调整风险 </w:t>
      </w:r>
      <w:r>
        <w:rPr>
          <w:rFonts w:hint="eastAsia" w:ascii="宋体" w:hAnsi="宋体"/>
          <w:szCs w:val="21"/>
        </w:rPr>
        <w:t>。</w:t>
      </w:r>
    </w:p>
    <w:p w14:paraId="4DB1489E">
      <w:pPr>
        <w:spacing w:before="120" w:line="360" w:lineRule="auto"/>
        <w:ind w:firstLine="420" w:firstLineChars="200"/>
        <w:jc w:val="left"/>
        <w:rPr>
          <w:rFonts w:hint="eastAsia" w:ascii="宋体" w:hAnsi="宋体"/>
          <w:szCs w:val="21"/>
        </w:rPr>
      </w:pPr>
      <w:r>
        <w:rPr>
          <w:rFonts w:hint="eastAsia" w:ascii="宋体" w:hAnsi="宋体"/>
          <w:szCs w:val="21"/>
        </w:rPr>
        <w:t>风险费用的计算方法：</w:t>
      </w:r>
      <w:r>
        <w:rPr>
          <w:rFonts w:hint="eastAsia" w:ascii="宋体" w:hAnsi="宋体"/>
          <w:szCs w:val="21"/>
          <w:u w:val="single"/>
        </w:rPr>
        <w:t xml:space="preserve">  在风险约定范围内价格不予调整 </w:t>
      </w:r>
      <w:r>
        <w:rPr>
          <w:rFonts w:hint="eastAsia" w:ascii="宋体" w:hAnsi="宋体"/>
          <w:szCs w:val="21"/>
        </w:rPr>
        <w:t>。</w:t>
      </w:r>
    </w:p>
    <w:p w14:paraId="329140BB">
      <w:pPr>
        <w:spacing w:before="120" w:line="360" w:lineRule="auto"/>
        <w:ind w:firstLine="420" w:firstLineChars="200"/>
        <w:jc w:val="left"/>
        <w:rPr>
          <w:rFonts w:hint="eastAsia" w:ascii="宋体" w:hAnsi="宋体"/>
          <w:szCs w:val="21"/>
        </w:rPr>
      </w:pPr>
      <w:r>
        <w:rPr>
          <w:rFonts w:hint="eastAsia" w:ascii="宋体" w:hAnsi="宋体"/>
          <w:szCs w:val="21"/>
        </w:rPr>
        <w:t>风险范围以外合同价格的调整方法：</w:t>
      </w:r>
      <w:r>
        <w:rPr>
          <w:rFonts w:hint="eastAsia" w:ascii="宋体" w:hAnsi="宋体"/>
          <w:szCs w:val="21"/>
          <w:u w:val="single"/>
        </w:rPr>
        <w:t xml:space="preserve">   根据湖南省、湘潭市建设行政主管部门发布的指导价格据实调整  </w:t>
      </w:r>
      <w:r>
        <w:rPr>
          <w:rFonts w:hint="eastAsia" w:ascii="宋体" w:hAnsi="宋体"/>
          <w:szCs w:val="21"/>
        </w:rPr>
        <w:t>。</w:t>
      </w:r>
    </w:p>
    <w:p w14:paraId="58683262">
      <w:pPr>
        <w:numPr>
          <w:ilvl w:val="0"/>
          <w:numId w:val="4"/>
        </w:numPr>
        <w:spacing w:before="120" w:line="360" w:lineRule="auto"/>
        <w:ind w:firstLine="420" w:firstLineChars="200"/>
        <w:jc w:val="left"/>
        <w:rPr>
          <w:rFonts w:hint="eastAsia" w:ascii="宋体" w:hAnsi="宋体"/>
          <w:color w:val="000000"/>
          <w:szCs w:val="21"/>
        </w:rPr>
      </w:pPr>
      <w:r>
        <w:rPr>
          <w:rFonts w:hint="eastAsia" w:ascii="宋体" w:hAnsi="宋体"/>
          <w:color w:val="000000"/>
          <w:szCs w:val="21"/>
        </w:rPr>
        <w:t>总价合同。</w:t>
      </w:r>
    </w:p>
    <w:p w14:paraId="67292F53">
      <w:pPr>
        <w:spacing w:before="120" w:line="360" w:lineRule="auto"/>
        <w:ind w:firstLine="420" w:firstLineChars="200"/>
        <w:jc w:val="left"/>
        <w:rPr>
          <w:rFonts w:hint="eastAsia" w:ascii="宋体" w:hAnsi="宋体"/>
          <w:szCs w:val="21"/>
        </w:rPr>
      </w:pPr>
      <w:r>
        <w:rPr>
          <w:rFonts w:hint="eastAsia" w:ascii="宋体" w:hAnsi="宋体"/>
          <w:szCs w:val="21"/>
        </w:rPr>
        <w:t>总价包含的风险范围：</w:t>
      </w:r>
      <w:r>
        <w:rPr>
          <w:rFonts w:hint="eastAsia" w:ascii="宋体" w:hAnsi="宋体"/>
          <w:szCs w:val="21"/>
          <w:u w:val="single"/>
        </w:rPr>
        <w:t xml:space="preserve">   /   </w:t>
      </w:r>
      <w:r>
        <w:rPr>
          <w:rFonts w:hint="eastAsia" w:ascii="宋体" w:hAnsi="宋体"/>
          <w:szCs w:val="21"/>
        </w:rPr>
        <w:t>。</w:t>
      </w:r>
    </w:p>
    <w:p w14:paraId="783F9E6A">
      <w:pPr>
        <w:spacing w:before="120" w:line="360" w:lineRule="auto"/>
        <w:ind w:firstLine="420" w:firstLineChars="200"/>
        <w:jc w:val="left"/>
        <w:rPr>
          <w:rFonts w:hint="eastAsia" w:ascii="宋体" w:hAnsi="宋体"/>
          <w:szCs w:val="21"/>
        </w:rPr>
      </w:pPr>
      <w:r>
        <w:rPr>
          <w:rFonts w:hint="eastAsia" w:ascii="宋体" w:hAnsi="宋体"/>
          <w:szCs w:val="21"/>
        </w:rPr>
        <w:t>风险费用的计算方法：</w:t>
      </w:r>
      <w:r>
        <w:rPr>
          <w:rFonts w:hint="eastAsia" w:ascii="宋体" w:hAnsi="宋体"/>
          <w:szCs w:val="21"/>
          <w:u w:val="single"/>
        </w:rPr>
        <w:t xml:space="preserve">   /   </w:t>
      </w:r>
      <w:r>
        <w:rPr>
          <w:rFonts w:hint="eastAsia" w:ascii="宋体" w:hAnsi="宋体"/>
          <w:szCs w:val="21"/>
        </w:rPr>
        <w:t>。</w:t>
      </w:r>
    </w:p>
    <w:p w14:paraId="66E8E946">
      <w:pPr>
        <w:spacing w:before="120" w:line="360" w:lineRule="auto"/>
        <w:ind w:firstLine="420" w:firstLineChars="200"/>
        <w:jc w:val="left"/>
        <w:rPr>
          <w:rFonts w:hint="eastAsia" w:ascii="宋体" w:hAnsi="宋体"/>
          <w:szCs w:val="21"/>
        </w:rPr>
      </w:pPr>
      <w:r>
        <w:rPr>
          <w:rFonts w:hint="eastAsia" w:ascii="宋体" w:hAnsi="宋体"/>
          <w:szCs w:val="21"/>
        </w:rPr>
        <w:t>风险范围以外合同价格的调整方法：</w:t>
      </w:r>
      <w:r>
        <w:rPr>
          <w:rFonts w:hint="eastAsia" w:ascii="宋体" w:hAnsi="宋体"/>
          <w:szCs w:val="21"/>
          <w:u w:val="single"/>
        </w:rPr>
        <w:t xml:space="preserve">   /   </w:t>
      </w:r>
      <w:r>
        <w:rPr>
          <w:rFonts w:hint="eastAsia" w:ascii="宋体" w:hAnsi="宋体"/>
          <w:szCs w:val="21"/>
        </w:rPr>
        <w:t>。</w:t>
      </w:r>
    </w:p>
    <w:p w14:paraId="1B396514">
      <w:pPr>
        <w:spacing w:before="120" w:line="360" w:lineRule="auto"/>
        <w:ind w:firstLine="420" w:firstLineChars="200"/>
        <w:jc w:val="left"/>
        <w:rPr>
          <w:rFonts w:hint="eastAsia" w:ascii="宋体" w:hAnsi="宋体"/>
          <w:szCs w:val="21"/>
        </w:rPr>
      </w:pPr>
      <w:r>
        <w:rPr>
          <w:rFonts w:hint="eastAsia" w:ascii="宋体" w:hAnsi="宋体"/>
          <w:szCs w:val="21"/>
        </w:rPr>
        <w:t>其他价格方式：</w:t>
      </w:r>
      <w:r>
        <w:rPr>
          <w:rFonts w:hint="eastAsia" w:ascii="宋体" w:hAnsi="宋体"/>
          <w:szCs w:val="21"/>
          <w:u w:val="single"/>
        </w:rPr>
        <w:t xml:space="preserve">   /   </w:t>
      </w:r>
      <w:r>
        <w:rPr>
          <w:rFonts w:hint="eastAsia" w:ascii="宋体" w:hAnsi="宋体"/>
          <w:szCs w:val="21"/>
        </w:rPr>
        <w:t>。</w:t>
      </w:r>
    </w:p>
    <w:p w14:paraId="6D6ED446">
      <w:pPr>
        <w:spacing w:before="120" w:after="120" w:line="360" w:lineRule="auto"/>
        <w:ind w:firstLine="420" w:firstLineChars="200"/>
        <w:rPr>
          <w:rFonts w:hint="eastAsia" w:ascii="宋体" w:hAnsi="宋体"/>
          <w:szCs w:val="21"/>
        </w:rPr>
      </w:pPr>
      <w:bookmarkStart w:id="505" w:name="_Toc303539161"/>
      <w:bookmarkStart w:id="506" w:name="_Toc300935004"/>
      <w:bookmarkStart w:id="507" w:name="_Toc297216213"/>
      <w:bookmarkStart w:id="508" w:name="_Toc312678042"/>
      <w:bookmarkStart w:id="509" w:name="_Toc304295581"/>
      <w:bookmarkStart w:id="510" w:name="_Toc297123554"/>
      <w:bookmarkStart w:id="511" w:name="_Toc297048393"/>
      <w:bookmarkStart w:id="512" w:name="_Toc292559412"/>
      <w:bookmarkStart w:id="513" w:name="_Toc292559917"/>
      <w:bookmarkStart w:id="514" w:name="_Toc296891035"/>
      <w:bookmarkStart w:id="515" w:name="_Toc296944546"/>
      <w:bookmarkStart w:id="516" w:name="_Toc296347206"/>
      <w:bookmarkStart w:id="517" w:name="_Toc297120507"/>
      <w:bookmarkStart w:id="518" w:name="_Toc296346708"/>
      <w:bookmarkStart w:id="519" w:name="_Toc296891247"/>
      <w:bookmarkStart w:id="520" w:name="_Toc296503207"/>
      <w:r>
        <w:rPr>
          <w:rFonts w:hint="eastAsia" w:ascii="宋体" w:hAnsi="宋体"/>
          <w:szCs w:val="21"/>
        </w:rPr>
        <w:t>12.2 预付款</w:t>
      </w:r>
    </w:p>
    <w:bookmarkEnd w:id="505"/>
    <w:bookmarkEnd w:id="506"/>
    <w:bookmarkEnd w:id="507"/>
    <w:bookmarkEnd w:id="508"/>
    <w:bookmarkEnd w:id="509"/>
    <w:bookmarkEnd w:id="510"/>
    <w:p w14:paraId="5392A6E3">
      <w:pPr>
        <w:spacing w:before="120" w:line="360" w:lineRule="auto"/>
        <w:ind w:firstLine="420" w:firstLineChars="200"/>
        <w:jc w:val="left"/>
        <w:rPr>
          <w:rFonts w:hint="eastAsia" w:ascii="宋体" w:hAnsi="宋体"/>
          <w:szCs w:val="21"/>
        </w:rPr>
      </w:pPr>
      <w:r>
        <w:rPr>
          <w:rFonts w:hint="eastAsia" w:ascii="宋体" w:hAnsi="宋体"/>
          <w:szCs w:val="21"/>
        </w:rPr>
        <w:t>12.2.1 预付款的支付</w:t>
      </w:r>
    </w:p>
    <w:p w14:paraId="0F55DC1D">
      <w:pPr>
        <w:spacing w:before="120" w:line="360" w:lineRule="auto"/>
        <w:ind w:firstLine="420" w:firstLineChars="200"/>
        <w:jc w:val="left"/>
        <w:rPr>
          <w:rFonts w:hint="eastAsia" w:ascii="宋体" w:hAnsi="宋体"/>
          <w:szCs w:val="21"/>
        </w:rPr>
      </w:pPr>
      <w:r>
        <w:rPr>
          <w:rFonts w:hint="eastAsia" w:ascii="宋体" w:hAnsi="宋体"/>
          <w:szCs w:val="21"/>
        </w:rPr>
        <w:t>预付款支付比例或金额：</w:t>
      </w:r>
      <w:r>
        <w:rPr>
          <w:rFonts w:hint="eastAsia" w:ascii="宋体" w:hAnsi="宋体"/>
          <w:szCs w:val="21"/>
          <w:u w:val="single"/>
        </w:rPr>
        <w:t xml:space="preserve">   /   </w:t>
      </w:r>
      <w:r>
        <w:rPr>
          <w:rFonts w:hint="eastAsia" w:ascii="宋体" w:hAnsi="宋体"/>
          <w:szCs w:val="21"/>
        </w:rPr>
        <w:t>。</w:t>
      </w:r>
    </w:p>
    <w:p w14:paraId="70BDACEF">
      <w:pPr>
        <w:spacing w:before="120" w:line="360" w:lineRule="auto"/>
        <w:ind w:firstLine="420" w:firstLineChars="200"/>
        <w:jc w:val="left"/>
        <w:rPr>
          <w:rFonts w:hint="eastAsia" w:ascii="宋体" w:hAnsi="宋体"/>
          <w:szCs w:val="21"/>
        </w:rPr>
      </w:pPr>
      <w:r>
        <w:rPr>
          <w:rFonts w:hint="eastAsia" w:ascii="宋体" w:hAnsi="宋体"/>
          <w:szCs w:val="21"/>
        </w:rPr>
        <w:t>预付款支付期限：</w:t>
      </w:r>
      <w:r>
        <w:rPr>
          <w:rFonts w:hint="eastAsia" w:ascii="宋体" w:hAnsi="宋体"/>
          <w:szCs w:val="21"/>
          <w:u w:val="single"/>
        </w:rPr>
        <w:t xml:space="preserve">   /   </w:t>
      </w:r>
      <w:r>
        <w:rPr>
          <w:rFonts w:hint="eastAsia" w:ascii="宋体" w:hAnsi="宋体"/>
          <w:szCs w:val="21"/>
        </w:rPr>
        <w:t>。</w:t>
      </w:r>
    </w:p>
    <w:p w14:paraId="07AA4C2C">
      <w:pPr>
        <w:spacing w:before="120" w:line="360" w:lineRule="auto"/>
        <w:ind w:firstLine="420" w:firstLineChars="200"/>
        <w:jc w:val="left"/>
        <w:rPr>
          <w:rFonts w:hint="eastAsia" w:ascii="宋体" w:hAnsi="宋体"/>
          <w:szCs w:val="21"/>
        </w:rPr>
      </w:pPr>
      <w:r>
        <w:rPr>
          <w:rFonts w:hint="eastAsia" w:ascii="宋体" w:hAnsi="宋体"/>
          <w:szCs w:val="21"/>
        </w:rPr>
        <w:t>预付款扣回的方式：</w:t>
      </w:r>
      <w:r>
        <w:rPr>
          <w:rFonts w:hint="eastAsia" w:ascii="宋体" w:hAnsi="宋体"/>
          <w:szCs w:val="21"/>
          <w:u w:val="single"/>
        </w:rPr>
        <w:t xml:space="preserve">   /   </w:t>
      </w:r>
      <w:r>
        <w:rPr>
          <w:rFonts w:hint="eastAsia" w:ascii="宋体" w:hAnsi="宋体"/>
          <w:szCs w:val="21"/>
        </w:rPr>
        <w:t>。</w:t>
      </w:r>
    </w:p>
    <w:p w14:paraId="19160F30">
      <w:pPr>
        <w:spacing w:before="120" w:line="360" w:lineRule="auto"/>
        <w:ind w:firstLine="420" w:firstLineChars="200"/>
        <w:jc w:val="left"/>
        <w:rPr>
          <w:rFonts w:hint="eastAsia" w:ascii="宋体" w:hAnsi="宋体"/>
          <w:szCs w:val="21"/>
        </w:rPr>
      </w:pPr>
      <w:r>
        <w:rPr>
          <w:rFonts w:hint="eastAsia" w:ascii="宋体" w:hAnsi="宋体"/>
          <w:szCs w:val="21"/>
        </w:rPr>
        <w:t>12.2.2 预付款担保</w:t>
      </w:r>
    </w:p>
    <w:p w14:paraId="3AB3110A">
      <w:pPr>
        <w:spacing w:before="120" w:line="360" w:lineRule="auto"/>
        <w:ind w:firstLine="420" w:firstLineChars="200"/>
        <w:jc w:val="left"/>
        <w:rPr>
          <w:rFonts w:hint="eastAsia" w:ascii="宋体" w:hAnsi="宋体"/>
          <w:szCs w:val="21"/>
        </w:rPr>
      </w:pPr>
      <w:r>
        <w:rPr>
          <w:rFonts w:hint="eastAsia" w:ascii="宋体" w:hAnsi="宋体"/>
          <w:szCs w:val="21"/>
        </w:rPr>
        <w:t>承包人提交预付款担保的期限：</w:t>
      </w:r>
      <w:r>
        <w:rPr>
          <w:rFonts w:hint="eastAsia" w:ascii="宋体" w:hAnsi="宋体"/>
          <w:szCs w:val="21"/>
          <w:u w:val="single"/>
        </w:rPr>
        <w:t xml:space="preserve">   /   </w:t>
      </w:r>
      <w:r>
        <w:rPr>
          <w:rFonts w:hint="eastAsia" w:ascii="宋体" w:hAnsi="宋体"/>
          <w:szCs w:val="21"/>
        </w:rPr>
        <w:t>。</w:t>
      </w:r>
    </w:p>
    <w:p w14:paraId="43F24A5F">
      <w:pPr>
        <w:spacing w:before="120" w:line="360" w:lineRule="auto"/>
        <w:ind w:firstLine="420" w:firstLineChars="200"/>
        <w:jc w:val="left"/>
        <w:rPr>
          <w:rFonts w:hint="eastAsia" w:ascii="宋体" w:hAnsi="宋体"/>
          <w:szCs w:val="21"/>
        </w:rPr>
      </w:pPr>
      <w:r>
        <w:rPr>
          <w:rFonts w:hint="eastAsia" w:ascii="宋体" w:hAnsi="宋体"/>
          <w:szCs w:val="21"/>
        </w:rPr>
        <w:t>预付款担保的形式为：</w:t>
      </w:r>
      <w:r>
        <w:rPr>
          <w:rFonts w:hint="eastAsia" w:ascii="宋体" w:hAnsi="宋体"/>
          <w:szCs w:val="21"/>
          <w:u w:val="single"/>
        </w:rPr>
        <w:t xml:space="preserve">   /   </w:t>
      </w:r>
      <w:r>
        <w:rPr>
          <w:rFonts w:hint="eastAsia" w:ascii="宋体" w:hAnsi="宋体"/>
          <w:szCs w:val="21"/>
        </w:rPr>
        <w:t>。</w:t>
      </w:r>
    </w:p>
    <w:bookmarkEnd w:id="511"/>
    <w:bookmarkEnd w:id="512"/>
    <w:bookmarkEnd w:id="513"/>
    <w:bookmarkEnd w:id="514"/>
    <w:bookmarkEnd w:id="515"/>
    <w:bookmarkEnd w:id="516"/>
    <w:bookmarkEnd w:id="517"/>
    <w:bookmarkEnd w:id="518"/>
    <w:bookmarkEnd w:id="519"/>
    <w:bookmarkEnd w:id="520"/>
    <w:p w14:paraId="230AFD1B">
      <w:pPr>
        <w:spacing w:before="120" w:after="120" w:line="360" w:lineRule="auto"/>
        <w:ind w:firstLine="420" w:firstLineChars="200"/>
        <w:rPr>
          <w:rFonts w:hint="eastAsia" w:ascii="宋体" w:hAnsi="宋体"/>
          <w:szCs w:val="21"/>
        </w:rPr>
      </w:pPr>
      <w:r>
        <w:rPr>
          <w:rFonts w:hint="eastAsia" w:ascii="宋体" w:hAnsi="宋体"/>
          <w:szCs w:val="21"/>
        </w:rPr>
        <w:t>12.3 计量</w:t>
      </w:r>
    </w:p>
    <w:p w14:paraId="3C2CE8FB">
      <w:pPr>
        <w:spacing w:before="120" w:line="360" w:lineRule="auto"/>
        <w:ind w:firstLine="420" w:firstLineChars="200"/>
        <w:jc w:val="left"/>
        <w:rPr>
          <w:rFonts w:hint="eastAsia" w:ascii="宋体" w:hAnsi="宋体"/>
          <w:szCs w:val="21"/>
        </w:rPr>
      </w:pPr>
      <w:r>
        <w:rPr>
          <w:rFonts w:hint="eastAsia" w:ascii="宋体" w:hAnsi="宋体"/>
          <w:szCs w:val="21"/>
        </w:rPr>
        <w:t>12.3.1 计量原则</w:t>
      </w:r>
    </w:p>
    <w:p w14:paraId="46ECFAEE">
      <w:pPr>
        <w:spacing w:before="120" w:line="360" w:lineRule="auto"/>
        <w:ind w:firstLine="420" w:firstLineChars="200"/>
        <w:jc w:val="left"/>
        <w:rPr>
          <w:rFonts w:hint="eastAsia" w:ascii="宋体" w:hAnsi="宋体"/>
          <w:szCs w:val="21"/>
        </w:rPr>
      </w:pPr>
      <w:r>
        <w:rPr>
          <w:rFonts w:hint="eastAsia" w:ascii="宋体" w:hAnsi="宋体"/>
          <w:szCs w:val="21"/>
        </w:rPr>
        <w:t>工程量计算规则：</w:t>
      </w:r>
      <w:r>
        <w:rPr>
          <w:rFonts w:hint="eastAsia" w:ascii="宋体" w:hAnsi="宋体"/>
          <w:szCs w:val="21"/>
          <w:u w:val="single"/>
        </w:rPr>
        <w:t>根据施工图纸、设计变更，按照《建设工程工程量清单计价标准》（GB/T 50500-2024）、按省住建厅关于执行《建设工程工程量清单计价标准》及配套工程量计价标准的通知（湘建科函[2025]150号）、省住建厅关于发布2025《湖南省建设工程消耗量标准》的通知（湘建科函[2025]151号）、现行法律法规及规范性文件执行</w:t>
      </w:r>
      <w:r>
        <w:rPr>
          <w:rFonts w:hint="eastAsia" w:ascii="宋体" w:hAnsi="宋体"/>
          <w:szCs w:val="21"/>
        </w:rPr>
        <w:t>。</w:t>
      </w:r>
    </w:p>
    <w:p w14:paraId="52BC5B9B">
      <w:pPr>
        <w:spacing w:before="120" w:line="360" w:lineRule="auto"/>
        <w:ind w:firstLine="420" w:firstLineChars="200"/>
        <w:jc w:val="left"/>
        <w:rPr>
          <w:rFonts w:hint="eastAsia" w:ascii="宋体" w:hAnsi="宋体"/>
          <w:szCs w:val="21"/>
        </w:rPr>
      </w:pPr>
      <w:r>
        <w:rPr>
          <w:rFonts w:hint="eastAsia" w:ascii="宋体" w:hAnsi="宋体"/>
          <w:szCs w:val="21"/>
        </w:rPr>
        <w:t>12.3.2 计量周期</w:t>
      </w:r>
    </w:p>
    <w:p w14:paraId="63BD267E">
      <w:pPr>
        <w:spacing w:before="120" w:line="360" w:lineRule="auto"/>
        <w:ind w:firstLine="420" w:firstLineChars="200"/>
        <w:jc w:val="left"/>
        <w:rPr>
          <w:rFonts w:hint="eastAsia" w:ascii="宋体" w:hAnsi="宋体"/>
          <w:szCs w:val="21"/>
        </w:rPr>
      </w:pPr>
      <w:r>
        <w:rPr>
          <w:rFonts w:hint="eastAsia" w:ascii="宋体" w:hAnsi="宋体"/>
          <w:szCs w:val="21"/>
        </w:rPr>
        <w:t>关于计量周期的约定：</w:t>
      </w:r>
      <w:r>
        <w:rPr>
          <w:rFonts w:hint="eastAsia" w:ascii="宋体" w:hAnsi="宋体"/>
          <w:szCs w:val="21"/>
          <w:u w:val="single"/>
        </w:rPr>
        <w:t xml:space="preserve">  按月根据工程进度计量   </w:t>
      </w:r>
      <w:r>
        <w:rPr>
          <w:rFonts w:hint="eastAsia" w:ascii="宋体" w:hAnsi="宋体"/>
          <w:szCs w:val="21"/>
        </w:rPr>
        <w:t>。</w:t>
      </w:r>
    </w:p>
    <w:p w14:paraId="67AFF215">
      <w:pPr>
        <w:spacing w:before="120" w:line="360" w:lineRule="auto"/>
        <w:ind w:firstLine="420" w:firstLineChars="200"/>
        <w:jc w:val="left"/>
        <w:rPr>
          <w:rFonts w:hint="eastAsia" w:ascii="宋体" w:hAnsi="宋体"/>
          <w:szCs w:val="21"/>
        </w:rPr>
      </w:pPr>
      <w:r>
        <w:rPr>
          <w:rFonts w:hint="eastAsia" w:ascii="宋体" w:hAnsi="宋体"/>
          <w:szCs w:val="21"/>
        </w:rPr>
        <w:t>12.3.3 单价合同的计量</w:t>
      </w:r>
    </w:p>
    <w:p w14:paraId="1C8ED638">
      <w:pPr>
        <w:spacing w:before="120" w:line="360" w:lineRule="auto"/>
        <w:ind w:firstLine="420" w:firstLineChars="200"/>
        <w:jc w:val="left"/>
        <w:rPr>
          <w:rFonts w:hint="eastAsia" w:ascii="宋体" w:hAnsi="宋体"/>
          <w:szCs w:val="21"/>
        </w:rPr>
      </w:pPr>
      <w:r>
        <w:rPr>
          <w:rFonts w:hint="eastAsia" w:ascii="宋体" w:hAnsi="宋体"/>
          <w:szCs w:val="21"/>
        </w:rPr>
        <w:t>关于单价合同计量的约定：</w:t>
      </w:r>
      <w:r>
        <w:rPr>
          <w:rFonts w:hint="eastAsia" w:ascii="宋体" w:hAnsi="宋体"/>
          <w:szCs w:val="21"/>
          <w:u w:val="single"/>
        </w:rPr>
        <w:t xml:space="preserve">  按照通用条款执行，承包人应于每月25日向监理人报送上月20日至当月19日已完成的工程量报告，并附具进度付款申请单、已完成工程量报表和有关资料  </w:t>
      </w:r>
      <w:r>
        <w:rPr>
          <w:rFonts w:hint="eastAsia" w:ascii="宋体" w:hAnsi="宋体"/>
          <w:szCs w:val="21"/>
        </w:rPr>
        <w:t>。</w:t>
      </w:r>
    </w:p>
    <w:p w14:paraId="24D0A4E0">
      <w:pPr>
        <w:spacing w:before="120" w:line="360" w:lineRule="auto"/>
        <w:ind w:firstLine="420" w:firstLineChars="200"/>
        <w:jc w:val="left"/>
        <w:rPr>
          <w:rFonts w:hint="eastAsia" w:ascii="宋体" w:hAnsi="宋体"/>
          <w:szCs w:val="21"/>
        </w:rPr>
      </w:pPr>
      <w:r>
        <w:rPr>
          <w:rFonts w:hint="eastAsia" w:ascii="宋体" w:hAnsi="宋体"/>
          <w:szCs w:val="21"/>
        </w:rPr>
        <w:t>12.3.4 总价合同的计量</w:t>
      </w:r>
    </w:p>
    <w:p w14:paraId="54C5E237">
      <w:pPr>
        <w:spacing w:before="120" w:line="360" w:lineRule="auto"/>
        <w:ind w:firstLine="420" w:firstLineChars="200"/>
        <w:jc w:val="left"/>
        <w:rPr>
          <w:rFonts w:hint="eastAsia" w:ascii="宋体" w:hAnsi="宋体"/>
          <w:color w:val="auto"/>
          <w:szCs w:val="21"/>
        </w:rPr>
      </w:pPr>
      <w:r>
        <w:rPr>
          <w:rFonts w:hint="eastAsia" w:ascii="宋体" w:hAnsi="宋体"/>
          <w:color w:val="000000"/>
          <w:szCs w:val="21"/>
        </w:rPr>
        <w:t>关于总价合同计量的</w:t>
      </w:r>
      <w:r>
        <w:rPr>
          <w:rFonts w:hint="eastAsia" w:ascii="宋体" w:hAnsi="宋体"/>
          <w:color w:val="auto"/>
          <w:szCs w:val="21"/>
        </w:rPr>
        <w:t>约定：</w:t>
      </w:r>
      <w:r>
        <w:rPr>
          <w:rFonts w:hint="eastAsia" w:ascii="宋体" w:hAnsi="宋体"/>
          <w:color w:val="auto"/>
          <w:szCs w:val="21"/>
          <w:u w:val="single"/>
        </w:rPr>
        <w:t xml:space="preserve">   /   </w:t>
      </w:r>
      <w:r>
        <w:rPr>
          <w:rFonts w:hint="eastAsia" w:ascii="宋体" w:hAnsi="宋体"/>
          <w:color w:val="auto"/>
          <w:szCs w:val="21"/>
        </w:rPr>
        <w:t>。</w:t>
      </w:r>
    </w:p>
    <w:p w14:paraId="20F11E45">
      <w:pPr>
        <w:spacing w:before="120" w:line="360" w:lineRule="auto"/>
        <w:ind w:firstLine="420" w:firstLineChars="200"/>
        <w:jc w:val="left"/>
        <w:rPr>
          <w:rFonts w:hint="eastAsia" w:ascii="宋体" w:hAnsi="宋体"/>
          <w:color w:val="auto"/>
          <w:szCs w:val="21"/>
        </w:rPr>
      </w:pPr>
      <w:r>
        <w:rPr>
          <w:rFonts w:hint="eastAsia" w:ascii="宋体" w:hAnsi="宋体"/>
          <w:color w:val="000000"/>
          <w:szCs w:val="21"/>
        </w:rPr>
        <w:t>12.3.5总价合同采用支付分解表计量支付的，是否适用第</w:t>
      </w:r>
      <w:r>
        <w:rPr>
          <w:rFonts w:hint="eastAsia" w:ascii="宋体" w:hAnsi="宋体"/>
          <w:color w:val="000000"/>
          <w:kern w:val="0"/>
          <w:szCs w:val="21"/>
        </w:rPr>
        <w:t xml:space="preserve">12.3.4 </w:t>
      </w:r>
      <w:r>
        <w:rPr>
          <w:rFonts w:hint="eastAsia" w:ascii="宋体" w:hAnsi="宋体"/>
          <w:color w:val="000000"/>
          <w:szCs w:val="21"/>
        </w:rPr>
        <w:t>项</w:t>
      </w:r>
      <w:r>
        <w:rPr>
          <w:rFonts w:hint="eastAsia" w:ascii="宋体" w:hAnsi="宋体"/>
          <w:color w:val="000000"/>
          <w:kern w:val="0"/>
          <w:szCs w:val="21"/>
        </w:rPr>
        <w:t>〔总价合同的计量〕</w:t>
      </w:r>
      <w:r>
        <w:rPr>
          <w:rFonts w:hint="eastAsia" w:ascii="宋体" w:hAnsi="宋体"/>
          <w:color w:val="000000"/>
          <w:szCs w:val="21"/>
        </w:rPr>
        <w:t>约定进行</w:t>
      </w:r>
      <w:r>
        <w:rPr>
          <w:rFonts w:hint="eastAsia" w:ascii="宋体" w:hAnsi="宋体"/>
          <w:color w:val="auto"/>
          <w:szCs w:val="21"/>
        </w:rPr>
        <w:t>计量：</w:t>
      </w:r>
      <w:r>
        <w:rPr>
          <w:rFonts w:hint="eastAsia" w:ascii="宋体" w:hAnsi="宋体"/>
          <w:color w:val="auto"/>
          <w:szCs w:val="21"/>
          <w:u w:val="single"/>
        </w:rPr>
        <w:t xml:space="preserve">   /   </w:t>
      </w:r>
      <w:r>
        <w:rPr>
          <w:rFonts w:hint="eastAsia" w:ascii="宋体" w:hAnsi="宋体"/>
          <w:color w:val="auto"/>
          <w:szCs w:val="21"/>
        </w:rPr>
        <w:t>。</w:t>
      </w:r>
    </w:p>
    <w:p w14:paraId="0645A9A7">
      <w:pPr>
        <w:spacing w:before="120" w:line="360" w:lineRule="auto"/>
        <w:ind w:firstLine="420" w:firstLineChars="200"/>
        <w:jc w:val="left"/>
        <w:rPr>
          <w:rFonts w:hint="eastAsia" w:ascii="宋体" w:hAnsi="宋体"/>
          <w:color w:val="auto"/>
          <w:szCs w:val="21"/>
        </w:rPr>
      </w:pPr>
      <w:r>
        <w:rPr>
          <w:rFonts w:hint="eastAsia" w:ascii="宋体" w:hAnsi="宋体"/>
          <w:color w:val="auto"/>
          <w:szCs w:val="21"/>
        </w:rPr>
        <w:t>12.3.6 其他价格形式合同的计量</w:t>
      </w:r>
    </w:p>
    <w:p w14:paraId="64A0E846">
      <w:pPr>
        <w:spacing w:before="120" w:line="360" w:lineRule="auto"/>
        <w:ind w:firstLine="420" w:firstLineChars="200"/>
        <w:jc w:val="left"/>
        <w:rPr>
          <w:rFonts w:hint="eastAsia" w:ascii="宋体" w:hAnsi="宋体"/>
          <w:color w:val="auto"/>
          <w:szCs w:val="21"/>
        </w:rPr>
      </w:pPr>
      <w:r>
        <w:rPr>
          <w:rFonts w:hint="eastAsia" w:ascii="宋体" w:hAnsi="宋体"/>
          <w:color w:val="auto"/>
          <w:szCs w:val="21"/>
        </w:rPr>
        <w:t>其他价格形式的计量方式和程序：</w:t>
      </w:r>
      <w:r>
        <w:rPr>
          <w:rFonts w:hint="eastAsia" w:ascii="宋体" w:hAnsi="宋体"/>
          <w:color w:val="auto"/>
          <w:szCs w:val="21"/>
          <w:u w:val="single"/>
        </w:rPr>
        <w:t xml:space="preserve">   /   </w:t>
      </w:r>
      <w:r>
        <w:rPr>
          <w:rFonts w:hint="eastAsia" w:ascii="宋体" w:hAnsi="宋体"/>
          <w:color w:val="auto"/>
          <w:szCs w:val="21"/>
        </w:rPr>
        <w:t>。</w:t>
      </w:r>
    </w:p>
    <w:p w14:paraId="3A72C8CE">
      <w:pPr>
        <w:spacing w:before="120" w:after="120" w:line="360" w:lineRule="auto"/>
        <w:ind w:firstLine="420" w:firstLineChars="200"/>
        <w:rPr>
          <w:rFonts w:hint="eastAsia" w:ascii="宋体" w:hAnsi="宋体"/>
          <w:color w:val="auto"/>
          <w:szCs w:val="21"/>
        </w:rPr>
      </w:pPr>
      <w:r>
        <w:rPr>
          <w:rFonts w:hint="eastAsia" w:ascii="宋体" w:hAnsi="宋体"/>
          <w:color w:val="auto"/>
          <w:szCs w:val="21"/>
        </w:rPr>
        <w:t>12.4 工程进度款支付</w:t>
      </w:r>
    </w:p>
    <w:p w14:paraId="58684F94">
      <w:pPr>
        <w:spacing w:before="120" w:line="360" w:lineRule="auto"/>
        <w:ind w:firstLine="420" w:firstLineChars="200"/>
        <w:jc w:val="left"/>
        <w:rPr>
          <w:rFonts w:hint="eastAsia" w:ascii="宋体" w:hAnsi="宋体"/>
          <w:color w:val="000000"/>
          <w:szCs w:val="21"/>
        </w:rPr>
      </w:pPr>
      <w:bookmarkStart w:id="521" w:name="_Toc297123556"/>
      <w:bookmarkStart w:id="522" w:name="_Toc303539163"/>
      <w:bookmarkStart w:id="523" w:name="_Toc297216215"/>
      <w:bookmarkStart w:id="524" w:name="_Toc297048397"/>
      <w:bookmarkStart w:id="525" w:name="_Toc297120511"/>
      <w:bookmarkStart w:id="526" w:name="_Toc296346712"/>
      <w:bookmarkStart w:id="527" w:name="_Toc296891251"/>
      <w:bookmarkStart w:id="528" w:name="_Toc300935006"/>
      <w:bookmarkStart w:id="529" w:name="_Toc296503211"/>
      <w:bookmarkStart w:id="530" w:name="_Toc296347210"/>
      <w:bookmarkStart w:id="531" w:name="_Toc296944550"/>
      <w:bookmarkStart w:id="532" w:name="_Toc292559921"/>
      <w:bookmarkStart w:id="533" w:name="_Toc296891039"/>
      <w:bookmarkStart w:id="534" w:name="_Toc292559416"/>
      <w:r>
        <w:rPr>
          <w:rFonts w:hint="eastAsia" w:ascii="宋体" w:hAnsi="宋体"/>
          <w:color w:val="000000"/>
          <w:szCs w:val="21"/>
        </w:rPr>
        <w:t>12.4.1 付款周期</w:t>
      </w:r>
    </w:p>
    <w:p w14:paraId="77239DCE">
      <w:pPr>
        <w:spacing w:before="120" w:line="360" w:lineRule="auto"/>
        <w:ind w:firstLine="420" w:firstLineChars="200"/>
        <w:jc w:val="left"/>
        <w:rPr>
          <w:rFonts w:hint="eastAsia" w:ascii="宋体" w:hAnsi="宋体"/>
          <w:color w:val="000000"/>
          <w:szCs w:val="21"/>
          <w:u w:val="single"/>
        </w:rPr>
      </w:pPr>
      <w:r>
        <w:rPr>
          <w:rFonts w:hint="eastAsia" w:ascii="宋体" w:hAnsi="宋体"/>
          <w:color w:val="000000"/>
          <w:szCs w:val="21"/>
        </w:rPr>
        <w:t>关于付款周期的约定：</w:t>
      </w:r>
    </w:p>
    <w:p w14:paraId="3736F90E">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（1）工程款支付办法：发包人根据核实确认的工程量、材料清单和工程进度报告，并验证达到付款条件、办理相关付款审批手续后10天内，支付承包人工程进度款：</w:t>
      </w:r>
    </w:p>
    <w:p w14:paraId="7C2C9192">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①第一次支付：整个工程完成并正式竣工验收合格后，付至签约合同价（扣减暂列金额和原合同范围内取消的工作）的50 %；</w:t>
      </w:r>
    </w:p>
    <w:p w14:paraId="1CA62883">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②第二次支付：承包人向学校提交工程结算验证所需资料清单后，付至（扣减暂列金额和原合同范围内取消的工作）的80%；</w:t>
      </w:r>
    </w:p>
    <w:p w14:paraId="5DBE2156">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③第三次支付：审计处审定后，工程竣工结算，承包人向发包人档案室移交备案证及全套工程资料后付至结算总价款的97%，剩余的3%作为质量保证金（不计息）。</w:t>
      </w:r>
    </w:p>
    <w:p w14:paraId="696365B2">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（2）工程完工后预留工程结算价的3%作为工程质保金（不计息），待承包人按照《工程质量保修书》约定的保修期履行完全部保修责任后一次性退还，保修期自工程竣工验收通过之日起计算。</w:t>
      </w:r>
    </w:p>
    <w:p w14:paraId="4479EFFD">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（3）本工程的工程款支付由承包方开具税票后，发包人按照省财政厅的相关要求办理支付手续。</w:t>
      </w:r>
    </w:p>
    <w:p w14:paraId="17EE3CA6">
      <w:pPr>
        <w:spacing w:before="120" w:line="360" w:lineRule="auto"/>
        <w:ind w:firstLine="420" w:firstLineChars="200"/>
        <w:jc w:val="left"/>
        <w:rPr>
          <w:rFonts w:hint="eastAsia" w:ascii="宋体" w:hAnsi="宋体"/>
          <w:color w:val="000000"/>
          <w:szCs w:val="21"/>
        </w:rPr>
      </w:pPr>
      <w:r>
        <w:rPr>
          <w:rFonts w:hint="eastAsia" w:ascii="宋体" w:hAnsi="宋体"/>
          <w:color w:val="000000"/>
          <w:szCs w:val="21"/>
        </w:rPr>
        <w:t>12.4.2 进度付款申请单的编制</w:t>
      </w:r>
    </w:p>
    <w:p w14:paraId="387B00E4">
      <w:pPr>
        <w:spacing w:before="120" w:line="360" w:lineRule="auto"/>
        <w:ind w:firstLine="420" w:firstLineChars="200"/>
        <w:jc w:val="left"/>
        <w:rPr>
          <w:rFonts w:hint="eastAsia" w:ascii="宋体" w:hAnsi="宋体"/>
          <w:color w:val="000000"/>
          <w:szCs w:val="21"/>
        </w:rPr>
      </w:pPr>
      <w:r>
        <w:rPr>
          <w:rFonts w:hint="eastAsia" w:ascii="宋体" w:hAnsi="宋体"/>
          <w:color w:val="000000"/>
          <w:szCs w:val="21"/>
        </w:rPr>
        <w:t>关于进度付款申请单编制的约定：</w:t>
      </w:r>
    </w:p>
    <w:p w14:paraId="4531AA22">
      <w:pPr>
        <w:spacing w:before="120" w:line="360" w:lineRule="auto"/>
        <w:ind w:firstLine="420" w:firstLineChars="200"/>
        <w:jc w:val="left"/>
        <w:rPr>
          <w:rFonts w:hint="eastAsia" w:ascii="宋体" w:hAnsi="宋体" w:cs="Calibri"/>
          <w:szCs w:val="21"/>
          <w:u w:val="single"/>
        </w:rPr>
      </w:pPr>
      <w:r>
        <w:rPr>
          <w:rFonts w:hint="eastAsia" w:ascii="宋体" w:hAnsi="宋体"/>
          <w:color w:val="000000"/>
          <w:szCs w:val="21"/>
        </w:rPr>
        <w:t>（1）工程进度</w:t>
      </w:r>
      <w:r>
        <w:rPr>
          <w:rFonts w:hint="eastAsia" w:ascii="宋体" w:hAnsi="宋体"/>
          <w:szCs w:val="21"/>
        </w:rPr>
        <w:t>付款申请单的内容：</w:t>
      </w:r>
      <w:r>
        <w:rPr>
          <w:rFonts w:hint="eastAsia" w:ascii="宋体" w:hAnsi="宋体"/>
          <w:kern w:val="0"/>
          <w:szCs w:val="21"/>
          <w:u w:val="single"/>
        </w:rPr>
        <w:t>按通用条款执行</w:t>
      </w:r>
      <w:r>
        <w:rPr>
          <w:rFonts w:hint="eastAsia" w:ascii="宋体" w:hAnsi="宋体"/>
          <w:kern w:val="0"/>
          <w:szCs w:val="21"/>
        </w:rPr>
        <w:t>。</w:t>
      </w:r>
    </w:p>
    <w:p w14:paraId="20298D30">
      <w:pPr>
        <w:spacing w:before="120" w:line="360" w:lineRule="auto"/>
        <w:ind w:firstLine="420" w:firstLineChars="200"/>
        <w:jc w:val="left"/>
        <w:rPr>
          <w:rFonts w:hint="eastAsia" w:ascii="宋体" w:hAnsi="宋体"/>
          <w:szCs w:val="21"/>
        </w:rPr>
      </w:pPr>
      <w:r>
        <w:rPr>
          <w:rFonts w:hint="eastAsia" w:ascii="宋体" w:hAnsi="宋体"/>
          <w:szCs w:val="21"/>
        </w:rPr>
        <w:t>（2）工程进度付款申请单的份数：</w:t>
      </w:r>
      <w:r>
        <w:rPr>
          <w:rFonts w:hint="eastAsia" w:ascii="宋体" w:hAnsi="宋体"/>
          <w:szCs w:val="21"/>
          <w:u w:val="single"/>
        </w:rPr>
        <w:t xml:space="preserve">   贰份   </w:t>
      </w:r>
      <w:r>
        <w:rPr>
          <w:rFonts w:hint="eastAsia" w:ascii="宋体" w:hAnsi="宋体"/>
          <w:szCs w:val="21"/>
        </w:rPr>
        <w:t>。</w:t>
      </w:r>
    </w:p>
    <w:p w14:paraId="0C270962">
      <w:pPr>
        <w:spacing w:before="120" w:line="360" w:lineRule="auto"/>
        <w:ind w:firstLine="420" w:firstLineChars="200"/>
        <w:jc w:val="left"/>
        <w:rPr>
          <w:rFonts w:hint="eastAsia" w:ascii="宋体" w:hAnsi="宋体"/>
          <w:szCs w:val="21"/>
        </w:rPr>
      </w:pPr>
      <w:r>
        <w:rPr>
          <w:rFonts w:hint="eastAsia" w:ascii="宋体" w:hAnsi="宋体"/>
          <w:szCs w:val="21"/>
        </w:rPr>
        <w:t>1</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Fonts w:hint="eastAsia" w:ascii="宋体" w:hAnsi="宋体"/>
          <w:szCs w:val="21"/>
        </w:rPr>
        <w:t>2.4.3 进度付款申请单的提交</w:t>
      </w:r>
    </w:p>
    <w:p w14:paraId="2BBF53CF">
      <w:pPr>
        <w:spacing w:before="120" w:line="360" w:lineRule="auto"/>
        <w:ind w:firstLine="420" w:firstLineChars="200"/>
        <w:jc w:val="left"/>
        <w:rPr>
          <w:rFonts w:hint="eastAsia" w:ascii="宋体" w:hAnsi="宋体"/>
          <w:szCs w:val="21"/>
        </w:rPr>
      </w:pPr>
      <w:r>
        <w:rPr>
          <w:rFonts w:hint="eastAsia" w:ascii="宋体" w:hAnsi="宋体"/>
          <w:szCs w:val="21"/>
        </w:rPr>
        <w:t>（1）单价合同进度付款申请单提交的约定：</w:t>
      </w:r>
      <w:r>
        <w:rPr>
          <w:rFonts w:hint="eastAsia" w:ascii="宋体" w:hAnsi="宋体"/>
          <w:szCs w:val="21"/>
          <w:u w:val="single"/>
        </w:rPr>
        <w:t>按付款周期提交</w:t>
      </w:r>
      <w:r>
        <w:rPr>
          <w:rFonts w:hint="eastAsia" w:ascii="宋体" w:hAnsi="宋体"/>
          <w:szCs w:val="21"/>
        </w:rPr>
        <w:t>。</w:t>
      </w:r>
    </w:p>
    <w:p w14:paraId="12BEB612">
      <w:pPr>
        <w:spacing w:before="120" w:line="360" w:lineRule="auto"/>
        <w:ind w:firstLine="420" w:firstLineChars="200"/>
        <w:jc w:val="left"/>
        <w:rPr>
          <w:rFonts w:hint="eastAsia" w:ascii="宋体" w:hAnsi="宋体"/>
          <w:szCs w:val="21"/>
        </w:rPr>
      </w:pPr>
      <w:r>
        <w:rPr>
          <w:rFonts w:hint="eastAsia" w:ascii="宋体" w:hAnsi="宋体"/>
          <w:szCs w:val="21"/>
        </w:rPr>
        <w:t>（2）总价合同进度付款申请单提交的约定：</w:t>
      </w:r>
      <w:r>
        <w:rPr>
          <w:rFonts w:hint="eastAsia" w:ascii="宋体" w:hAnsi="宋体"/>
          <w:szCs w:val="21"/>
          <w:u w:val="single"/>
        </w:rPr>
        <w:t xml:space="preserve">      /       </w:t>
      </w:r>
      <w:r>
        <w:rPr>
          <w:rFonts w:hint="eastAsia" w:ascii="宋体" w:hAnsi="宋体"/>
          <w:szCs w:val="21"/>
        </w:rPr>
        <w:t>。</w:t>
      </w:r>
    </w:p>
    <w:p w14:paraId="35CA4339">
      <w:pPr>
        <w:spacing w:before="120" w:line="360" w:lineRule="auto"/>
        <w:ind w:firstLine="420" w:firstLineChars="200"/>
        <w:jc w:val="left"/>
        <w:rPr>
          <w:rFonts w:hint="eastAsia" w:ascii="宋体" w:hAnsi="宋体"/>
          <w:szCs w:val="21"/>
        </w:rPr>
      </w:pPr>
      <w:r>
        <w:rPr>
          <w:rFonts w:hint="eastAsia" w:ascii="宋体" w:hAnsi="宋体"/>
          <w:szCs w:val="21"/>
        </w:rPr>
        <w:t>（3）其他价格形式合同进度付款申请单提交的约定：</w:t>
      </w:r>
      <w:r>
        <w:rPr>
          <w:rFonts w:hint="eastAsia" w:ascii="宋体" w:hAnsi="宋体"/>
          <w:szCs w:val="21"/>
          <w:u w:val="single"/>
        </w:rPr>
        <w:t xml:space="preserve">   /  </w:t>
      </w:r>
      <w:r>
        <w:rPr>
          <w:rFonts w:hint="eastAsia" w:ascii="宋体" w:hAnsi="宋体"/>
          <w:szCs w:val="21"/>
        </w:rPr>
        <w:t>。</w:t>
      </w:r>
    </w:p>
    <w:p w14:paraId="00A4093C">
      <w:pPr>
        <w:spacing w:before="120" w:line="360" w:lineRule="auto"/>
        <w:ind w:firstLine="420" w:firstLineChars="200"/>
        <w:jc w:val="left"/>
        <w:rPr>
          <w:rFonts w:hint="eastAsia" w:ascii="宋体" w:hAnsi="宋体"/>
          <w:szCs w:val="21"/>
        </w:rPr>
      </w:pPr>
      <w:r>
        <w:rPr>
          <w:rFonts w:hint="eastAsia" w:ascii="宋体" w:hAnsi="宋体"/>
          <w:szCs w:val="21"/>
        </w:rPr>
        <w:t>12.4.4 进度款审核和支付</w:t>
      </w:r>
    </w:p>
    <w:p w14:paraId="387ACF2B">
      <w:pPr>
        <w:spacing w:before="120" w:line="360" w:lineRule="auto"/>
        <w:ind w:firstLine="420" w:firstLineChars="200"/>
        <w:jc w:val="left"/>
        <w:rPr>
          <w:rFonts w:hint="eastAsia" w:ascii="宋体" w:hAnsi="宋体"/>
          <w:szCs w:val="21"/>
          <w:u w:val="single"/>
        </w:rPr>
      </w:pPr>
      <w:r>
        <w:rPr>
          <w:rFonts w:hint="eastAsia" w:ascii="宋体" w:hAnsi="宋体"/>
          <w:szCs w:val="21"/>
        </w:rPr>
        <w:t>（1）监理人审查并报送发包人的期限：</w:t>
      </w:r>
      <w:r>
        <w:rPr>
          <w:rFonts w:hint="eastAsia" w:ascii="宋体" w:hAnsi="宋体"/>
          <w:szCs w:val="21"/>
          <w:u w:val="single"/>
        </w:rPr>
        <w:t xml:space="preserve"> 按照通用条款执行  </w:t>
      </w:r>
      <w:r>
        <w:rPr>
          <w:rFonts w:hint="eastAsia" w:ascii="宋体" w:hAnsi="宋体"/>
          <w:szCs w:val="21"/>
        </w:rPr>
        <w:t>。</w:t>
      </w:r>
    </w:p>
    <w:p w14:paraId="2D3F662B">
      <w:pPr>
        <w:spacing w:before="120" w:line="360" w:lineRule="auto"/>
        <w:ind w:firstLine="630" w:firstLineChars="300"/>
        <w:jc w:val="left"/>
        <w:rPr>
          <w:rFonts w:hint="eastAsia" w:ascii="宋体" w:hAnsi="宋体"/>
          <w:szCs w:val="21"/>
        </w:rPr>
      </w:pPr>
      <w:r>
        <w:rPr>
          <w:rFonts w:hint="eastAsia" w:ascii="宋体" w:hAnsi="宋体"/>
          <w:szCs w:val="21"/>
        </w:rPr>
        <w:t>发包人完成审批并签发进度款支付证书的期限：</w:t>
      </w:r>
      <w:r>
        <w:rPr>
          <w:rFonts w:hint="eastAsia" w:ascii="宋体" w:hAnsi="宋体"/>
          <w:szCs w:val="21"/>
          <w:u w:val="single"/>
        </w:rPr>
        <w:t>按照通用条款执行</w:t>
      </w:r>
      <w:r>
        <w:rPr>
          <w:rFonts w:hint="eastAsia" w:ascii="宋体" w:hAnsi="宋体"/>
          <w:szCs w:val="21"/>
        </w:rPr>
        <w:t>。</w:t>
      </w:r>
    </w:p>
    <w:p w14:paraId="1373799B">
      <w:pPr>
        <w:spacing w:before="120" w:line="360" w:lineRule="auto"/>
        <w:ind w:firstLine="420" w:firstLineChars="200"/>
        <w:jc w:val="left"/>
        <w:rPr>
          <w:rFonts w:hint="eastAsia" w:ascii="宋体" w:hAnsi="宋体"/>
          <w:szCs w:val="21"/>
        </w:rPr>
      </w:pPr>
      <w:r>
        <w:rPr>
          <w:rFonts w:hint="eastAsia" w:ascii="宋体" w:hAnsi="宋体"/>
          <w:szCs w:val="21"/>
        </w:rPr>
        <w:t>（2）发包人支付进度款的期限：</w:t>
      </w:r>
      <w:r>
        <w:rPr>
          <w:rFonts w:hint="eastAsia" w:ascii="宋体" w:hAnsi="宋体"/>
          <w:szCs w:val="21"/>
          <w:u w:val="single"/>
        </w:rPr>
        <w:t xml:space="preserve">  14天内（以提供到计划财务处为准） </w:t>
      </w:r>
      <w:r>
        <w:rPr>
          <w:rFonts w:hint="eastAsia" w:ascii="宋体" w:hAnsi="宋体"/>
          <w:szCs w:val="21"/>
        </w:rPr>
        <w:t>。</w:t>
      </w:r>
    </w:p>
    <w:p w14:paraId="5A966736">
      <w:pPr>
        <w:spacing w:before="120" w:line="360" w:lineRule="auto"/>
        <w:ind w:firstLine="420" w:firstLineChars="200"/>
        <w:jc w:val="left"/>
        <w:rPr>
          <w:rFonts w:hint="eastAsia" w:ascii="宋体" w:hAnsi="宋体"/>
          <w:szCs w:val="21"/>
        </w:rPr>
      </w:pPr>
      <w:r>
        <w:rPr>
          <w:rFonts w:hint="eastAsia" w:ascii="宋体" w:hAnsi="宋体"/>
          <w:szCs w:val="21"/>
        </w:rPr>
        <w:t>发包人逾期支付进度款的违约金的计算方式：</w:t>
      </w:r>
      <w:r>
        <w:rPr>
          <w:rFonts w:hint="eastAsia" w:ascii="宋体" w:hAnsi="宋体"/>
          <w:szCs w:val="21"/>
          <w:u w:val="single"/>
        </w:rPr>
        <w:t xml:space="preserve"> 发包人已逾期支付进度款时，承包人应书面催告发包人。工程款支付最终以财政部门审批支付进度为准，发包人不承担因财政原因造成延迟支付的责任，承包人不得因此索赔，不得以此为由停工 </w:t>
      </w:r>
      <w:r>
        <w:rPr>
          <w:rFonts w:hint="eastAsia" w:ascii="宋体" w:hAnsi="宋体"/>
          <w:szCs w:val="21"/>
        </w:rPr>
        <w:t>。</w:t>
      </w:r>
    </w:p>
    <w:p w14:paraId="37A42FCD">
      <w:pPr>
        <w:spacing w:before="120" w:line="360" w:lineRule="auto"/>
        <w:ind w:firstLine="525" w:firstLineChars="250"/>
        <w:jc w:val="left"/>
        <w:rPr>
          <w:rFonts w:hint="eastAsia" w:ascii="宋体" w:hAnsi="宋体"/>
          <w:szCs w:val="21"/>
        </w:rPr>
      </w:pPr>
      <w:r>
        <w:rPr>
          <w:rFonts w:hint="eastAsia" w:ascii="宋体" w:hAnsi="宋体"/>
          <w:szCs w:val="21"/>
        </w:rPr>
        <w:t>12.4.6 支付分解表的编制</w:t>
      </w:r>
    </w:p>
    <w:p w14:paraId="72152C34">
      <w:pPr>
        <w:spacing w:before="120" w:line="360" w:lineRule="auto"/>
        <w:ind w:left="4465" w:leftChars="426" w:hanging="3570" w:hangingChars="1700"/>
        <w:jc w:val="left"/>
        <w:rPr>
          <w:rFonts w:hint="eastAsia" w:ascii="宋体" w:hAnsi="宋体"/>
          <w:szCs w:val="21"/>
        </w:rPr>
      </w:pPr>
      <w:r>
        <w:rPr>
          <w:rFonts w:hint="eastAsia" w:ascii="宋体" w:hAnsi="宋体"/>
          <w:szCs w:val="21"/>
        </w:rPr>
        <w:t>2.总价合同支付分解表的编制与审批：</w:t>
      </w:r>
      <w:r>
        <w:rPr>
          <w:rFonts w:hint="eastAsia" w:ascii="宋体" w:hAnsi="宋体"/>
          <w:szCs w:val="21"/>
          <w:u w:val="single"/>
        </w:rPr>
        <w:t xml:space="preserve"> 按照通用条款执行  </w:t>
      </w:r>
      <w:r>
        <w:rPr>
          <w:rFonts w:hint="eastAsia" w:ascii="宋体" w:hAnsi="宋体"/>
          <w:szCs w:val="21"/>
        </w:rPr>
        <w:t>。</w:t>
      </w:r>
    </w:p>
    <w:p w14:paraId="750F97AB">
      <w:pPr>
        <w:spacing w:before="120" w:line="360" w:lineRule="auto"/>
        <w:ind w:firstLine="630" w:firstLineChars="300"/>
        <w:jc w:val="left"/>
        <w:rPr>
          <w:rFonts w:hint="eastAsia" w:ascii="宋体" w:hAnsi="宋体"/>
          <w:szCs w:val="21"/>
        </w:rPr>
      </w:pPr>
      <w:r>
        <w:rPr>
          <w:rFonts w:hint="eastAsia" w:ascii="宋体" w:hAnsi="宋体"/>
          <w:szCs w:val="21"/>
        </w:rPr>
        <w:t>3.单价合同的总价项目支付分解表的编制与审批：</w:t>
      </w:r>
      <w:r>
        <w:rPr>
          <w:rFonts w:hint="eastAsia" w:ascii="宋体" w:hAnsi="宋体"/>
          <w:szCs w:val="21"/>
          <w:u w:val="single"/>
        </w:rPr>
        <w:t>按照通用条款执行</w:t>
      </w:r>
      <w:r>
        <w:rPr>
          <w:rFonts w:hint="eastAsia" w:ascii="宋体" w:hAnsi="宋体"/>
          <w:szCs w:val="21"/>
        </w:rPr>
        <w:t>。</w:t>
      </w:r>
    </w:p>
    <w:bookmarkEnd w:id="364"/>
    <w:p w14:paraId="302920C3">
      <w:pPr>
        <w:pStyle w:val="5"/>
        <w:spacing w:before="120" w:after="120" w:line="360" w:lineRule="auto"/>
        <w:rPr>
          <w:rFonts w:hint="eastAsia" w:ascii="宋体" w:hAnsi="宋体" w:eastAsia="宋体"/>
          <w:b w:val="0"/>
          <w:sz w:val="21"/>
          <w:szCs w:val="21"/>
        </w:rPr>
      </w:pPr>
      <w:bookmarkStart w:id="535" w:name="_Toc351203645"/>
      <w:bookmarkStart w:id="536" w:name="_Toc296346720"/>
      <w:bookmarkStart w:id="537" w:name="_Toc300935015"/>
      <w:bookmarkStart w:id="538" w:name="_Toc292559424"/>
      <w:bookmarkStart w:id="539" w:name="_Toc292559929"/>
      <w:bookmarkStart w:id="540" w:name="_Toc296503219"/>
      <w:bookmarkStart w:id="541" w:name="_Toc312678053"/>
      <w:bookmarkStart w:id="542" w:name="_Toc296891259"/>
      <w:bookmarkStart w:id="543" w:name="_Toc303539172"/>
      <w:bookmarkStart w:id="544" w:name="_Toc296347218"/>
      <w:bookmarkStart w:id="545" w:name="_Toc296944558"/>
      <w:bookmarkStart w:id="546" w:name="_Toc297123564"/>
      <w:bookmarkStart w:id="547" w:name="_Toc304295593"/>
      <w:bookmarkStart w:id="548" w:name="_Toc297048405"/>
      <w:bookmarkStart w:id="549" w:name="_Toc297120519"/>
      <w:bookmarkStart w:id="550" w:name="_Toc296891047"/>
      <w:bookmarkStart w:id="551" w:name="_Toc297216223"/>
      <w:r>
        <w:rPr>
          <w:rFonts w:hint="eastAsia" w:ascii="宋体" w:hAnsi="宋体" w:eastAsia="宋体"/>
          <w:b w:val="0"/>
          <w:sz w:val="21"/>
          <w:szCs w:val="21"/>
        </w:rPr>
        <w:t>13. 验收和工程试车</w:t>
      </w:r>
      <w:bookmarkEnd w:id="535"/>
    </w:p>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14:paraId="60C37C57">
      <w:pPr>
        <w:spacing w:before="120" w:after="120" w:line="360" w:lineRule="auto"/>
        <w:ind w:firstLine="420" w:firstLineChars="200"/>
        <w:rPr>
          <w:rFonts w:hint="eastAsia" w:ascii="宋体" w:hAnsi="宋体"/>
          <w:szCs w:val="21"/>
        </w:rPr>
      </w:pPr>
      <w:r>
        <w:rPr>
          <w:rFonts w:hint="eastAsia" w:ascii="宋体" w:hAnsi="宋体"/>
          <w:szCs w:val="21"/>
        </w:rPr>
        <w:t>13.1 分部分项工程验收</w:t>
      </w:r>
    </w:p>
    <w:p w14:paraId="72F8BE7E">
      <w:pPr>
        <w:spacing w:before="120" w:line="360" w:lineRule="auto"/>
        <w:ind w:firstLine="420" w:firstLineChars="200"/>
        <w:jc w:val="left"/>
        <w:rPr>
          <w:rFonts w:hint="eastAsia" w:ascii="宋体" w:hAnsi="宋体"/>
          <w:szCs w:val="21"/>
        </w:rPr>
      </w:pPr>
      <w:r>
        <w:rPr>
          <w:rFonts w:hint="eastAsia" w:ascii="宋体" w:hAnsi="宋体"/>
          <w:szCs w:val="21"/>
        </w:rPr>
        <w:t>13.1.2发包人不能按时进行验收时，应提前</w:t>
      </w:r>
      <w:r>
        <w:rPr>
          <w:rFonts w:hint="eastAsia" w:ascii="宋体" w:hAnsi="宋体"/>
          <w:szCs w:val="21"/>
          <w:u w:val="single"/>
        </w:rPr>
        <w:t xml:space="preserve">  24  </w:t>
      </w:r>
      <w:r>
        <w:rPr>
          <w:rFonts w:hint="eastAsia" w:ascii="宋体" w:hAnsi="宋体"/>
          <w:szCs w:val="21"/>
        </w:rPr>
        <w:t>小时提交书面延期要求。</w:t>
      </w:r>
    </w:p>
    <w:p w14:paraId="3ECCF854">
      <w:pPr>
        <w:spacing w:before="120" w:line="360" w:lineRule="auto"/>
        <w:ind w:firstLine="420" w:firstLineChars="200"/>
        <w:jc w:val="left"/>
        <w:rPr>
          <w:rFonts w:hint="eastAsia" w:ascii="宋体" w:hAnsi="宋体"/>
          <w:b/>
          <w:szCs w:val="21"/>
        </w:rPr>
      </w:pPr>
      <w:r>
        <w:rPr>
          <w:rFonts w:hint="eastAsia" w:ascii="宋体" w:hAnsi="宋体"/>
          <w:szCs w:val="21"/>
        </w:rPr>
        <w:t>关于延期最长不得超过：</w:t>
      </w:r>
      <w:r>
        <w:rPr>
          <w:rFonts w:hint="eastAsia" w:ascii="宋体" w:hAnsi="宋体"/>
          <w:szCs w:val="21"/>
          <w:u w:val="single"/>
        </w:rPr>
        <w:t xml:space="preserve">  48  </w:t>
      </w:r>
      <w:r>
        <w:rPr>
          <w:rFonts w:hint="eastAsia" w:ascii="宋体" w:hAnsi="宋体"/>
          <w:szCs w:val="21"/>
        </w:rPr>
        <w:t>小时。</w:t>
      </w:r>
    </w:p>
    <w:p w14:paraId="5331E9B3">
      <w:pPr>
        <w:spacing w:before="120" w:after="120" w:line="360" w:lineRule="auto"/>
        <w:ind w:firstLine="420" w:firstLineChars="200"/>
        <w:rPr>
          <w:rFonts w:hint="eastAsia" w:ascii="宋体" w:hAnsi="宋体"/>
          <w:szCs w:val="21"/>
        </w:rPr>
      </w:pPr>
      <w:bookmarkStart w:id="552" w:name="_Toc297123565"/>
      <w:bookmarkStart w:id="553" w:name="_Toc296891263"/>
      <w:bookmarkStart w:id="554" w:name="_Toc296346724"/>
      <w:bookmarkStart w:id="555" w:name="_Toc297216224"/>
      <w:bookmarkStart w:id="556" w:name="_Toc296891051"/>
      <w:bookmarkStart w:id="557" w:name="_Toc297048409"/>
      <w:bookmarkStart w:id="558" w:name="_Toc296944562"/>
      <w:bookmarkStart w:id="559" w:name="_Toc312678056"/>
      <w:bookmarkStart w:id="560" w:name="_Toc300935016"/>
      <w:bookmarkStart w:id="561" w:name="_Toc296347222"/>
      <w:bookmarkStart w:id="562" w:name="_Toc303539173"/>
      <w:bookmarkStart w:id="563" w:name="_Toc296503223"/>
      <w:bookmarkStart w:id="564" w:name="_Toc292559933"/>
      <w:bookmarkStart w:id="565" w:name="_Toc304295596"/>
      <w:bookmarkStart w:id="566" w:name="_Toc292559428"/>
      <w:bookmarkStart w:id="567" w:name="_Toc297120523"/>
      <w:bookmarkStart w:id="568" w:name="_Toc267251472"/>
      <w:bookmarkStart w:id="569" w:name="_Toc267251471"/>
      <w:bookmarkStart w:id="570" w:name="_Toc267251474"/>
      <w:bookmarkStart w:id="571" w:name="_Toc267251470"/>
      <w:bookmarkStart w:id="572" w:name="_Toc267251473"/>
      <w:bookmarkStart w:id="573" w:name="_Toc267251475"/>
      <w:bookmarkStart w:id="574" w:name="_Toc267251476"/>
      <w:r>
        <w:rPr>
          <w:rFonts w:hint="eastAsia" w:ascii="宋体" w:hAnsi="宋体"/>
          <w:szCs w:val="21"/>
        </w:rPr>
        <w:t>13.2 竣工验收</w:t>
      </w:r>
    </w:p>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14:paraId="4E57D223">
      <w:pPr>
        <w:spacing w:before="120" w:line="360" w:lineRule="auto"/>
        <w:ind w:firstLine="420" w:firstLineChars="200"/>
        <w:jc w:val="left"/>
        <w:rPr>
          <w:rFonts w:hint="eastAsia" w:ascii="宋体" w:hAnsi="宋体"/>
          <w:szCs w:val="21"/>
        </w:rPr>
      </w:pPr>
      <w:bookmarkStart w:id="575" w:name="_Toc280868704"/>
      <w:bookmarkStart w:id="576" w:name="_Toc280868705"/>
      <w:bookmarkStart w:id="577" w:name="_Toc280868706"/>
      <w:bookmarkStart w:id="578" w:name="_Toc280868707"/>
      <w:bookmarkStart w:id="579" w:name="_Toc280868708"/>
      <w:bookmarkStart w:id="580" w:name="_Toc280868709"/>
      <w:r>
        <w:rPr>
          <w:rFonts w:hint="eastAsia" w:ascii="宋体" w:hAnsi="宋体"/>
          <w:szCs w:val="21"/>
        </w:rPr>
        <w:t>13.2.2竣工验收程序</w:t>
      </w:r>
    </w:p>
    <w:bookmarkEnd w:id="575"/>
    <w:p w14:paraId="40314889">
      <w:pPr>
        <w:spacing w:before="120" w:line="360" w:lineRule="auto"/>
        <w:ind w:firstLine="420" w:firstLineChars="200"/>
        <w:jc w:val="left"/>
        <w:rPr>
          <w:rFonts w:hint="eastAsia" w:ascii="宋体" w:hAnsi="宋体"/>
          <w:szCs w:val="21"/>
        </w:rPr>
      </w:pPr>
      <w:r>
        <w:rPr>
          <w:rFonts w:hint="eastAsia" w:ascii="宋体" w:hAnsi="宋体"/>
          <w:kern w:val="0"/>
          <w:szCs w:val="21"/>
        </w:rPr>
        <w:t>关于竣工验收程序的约定：</w:t>
      </w:r>
      <w:r>
        <w:rPr>
          <w:rFonts w:hint="eastAsia" w:ascii="宋体" w:hAnsi="宋体"/>
          <w:kern w:val="0"/>
          <w:szCs w:val="21"/>
          <w:u w:val="single"/>
        </w:rPr>
        <w:t xml:space="preserve">  </w:t>
      </w:r>
      <w:r>
        <w:rPr>
          <w:rFonts w:hint="eastAsia" w:ascii="宋体" w:hAnsi="宋体"/>
          <w:szCs w:val="21"/>
          <w:u w:val="single"/>
        </w:rPr>
        <w:t xml:space="preserve">按照通用条款执行  </w:t>
      </w:r>
      <w:r>
        <w:rPr>
          <w:rFonts w:hint="eastAsia" w:ascii="宋体" w:hAnsi="宋体"/>
          <w:szCs w:val="21"/>
        </w:rPr>
        <w:t>。</w:t>
      </w:r>
    </w:p>
    <w:p w14:paraId="01295D52">
      <w:pPr>
        <w:spacing w:before="120" w:line="360" w:lineRule="auto"/>
        <w:ind w:firstLine="420" w:firstLineChars="200"/>
        <w:jc w:val="left"/>
        <w:rPr>
          <w:rFonts w:hint="eastAsia" w:ascii="宋体" w:hAnsi="宋体"/>
          <w:szCs w:val="21"/>
        </w:rPr>
      </w:pPr>
      <w:r>
        <w:rPr>
          <w:rFonts w:hint="eastAsia" w:ascii="宋体" w:hAnsi="宋体"/>
          <w:kern w:val="0"/>
          <w:szCs w:val="21"/>
        </w:rPr>
        <w:t>发包人不按照本项约定组织竣工验收、颁发工程接收证书的违约金的计算方法：</w:t>
      </w:r>
      <w:r>
        <w:rPr>
          <w:rFonts w:hint="eastAsia" w:ascii="宋体" w:hAnsi="宋体"/>
          <w:szCs w:val="21"/>
          <w:u w:val="single"/>
        </w:rPr>
        <w:t xml:space="preserve">    按照通用条款执行   </w:t>
      </w:r>
      <w:r>
        <w:rPr>
          <w:rFonts w:hint="eastAsia" w:ascii="宋体" w:hAnsi="宋体"/>
          <w:szCs w:val="21"/>
        </w:rPr>
        <w:t>。</w:t>
      </w:r>
    </w:p>
    <w:bookmarkEnd w:id="576"/>
    <w:p w14:paraId="4B713DA5">
      <w:pPr>
        <w:spacing w:before="120" w:line="360" w:lineRule="auto"/>
        <w:ind w:firstLine="420" w:firstLineChars="200"/>
        <w:jc w:val="left"/>
        <w:rPr>
          <w:rFonts w:hint="eastAsia" w:ascii="宋体" w:hAnsi="宋体"/>
          <w:szCs w:val="21"/>
        </w:rPr>
      </w:pPr>
      <w:r>
        <w:rPr>
          <w:rFonts w:hint="eastAsia" w:ascii="宋体" w:hAnsi="宋体"/>
          <w:szCs w:val="21"/>
        </w:rPr>
        <w:t>13.2.5移交、接收全部与部分工程</w:t>
      </w:r>
    </w:p>
    <w:bookmarkEnd w:id="577"/>
    <w:p w14:paraId="6954E02F">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承包人向发包人移交工程的期限：</w:t>
      </w:r>
      <w:r>
        <w:rPr>
          <w:rFonts w:hint="eastAsia" w:ascii="宋体" w:hAnsi="宋体"/>
          <w:szCs w:val="21"/>
          <w:u w:val="single"/>
        </w:rPr>
        <w:t xml:space="preserve">     按照通用条款执行        </w:t>
      </w:r>
      <w:r>
        <w:rPr>
          <w:rFonts w:hint="eastAsia" w:ascii="宋体" w:hAnsi="宋体"/>
          <w:szCs w:val="21"/>
        </w:rPr>
        <w:t>。</w:t>
      </w:r>
    </w:p>
    <w:p w14:paraId="2DFBFA0A">
      <w:pPr>
        <w:spacing w:before="120" w:line="360" w:lineRule="auto"/>
        <w:ind w:firstLine="420" w:firstLineChars="200"/>
        <w:jc w:val="left"/>
        <w:rPr>
          <w:rFonts w:hint="eastAsia" w:ascii="宋体" w:hAnsi="宋体"/>
          <w:szCs w:val="21"/>
          <w:u w:val="single"/>
        </w:rPr>
      </w:pPr>
      <w:r>
        <w:rPr>
          <w:rFonts w:hint="eastAsia" w:ascii="宋体" w:hAnsi="宋体"/>
          <w:kern w:val="0"/>
          <w:szCs w:val="21"/>
        </w:rPr>
        <w:t>发包人未按本合同约定接收全部或部分工程的，违约金的计算方法为：</w:t>
      </w:r>
      <w:r>
        <w:rPr>
          <w:rFonts w:hint="eastAsia" w:ascii="宋体" w:hAnsi="宋体"/>
          <w:szCs w:val="21"/>
          <w:u w:val="single"/>
        </w:rPr>
        <w:t xml:space="preserve">   双方协商确定    </w:t>
      </w:r>
      <w:r>
        <w:rPr>
          <w:rFonts w:hint="eastAsia" w:ascii="宋体" w:hAnsi="宋体"/>
          <w:szCs w:val="21"/>
        </w:rPr>
        <w:t>。</w:t>
      </w:r>
    </w:p>
    <w:bookmarkEnd w:id="578"/>
    <w:p w14:paraId="5273BF68">
      <w:pPr>
        <w:spacing w:before="120" w:line="360" w:lineRule="auto"/>
        <w:ind w:firstLine="420" w:firstLineChars="200"/>
        <w:jc w:val="left"/>
        <w:rPr>
          <w:rFonts w:hint="eastAsia" w:ascii="宋体" w:hAnsi="宋体"/>
          <w:szCs w:val="21"/>
        </w:rPr>
      </w:pPr>
      <w:r>
        <w:rPr>
          <w:rFonts w:hint="eastAsia" w:ascii="宋体" w:hAnsi="宋体"/>
          <w:szCs w:val="21"/>
        </w:rPr>
        <w:t>承包人未按时移交工程的，违约金的计算方法为：</w:t>
      </w:r>
      <w:r>
        <w:rPr>
          <w:rFonts w:hint="eastAsia" w:ascii="宋体" w:hAnsi="宋体"/>
          <w:szCs w:val="21"/>
          <w:u w:val="single"/>
        </w:rPr>
        <w:t xml:space="preserve">  每逾期一天按合同价款的2‰向发包人支付违约金  </w:t>
      </w:r>
      <w:r>
        <w:rPr>
          <w:rFonts w:hint="eastAsia" w:ascii="宋体" w:hAnsi="宋体"/>
          <w:szCs w:val="21"/>
        </w:rPr>
        <w:t>。</w:t>
      </w:r>
    </w:p>
    <w:p w14:paraId="01B1C465">
      <w:pPr>
        <w:spacing w:before="120" w:after="120" w:line="360" w:lineRule="auto"/>
        <w:ind w:firstLine="420" w:firstLineChars="200"/>
        <w:rPr>
          <w:rFonts w:hint="eastAsia" w:ascii="宋体" w:hAnsi="宋体"/>
          <w:szCs w:val="21"/>
        </w:rPr>
      </w:pPr>
      <w:r>
        <w:rPr>
          <w:rFonts w:hint="eastAsia" w:ascii="宋体" w:hAnsi="宋体"/>
          <w:szCs w:val="21"/>
        </w:rPr>
        <w:t>13.3 工程试车</w:t>
      </w:r>
    </w:p>
    <w:bookmarkEnd w:id="579"/>
    <w:p w14:paraId="49B2A031">
      <w:pPr>
        <w:spacing w:before="120" w:line="360" w:lineRule="auto"/>
        <w:ind w:firstLine="420" w:firstLineChars="200"/>
        <w:jc w:val="left"/>
        <w:rPr>
          <w:rFonts w:hint="eastAsia" w:ascii="宋体" w:hAnsi="宋体"/>
          <w:kern w:val="0"/>
          <w:szCs w:val="21"/>
        </w:rPr>
      </w:pPr>
      <w:r>
        <w:rPr>
          <w:rFonts w:hint="eastAsia" w:ascii="宋体" w:hAnsi="宋体"/>
          <w:kern w:val="0"/>
          <w:szCs w:val="21"/>
        </w:rPr>
        <w:t>13.3.1 试车程序</w:t>
      </w:r>
    </w:p>
    <w:p w14:paraId="21AD426D">
      <w:pPr>
        <w:spacing w:before="120" w:line="360" w:lineRule="auto"/>
        <w:ind w:firstLine="630" w:firstLineChars="300"/>
        <w:jc w:val="left"/>
        <w:rPr>
          <w:rFonts w:hint="eastAsia" w:ascii="宋体" w:hAnsi="宋体"/>
          <w:kern w:val="0"/>
          <w:szCs w:val="21"/>
        </w:rPr>
      </w:pPr>
      <w:r>
        <w:rPr>
          <w:rFonts w:hint="eastAsia" w:ascii="宋体" w:hAnsi="宋体"/>
          <w:kern w:val="0"/>
          <w:szCs w:val="21"/>
        </w:rPr>
        <w:t>工程试车内容：</w:t>
      </w:r>
      <w:r>
        <w:rPr>
          <w:rFonts w:hint="eastAsia" w:ascii="宋体" w:hAnsi="宋体"/>
          <w:szCs w:val="21"/>
          <w:u w:val="single"/>
        </w:rPr>
        <w:t xml:space="preserve">  施工设计图及合同约定项下的全部内容  </w:t>
      </w:r>
      <w:r>
        <w:rPr>
          <w:rFonts w:hint="eastAsia" w:ascii="宋体" w:hAnsi="宋体"/>
          <w:szCs w:val="21"/>
        </w:rPr>
        <w:t>。</w:t>
      </w:r>
    </w:p>
    <w:p w14:paraId="7944BC24">
      <w:pPr>
        <w:spacing w:before="120" w:line="360" w:lineRule="auto"/>
        <w:ind w:firstLine="420" w:firstLineChars="200"/>
        <w:jc w:val="left"/>
        <w:rPr>
          <w:rFonts w:hint="eastAsia" w:ascii="宋体" w:hAnsi="宋体"/>
          <w:kern w:val="0"/>
          <w:szCs w:val="21"/>
        </w:rPr>
      </w:pPr>
      <w:r>
        <w:rPr>
          <w:rFonts w:hint="eastAsia" w:ascii="宋体" w:hAnsi="宋体"/>
          <w:kern w:val="0"/>
          <w:szCs w:val="21"/>
        </w:rPr>
        <w:t>（1）单机无负荷试车费用由</w:t>
      </w:r>
      <w:r>
        <w:rPr>
          <w:rFonts w:hint="eastAsia" w:ascii="宋体" w:hAnsi="宋体"/>
          <w:szCs w:val="21"/>
          <w:u w:val="single"/>
        </w:rPr>
        <w:t xml:space="preserve">  承包人 </w:t>
      </w:r>
      <w:r>
        <w:rPr>
          <w:rFonts w:hint="eastAsia" w:ascii="宋体" w:hAnsi="宋体"/>
          <w:kern w:val="0"/>
          <w:szCs w:val="21"/>
        </w:rPr>
        <w:t>承担；</w:t>
      </w:r>
    </w:p>
    <w:p w14:paraId="07ECE1A1">
      <w:pPr>
        <w:spacing w:before="120" w:line="360" w:lineRule="auto"/>
        <w:ind w:firstLine="420" w:firstLineChars="200"/>
        <w:jc w:val="left"/>
        <w:rPr>
          <w:rFonts w:hint="eastAsia" w:ascii="宋体" w:hAnsi="宋体"/>
          <w:kern w:val="0"/>
          <w:szCs w:val="21"/>
        </w:rPr>
      </w:pPr>
      <w:r>
        <w:rPr>
          <w:rFonts w:hint="eastAsia" w:ascii="宋体" w:hAnsi="宋体"/>
          <w:kern w:val="0"/>
          <w:szCs w:val="21"/>
        </w:rPr>
        <w:t>（2）无负荷联动试车费用由</w:t>
      </w:r>
      <w:r>
        <w:rPr>
          <w:rFonts w:hint="eastAsia" w:ascii="宋体" w:hAnsi="宋体"/>
          <w:szCs w:val="21"/>
          <w:u w:val="single"/>
        </w:rPr>
        <w:t xml:space="preserve"> 承包人 </w:t>
      </w:r>
      <w:r>
        <w:rPr>
          <w:rFonts w:hint="eastAsia" w:ascii="宋体" w:hAnsi="宋体"/>
          <w:kern w:val="0"/>
          <w:szCs w:val="21"/>
        </w:rPr>
        <w:t>承担。</w:t>
      </w:r>
    </w:p>
    <w:p w14:paraId="3299E3FF">
      <w:pPr>
        <w:spacing w:before="120" w:line="360" w:lineRule="auto"/>
        <w:ind w:firstLine="420" w:firstLineChars="200"/>
        <w:jc w:val="left"/>
        <w:rPr>
          <w:rFonts w:hint="eastAsia" w:ascii="宋体" w:hAnsi="宋体"/>
          <w:kern w:val="0"/>
          <w:szCs w:val="21"/>
        </w:rPr>
      </w:pPr>
      <w:r>
        <w:rPr>
          <w:rFonts w:hint="eastAsia" w:ascii="宋体" w:hAnsi="宋体"/>
          <w:kern w:val="0"/>
          <w:szCs w:val="21"/>
        </w:rPr>
        <w:t>13.3.3 投料试车</w:t>
      </w:r>
    </w:p>
    <w:p w14:paraId="6F802521">
      <w:pPr>
        <w:spacing w:before="120" w:line="360" w:lineRule="auto"/>
        <w:ind w:firstLine="420" w:firstLineChars="200"/>
        <w:jc w:val="left"/>
        <w:rPr>
          <w:rFonts w:hint="eastAsia" w:ascii="宋体" w:hAnsi="宋体"/>
          <w:kern w:val="0"/>
          <w:szCs w:val="21"/>
        </w:rPr>
      </w:pPr>
      <w:r>
        <w:rPr>
          <w:rFonts w:hint="eastAsia" w:ascii="宋体" w:hAnsi="宋体"/>
          <w:kern w:val="0"/>
          <w:szCs w:val="21"/>
        </w:rPr>
        <w:t>关于投料试车相关事项的约定：</w:t>
      </w:r>
      <w:r>
        <w:rPr>
          <w:rFonts w:hint="eastAsia" w:ascii="宋体" w:hAnsi="宋体"/>
          <w:szCs w:val="21"/>
          <w:u w:val="single"/>
        </w:rPr>
        <w:t xml:space="preserve">  </w:t>
      </w:r>
      <w:r>
        <w:rPr>
          <w:rFonts w:hint="eastAsia" w:ascii="宋体" w:hAnsi="宋体"/>
          <w:kern w:val="0"/>
          <w:szCs w:val="21"/>
          <w:u w:val="single"/>
        </w:rPr>
        <w:t>发包人要求在工程竣工验收前进行投料试车的，在符合试车条件的情况下，承包人应配合进行投料试车，所产生的费用按通用条款执行</w:t>
      </w:r>
      <w:r>
        <w:rPr>
          <w:rFonts w:hint="eastAsia" w:ascii="宋体" w:hAnsi="宋体"/>
          <w:szCs w:val="21"/>
          <w:u w:val="single"/>
        </w:rPr>
        <w:t xml:space="preserve"> </w:t>
      </w:r>
      <w:r>
        <w:rPr>
          <w:rFonts w:hint="eastAsia" w:ascii="宋体" w:hAnsi="宋体"/>
          <w:szCs w:val="21"/>
        </w:rPr>
        <w:t>。</w:t>
      </w:r>
    </w:p>
    <w:p w14:paraId="5F346E71">
      <w:pPr>
        <w:spacing w:before="120" w:after="120" w:line="360" w:lineRule="auto"/>
        <w:ind w:firstLine="420" w:firstLineChars="200"/>
        <w:outlineLvl w:val="0"/>
        <w:rPr>
          <w:rFonts w:hint="eastAsia" w:ascii="宋体" w:hAnsi="宋体"/>
          <w:szCs w:val="21"/>
        </w:rPr>
      </w:pPr>
      <w:r>
        <w:rPr>
          <w:rFonts w:hint="eastAsia" w:ascii="宋体" w:hAnsi="宋体"/>
          <w:szCs w:val="21"/>
        </w:rPr>
        <w:t>13.6 竣工退场</w:t>
      </w:r>
    </w:p>
    <w:p w14:paraId="5790CBBE">
      <w:pPr>
        <w:spacing w:before="120" w:line="360" w:lineRule="auto"/>
        <w:ind w:firstLine="420" w:firstLineChars="200"/>
        <w:jc w:val="left"/>
        <w:rPr>
          <w:rFonts w:hint="eastAsia" w:ascii="宋体" w:hAnsi="宋体"/>
          <w:kern w:val="0"/>
          <w:szCs w:val="21"/>
        </w:rPr>
      </w:pPr>
      <w:r>
        <w:rPr>
          <w:rFonts w:hint="eastAsia" w:ascii="宋体" w:hAnsi="宋体"/>
          <w:kern w:val="0"/>
          <w:szCs w:val="21"/>
        </w:rPr>
        <w:t>13.6.1 竣工退场</w:t>
      </w:r>
    </w:p>
    <w:p w14:paraId="70A61F2A">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承包人完成竣工退场的期限：</w:t>
      </w:r>
      <w:r>
        <w:rPr>
          <w:rFonts w:hint="eastAsia" w:ascii="宋体" w:hAnsi="宋体"/>
          <w:szCs w:val="21"/>
          <w:u w:val="single"/>
        </w:rPr>
        <w:t xml:space="preserve">  工程接收证书颁发后7天内，除经发包人同意需在缺陷责任期内继续工作的人员、施工设备和临时工程外，其余的人员、施工设备和临时工程均应撤离施工现场或拆除。如承包人在缺陷责任期后，要求部分人员和施工设备仍留在场内的，承包人应当提交其留场人员和设备的明细表及最后撤离时间。延后撤离造成发包人增加的费用，由承包人承担。期间发生的水电费用由承包人承担 </w:t>
      </w:r>
      <w:r>
        <w:rPr>
          <w:rFonts w:hint="eastAsia" w:ascii="宋体" w:hAnsi="宋体"/>
          <w:kern w:val="0"/>
          <w:szCs w:val="21"/>
        </w:rPr>
        <w:t>。</w:t>
      </w:r>
    </w:p>
    <w:p w14:paraId="42155824">
      <w:pPr>
        <w:pStyle w:val="5"/>
        <w:spacing w:before="120" w:after="120" w:line="360" w:lineRule="auto"/>
        <w:rPr>
          <w:rFonts w:hint="eastAsia" w:ascii="宋体" w:hAnsi="宋体" w:eastAsia="宋体"/>
          <w:b w:val="0"/>
          <w:color w:val="000000"/>
          <w:sz w:val="21"/>
          <w:szCs w:val="21"/>
        </w:rPr>
      </w:pPr>
      <w:bookmarkStart w:id="581" w:name="_Toc351203646"/>
      <w:r>
        <w:rPr>
          <w:rFonts w:hint="eastAsia" w:ascii="宋体" w:hAnsi="宋体" w:eastAsia="宋体"/>
          <w:b w:val="0"/>
          <w:color w:val="000000"/>
          <w:sz w:val="21"/>
          <w:szCs w:val="21"/>
        </w:rPr>
        <w:t>14. 竣工结算</w:t>
      </w:r>
      <w:bookmarkEnd w:id="581"/>
    </w:p>
    <w:p w14:paraId="586012DA">
      <w:pPr>
        <w:spacing w:before="120" w:after="120" w:line="360" w:lineRule="auto"/>
        <w:ind w:firstLine="420" w:firstLineChars="200"/>
        <w:rPr>
          <w:rFonts w:hint="eastAsia" w:ascii="宋体" w:hAnsi="宋体"/>
          <w:szCs w:val="21"/>
        </w:rPr>
      </w:pPr>
      <w:r>
        <w:rPr>
          <w:rFonts w:hint="eastAsia" w:ascii="宋体" w:hAnsi="宋体"/>
          <w:szCs w:val="21"/>
        </w:rPr>
        <w:t>14.1 竣工结算申请</w:t>
      </w:r>
    </w:p>
    <w:p w14:paraId="423530B2">
      <w:pPr>
        <w:spacing w:before="120" w:line="360" w:lineRule="auto"/>
        <w:ind w:firstLine="420" w:firstLineChars="200"/>
        <w:jc w:val="left"/>
        <w:rPr>
          <w:rFonts w:hint="eastAsia" w:ascii="宋体" w:hAnsi="宋体"/>
          <w:szCs w:val="21"/>
        </w:rPr>
      </w:pPr>
      <w:r>
        <w:rPr>
          <w:rFonts w:hint="eastAsia" w:ascii="宋体" w:hAnsi="宋体"/>
          <w:szCs w:val="21"/>
        </w:rPr>
        <w:t>承包人提交竣工结算申请单的期限：</w:t>
      </w:r>
      <w:r>
        <w:rPr>
          <w:rFonts w:hint="eastAsia" w:ascii="宋体" w:hAnsi="宋体"/>
          <w:szCs w:val="21"/>
          <w:u w:val="single"/>
        </w:rPr>
        <w:t xml:space="preserve">   </w:t>
      </w:r>
      <w:r>
        <w:rPr>
          <w:rFonts w:hint="eastAsia" w:ascii="宋体" w:hAnsi="宋体"/>
          <w:kern w:val="0"/>
          <w:szCs w:val="21"/>
          <w:u w:val="single"/>
        </w:rPr>
        <w:t>承包人应在本合同工程竣工验收通过后30日内，向发包人提出竣工结算报告及完整的结算资料，办理竣工结算。</w:t>
      </w:r>
    </w:p>
    <w:p w14:paraId="7E97C133">
      <w:pPr>
        <w:spacing w:before="120" w:line="360" w:lineRule="auto"/>
        <w:ind w:firstLine="420" w:firstLineChars="200"/>
        <w:jc w:val="left"/>
        <w:rPr>
          <w:rFonts w:hint="eastAsia" w:ascii="宋体" w:hAnsi="宋体"/>
          <w:szCs w:val="21"/>
        </w:rPr>
      </w:pPr>
      <w:r>
        <w:rPr>
          <w:rFonts w:hint="eastAsia" w:ascii="宋体" w:hAnsi="宋体"/>
          <w:szCs w:val="21"/>
        </w:rPr>
        <w:t>竣工结算申请单应包括的内容：</w:t>
      </w:r>
      <w:r>
        <w:rPr>
          <w:rFonts w:hint="eastAsia" w:ascii="宋体" w:hAnsi="宋体"/>
          <w:szCs w:val="21"/>
          <w:u w:val="single"/>
        </w:rPr>
        <w:t xml:space="preserve"> 除</w:t>
      </w:r>
      <w:r>
        <w:rPr>
          <w:rFonts w:hint="eastAsia" w:ascii="宋体" w:hAnsi="宋体"/>
          <w:kern w:val="0"/>
          <w:szCs w:val="21"/>
          <w:u w:val="single"/>
        </w:rPr>
        <w:t>通用条款规定的四项内容外，承包人竣工结算书必须按国家及湖南省、湘潭市工程预结算有关规定和本合同要求进行编制，同时必须提供工程量计算底稿、完整的变更签证等所有相关的结算资料及相应的电子磁盘资料。</w:t>
      </w:r>
    </w:p>
    <w:p w14:paraId="432C5A30">
      <w:pPr>
        <w:pStyle w:val="91"/>
        <w:spacing w:before="120"/>
        <w:ind w:firstLine="210"/>
        <w:rPr>
          <w:rFonts w:hint="eastAsia" w:ascii="宋体" w:hAnsi="宋体"/>
          <w:szCs w:val="21"/>
          <w:highlight w:val="yellow"/>
        </w:rPr>
      </w:pPr>
    </w:p>
    <w:p w14:paraId="099931CB">
      <w:pPr>
        <w:spacing w:before="120" w:after="120" w:line="360" w:lineRule="auto"/>
        <w:ind w:firstLine="420" w:firstLineChars="200"/>
        <w:outlineLvl w:val="0"/>
        <w:rPr>
          <w:rFonts w:hint="eastAsia" w:ascii="宋体" w:hAnsi="宋体"/>
          <w:szCs w:val="21"/>
        </w:rPr>
      </w:pPr>
      <w:r>
        <w:rPr>
          <w:rFonts w:hint="eastAsia" w:ascii="宋体" w:hAnsi="宋体"/>
          <w:szCs w:val="21"/>
        </w:rPr>
        <w:t>14.2 竣工结算审核</w:t>
      </w:r>
    </w:p>
    <w:p w14:paraId="293AEA3A">
      <w:pPr>
        <w:spacing w:before="120" w:line="360" w:lineRule="auto"/>
        <w:ind w:firstLine="420" w:firstLineChars="200"/>
        <w:jc w:val="left"/>
        <w:rPr>
          <w:rFonts w:hint="eastAsia" w:ascii="宋体" w:hAnsi="宋体"/>
          <w:szCs w:val="21"/>
        </w:rPr>
      </w:pPr>
      <w:r>
        <w:rPr>
          <w:rFonts w:hint="eastAsia" w:ascii="宋体" w:hAnsi="宋体"/>
          <w:szCs w:val="21"/>
        </w:rPr>
        <w:t>发包人审批竣工付款申请单的期限：</w:t>
      </w:r>
      <w:r>
        <w:rPr>
          <w:rFonts w:hint="eastAsia" w:ascii="宋体" w:hAnsi="宋体"/>
          <w:szCs w:val="21"/>
          <w:u w:val="single"/>
        </w:rPr>
        <w:t xml:space="preserve">   发包人收到监理人审核通过的竣工付款申请单28天内    </w:t>
      </w:r>
      <w:r>
        <w:rPr>
          <w:rFonts w:hint="eastAsia" w:ascii="宋体" w:hAnsi="宋体"/>
          <w:szCs w:val="21"/>
        </w:rPr>
        <w:t>。</w:t>
      </w:r>
    </w:p>
    <w:p w14:paraId="622A0B5D">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建筑安装工程费（含招标范围内的设备费）结算依据：《建设工程工程量清单计价标准</w:t>
      </w:r>
      <w:r>
        <w:rPr>
          <w:rFonts w:hint="eastAsia" w:ascii="宋体" w:hAnsi="宋体"/>
          <w:szCs w:val="21"/>
          <w:u w:val="single"/>
        </w:rPr>
        <w:t>》（</w:t>
      </w:r>
      <w:bookmarkStart w:id="582" w:name="OLE_LINK9"/>
      <w:bookmarkStart w:id="583" w:name="OLE_LINK10"/>
      <w:r>
        <w:rPr>
          <w:rFonts w:hint="eastAsia" w:ascii="宋体" w:hAnsi="宋体"/>
          <w:szCs w:val="21"/>
          <w:u w:val="single"/>
        </w:rPr>
        <w:t>GB/T 50500-2024</w:t>
      </w:r>
      <w:bookmarkEnd w:id="582"/>
      <w:bookmarkEnd w:id="583"/>
      <w:r>
        <w:rPr>
          <w:rFonts w:hint="eastAsia" w:ascii="宋体" w:hAnsi="宋体"/>
          <w:szCs w:val="21"/>
          <w:u w:val="single"/>
        </w:rPr>
        <w:t>）</w:t>
      </w:r>
      <w:r>
        <w:rPr>
          <w:rFonts w:hint="eastAsia" w:ascii="宋体" w:hAnsi="宋体"/>
          <w:kern w:val="0"/>
          <w:szCs w:val="21"/>
          <w:u w:val="single"/>
        </w:rPr>
        <w:t>、</w:t>
      </w:r>
      <w:r>
        <w:rPr>
          <w:rFonts w:hint="eastAsia" w:ascii="宋体" w:hAnsi="宋体"/>
          <w:szCs w:val="21"/>
          <w:u w:val="single"/>
        </w:rPr>
        <w:t>按省住建厅关于执行《建设工程工程量清单计价标准》及配套工程量计价标准的通知（湘建科函[2025]150号）、省住建厅关于发布2025《湖南省建设工程消耗量标准》的通知（湘建科函[2025]151号）、《关于发布2025年湖南省建设工程人工费指数的通知》（湘建价建〔2025〕18号）等规范性文件。（以上文件如遇政策调整，则按施工同期新政策执行。）</w:t>
      </w:r>
    </w:p>
    <w:p w14:paraId="049C536C">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对新增材料及暂估价材料、工程设备的结算价格，由承包人向发包人申请，发包人审定。承包人对签认价格有异议，在接到发包人定价3天内提交书面报告申请重新定价，提供有效证据资料（如购销合同、发票等有效凭证）。承包人不得以停工方式要挟发包人作出让步。</w:t>
      </w:r>
    </w:p>
    <w:p w14:paraId="5EA9B0D9">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根据政府造价文件规定需计入工程总造价但实际上由发包人代缴的费用，发包人在工程款支付及财务决算时扣除。</w:t>
      </w:r>
    </w:p>
    <w:p w14:paraId="4B684AFF">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承包人对列入投标价的安全防护、文明施工措施费用应当用于本工程施工安全防护用具及设施的采购和更新、安全施工措施的落实、安全生产条件和作业环境的改善，不得挪作他用。承包人应当确保安全防护文明施工措施费专款专用，在施工过程中应确保专项费用的投入，不得降低标准。</w:t>
      </w:r>
    </w:p>
    <w:p w14:paraId="6A2A6FBC">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为方便核对结算，减少核对时间，承包人保证在办理竣工结算时，报价全面真实。竣工结算按《湖南省教育厅关于进一步加强教育系统建设项目内部审计工作的若干规定》（</w:t>
      </w:r>
      <w:r>
        <w:rPr>
          <w:rFonts w:hint="eastAsia" w:ascii="宋体" w:hAnsi="宋体"/>
          <w:szCs w:val="21"/>
          <w:u w:val="single"/>
        </w:rPr>
        <w:t>湘教发〔2022〕21号</w:t>
      </w:r>
      <w:r>
        <w:rPr>
          <w:rFonts w:hint="eastAsia" w:ascii="宋体" w:hAnsi="宋体"/>
          <w:kern w:val="0"/>
          <w:szCs w:val="21"/>
          <w:u w:val="single"/>
        </w:rPr>
        <w:t>）和《湘潭大学建设项目审计实施办法》（</w:t>
      </w:r>
      <w:r>
        <w:rPr>
          <w:rFonts w:hint="eastAsia" w:ascii="宋体" w:hAnsi="宋体"/>
          <w:szCs w:val="21"/>
          <w:u w:val="single"/>
        </w:rPr>
        <w:t>湘大政发〔20</w:t>
      </w:r>
      <w:r>
        <w:rPr>
          <w:rFonts w:hint="eastAsia" w:ascii="宋体" w:hAnsi="宋体"/>
          <w:szCs w:val="21"/>
          <w:u w:val="single"/>
          <w:lang w:val="en-US" w:eastAsia="zh-CN"/>
        </w:rPr>
        <w:t>2</w:t>
      </w:r>
      <w:r>
        <w:rPr>
          <w:rFonts w:hint="eastAsia" w:ascii="宋体" w:hAnsi="宋体"/>
          <w:szCs w:val="21"/>
          <w:u w:val="single"/>
        </w:rPr>
        <w:t>5〕</w:t>
      </w:r>
      <w:r>
        <w:rPr>
          <w:rFonts w:hint="eastAsia" w:ascii="宋体" w:hAnsi="宋体"/>
          <w:szCs w:val="21"/>
          <w:u w:val="single"/>
          <w:lang w:val="en-US" w:eastAsia="zh-CN"/>
        </w:rPr>
        <w:t>9</w:t>
      </w:r>
      <w:r>
        <w:rPr>
          <w:rFonts w:hint="eastAsia" w:ascii="宋体" w:hAnsi="宋体"/>
          <w:szCs w:val="21"/>
          <w:u w:val="single"/>
        </w:rPr>
        <w:t>号</w:t>
      </w:r>
      <w:r>
        <w:rPr>
          <w:rFonts w:hint="eastAsia" w:ascii="宋体" w:hAnsi="宋体"/>
          <w:kern w:val="0"/>
          <w:szCs w:val="21"/>
          <w:u w:val="single"/>
        </w:rPr>
        <w:t>）的相关规定执行。承包人竣工结算送发包人审核时，最终结算审减额超过送审额的5%以上，发包人将按审减送审额5%以上部分的10%计取审计违约金，并从承包人的工程款中扣除。</w:t>
      </w:r>
    </w:p>
    <w:p w14:paraId="2CEC7FF6">
      <w:pPr>
        <w:spacing w:before="120" w:line="360" w:lineRule="auto"/>
        <w:ind w:firstLine="420" w:firstLineChars="200"/>
        <w:jc w:val="left"/>
        <w:rPr>
          <w:rFonts w:hint="eastAsia" w:ascii="宋体" w:hAnsi="宋体"/>
          <w:szCs w:val="21"/>
          <w:u w:val="single"/>
        </w:rPr>
      </w:pPr>
      <w:r>
        <w:rPr>
          <w:rFonts w:hint="eastAsia" w:ascii="宋体" w:hAnsi="宋体"/>
          <w:kern w:val="0"/>
          <w:szCs w:val="21"/>
          <w:u w:val="single"/>
        </w:rPr>
        <w:t>任何一项未在规定期限内办完相关手续的工程变更均不能计量支付和办理结算。</w:t>
      </w:r>
    </w:p>
    <w:p w14:paraId="3F3EC716">
      <w:pPr>
        <w:spacing w:before="120" w:line="360" w:lineRule="auto"/>
        <w:ind w:firstLine="420" w:firstLineChars="200"/>
        <w:jc w:val="left"/>
        <w:rPr>
          <w:rFonts w:hint="eastAsia" w:ascii="宋体" w:hAnsi="宋体"/>
          <w:szCs w:val="21"/>
        </w:rPr>
      </w:pPr>
      <w:r>
        <w:rPr>
          <w:rFonts w:hint="eastAsia" w:ascii="宋体" w:hAnsi="宋体"/>
          <w:szCs w:val="21"/>
        </w:rPr>
        <w:t>发包人完成竣工付款的期限：</w:t>
      </w:r>
      <w:r>
        <w:rPr>
          <w:rFonts w:hint="eastAsia" w:ascii="宋体" w:hAnsi="宋体"/>
          <w:szCs w:val="21"/>
          <w:u w:val="single"/>
        </w:rPr>
        <w:t xml:space="preserve">  签发竣工付款证书后28天内  </w:t>
      </w:r>
      <w:r>
        <w:rPr>
          <w:rFonts w:hint="eastAsia" w:ascii="宋体" w:hAnsi="宋体"/>
          <w:szCs w:val="21"/>
        </w:rPr>
        <w:t>。</w:t>
      </w:r>
    </w:p>
    <w:p w14:paraId="10223D83">
      <w:pPr>
        <w:spacing w:before="120" w:line="360" w:lineRule="auto"/>
        <w:ind w:firstLine="420" w:firstLineChars="200"/>
        <w:jc w:val="left"/>
        <w:rPr>
          <w:rFonts w:hint="eastAsia" w:ascii="宋体" w:hAnsi="宋体"/>
          <w:szCs w:val="21"/>
        </w:rPr>
      </w:pPr>
      <w:r>
        <w:rPr>
          <w:rFonts w:hint="eastAsia" w:ascii="宋体" w:hAnsi="宋体"/>
          <w:szCs w:val="21"/>
        </w:rPr>
        <w:t>关于竣工付款证书异议部分复核的方式和程序：</w:t>
      </w:r>
      <w:r>
        <w:rPr>
          <w:rFonts w:hint="eastAsia" w:ascii="宋体" w:hAnsi="宋体"/>
          <w:szCs w:val="21"/>
          <w:u w:val="single"/>
        </w:rPr>
        <w:t xml:space="preserve"> 按照通用条款执行  </w:t>
      </w:r>
      <w:r>
        <w:rPr>
          <w:rFonts w:hint="eastAsia" w:ascii="宋体" w:hAnsi="宋体"/>
          <w:szCs w:val="21"/>
        </w:rPr>
        <w:t>。</w:t>
      </w:r>
    </w:p>
    <w:p w14:paraId="475F20FC">
      <w:pPr>
        <w:spacing w:before="120" w:after="120" w:line="360" w:lineRule="auto"/>
        <w:ind w:firstLine="420" w:firstLineChars="200"/>
        <w:rPr>
          <w:rFonts w:hint="eastAsia" w:ascii="宋体" w:hAnsi="宋体"/>
          <w:szCs w:val="21"/>
        </w:rPr>
      </w:pPr>
      <w:r>
        <w:rPr>
          <w:rFonts w:hint="eastAsia" w:ascii="宋体" w:hAnsi="宋体"/>
          <w:szCs w:val="21"/>
        </w:rPr>
        <w:t>14.4 最终结清</w:t>
      </w:r>
    </w:p>
    <w:p w14:paraId="19345B20">
      <w:pPr>
        <w:spacing w:before="120" w:line="360" w:lineRule="auto"/>
        <w:ind w:firstLine="420" w:firstLineChars="200"/>
        <w:jc w:val="left"/>
        <w:rPr>
          <w:rFonts w:hint="eastAsia" w:ascii="宋体" w:hAnsi="宋体"/>
          <w:kern w:val="0"/>
          <w:szCs w:val="21"/>
        </w:rPr>
      </w:pPr>
      <w:r>
        <w:rPr>
          <w:rFonts w:hint="eastAsia" w:ascii="宋体" w:hAnsi="宋体"/>
          <w:kern w:val="0"/>
          <w:szCs w:val="21"/>
        </w:rPr>
        <w:t>14.4.1 最终结清申请单</w:t>
      </w:r>
    </w:p>
    <w:p w14:paraId="67BE4B6D">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承包人提交最终结清申请单的份数：</w:t>
      </w:r>
      <w:r>
        <w:rPr>
          <w:rFonts w:hint="eastAsia" w:ascii="宋体" w:hAnsi="宋体"/>
          <w:szCs w:val="21"/>
          <w:u w:val="single"/>
        </w:rPr>
        <w:t xml:space="preserve">    肆份    </w:t>
      </w:r>
      <w:r>
        <w:rPr>
          <w:rFonts w:hint="eastAsia" w:ascii="宋体" w:hAnsi="宋体"/>
          <w:szCs w:val="21"/>
        </w:rPr>
        <w:t>。</w:t>
      </w:r>
    </w:p>
    <w:p w14:paraId="50A67291">
      <w:pPr>
        <w:spacing w:before="120" w:line="360" w:lineRule="auto"/>
        <w:ind w:firstLine="420" w:firstLineChars="200"/>
        <w:jc w:val="left"/>
        <w:rPr>
          <w:rFonts w:hint="eastAsia" w:ascii="宋体" w:hAnsi="宋体"/>
          <w:szCs w:val="21"/>
        </w:rPr>
      </w:pPr>
      <w:r>
        <w:rPr>
          <w:rFonts w:hint="eastAsia" w:ascii="宋体" w:hAnsi="宋体"/>
          <w:kern w:val="0"/>
          <w:szCs w:val="21"/>
        </w:rPr>
        <w:t>承包人提交最终结算申请单的期限：</w:t>
      </w:r>
      <w:r>
        <w:rPr>
          <w:rFonts w:hint="eastAsia" w:ascii="宋体" w:hAnsi="宋体"/>
          <w:szCs w:val="21"/>
          <w:u w:val="single"/>
        </w:rPr>
        <w:t xml:space="preserve"> 在缺陷责任期终止证书签发后30日内  </w:t>
      </w:r>
      <w:r>
        <w:rPr>
          <w:rFonts w:hint="eastAsia" w:ascii="宋体" w:hAnsi="宋体"/>
          <w:szCs w:val="21"/>
        </w:rPr>
        <w:t xml:space="preserve">。 </w:t>
      </w:r>
    </w:p>
    <w:p w14:paraId="7E7E440D">
      <w:pPr>
        <w:spacing w:before="120" w:line="360" w:lineRule="auto"/>
        <w:ind w:firstLine="420" w:firstLineChars="200"/>
        <w:jc w:val="left"/>
        <w:rPr>
          <w:rFonts w:hint="eastAsia" w:ascii="宋体" w:hAnsi="宋体"/>
          <w:szCs w:val="21"/>
        </w:rPr>
      </w:pPr>
      <w:r>
        <w:rPr>
          <w:rFonts w:hint="eastAsia" w:ascii="宋体" w:hAnsi="宋体"/>
          <w:szCs w:val="21"/>
        </w:rPr>
        <w:t>14.4.2 最终结清证书和支付</w:t>
      </w:r>
    </w:p>
    <w:p w14:paraId="06034C20">
      <w:pPr>
        <w:spacing w:before="120" w:line="360" w:lineRule="auto"/>
        <w:ind w:firstLine="420" w:firstLineChars="200"/>
        <w:jc w:val="left"/>
        <w:rPr>
          <w:rFonts w:hint="eastAsia" w:ascii="宋体" w:hAnsi="宋体"/>
          <w:szCs w:val="21"/>
        </w:rPr>
      </w:pPr>
      <w:r>
        <w:rPr>
          <w:rFonts w:hint="eastAsia" w:ascii="宋体" w:hAnsi="宋体"/>
          <w:szCs w:val="21"/>
        </w:rPr>
        <w:t>（1）发包人完成最终结清申请单的审批并颁发最终结清证书的期限：</w:t>
      </w:r>
      <w:r>
        <w:rPr>
          <w:rFonts w:hint="eastAsia" w:ascii="宋体" w:hAnsi="宋体"/>
          <w:szCs w:val="21"/>
          <w:u w:val="single"/>
        </w:rPr>
        <w:t xml:space="preserve">   发包人收到监理人审核通过的最终结清申请单28天内  </w:t>
      </w:r>
      <w:r>
        <w:rPr>
          <w:rFonts w:hint="eastAsia" w:ascii="宋体" w:hAnsi="宋体"/>
          <w:szCs w:val="21"/>
        </w:rPr>
        <w:t>。</w:t>
      </w:r>
    </w:p>
    <w:p w14:paraId="4FD4AD37">
      <w:pPr>
        <w:spacing w:before="120" w:line="360" w:lineRule="auto"/>
        <w:ind w:firstLine="420" w:firstLineChars="200"/>
        <w:jc w:val="left"/>
        <w:rPr>
          <w:rFonts w:hint="eastAsia" w:ascii="宋体" w:hAnsi="宋体"/>
          <w:szCs w:val="21"/>
        </w:rPr>
      </w:pPr>
      <w:r>
        <w:rPr>
          <w:rFonts w:hint="eastAsia" w:ascii="宋体" w:hAnsi="宋体"/>
          <w:szCs w:val="21"/>
        </w:rPr>
        <w:t>（2）发包人完成支付的期限：</w:t>
      </w:r>
      <w:r>
        <w:rPr>
          <w:rFonts w:hint="eastAsia" w:ascii="宋体" w:hAnsi="宋体"/>
          <w:szCs w:val="21"/>
          <w:u w:val="single"/>
        </w:rPr>
        <w:t xml:space="preserve"> 颁发最终结清证书且取得审计审定结论后30天内，发包人不承担由于财政资金不到位延迟支付的责任 </w:t>
      </w:r>
      <w:r>
        <w:rPr>
          <w:rFonts w:hint="eastAsia" w:ascii="宋体" w:hAnsi="宋体"/>
          <w:szCs w:val="21"/>
        </w:rPr>
        <w:t>。</w:t>
      </w:r>
    </w:p>
    <w:bookmarkEnd w:id="568"/>
    <w:bookmarkEnd w:id="569"/>
    <w:bookmarkEnd w:id="570"/>
    <w:bookmarkEnd w:id="571"/>
    <w:bookmarkEnd w:id="572"/>
    <w:bookmarkEnd w:id="573"/>
    <w:bookmarkEnd w:id="574"/>
    <w:bookmarkEnd w:id="580"/>
    <w:p w14:paraId="19A711E4">
      <w:pPr>
        <w:pStyle w:val="5"/>
        <w:spacing w:before="120" w:after="120" w:line="360" w:lineRule="auto"/>
        <w:rPr>
          <w:rFonts w:hint="eastAsia" w:ascii="宋体" w:hAnsi="宋体" w:eastAsia="宋体"/>
          <w:b w:val="0"/>
          <w:sz w:val="21"/>
          <w:szCs w:val="21"/>
        </w:rPr>
      </w:pPr>
      <w:bookmarkStart w:id="584" w:name="_Toc351203647"/>
      <w:bookmarkStart w:id="585" w:name="_Toc267251483"/>
      <w:bookmarkStart w:id="586" w:name="_Toc267251484"/>
      <w:bookmarkStart w:id="587" w:name="_Toc267251482"/>
      <w:bookmarkStart w:id="588" w:name="_Toc267251485"/>
      <w:bookmarkStart w:id="589" w:name="_Toc267251489"/>
      <w:bookmarkStart w:id="590" w:name="_Toc267251488"/>
      <w:bookmarkStart w:id="591" w:name="_Toc267251486"/>
      <w:bookmarkStart w:id="592" w:name="_Toc267251490"/>
      <w:bookmarkStart w:id="593" w:name="_Toc267251497"/>
      <w:bookmarkStart w:id="594" w:name="_Toc267251492"/>
      <w:bookmarkStart w:id="595" w:name="_Toc267251503"/>
      <w:bookmarkStart w:id="596" w:name="_Toc267251496"/>
      <w:bookmarkStart w:id="597" w:name="_Toc267251499"/>
      <w:bookmarkStart w:id="598" w:name="_Toc267251491"/>
      <w:bookmarkStart w:id="599" w:name="_Toc267251493"/>
      <w:bookmarkStart w:id="600" w:name="_Toc267251498"/>
      <w:bookmarkStart w:id="601" w:name="_Toc267251494"/>
      <w:bookmarkStart w:id="602" w:name="_Toc267251501"/>
      <w:bookmarkStart w:id="603" w:name="_Toc267251502"/>
      <w:bookmarkStart w:id="604" w:name="_Toc267251495"/>
      <w:bookmarkStart w:id="605" w:name="_Toc267251506"/>
      <w:bookmarkStart w:id="606" w:name="_Toc267251504"/>
      <w:bookmarkStart w:id="607" w:name="_Toc267251507"/>
      <w:bookmarkStart w:id="608" w:name="_Toc267251508"/>
      <w:bookmarkStart w:id="609" w:name="_Toc267251510"/>
      <w:bookmarkStart w:id="610" w:name="_Toc267251509"/>
      <w:bookmarkStart w:id="611" w:name="_Toc267251515"/>
      <w:bookmarkStart w:id="612" w:name="_Toc267251511"/>
      <w:bookmarkStart w:id="613" w:name="_Toc267251513"/>
      <w:bookmarkStart w:id="614" w:name="_Toc267251514"/>
      <w:r>
        <w:rPr>
          <w:rFonts w:hint="eastAsia" w:ascii="宋体" w:hAnsi="宋体" w:eastAsia="宋体"/>
          <w:b w:val="0"/>
          <w:sz w:val="21"/>
          <w:szCs w:val="21"/>
        </w:rPr>
        <w:t>15. 缺陷责任期与保修</w:t>
      </w:r>
      <w:bookmarkEnd w:id="584"/>
    </w:p>
    <w:p w14:paraId="697F60AD">
      <w:pPr>
        <w:spacing w:before="120" w:after="120" w:line="360" w:lineRule="auto"/>
        <w:ind w:firstLine="420" w:firstLineChars="200"/>
        <w:rPr>
          <w:rFonts w:hint="eastAsia" w:ascii="宋体" w:hAnsi="宋体"/>
          <w:szCs w:val="21"/>
        </w:rPr>
      </w:pPr>
      <w:r>
        <w:rPr>
          <w:rFonts w:hint="eastAsia" w:ascii="宋体" w:hAnsi="宋体"/>
          <w:szCs w:val="21"/>
        </w:rPr>
        <w:t>15.2缺陷责任期</w:t>
      </w:r>
      <w:bookmarkEnd w:id="585"/>
    </w:p>
    <w:p w14:paraId="0E0C111A">
      <w:pPr>
        <w:spacing w:before="120" w:line="360" w:lineRule="auto"/>
        <w:ind w:firstLine="420" w:firstLineChars="200"/>
        <w:jc w:val="left"/>
        <w:rPr>
          <w:rFonts w:hint="eastAsia" w:ascii="宋体" w:hAnsi="宋体"/>
          <w:szCs w:val="21"/>
        </w:rPr>
      </w:pPr>
      <w:r>
        <w:rPr>
          <w:rFonts w:hint="eastAsia" w:ascii="宋体" w:hAnsi="宋体"/>
          <w:szCs w:val="21"/>
        </w:rPr>
        <w:t>缺陷责任期的具体期限：</w:t>
      </w:r>
      <w:r>
        <w:rPr>
          <w:rFonts w:hint="eastAsia" w:ascii="宋体" w:hAnsi="宋体"/>
          <w:szCs w:val="21"/>
          <w:u w:val="single"/>
        </w:rPr>
        <w:t>本项目竣工验收合格之日起24个月</w:t>
      </w:r>
      <w:r>
        <w:rPr>
          <w:rFonts w:hint="eastAsia" w:ascii="宋体" w:hAnsi="宋体"/>
          <w:szCs w:val="21"/>
        </w:rPr>
        <w:t>。</w:t>
      </w:r>
    </w:p>
    <w:p w14:paraId="3753761A">
      <w:pPr>
        <w:spacing w:before="120" w:after="120" w:line="360" w:lineRule="auto"/>
        <w:ind w:firstLine="420" w:firstLineChars="200"/>
        <w:outlineLvl w:val="0"/>
        <w:rPr>
          <w:rFonts w:hint="eastAsia" w:ascii="宋体" w:hAnsi="宋体"/>
          <w:szCs w:val="21"/>
        </w:rPr>
      </w:pPr>
      <w:r>
        <w:rPr>
          <w:rFonts w:hint="eastAsia" w:ascii="宋体" w:hAnsi="宋体"/>
          <w:szCs w:val="21"/>
        </w:rPr>
        <w:t>15.3 质量保证金</w:t>
      </w:r>
    </w:p>
    <w:p w14:paraId="5FDFA856">
      <w:pPr>
        <w:spacing w:before="120" w:line="360" w:lineRule="auto"/>
        <w:ind w:firstLine="420" w:firstLineChars="200"/>
        <w:jc w:val="left"/>
        <w:rPr>
          <w:rFonts w:hint="eastAsia" w:ascii="宋体" w:hAnsi="宋体"/>
          <w:szCs w:val="21"/>
        </w:rPr>
      </w:pPr>
      <w:r>
        <w:rPr>
          <w:rFonts w:hint="eastAsia" w:ascii="宋体" w:hAnsi="宋体"/>
          <w:szCs w:val="21"/>
        </w:rPr>
        <w:t>关于是否扣留质量保证金的约定：</w:t>
      </w:r>
      <w:r>
        <w:rPr>
          <w:rFonts w:hint="eastAsia" w:ascii="宋体" w:hAnsi="宋体"/>
          <w:szCs w:val="21"/>
          <w:u w:val="single"/>
        </w:rPr>
        <w:t xml:space="preserve">    是    </w:t>
      </w:r>
      <w:r>
        <w:rPr>
          <w:rFonts w:hint="eastAsia" w:ascii="宋体" w:hAnsi="宋体"/>
          <w:szCs w:val="21"/>
        </w:rPr>
        <w:t>。在工程项目竣工前，承包人按专用合同条款第3.7条提供履约担保的，发包人不得同时预留工程质量保证金。</w:t>
      </w:r>
    </w:p>
    <w:p w14:paraId="7268F8D9">
      <w:pPr>
        <w:spacing w:before="120" w:line="360" w:lineRule="auto"/>
        <w:ind w:firstLine="420" w:firstLineChars="200"/>
        <w:jc w:val="left"/>
        <w:outlineLvl w:val="0"/>
        <w:rPr>
          <w:rFonts w:hint="eastAsia" w:ascii="宋体" w:hAnsi="宋体"/>
          <w:szCs w:val="21"/>
        </w:rPr>
      </w:pPr>
      <w:r>
        <w:rPr>
          <w:rFonts w:hint="eastAsia" w:ascii="宋体" w:hAnsi="宋体"/>
          <w:szCs w:val="21"/>
        </w:rPr>
        <w:t>15.3.1 承包人提供质量保证金的方式</w:t>
      </w:r>
    </w:p>
    <w:p w14:paraId="73CCED42">
      <w:pPr>
        <w:spacing w:before="120" w:line="360" w:lineRule="auto"/>
        <w:ind w:firstLine="420" w:firstLineChars="200"/>
        <w:jc w:val="left"/>
        <w:rPr>
          <w:rFonts w:hint="eastAsia" w:ascii="宋体" w:hAnsi="宋体"/>
          <w:szCs w:val="21"/>
        </w:rPr>
      </w:pPr>
      <w:r>
        <w:rPr>
          <w:rFonts w:hint="eastAsia" w:ascii="宋体" w:hAnsi="宋体"/>
          <w:szCs w:val="21"/>
        </w:rPr>
        <w:t>质量保证金采用以下第</w:t>
      </w:r>
      <w:r>
        <w:rPr>
          <w:rFonts w:hint="eastAsia" w:ascii="宋体" w:hAnsi="宋体"/>
          <w:szCs w:val="21"/>
          <w:u w:val="single"/>
        </w:rPr>
        <w:t xml:space="preserve">  </w:t>
      </w:r>
      <w:r>
        <w:rPr>
          <w:rFonts w:hint="eastAsia" w:ascii="宋体" w:hAnsi="宋体"/>
          <w:kern w:val="0"/>
          <w:szCs w:val="21"/>
          <w:u w:val="single"/>
        </w:rPr>
        <w:t>（2）</w:t>
      </w:r>
      <w:r>
        <w:rPr>
          <w:rFonts w:hint="eastAsia" w:ascii="宋体" w:hAnsi="宋体"/>
          <w:szCs w:val="21"/>
          <w:u w:val="single"/>
        </w:rPr>
        <w:t xml:space="preserve"> </w:t>
      </w:r>
      <w:r>
        <w:rPr>
          <w:rFonts w:hint="eastAsia" w:ascii="宋体" w:hAnsi="宋体"/>
          <w:szCs w:val="21"/>
        </w:rPr>
        <w:t>种方式：</w:t>
      </w:r>
    </w:p>
    <w:p w14:paraId="68B1E22F">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（1）质量保证金保函，保证金额为：</w:t>
      </w:r>
      <w:r>
        <w:rPr>
          <w:rFonts w:hint="eastAsia" w:ascii="宋体" w:hAnsi="宋体"/>
          <w:kern w:val="0"/>
          <w:szCs w:val="21"/>
          <w:u w:val="single"/>
        </w:rPr>
        <w:t xml:space="preserve">     /     </w:t>
      </w:r>
      <w:r>
        <w:rPr>
          <w:rFonts w:hint="eastAsia" w:ascii="宋体" w:hAnsi="宋体"/>
          <w:kern w:val="0"/>
          <w:szCs w:val="21"/>
        </w:rPr>
        <w:t xml:space="preserve">； </w:t>
      </w:r>
    </w:p>
    <w:p w14:paraId="32352F4A">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（2）</w:t>
      </w:r>
      <w:r>
        <w:rPr>
          <w:rFonts w:hint="eastAsia" w:ascii="宋体" w:hAnsi="宋体"/>
          <w:kern w:val="0"/>
          <w:szCs w:val="21"/>
          <w:u w:val="single"/>
        </w:rPr>
        <w:t xml:space="preserve">  3  </w:t>
      </w:r>
      <w:r>
        <w:rPr>
          <w:rFonts w:hint="eastAsia" w:ascii="宋体" w:hAnsi="宋体"/>
          <w:kern w:val="0"/>
          <w:szCs w:val="21"/>
        </w:rPr>
        <w:t>%的工程款；</w:t>
      </w:r>
    </w:p>
    <w:p w14:paraId="10E65B13">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（3）其他方式:</w:t>
      </w:r>
      <w:r>
        <w:rPr>
          <w:rFonts w:hint="eastAsia" w:ascii="宋体" w:hAnsi="宋体"/>
          <w:kern w:val="0"/>
          <w:szCs w:val="21"/>
          <w:u w:val="single"/>
        </w:rPr>
        <w:t xml:space="preserve">      /      </w:t>
      </w:r>
      <w:r>
        <w:rPr>
          <w:rFonts w:hint="eastAsia" w:ascii="宋体" w:hAnsi="宋体"/>
          <w:kern w:val="0"/>
          <w:szCs w:val="21"/>
        </w:rPr>
        <w:t>。</w:t>
      </w:r>
    </w:p>
    <w:p w14:paraId="5035DCA9">
      <w:pPr>
        <w:spacing w:before="120" w:line="360" w:lineRule="auto"/>
        <w:ind w:firstLine="420" w:firstLineChars="200"/>
        <w:jc w:val="left"/>
        <w:outlineLvl w:val="0"/>
        <w:rPr>
          <w:rFonts w:hint="eastAsia" w:ascii="宋体" w:hAnsi="宋体"/>
          <w:szCs w:val="21"/>
        </w:rPr>
      </w:pPr>
      <w:r>
        <w:rPr>
          <w:rFonts w:hint="eastAsia" w:ascii="宋体" w:hAnsi="宋体"/>
          <w:szCs w:val="21"/>
        </w:rPr>
        <w:t xml:space="preserve">15.3.2 质量保证金的扣留 </w:t>
      </w:r>
    </w:p>
    <w:p w14:paraId="0BD942F4">
      <w:pPr>
        <w:spacing w:before="120" w:line="360" w:lineRule="auto"/>
        <w:ind w:firstLine="420" w:firstLineChars="200"/>
        <w:jc w:val="left"/>
        <w:rPr>
          <w:rFonts w:hint="eastAsia" w:ascii="宋体" w:hAnsi="宋体"/>
          <w:szCs w:val="21"/>
        </w:rPr>
      </w:pPr>
      <w:r>
        <w:rPr>
          <w:rFonts w:hint="eastAsia" w:ascii="宋体" w:hAnsi="宋体"/>
          <w:szCs w:val="21"/>
        </w:rPr>
        <w:t>质量保证金的扣留采取以下第</w:t>
      </w:r>
      <w:r>
        <w:rPr>
          <w:rFonts w:hint="eastAsia" w:ascii="宋体" w:hAnsi="宋体"/>
          <w:szCs w:val="21"/>
          <w:u w:val="single"/>
        </w:rPr>
        <w:t xml:space="preserve">   2   </w:t>
      </w:r>
      <w:r>
        <w:rPr>
          <w:rFonts w:hint="eastAsia" w:ascii="宋体" w:hAnsi="宋体"/>
          <w:szCs w:val="21"/>
        </w:rPr>
        <w:t>种方式：</w:t>
      </w:r>
    </w:p>
    <w:p w14:paraId="6AD9ADAB">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（1）在支付工程进度款时逐次扣留，在此情形下，质量保证金的计算基数不包括预付款的支付、扣回以及价格调整的金额；</w:t>
      </w:r>
    </w:p>
    <w:p w14:paraId="3A94C640">
      <w:pPr>
        <w:autoSpaceDE w:val="0"/>
        <w:autoSpaceDN w:val="0"/>
        <w:adjustRightInd w:val="0"/>
        <w:spacing w:before="120" w:line="360" w:lineRule="auto"/>
        <w:ind w:firstLine="420" w:firstLineChars="200"/>
        <w:jc w:val="left"/>
        <w:outlineLvl w:val="0"/>
        <w:rPr>
          <w:rFonts w:hint="eastAsia" w:ascii="宋体" w:hAnsi="宋体"/>
          <w:kern w:val="0"/>
          <w:szCs w:val="21"/>
        </w:rPr>
      </w:pPr>
      <w:r>
        <w:rPr>
          <w:rFonts w:hint="eastAsia" w:ascii="宋体" w:hAnsi="宋体"/>
          <w:kern w:val="0"/>
          <w:szCs w:val="21"/>
        </w:rPr>
        <w:t>（2）工程竣工结算时一次性扣留质量保证金；</w:t>
      </w:r>
    </w:p>
    <w:p w14:paraId="1A6255B3">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（3）其他扣留方式:</w:t>
      </w:r>
      <w:r>
        <w:rPr>
          <w:rFonts w:hint="eastAsia" w:ascii="宋体" w:hAnsi="宋体"/>
          <w:kern w:val="0"/>
          <w:szCs w:val="21"/>
          <w:u w:val="single"/>
        </w:rPr>
        <w:t xml:space="preserve">     /     </w:t>
      </w:r>
      <w:r>
        <w:rPr>
          <w:rFonts w:hint="eastAsia" w:ascii="宋体" w:hAnsi="宋体"/>
          <w:kern w:val="0"/>
          <w:szCs w:val="21"/>
        </w:rPr>
        <w:t>。</w:t>
      </w:r>
    </w:p>
    <w:p w14:paraId="4A8AE366">
      <w:pPr>
        <w:spacing w:before="120" w:line="360" w:lineRule="auto"/>
        <w:ind w:firstLine="420" w:firstLineChars="200"/>
        <w:jc w:val="left"/>
        <w:rPr>
          <w:rFonts w:hint="eastAsia" w:ascii="宋体" w:hAnsi="宋体"/>
          <w:szCs w:val="21"/>
        </w:rPr>
      </w:pPr>
      <w:r>
        <w:rPr>
          <w:rFonts w:hint="eastAsia" w:ascii="宋体" w:hAnsi="宋体"/>
          <w:szCs w:val="21"/>
        </w:rPr>
        <w:t>关于质量保证金的补充约定：</w:t>
      </w:r>
      <w:r>
        <w:rPr>
          <w:rFonts w:hint="eastAsia" w:ascii="宋体" w:hAnsi="宋体"/>
          <w:kern w:val="0"/>
          <w:szCs w:val="21"/>
          <w:u w:val="single"/>
        </w:rPr>
        <w:t xml:space="preserve"> </w:t>
      </w:r>
      <w:r>
        <w:rPr>
          <w:rFonts w:hint="eastAsia" w:ascii="宋体" w:hAnsi="宋体"/>
          <w:szCs w:val="21"/>
          <w:u w:val="single"/>
        </w:rPr>
        <w:t>质量保证金不但与缺陷修复责任挂钩，也与工程质量保修挂钩，质量保证金在承包人履行完全部缺陷修复责任和质量保修责任，缺陷责任期及质量保证期期满后，一次性退还。本合同有与本条约定不一致的，以本条约定为准</w:t>
      </w:r>
      <w:r>
        <w:rPr>
          <w:rFonts w:hint="eastAsia" w:ascii="宋体" w:hAnsi="宋体"/>
          <w:kern w:val="0"/>
          <w:szCs w:val="21"/>
          <w:u w:val="single"/>
        </w:rPr>
        <w:t xml:space="preserve"> </w:t>
      </w:r>
      <w:r>
        <w:rPr>
          <w:rFonts w:hint="eastAsia" w:ascii="宋体" w:hAnsi="宋体"/>
          <w:kern w:val="0"/>
          <w:szCs w:val="21"/>
        </w:rPr>
        <w:t>。</w:t>
      </w:r>
    </w:p>
    <w:bookmarkEnd w:id="586"/>
    <w:bookmarkEnd w:id="587"/>
    <w:p w14:paraId="6FBEEC3D">
      <w:pPr>
        <w:spacing w:before="120" w:after="120" w:line="360" w:lineRule="auto"/>
        <w:ind w:firstLine="420" w:firstLineChars="200"/>
        <w:rPr>
          <w:rFonts w:hint="eastAsia" w:ascii="宋体" w:hAnsi="宋体"/>
          <w:szCs w:val="21"/>
        </w:rPr>
      </w:pPr>
      <w:r>
        <w:rPr>
          <w:rFonts w:hint="eastAsia" w:ascii="宋体" w:hAnsi="宋体"/>
          <w:szCs w:val="21"/>
        </w:rPr>
        <w:t>15.4保修</w:t>
      </w:r>
    </w:p>
    <w:bookmarkEnd w:id="588"/>
    <w:p w14:paraId="167AD97A">
      <w:pPr>
        <w:spacing w:before="120" w:line="360" w:lineRule="auto"/>
        <w:ind w:firstLine="409" w:firstLineChars="195"/>
        <w:jc w:val="left"/>
        <w:rPr>
          <w:rFonts w:hint="eastAsia" w:ascii="宋体" w:hAnsi="宋体"/>
          <w:szCs w:val="21"/>
        </w:rPr>
      </w:pPr>
      <w:r>
        <w:rPr>
          <w:rFonts w:hint="eastAsia" w:ascii="宋体" w:hAnsi="宋体"/>
          <w:szCs w:val="21"/>
        </w:rPr>
        <w:t>15.4.1 保修责任</w:t>
      </w:r>
    </w:p>
    <w:p w14:paraId="4474C32B">
      <w:pPr>
        <w:spacing w:before="120" w:line="360" w:lineRule="auto"/>
        <w:ind w:firstLine="420" w:firstLineChars="200"/>
        <w:jc w:val="left"/>
        <w:rPr>
          <w:rFonts w:hint="eastAsia" w:ascii="宋体" w:hAnsi="宋体"/>
          <w:kern w:val="0"/>
          <w:szCs w:val="21"/>
        </w:rPr>
      </w:pPr>
      <w:r>
        <w:rPr>
          <w:rFonts w:hint="eastAsia" w:ascii="宋体" w:hAnsi="宋体"/>
          <w:szCs w:val="21"/>
        </w:rPr>
        <w:t>工程保修期为：</w:t>
      </w:r>
      <w:r>
        <w:rPr>
          <w:rFonts w:hint="eastAsia" w:ascii="宋体" w:hAnsi="宋体"/>
          <w:kern w:val="0"/>
          <w:szCs w:val="21"/>
          <w:u w:val="single"/>
        </w:rPr>
        <w:t xml:space="preserve">   按本合同《工程质量保修书》约定   </w:t>
      </w:r>
      <w:r>
        <w:rPr>
          <w:rFonts w:hint="eastAsia" w:ascii="宋体" w:hAnsi="宋体"/>
          <w:kern w:val="0"/>
          <w:szCs w:val="21"/>
        </w:rPr>
        <w:t>。</w:t>
      </w:r>
    </w:p>
    <w:p w14:paraId="51C49897">
      <w:pPr>
        <w:spacing w:before="120" w:line="360" w:lineRule="auto"/>
        <w:ind w:firstLine="409" w:firstLineChars="195"/>
        <w:jc w:val="left"/>
        <w:rPr>
          <w:rFonts w:hint="eastAsia" w:ascii="宋体" w:hAnsi="宋体"/>
          <w:szCs w:val="21"/>
        </w:rPr>
      </w:pPr>
      <w:r>
        <w:rPr>
          <w:rFonts w:hint="eastAsia" w:ascii="宋体" w:hAnsi="宋体"/>
          <w:szCs w:val="21"/>
        </w:rPr>
        <w:t>15.4.3 修复通知</w:t>
      </w:r>
    </w:p>
    <w:p w14:paraId="4E53AE36">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承包人收到保修通知并到达工程现场的合理时间：</w:t>
      </w:r>
      <w:r>
        <w:rPr>
          <w:rFonts w:hint="eastAsia" w:ascii="宋体" w:hAnsi="宋体"/>
          <w:kern w:val="0"/>
          <w:szCs w:val="21"/>
          <w:u w:val="single"/>
        </w:rPr>
        <w:t xml:space="preserve">24小时内 </w:t>
      </w:r>
      <w:r>
        <w:rPr>
          <w:rFonts w:hint="eastAsia" w:ascii="宋体" w:hAnsi="宋体"/>
          <w:kern w:val="0"/>
          <w:szCs w:val="21"/>
        </w:rPr>
        <w:t>。</w:t>
      </w:r>
    </w:p>
    <w:bookmarkEnd w:id="589"/>
    <w:bookmarkEnd w:id="590"/>
    <w:bookmarkEnd w:id="591"/>
    <w:bookmarkEnd w:id="592"/>
    <w:p w14:paraId="195EC01F">
      <w:pPr>
        <w:pStyle w:val="5"/>
        <w:spacing w:before="120" w:after="120" w:line="360" w:lineRule="auto"/>
        <w:rPr>
          <w:rFonts w:hint="eastAsia" w:ascii="宋体" w:hAnsi="宋体" w:eastAsia="宋体"/>
          <w:b w:val="0"/>
          <w:sz w:val="21"/>
          <w:szCs w:val="21"/>
        </w:rPr>
      </w:pPr>
      <w:bookmarkStart w:id="615" w:name="_Toc351203648"/>
      <w:bookmarkStart w:id="616" w:name="_Toc280868717"/>
      <w:bookmarkStart w:id="617" w:name="_Toc280868718"/>
      <w:r>
        <w:rPr>
          <w:rFonts w:hint="eastAsia" w:ascii="宋体" w:hAnsi="宋体" w:eastAsia="宋体"/>
          <w:b w:val="0"/>
          <w:sz w:val="21"/>
          <w:szCs w:val="21"/>
        </w:rPr>
        <w:t>16. 违约</w:t>
      </w:r>
      <w:bookmarkEnd w:id="615"/>
    </w:p>
    <w:p w14:paraId="650D3932">
      <w:pPr>
        <w:spacing w:before="120" w:after="120" w:line="360" w:lineRule="auto"/>
        <w:ind w:firstLine="420" w:firstLineChars="200"/>
        <w:outlineLvl w:val="0"/>
        <w:rPr>
          <w:rFonts w:hint="eastAsia" w:ascii="宋体" w:hAnsi="宋体"/>
          <w:szCs w:val="21"/>
        </w:rPr>
      </w:pPr>
      <w:r>
        <w:rPr>
          <w:rFonts w:hint="eastAsia" w:ascii="宋体" w:hAnsi="宋体"/>
          <w:szCs w:val="21"/>
        </w:rPr>
        <w:t>16.1 发包人违约</w:t>
      </w:r>
    </w:p>
    <w:p w14:paraId="20307586">
      <w:pPr>
        <w:spacing w:before="120" w:line="360" w:lineRule="auto"/>
        <w:ind w:firstLine="420" w:firstLineChars="200"/>
        <w:jc w:val="left"/>
        <w:rPr>
          <w:rFonts w:hint="eastAsia" w:ascii="宋体" w:hAnsi="宋体"/>
          <w:szCs w:val="21"/>
        </w:rPr>
      </w:pPr>
      <w:r>
        <w:rPr>
          <w:rFonts w:hint="eastAsia" w:ascii="宋体" w:hAnsi="宋体"/>
          <w:szCs w:val="21"/>
        </w:rPr>
        <w:t>16.1.1发包人违约的情形</w:t>
      </w:r>
    </w:p>
    <w:p w14:paraId="5824ABC3">
      <w:pPr>
        <w:spacing w:before="120" w:line="360" w:lineRule="auto"/>
        <w:ind w:firstLine="420" w:firstLineChars="200"/>
        <w:jc w:val="left"/>
        <w:rPr>
          <w:rFonts w:hint="eastAsia" w:ascii="宋体" w:hAnsi="宋体"/>
          <w:kern w:val="0"/>
          <w:szCs w:val="21"/>
        </w:rPr>
      </w:pPr>
      <w:r>
        <w:rPr>
          <w:rFonts w:hint="eastAsia" w:ascii="宋体" w:hAnsi="宋体"/>
          <w:kern w:val="0"/>
          <w:szCs w:val="21"/>
        </w:rPr>
        <w:t>发包人违约的其他情形：</w:t>
      </w:r>
      <w:r>
        <w:rPr>
          <w:rFonts w:hint="eastAsia" w:ascii="宋体" w:hAnsi="宋体"/>
          <w:kern w:val="0"/>
          <w:szCs w:val="21"/>
          <w:u w:val="single"/>
        </w:rPr>
        <w:t xml:space="preserve">   /   </w:t>
      </w:r>
      <w:r>
        <w:rPr>
          <w:rFonts w:hint="eastAsia" w:ascii="宋体" w:hAnsi="宋体"/>
          <w:kern w:val="0"/>
          <w:szCs w:val="21"/>
        </w:rPr>
        <w:t>。</w:t>
      </w:r>
    </w:p>
    <w:p w14:paraId="57F57C45">
      <w:pPr>
        <w:spacing w:before="120" w:line="360" w:lineRule="auto"/>
        <w:ind w:left="1050" w:hanging="1050" w:hangingChars="500"/>
        <w:jc w:val="left"/>
        <w:rPr>
          <w:rFonts w:hint="eastAsia" w:ascii="宋体" w:hAnsi="宋体"/>
          <w:kern w:val="0"/>
          <w:szCs w:val="21"/>
        </w:rPr>
      </w:pPr>
      <w:r>
        <w:rPr>
          <w:rFonts w:hint="eastAsia" w:ascii="宋体" w:hAnsi="宋体"/>
          <w:kern w:val="0"/>
          <w:szCs w:val="21"/>
        </w:rPr>
        <w:t xml:space="preserve">    16.1.2 发包人违约的责任</w:t>
      </w:r>
    </w:p>
    <w:p w14:paraId="7579205E">
      <w:pPr>
        <w:spacing w:before="120" w:line="360" w:lineRule="auto"/>
        <w:ind w:firstLine="420" w:firstLineChars="200"/>
        <w:jc w:val="left"/>
        <w:rPr>
          <w:rFonts w:hint="eastAsia" w:ascii="宋体" w:hAnsi="宋体"/>
          <w:kern w:val="0"/>
          <w:szCs w:val="21"/>
        </w:rPr>
      </w:pPr>
      <w:r>
        <w:rPr>
          <w:rFonts w:hint="eastAsia" w:ascii="宋体" w:hAnsi="宋体"/>
          <w:kern w:val="0"/>
          <w:szCs w:val="21"/>
        </w:rPr>
        <w:t>发包人违约责任的承担方式和计算方法：</w:t>
      </w:r>
    </w:p>
    <w:p w14:paraId="0455075B">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rPr>
        <w:t>（1）因发包人原因未能在计划开工日期前7天内下达开工通知的违约责任：</w:t>
      </w:r>
      <w:r>
        <w:rPr>
          <w:rFonts w:hint="eastAsia" w:ascii="宋体" w:hAnsi="宋体"/>
          <w:kern w:val="0"/>
          <w:szCs w:val="21"/>
          <w:u w:val="single"/>
        </w:rPr>
        <w:t xml:space="preserve">      工期顺延          </w:t>
      </w:r>
      <w:r>
        <w:rPr>
          <w:rFonts w:hint="eastAsia" w:ascii="宋体" w:hAnsi="宋体"/>
          <w:kern w:val="0"/>
          <w:szCs w:val="21"/>
        </w:rPr>
        <w:t>。</w:t>
      </w:r>
    </w:p>
    <w:p w14:paraId="7ABDD6F5">
      <w:pPr>
        <w:spacing w:before="120" w:line="360" w:lineRule="auto"/>
        <w:ind w:firstLine="420" w:firstLineChars="200"/>
        <w:jc w:val="left"/>
        <w:rPr>
          <w:rFonts w:hint="eastAsia" w:ascii="宋体" w:hAnsi="宋体"/>
          <w:kern w:val="0"/>
          <w:szCs w:val="21"/>
        </w:rPr>
      </w:pPr>
      <w:r>
        <w:rPr>
          <w:rFonts w:hint="eastAsia" w:ascii="宋体" w:hAnsi="宋体"/>
          <w:kern w:val="0"/>
          <w:szCs w:val="21"/>
        </w:rPr>
        <w:t>（2）因发包人原因未能按合同约定支付合同价款的违约责任：</w:t>
      </w:r>
      <w:r>
        <w:rPr>
          <w:rFonts w:hint="eastAsia" w:ascii="宋体" w:hAnsi="宋体"/>
          <w:kern w:val="0"/>
          <w:szCs w:val="21"/>
          <w:u w:val="single"/>
        </w:rPr>
        <w:t xml:space="preserve">  按照通用条款执行</w:t>
      </w:r>
      <w:r>
        <w:rPr>
          <w:rFonts w:hint="eastAsia" w:ascii="宋体" w:hAnsi="宋体"/>
          <w:kern w:val="0"/>
          <w:szCs w:val="21"/>
        </w:rPr>
        <w:t>。</w:t>
      </w:r>
    </w:p>
    <w:p w14:paraId="738B9AE0">
      <w:pPr>
        <w:spacing w:before="120" w:line="360" w:lineRule="auto"/>
        <w:ind w:firstLine="420" w:firstLineChars="200"/>
        <w:jc w:val="left"/>
        <w:rPr>
          <w:rFonts w:hint="eastAsia" w:ascii="宋体" w:hAnsi="宋体"/>
          <w:kern w:val="0"/>
          <w:szCs w:val="21"/>
        </w:rPr>
      </w:pPr>
      <w:r>
        <w:rPr>
          <w:rFonts w:hint="eastAsia" w:ascii="宋体" w:hAnsi="宋体"/>
          <w:kern w:val="0"/>
          <w:szCs w:val="21"/>
        </w:rPr>
        <w:t>（3）发包人违反第10.1款〔变更的范围〕第（2）项约定，自行实施被取消的工作或转由他人实施的违约责任：</w:t>
      </w:r>
      <w:r>
        <w:rPr>
          <w:rFonts w:hint="eastAsia" w:ascii="宋体" w:hAnsi="宋体"/>
          <w:kern w:val="0"/>
          <w:szCs w:val="21"/>
          <w:u w:val="single"/>
        </w:rPr>
        <w:t>按照通用条款执行</w:t>
      </w:r>
      <w:r>
        <w:rPr>
          <w:rFonts w:hint="eastAsia" w:ascii="宋体" w:hAnsi="宋体"/>
          <w:kern w:val="0"/>
          <w:szCs w:val="21"/>
        </w:rPr>
        <w:t>。</w:t>
      </w:r>
    </w:p>
    <w:p w14:paraId="6A55ADDB">
      <w:pPr>
        <w:spacing w:before="120" w:line="360" w:lineRule="auto"/>
        <w:ind w:firstLine="420" w:firstLineChars="200"/>
        <w:jc w:val="left"/>
        <w:rPr>
          <w:rFonts w:hint="eastAsia" w:ascii="宋体" w:hAnsi="宋体"/>
          <w:kern w:val="0"/>
          <w:szCs w:val="21"/>
        </w:rPr>
      </w:pPr>
      <w:r>
        <w:rPr>
          <w:rFonts w:hint="eastAsia" w:ascii="宋体" w:hAnsi="宋体"/>
          <w:kern w:val="0"/>
          <w:szCs w:val="21"/>
        </w:rPr>
        <w:t>（4）发包人提供的材料、工程设备的规格、数量或质量不符合合同约定，或因发包人原因导致交货日期延误或交货地点变更等情况的违约责任：</w:t>
      </w:r>
      <w:r>
        <w:rPr>
          <w:rFonts w:hint="eastAsia" w:ascii="宋体" w:hAnsi="宋体"/>
          <w:kern w:val="0"/>
          <w:szCs w:val="21"/>
          <w:u w:val="single"/>
        </w:rPr>
        <w:t xml:space="preserve">  工期顺延，所增加的费用由发包人承担  </w:t>
      </w:r>
      <w:r>
        <w:rPr>
          <w:rFonts w:hint="eastAsia" w:ascii="宋体" w:hAnsi="宋体"/>
          <w:kern w:val="0"/>
          <w:szCs w:val="21"/>
        </w:rPr>
        <w:t>。</w:t>
      </w:r>
    </w:p>
    <w:p w14:paraId="6EF72E26">
      <w:pPr>
        <w:spacing w:before="120" w:line="360" w:lineRule="auto"/>
        <w:ind w:firstLine="420" w:firstLineChars="200"/>
        <w:jc w:val="left"/>
        <w:rPr>
          <w:rFonts w:hint="eastAsia" w:ascii="宋体" w:hAnsi="宋体"/>
          <w:kern w:val="0"/>
          <w:szCs w:val="21"/>
        </w:rPr>
      </w:pPr>
      <w:r>
        <w:rPr>
          <w:rFonts w:hint="eastAsia" w:ascii="宋体" w:hAnsi="宋体"/>
          <w:kern w:val="0"/>
          <w:szCs w:val="21"/>
        </w:rPr>
        <w:t>（5）因发包人违反合同约定造成暂停施工的违约责任：</w:t>
      </w:r>
      <w:r>
        <w:rPr>
          <w:rFonts w:hint="eastAsia" w:ascii="宋体" w:hAnsi="宋体"/>
          <w:kern w:val="0"/>
          <w:szCs w:val="21"/>
          <w:u w:val="single"/>
        </w:rPr>
        <w:t xml:space="preserve"> 工期顺延，给施工方造成的损失双方协商解决 </w:t>
      </w:r>
      <w:r>
        <w:rPr>
          <w:rFonts w:hint="eastAsia" w:ascii="宋体" w:hAnsi="宋体"/>
          <w:kern w:val="0"/>
          <w:szCs w:val="21"/>
        </w:rPr>
        <w:t>。</w:t>
      </w:r>
    </w:p>
    <w:p w14:paraId="1EBE2162">
      <w:pPr>
        <w:spacing w:before="120" w:line="360" w:lineRule="auto"/>
        <w:ind w:firstLine="420" w:firstLineChars="200"/>
        <w:jc w:val="left"/>
        <w:rPr>
          <w:rFonts w:hint="eastAsia" w:ascii="宋体" w:hAnsi="宋体"/>
          <w:kern w:val="0"/>
          <w:szCs w:val="21"/>
        </w:rPr>
      </w:pPr>
      <w:r>
        <w:rPr>
          <w:rFonts w:hint="eastAsia" w:ascii="宋体" w:hAnsi="宋体"/>
          <w:kern w:val="0"/>
          <w:szCs w:val="21"/>
        </w:rPr>
        <w:t>（6）发包人无正当理由没有在约定期限内发出复工指示，导致承包人无法复工的违约责任：</w:t>
      </w:r>
      <w:r>
        <w:rPr>
          <w:rFonts w:hint="eastAsia" w:ascii="宋体" w:hAnsi="宋体"/>
          <w:kern w:val="0"/>
          <w:szCs w:val="21"/>
          <w:u w:val="single"/>
        </w:rPr>
        <w:t xml:space="preserve">   工期顺延，给施工方造成的损失双方协商解决    </w:t>
      </w:r>
      <w:r>
        <w:rPr>
          <w:rFonts w:hint="eastAsia" w:ascii="宋体" w:hAnsi="宋体"/>
          <w:kern w:val="0"/>
          <w:szCs w:val="21"/>
        </w:rPr>
        <w:t>。</w:t>
      </w:r>
    </w:p>
    <w:p w14:paraId="51E7F6F9">
      <w:pPr>
        <w:spacing w:before="120" w:line="360" w:lineRule="auto"/>
        <w:ind w:firstLine="420" w:firstLineChars="200"/>
        <w:jc w:val="left"/>
        <w:rPr>
          <w:rFonts w:hint="eastAsia" w:ascii="宋体" w:hAnsi="宋体"/>
          <w:kern w:val="0"/>
          <w:szCs w:val="21"/>
        </w:rPr>
      </w:pPr>
      <w:r>
        <w:rPr>
          <w:rFonts w:hint="eastAsia" w:ascii="宋体" w:hAnsi="宋体"/>
          <w:kern w:val="0"/>
          <w:szCs w:val="21"/>
        </w:rPr>
        <w:t>（7）其他：</w:t>
      </w:r>
      <w:r>
        <w:rPr>
          <w:rFonts w:hint="eastAsia" w:ascii="宋体" w:hAnsi="宋体"/>
          <w:kern w:val="0"/>
          <w:szCs w:val="21"/>
          <w:u w:val="single"/>
        </w:rPr>
        <w:t xml:space="preserve">  合同签订后因政策原因调整造成工期延误，工期顺延   </w:t>
      </w:r>
      <w:r>
        <w:rPr>
          <w:rFonts w:hint="eastAsia" w:ascii="宋体" w:hAnsi="宋体"/>
          <w:kern w:val="0"/>
          <w:szCs w:val="21"/>
        </w:rPr>
        <w:t>。</w:t>
      </w:r>
    </w:p>
    <w:p w14:paraId="35A8B053">
      <w:pPr>
        <w:spacing w:before="120" w:line="360" w:lineRule="auto"/>
        <w:ind w:firstLine="420" w:firstLineChars="200"/>
        <w:jc w:val="left"/>
        <w:rPr>
          <w:rFonts w:hint="eastAsia" w:ascii="宋体" w:hAnsi="宋体"/>
          <w:szCs w:val="21"/>
        </w:rPr>
      </w:pPr>
      <w:r>
        <w:rPr>
          <w:rFonts w:hint="eastAsia" w:ascii="宋体" w:hAnsi="宋体"/>
          <w:szCs w:val="21"/>
        </w:rPr>
        <w:t>16.1.3 因发包人违约解除合同</w:t>
      </w:r>
    </w:p>
    <w:p w14:paraId="16716E19">
      <w:pPr>
        <w:autoSpaceDE w:val="0"/>
        <w:autoSpaceDN w:val="0"/>
        <w:adjustRightInd w:val="0"/>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承包人按16.1.1项〔发包人违约的情形〕约定暂停施工满</w:t>
      </w:r>
      <w:r>
        <w:rPr>
          <w:rFonts w:hint="eastAsia" w:ascii="宋体" w:hAnsi="宋体"/>
          <w:kern w:val="0"/>
          <w:szCs w:val="21"/>
          <w:u w:val="single"/>
        </w:rPr>
        <w:t xml:space="preserve"> 60 </w:t>
      </w:r>
      <w:r>
        <w:rPr>
          <w:rFonts w:hint="eastAsia" w:ascii="宋体" w:hAnsi="宋体"/>
          <w:kern w:val="0"/>
          <w:szCs w:val="21"/>
        </w:rPr>
        <w:t>天后发包人仍不纠正其违约行为并致使合同目的不能实现的，承包人有权解除合同。</w:t>
      </w:r>
    </w:p>
    <w:p w14:paraId="751E7168">
      <w:pPr>
        <w:spacing w:before="120" w:after="120" w:line="360" w:lineRule="auto"/>
        <w:ind w:firstLine="420" w:firstLineChars="200"/>
        <w:outlineLvl w:val="0"/>
        <w:rPr>
          <w:rFonts w:hint="eastAsia" w:ascii="宋体" w:hAnsi="宋体"/>
          <w:szCs w:val="21"/>
        </w:rPr>
      </w:pPr>
      <w:r>
        <w:rPr>
          <w:rFonts w:hint="eastAsia" w:ascii="宋体" w:hAnsi="宋体"/>
          <w:szCs w:val="21"/>
        </w:rPr>
        <w:t>16.2 承包人违约</w:t>
      </w:r>
    </w:p>
    <w:p w14:paraId="5CF833A8">
      <w:pPr>
        <w:spacing w:before="120" w:line="360" w:lineRule="auto"/>
        <w:ind w:firstLine="420" w:firstLineChars="200"/>
        <w:jc w:val="left"/>
        <w:rPr>
          <w:rFonts w:hint="eastAsia" w:ascii="宋体" w:hAnsi="宋体"/>
          <w:kern w:val="0"/>
          <w:szCs w:val="21"/>
        </w:rPr>
      </w:pPr>
      <w:r>
        <w:rPr>
          <w:rFonts w:hint="eastAsia" w:ascii="宋体" w:hAnsi="宋体"/>
          <w:kern w:val="0"/>
          <w:szCs w:val="21"/>
        </w:rPr>
        <w:t>16.2.1 承包人违约的情形</w:t>
      </w:r>
    </w:p>
    <w:p w14:paraId="6DF77F0B">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承包人违约的其他情形：</w:t>
      </w:r>
    </w:p>
    <w:p w14:paraId="6780B2AD">
      <w:pPr>
        <w:spacing w:before="120" w:line="360" w:lineRule="auto"/>
        <w:ind w:firstLine="420" w:firstLineChars="200"/>
        <w:jc w:val="left"/>
        <w:rPr>
          <w:rFonts w:hint="eastAsia" w:ascii="宋体" w:hAnsi="宋体"/>
          <w:kern w:val="0"/>
          <w:szCs w:val="21"/>
        </w:rPr>
      </w:pPr>
      <w:r>
        <w:rPr>
          <w:rFonts w:hint="eastAsia" w:ascii="宋体" w:hAnsi="宋体"/>
          <w:kern w:val="0"/>
          <w:szCs w:val="21"/>
        </w:rPr>
        <w:t>（1）</w:t>
      </w:r>
      <w:r>
        <w:rPr>
          <w:rFonts w:hint="eastAsia" w:ascii="宋体" w:hAnsi="宋体"/>
          <w:kern w:val="0"/>
          <w:szCs w:val="21"/>
          <w:u w:val="single"/>
        </w:rPr>
        <w:t>本工程不得挂靠、转包、分包，挂靠、转包、分包将视同根本违约，发包人有权要求承包人立即整改解除挂靠、转包、分包，或解除本合同。承包人擅自挂靠、转包、分包的，承包人</w:t>
      </w:r>
      <w:r>
        <w:rPr>
          <w:rFonts w:hint="eastAsia" w:ascii="宋体" w:hAnsi="宋体"/>
          <w:kern w:val="0"/>
          <w:szCs w:val="21"/>
        </w:rPr>
        <w:t>按合同总价款的15%向发包人支付违约金。</w:t>
      </w:r>
    </w:p>
    <w:p w14:paraId="053893EF">
      <w:pPr>
        <w:spacing w:before="120" w:line="360" w:lineRule="auto"/>
        <w:ind w:firstLine="420" w:firstLineChars="200"/>
        <w:jc w:val="left"/>
        <w:rPr>
          <w:rFonts w:hint="eastAsia" w:ascii="宋体" w:hAnsi="宋体"/>
          <w:kern w:val="0"/>
          <w:szCs w:val="21"/>
        </w:rPr>
      </w:pPr>
      <w:r>
        <w:rPr>
          <w:rFonts w:hint="eastAsia" w:ascii="宋体" w:hAnsi="宋体"/>
          <w:kern w:val="0"/>
          <w:szCs w:val="21"/>
        </w:rPr>
        <w:t>（2）在工程建设过程中，承包人使用违规、假冒伪劣产品或以次充好的不合格材料或工程设备，发包人将责成承包人退货，已施工部分返工重做，由此给发包人造成的经济损失全部由承包人承担，同时，上述情况每出现一次，承包人都应向发包人支付实际所用材料价款10倍的违约金。如拒绝退货或返工重做的，按合同总价款的3%向发包人支付违约金，不合格工程不予计价，不合格工程的清除费用由承包人承担。</w:t>
      </w:r>
    </w:p>
    <w:p w14:paraId="332DB237">
      <w:pPr>
        <w:spacing w:before="120" w:line="360" w:lineRule="auto"/>
        <w:ind w:firstLine="420" w:firstLineChars="200"/>
        <w:jc w:val="left"/>
        <w:rPr>
          <w:rFonts w:hint="eastAsia" w:ascii="宋体" w:hAnsi="宋体"/>
          <w:kern w:val="0"/>
          <w:szCs w:val="21"/>
        </w:rPr>
      </w:pPr>
      <w:r>
        <w:rPr>
          <w:rFonts w:hint="eastAsia" w:ascii="宋体" w:hAnsi="宋体"/>
          <w:kern w:val="0"/>
          <w:szCs w:val="21"/>
        </w:rPr>
        <w:t>（3）因承包人原因，工程质量达不到约定的质量标准，一经发现，承包人须无条件返工，直到达到合同约定条件的质量标准。返工后达不到约定的承诺质量等级条件的，承包人须承担由此给发包人造成的直接经济损失（包括发包人自行或委托第三人进行质量整改所需费用），同时发包人有权扣除合同总价款的3%金额作为违约金。</w:t>
      </w:r>
    </w:p>
    <w:p w14:paraId="4080F160">
      <w:pPr>
        <w:spacing w:before="120" w:line="360" w:lineRule="auto"/>
        <w:ind w:firstLine="420" w:firstLineChars="200"/>
        <w:jc w:val="left"/>
        <w:rPr>
          <w:rFonts w:hint="eastAsia" w:ascii="宋体" w:hAnsi="宋体"/>
          <w:kern w:val="0"/>
          <w:szCs w:val="21"/>
        </w:rPr>
      </w:pPr>
      <w:r>
        <w:rPr>
          <w:rFonts w:hint="eastAsia" w:ascii="宋体" w:hAnsi="宋体"/>
          <w:kern w:val="0"/>
          <w:szCs w:val="21"/>
        </w:rPr>
        <w:t>（4）未经监理人或发包人批准，私自将合同约定进入施工场地的施工设备、临时设施或材料撤离施工场地的，每撤离一台设备或每撤离一批次材料，承包人应向发包人支付2万元违约金。</w:t>
      </w:r>
    </w:p>
    <w:p w14:paraId="4AB13C62">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rPr>
        <w:t>（5）</w:t>
      </w:r>
      <w:r>
        <w:rPr>
          <w:rFonts w:hint="eastAsia" w:ascii="宋体" w:hAnsi="宋体"/>
          <w:kern w:val="0"/>
          <w:szCs w:val="21"/>
          <w:u w:val="single"/>
        </w:rPr>
        <w:t>发包人按施工进度计划分阶段检查，发现承包人明显不能按期完成，或无能力采取补救措施的，发包人有权将该工程指令分包或另择其他单位施工，其发生的一切费用由承包人承担。</w:t>
      </w:r>
    </w:p>
    <w:p w14:paraId="05F65D2B">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rPr>
        <w:t>（6）</w:t>
      </w:r>
      <w:r>
        <w:rPr>
          <w:rFonts w:hint="eastAsia" w:ascii="宋体" w:hAnsi="宋体"/>
          <w:kern w:val="0"/>
          <w:szCs w:val="21"/>
          <w:u w:val="single"/>
        </w:rPr>
        <w:t>若承包人在施工过程中，项目部无法胜任主要工程项目，严重违背承包合同的主要条款，则发包人有权单方解除合同，要求承包人清退离场，承包人还应承担合同总金额15%的违约金。</w:t>
      </w:r>
    </w:p>
    <w:p w14:paraId="23E4515B">
      <w:pPr>
        <w:spacing w:before="120" w:line="360" w:lineRule="auto"/>
        <w:ind w:firstLine="420" w:firstLineChars="200"/>
        <w:jc w:val="left"/>
        <w:rPr>
          <w:rFonts w:hint="eastAsia" w:ascii="宋体" w:hAnsi="宋体"/>
          <w:kern w:val="0"/>
          <w:szCs w:val="21"/>
        </w:rPr>
      </w:pPr>
      <w:r>
        <w:rPr>
          <w:rFonts w:hint="eastAsia" w:ascii="宋体" w:hAnsi="宋体"/>
          <w:kern w:val="0"/>
          <w:szCs w:val="21"/>
        </w:rPr>
        <w:t>（7）承包人在缺陷责任期内，未能对工程接收证书所列的缺陷清单的内容或缺陷责任期内发生的缺陷进行修复，而又拒绝按监理人指示再进行修补的，除应承担发包人委托第三方修补发生的实际修补费用外，还应向发包人支付同等金额的违约金。</w:t>
      </w:r>
    </w:p>
    <w:p w14:paraId="1599ECD3">
      <w:pPr>
        <w:spacing w:before="120" w:line="360" w:lineRule="auto"/>
        <w:ind w:firstLine="420" w:firstLineChars="200"/>
        <w:jc w:val="left"/>
        <w:rPr>
          <w:rFonts w:hint="eastAsia" w:ascii="宋体" w:hAnsi="宋体"/>
          <w:kern w:val="0"/>
          <w:szCs w:val="21"/>
        </w:rPr>
      </w:pPr>
      <w:r>
        <w:rPr>
          <w:rFonts w:hint="eastAsia" w:ascii="宋体" w:hAnsi="宋体"/>
          <w:kern w:val="0"/>
          <w:szCs w:val="21"/>
        </w:rPr>
        <w:t>（8）承包人无法继续履行或明确表示不履行或实质上已停止履行合同，发包人除可通知承包人立即解除合同外，还可要求承包人按合同价款的15%向发包人支付违约金。合同解除后，承包人没有按合同约定的时间撤出设备和人员的，每延迟一天应按合同价款的万分之二向发包人承担违约金。</w:t>
      </w:r>
    </w:p>
    <w:p w14:paraId="1AB78DEC">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rPr>
        <w:t>（9）</w:t>
      </w:r>
      <w:r>
        <w:rPr>
          <w:rFonts w:hint="eastAsia" w:ascii="宋体" w:hAnsi="宋体"/>
          <w:kern w:val="0"/>
          <w:szCs w:val="21"/>
          <w:u w:val="single"/>
        </w:rPr>
        <w:t>承包人因单价过低原因擅自停工的，发包人有权单方面解除本合同并要求承包人在停工之日起5日内退场，并承担由此给发包人造成的一切损失，已施工部分的结算方式为：根据双方核实的工程量和承包人投标时清单报价单价的70%计算。</w:t>
      </w:r>
    </w:p>
    <w:p w14:paraId="24874DEB">
      <w:pPr>
        <w:spacing w:before="120" w:line="360" w:lineRule="auto"/>
        <w:ind w:firstLine="420" w:firstLineChars="200"/>
        <w:jc w:val="left"/>
        <w:rPr>
          <w:rFonts w:hint="eastAsia" w:ascii="宋体" w:hAnsi="宋体"/>
          <w:kern w:val="0"/>
          <w:szCs w:val="21"/>
        </w:rPr>
      </w:pPr>
      <w:r>
        <w:rPr>
          <w:rFonts w:hint="eastAsia" w:ascii="宋体" w:hAnsi="宋体"/>
          <w:kern w:val="0"/>
          <w:szCs w:val="21"/>
        </w:rPr>
        <w:t>（10）承包人不按合同约定的时间送审符合要求的施工组织设计的，每逾期一天，承包人应向发包人支付1000元违约金。承包人不按合同约定的时间和要求报送《周报》和《月报》的，每逾期一天，承包人应向发包人支付500元违约金。</w:t>
      </w:r>
    </w:p>
    <w:p w14:paraId="366EA837">
      <w:pPr>
        <w:spacing w:before="120" w:line="360" w:lineRule="auto"/>
        <w:ind w:firstLine="420" w:firstLineChars="200"/>
        <w:jc w:val="left"/>
        <w:rPr>
          <w:rFonts w:hint="eastAsia" w:ascii="宋体" w:hAnsi="宋体"/>
          <w:kern w:val="0"/>
          <w:szCs w:val="21"/>
        </w:rPr>
      </w:pPr>
      <w:r>
        <w:rPr>
          <w:rFonts w:hint="eastAsia" w:ascii="宋体" w:hAnsi="宋体"/>
          <w:kern w:val="0"/>
          <w:szCs w:val="21"/>
        </w:rPr>
        <w:t>（11）承包人项目负责人、项目技术负责人必须参加每周工地例会，因故不能参加的提前24小时向发包人提出书面申请并在获得发包人书面批准后方可缺席，否则承包人向发包人支付违约金1万元/人/次。</w:t>
      </w:r>
    </w:p>
    <w:p w14:paraId="6541D098">
      <w:pPr>
        <w:spacing w:before="120" w:line="360" w:lineRule="auto"/>
        <w:ind w:firstLine="420" w:firstLineChars="200"/>
        <w:jc w:val="left"/>
        <w:rPr>
          <w:rFonts w:hint="eastAsia" w:ascii="宋体" w:hAnsi="宋体"/>
          <w:kern w:val="0"/>
          <w:szCs w:val="21"/>
        </w:rPr>
      </w:pPr>
      <w:r>
        <w:rPr>
          <w:rFonts w:hint="eastAsia" w:ascii="宋体" w:hAnsi="宋体"/>
          <w:kern w:val="0"/>
          <w:szCs w:val="21"/>
        </w:rPr>
        <w:t>（12）关键工序施工完毕后未经监理人和发包人验收合格并签字就进行下道工序施工的，承包人承担违约责任，发包人有权暂停支付该部分进度款，直至发包人和监理人确认该部分工程合格为止，同时承包人应向发包人支付违约金5000元/次。</w:t>
      </w:r>
    </w:p>
    <w:p w14:paraId="0083887A">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rPr>
        <w:t>（13）</w:t>
      </w:r>
      <w:r>
        <w:rPr>
          <w:rFonts w:hint="eastAsia" w:ascii="宋体" w:hAnsi="宋体"/>
          <w:kern w:val="0"/>
          <w:szCs w:val="21"/>
          <w:u w:val="single"/>
        </w:rPr>
        <w:t>在施工过程中，如果承包人现场安全文明施工达不到湘潭市安全文明施工标准化工地的标准，发包人有权从后续付款中扣回相应的安全文明措施费，且承包人应按相同金额向发包人支付违约金。</w:t>
      </w:r>
    </w:p>
    <w:p w14:paraId="3DB6409D">
      <w:pPr>
        <w:spacing w:before="120" w:line="360" w:lineRule="auto"/>
        <w:ind w:firstLine="420" w:firstLineChars="200"/>
        <w:jc w:val="left"/>
        <w:rPr>
          <w:rFonts w:hint="eastAsia" w:ascii="宋体" w:hAnsi="宋体"/>
          <w:kern w:val="0"/>
          <w:szCs w:val="21"/>
        </w:rPr>
      </w:pPr>
      <w:r>
        <w:rPr>
          <w:rFonts w:hint="eastAsia" w:ascii="宋体" w:hAnsi="宋体"/>
          <w:kern w:val="0"/>
          <w:szCs w:val="21"/>
        </w:rPr>
        <w:t>（14）发包人或监理人对承包人的违章现象提出整改要求，承包人不及时整改的，承包人承担违约责任，每逾期一天，承包人应向发包人支付违约金1万元；累计3次后，每逾期一天，承包人应向发包人支付违约金2万元。</w:t>
      </w:r>
    </w:p>
    <w:p w14:paraId="1E57EDFA">
      <w:pPr>
        <w:spacing w:before="120" w:line="360" w:lineRule="auto"/>
        <w:ind w:firstLine="420" w:firstLineChars="200"/>
        <w:jc w:val="left"/>
        <w:rPr>
          <w:rFonts w:hint="eastAsia" w:ascii="宋体" w:hAnsi="宋体"/>
          <w:kern w:val="0"/>
          <w:szCs w:val="21"/>
        </w:rPr>
      </w:pPr>
      <w:r>
        <w:rPr>
          <w:rFonts w:hint="eastAsia" w:ascii="宋体" w:hAnsi="宋体"/>
          <w:kern w:val="0"/>
          <w:szCs w:val="21"/>
        </w:rPr>
        <w:t>（15）承包人应于工程竣工验收合格之日起30天内，向监理人提交完整的竣工结算文件，若承包人未按期提供竣工结算报告及完整的结算资料，每拖延一天承担违约金2000元。</w:t>
      </w:r>
    </w:p>
    <w:p w14:paraId="0FCA2325">
      <w:pPr>
        <w:spacing w:before="120" w:line="360" w:lineRule="auto"/>
        <w:ind w:firstLine="420" w:firstLineChars="200"/>
        <w:jc w:val="left"/>
        <w:rPr>
          <w:rFonts w:hint="eastAsia" w:ascii="宋体" w:hAnsi="宋体"/>
          <w:kern w:val="0"/>
          <w:szCs w:val="21"/>
        </w:rPr>
      </w:pPr>
      <w:r>
        <w:rPr>
          <w:rFonts w:hint="eastAsia" w:ascii="宋体" w:hAnsi="宋体"/>
          <w:kern w:val="0"/>
          <w:szCs w:val="21"/>
        </w:rPr>
        <w:t>（16）因承包人原因，承包人未按发包人要求在规定期限内上交竣工资料、移送建设项目档案，每延迟一天承担违约金1万元，发包人同时保留采取其他措施的权利。</w:t>
      </w:r>
    </w:p>
    <w:p w14:paraId="6F1BB275">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17）承包人全面履行施工现场的安全管理，做好安全文明施工相关措施。凡施工现场出现的任何质量、安全事故，均由承包人负全责。在施工过程中，如因承包人原因造成发包人、承包人施工人员、第三方人身或财产受到伤害或损失，承包人应按有关规定进行赔偿。如承包人拒绝赔偿，发包人将有权直接从承包人的工程款中进行扣除赔偿款或将赔偿款支付给受害人。造成发包人损失的，由承包人负责赔偿，发包人有权从工程款中扣回相应赔偿款。造成受害人家属等到发包人处闹事的，发包人有权扣除承包人违约金10万元。因安全事故导致停工，工期不予顺延，乙方按工程逾期承担相应的逾期违约责任。</w:t>
      </w:r>
    </w:p>
    <w:p w14:paraId="353698CE">
      <w:pPr>
        <w:spacing w:before="120" w:line="360" w:lineRule="auto"/>
        <w:ind w:firstLine="420" w:firstLineChars="200"/>
        <w:jc w:val="left"/>
        <w:rPr>
          <w:rFonts w:hint="eastAsia" w:ascii="宋体" w:hAnsi="宋体"/>
          <w:szCs w:val="21"/>
          <w:u w:val="single"/>
        </w:rPr>
      </w:pPr>
      <w:r>
        <w:rPr>
          <w:rFonts w:hint="eastAsia" w:ascii="宋体" w:hAnsi="宋体"/>
          <w:szCs w:val="21"/>
          <w:u w:val="single"/>
        </w:rPr>
        <w:t>（18）因施工期间承包人违反安全操作规范，被政府有关部门处罚，如通报批评、警告和罚款等，承包人应支付2万元/次的违约金（罚款费用除外）。承包人应安全文明施工，发包人有权对承包人的违章现象提出整改，承包人接书面通知后24小时内未采取相应整改措施，每次支付违约金1万元，累计3次后， 每次支付违约金2万元，如经发包人组织的检查仍达不到合格标准，每次向发包人支付违约金2万元。</w:t>
      </w:r>
    </w:p>
    <w:p w14:paraId="74280BEB">
      <w:pPr>
        <w:spacing w:before="120" w:line="360" w:lineRule="auto"/>
        <w:ind w:firstLine="420" w:firstLineChars="200"/>
        <w:jc w:val="left"/>
        <w:rPr>
          <w:rFonts w:hint="eastAsia" w:ascii="宋体" w:hAnsi="宋体"/>
          <w:kern w:val="0"/>
          <w:szCs w:val="21"/>
        </w:rPr>
      </w:pPr>
      <w:r>
        <w:rPr>
          <w:rFonts w:hint="eastAsia" w:ascii="宋体" w:hAnsi="宋体"/>
          <w:kern w:val="0"/>
          <w:szCs w:val="21"/>
        </w:rPr>
        <w:t>（19）如果发生乙方施工人员或其他人员聚众阻拦施工、阻碍发包人和监理人员正常工作，或以暴力威胁甚至伤害发包人和监理人员等事件，视同承包人违约，承包人除应向发包人支付违约金10万元/次外，还应承担相应的赔偿责任及其他法律责任。</w:t>
      </w:r>
    </w:p>
    <w:p w14:paraId="72878B47">
      <w:pPr>
        <w:spacing w:before="120" w:line="360" w:lineRule="auto"/>
        <w:ind w:firstLine="420" w:firstLineChars="200"/>
        <w:rPr>
          <w:rFonts w:hint="eastAsia" w:ascii="宋体" w:hAnsi="宋体"/>
          <w:szCs w:val="21"/>
          <w:u w:val="single"/>
        </w:rPr>
      </w:pPr>
      <w:r>
        <w:rPr>
          <w:rFonts w:hint="eastAsia" w:ascii="宋体" w:hAnsi="宋体"/>
          <w:szCs w:val="21"/>
          <w:u w:val="single"/>
        </w:rPr>
        <w:t>（20）承包人应保证按时足额向施工人员发放工资，双方明确，如因在收到发包人款项后，未按时足额给工人支付工资的，发包人有权直接扣除相应工资金额支付给施工人员，并扣除承包人同等金额的违约金。如因此发生任何施工人员举报、信访、围堵政府相关部门等事件的，承包人应按合同价款的3%向发包人支付违约金，并且发包人有权单方解除合同，停止支付工程款，涉及刑事犯罪的，发包人将依法向有关部门进行举报。</w:t>
      </w:r>
    </w:p>
    <w:p w14:paraId="36235BE6">
      <w:pPr>
        <w:spacing w:before="120" w:line="360" w:lineRule="auto"/>
        <w:ind w:firstLine="420" w:firstLineChars="200"/>
        <w:jc w:val="left"/>
        <w:rPr>
          <w:rFonts w:hint="eastAsia" w:ascii="宋体" w:hAnsi="宋体"/>
          <w:szCs w:val="21"/>
        </w:rPr>
      </w:pPr>
      <w:r>
        <w:rPr>
          <w:rFonts w:hint="eastAsia" w:ascii="宋体" w:hAnsi="宋体"/>
          <w:kern w:val="0"/>
          <w:szCs w:val="21"/>
        </w:rPr>
        <w:t>（21）</w:t>
      </w:r>
      <w:r>
        <w:rPr>
          <w:rFonts w:hint="eastAsia" w:ascii="宋体" w:hAnsi="宋体"/>
          <w:kern w:val="0"/>
          <w:szCs w:val="21"/>
          <w:u w:val="single"/>
        </w:rPr>
        <w:t>承包人不得因对承包人的处罚及违约赔偿而影响其他未完成工作。依据以上条款承包人应承担的违约金，发包人可在承包人的工程款中直接扣除，不足部分由承包人支付，但发包人扣款前应向承包人发出扣款通知单或支付违约金通知单。</w:t>
      </w:r>
      <w:r>
        <w:rPr>
          <w:rFonts w:hint="eastAsia" w:ascii="宋体" w:hAnsi="宋体"/>
          <w:szCs w:val="21"/>
        </w:rPr>
        <w:t xml:space="preserve"> </w:t>
      </w:r>
    </w:p>
    <w:p w14:paraId="4DE52FD8">
      <w:pPr>
        <w:spacing w:before="120" w:line="360" w:lineRule="auto"/>
        <w:ind w:firstLine="420" w:firstLineChars="200"/>
        <w:jc w:val="left"/>
        <w:rPr>
          <w:rFonts w:hint="eastAsia" w:ascii="宋体" w:hAnsi="宋体"/>
          <w:kern w:val="0"/>
          <w:szCs w:val="21"/>
          <w:u w:val="single"/>
        </w:rPr>
      </w:pPr>
      <w:r>
        <w:rPr>
          <w:rFonts w:hint="eastAsia" w:ascii="宋体" w:hAnsi="宋体"/>
          <w:kern w:val="0"/>
          <w:szCs w:val="21"/>
          <w:u w:val="single"/>
        </w:rPr>
        <w:t>（22）承包人未按控制工期节点完成相关分段工程，承包人应在下一个工期节点内赶上延误的工期。如节点工期影响总工期，发包人可在当期进度款中扣除1000元/天（不足一天按一天计），此违约金的支付并不能解除承包人应完成工程的责任或本合同规定的其他责任（如总工期未拖延，该扣款在工程竣工结算时返还；如总工期拖延，该扣款可以作为因工期延误的总累计违约金的一部抵扣，抵扣不足的再从承包人应得款项中扣除）。 由于承包人原因致使工程开工日期延迟、竣工日期延迟、中途停建或缓建、施工组织设计文件中关键线路工期控制时间超过20天的，发包人有权解除或终止合同，并实行先清退后结算的原则，同时由承包人承担相应的赔偿责任。</w:t>
      </w:r>
    </w:p>
    <w:p w14:paraId="3E75FC0A">
      <w:pPr>
        <w:spacing w:before="120" w:line="360" w:lineRule="auto"/>
        <w:ind w:firstLine="420" w:firstLineChars="200"/>
        <w:jc w:val="left"/>
        <w:rPr>
          <w:rFonts w:hint="eastAsia" w:ascii="宋体" w:hAnsi="宋体"/>
          <w:kern w:val="0"/>
          <w:szCs w:val="21"/>
        </w:rPr>
      </w:pPr>
      <w:r>
        <w:rPr>
          <w:rFonts w:hint="eastAsia" w:ascii="宋体" w:hAnsi="宋体"/>
          <w:kern w:val="0"/>
          <w:szCs w:val="21"/>
        </w:rPr>
        <w:t>16.2.2承包人违约的责任</w:t>
      </w:r>
    </w:p>
    <w:p w14:paraId="014C149E">
      <w:pPr>
        <w:spacing w:before="120" w:line="360" w:lineRule="auto"/>
        <w:ind w:firstLine="420" w:firstLineChars="200"/>
        <w:jc w:val="left"/>
        <w:rPr>
          <w:rFonts w:hint="eastAsia" w:ascii="宋体" w:hAnsi="宋体"/>
          <w:kern w:val="0"/>
          <w:szCs w:val="21"/>
        </w:rPr>
      </w:pPr>
      <w:r>
        <w:rPr>
          <w:rFonts w:hint="eastAsia" w:ascii="宋体" w:hAnsi="宋体"/>
          <w:kern w:val="0"/>
          <w:szCs w:val="21"/>
        </w:rPr>
        <w:t>承包人违约责任的承担方式和计算方法：</w:t>
      </w:r>
      <w:r>
        <w:rPr>
          <w:rFonts w:hint="eastAsia" w:ascii="宋体" w:hAnsi="宋体"/>
          <w:kern w:val="0"/>
          <w:szCs w:val="21"/>
          <w:u w:val="single"/>
        </w:rPr>
        <w:t>见16.2.1。</w:t>
      </w:r>
    </w:p>
    <w:p w14:paraId="1102EDA1">
      <w:pPr>
        <w:spacing w:before="120" w:line="360" w:lineRule="auto"/>
        <w:ind w:firstLine="420" w:firstLineChars="200"/>
        <w:jc w:val="left"/>
        <w:rPr>
          <w:rFonts w:hint="eastAsia" w:ascii="宋体" w:hAnsi="宋体"/>
          <w:szCs w:val="21"/>
        </w:rPr>
      </w:pPr>
      <w:r>
        <w:rPr>
          <w:rFonts w:hint="eastAsia" w:ascii="宋体" w:hAnsi="宋体"/>
          <w:szCs w:val="21"/>
        </w:rPr>
        <w:t>16.2.3 因承包人违约解除合同</w:t>
      </w:r>
    </w:p>
    <w:p w14:paraId="3EC88E52">
      <w:pPr>
        <w:spacing w:before="120" w:after="120" w:line="360" w:lineRule="auto"/>
        <w:ind w:firstLine="420" w:firstLineChars="200"/>
        <w:rPr>
          <w:rFonts w:hint="eastAsia" w:ascii="宋体" w:hAnsi="宋体"/>
          <w:kern w:val="0"/>
          <w:szCs w:val="21"/>
        </w:rPr>
      </w:pPr>
      <w:r>
        <w:rPr>
          <w:rFonts w:hint="eastAsia" w:ascii="宋体" w:hAnsi="宋体"/>
          <w:kern w:val="0"/>
          <w:szCs w:val="21"/>
        </w:rPr>
        <w:t>关于承包人违约解除合同的特别约定：</w:t>
      </w:r>
      <w:r>
        <w:rPr>
          <w:rFonts w:hint="eastAsia" w:ascii="宋体" w:hAnsi="宋体"/>
          <w:kern w:val="0"/>
          <w:szCs w:val="21"/>
          <w:u w:val="single"/>
        </w:rPr>
        <w:t>见16.2.1</w:t>
      </w:r>
      <w:r>
        <w:rPr>
          <w:rFonts w:hint="eastAsia" w:ascii="宋体" w:hAnsi="宋体"/>
          <w:kern w:val="0"/>
          <w:szCs w:val="21"/>
        </w:rPr>
        <w:t>。</w:t>
      </w:r>
    </w:p>
    <w:p w14:paraId="0DA5622B">
      <w:pPr>
        <w:spacing w:before="120" w:after="120" w:line="360" w:lineRule="auto"/>
        <w:ind w:firstLine="420" w:firstLineChars="200"/>
        <w:rPr>
          <w:rFonts w:hint="eastAsia" w:ascii="宋体" w:hAnsi="宋体"/>
          <w:kern w:val="0"/>
          <w:szCs w:val="21"/>
        </w:rPr>
      </w:pPr>
      <w:r>
        <w:rPr>
          <w:rFonts w:hint="eastAsia" w:ascii="宋体" w:hAnsi="宋体"/>
          <w:kern w:val="0"/>
          <w:szCs w:val="21"/>
        </w:rPr>
        <w:t>发包人继续使用承包人在施工现场的材料、设备、临时工程、承包人文件和由承包人或以其名义编制的其他文件的费用承担方式：</w:t>
      </w:r>
      <w:r>
        <w:rPr>
          <w:rFonts w:hint="eastAsia" w:ascii="宋体" w:hAnsi="宋体"/>
          <w:kern w:val="0"/>
          <w:szCs w:val="21"/>
          <w:u w:val="single"/>
        </w:rPr>
        <w:t xml:space="preserve">       由承包人承担       </w:t>
      </w:r>
      <w:r>
        <w:rPr>
          <w:rFonts w:hint="eastAsia" w:ascii="宋体" w:hAnsi="宋体"/>
          <w:kern w:val="0"/>
          <w:szCs w:val="21"/>
        </w:rPr>
        <w:t>。</w:t>
      </w:r>
    </w:p>
    <w:p w14:paraId="033AF5F9">
      <w:pPr>
        <w:pStyle w:val="5"/>
        <w:spacing w:before="120" w:after="120" w:line="360" w:lineRule="auto"/>
        <w:rPr>
          <w:rFonts w:hint="eastAsia" w:ascii="宋体" w:hAnsi="宋体" w:eastAsia="宋体"/>
          <w:b w:val="0"/>
          <w:sz w:val="21"/>
          <w:szCs w:val="21"/>
        </w:rPr>
      </w:pPr>
      <w:bookmarkStart w:id="618" w:name="_Toc351203649"/>
      <w:r>
        <w:rPr>
          <w:rFonts w:hint="eastAsia" w:ascii="宋体" w:hAnsi="宋体" w:eastAsia="宋体"/>
          <w:b w:val="0"/>
          <w:sz w:val="21"/>
          <w:szCs w:val="21"/>
        </w:rPr>
        <w:t>17. 不可抗力</w:t>
      </w:r>
      <w:bookmarkEnd w:id="618"/>
      <w:r>
        <w:rPr>
          <w:rFonts w:hint="eastAsia" w:ascii="宋体" w:hAnsi="宋体" w:eastAsia="宋体"/>
          <w:b w:val="0"/>
          <w:sz w:val="21"/>
          <w:szCs w:val="21"/>
        </w:rPr>
        <w:t xml:space="preserve"> </w:t>
      </w:r>
      <w:bookmarkEnd w:id="616"/>
    </w:p>
    <w:p w14:paraId="35A54658">
      <w:pPr>
        <w:spacing w:before="120" w:after="120" w:line="360" w:lineRule="auto"/>
        <w:ind w:firstLine="420" w:firstLineChars="200"/>
        <w:rPr>
          <w:rFonts w:hint="eastAsia" w:ascii="宋体" w:hAnsi="宋体"/>
          <w:szCs w:val="21"/>
        </w:rPr>
      </w:pPr>
      <w:r>
        <w:rPr>
          <w:rFonts w:hint="eastAsia" w:ascii="宋体" w:hAnsi="宋体"/>
          <w:szCs w:val="21"/>
        </w:rPr>
        <w:t>17.1 不可抗力的确认</w:t>
      </w:r>
    </w:p>
    <w:p w14:paraId="7C3605D7">
      <w:pPr>
        <w:spacing w:before="120" w:line="360" w:lineRule="auto"/>
        <w:ind w:firstLine="420" w:firstLineChars="200"/>
        <w:jc w:val="left"/>
        <w:rPr>
          <w:rFonts w:hint="eastAsia" w:ascii="宋体" w:hAnsi="宋体"/>
          <w:kern w:val="0"/>
          <w:szCs w:val="21"/>
          <w:u w:val="single"/>
        </w:rPr>
      </w:pPr>
      <w:r>
        <w:rPr>
          <w:rFonts w:hint="eastAsia" w:ascii="宋体" w:hAnsi="宋体"/>
          <w:szCs w:val="21"/>
        </w:rPr>
        <w:t xml:space="preserve">除通用合同条款约定的不可抗力事件之外，视为不可抗力的其他情形： </w:t>
      </w:r>
      <w:r>
        <w:rPr>
          <w:rFonts w:hint="eastAsia" w:ascii="宋体" w:hAnsi="宋体"/>
          <w:kern w:val="0"/>
          <w:szCs w:val="21"/>
          <w:u w:val="single"/>
        </w:rPr>
        <w:t xml:space="preserve"> 其他因政府颁布的强制性规定而造成不能施工的情况。</w:t>
      </w:r>
    </w:p>
    <w:p w14:paraId="299F80CD">
      <w:pPr>
        <w:spacing w:before="120" w:after="120" w:line="360" w:lineRule="auto"/>
        <w:ind w:firstLine="420" w:firstLineChars="200"/>
        <w:outlineLvl w:val="0"/>
        <w:rPr>
          <w:rFonts w:hint="eastAsia" w:ascii="宋体" w:hAnsi="宋体"/>
          <w:szCs w:val="21"/>
        </w:rPr>
      </w:pPr>
      <w:r>
        <w:rPr>
          <w:rFonts w:hint="eastAsia" w:ascii="宋体" w:hAnsi="宋体"/>
          <w:szCs w:val="21"/>
        </w:rPr>
        <w:t>17.4 因不可抗力解除合同</w:t>
      </w:r>
    </w:p>
    <w:p w14:paraId="05D74783">
      <w:pPr>
        <w:spacing w:before="120" w:line="360" w:lineRule="auto"/>
        <w:ind w:firstLine="420" w:firstLineChars="200"/>
        <w:jc w:val="left"/>
        <w:rPr>
          <w:rFonts w:hint="eastAsia" w:ascii="宋体" w:hAnsi="宋体"/>
          <w:szCs w:val="21"/>
        </w:rPr>
      </w:pPr>
      <w:r>
        <w:rPr>
          <w:rFonts w:hint="eastAsia" w:ascii="宋体" w:hAnsi="宋体"/>
          <w:szCs w:val="21"/>
        </w:rPr>
        <w:t>合同解除后，发包人应在商定或确定发包人应支付款项后</w:t>
      </w:r>
      <w:r>
        <w:rPr>
          <w:rFonts w:hint="eastAsia" w:ascii="宋体" w:hAnsi="宋体"/>
          <w:szCs w:val="21"/>
          <w:u w:val="single"/>
        </w:rPr>
        <w:t>60</w:t>
      </w:r>
      <w:r>
        <w:rPr>
          <w:rFonts w:hint="eastAsia" w:ascii="宋体" w:hAnsi="宋体"/>
          <w:szCs w:val="21"/>
        </w:rPr>
        <w:t>天内完成款项的支付。</w:t>
      </w:r>
    </w:p>
    <w:p w14:paraId="1296DE6D">
      <w:pPr>
        <w:pStyle w:val="5"/>
        <w:spacing w:before="120" w:after="120" w:line="360" w:lineRule="auto"/>
        <w:rPr>
          <w:rFonts w:hint="eastAsia" w:ascii="宋体" w:hAnsi="宋体" w:eastAsia="宋体"/>
          <w:b w:val="0"/>
          <w:sz w:val="21"/>
          <w:szCs w:val="21"/>
        </w:rPr>
      </w:pPr>
      <w:bookmarkStart w:id="619" w:name="_Toc351203650"/>
      <w:r>
        <w:rPr>
          <w:rFonts w:hint="eastAsia" w:ascii="宋体" w:hAnsi="宋体" w:eastAsia="宋体"/>
          <w:b w:val="0"/>
          <w:sz w:val="21"/>
          <w:szCs w:val="21"/>
        </w:rPr>
        <w:t>18. 保险</w:t>
      </w:r>
      <w:bookmarkEnd w:id="619"/>
    </w:p>
    <w:bookmarkEnd w:id="617"/>
    <w:p w14:paraId="10005C6C">
      <w:pPr>
        <w:spacing w:before="120" w:after="120" w:line="360" w:lineRule="auto"/>
        <w:ind w:firstLine="420" w:firstLineChars="200"/>
        <w:rPr>
          <w:rFonts w:hint="eastAsia" w:ascii="宋体" w:hAnsi="宋体"/>
          <w:szCs w:val="21"/>
        </w:rPr>
      </w:pPr>
      <w:r>
        <w:rPr>
          <w:rFonts w:hint="eastAsia" w:ascii="宋体" w:hAnsi="宋体"/>
          <w:szCs w:val="21"/>
        </w:rPr>
        <w:t>18.1 工程保险</w:t>
      </w:r>
    </w:p>
    <w:p w14:paraId="6F0F57D5">
      <w:pPr>
        <w:spacing w:before="120" w:line="360" w:lineRule="auto"/>
        <w:ind w:firstLine="420" w:firstLineChars="200"/>
        <w:jc w:val="left"/>
        <w:rPr>
          <w:rFonts w:hint="eastAsia" w:ascii="宋体" w:hAnsi="宋体"/>
          <w:szCs w:val="21"/>
        </w:rPr>
      </w:pPr>
      <w:r>
        <w:rPr>
          <w:rFonts w:hint="eastAsia" w:ascii="宋体" w:hAnsi="宋体"/>
          <w:szCs w:val="21"/>
        </w:rPr>
        <w:t>关于工程保险的特别约定：</w:t>
      </w:r>
      <w:r>
        <w:rPr>
          <w:rFonts w:hint="eastAsia" w:ascii="宋体" w:hAnsi="宋体"/>
          <w:kern w:val="0"/>
          <w:szCs w:val="21"/>
          <w:u w:val="single"/>
        </w:rPr>
        <w:t xml:space="preserve">  本项目建筑工程一切险或安装工程一切险均由承包人承担   </w:t>
      </w:r>
      <w:r>
        <w:rPr>
          <w:rFonts w:hint="eastAsia" w:ascii="宋体" w:hAnsi="宋体"/>
          <w:kern w:val="0"/>
          <w:szCs w:val="21"/>
        </w:rPr>
        <w:t>。</w:t>
      </w:r>
    </w:p>
    <w:p w14:paraId="1AED2A9D">
      <w:pPr>
        <w:spacing w:before="120" w:after="120" w:line="360" w:lineRule="auto"/>
        <w:ind w:firstLine="420" w:firstLineChars="200"/>
        <w:outlineLvl w:val="0"/>
        <w:rPr>
          <w:rFonts w:hint="eastAsia" w:ascii="宋体" w:hAnsi="宋体"/>
          <w:szCs w:val="21"/>
        </w:rPr>
      </w:pPr>
      <w:r>
        <w:rPr>
          <w:rFonts w:hint="eastAsia" w:ascii="宋体" w:hAnsi="宋体"/>
          <w:szCs w:val="21"/>
        </w:rPr>
        <w:t>18.3 其他保险</w:t>
      </w:r>
    </w:p>
    <w:p w14:paraId="45EB820D">
      <w:pPr>
        <w:spacing w:before="120" w:line="360" w:lineRule="auto"/>
        <w:ind w:firstLine="420" w:firstLineChars="200"/>
        <w:jc w:val="left"/>
        <w:rPr>
          <w:rFonts w:hint="eastAsia" w:ascii="宋体" w:hAnsi="宋体"/>
          <w:kern w:val="0"/>
          <w:szCs w:val="21"/>
        </w:rPr>
      </w:pPr>
      <w:r>
        <w:rPr>
          <w:rFonts w:hint="eastAsia" w:ascii="宋体" w:hAnsi="宋体"/>
          <w:szCs w:val="21"/>
        </w:rPr>
        <w:t>关于其他保险的约定：</w:t>
      </w:r>
      <w:r>
        <w:rPr>
          <w:rFonts w:hint="eastAsia" w:ascii="宋体" w:hAnsi="宋体"/>
          <w:kern w:val="0"/>
          <w:szCs w:val="21"/>
          <w:u w:val="single"/>
        </w:rPr>
        <w:t xml:space="preserve">  承包人为其施工现场的全部人员办理意外伤害保险并支付保险费，包括其员工及为履行合同聘请的第三方的人员  </w:t>
      </w:r>
      <w:r>
        <w:rPr>
          <w:rFonts w:hint="eastAsia" w:ascii="宋体" w:hAnsi="宋体"/>
          <w:kern w:val="0"/>
          <w:szCs w:val="21"/>
        </w:rPr>
        <w:t>。</w:t>
      </w:r>
    </w:p>
    <w:p w14:paraId="4EB14D98">
      <w:pPr>
        <w:spacing w:before="120" w:line="360" w:lineRule="auto"/>
        <w:ind w:firstLine="420" w:firstLineChars="200"/>
        <w:jc w:val="left"/>
        <w:rPr>
          <w:rFonts w:hint="eastAsia" w:ascii="宋体" w:hAnsi="宋体"/>
          <w:kern w:val="0"/>
          <w:szCs w:val="21"/>
        </w:rPr>
      </w:pPr>
      <w:r>
        <w:rPr>
          <w:rFonts w:hint="eastAsia" w:ascii="宋体" w:hAnsi="宋体"/>
          <w:szCs w:val="21"/>
        </w:rPr>
        <w:t>承包人是否应为其施工设备等办理财产保险：</w:t>
      </w:r>
      <w:r>
        <w:rPr>
          <w:rFonts w:hint="eastAsia" w:ascii="宋体" w:hAnsi="宋体"/>
          <w:szCs w:val="21"/>
          <w:u w:val="single"/>
        </w:rPr>
        <w:t xml:space="preserve">   </w:t>
      </w:r>
      <w:r>
        <w:rPr>
          <w:rFonts w:hint="eastAsia" w:ascii="宋体" w:hAnsi="宋体"/>
          <w:kern w:val="0"/>
          <w:szCs w:val="21"/>
          <w:u w:val="single"/>
        </w:rPr>
        <w:t xml:space="preserve">是  </w:t>
      </w:r>
      <w:r>
        <w:rPr>
          <w:rFonts w:hint="eastAsia" w:ascii="宋体" w:hAnsi="宋体"/>
          <w:szCs w:val="21"/>
          <w:u w:val="single"/>
        </w:rPr>
        <w:t xml:space="preserve">  </w:t>
      </w:r>
      <w:r>
        <w:rPr>
          <w:rFonts w:hint="eastAsia" w:ascii="宋体" w:hAnsi="宋体"/>
          <w:szCs w:val="21"/>
        </w:rPr>
        <w:t>。</w:t>
      </w:r>
    </w:p>
    <w:p w14:paraId="587ED79E">
      <w:pPr>
        <w:spacing w:before="120" w:after="120" w:line="360" w:lineRule="auto"/>
        <w:ind w:firstLine="420" w:firstLineChars="200"/>
        <w:rPr>
          <w:rFonts w:hint="eastAsia" w:ascii="宋体" w:hAnsi="宋体"/>
          <w:szCs w:val="21"/>
        </w:rPr>
      </w:pPr>
      <w:r>
        <w:rPr>
          <w:rFonts w:hint="eastAsia" w:ascii="宋体" w:hAnsi="宋体"/>
          <w:szCs w:val="21"/>
        </w:rPr>
        <w:t>18.7 通知义务</w:t>
      </w:r>
    </w:p>
    <w:p w14:paraId="57F4D667">
      <w:pPr>
        <w:spacing w:before="120" w:line="360" w:lineRule="auto"/>
        <w:ind w:firstLine="420" w:firstLineChars="200"/>
        <w:jc w:val="left"/>
        <w:rPr>
          <w:rFonts w:hint="eastAsia" w:ascii="宋体" w:hAnsi="宋体"/>
          <w:szCs w:val="21"/>
        </w:rPr>
      </w:pPr>
      <w:r>
        <w:rPr>
          <w:rFonts w:hint="eastAsia" w:ascii="宋体" w:hAnsi="宋体"/>
          <w:kern w:val="0"/>
          <w:szCs w:val="21"/>
        </w:rPr>
        <w:t>关于变更保险合同时的通知义务的约定：</w:t>
      </w:r>
      <w:r>
        <w:rPr>
          <w:rFonts w:hint="eastAsia" w:ascii="宋体" w:hAnsi="宋体"/>
          <w:szCs w:val="21"/>
          <w:u w:val="single"/>
        </w:rPr>
        <w:t xml:space="preserve"> 24小时内通知对方和监理人 </w:t>
      </w:r>
      <w:r>
        <w:rPr>
          <w:rFonts w:hint="eastAsia" w:ascii="宋体" w:hAnsi="宋体"/>
          <w:szCs w:val="21"/>
        </w:rPr>
        <w:t>。</w:t>
      </w:r>
    </w:p>
    <w:bookmarkEnd w:id="593"/>
    <w:bookmarkEnd w:id="594"/>
    <w:bookmarkEnd w:id="595"/>
    <w:bookmarkEnd w:id="596"/>
    <w:bookmarkEnd w:id="597"/>
    <w:bookmarkEnd w:id="598"/>
    <w:bookmarkEnd w:id="599"/>
    <w:bookmarkEnd w:id="600"/>
    <w:bookmarkEnd w:id="601"/>
    <w:bookmarkEnd w:id="602"/>
    <w:bookmarkEnd w:id="603"/>
    <w:bookmarkEnd w:id="604"/>
    <w:p w14:paraId="25BAEFEE">
      <w:pPr>
        <w:pStyle w:val="5"/>
        <w:spacing w:before="120" w:after="120" w:line="360" w:lineRule="auto"/>
        <w:rPr>
          <w:rFonts w:hint="eastAsia" w:ascii="宋体" w:hAnsi="宋体" w:eastAsia="宋体"/>
          <w:b w:val="0"/>
          <w:sz w:val="21"/>
          <w:szCs w:val="21"/>
        </w:rPr>
      </w:pPr>
      <w:bookmarkStart w:id="620" w:name="_Toc351203651"/>
      <w:r>
        <w:rPr>
          <w:rFonts w:hint="eastAsia" w:ascii="宋体" w:hAnsi="宋体" w:eastAsia="宋体"/>
          <w:b w:val="0"/>
          <w:sz w:val="21"/>
          <w:szCs w:val="21"/>
        </w:rPr>
        <w:t>20. 争议解决</w:t>
      </w:r>
      <w:bookmarkEnd w:id="620"/>
    </w:p>
    <w:bookmarkEnd w:id="605"/>
    <w:bookmarkEnd w:id="606"/>
    <w:p w14:paraId="1372F4D0">
      <w:pPr>
        <w:spacing w:before="120" w:after="120" w:line="360" w:lineRule="auto"/>
        <w:ind w:firstLine="420" w:firstLineChars="200"/>
        <w:outlineLvl w:val="0"/>
        <w:rPr>
          <w:rFonts w:hint="eastAsia" w:ascii="宋体" w:hAnsi="宋体"/>
          <w:szCs w:val="21"/>
        </w:rPr>
      </w:pPr>
      <w:r>
        <w:rPr>
          <w:rFonts w:hint="eastAsia" w:ascii="宋体" w:hAnsi="宋体"/>
          <w:szCs w:val="21"/>
        </w:rPr>
        <w:t>20.3 争</w:t>
      </w:r>
      <w:bookmarkEnd w:id="607"/>
      <w:r>
        <w:rPr>
          <w:rFonts w:hint="eastAsia" w:ascii="宋体" w:hAnsi="宋体"/>
          <w:szCs w:val="21"/>
        </w:rPr>
        <w:t>议评审</w:t>
      </w:r>
    </w:p>
    <w:p w14:paraId="4B77E648">
      <w:pPr>
        <w:spacing w:before="120" w:line="360" w:lineRule="auto"/>
        <w:ind w:firstLine="420" w:firstLineChars="200"/>
        <w:jc w:val="left"/>
        <w:rPr>
          <w:rFonts w:hint="eastAsia" w:ascii="宋体" w:hAnsi="宋体"/>
          <w:szCs w:val="21"/>
        </w:rPr>
      </w:pPr>
      <w:r>
        <w:rPr>
          <w:rFonts w:hint="eastAsia" w:ascii="宋体" w:hAnsi="宋体"/>
          <w:szCs w:val="21"/>
        </w:rPr>
        <w:t>合同当事人是否同意将工程争议提交争议评审小组决定：</w:t>
      </w:r>
      <w:r>
        <w:rPr>
          <w:rFonts w:hint="eastAsia" w:ascii="宋体" w:hAnsi="宋体"/>
          <w:szCs w:val="21"/>
          <w:u w:val="single"/>
        </w:rPr>
        <w:t xml:space="preserve"> 否 </w:t>
      </w:r>
      <w:r>
        <w:rPr>
          <w:rFonts w:hint="eastAsia" w:ascii="宋体" w:hAnsi="宋体"/>
          <w:szCs w:val="21"/>
        </w:rPr>
        <w:t xml:space="preserve">。  </w:t>
      </w:r>
    </w:p>
    <w:p w14:paraId="11FED569">
      <w:pPr>
        <w:spacing w:before="120" w:line="360" w:lineRule="auto"/>
        <w:ind w:firstLine="420" w:firstLineChars="200"/>
        <w:jc w:val="left"/>
        <w:outlineLvl w:val="0"/>
        <w:rPr>
          <w:rFonts w:hint="eastAsia" w:ascii="宋体" w:hAnsi="宋体"/>
          <w:szCs w:val="21"/>
        </w:rPr>
      </w:pPr>
      <w:r>
        <w:rPr>
          <w:rFonts w:hint="eastAsia" w:ascii="宋体" w:hAnsi="宋体"/>
          <w:szCs w:val="21"/>
        </w:rPr>
        <w:t>20.3.1 争议评审小组的确定</w:t>
      </w:r>
    </w:p>
    <w:p w14:paraId="3DB41F9F">
      <w:pPr>
        <w:spacing w:before="120" w:line="360" w:lineRule="auto"/>
        <w:ind w:firstLine="420" w:firstLineChars="200"/>
        <w:jc w:val="left"/>
        <w:rPr>
          <w:rFonts w:hint="eastAsia" w:ascii="宋体" w:hAnsi="宋体"/>
          <w:szCs w:val="21"/>
          <w:u w:val="single"/>
        </w:rPr>
      </w:pPr>
      <w:r>
        <w:rPr>
          <w:rFonts w:hint="eastAsia" w:ascii="宋体" w:hAnsi="宋体"/>
          <w:szCs w:val="21"/>
        </w:rPr>
        <w:t>争议评审小组成员的确定：</w:t>
      </w:r>
      <w:r>
        <w:rPr>
          <w:rFonts w:hint="eastAsia" w:ascii="宋体" w:hAnsi="宋体"/>
          <w:szCs w:val="21"/>
          <w:u w:val="single"/>
        </w:rPr>
        <w:t xml:space="preserve">     /     </w:t>
      </w:r>
      <w:r>
        <w:rPr>
          <w:rFonts w:hint="eastAsia" w:ascii="宋体" w:hAnsi="宋体"/>
          <w:szCs w:val="21"/>
        </w:rPr>
        <w:t>。</w:t>
      </w:r>
    </w:p>
    <w:p w14:paraId="30092332">
      <w:pPr>
        <w:spacing w:before="120" w:line="360" w:lineRule="auto"/>
        <w:ind w:firstLine="420" w:firstLineChars="200"/>
        <w:jc w:val="left"/>
        <w:rPr>
          <w:rFonts w:hint="eastAsia" w:ascii="宋体" w:hAnsi="宋体"/>
          <w:szCs w:val="21"/>
        </w:rPr>
      </w:pPr>
      <w:r>
        <w:rPr>
          <w:rFonts w:hint="eastAsia" w:ascii="宋体" w:hAnsi="宋体"/>
          <w:szCs w:val="21"/>
        </w:rPr>
        <w:t>选定争议评审员的期限：</w:t>
      </w:r>
      <w:r>
        <w:rPr>
          <w:rFonts w:hint="eastAsia" w:ascii="宋体" w:hAnsi="宋体"/>
          <w:szCs w:val="21"/>
          <w:u w:val="single"/>
        </w:rPr>
        <w:t xml:space="preserve">     /     </w:t>
      </w:r>
      <w:r>
        <w:rPr>
          <w:rFonts w:hint="eastAsia" w:ascii="宋体" w:hAnsi="宋体"/>
          <w:szCs w:val="21"/>
        </w:rPr>
        <w:t>。</w:t>
      </w:r>
    </w:p>
    <w:p w14:paraId="7D5C7989">
      <w:pPr>
        <w:spacing w:before="120" w:line="360" w:lineRule="auto"/>
        <w:ind w:firstLine="420" w:firstLineChars="200"/>
        <w:jc w:val="left"/>
        <w:rPr>
          <w:rFonts w:hint="eastAsia" w:ascii="宋体" w:hAnsi="宋体"/>
          <w:szCs w:val="21"/>
        </w:rPr>
      </w:pPr>
      <w:r>
        <w:rPr>
          <w:rFonts w:hint="eastAsia" w:ascii="宋体" w:hAnsi="宋体"/>
          <w:szCs w:val="21"/>
        </w:rPr>
        <w:t>争议评审小组成员的报酬承担方式：</w:t>
      </w:r>
      <w:r>
        <w:rPr>
          <w:rFonts w:hint="eastAsia" w:ascii="宋体" w:hAnsi="宋体"/>
          <w:szCs w:val="21"/>
          <w:u w:val="single"/>
        </w:rPr>
        <w:t xml:space="preserve">     /     </w:t>
      </w:r>
      <w:r>
        <w:rPr>
          <w:rFonts w:hint="eastAsia" w:ascii="宋体" w:hAnsi="宋体"/>
          <w:szCs w:val="21"/>
        </w:rPr>
        <w:t>。</w:t>
      </w:r>
    </w:p>
    <w:p w14:paraId="305139D5">
      <w:pPr>
        <w:spacing w:before="120" w:line="360" w:lineRule="auto"/>
        <w:ind w:firstLine="420" w:firstLineChars="200"/>
        <w:jc w:val="left"/>
        <w:rPr>
          <w:rFonts w:hint="eastAsia" w:ascii="宋体" w:hAnsi="宋体"/>
          <w:szCs w:val="21"/>
        </w:rPr>
      </w:pPr>
      <w:r>
        <w:rPr>
          <w:rFonts w:hint="eastAsia" w:ascii="宋体" w:hAnsi="宋体"/>
          <w:szCs w:val="21"/>
        </w:rPr>
        <w:t>其他事项的约定：</w:t>
      </w:r>
      <w:r>
        <w:rPr>
          <w:rFonts w:hint="eastAsia" w:ascii="宋体" w:hAnsi="宋体"/>
          <w:szCs w:val="21"/>
          <w:u w:val="single"/>
        </w:rPr>
        <w:t xml:space="preserve">     /     </w:t>
      </w:r>
      <w:r>
        <w:rPr>
          <w:rFonts w:hint="eastAsia" w:ascii="宋体" w:hAnsi="宋体"/>
          <w:szCs w:val="21"/>
        </w:rPr>
        <w:t>。</w:t>
      </w:r>
    </w:p>
    <w:p w14:paraId="56612E44">
      <w:pPr>
        <w:autoSpaceDE w:val="0"/>
        <w:autoSpaceDN w:val="0"/>
        <w:adjustRightInd w:val="0"/>
        <w:spacing w:before="120" w:line="360" w:lineRule="auto"/>
        <w:ind w:firstLine="420" w:firstLineChars="200"/>
        <w:jc w:val="left"/>
        <w:outlineLvl w:val="0"/>
        <w:rPr>
          <w:rFonts w:hint="eastAsia" w:ascii="宋体" w:hAnsi="宋体"/>
          <w:kern w:val="0"/>
          <w:szCs w:val="21"/>
        </w:rPr>
      </w:pPr>
      <w:r>
        <w:rPr>
          <w:rFonts w:hint="eastAsia" w:ascii="宋体" w:hAnsi="宋体"/>
          <w:kern w:val="0"/>
          <w:szCs w:val="21"/>
        </w:rPr>
        <w:t>20.3.2 争议评审小组的决定</w:t>
      </w:r>
    </w:p>
    <w:p w14:paraId="073B4633">
      <w:pPr>
        <w:spacing w:before="120" w:line="360" w:lineRule="auto"/>
        <w:ind w:firstLine="420" w:firstLineChars="200"/>
        <w:jc w:val="left"/>
        <w:rPr>
          <w:rFonts w:hint="eastAsia" w:ascii="宋体" w:hAnsi="宋体"/>
          <w:szCs w:val="21"/>
        </w:rPr>
      </w:pPr>
      <w:r>
        <w:rPr>
          <w:rFonts w:hint="eastAsia" w:ascii="宋体" w:hAnsi="宋体"/>
          <w:szCs w:val="21"/>
        </w:rPr>
        <w:t>合同当事人关于本项的约定：</w:t>
      </w:r>
      <w:r>
        <w:rPr>
          <w:rFonts w:hint="eastAsia" w:ascii="宋体" w:hAnsi="宋体"/>
          <w:szCs w:val="21"/>
          <w:u w:val="single"/>
        </w:rPr>
        <w:t xml:space="preserve">     /     </w:t>
      </w:r>
      <w:r>
        <w:rPr>
          <w:rFonts w:hint="eastAsia" w:ascii="宋体" w:hAnsi="宋体"/>
          <w:szCs w:val="21"/>
        </w:rPr>
        <w:t>。</w:t>
      </w:r>
    </w:p>
    <w:p w14:paraId="644F0A56">
      <w:pPr>
        <w:spacing w:before="120" w:after="120" w:line="360" w:lineRule="auto"/>
        <w:ind w:firstLine="420" w:firstLineChars="200"/>
        <w:outlineLvl w:val="0"/>
        <w:rPr>
          <w:rFonts w:hint="eastAsia" w:ascii="宋体" w:hAnsi="宋体"/>
          <w:szCs w:val="21"/>
        </w:rPr>
      </w:pPr>
      <w:r>
        <w:rPr>
          <w:rFonts w:hint="eastAsia" w:ascii="宋体" w:hAnsi="宋体"/>
          <w:szCs w:val="21"/>
        </w:rPr>
        <w:t>20.4仲裁或诉讼</w:t>
      </w:r>
      <w:bookmarkEnd w:id="608"/>
    </w:p>
    <w:p w14:paraId="1FC34C99">
      <w:pPr>
        <w:spacing w:before="120" w:after="120" w:line="360" w:lineRule="auto"/>
        <w:ind w:firstLine="420" w:firstLineChars="200"/>
        <w:rPr>
          <w:rFonts w:hint="eastAsia" w:ascii="宋体" w:hAnsi="宋体"/>
          <w:szCs w:val="21"/>
        </w:rPr>
      </w:pPr>
      <w:r>
        <w:rPr>
          <w:rFonts w:hint="eastAsia" w:ascii="宋体" w:hAnsi="宋体"/>
          <w:szCs w:val="21"/>
        </w:rPr>
        <w:t>因合同及合同有关事项发生的争议，按下列第</w:t>
      </w:r>
      <w:r>
        <w:rPr>
          <w:rFonts w:hint="eastAsia" w:ascii="宋体" w:hAnsi="宋体"/>
          <w:szCs w:val="21"/>
          <w:u w:val="single"/>
        </w:rPr>
        <w:t xml:space="preserve">  （2） </w:t>
      </w:r>
      <w:r>
        <w:rPr>
          <w:rFonts w:hint="eastAsia" w:ascii="宋体" w:hAnsi="宋体"/>
          <w:szCs w:val="21"/>
        </w:rPr>
        <w:t>种方式解决：</w:t>
      </w:r>
    </w:p>
    <w:p w14:paraId="3FAB10D1">
      <w:pPr>
        <w:spacing w:before="120" w:line="360" w:lineRule="auto"/>
        <w:ind w:firstLine="420" w:firstLineChars="200"/>
        <w:jc w:val="left"/>
        <w:rPr>
          <w:rFonts w:hint="eastAsia" w:ascii="宋体" w:hAnsi="宋体"/>
          <w:szCs w:val="21"/>
        </w:rPr>
      </w:pPr>
      <w:r>
        <w:rPr>
          <w:rFonts w:hint="eastAsia" w:ascii="宋体" w:hAnsi="宋体"/>
          <w:szCs w:val="21"/>
        </w:rPr>
        <w:t>（1）向</w:t>
      </w:r>
      <w:r>
        <w:rPr>
          <w:rFonts w:hint="eastAsia" w:ascii="宋体" w:hAnsi="宋体"/>
          <w:szCs w:val="21"/>
          <w:u w:val="single"/>
        </w:rPr>
        <w:t xml:space="preserve">       /       </w:t>
      </w:r>
      <w:r>
        <w:rPr>
          <w:rFonts w:hint="eastAsia" w:ascii="宋体" w:hAnsi="宋体"/>
          <w:szCs w:val="21"/>
        </w:rPr>
        <w:t>仲裁委员会申请仲裁；</w:t>
      </w:r>
    </w:p>
    <w:p w14:paraId="402BCC14">
      <w:pPr>
        <w:spacing w:before="120" w:line="360" w:lineRule="auto"/>
        <w:ind w:firstLine="420" w:firstLineChars="200"/>
        <w:jc w:val="left"/>
        <w:rPr>
          <w:rFonts w:hint="eastAsia" w:ascii="宋体" w:hAnsi="宋体"/>
          <w:szCs w:val="21"/>
        </w:rPr>
      </w:pPr>
      <w:r>
        <w:rPr>
          <w:rFonts w:hint="eastAsia" w:ascii="宋体" w:hAnsi="宋体"/>
          <w:szCs w:val="21"/>
        </w:rPr>
        <w:t>（2）向</w:t>
      </w:r>
      <w:r>
        <w:rPr>
          <w:rFonts w:hint="eastAsia" w:ascii="宋体" w:hAnsi="宋体"/>
          <w:szCs w:val="21"/>
          <w:u w:val="single"/>
        </w:rPr>
        <w:t xml:space="preserve">   工程所在地   </w:t>
      </w:r>
      <w:r>
        <w:rPr>
          <w:rFonts w:hint="eastAsia" w:ascii="宋体" w:hAnsi="宋体"/>
          <w:szCs w:val="21"/>
        </w:rPr>
        <w:t>人民法院起诉。</w:t>
      </w:r>
      <w:bookmarkEnd w:id="609"/>
      <w:bookmarkEnd w:id="610"/>
      <w:bookmarkEnd w:id="611"/>
      <w:bookmarkEnd w:id="612"/>
      <w:bookmarkEnd w:id="613"/>
      <w:bookmarkEnd w:id="614"/>
    </w:p>
    <w:bookmarkEnd w:id="85"/>
    <w:bookmarkEnd w:id="86"/>
    <w:p w14:paraId="5424899D">
      <w:pPr>
        <w:spacing w:line="360" w:lineRule="auto"/>
        <w:ind w:left="452" w:hanging="452"/>
        <w:rPr>
          <w:rFonts w:ascii="宋体" w:hAnsi="宋体" w:cs="宋体"/>
          <w:b/>
          <w:bCs/>
          <w:sz w:val="30"/>
          <w:szCs w:val="30"/>
        </w:rPr>
      </w:pPr>
    </w:p>
    <w:p w14:paraId="1C6D1AAC">
      <w:pPr>
        <w:spacing w:line="360" w:lineRule="auto"/>
        <w:ind w:left="452" w:hanging="452"/>
        <w:rPr>
          <w:rFonts w:ascii="宋体"/>
          <w:b/>
          <w:bCs/>
          <w:sz w:val="30"/>
          <w:szCs w:val="30"/>
        </w:rPr>
      </w:pPr>
      <w:r>
        <w:rPr>
          <w:rFonts w:hint="eastAsia" w:ascii="宋体" w:hAnsi="宋体" w:cs="宋体"/>
          <w:b/>
          <w:bCs/>
          <w:sz w:val="30"/>
          <w:szCs w:val="30"/>
        </w:rPr>
        <w:t>附件</w:t>
      </w:r>
      <w:r>
        <w:rPr>
          <w:rFonts w:ascii="宋体" w:hAnsi="宋体" w:cs="宋体"/>
          <w:b/>
          <w:bCs/>
          <w:sz w:val="30"/>
          <w:szCs w:val="30"/>
        </w:rPr>
        <w:t xml:space="preserve">  </w:t>
      </w:r>
    </w:p>
    <w:p w14:paraId="6F1EB5EE">
      <w:pPr>
        <w:spacing w:line="360" w:lineRule="auto"/>
        <w:ind w:left="316" w:hanging="316"/>
        <w:rPr>
          <w:rFonts w:ascii="宋体"/>
          <w:b/>
          <w:bCs/>
        </w:rPr>
      </w:pPr>
      <w:r>
        <w:rPr>
          <w:rFonts w:hint="eastAsia" w:ascii="宋体" w:hAnsi="宋体" w:cs="宋体"/>
          <w:b/>
          <w:bCs/>
        </w:rPr>
        <w:t>专用合同条款附件：</w:t>
      </w:r>
    </w:p>
    <w:p w14:paraId="7C6158BE">
      <w:pPr>
        <w:spacing w:line="360" w:lineRule="auto"/>
        <w:ind w:left="315" w:hanging="315" w:hangingChars="150"/>
        <w:rPr>
          <w:rFonts w:ascii="宋体" w:hAnsi="宋体" w:cs="宋体"/>
        </w:rPr>
      </w:pPr>
      <w:r>
        <w:rPr>
          <w:rFonts w:hint="eastAsia" w:ascii="宋体" w:hAnsi="宋体" w:cs="宋体"/>
        </w:rPr>
        <w:t>附件1</w:t>
      </w:r>
      <w:r>
        <w:rPr>
          <w:rFonts w:ascii="宋体" w:hAnsi="宋体" w:cs="宋体"/>
        </w:rPr>
        <w:t xml:space="preserve">   工程质量保修书</w:t>
      </w:r>
    </w:p>
    <w:p w14:paraId="72326497">
      <w:pPr>
        <w:spacing w:line="360" w:lineRule="auto"/>
        <w:ind w:left="315" w:hanging="315" w:hangingChars="150"/>
        <w:rPr>
          <w:rFonts w:ascii="宋体" w:hAnsi="宋体" w:cs="宋体"/>
        </w:rPr>
      </w:pPr>
      <w:r>
        <w:rPr>
          <w:rFonts w:hint="eastAsia" w:ascii="宋体" w:hAnsi="宋体" w:cs="宋体"/>
        </w:rPr>
        <w:t>附件2</w:t>
      </w:r>
      <w:r>
        <w:rPr>
          <w:rFonts w:ascii="宋体" w:hAnsi="宋体" w:cs="宋体"/>
        </w:rPr>
        <w:t xml:space="preserve">   </w:t>
      </w:r>
      <w:r>
        <w:rPr>
          <w:rFonts w:hint="eastAsia" w:ascii="宋体" w:hAnsi="宋体" w:cs="宋体"/>
        </w:rPr>
        <w:t>湘潭大学建设项目安全生产管理协议书（试行）</w:t>
      </w:r>
    </w:p>
    <w:p w14:paraId="040100D4">
      <w:pPr>
        <w:spacing w:after="240" w:afterLines="100" w:line="360" w:lineRule="auto"/>
        <w:rPr>
          <w:rFonts w:eastAsia="楷体"/>
          <w:b/>
          <w:sz w:val="44"/>
          <w:szCs w:val="44"/>
        </w:rPr>
      </w:pPr>
      <w:r>
        <w:rPr>
          <w:rFonts w:hint="eastAsia" w:ascii="宋体" w:hAnsi="宋体" w:cs="宋体"/>
        </w:rPr>
        <w:t>附件3</w:t>
      </w:r>
      <w:r>
        <w:rPr>
          <w:rFonts w:ascii="宋体" w:hAnsi="宋体" w:cs="宋体"/>
        </w:rPr>
        <w:t xml:space="preserve">   湘潭大学项目建设廉洁从业承诺书</w:t>
      </w:r>
    </w:p>
    <w:p w14:paraId="5BDBD67F">
      <w:pPr>
        <w:spacing w:line="360" w:lineRule="exact"/>
        <w:ind w:left="360" w:hanging="360"/>
        <w:rPr>
          <w:rFonts w:ascii="宋体"/>
          <w:sz w:val="24"/>
        </w:rPr>
      </w:pPr>
    </w:p>
    <w:p w14:paraId="756C4A38">
      <w:pPr>
        <w:spacing w:line="360" w:lineRule="exact"/>
        <w:ind w:left="360" w:hanging="360"/>
        <w:rPr>
          <w:rFonts w:ascii="宋体"/>
          <w:sz w:val="24"/>
        </w:rPr>
      </w:pPr>
      <w:r>
        <w:rPr>
          <w:rFonts w:ascii="宋体"/>
          <w:sz w:val="24"/>
        </w:rPr>
        <w:br w:type="page"/>
      </w:r>
    </w:p>
    <w:p w14:paraId="5973F49E">
      <w:pPr>
        <w:spacing w:line="360" w:lineRule="auto"/>
        <w:jc w:val="left"/>
        <w:rPr>
          <w:rFonts w:ascii="宋体" w:hAnsi="宋体" w:cs="宋体"/>
        </w:rPr>
      </w:pPr>
      <w:r>
        <w:rPr>
          <w:rFonts w:ascii="宋体" w:hAnsi="宋体" w:cs="宋体"/>
        </w:rPr>
        <w:t>附件</w:t>
      </w:r>
      <w:r>
        <w:rPr>
          <w:rFonts w:hint="eastAsia" w:ascii="宋体" w:hAnsi="宋体" w:cs="宋体"/>
        </w:rPr>
        <w:t>1</w:t>
      </w:r>
    </w:p>
    <w:p w14:paraId="4A91A241">
      <w:pPr>
        <w:spacing w:line="360" w:lineRule="auto"/>
        <w:ind w:left="422" w:hanging="422"/>
        <w:jc w:val="center"/>
        <w:rPr>
          <w:rFonts w:ascii="宋体" w:hAnsi="宋体" w:cs="宋体"/>
          <w:b/>
          <w:bCs/>
          <w:sz w:val="28"/>
          <w:szCs w:val="28"/>
        </w:rPr>
      </w:pPr>
      <w:r>
        <w:rPr>
          <w:rFonts w:ascii="宋体" w:hAnsi="宋体" w:cs="宋体"/>
          <w:b/>
          <w:bCs/>
          <w:sz w:val="28"/>
          <w:szCs w:val="28"/>
        </w:rPr>
        <w:t>工程质量保修书</w:t>
      </w:r>
    </w:p>
    <w:p w14:paraId="7BE82C43">
      <w:pPr>
        <w:spacing w:line="440" w:lineRule="exact"/>
        <w:ind w:firstLine="420" w:firstLineChars="200"/>
        <w:rPr>
          <w:rFonts w:ascii="宋体" w:hAnsi="宋体"/>
          <w:color w:val="auto"/>
          <w:szCs w:val="21"/>
        </w:rPr>
      </w:pPr>
      <w:r>
        <w:rPr>
          <w:rFonts w:ascii="宋体" w:hAnsi="宋体"/>
          <w:color w:val="000000"/>
          <w:szCs w:val="21"/>
        </w:rPr>
        <w:t>发包人</w:t>
      </w:r>
      <w:r>
        <w:rPr>
          <w:rFonts w:ascii="宋体" w:hAnsi="宋体"/>
          <w:color w:val="auto"/>
          <w:szCs w:val="21"/>
        </w:rPr>
        <w:t>（全称）：</w:t>
      </w:r>
      <w:r>
        <w:rPr>
          <w:rFonts w:ascii="宋体" w:hAnsi="宋体"/>
          <w:color w:val="auto"/>
          <w:szCs w:val="21"/>
          <w:u w:val="single"/>
        </w:rPr>
        <w:t xml:space="preserve">   </w:t>
      </w:r>
      <w:r>
        <w:rPr>
          <w:rFonts w:hint="eastAsia" w:ascii="宋体" w:hAnsi="宋体"/>
          <w:color w:val="auto"/>
          <w:szCs w:val="21"/>
          <w:u w:val="single"/>
        </w:rPr>
        <w:t>湘潭大学</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36D8DA9E">
      <w:pPr>
        <w:spacing w:line="440" w:lineRule="exact"/>
        <w:rPr>
          <w:rFonts w:ascii="宋体" w:hAnsi="宋体"/>
          <w:color w:val="auto"/>
          <w:szCs w:val="21"/>
        </w:rPr>
      </w:pPr>
      <w:r>
        <w:rPr>
          <w:rFonts w:ascii="宋体" w:hAnsi="宋体"/>
          <w:color w:val="auto"/>
          <w:szCs w:val="21"/>
        </w:rPr>
        <w:t>　　承包人（全称）：</w:t>
      </w:r>
      <w:r>
        <w:rPr>
          <w:rFonts w:ascii="宋体" w:hAnsi="宋体"/>
          <w:color w:val="auto"/>
          <w:szCs w:val="21"/>
          <w:u w:val="single"/>
        </w:rPr>
        <w:t xml:space="preserve">                                </w:t>
      </w:r>
      <w:r>
        <w:rPr>
          <w:rFonts w:ascii="宋体" w:hAnsi="宋体"/>
          <w:color w:val="auto"/>
          <w:szCs w:val="21"/>
        </w:rPr>
        <w:t xml:space="preserve"> </w:t>
      </w:r>
    </w:p>
    <w:p w14:paraId="5DE7A15B">
      <w:pPr>
        <w:spacing w:line="440" w:lineRule="exact"/>
        <w:rPr>
          <w:rFonts w:ascii="宋体" w:hAnsi="宋体"/>
          <w:color w:val="auto"/>
          <w:szCs w:val="21"/>
        </w:rPr>
      </w:pPr>
    </w:p>
    <w:p w14:paraId="4539DC4E">
      <w:pPr>
        <w:spacing w:line="360" w:lineRule="auto"/>
        <w:rPr>
          <w:rFonts w:ascii="宋体" w:hAnsi="宋体"/>
          <w:color w:val="auto"/>
          <w:szCs w:val="21"/>
        </w:rPr>
      </w:pPr>
      <w:r>
        <w:rPr>
          <w:rFonts w:ascii="宋体" w:hAnsi="宋体"/>
          <w:color w:val="auto"/>
          <w:szCs w:val="21"/>
        </w:rPr>
        <w:t>　　发包人和承包人根据《中华人民共和国建筑法》和《建设工程质量管理条例》，经协商一致就</w:t>
      </w:r>
      <w:r>
        <w:rPr>
          <w:rFonts w:ascii="宋体" w:hAnsi="宋体"/>
          <w:color w:val="auto"/>
          <w:szCs w:val="21"/>
          <w:u w:val="single"/>
        </w:rPr>
        <w:t xml:space="preserve">                </w:t>
      </w:r>
      <w:r>
        <w:rPr>
          <w:rFonts w:ascii="宋体" w:hAnsi="宋体"/>
          <w:color w:val="auto"/>
          <w:szCs w:val="21"/>
        </w:rPr>
        <w:t>（工程全称）签订工程质量保修书。</w:t>
      </w:r>
    </w:p>
    <w:p w14:paraId="2857F2D0">
      <w:pPr>
        <w:spacing w:line="360" w:lineRule="auto"/>
        <w:outlineLvl w:val="0"/>
        <w:rPr>
          <w:rFonts w:ascii="宋体" w:hAnsi="宋体"/>
          <w:color w:val="auto"/>
          <w:szCs w:val="21"/>
        </w:rPr>
      </w:pPr>
      <w:r>
        <w:rPr>
          <w:rFonts w:ascii="宋体" w:hAnsi="宋体"/>
          <w:color w:val="auto"/>
          <w:szCs w:val="21"/>
        </w:rPr>
        <w:t>　　一、工程质量保修范围和内容</w:t>
      </w:r>
    </w:p>
    <w:p w14:paraId="24BDE37D">
      <w:pPr>
        <w:spacing w:line="360" w:lineRule="auto"/>
        <w:rPr>
          <w:rFonts w:ascii="宋体" w:hAnsi="宋体"/>
          <w:color w:val="auto"/>
          <w:szCs w:val="21"/>
        </w:rPr>
      </w:pPr>
      <w:r>
        <w:rPr>
          <w:rFonts w:ascii="宋体" w:hAnsi="宋体"/>
          <w:color w:val="auto"/>
          <w:szCs w:val="21"/>
        </w:rPr>
        <w:t>　　承包人在质量保修期内，按照有关法律规定和合同约定，承担工程质量保修责任。</w:t>
      </w:r>
    </w:p>
    <w:p w14:paraId="051A8A83">
      <w:pPr>
        <w:spacing w:line="360" w:lineRule="auto"/>
        <w:rPr>
          <w:rFonts w:ascii="宋体" w:hAnsi="宋体"/>
          <w:color w:val="auto"/>
          <w:szCs w:val="21"/>
        </w:rPr>
      </w:pPr>
      <w:r>
        <w:rPr>
          <w:rFonts w:ascii="宋体" w:hAnsi="宋体"/>
          <w:color w:val="auto"/>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auto"/>
          <w:szCs w:val="21"/>
          <w:u w:val="single"/>
        </w:rPr>
        <w:t>承包人承包范围内的全部内容</w:t>
      </w:r>
      <w:r>
        <w:rPr>
          <w:rFonts w:ascii="宋体" w:hAnsi="宋体"/>
          <w:color w:val="auto"/>
          <w:szCs w:val="21"/>
          <w:u w:val="single"/>
        </w:rPr>
        <w:t xml:space="preserve">  </w:t>
      </w:r>
      <w:r>
        <w:rPr>
          <w:rFonts w:ascii="宋体" w:hAnsi="宋体"/>
          <w:color w:val="auto"/>
          <w:szCs w:val="21"/>
        </w:rPr>
        <w:t>。</w:t>
      </w:r>
    </w:p>
    <w:p w14:paraId="6607B933">
      <w:pPr>
        <w:spacing w:line="360" w:lineRule="auto"/>
        <w:ind w:left="316" w:hanging="316"/>
        <w:outlineLvl w:val="0"/>
        <w:rPr>
          <w:rFonts w:ascii="宋体" w:hAnsi="宋体"/>
          <w:color w:val="auto"/>
          <w:szCs w:val="21"/>
        </w:rPr>
      </w:pPr>
      <w:r>
        <w:rPr>
          <w:rFonts w:ascii="宋体" w:hAnsi="宋体"/>
          <w:b/>
          <w:color w:val="auto"/>
          <w:szCs w:val="21"/>
        </w:rPr>
        <w:t>　　</w:t>
      </w:r>
      <w:r>
        <w:rPr>
          <w:rFonts w:ascii="宋体" w:hAnsi="宋体"/>
          <w:color w:val="auto"/>
          <w:szCs w:val="21"/>
        </w:rPr>
        <w:t>二、质量保修期</w:t>
      </w:r>
    </w:p>
    <w:p w14:paraId="59C1C83B">
      <w:pPr>
        <w:spacing w:line="360" w:lineRule="auto"/>
        <w:ind w:firstLine="420" w:firstLineChars="200"/>
        <w:rPr>
          <w:rFonts w:ascii="宋体" w:hAnsi="宋体"/>
          <w:color w:val="auto"/>
          <w:szCs w:val="21"/>
        </w:rPr>
      </w:pPr>
      <w:r>
        <w:rPr>
          <w:rFonts w:ascii="宋体" w:hAnsi="宋体"/>
          <w:color w:val="auto"/>
          <w:szCs w:val="21"/>
        </w:rPr>
        <w:t>根据《建设工程质量管理条例》及有关规定，工程的质量保修期如下：</w:t>
      </w:r>
    </w:p>
    <w:p w14:paraId="0C362BCA">
      <w:pPr>
        <w:spacing w:line="360" w:lineRule="auto"/>
        <w:ind w:firstLine="420" w:firstLineChars="200"/>
        <w:rPr>
          <w:rFonts w:ascii="宋体" w:hAnsi="宋体"/>
          <w:color w:val="auto"/>
          <w:szCs w:val="21"/>
        </w:rPr>
      </w:pPr>
      <w:r>
        <w:rPr>
          <w:rFonts w:hint="eastAsia" w:ascii="宋体" w:hAnsi="宋体"/>
          <w:color w:val="auto"/>
          <w:szCs w:val="21"/>
        </w:rPr>
        <w:t>1．地基基础工程和主体结构工程为设计文件规定的工程合理使用年限；</w:t>
      </w:r>
    </w:p>
    <w:p w14:paraId="3EEEE7E9">
      <w:pPr>
        <w:spacing w:line="360" w:lineRule="auto"/>
        <w:ind w:firstLine="420" w:firstLineChars="200"/>
        <w:rPr>
          <w:rFonts w:ascii="宋体" w:hAnsi="宋体"/>
          <w:color w:val="auto"/>
          <w:szCs w:val="21"/>
        </w:rPr>
      </w:pPr>
      <w:r>
        <w:rPr>
          <w:rFonts w:hint="eastAsia" w:ascii="宋体" w:hAnsi="宋体"/>
          <w:color w:val="auto"/>
          <w:szCs w:val="21"/>
        </w:rPr>
        <w:t>2．</w:t>
      </w:r>
      <w:r>
        <w:rPr>
          <w:rFonts w:ascii="宋体" w:hAnsi="宋体"/>
          <w:color w:val="auto"/>
          <w:szCs w:val="21"/>
        </w:rPr>
        <w:t>屋面防水工程、有防水要求的卫生间、房间和外墙面的防渗</w:t>
      </w:r>
      <w:r>
        <w:rPr>
          <w:rFonts w:hint="eastAsia" w:ascii="宋体" w:hAnsi="宋体"/>
          <w:color w:val="auto"/>
          <w:szCs w:val="21"/>
        </w:rPr>
        <w:t>为</w:t>
      </w:r>
      <w:r>
        <w:rPr>
          <w:rFonts w:hint="eastAsia" w:ascii="宋体" w:hAnsi="宋体"/>
          <w:color w:val="auto"/>
          <w:szCs w:val="21"/>
          <w:u w:val="single"/>
        </w:rPr>
        <w:t xml:space="preserve">   5  </w:t>
      </w:r>
      <w:r>
        <w:rPr>
          <w:rFonts w:ascii="宋体" w:hAnsi="宋体"/>
          <w:color w:val="auto"/>
          <w:szCs w:val="21"/>
        </w:rPr>
        <w:t>年；</w:t>
      </w:r>
    </w:p>
    <w:p w14:paraId="008EAA87">
      <w:pPr>
        <w:spacing w:line="360" w:lineRule="auto"/>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装修工程为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71E5BED5">
      <w:pPr>
        <w:spacing w:line="360" w:lineRule="auto"/>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电气管线、给排水管道、设备安装工程为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42FEB740">
      <w:pPr>
        <w:spacing w:line="360" w:lineRule="auto"/>
        <w:ind w:firstLine="420" w:firstLineChars="200"/>
        <w:rPr>
          <w:rFonts w:ascii="宋体" w:hAnsi="宋体"/>
          <w:color w:val="auto"/>
          <w:szCs w:val="21"/>
        </w:rPr>
      </w:pPr>
      <w:r>
        <w:rPr>
          <w:rFonts w:hint="eastAsia" w:ascii="宋体" w:hAnsi="宋体"/>
          <w:color w:val="auto"/>
          <w:szCs w:val="21"/>
        </w:rPr>
        <w:t>5．</w:t>
      </w:r>
      <w:r>
        <w:rPr>
          <w:rFonts w:ascii="宋体" w:hAnsi="宋体"/>
          <w:color w:val="auto"/>
          <w:szCs w:val="21"/>
        </w:rPr>
        <w:t>供热与供冷系统为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个采暖期、供冷期；</w:t>
      </w:r>
    </w:p>
    <w:p w14:paraId="5962DDAA">
      <w:pPr>
        <w:spacing w:line="360" w:lineRule="auto"/>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住宅小区内的给排水设施、道路等配套工程为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31CC690C">
      <w:pPr>
        <w:spacing w:line="360" w:lineRule="auto"/>
        <w:ind w:firstLine="420" w:firstLineChars="200"/>
        <w:rPr>
          <w:rFonts w:ascii="宋体" w:hAnsi="宋体"/>
          <w:color w:val="auto"/>
          <w:szCs w:val="21"/>
        </w:rPr>
      </w:pPr>
      <w:r>
        <w:rPr>
          <w:rFonts w:hint="eastAsia" w:ascii="宋体" w:hAnsi="宋体"/>
          <w:color w:val="auto"/>
          <w:szCs w:val="21"/>
        </w:rPr>
        <w:t>7．</w:t>
      </w:r>
      <w:r>
        <w:rPr>
          <w:rFonts w:ascii="宋体" w:hAnsi="宋体"/>
          <w:color w:val="auto"/>
          <w:szCs w:val="21"/>
        </w:rPr>
        <w:t>其他项目保修期限约定如下：</w:t>
      </w:r>
      <w:r>
        <w:rPr>
          <w:rFonts w:ascii="宋体" w:hAnsi="宋体"/>
          <w:color w:val="auto"/>
          <w:szCs w:val="21"/>
          <w:u w:val="single"/>
        </w:rPr>
        <w:t xml:space="preserve"> </w:t>
      </w:r>
      <w:r>
        <w:rPr>
          <w:rFonts w:hint="eastAsia" w:ascii="宋体" w:hAnsi="宋体"/>
          <w:color w:val="auto"/>
          <w:szCs w:val="21"/>
          <w:u w:val="single"/>
        </w:rPr>
        <w:t xml:space="preserve">   2年</w:t>
      </w:r>
      <w:r>
        <w:rPr>
          <w:rFonts w:ascii="宋体" w:hAnsi="宋体"/>
          <w:color w:val="auto"/>
          <w:szCs w:val="21"/>
          <w:u w:val="single"/>
        </w:rPr>
        <w:t xml:space="preserve">  </w:t>
      </w:r>
      <w:r>
        <w:rPr>
          <w:rFonts w:ascii="宋体" w:hAnsi="宋体"/>
          <w:color w:val="auto"/>
          <w:szCs w:val="21"/>
        </w:rPr>
        <w:t>。</w:t>
      </w:r>
    </w:p>
    <w:p w14:paraId="2EB259FF">
      <w:pPr>
        <w:spacing w:line="360" w:lineRule="auto"/>
        <w:rPr>
          <w:rFonts w:ascii="宋体" w:hAnsi="宋体"/>
          <w:color w:val="auto"/>
          <w:szCs w:val="21"/>
        </w:rPr>
      </w:pPr>
      <w:r>
        <w:rPr>
          <w:rFonts w:ascii="宋体" w:hAnsi="宋体"/>
          <w:color w:val="auto"/>
          <w:szCs w:val="21"/>
        </w:rPr>
        <w:t>　　质量保修期自工程竣工验收合格之日起计算。</w:t>
      </w:r>
    </w:p>
    <w:p w14:paraId="3ED02B21">
      <w:pPr>
        <w:spacing w:line="360" w:lineRule="auto"/>
        <w:ind w:firstLine="420" w:firstLineChars="200"/>
        <w:outlineLvl w:val="0"/>
        <w:rPr>
          <w:rFonts w:ascii="宋体" w:hAnsi="宋体"/>
          <w:color w:val="auto"/>
          <w:szCs w:val="21"/>
        </w:rPr>
      </w:pPr>
      <w:r>
        <w:rPr>
          <w:rFonts w:ascii="宋体" w:hAnsi="宋体"/>
          <w:color w:val="auto"/>
          <w:szCs w:val="21"/>
        </w:rPr>
        <w:t>三、缺陷责任期</w:t>
      </w:r>
    </w:p>
    <w:p w14:paraId="28347314">
      <w:pPr>
        <w:spacing w:line="360" w:lineRule="auto"/>
        <w:ind w:firstLine="420" w:firstLineChars="200"/>
        <w:rPr>
          <w:rFonts w:ascii="宋体" w:hAnsi="宋体"/>
          <w:color w:val="000000"/>
          <w:szCs w:val="21"/>
        </w:rPr>
      </w:pPr>
      <w:r>
        <w:rPr>
          <w:rFonts w:ascii="宋体" w:hAnsi="宋体"/>
          <w:color w:val="auto"/>
          <w:szCs w:val="21"/>
        </w:rPr>
        <w:t>工程缺陷责任期为</w:t>
      </w:r>
      <w:r>
        <w:rPr>
          <w:rFonts w:ascii="宋体" w:hAnsi="宋体"/>
          <w:color w:val="auto"/>
          <w:szCs w:val="21"/>
          <w:u w:val="single"/>
        </w:rPr>
        <w:t xml:space="preserve">  </w:t>
      </w:r>
      <w:r>
        <w:rPr>
          <w:rFonts w:hint="eastAsia" w:ascii="宋体" w:hAnsi="宋体"/>
          <w:color w:val="auto"/>
          <w:szCs w:val="21"/>
          <w:u w:val="single"/>
        </w:rPr>
        <w:t xml:space="preserve">24 </w:t>
      </w:r>
      <w:r>
        <w:rPr>
          <w:rFonts w:ascii="宋体" w:hAnsi="宋体"/>
          <w:color w:val="auto"/>
          <w:szCs w:val="21"/>
          <w:u w:val="single"/>
        </w:rPr>
        <w:t xml:space="preserve"> </w:t>
      </w:r>
      <w:r>
        <w:rPr>
          <w:rFonts w:ascii="宋体" w:hAnsi="宋体"/>
          <w:color w:val="auto"/>
          <w:szCs w:val="21"/>
        </w:rPr>
        <w:t>个月，缺陷责任期自工程</w:t>
      </w:r>
      <w:r>
        <w:rPr>
          <w:rFonts w:hint="eastAsia" w:ascii="宋体" w:hAnsi="宋体"/>
          <w:color w:val="auto"/>
          <w:szCs w:val="21"/>
        </w:rPr>
        <w:t>通过竣工验收</w:t>
      </w:r>
      <w:r>
        <w:rPr>
          <w:rFonts w:ascii="宋体" w:hAnsi="宋体"/>
          <w:color w:val="auto"/>
          <w:szCs w:val="21"/>
        </w:rPr>
        <w:t>之日起计算。单位工程先于全部工程进行验收，单位工程缺陷责任期自单位工程验收合格之日起</w:t>
      </w:r>
      <w:r>
        <w:rPr>
          <w:rFonts w:ascii="宋体" w:hAnsi="宋体"/>
          <w:color w:val="000000"/>
          <w:szCs w:val="21"/>
        </w:rPr>
        <w:t>算。</w:t>
      </w:r>
    </w:p>
    <w:p w14:paraId="28C084E7">
      <w:pPr>
        <w:spacing w:line="360" w:lineRule="auto"/>
        <w:ind w:firstLine="420" w:firstLineChars="200"/>
        <w:rPr>
          <w:rFonts w:ascii="宋体" w:hAnsi="宋体"/>
          <w:color w:val="000000"/>
          <w:szCs w:val="21"/>
        </w:rPr>
      </w:pPr>
      <w:r>
        <w:rPr>
          <w:rFonts w:ascii="宋体" w:hAnsi="宋体"/>
          <w:color w:val="000000"/>
          <w:szCs w:val="21"/>
        </w:rPr>
        <w:t>缺陷责任期终止后，发包人应退还剩余的质量保证金。</w:t>
      </w:r>
    </w:p>
    <w:p w14:paraId="2D6BDC0A">
      <w:pPr>
        <w:spacing w:line="360" w:lineRule="auto"/>
        <w:outlineLvl w:val="0"/>
        <w:rPr>
          <w:rFonts w:ascii="宋体" w:hAnsi="宋体"/>
          <w:color w:val="000000"/>
          <w:szCs w:val="21"/>
        </w:rPr>
      </w:pPr>
      <w:r>
        <w:rPr>
          <w:rFonts w:ascii="宋体" w:hAnsi="宋体"/>
          <w:color w:val="000000"/>
          <w:szCs w:val="21"/>
        </w:rPr>
        <w:t xml:space="preserve">    四、质量保修责任</w:t>
      </w:r>
    </w:p>
    <w:p w14:paraId="46064EFD">
      <w:pPr>
        <w:spacing w:line="360" w:lineRule="auto"/>
        <w:ind w:left="105" w:leftChars="50" w:firstLine="430" w:firstLineChars="205"/>
        <w:rPr>
          <w:rFonts w:ascii="宋体" w:hAnsi="宋体"/>
          <w:color w:val="000000"/>
          <w:szCs w:val="21"/>
        </w:rPr>
      </w:pPr>
      <w:r>
        <w:rPr>
          <w:rFonts w:hint="eastAsia" w:ascii="宋体" w:hAnsi="宋体"/>
          <w:color w:val="000000"/>
          <w:szCs w:val="21"/>
        </w:rPr>
        <w:t>1</w:t>
      </w:r>
      <w:r>
        <w:rPr>
          <w:rFonts w:hint="eastAsia" w:ascii="宋体" w:hAnsi="宋体"/>
          <w:szCs w:val="21"/>
        </w:rPr>
        <w:t>．</w:t>
      </w:r>
      <w:r>
        <w:rPr>
          <w:rFonts w:ascii="宋体" w:hAnsi="宋体"/>
          <w:color w:val="000000"/>
          <w:szCs w:val="21"/>
        </w:rPr>
        <w:t>属于保修范围、内容的项目，承包人应当在接到保修通知之日起7天内派人保修。承包人不在约定期限内派人保修的，发包人可以委托他人修理。</w:t>
      </w:r>
    </w:p>
    <w:p w14:paraId="2506EE37">
      <w:pPr>
        <w:spacing w:line="360" w:lineRule="auto"/>
        <w:ind w:left="105" w:leftChars="50" w:firstLine="430" w:firstLineChars="205"/>
        <w:rPr>
          <w:rFonts w:ascii="宋体" w:hAnsi="宋体"/>
          <w:color w:val="000000"/>
          <w:szCs w:val="21"/>
        </w:rPr>
      </w:pPr>
      <w:r>
        <w:rPr>
          <w:rFonts w:hint="eastAsia" w:ascii="宋体" w:hAnsi="宋体"/>
          <w:color w:val="000000"/>
          <w:szCs w:val="21"/>
        </w:rPr>
        <w:t>2</w:t>
      </w:r>
      <w:r>
        <w:rPr>
          <w:rFonts w:hint="eastAsia" w:ascii="宋体" w:hAnsi="宋体"/>
          <w:szCs w:val="21"/>
        </w:rPr>
        <w:t>．</w:t>
      </w:r>
      <w:r>
        <w:rPr>
          <w:rFonts w:ascii="宋体" w:hAnsi="宋体"/>
          <w:color w:val="000000"/>
          <w:szCs w:val="21"/>
        </w:rPr>
        <w:t>发生紧急事故需抢修的，承包人在接到事故通知后，应当立即到达事故现场抢修。</w:t>
      </w:r>
    </w:p>
    <w:p w14:paraId="7A55B919">
      <w:pPr>
        <w:spacing w:line="360" w:lineRule="auto"/>
        <w:ind w:left="105" w:leftChars="50" w:firstLine="430" w:firstLineChars="205"/>
        <w:rPr>
          <w:rFonts w:ascii="宋体" w:hAnsi="宋体"/>
          <w:color w:val="000000"/>
          <w:szCs w:val="21"/>
        </w:rPr>
      </w:pPr>
      <w:r>
        <w:rPr>
          <w:rFonts w:hint="eastAsia" w:ascii="宋体" w:hAnsi="宋体"/>
          <w:color w:val="000000"/>
          <w:szCs w:val="21"/>
        </w:rPr>
        <w:t>3</w:t>
      </w:r>
      <w:r>
        <w:rPr>
          <w:rFonts w:hint="eastAsia" w:ascii="宋体" w:hAnsi="宋体"/>
          <w:szCs w:val="21"/>
        </w:rPr>
        <w:t>．</w:t>
      </w:r>
      <w:r>
        <w:rPr>
          <w:rFonts w:ascii="宋体" w:hAnsi="宋体"/>
          <w:color w:val="000000"/>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C241B81">
      <w:pPr>
        <w:spacing w:line="360" w:lineRule="auto"/>
        <w:ind w:left="420" w:leftChars="200" w:firstLine="105" w:firstLineChars="50"/>
        <w:rPr>
          <w:rFonts w:ascii="宋体" w:hAnsi="宋体"/>
          <w:color w:val="000000"/>
          <w:szCs w:val="21"/>
        </w:rPr>
      </w:pPr>
      <w:r>
        <w:rPr>
          <w:rFonts w:hint="eastAsia" w:ascii="宋体" w:hAnsi="宋体"/>
          <w:color w:val="000000"/>
          <w:szCs w:val="21"/>
        </w:rPr>
        <w:t>4</w:t>
      </w:r>
      <w:r>
        <w:rPr>
          <w:rFonts w:hint="eastAsia" w:ascii="宋体" w:hAnsi="宋体"/>
          <w:szCs w:val="21"/>
        </w:rPr>
        <w:t>．</w:t>
      </w:r>
      <w:r>
        <w:rPr>
          <w:rFonts w:ascii="宋体" w:hAnsi="宋体"/>
          <w:color w:val="000000"/>
          <w:szCs w:val="21"/>
        </w:rPr>
        <w:t>质量保修完成后，由发包人组织验收。</w:t>
      </w:r>
    </w:p>
    <w:p w14:paraId="03D08C9D">
      <w:pPr>
        <w:spacing w:line="360" w:lineRule="auto"/>
        <w:outlineLvl w:val="0"/>
        <w:rPr>
          <w:rFonts w:ascii="宋体" w:hAnsi="宋体"/>
          <w:color w:val="000000"/>
          <w:szCs w:val="21"/>
        </w:rPr>
      </w:pPr>
      <w:r>
        <w:rPr>
          <w:rFonts w:ascii="宋体" w:hAnsi="宋体"/>
          <w:color w:val="000000"/>
          <w:szCs w:val="21"/>
        </w:rPr>
        <w:t>　　五、保修费用</w:t>
      </w:r>
    </w:p>
    <w:p w14:paraId="22E3D77C">
      <w:pPr>
        <w:spacing w:line="360" w:lineRule="auto"/>
        <w:rPr>
          <w:rFonts w:ascii="宋体" w:hAnsi="宋体"/>
          <w:color w:val="auto"/>
          <w:szCs w:val="21"/>
        </w:rPr>
      </w:pPr>
      <w:r>
        <w:rPr>
          <w:rFonts w:ascii="宋体" w:hAnsi="宋体"/>
          <w:color w:val="000000"/>
          <w:szCs w:val="21"/>
        </w:rPr>
        <w:t>　　保修费用由造成质量缺陷</w:t>
      </w:r>
      <w:r>
        <w:rPr>
          <w:rFonts w:ascii="宋体" w:hAnsi="宋体"/>
          <w:color w:val="auto"/>
          <w:szCs w:val="21"/>
        </w:rPr>
        <w:t>的责任方承担。</w:t>
      </w:r>
    </w:p>
    <w:p w14:paraId="56DAC385">
      <w:pPr>
        <w:spacing w:line="360" w:lineRule="auto"/>
        <w:ind w:firstLine="420" w:firstLineChars="200"/>
        <w:jc w:val="left"/>
        <w:rPr>
          <w:rFonts w:ascii="宋体" w:hAnsi="宋体"/>
          <w:color w:val="auto"/>
          <w:szCs w:val="21"/>
        </w:rPr>
      </w:pPr>
      <w:r>
        <w:rPr>
          <w:rFonts w:ascii="宋体" w:hAnsi="宋体"/>
          <w:color w:val="auto"/>
          <w:szCs w:val="21"/>
        </w:rPr>
        <w:t>六、双方约定的其他工程质量保修事项：</w:t>
      </w:r>
      <w:r>
        <w:rPr>
          <w:rFonts w:ascii="宋体" w:hAnsi="宋体"/>
          <w:color w:val="auto"/>
          <w:szCs w:val="21"/>
          <w:u w:val="single"/>
        </w:rPr>
        <w:t xml:space="preserve"> </w:t>
      </w:r>
      <w:r>
        <w:rPr>
          <w:rFonts w:hint="eastAsia" w:ascii="宋体" w:hAnsi="宋体"/>
          <w:color w:val="auto"/>
          <w:szCs w:val="21"/>
          <w:u w:val="single"/>
        </w:rPr>
        <w:t xml:space="preserve">    /   </w:t>
      </w:r>
      <w:r>
        <w:rPr>
          <w:rFonts w:ascii="宋体" w:hAnsi="宋体"/>
          <w:color w:val="auto"/>
          <w:szCs w:val="21"/>
          <w:u w:val="single"/>
        </w:rPr>
        <w:t xml:space="preserve">  </w:t>
      </w:r>
      <w:r>
        <w:rPr>
          <w:rFonts w:ascii="宋体" w:hAnsi="宋体"/>
          <w:color w:val="auto"/>
          <w:szCs w:val="21"/>
        </w:rPr>
        <w:t>。</w:t>
      </w:r>
    </w:p>
    <w:p w14:paraId="399B5B4B">
      <w:pPr>
        <w:spacing w:line="360" w:lineRule="auto"/>
        <w:ind w:firstLine="399" w:firstLineChars="190"/>
        <w:rPr>
          <w:rFonts w:ascii="宋体" w:hAnsi="宋体"/>
          <w:color w:val="auto"/>
          <w:szCs w:val="21"/>
        </w:rPr>
      </w:pPr>
      <w:r>
        <w:rPr>
          <w:rFonts w:ascii="宋体" w:hAnsi="宋体"/>
          <w:color w:val="auto"/>
          <w:szCs w:val="21"/>
        </w:rPr>
        <w:t>工程质量保修书由发包人、承包人在工程竣工验收前共同签署，作为施工合同附件，其有效期限至保修期满。</w:t>
      </w:r>
    </w:p>
    <w:p w14:paraId="58D9ADE7">
      <w:pPr>
        <w:spacing w:line="360" w:lineRule="auto"/>
        <w:ind w:hanging="315"/>
        <w:rPr>
          <w:rFonts w:ascii="宋体" w:hAnsi="宋体"/>
          <w:color w:val="000000"/>
          <w:szCs w:val="21"/>
        </w:rPr>
      </w:pPr>
    </w:p>
    <w:p w14:paraId="181A7DF8">
      <w:pPr>
        <w:spacing w:line="360" w:lineRule="auto"/>
        <w:rPr>
          <w:rFonts w:ascii="宋体" w:hAnsi="宋体"/>
          <w:color w:val="000000"/>
          <w:szCs w:val="21"/>
        </w:rPr>
      </w:pPr>
      <w:r>
        <w:rPr>
          <w:rFonts w:ascii="宋体" w:hAnsi="宋体"/>
          <w:color w:val="000000"/>
          <w:szCs w:val="21"/>
        </w:rPr>
        <w:t>发包人(公章)：</w:t>
      </w:r>
      <w:r>
        <w:rPr>
          <w:rFonts w:ascii="宋体" w:hAnsi="宋体"/>
          <w:color w:val="000000"/>
          <w:szCs w:val="21"/>
          <w:u w:val="single"/>
        </w:rPr>
        <w:t xml:space="preserve">        </w:t>
      </w:r>
      <w:r>
        <w:rPr>
          <w:rFonts w:ascii="宋体" w:hAnsi="宋体"/>
          <w:color w:val="000000"/>
          <w:szCs w:val="21"/>
        </w:rPr>
        <w:t xml:space="preserve"> 承包人(公章)：</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4B7CF693">
      <w:pPr>
        <w:spacing w:line="360" w:lineRule="auto"/>
        <w:rPr>
          <w:rFonts w:ascii="宋体" w:hAnsi="宋体"/>
          <w:color w:val="000000"/>
          <w:szCs w:val="21"/>
        </w:rPr>
      </w:pPr>
      <w:r>
        <w:rPr>
          <w:rFonts w:ascii="宋体" w:hAnsi="宋体"/>
          <w:color w:val="000000"/>
          <w:szCs w:val="21"/>
        </w:rPr>
        <w:t>地  址：</w:t>
      </w:r>
      <w:r>
        <w:rPr>
          <w:rFonts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14:paraId="375553BC">
      <w:pPr>
        <w:spacing w:line="360" w:lineRule="auto"/>
        <w:rPr>
          <w:rFonts w:ascii="宋体" w:hAnsi="宋体"/>
          <w:color w:val="000000"/>
          <w:szCs w:val="21"/>
        </w:rPr>
      </w:pPr>
      <w:r>
        <w:rPr>
          <w:rFonts w:ascii="宋体" w:hAnsi="宋体"/>
          <w:color w:val="000000"/>
          <w:szCs w:val="21"/>
        </w:rPr>
        <w:t>法定代表人(签字)：</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xml:space="preserve"> 法定代表人(签字)：</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354763C7">
      <w:pPr>
        <w:spacing w:line="360" w:lineRule="auto"/>
        <w:rPr>
          <w:rFonts w:ascii="宋体" w:hAnsi="宋体"/>
          <w:color w:val="000000"/>
          <w:szCs w:val="21"/>
        </w:rPr>
      </w:pPr>
      <w:r>
        <w:rPr>
          <w:rFonts w:ascii="宋体" w:hAnsi="宋体"/>
          <w:color w:val="000000"/>
          <w:szCs w:val="21"/>
        </w:rPr>
        <w:t>委托代理人(签字)：</w:t>
      </w:r>
      <w:r>
        <w:rPr>
          <w:rFonts w:ascii="宋体" w:hAnsi="宋体"/>
          <w:color w:val="000000"/>
          <w:szCs w:val="21"/>
          <w:u w:val="single"/>
        </w:rPr>
        <w:t xml:space="preserve">      </w:t>
      </w:r>
      <w:r>
        <w:rPr>
          <w:rFonts w:ascii="宋体" w:hAnsi="宋体"/>
          <w:color w:val="000000"/>
          <w:szCs w:val="21"/>
        </w:rPr>
        <w:t xml:space="preserve"> 委托代理人(签字)：</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14:paraId="61F5E744">
      <w:pPr>
        <w:spacing w:line="360" w:lineRule="auto"/>
        <w:rPr>
          <w:rFonts w:ascii="宋体" w:hAnsi="宋体"/>
          <w:color w:val="000000"/>
          <w:szCs w:val="21"/>
        </w:rPr>
      </w:pPr>
      <w:r>
        <w:rPr>
          <w:rFonts w:ascii="宋体" w:hAnsi="宋体"/>
          <w:color w:val="000000"/>
          <w:szCs w:val="21"/>
        </w:rPr>
        <w:t>电  话：</w:t>
      </w:r>
      <w:r>
        <w:rPr>
          <w:rFonts w:ascii="宋体" w:hAnsi="宋体"/>
          <w:color w:val="000000"/>
          <w:szCs w:val="21"/>
          <w:u w:val="single"/>
        </w:rPr>
        <w:t xml:space="preserve">   </w:t>
      </w:r>
      <w:r>
        <w:rPr>
          <w:rFonts w:ascii="宋体" w:hAnsi="宋体"/>
          <w:color w:val="000000"/>
          <w:szCs w:val="21"/>
        </w:rPr>
        <w:t xml:space="preserve"> 电  话：</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227ABAEE">
      <w:pPr>
        <w:spacing w:line="360" w:lineRule="auto"/>
        <w:rPr>
          <w:rFonts w:ascii="宋体" w:hAnsi="宋体"/>
          <w:color w:val="000000"/>
          <w:szCs w:val="21"/>
        </w:rPr>
      </w:pPr>
      <w:r>
        <w:rPr>
          <w:rFonts w:ascii="宋体" w:hAnsi="宋体"/>
          <w:color w:val="000000"/>
          <w:szCs w:val="21"/>
        </w:rPr>
        <w:t>传  真：</w:t>
      </w:r>
      <w:r>
        <w:rPr>
          <w:rFonts w:ascii="宋体" w:hAnsi="宋体"/>
          <w:color w:val="000000"/>
          <w:szCs w:val="21"/>
          <w:u w:val="single"/>
        </w:rPr>
        <w:t xml:space="preserve">   </w:t>
      </w:r>
      <w:r>
        <w:rPr>
          <w:rFonts w:ascii="宋体" w:hAnsi="宋体"/>
          <w:color w:val="000000"/>
          <w:szCs w:val="21"/>
        </w:rPr>
        <w:t xml:space="preserve"> 传  真：</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3DE610B9">
      <w:pPr>
        <w:spacing w:line="360" w:lineRule="auto"/>
        <w:rPr>
          <w:rFonts w:ascii="宋体" w:hAnsi="宋体"/>
          <w:color w:val="000000"/>
          <w:szCs w:val="21"/>
        </w:rPr>
      </w:pPr>
      <w:r>
        <w:rPr>
          <w:rFonts w:ascii="宋体" w:hAnsi="宋体"/>
          <w:color w:val="000000"/>
          <w:szCs w:val="21"/>
        </w:rPr>
        <w:t>开户银行：</w:t>
      </w:r>
      <w:r>
        <w:rPr>
          <w:rFonts w:ascii="宋体" w:hAnsi="宋体"/>
          <w:color w:val="000000"/>
          <w:szCs w:val="21"/>
          <w:u w:val="single"/>
        </w:rPr>
        <w:t xml:space="preserve">   </w:t>
      </w:r>
      <w:r>
        <w:rPr>
          <w:rFonts w:ascii="宋体" w:hAnsi="宋体"/>
          <w:color w:val="000000"/>
          <w:szCs w:val="21"/>
        </w:rPr>
        <w:t xml:space="preserve"> 开户银行：</w:t>
      </w:r>
      <w:r>
        <w:rPr>
          <w:rFonts w:ascii="宋体" w:hAnsi="宋体"/>
          <w:color w:val="000000"/>
          <w:szCs w:val="21"/>
          <w:u w:val="single"/>
        </w:rPr>
        <w:t xml:space="preserve">   </w:t>
      </w:r>
    </w:p>
    <w:p w14:paraId="7A304037">
      <w:pPr>
        <w:spacing w:line="360" w:lineRule="auto"/>
        <w:rPr>
          <w:rFonts w:ascii="宋体" w:hAnsi="宋体"/>
          <w:color w:val="000000"/>
          <w:szCs w:val="21"/>
        </w:rPr>
      </w:pPr>
      <w:r>
        <w:rPr>
          <w:rFonts w:ascii="宋体" w:hAnsi="宋体"/>
          <w:color w:val="000000"/>
          <w:szCs w:val="21"/>
        </w:rPr>
        <w:t>账  号：</w:t>
      </w:r>
      <w:r>
        <w:rPr>
          <w:rFonts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账</w:t>
      </w:r>
      <w:r>
        <w:rPr>
          <w:rFonts w:hint="eastAsia" w:ascii="宋体" w:hAnsi="宋体"/>
          <w:color w:val="000000"/>
          <w:szCs w:val="21"/>
        </w:rPr>
        <w:t xml:space="preserve"> </w:t>
      </w:r>
      <w:r>
        <w:rPr>
          <w:rFonts w:ascii="宋体" w:hAnsi="宋体"/>
          <w:color w:val="000000"/>
          <w:szCs w:val="21"/>
        </w:rPr>
        <w:t xml:space="preserve"> 号：</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p>
    <w:p w14:paraId="7F297CEB">
      <w:pPr>
        <w:spacing w:line="360" w:lineRule="auto"/>
        <w:rPr>
          <w:rFonts w:ascii="宋体" w:hAnsi="宋体"/>
          <w:color w:val="000000"/>
          <w:szCs w:val="21"/>
        </w:rPr>
      </w:pPr>
      <w:r>
        <w:rPr>
          <w:rFonts w:ascii="宋体" w:hAnsi="宋体"/>
          <w:color w:val="000000"/>
          <w:szCs w:val="21"/>
        </w:rPr>
        <w:t>邮政编码：</w:t>
      </w:r>
      <w:r>
        <w:rPr>
          <w:rFonts w:ascii="宋体" w:hAnsi="宋体"/>
          <w:color w:val="000000"/>
          <w:szCs w:val="21"/>
          <w:u w:val="single"/>
        </w:rPr>
        <w:t xml:space="preserve">     </w:t>
      </w:r>
      <w:r>
        <w:rPr>
          <w:rFonts w:ascii="宋体" w:hAnsi="宋体"/>
          <w:color w:val="000000"/>
          <w:szCs w:val="21"/>
        </w:rPr>
        <w:t xml:space="preserve"> 邮政编码：</w:t>
      </w:r>
      <w:r>
        <w:rPr>
          <w:rFonts w:ascii="宋体" w:hAnsi="宋体"/>
          <w:color w:val="000000"/>
          <w:szCs w:val="21"/>
          <w:u w:val="single"/>
        </w:rPr>
        <w:t xml:space="preserve">   </w:t>
      </w:r>
    </w:p>
    <w:p w14:paraId="63016EDE"/>
    <w:p w14:paraId="10EEDC07">
      <w:pPr>
        <w:pStyle w:val="91"/>
        <w:ind w:hanging="315"/>
      </w:pPr>
    </w:p>
    <w:p w14:paraId="53A452F2">
      <w:pPr>
        <w:pStyle w:val="91"/>
        <w:ind w:hanging="315"/>
      </w:pPr>
    </w:p>
    <w:p w14:paraId="6E8FDA4A">
      <w:pPr>
        <w:pStyle w:val="91"/>
        <w:ind w:hanging="315"/>
      </w:pPr>
    </w:p>
    <w:p w14:paraId="74F28EAA">
      <w:pPr>
        <w:pStyle w:val="91"/>
        <w:ind w:hanging="315"/>
      </w:pPr>
    </w:p>
    <w:p w14:paraId="723DDC97">
      <w:pPr>
        <w:pStyle w:val="91"/>
        <w:ind w:hanging="315"/>
      </w:pPr>
    </w:p>
    <w:p w14:paraId="3275617A">
      <w:pPr>
        <w:pStyle w:val="91"/>
        <w:ind w:hanging="315"/>
      </w:pPr>
    </w:p>
    <w:p w14:paraId="619A06C2">
      <w:pPr>
        <w:pStyle w:val="91"/>
        <w:ind w:hanging="315"/>
      </w:pPr>
    </w:p>
    <w:p w14:paraId="4B46ED4E">
      <w:pPr>
        <w:pStyle w:val="91"/>
        <w:ind w:hanging="315"/>
      </w:pPr>
    </w:p>
    <w:p w14:paraId="665FDE84">
      <w:pPr>
        <w:pStyle w:val="91"/>
        <w:ind w:hanging="315"/>
      </w:pPr>
    </w:p>
    <w:p w14:paraId="097A175F">
      <w:pPr>
        <w:pStyle w:val="91"/>
        <w:ind w:hanging="315"/>
      </w:pPr>
    </w:p>
    <w:p w14:paraId="7553CBEC">
      <w:pPr>
        <w:pStyle w:val="91"/>
        <w:ind w:hanging="315"/>
      </w:pPr>
    </w:p>
    <w:p w14:paraId="1AE30D0A">
      <w:pPr>
        <w:pStyle w:val="91"/>
        <w:ind w:hanging="315"/>
      </w:pPr>
    </w:p>
    <w:p w14:paraId="72EF6699">
      <w:pPr>
        <w:pStyle w:val="91"/>
        <w:ind w:hanging="315"/>
      </w:pPr>
    </w:p>
    <w:p w14:paraId="718CAA03">
      <w:pPr>
        <w:pStyle w:val="91"/>
        <w:ind w:hanging="315"/>
      </w:pPr>
    </w:p>
    <w:p w14:paraId="5830078E">
      <w:pPr>
        <w:pStyle w:val="91"/>
        <w:ind w:hanging="315"/>
      </w:pPr>
    </w:p>
    <w:p w14:paraId="3A453AD0">
      <w:pPr>
        <w:pStyle w:val="91"/>
        <w:ind w:hanging="315"/>
      </w:pPr>
    </w:p>
    <w:p w14:paraId="038B7FCB">
      <w:pPr>
        <w:pStyle w:val="91"/>
        <w:ind w:hanging="315"/>
      </w:pPr>
    </w:p>
    <w:p w14:paraId="547389FD">
      <w:pPr>
        <w:pStyle w:val="91"/>
        <w:ind w:hanging="315"/>
      </w:pPr>
    </w:p>
    <w:p w14:paraId="07BFCB49">
      <w:pPr>
        <w:pStyle w:val="91"/>
        <w:ind w:hanging="315"/>
      </w:pPr>
    </w:p>
    <w:p w14:paraId="2510AD74">
      <w:pPr>
        <w:pStyle w:val="91"/>
        <w:ind w:hanging="315"/>
      </w:pPr>
    </w:p>
    <w:p w14:paraId="4DF8516D">
      <w:pPr>
        <w:pStyle w:val="91"/>
        <w:ind w:hanging="315"/>
      </w:pPr>
    </w:p>
    <w:p w14:paraId="36A3F2CF">
      <w:pPr>
        <w:pStyle w:val="91"/>
        <w:ind w:hanging="315"/>
      </w:pPr>
    </w:p>
    <w:p w14:paraId="1DC10C3C">
      <w:pPr>
        <w:pStyle w:val="91"/>
        <w:ind w:hanging="315"/>
      </w:pPr>
    </w:p>
    <w:p w14:paraId="5BE926FC">
      <w:pPr>
        <w:pStyle w:val="91"/>
        <w:ind w:hanging="315"/>
      </w:pPr>
    </w:p>
    <w:p w14:paraId="65E54813">
      <w:pPr>
        <w:pStyle w:val="91"/>
        <w:ind w:hanging="315"/>
      </w:pPr>
    </w:p>
    <w:p w14:paraId="34CBA86D">
      <w:pPr>
        <w:pStyle w:val="91"/>
        <w:ind w:hanging="315"/>
      </w:pPr>
    </w:p>
    <w:p w14:paraId="4C4E1F44">
      <w:pPr>
        <w:pStyle w:val="91"/>
        <w:ind w:hanging="315"/>
      </w:pPr>
    </w:p>
    <w:p w14:paraId="436225ED">
      <w:pPr>
        <w:pStyle w:val="91"/>
        <w:ind w:hanging="315"/>
      </w:pPr>
    </w:p>
    <w:p w14:paraId="1A1A67EC">
      <w:pPr>
        <w:pStyle w:val="91"/>
        <w:ind w:hanging="315"/>
      </w:pPr>
    </w:p>
    <w:p w14:paraId="0FFC9645">
      <w:pPr>
        <w:spacing w:line="360" w:lineRule="auto"/>
        <w:rPr>
          <w:rFonts w:ascii="宋体" w:hAnsi="宋体" w:cs="宋体"/>
          <w:b/>
          <w:bCs/>
          <w:sz w:val="28"/>
          <w:szCs w:val="28"/>
        </w:rPr>
      </w:pPr>
      <w:r>
        <w:rPr>
          <w:rFonts w:hint="eastAsia" w:ascii="宋体" w:hAnsi="宋体" w:cs="宋体"/>
        </w:rPr>
        <w:t>附件2</w:t>
      </w:r>
    </w:p>
    <w:p w14:paraId="52C1F661">
      <w:pPr>
        <w:spacing w:after="120" w:afterLines="50" w:line="520" w:lineRule="exact"/>
        <w:ind w:left="630" w:leftChars="300"/>
        <w:jc w:val="center"/>
        <w:rPr>
          <w:rFonts w:ascii="宋体" w:hAnsi="宋体" w:cs="仿宋"/>
          <w:b/>
          <w:bCs/>
          <w:color w:val="auto"/>
          <w:sz w:val="36"/>
          <w:szCs w:val="36"/>
        </w:rPr>
      </w:pPr>
      <w:r>
        <w:rPr>
          <w:rFonts w:hint="eastAsia" w:ascii="宋体" w:hAnsi="宋体" w:cs="仿宋"/>
          <w:b/>
          <w:bCs/>
          <w:color w:val="auto"/>
          <w:sz w:val="36"/>
          <w:szCs w:val="36"/>
        </w:rPr>
        <w:t>建设项目安全生产管理协议书（试行）</w:t>
      </w:r>
    </w:p>
    <w:p w14:paraId="7BB9B25A">
      <w:pPr>
        <w:spacing w:line="520" w:lineRule="exact"/>
        <w:rPr>
          <w:rFonts w:ascii="宋体" w:hAnsi="宋体" w:cs="仿宋"/>
          <w:color w:val="auto"/>
          <w:szCs w:val="21"/>
        </w:rPr>
      </w:pPr>
      <w:r>
        <w:rPr>
          <w:rFonts w:hint="eastAsia" w:ascii="宋体" w:hAnsi="宋体" w:cs="仿宋"/>
          <w:color w:val="auto"/>
          <w:szCs w:val="21"/>
        </w:rPr>
        <w:t>发包方（全称）：</w:t>
      </w:r>
      <w:r>
        <w:rPr>
          <w:rFonts w:hint="eastAsia" w:ascii="宋体" w:hAnsi="宋体" w:cs="仿宋"/>
          <w:color w:val="auto"/>
          <w:szCs w:val="21"/>
          <w:u w:val="single"/>
        </w:rPr>
        <w:t xml:space="preserve">  湘潭大学  </w:t>
      </w:r>
      <w:r>
        <w:rPr>
          <w:rFonts w:hint="eastAsia" w:ascii="宋体" w:hAnsi="宋体" w:cs="仿宋"/>
          <w:color w:val="auto"/>
          <w:szCs w:val="21"/>
        </w:rPr>
        <w:t>（以下简称甲方）</w:t>
      </w:r>
    </w:p>
    <w:p w14:paraId="43DBC7BC">
      <w:pPr>
        <w:spacing w:line="520" w:lineRule="exact"/>
        <w:rPr>
          <w:rFonts w:ascii="宋体" w:hAnsi="宋体" w:cs="仿宋"/>
          <w:color w:val="auto"/>
          <w:szCs w:val="21"/>
        </w:rPr>
      </w:pPr>
      <w:r>
        <w:rPr>
          <w:rFonts w:hint="eastAsia" w:ascii="宋体" w:hAnsi="宋体" w:cs="仿宋"/>
          <w:color w:val="auto"/>
          <w:szCs w:val="21"/>
        </w:rPr>
        <w:t>承包方（全称）：</w:t>
      </w:r>
      <w:r>
        <w:rPr>
          <w:rFonts w:hint="eastAsia" w:ascii="宋体" w:hAnsi="宋体" w:cs="仿宋"/>
          <w:color w:val="auto"/>
          <w:szCs w:val="21"/>
          <w:u w:val="single"/>
        </w:rPr>
        <w:t xml:space="preserve">             </w:t>
      </w:r>
      <w:r>
        <w:rPr>
          <w:rFonts w:hint="eastAsia" w:ascii="宋体" w:hAnsi="宋体" w:cs="仿宋"/>
          <w:color w:val="auto"/>
          <w:szCs w:val="21"/>
        </w:rPr>
        <w:t xml:space="preserve">（以下简称乙方）    </w:t>
      </w:r>
    </w:p>
    <w:p w14:paraId="52674FAE">
      <w:pPr>
        <w:tabs>
          <w:tab w:val="left" w:pos="2760"/>
        </w:tabs>
        <w:adjustRightInd w:val="0"/>
        <w:snapToGrid w:val="0"/>
        <w:spacing w:before="120" w:beforeLines="50" w:line="520" w:lineRule="exact"/>
        <w:ind w:firstLine="420" w:firstLineChars="200"/>
        <w:rPr>
          <w:rFonts w:ascii="宋体" w:hAnsi="宋体" w:cs="Arial"/>
          <w:color w:val="000000"/>
          <w:kern w:val="0"/>
          <w:szCs w:val="21"/>
        </w:rPr>
      </w:pPr>
      <w:r>
        <w:rPr>
          <w:rFonts w:hint="eastAsia" w:ascii="宋体" w:hAnsi="宋体" w:cs="仿宋"/>
          <w:color w:val="auto"/>
          <w:szCs w:val="21"/>
        </w:rPr>
        <w:t>根据《民法典》、《安全生产法》、《建筑法》、《建设工程安全生产管理条例》等法律、法规规定，遵循平等、自愿、公平和诚实信用的原则，双方就</w:t>
      </w:r>
      <w:r>
        <w:rPr>
          <w:rFonts w:ascii="宋体" w:hAnsi="宋体" w:cs="仿宋"/>
          <w:color w:val="auto"/>
          <w:szCs w:val="21"/>
          <w:u w:val="single"/>
        </w:rPr>
        <w:t xml:space="preserve">                 </w:t>
      </w:r>
      <w:r>
        <w:rPr>
          <w:rFonts w:hint="eastAsia" w:ascii="宋体" w:hAnsi="宋体" w:cs="仿宋"/>
          <w:color w:val="auto"/>
          <w:szCs w:val="21"/>
        </w:rPr>
        <w:t>工程施工安全管理事项协商一致，特签订本协议。经甲乙双方平等协商、意见一致，自愿签订如下安全生产协议，并作为新建、改建、扩建、检修、安装、服务、</w:t>
      </w:r>
      <w:r>
        <w:rPr>
          <w:rFonts w:hint="eastAsia" w:ascii="宋体" w:hAnsi="宋体" w:cs="仿宋"/>
          <w:szCs w:val="21"/>
        </w:rPr>
        <w:t xml:space="preserve">劳务等发包工程项目合同的必要补充协议。 </w:t>
      </w:r>
    </w:p>
    <w:p w14:paraId="6D301DDA">
      <w:pPr>
        <w:spacing w:line="520" w:lineRule="exact"/>
        <w:ind w:firstLine="422" w:firstLineChars="200"/>
        <w:rPr>
          <w:rFonts w:ascii="宋体" w:hAnsi="宋体" w:cs="仿宋"/>
          <w:b/>
          <w:bCs/>
          <w:szCs w:val="21"/>
        </w:rPr>
      </w:pPr>
      <w:r>
        <w:rPr>
          <w:rFonts w:hint="eastAsia" w:ascii="宋体" w:hAnsi="宋体" w:cs="仿宋"/>
          <w:b/>
          <w:bCs/>
          <w:szCs w:val="21"/>
        </w:rPr>
        <w:t>一、工程概况</w:t>
      </w:r>
    </w:p>
    <w:p w14:paraId="741DC946">
      <w:pPr>
        <w:spacing w:line="520" w:lineRule="exact"/>
        <w:ind w:firstLine="420" w:firstLineChars="200"/>
        <w:rPr>
          <w:rFonts w:ascii="宋体" w:hAnsi="宋体" w:cs="仿宋"/>
          <w:szCs w:val="21"/>
        </w:rPr>
      </w:pPr>
      <w:r>
        <w:rPr>
          <w:rFonts w:hint="eastAsia" w:ascii="宋体" w:hAnsi="宋体" w:cs="仿宋"/>
          <w:szCs w:val="21"/>
        </w:rPr>
        <w:t>1.工程名称：</w:t>
      </w:r>
      <w:r>
        <w:rPr>
          <w:rFonts w:hint="eastAsia" w:ascii="宋体" w:hAnsi="宋体" w:cs="仿宋"/>
          <w:szCs w:val="21"/>
          <w:u w:val="single"/>
        </w:rPr>
        <w:t xml:space="preserve"> </w:t>
      </w:r>
      <w:r>
        <w:rPr>
          <w:rFonts w:ascii="宋体" w:hAnsi="宋体" w:cs="仿宋"/>
          <w:szCs w:val="21"/>
          <w:u w:val="single"/>
        </w:rPr>
        <w:t xml:space="preserve">             </w:t>
      </w:r>
    </w:p>
    <w:p w14:paraId="5F9F9E7B">
      <w:pPr>
        <w:spacing w:line="520" w:lineRule="exact"/>
        <w:ind w:firstLine="420" w:firstLineChars="200"/>
        <w:rPr>
          <w:rFonts w:ascii="宋体" w:hAnsi="宋体" w:cs="仿宋"/>
          <w:szCs w:val="21"/>
        </w:rPr>
      </w:pPr>
      <w:r>
        <w:rPr>
          <w:rFonts w:hint="eastAsia" w:ascii="宋体" w:hAnsi="宋体" w:cs="仿宋"/>
          <w:szCs w:val="21"/>
        </w:rPr>
        <w:t>2.工程地点：湘潭大学校园内</w:t>
      </w:r>
    </w:p>
    <w:p w14:paraId="228E4E82">
      <w:pPr>
        <w:spacing w:line="520" w:lineRule="exact"/>
        <w:ind w:firstLine="422" w:firstLineChars="200"/>
        <w:rPr>
          <w:rFonts w:ascii="宋体" w:hAnsi="宋体" w:cs="仿宋"/>
          <w:b/>
          <w:bCs/>
          <w:szCs w:val="21"/>
        </w:rPr>
      </w:pPr>
      <w:r>
        <w:rPr>
          <w:rFonts w:hint="eastAsia" w:ascii="宋体" w:hAnsi="宋体" w:cs="仿宋"/>
          <w:b/>
          <w:bCs/>
          <w:szCs w:val="21"/>
        </w:rPr>
        <w:t>二、承包范围及内容</w:t>
      </w:r>
    </w:p>
    <w:p w14:paraId="7976B2D1">
      <w:pPr>
        <w:spacing w:line="520" w:lineRule="exact"/>
        <w:ind w:firstLine="420" w:firstLineChars="200"/>
        <w:rPr>
          <w:rFonts w:ascii="宋体" w:hAnsi="宋体" w:cs="仿宋"/>
          <w:szCs w:val="21"/>
        </w:rPr>
      </w:pPr>
      <w:r>
        <w:rPr>
          <w:rFonts w:hint="eastAsia" w:ascii="宋体" w:hAnsi="宋体" w:cs="仿宋"/>
          <w:szCs w:val="21"/>
        </w:rPr>
        <w:t>1.承包工程范围：项目图纸及清单里的全部内容。</w:t>
      </w:r>
    </w:p>
    <w:p w14:paraId="2D8D1CB4">
      <w:pPr>
        <w:spacing w:line="520" w:lineRule="exact"/>
        <w:ind w:firstLine="420" w:firstLineChars="200"/>
        <w:rPr>
          <w:rFonts w:ascii="宋体" w:hAnsi="宋体" w:cs="仿宋"/>
          <w:szCs w:val="21"/>
        </w:rPr>
      </w:pPr>
      <w:r>
        <w:rPr>
          <w:rFonts w:hint="eastAsia" w:ascii="宋体" w:hAnsi="宋体" w:cs="仿宋"/>
          <w:szCs w:val="21"/>
        </w:rPr>
        <w:t>2.承包工程内容：</w:t>
      </w:r>
      <w:r>
        <w:rPr>
          <w:rFonts w:ascii="宋体" w:hAnsi="宋体" w:cs="仿宋"/>
          <w:szCs w:val="21"/>
          <w:u w:val="single"/>
        </w:rPr>
        <w:t xml:space="preserve">                   </w:t>
      </w:r>
      <w:r>
        <w:rPr>
          <w:rFonts w:hint="eastAsia" w:ascii="宋体" w:hAnsi="宋体" w:cs="仿宋"/>
          <w:szCs w:val="21"/>
        </w:rPr>
        <w:t>。</w:t>
      </w:r>
    </w:p>
    <w:p w14:paraId="66F94A9D">
      <w:pPr>
        <w:spacing w:line="520" w:lineRule="exact"/>
        <w:ind w:firstLine="422" w:firstLineChars="200"/>
        <w:rPr>
          <w:rFonts w:ascii="宋体" w:hAnsi="宋体" w:cs="仿宋"/>
          <w:b/>
          <w:bCs/>
          <w:szCs w:val="21"/>
        </w:rPr>
      </w:pPr>
      <w:r>
        <w:rPr>
          <w:rFonts w:hint="eastAsia" w:ascii="宋体" w:hAnsi="宋体" w:cs="仿宋"/>
          <w:b/>
          <w:bCs/>
          <w:szCs w:val="21"/>
        </w:rPr>
        <w:t>三、乙方资质情况</w:t>
      </w:r>
    </w:p>
    <w:p w14:paraId="7645278B">
      <w:pPr>
        <w:spacing w:line="520" w:lineRule="exact"/>
        <w:ind w:firstLine="420" w:firstLineChars="200"/>
        <w:rPr>
          <w:rFonts w:ascii="宋体" w:hAnsi="宋体" w:cs="仿宋"/>
          <w:szCs w:val="21"/>
        </w:rPr>
      </w:pPr>
      <w:r>
        <w:rPr>
          <w:rFonts w:hint="eastAsia" w:ascii="宋体" w:hAnsi="宋体" w:cs="仿宋"/>
          <w:szCs w:val="21"/>
        </w:rPr>
        <w:t>1.资质证书号码：</w:t>
      </w:r>
    </w:p>
    <w:p w14:paraId="11357D31">
      <w:pPr>
        <w:spacing w:line="520" w:lineRule="exact"/>
        <w:ind w:firstLine="420" w:firstLineChars="200"/>
        <w:rPr>
          <w:rFonts w:ascii="宋体" w:hAnsi="宋体" w:cs="仿宋"/>
          <w:szCs w:val="21"/>
        </w:rPr>
      </w:pPr>
      <w:r>
        <w:rPr>
          <w:rFonts w:hint="eastAsia" w:ascii="宋体" w:hAnsi="宋体" w:cs="仿宋"/>
          <w:szCs w:val="21"/>
        </w:rPr>
        <w:t>2.资质专业及等级：</w:t>
      </w:r>
    </w:p>
    <w:p w14:paraId="3788EEEA">
      <w:pPr>
        <w:spacing w:line="520" w:lineRule="exact"/>
        <w:ind w:firstLine="420" w:firstLineChars="200"/>
        <w:rPr>
          <w:rFonts w:ascii="宋体" w:hAnsi="宋体" w:cs="仿宋"/>
          <w:szCs w:val="21"/>
        </w:rPr>
      </w:pPr>
      <w:r>
        <w:rPr>
          <w:rFonts w:hint="eastAsia" w:ascii="宋体" w:hAnsi="宋体" w:cs="仿宋"/>
          <w:szCs w:val="21"/>
        </w:rPr>
        <w:t>3.安全生产许可证号码：</w:t>
      </w:r>
    </w:p>
    <w:p w14:paraId="7008F46D">
      <w:pPr>
        <w:spacing w:line="520" w:lineRule="exact"/>
        <w:ind w:firstLine="420" w:firstLineChars="200"/>
        <w:rPr>
          <w:rFonts w:ascii="宋体" w:hAnsi="宋体" w:cs="仿宋"/>
          <w:szCs w:val="21"/>
        </w:rPr>
      </w:pPr>
      <w:r>
        <w:rPr>
          <w:rFonts w:hint="eastAsia" w:ascii="宋体" w:hAnsi="宋体" w:cs="仿宋"/>
          <w:szCs w:val="21"/>
        </w:rPr>
        <w:t>4.安全生产许可证复审时间及有效期：</w:t>
      </w:r>
    </w:p>
    <w:p w14:paraId="0FFE746F">
      <w:pPr>
        <w:spacing w:line="520" w:lineRule="exact"/>
        <w:ind w:firstLine="211" w:firstLineChars="100"/>
        <w:rPr>
          <w:rFonts w:ascii="宋体" w:hAnsi="宋体" w:cs="仿宋"/>
          <w:b/>
          <w:bCs/>
          <w:szCs w:val="21"/>
        </w:rPr>
      </w:pPr>
      <w:r>
        <w:rPr>
          <w:rFonts w:hint="eastAsia" w:ascii="宋体" w:hAnsi="宋体" w:cs="仿宋"/>
          <w:b/>
          <w:bCs/>
          <w:szCs w:val="21"/>
        </w:rPr>
        <w:t>四、甲乙双方共同责任</w:t>
      </w:r>
    </w:p>
    <w:p w14:paraId="231B8626">
      <w:pPr>
        <w:spacing w:line="520" w:lineRule="exact"/>
        <w:ind w:firstLine="420" w:firstLineChars="200"/>
        <w:rPr>
          <w:rFonts w:ascii="宋体" w:hAnsi="宋体" w:cs="仿宋"/>
          <w:szCs w:val="21"/>
        </w:rPr>
      </w:pPr>
      <w:r>
        <w:rPr>
          <w:rFonts w:ascii="宋体" w:hAnsi="宋体" w:cs="仿宋"/>
          <w:szCs w:val="21"/>
        </w:rPr>
        <w:t>4.1</w:t>
      </w:r>
      <w:r>
        <w:rPr>
          <w:rFonts w:hint="eastAsia" w:ascii="宋体" w:hAnsi="宋体" w:cs="仿宋"/>
          <w:szCs w:val="21"/>
        </w:rPr>
        <w:t>、甲、乙双方必需认真落实国家、省、市颁发相关安全生产方针、政策、严格实施相关安全生产法律、法规、法令、条例和安全工作规程及建设施工安全管理要求。</w:t>
      </w:r>
    </w:p>
    <w:p w14:paraId="7FD11373">
      <w:pPr>
        <w:spacing w:line="520" w:lineRule="exact"/>
        <w:ind w:firstLine="420" w:firstLineChars="200"/>
        <w:rPr>
          <w:rFonts w:ascii="宋体" w:hAnsi="宋体" w:cs="仿宋"/>
          <w:szCs w:val="21"/>
        </w:rPr>
      </w:pPr>
      <w:r>
        <w:rPr>
          <w:rFonts w:ascii="宋体" w:hAnsi="宋体" w:cs="仿宋"/>
          <w:szCs w:val="21"/>
        </w:rPr>
        <w:t>4</w:t>
      </w:r>
      <w:r>
        <w:rPr>
          <w:rFonts w:hint="eastAsia" w:ascii="宋体" w:hAnsi="宋体" w:cs="仿宋"/>
          <w:szCs w:val="21"/>
        </w:rPr>
        <w:t>.</w:t>
      </w:r>
      <w:r>
        <w:rPr>
          <w:rFonts w:ascii="宋体" w:hAnsi="宋体" w:cs="仿宋"/>
          <w:szCs w:val="21"/>
        </w:rPr>
        <w:t>2</w:t>
      </w:r>
      <w:r>
        <w:rPr>
          <w:rFonts w:hint="eastAsia" w:ascii="宋体" w:hAnsi="宋体" w:cs="仿宋"/>
          <w:szCs w:val="21"/>
        </w:rPr>
        <w:t>、甲、乙双方单位的全员安全生产责任制应当明确各岗位的责任人员、责任范围和考核标准等内容。应当建立相应的机制，加强对全员安全生产责任制落实情况的监督考核，保证全员安全生产责任制的落实。</w:t>
      </w:r>
    </w:p>
    <w:p w14:paraId="034F481F">
      <w:pPr>
        <w:spacing w:line="520" w:lineRule="exact"/>
        <w:ind w:firstLine="420" w:firstLineChars="200"/>
        <w:rPr>
          <w:rFonts w:ascii="宋体" w:hAnsi="宋体" w:cs="仿宋"/>
          <w:szCs w:val="21"/>
        </w:rPr>
      </w:pPr>
      <w:r>
        <w:rPr>
          <w:rFonts w:ascii="宋体" w:hAnsi="宋体" w:cs="仿宋"/>
          <w:szCs w:val="21"/>
        </w:rPr>
        <w:t>4.3</w:t>
      </w:r>
      <w:r>
        <w:rPr>
          <w:rFonts w:hint="eastAsia" w:ascii="宋体" w:hAnsi="宋体" w:cs="仿宋"/>
          <w:szCs w:val="21"/>
        </w:rPr>
        <w:t>、甲、乙双方都应建立健全安全管理组织体制，包含具体负责安全生产领导。乙方施工人员超出30人时，必需配置专职安全员，30人以下设兼职安全员。</w:t>
      </w:r>
    </w:p>
    <w:p w14:paraId="163B26CF">
      <w:pPr>
        <w:spacing w:line="520" w:lineRule="exact"/>
        <w:ind w:firstLine="420" w:firstLineChars="200"/>
        <w:rPr>
          <w:rFonts w:ascii="宋体" w:hAnsi="宋体" w:cs="仿宋"/>
          <w:szCs w:val="21"/>
        </w:rPr>
      </w:pPr>
      <w:r>
        <w:rPr>
          <w:rFonts w:ascii="宋体" w:hAnsi="宋体" w:cs="仿宋"/>
          <w:szCs w:val="21"/>
        </w:rPr>
        <w:t>4.4</w:t>
      </w:r>
      <w:r>
        <w:rPr>
          <w:rFonts w:hint="eastAsia" w:ascii="宋体" w:hAnsi="宋体" w:cs="仿宋"/>
          <w:szCs w:val="21"/>
        </w:rPr>
        <w:t>、甲、乙双方在施工前要认真勘察施工现场，甲方对乙方责任人和工程技术人员依据工程项目内容、特点进行全方面安全技术交底。乙方应具体了解工程项目作业环境、施工日期、各类安全方法情况及安全注意事项后拟订施工计划和施工安全技术方法，交甲方或甲方委托监理企业审批立案。</w:t>
      </w:r>
    </w:p>
    <w:p w14:paraId="4111E048">
      <w:pPr>
        <w:spacing w:line="520" w:lineRule="exact"/>
        <w:ind w:firstLine="420" w:firstLineChars="200"/>
        <w:rPr>
          <w:rFonts w:ascii="宋体" w:hAnsi="宋体" w:cs="仿宋"/>
          <w:szCs w:val="21"/>
        </w:rPr>
      </w:pPr>
      <w:r>
        <w:rPr>
          <w:rFonts w:ascii="宋体" w:hAnsi="宋体" w:cs="仿宋"/>
          <w:szCs w:val="21"/>
        </w:rPr>
        <w:t>4.5</w:t>
      </w:r>
      <w:r>
        <w:rPr>
          <w:rFonts w:hint="eastAsia" w:ascii="宋体" w:hAnsi="宋体" w:cs="仿宋"/>
          <w:szCs w:val="21"/>
        </w:rPr>
        <w:t>、施工期间，乙方指派</w:t>
      </w:r>
      <w:r>
        <w:rPr>
          <w:rFonts w:hint="eastAsia" w:ascii="宋体" w:hAnsi="宋体" w:cs="仿宋"/>
          <w:szCs w:val="21"/>
          <w:u w:val="single"/>
        </w:rPr>
        <w:t xml:space="preserve"> </w:t>
      </w:r>
      <w:r>
        <w:rPr>
          <w:rFonts w:ascii="宋体" w:hAnsi="宋体" w:cs="仿宋"/>
          <w:szCs w:val="21"/>
          <w:u w:val="single"/>
        </w:rPr>
        <w:t xml:space="preserve">      </w:t>
      </w:r>
      <w:r>
        <w:rPr>
          <w:rFonts w:hint="eastAsia" w:ascii="宋体" w:hAnsi="宋体" w:cs="仿宋"/>
          <w:szCs w:val="21"/>
        </w:rPr>
        <w:t>同志负责本工程项目相关安全、消防工作；甲方指派</w:t>
      </w:r>
      <w:r>
        <w:rPr>
          <w:rFonts w:ascii="宋体" w:hAnsi="宋体" w:cs="仿宋"/>
          <w:szCs w:val="21"/>
          <w:u w:val="single"/>
        </w:rPr>
        <w:t xml:space="preserve">      </w:t>
      </w:r>
      <w:r>
        <w:rPr>
          <w:rFonts w:hint="eastAsia" w:ascii="宋体" w:hAnsi="宋体" w:cs="仿宋"/>
          <w:szCs w:val="21"/>
        </w:rPr>
        <w:t>同志负责联络、检验、监督乙方实施相关安全、消防要求。甲乙双方应常联络，相互帮助检验和处理工程施工中相关安全、消防工作，共同预防事故发生。乙方人员施工中发生不安全情况应立刻向甲方通报，甲方有权对乙方实施安全监督、处罚。</w:t>
      </w:r>
    </w:p>
    <w:p w14:paraId="1DF950E9">
      <w:pPr>
        <w:spacing w:line="520" w:lineRule="exact"/>
        <w:ind w:firstLine="420" w:firstLineChars="200"/>
        <w:rPr>
          <w:rFonts w:ascii="宋体" w:hAnsi="宋体" w:cs="仿宋"/>
          <w:szCs w:val="21"/>
        </w:rPr>
      </w:pPr>
      <w:r>
        <w:rPr>
          <w:rFonts w:ascii="宋体" w:hAnsi="宋体" w:cs="仿宋"/>
          <w:szCs w:val="21"/>
        </w:rPr>
        <w:t>4.6</w:t>
      </w:r>
      <w:r>
        <w:rPr>
          <w:rFonts w:hint="eastAsia" w:ascii="宋体" w:hAnsi="宋体" w:cs="仿宋"/>
          <w:szCs w:val="21"/>
        </w:rPr>
        <w:t>、施工区域范围各类安全防护设施、遮拦、安全标志牌、警告牌和接地线等不得私自拆除、变动。如确实需要拆除、变动，必需经施工责任人和甲、乙双方指派安全管理人员书面同意，并确定可靠安全方法后方可拆除、变动现场安全防护设施。任何一方人员私自拆除、变动安全防护设施所造成后果，均由该方负责。</w:t>
      </w:r>
    </w:p>
    <w:p w14:paraId="3C152EA5">
      <w:pPr>
        <w:spacing w:line="520" w:lineRule="exact"/>
        <w:ind w:firstLine="420" w:firstLineChars="200"/>
        <w:rPr>
          <w:rFonts w:ascii="宋体" w:hAnsi="宋体" w:cs="仿宋"/>
          <w:szCs w:val="21"/>
        </w:rPr>
      </w:pPr>
      <w:r>
        <w:rPr>
          <w:rFonts w:ascii="宋体" w:hAnsi="宋体" w:cs="仿宋"/>
          <w:szCs w:val="21"/>
        </w:rPr>
        <w:t>4.7</w:t>
      </w:r>
      <w:r>
        <w:rPr>
          <w:rFonts w:hint="eastAsia" w:ascii="宋体" w:hAnsi="宋体" w:cs="仿宋"/>
          <w:szCs w:val="21"/>
        </w:rPr>
        <w:t>、甲、乙双方必需严格实施禁火区域内动火作业相关要求，正确使用动火作业工作要领。易燃、易爆场所严禁吸烟及动用明火、消防器材不准挪作它用。工地严禁使用电炉，冬季施工如必需采取明火加热防冻方法时，应取得甲方书面同意、落实防火、防爆方法，并指派专员值班负责。焊工必须持有效证件上岗作业，严禁无证操作。</w:t>
      </w:r>
    </w:p>
    <w:p w14:paraId="4D5A9413">
      <w:pPr>
        <w:spacing w:line="520" w:lineRule="exact"/>
        <w:ind w:firstLine="420" w:firstLineChars="200"/>
        <w:rPr>
          <w:rFonts w:ascii="宋体" w:hAnsi="宋体" w:cs="仿宋"/>
          <w:szCs w:val="21"/>
        </w:rPr>
      </w:pPr>
      <w:r>
        <w:rPr>
          <w:rFonts w:ascii="宋体" w:hAnsi="宋体" w:cs="仿宋"/>
          <w:szCs w:val="21"/>
        </w:rPr>
        <w:t>4.8</w:t>
      </w:r>
      <w:r>
        <w:rPr>
          <w:rFonts w:hint="eastAsia" w:ascii="宋体" w:hAnsi="宋体" w:cs="仿宋"/>
          <w:szCs w:val="21"/>
        </w:rPr>
        <w:t>、甲乙双方人员对各自所处的施工区域、作业环境、操作设施设备、工具用具等必须认真检查，发现隐患，立即停止施工，落实整改后方准施工。一经施工，就表示该施工单位确认施工场所、作业环境、设施设备、工具用具等符合安全要求和处于安全状态。</w:t>
      </w:r>
    </w:p>
    <w:p w14:paraId="3082EA11">
      <w:pPr>
        <w:spacing w:line="520" w:lineRule="exact"/>
        <w:ind w:firstLine="420" w:firstLineChars="200"/>
        <w:rPr>
          <w:rFonts w:ascii="宋体" w:hAnsi="宋体" w:cs="仿宋"/>
          <w:szCs w:val="21"/>
        </w:rPr>
      </w:pPr>
      <w:r>
        <w:rPr>
          <w:rFonts w:ascii="宋体" w:hAnsi="宋体" w:cs="仿宋"/>
          <w:szCs w:val="21"/>
        </w:rPr>
        <w:t>4.9</w:t>
      </w:r>
      <w:r>
        <w:rPr>
          <w:rFonts w:hint="eastAsia" w:ascii="宋体" w:hAnsi="宋体" w:cs="仿宋"/>
          <w:szCs w:val="21"/>
        </w:rPr>
        <w:t>、甲、乙双方不得将生产经营项目、场所、设备发包或者出租给不具备安全生产条件或者相应资质的单位或者个人。</w:t>
      </w:r>
    </w:p>
    <w:p w14:paraId="293C31E4">
      <w:pPr>
        <w:spacing w:line="520" w:lineRule="exact"/>
        <w:ind w:firstLine="420" w:firstLineChars="200"/>
        <w:rPr>
          <w:rFonts w:ascii="宋体" w:hAnsi="宋体" w:cs="仿宋"/>
          <w:szCs w:val="21"/>
        </w:rPr>
      </w:pPr>
      <w:r>
        <w:rPr>
          <w:rFonts w:ascii="宋体" w:hAnsi="宋体" w:cs="仿宋"/>
          <w:szCs w:val="21"/>
        </w:rPr>
        <w:t>4.10</w:t>
      </w:r>
      <w:r>
        <w:rPr>
          <w:rFonts w:hint="eastAsia" w:ascii="宋体" w:hAnsi="宋体" w:cs="仿宋"/>
          <w:szCs w:val="21"/>
        </w:rPr>
        <w:t>、发生生</w:t>
      </w:r>
      <w:r>
        <w:rPr>
          <w:rFonts w:hint="eastAsia" w:ascii="宋体" w:hAnsi="宋体" w:cs="仿宋"/>
          <w:color w:val="auto"/>
          <w:szCs w:val="21"/>
        </w:rPr>
        <w:t>产安全事故时，单位的主要负责人应当立</w:t>
      </w:r>
      <w:r>
        <w:rPr>
          <w:rFonts w:hint="eastAsia" w:ascii="宋体" w:hAnsi="宋体" w:cs="仿宋"/>
          <w:szCs w:val="21"/>
        </w:rPr>
        <w:t>即组织抢救，并不得在事故调查处理期间擅离职守。</w:t>
      </w:r>
    </w:p>
    <w:p w14:paraId="6A9E5BFF">
      <w:pPr>
        <w:spacing w:line="520" w:lineRule="exact"/>
        <w:ind w:firstLine="422" w:firstLineChars="200"/>
        <w:rPr>
          <w:rFonts w:ascii="宋体" w:hAnsi="宋体" w:cs="仿宋"/>
          <w:b/>
          <w:bCs/>
          <w:szCs w:val="21"/>
        </w:rPr>
      </w:pPr>
      <w:r>
        <w:rPr>
          <w:rFonts w:hint="eastAsia" w:ascii="宋体" w:hAnsi="宋体" w:cs="仿宋"/>
          <w:b/>
          <w:bCs/>
          <w:szCs w:val="21"/>
        </w:rPr>
        <w:t>五、甲方权利义务</w:t>
      </w:r>
    </w:p>
    <w:p w14:paraId="5E4E672B">
      <w:pPr>
        <w:spacing w:line="520" w:lineRule="exact"/>
        <w:ind w:firstLine="420" w:firstLineChars="200"/>
        <w:rPr>
          <w:rFonts w:ascii="宋体" w:hAnsi="宋体" w:cs="仿宋"/>
          <w:szCs w:val="21"/>
        </w:rPr>
      </w:pPr>
      <w:r>
        <w:rPr>
          <w:rFonts w:ascii="宋体" w:hAnsi="宋体" w:cs="仿宋"/>
          <w:szCs w:val="21"/>
        </w:rPr>
        <w:t>5.1</w:t>
      </w:r>
      <w:r>
        <w:rPr>
          <w:rFonts w:hint="eastAsia" w:ascii="宋体" w:hAnsi="宋体" w:cs="仿宋"/>
          <w:szCs w:val="21"/>
        </w:rPr>
        <w:t>、甲方应按要求对乙方安全资质进行审查，确定乙方承包工程项目与其资质相符合。</w:t>
      </w:r>
    </w:p>
    <w:p w14:paraId="5B8516C7">
      <w:pPr>
        <w:spacing w:line="520" w:lineRule="exact"/>
        <w:ind w:firstLine="420" w:firstLineChars="200"/>
        <w:rPr>
          <w:rFonts w:ascii="宋体" w:hAnsi="宋体" w:cs="仿宋"/>
          <w:szCs w:val="21"/>
        </w:rPr>
      </w:pPr>
      <w:r>
        <w:rPr>
          <w:rFonts w:ascii="宋体" w:hAnsi="宋体" w:cs="仿宋"/>
          <w:szCs w:val="21"/>
        </w:rPr>
        <w:t>5</w:t>
      </w:r>
      <w:r>
        <w:rPr>
          <w:rFonts w:hint="eastAsia" w:ascii="宋体" w:hAnsi="宋体" w:cs="仿宋"/>
          <w:szCs w:val="21"/>
        </w:rPr>
        <w:t>.</w:t>
      </w:r>
      <w:r>
        <w:rPr>
          <w:rFonts w:ascii="宋体" w:hAnsi="宋体" w:cs="仿宋"/>
          <w:szCs w:val="21"/>
        </w:rPr>
        <w:t>2</w:t>
      </w:r>
      <w:r>
        <w:rPr>
          <w:rFonts w:hint="eastAsia" w:ascii="宋体" w:hAnsi="宋体" w:cs="仿宋"/>
          <w:szCs w:val="21"/>
        </w:rPr>
        <w:t>、甲方按照有关安全标准对乙方进行日常监督检查。甲方有权要求乙方必须严格遵守安全生产法律、法规、标准、安全生产规章制度和操作规程，熟练掌握事故防范措施和事故应急处理预案。</w:t>
      </w:r>
    </w:p>
    <w:p w14:paraId="0CD01D93">
      <w:pPr>
        <w:spacing w:line="520" w:lineRule="exact"/>
        <w:ind w:firstLine="420" w:firstLineChars="200"/>
        <w:rPr>
          <w:rFonts w:ascii="宋体" w:hAnsi="宋体" w:cs="仿宋"/>
          <w:szCs w:val="21"/>
        </w:rPr>
      </w:pPr>
      <w:r>
        <w:rPr>
          <w:rFonts w:ascii="宋体" w:hAnsi="宋体" w:cs="仿宋"/>
          <w:szCs w:val="21"/>
        </w:rPr>
        <w:t>5.3</w:t>
      </w:r>
      <w:r>
        <w:rPr>
          <w:rFonts w:hint="eastAsia" w:ascii="宋体" w:hAnsi="宋体" w:cs="仿宋"/>
          <w:szCs w:val="21"/>
        </w:rPr>
        <w:t>、甲方对乙方使用的临时设施、安全防护用品进行检查和验收，对不符合安全要求和项目管理规定的设施和防护用品有权要求拆除、更换。</w:t>
      </w:r>
    </w:p>
    <w:p w14:paraId="62909B90">
      <w:pPr>
        <w:spacing w:line="520" w:lineRule="exact"/>
        <w:ind w:firstLine="420" w:firstLineChars="200"/>
        <w:rPr>
          <w:rFonts w:ascii="宋体" w:hAnsi="宋体" w:cs="仿宋"/>
          <w:szCs w:val="21"/>
        </w:rPr>
      </w:pPr>
      <w:r>
        <w:rPr>
          <w:rFonts w:ascii="宋体" w:hAnsi="宋体" w:cs="仿宋"/>
          <w:szCs w:val="21"/>
        </w:rPr>
        <w:t>5.4</w:t>
      </w:r>
      <w:r>
        <w:rPr>
          <w:rFonts w:hint="eastAsia" w:ascii="宋体" w:hAnsi="宋体" w:cs="仿宋"/>
          <w:szCs w:val="21"/>
        </w:rPr>
        <w:t>、甲方对施工区域进行安全生产和文明施工检查。对检查中发现的安全隐患发出限期整改通知，有权责令整改、停工整顿或进行经济处罚。</w:t>
      </w:r>
    </w:p>
    <w:p w14:paraId="5249EFEA">
      <w:pPr>
        <w:spacing w:line="520" w:lineRule="exact"/>
        <w:ind w:firstLine="420" w:firstLineChars="200"/>
        <w:rPr>
          <w:rFonts w:ascii="宋体" w:hAnsi="宋体" w:cs="仿宋"/>
          <w:color w:val="auto"/>
          <w:szCs w:val="21"/>
        </w:rPr>
      </w:pPr>
      <w:r>
        <w:rPr>
          <w:rFonts w:ascii="宋体" w:hAnsi="宋体" w:cs="仿宋"/>
          <w:szCs w:val="21"/>
        </w:rPr>
        <w:t>5.5</w:t>
      </w:r>
      <w:r>
        <w:rPr>
          <w:rFonts w:hint="eastAsia" w:ascii="宋体" w:hAnsi="宋体" w:cs="仿宋"/>
          <w:szCs w:val="21"/>
        </w:rPr>
        <w:t>、甲方对乙方违反安全生产标准、操作规程、违章指挥、违章作业、违反劳动纪律等行为的人</w:t>
      </w:r>
      <w:r>
        <w:rPr>
          <w:rFonts w:hint="eastAsia" w:ascii="宋体" w:hAnsi="宋体" w:cs="仿宋"/>
          <w:color w:val="auto"/>
          <w:szCs w:val="21"/>
        </w:rPr>
        <w:t>员，甲方有权予以制止、下达整改通知、罚款、停工整顿或清退出场等。</w:t>
      </w:r>
    </w:p>
    <w:p w14:paraId="3B595496">
      <w:pPr>
        <w:spacing w:line="520" w:lineRule="exact"/>
        <w:ind w:firstLine="420" w:firstLineChars="200"/>
        <w:rPr>
          <w:rFonts w:ascii="宋体" w:hAnsi="宋体" w:cs="仿宋"/>
          <w:color w:val="auto"/>
          <w:szCs w:val="21"/>
        </w:rPr>
      </w:pPr>
      <w:r>
        <w:rPr>
          <w:rFonts w:hint="eastAsia" w:ascii="宋体" w:hAnsi="宋体" w:cs="仿宋"/>
          <w:color w:val="auto"/>
          <w:szCs w:val="21"/>
        </w:rPr>
        <w:t>5.6、甲方事先向乙方进行具体安全技术交底，要求乙方制订施工安全技术方法，经甲方或甲方委托监理企业审查合格后监督乙方实施，不然一切后果由乙方自负。</w:t>
      </w:r>
    </w:p>
    <w:p w14:paraId="0F9B5413">
      <w:pPr>
        <w:spacing w:line="520" w:lineRule="exact"/>
        <w:ind w:firstLine="420" w:firstLineChars="200"/>
        <w:rPr>
          <w:rFonts w:ascii="宋体" w:hAnsi="宋体" w:cs="仿宋"/>
          <w:color w:val="auto"/>
          <w:szCs w:val="21"/>
        </w:rPr>
      </w:pPr>
      <w:r>
        <w:rPr>
          <w:rFonts w:hint="eastAsia" w:ascii="宋体" w:hAnsi="宋体" w:cs="仿宋"/>
          <w:color w:val="auto"/>
          <w:szCs w:val="21"/>
        </w:rPr>
        <w:t>5.7、甲方有帮助乙方搞好安全生产、消防管理等监督检验责任，对于查出安全生产事故隐患，乙方必需限期整改。对限期整改不达标，甲方有权责令乙方暂停施工和撤消协议，由此造成损失都由乙方负担。</w:t>
      </w:r>
    </w:p>
    <w:p w14:paraId="62EEA7F9">
      <w:pPr>
        <w:spacing w:line="520" w:lineRule="exact"/>
        <w:ind w:firstLine="422" w:firstLineChars="200"/>
        <w:rPr>
          <w:rFonts w:ascii="宋体" w:hAnsi="宋体" w:cs="仿宋"/>
          <w:b/>
          <w:bCs/>
          <w:szCs w:val="21"/>
        </w:rPr>
      </w:pPr>
      <w:r>
        <w:rPr>
          <w:rFonts w:hint="eastAsia" w:ascii="宋体" w:hAnsi="宋体" w:cs="仿宋"/>
          <w:b/>
          <w:bCs/>
          <w:szCs w:val="21"/>
        </w:rPr>
        <w:t>六、乙方权利义务</w:t>
      </w:r>
    </w:p>
    <w:p w14:paraId="0FAB437D">
      <w:pPr>
        <w:spacing w:line="520" w:lineRule="exact"/>
        <w:ind w:right="-59" w:rightChars="-28" w:firstLine="420" w:firstLineChars="200"/>
        <w:rPr>
          <w:rFonts w:ascii="宋体" w:hAnsi="宋体" w:cs="仿宋"/>
          <w:szCs w:val="21"/>
        </w:rPr>
      </w:pPr>
      <w:r>
        <w:rPr>
          <w:rFonts w:hint="eastAsia" w:ascii="宋体" w:hAnsi="宋体" w:cs="仿宋"/>
          <w:szCs w:val="21"/>
        </w:rPr>
        <w:t>6</w:t>
      </w:r>
      <w:r>
        <w:rPr>
          <w:rFonts w:ascii="宋体" w:hAnsi="宋体" w:cs="仿宋"/>
          <w:szCs w:val="21"/>
        </w:rPr>
        <w:t>.1</w:t>
      </w:r>
      <w:r>
        <w:rPr>
          <w:rFonts w:hint="eastAsia" w:ascii="宋体" w:hAnsi="宋体" w:cs="仿宋"/>
          <w:szCs w:val="21"/>
        </w:rPr>
        <w:t>、乙方应具备有关法律、行政法规和国家标准或者行业标准规定的安全生产条件，具有相关部门颁发的安全生产证书。</w:t>
      </w:r>
    </w:p>
    <w:p w14:paraId="34EF5C63">
      <w:pPr>
        <w:spacing w:line="520" w:lineRule="exact"/>
        <w:ind w:right="-59" w:rightChars="-28" w:firstLine="420" w:firstLineChars="200"/>
        <w:rPr>
          <w:rFonts w:ascii="宋体" w:hAnsi="宋体" w:cs="仿宋"/>
          <w:szCs w:val="21"/>
        </w:rPr>
      </w:pPr>
      <w:r>
        <w:rPr>
          <w:rFonts w:ascii="宋体" w:hAnsi="宋体" w:cs="仿宋"/>
          <w:szCs w:val="21"/>
        </w:rPr>
        <w:t>6</w:t>
      </w:r>
      <w:r>
        <w:rPr>
          <w:rFonts w:hint="eastAsia" w:ascii="宋体" w:hAnsi="宋体" w:cs="仿宋"/>
          <w:szCs w:val="21"/>
        </w:rPr>
        <w:t>.2、乙方的主要负责人和安全生产管理人员必须具备与本单位所从事的生产经营活动相应的安全生产知识和管理能力。并对本单位安全生产工作负有下列职责:</w:t>
      </w:r>
    </w:p>
    <w:p w14:paraId="17B20E8E">
      <w:pPr>
        <w:spacing w:line="520" w:lineRule="exact"/>
        <w:ind w:right="-59" w:rightChars="-28" w:firstLine="420" w:firstLineChars="200"/>
        <w:rPr>
          <w:rFonts w:ascii="宋体" w:hAnsi="宋体" w:cs="仿宋"/>
          <w:szCs w:val="21"/>
        </w:rPr>
      </w:pPr>
      <w:r>
        <w:rPr>
          <w:rFonts w:hint="eastAsia" w:ascii="宋体" w:hAnsi="宋体" w:cs="仿宋"/>
          <w:szCs w:val="21"/>
        </w:rPr>
        <w:t>（1）建立健全并落实本单位全员安全生产责任制，加强安全生产标准化建设；</w:t>
      </w:r>
    </w:p>
    <w:p w14:paraId="2E2093ED">
      <w:pPr>
        <w:spacing w:line="520" w:lineRule="exact"/>
        <w:ind w:right="-59" w:rightChars="-28" w:firstLine="420" w:firstLineChars="200"/>
        <w:rPr>
          <w:rFonts w:ascii="宋体" w:hAnsi="宋体" w:cs="仿宋"/>
          <w:szCs w:val="21"/>
        </w:rPr>
      </w:pPr>
      <w:r>
        <w:rPr>
          <w:rFonts w:hint="eastAsia" w:ascii="宋体" w:hAnsi="宋体" w:cs="仿宋"/>
          <w:szCs w:val="21"/>
        </w:rPr>
        <w:t>（2）组织制定并实施本单位安全生产规章制度和操作规程；</w:t>
      </w:r>
    </w:p>
    <w:p w14:paraId="13568F7D">
      <w:pPr>
        <w:spacing w:line="520" w:lineRule="exact"/>
        <w:ind w:right="-59" w:rightChars="-28" w:firstLine="420" w:firstLineChars="200"/>
        <w:rPr>
          <w:rFonts w:ascii="宋体" w:hAnsi="宋体" w:cs="仿宋"/>
          <w:szCs w:val="21"/>
        </w:rPr>
      </w:pPr>
      <w:r>
        <w:rPr>
          <w:rFonts w:hint="eastAsia" w:ascii="宋体" w:hAnsi="宋体" w:cs="仿宋"/>
          <w:szCs w:val="21"/>
        </w:rPr>
        <w:t>（3）组织制定并实施本单位安全生产教育和培训计划；</w:t>
      </w:r>
    </w:p>
    <w:p w14:paraId="1D2C13F1">
      <w:pPr>
        <w:spacing w:line="520" w:lineRule="exact"/>
        <w:ind w:right="-59" w:rightChars="-28" w:firstLine="420" w:firstLineChars="200"/>
        <w:rPr>
          <w:rFonts w:ascii="宋体" w:hAnsi="宋体" w:cs="仿宋"/>
          <w:szCs w:val="21"/>
        </w:rPr>
      </w:pPr>
      <w:r>
        <w:rPr>
          <w:rFonts w:hint="eastAsia" w:ascii="宋体" w:hAnsi="宋体" w:cs="仿宋"/>
          <w:szCs w:val="21"/>
        </w:rPr>
        <w:t>（4）保证本单位安全生产投入的有效实施；</w:t>
      </w:r>
    </w:p>
    <w:p w14:paraId="68D74B89">
      <w:pPr>
        <w:spacing w:line="520" w:lineRule="exact"/>
        <w:ind w:right="-59" w:rightChars="-28" w:firstLine="420" w:firstLineChars="200"/>
        <w:rPr>
          <w:rFonts w:ascii="宋体" w:hAnsi="宋体" w:cs="仿宋"/>
          <w:szCs w:val="21"/>
        </w:rPr>
      </w:pPr>
      <w:r>
        <w:rPr>
          <w:rFonts w:hint="eastAsia" w:ascii="宋体" w:hAnsi="宋体" w:cs="仿宋"/>
          <w:szCs w:val="21"/>
        </w:rPr>
        <w:t>（5）组织建立并落实安全风险分级管控和隐患排查治理双重预防工作机制，督促、检查本单位。</w:t>
      </w:r>
    </w:p>
    <w:p w14:paraId="4D75D756">
      <w:pPr>
        <w:spacing w:line="520" w:lineRule="exact"/>
        <w:ind w:right="-59" w:rightChars="-28" w:firstLine="420" w:firstLineChars="200"/>
        <w:rPr>
          <w:rFonts w:ascii="宋体" w:hAnsi="宋体" w:cs="仿宋"/>
          <w:szCs w:val="21"/>
        </w:rPr>
      </w:pPr>
      <w:r>
        <w:rPr>
          <w:rFonts w:ascii="宋体" w:hAnsi="宋体" w:cs="仿宋"/>
          <w:szCs w:val="21"/>
        </w:rPr>
        <w:t>6.3、乙方的安全生产管理机构以及安全生产管理人员履行下列职责:</w:t>
      </w:r>
    </w:p>
    <w:p w14:paraId="658FFC91">
      <w:pPr>
        <w:spacing w:line="520" w:lineRule="exact"/>
        <w:ind w:right="-59" w:rightChars="-28" w:firstLine="420" w:firstLineChars="200"/>
        <w:rPr>
          <w:rFonts w:ascii="宋体" w:hAnsi="宋体" w:cs="仿宋"/>
          <w:szCs w:val="21"/>
        </w:rPr>
      </w:pPr>
      <w:r>
        <w:rPr>
          <w:rFonts w:ascii="宋体" w:hAnsi="宋体" w:cs="仿宋"/>
          <w:szCs w:val="21"/>
        </w:rPr>
        <w:t>（1）组织或者参与拟订本单位安全生产规章制度、操作规程和生产安全事故应急救援预案；</w:t>
      </w:r>
    </w:p>
    <w:p w14:paraId="79B59B2A">
      <w:pPr>
        <w:spacing w:line="520" w:lineRule="exact"/>
        <w:ind w:right="-59" w:rightChars="-28" w:firstLine="420" w:firstLineChars="200"/>
        <w:rPr>
          <w:rFonts w:ascii="宋体" w:hAnsi="宋体" w:cs="仿宋"/>
          <w:szCs w:val="21"/>
        </w:rPr>
      </w:pPr>
      <w:r>
        <w:rPr>
          <w:rFonts w:ascii="宋体" w:hAnsi="宋体" w:cs="仿宋"/>
          <w:szCs w:val="21"/>
        </w:rPr>
        <w:t>（2）组织或者参与本单位安全生产教育和培训，如实记录安全生产教育和培训情况；</w:t>
      </w:r>
    </w:p>
    <w:p w14:paraId="5C9B54AD">
      <w:pPr>
        <w:spacing w:line="520" w:lineRule="exact"/>
        <w:ind w:right="-59" w:rightChars="-28" w:firstLine="420" w:firstLineChars="200"/>
        <w:rPr>
          <w:rFonts w:ascii="宋体" w:hAnsi="宋体" w:cs="仿宋"/>
          <w:szCs w:val="21"/>
        </w:rPr>
      </w:pPr>
      <w:r>
        <w:rPr>
          <w:rFonts w:ascii="宋体" w:hAnsi="宋体" w:cs="仿宋"/>
          <w:szCs w:val="21"/>
        </w:rPr>
        <w:t>（3）组织开展危险源辨识和评估，督促落实本单位重大危险源的安全管理措施</w:t>
      </w:r>
      <w:r>
        <w:rPr>
          <w:rFonts w:hint="eastAsia" w:ascii="宋体" w:hAnsi="宋体" w:cs="仿宋"/>
          <w:szCs w:val="21"/>
        </w:rPr>
        <w:t>，及时消除生产安全事故隐患；</w:t>
      </w:r>
    </w:p>
    <w:p w14:paraId="653368B7">
      <w:pPr>
        <w:spacing w:line="520" w:lineRule="exact"/>
        <w:ind w:right="-59" w:rightChars="-28" w:firstLine="420" w:firstLineChars="200"/>
        <w:rPr>
          <w:rFonts w:ascii="宋体" w:hAnsi="宋体" w:cs="仿宋"/>
          <w:szCs w:val="21"/>
        </w:rPr>
      </w:pPr>
      <w:r>
        <w:rPr>
          <w:rFonts w:hint="eastAsia" w:ascii="宋体" w:hAnsi="宋体" w:cs="仿宋"/>
          <w:szCs w:val="21"/>
        </w:rPr>
        <w:t>（4）及时、如实报告生产安全事故。</w:t>
      </w:r>
    </w:p>
    <w:p w14:paraId="0F8C193B">
      <w:pPr>
        <w:spacing w:line="520" w:lineRule="exact"/>
        <w:ind w:right="-59" w:rightChars="-28" w:firstLine="420" w:firstLineChars="200"/>
        <w:rPr>
          <w:rFonts w:ascii="宋体" w:hAnsi="宋体" w:cs="仿宋"/>
          <w:szCs w:val="21"/>
        </w:rPr>
      </w:pPr>
      <w:r>
        <w:rPr>
          <w:rFonts w:hint="eastAsia" w:ascii="宋体" w:hAnsi="宋体" w:cs="仿宋"/>
          <w:szCs w:val="21"/>
        </w:rPr>
        <w:t>（5）组织或者参与本单位应急救援演练:</w:t>
      </w:r>
    </w:p>
    <w:p w14:paraId="46ADC6EA">
      <w:pPr>
        <w:spacing w:line="520" w:lineRule="exact"/>
        <w:ind w:right="-59" w:rightChars="-28" w:firstLine="420" w:firstLineChars="200"/>
        <w:rPr>
          <w:rFonts w:ascii="宋体" w:hAnsi="宋体" w:cs="仿宋"/>
          <w:szCs w:val="21"/>
        </w:rPr>
      </w:pPr>
      <w:r>
        <w:rPr>
          <w:rFonts w:hint="eastAsia" w:ascii="宋体" w:hAnsi="宋体" w:cs="仿宋"/>
          <w:szCs w:val="21"/>
        </w:rPr>
        <w:t>（6）检查本单位的安全生产状况，及时排查生产安全事故隐患，提出改进安全生产管理的建议；</w:t>
      </w:r>
    </w:p>
    <w:p w14:paraId="42E61870">
      <w:pPr>
        <w:spacing w:line="520" w:lineRule="exact"/>
        <w:ind w:right="-59" w:rightChars="-28" w:firstLine="420" w:firstLineChars="200"/>
        <w:rPr>
          <w:rFonts w:ascii="宋体" w:hAnsi="宋体" w:cs="仿宋"/>
          <w:szCs w:val="21"/>
        </w:rPr>
      </w:pPr>
      <w:r>
        <w:rPr>
          <w:rFonts w:hint="eastAsia" w:ascii="宋体" w:hAnsi="宋体" w:cs="仿宋"/>
          <w:szCs w:val="21"/>
        </w:rPr>
        <w:t>（7）制止和纠正违章指挥、强令冒险作业、违反操作规程的行为；</w:t>
      </w:r>
    </w:p>
    <w:p w14:paraId="4D36CAC4">
      <w:pPr>
        <w:spacing w:line="520" w:lineRule="exact"/>
        <w:ind w:right="-59" w:rightChars="-28" w:firstLine="420" w:firstLineChars="200"/>
        <w:rPr>
          <w:rFonts w:ascii="宋体" w:hAnsi="宋体" w:cs="仿宋"/>
          <w:szCs w:val="21"/>
        </w:rPr>
      </w:pPr>
      <w:r>
        <w:rPr>
          <w:rFonts w:hint="eastAsia" w:ascii="宋体" w:hAnsi="宋体" w:cs="仿宋"/>
          <w:szCs w:val="21"/>
        </w:rPr>
        <w:t>（8）督促落实本单位安全生产整改措施。生产经营单位可以设置专职安全生产分管负责人，协助本单位主要负责人履行安全生产管理职责。</w:t>
      </w:r>
    </w:p>
    <w:p w14:paraId="63F16A03">
      <w:pPr>
        <w:spacing w:line="520" w:lineRule="exact"/>
        <w:ind w:firstLine="420" w:firstLineChars="200"/>
        <w:rPr>
          <w:rFonts w:ascii="宋体" w:hAnsi="宋体" w:cs="仿宋"/>
          <w:szCs w:val="21"/>
        </w:rPr>
      </w:pPr>
      <w:r>
        <w:rPr>
          <w:rFonts w:hint="eastAsia" w:ascii="宋体" w:hAnsi="宋体" w:cs="仿宋"/>
          <w:szCs w:val="21"/>
        </w:rPr>
        <w:t>6</w:t>
      </w:r>
      <w:r>
        <w:rPr>
          <w:rFonts w:ascii="宋体" w:hAnsi="宋体" w:cs="仿宋"/>
          <w:szCs w:val="21"/>
        </w:rPr>
        <w:t>.4</w:t>
      </w:r>
      <w:r>
        <w:rPr>
          <w:rFonts w:hint="eastAsia" w:ascii="宋体" w:hAnsi="宋体" w:cs="仿宋"/>
          <w:szCs w:val="21"/>
        </w:rPr>
        <w:t>、乙方必须按照法律法规的要求在施工现场配备足额的专职安全管理人员，安全管理人员必须持有安全生产考核合格证书。</w:t>
      </w:r>
    </w:p>
    <w:p w14:paraId="107FF823">
      <w:pPr>
        <w:spacing w:line="520" w:lineRule="exact"/>
        <w:ind w:firstLine="420" w:firstLineChars="200"/>
        <w:rPr>
          <w:rFonts w:ascii="宋体" w:hAnsi="宋体" w:cs="仿宋"/>
          <w:szCs w:val="21"/>
        </w:rPr>
      </w:pPr>
      <w:r>
        <w:rPr>
          <w:rFonts w:ascii="宋体" w:hAnsi="宋体" w:cs="仿宋"/>
          <w:szCs w:val="21"/>
        </w:rPr>
        <w:t>6.5、</w:t>
      </w:r>
      <w:r>
        <w:rPr>
          <w:rFonts w:hint="eastAsia" w:ascii="宋体" w:hAnsi="宋体" w:cs="仿宋"/>
          <w:szCs w:val="21"/>
        </w:rPr>
        <w:t>乙方必须按图纸、标准和规范以及专项安全方案、安全技术措施、安全技术交底和安全操作规程进行作业。</w:t>
      </w:r>
    </w:p>
    <w:p w14:paraId="164765E4">
      <w:pPr>
        <w:spacing w:line="520" w:lineRule="exact"/>
        <w:ind w:firstLine="420" w:firstLineChars="200"/>
        <w:rPr>
          <w:rFonts w:ascii="宋体" w:hAnsi="宋体" w:cs="仿宋"/>
          <w:szCs w:val="21"/>
        </w:rPr>
      </w:pPr>
      <w:r>
        <w:rPr>
          <w:rFonts w:ascii="宋体" w:hAnsi="宋体" w:cs="仿宋"/>
          <w:szCs w:val="21"/>
        </w:rPr>
        <w:t>6.6、</w:t>
      </w:r>
      <w:r>
        <w:rPr>
          <w:rFonts w:hint="eastAsia" w:ascii="宋体" w:hAnsi="宋体" w:cs="仿宋"/>
          <w:szCs w:val="21"/>
        </w:rPr>
        <w:t>乙方组织进场的机械设备、机具、安全防护设施用品、临时用电设施以及自制自建的其他设施应符合国家、地方、行业标准，及时向甲方申报及验收，并对其安全性和使用维护负责，不合格的严禁使用。</w:t>
      </w:r>
    </w:p>
    <w:p w14:paraId="3F08EF09">
      <w:pPr>
        <w:spacing w:line="520" w:lineRule="exact"/>
        <w:ind w:firstLine="420" w:firstLineChars="200"/>
        <w:rPr>
          <w:rFonts w:ascii="宋体" w:hAnsi="宋体" w:cs="仿宋"/>
          <w:szCs w:val="21"/>
        </w:rPr>
      </w:pPr>
      <w:r>
        <w:rPr>
          <w:rFonts w:ascii="宋体" w:hAnsi="宋体" w:cs="仿宋"/>
          <w:szCs w:val="21"/>
        </w:rPr>
        <w:t>6.7、</w:t>
      </w:r>
      <w:r>
        <w:rPr>
          <w:rFonts w:hint="eastAsia" w:ascii="宋体" w:hAnsi="宋体" w:cs="仿宋"/>
          <w:szCs w:val="21"/>
        </w:rPr>
        <w:t>乙方应按合同约定设置、维护承包范围内的安全防护设施，对甲方提供的各类设施负责按规定使用、维护、保养和维修，不得随意拆除施工现场的各类安全防护设施、警示设施。</w:t>
      </w:r>
    </w:p>
    <w:p w14:paraId="49E27A1E">
      <w:pPr>
        <w:spacing w:line="520" w:lineRule="exact"/>
        <w:ind w:firstLine="420" w:firstLineChars="200"/>
        <w:rPr>
          <w:rFonts w:ascii="宋体" w:hAnsi="宋体" w:cs="仿宋"/>
          <w:szCs w:val="21"/>
        </w:rPr>
      </w:pPr>
      <w:r>
        <w:rPr>
          <w:rFonts w:ascii="宋体" w:hAnsi="宋体" w:cs="仿宋"/>
          <w:szCs w:val="21"/>
        </w:rPr>
        <w:t>6.8、</w:t>
      </w:r>
      <w:r>
        <w:rPr>
          <w:rFonts w:hint="eastAsia" w:ascii="宋体" w:hAnsi="宋体" w:cs="仿宋"/>
          <w:szCs w:val="21"/>
        </w:rPr>
        <w:t>乙方在实施有可能发生火灾、爆炸、触电、 高空坠落、坍塌、中毒、窒息、机械伤害、烧烫伤等人身伤亡事故和可能引发严重设备事故情况时，施工前应主动书面通知甲方。</w:t>
      </w:r>
    </w:p>
    <w:p w14:paraId="0D685157">
      <w:pPr>
        <w:pStyle w:val="46"/>
        <w:spacing w:after="0" w:line="520" w:lineRule="exact"/>
        <w:ind w:left="0" w:leftChars="0" w:right="-59" w:rightChars="-28"/>
        <w:rPr>
          <w:rFonts w:ascii="宋体" w:hAnsi="宋体" w:cs="仿宋"/>
          <w:szCs w:val="21"/>
        </w:rPr>
      </w:pPr>
      <w:r>
        <w:rPr>
          <w:rFonts w:ascii="宋体" w:hAnsi="宋体" w:cs="仿宋"/>
          <w:szCs w:val="21"/>
        </w:rPr>
        <w:t>6.9</w:t>
      </w:r>
      <w:r>
        <w:rPr>
          <w:rFonts w:hint="eastAsia" w:ascii="宋体" w:hAnsi="宋体" w:cs="仿宋"/>
          <w:szCs w:val="21"/>
        </w:rPr>
        <w:t>、乙方现场安全设备的设计、制造、安装、使用、检测、维修、改造和报废，应当符合国家标准或者行业标准。必须对安全设备进行经常性维护、保养，并定期检测，保证正常运转。维护、保养、检测应当作好记录，并由有关人员签字。不得关闭、破坏直接关系生产安全的监控、报警、防护、救生设备、设施，或者篡改、隐瞒、销毁其相关数据、信息。</w:t>
      </w:r>
    </w:p>
    <w:p w14:paraId="7E9DC7BC">
      <w:pPr>
        <w:pStyle w:val="46"/>
        <w:spacing w:after="0" w:line="520" w:lineRule="exact"/>
        <w:ind w:left="0" w:leftChars="0" w:right="-59" w:rightChars="-28"/>
        <w:rPr>
          <w:rFonts w:ascii="宋体" w:hAnsi="宋体" w:cs="仿宋"/>
          <w:szCs w:val="21"/>
        </w:rPr>
      </w:pPr>
      <w:r>
        <w:rPr>
          <w:rFonts w:ascii="宋体" w:hAnsi="宋体" w:cs="仿宋"/>
          <w:szCs w:val="21"/>
        </w:rPr>
        <w:t>6.10</w:t>
      </w:r>
      <w:r>
        <w:rPr>
          <w:rFonts w:hint="eastAsia" w:ascii="宋体" w:hAnsi="宋体" w:cs="仿宋"/>
          <w:szCs w:val="21"/>
        </w:rPr>
        <w:t>、对重大危险源应当登记建档，乙方应进行定期检测、评估、监控，并制定应急预案，告知从业人员和相关人员在紧急情况下应当采取的应急措施。应当教育和督促从业人员严格执行本单位的安全生产规章制度和安全操作规程；并向从业人员如实告知作业场所和工作岗位存在的危险因素、防范措施以及事故应急措施。</w:t>
      </w:r>
    </w:p>
    <w:p w14:paraId="0902AD08">
      <w:pPr>
        <w:spacing w:line="520" w:lineRule="exact"/>
        <w:ind w:right="-59" w:rightChars="-28" w:firstLine="420" w:firstLineChars="200"/>
        <w:rPr>
          <w:rFonts w:ascii="宋体" w:hAnsi="宋体" w:cs="仿宋"/>
          <w:szCs w:val="21"/>
        </w:rPr>
      </w:pPr>
      <w:r>
        <w:rPr>
          <w:rFonts w:ascii="宋体" w:hAnsi="宋体" w:cs="仿宋"/>
          <w:szCs w:val="21"/>
        </w:rPr>
        <w:t>6.11</w:t>
      </w:r>
      <w:r>
        <w:rPr>
          <w:rFonts w:hint="eastAsia" w:ascii="宋体" w:hAnsi="宋体" w:cs="仿宋"/>
          <w:szCs w:val="21"/>
        </w:rPr>
        <w:t>、乙方从业人员在作业过程中，应当严格落实岗位安全责任，遵守本单位的安全生产规章制度和操作规程，服从管理，正确佩戴和使用劳动防护用品。应当接受安全生产教育和培训，掌握本职工作所需的安全生产知识，提高安全生产技能，增强事故预防和应急处理能力。包含各工种安全操作规程、特种作业人员持证上岗与审查考评制度、各级安全生产岗位责任制和定时安全检验、安全教育制度等， 乙方参与施工人员要求身体健康 (特种作业人员按国家相关文件要求实施)。</w:t>
      </w:r>
    </w:p>
    <w:p w14:paraId="587151B9">
      <w:pPr>
        <w:pStyle w:val="46"/>
        <w:spacing w:after="0" w:line="520" w:lineRule="exact"/>
        <w:ind w:left="0" w:leftChars="0" w:right="-59" w:rightChars="-28"/>
        <w:rPr>
          <w:rFonts w:ascii="宋体" w:hAnsi="宋体" w:cs="仿宋"/>
          <w:szCs w:val="21"/>
        </w:rPr>
      </w:pPr>
      <w:r>
        <w:rPr>
          <w:rFonts w:ascii="宋体" w:hAnsi="宋体" w:cs="仿宋"/>
          <w:szCs w:val="21"/>
        </w:rPr>
        <w:t>6.12</w:t>
      </w:r>
      <w:r>
        <w:rPr>
          <w:rFonts w:hint="eastAsia" w:ascii="宋体" w:hAnsi="宋体" w:cs="仿宋"/>
          <w:szCs w:val="21"/>
        </w:rPr>
        <w:t>、乙方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14:paraId="13475447">
      <w:pPr>
        <w:spacing w:line="520" w:lineRule="exact"/>
        <w:ind w:right="-59" w:rightChars="-28" w:firstLine="420" w:firstLineChars="200"/>
        <w:rPr>
          <w:rFonts w:ascii="宋体" w:hAnsi="宋体" w:cs="仿宋"/>
          <w:szCs w:val="21"/>
        </w:rPr>
      </w:pPr>
      <w:r>
        <w:rPr>
          <w:rFonts w:ascii="宋体" w:hAnsi="宋体" w:cs="仿宋"/>
          <w:szCs w:val="21"/>
        </w:rPr>
        <w:t>6.13</w:t>
      </w:r>
      <w:r>
        <w:rPr>
          <w:rFonts w:hint="eastAsia" w:ascii="宋体" w:hAnsi="宋体" w:cs="仿宋"/>
          <w:szCs w:val="21"/>
        </w:rPr>
        <w:t>、乙方在施工期问必需严格遵守和实施甲方在安全生产、消防等方面相关要求，接受甲方监督、检验和指导，并按施工违章考评(处罚)标准给予处罚。甲方违反安全生产法律、制度指令，乙方有权拒绝实施，乙方有权要求甲方改善，甲方应认真整改。</w:t>
      </w:r>
    </w:p>
    <w:p w14:paraId="06A0D3B9">
      <w:pPr>
        <w:spacing w:line="520" w:lineRule="exact"/>
        <w:ind w:right="-59" w:rightChars="-28" w:firstLine="420" w:firstLineChars="200"/>
        <w:rPr>
          <w:rFonts w:ascii="宋体" w:hAnsi="宋体" w:cs="仿宋"/>
          <w:szCs w:val="21"/>
        </w:rPr>
      </w:pPr>
      <w:r>
        <w:rPr>
          <w:rFonts w:ascii="宋体" w:hAnsi="宋体" w:cs="仿宋"/>
          <w:szCs w:val="21"/>
        </w:rPr>
        <w:t>6.14</w:t>
      </w:r>
      <w:r>
        <w:rPr>
          <w:rFonts w:hint="eastAsia" w:ascii="宋体" w:hAnsi="宋体" w:cs="仿宋"/>
          <w:szCs w:val="21"/>
        </w:rPr>
        <w:t>、乙方施工人员应对所在施工区域、作业环境及所使用设施、设备、工器具等进行认真检验。发觉隐患立刻停止施工，并经落实整改后方准继续施工。一经开工，就表示乙方已确定施工场所、作业环境、设备、安全防护设施等均符合安全生产要求和处于安全状态，由此乙方对施工过程中因为上述原因而造成事故负全方面责任。</w:t>
      </w:r>
    </w:p>
    <w:p w14:paraId="0A336547">
      <w:pPr>
        <w:spacing w:line="520" w:lineRule="exact"/>
        <w:ind w:right="-59" w:rightChars="-28" w:firstLine="420" w:firstLineChars="200"/>
        <w:rPr>
          <w:rFonts w:ascii="宋体" w:hAnsi="宋体" w:cs="仿宋"/>
          <w:szCs w:val="21"/>
        </w:rPr>
      </w:pPr>
      <w:r>
        <w:rPr>
          <w:rFonts w:ascii="宋体" w:hAnsi="宋体" w:cs="仿宋"/>
          <w:szCs w:val="21"/>
        </w:rPr>
        <w:t>6.15</w:t>
      </w:r>
      <w:r>
        <w:rPr>
          <w:rFonts w:hint="eastAsia" w:ascii="宋体" w:hAnsi="宋体" w:cs="仿宋"/>
          <w:szCs w:val="21"/>
        </w:rPr>
        <w:t>、乙方使用施工作业脚手架，应由经培训考评取得特种作业证人员进行搭设(或委托有专业资质单位搭建)。乙方负责现场安全责任人要对施工现场所用脚手架天天开工前做必需检验，发觉隐患应立刻整改，检验合格后再登架作业。严禁使用未经验收、检验不合格和超出使用期内脚手架。</w:t>
      </w:r>
    </w:p>
    <w:p w14:paraId="0D0021A2">
      <w:pPr>
        <w:spacing w:line="520" w:lineRule="exact"/>
        <w:ind w:right="-59" w:rightChars="-28" w:firstLine="420" w:firstLineChars="200"/>
        <w:rPr>
          <w:rFonts w:ascii="宋体" w:hAnsi="宋体" w:cs="仿宋"/>
          <w:szCs w:val="21"/>
        </w:rPr>
      </w:pPr>
      <w:r>
        <w:rPr>
          <w:rFonts w:ascii="宋体" w:hAnsi="宋体" w:cs="仿宋"/>
          <w:szCs w:val="21"/>
        </w:rPr>
        <w:t>6.16</w:t>
      </w:r>
      <w:r>
        <w:rPr>
          <w:rFonts w:hint="eastAsia" w:ascii="宋体" w:hAnsi="宋体" w:cs="仿宋"/>
          <w:szCs w:val="21"/>
        </w:rPr>
        <w:t>、乙方在施工期间所使用多种机械设备及工器具应确保设备和工器具完好并符合安全要求，设备及工器具使用(包含有特殊使用要求说明)必需书面交代清楚。必需进行检验，并做好检验统计。设备和工器具保管、维修应由乙方负责，并严格实施安全操作规程。在使用过程中，因为设备、工器具原因或使用操作不妥而造成伤亡事故，由乙方负责。</w:t>
      </w:r>
    </w:p>
    <w:p w14:paraId="24D13860">
      <w:pPr>
        <w:spacing w:line="520" w:lineRule="exact"/>
        <w:ind w:right="-59" w:rightChars="-28" w:firstLine="420" w:firstLineChars="200"/>
        <w:rPr>
          <w:rFonts w:ascii="宋体" w:hAnsi="宋体" w:cs="仿宋"/>
          <w:szCs w:val="21"/>
        </w:rPr>
      </w:pPr>
      <w:r>
        <w:rPr>
          <w:rFonts w:ascii="宋体" w:hAnsi="宋体" w:cs="仿宋"/>
          <w:szCs w:val="21"/>
        </w:rPr>
        <w:t>6.17</w:t>
      </w:r>
      <w:r>
        <w:rPr>
          <w:rFonts w:hint="eastAsia" w:ascii="宋体" w:hAnsi="宋体" w:cs="仿宋"/>
          <w:szCs w:val="21"/>
        </w:rPr>
        <w:t>、乙方在施工中，应注意对地下设施(如:电缆、管道、光缆、接地网线等)及高压架空线保护。甲方对地下设施和障碍物应具体交底，明确施工要求。乙方应落实交底要求，如遇有情况，应立刻向甲方工程项目部和甲方指派安全管理人员联络处理，采取保护方法后施工。严禁冒险作业、野蛮作业。</w:t>
      </w:r>
    </w:p>
    <w:p w14:paraId="49164477">
      <w:pPr>
        <w:spacing w:line="520" w:lineRule="exact"/>
        <w:ind w:right="-59" w:rightChars="-28" w:firstLine="420" w:firstLineChars="200"/>
        <w:rPr>
          <w:rFonts w:ascii="宋体" w:hAnsi="宋体" w:cs="仿宋"/>
          <w:color w:val="auto"/>
          <w:szCs w:val="21"/>
        </w:rPr>
      </w:pPr>
      <w:r>
        <w:rPr>
          <w:rFonts w:ascii="宋体" w:hAnsi="宋体" w:cs="仿宋"/>
          <w:szCs w:val="21"/>
        </w:rPr>
        <w:t>6.18</w:t>
      </w:r>
      <w:r>
        <w:rPr>
          <w:rFonts w:hint="eastAsia" w:ascii="宋体" w:hAnsi="宋体" w:cs="仿宋"/>
          <w:szCs w:val="21"/>
        </w:rPr>
        <w:t>、乙方应当建立纵向到底、横向到边的全员安全生产责任制，以保证安全生产工作人人有责、各负其责；各岗位的责任人员、责任范围及相关考核标准一目了然。当管理架构发生变化、岗位设</w:t>
      </w:r>
      <w:r>
        <w:rPr>
          <w:rFonts w:hint="eastAsia" w:ascii="宋体" w:hAnsi="宋体" w:cs="仿宋"/>
          <w:color w:val="auto"/>
          <w:szCs w:val="21"/>
        </w:rPr>
        <w:t>置调整，从业人员变动时，乙方应当及时对全员安全生产责任制内容作出相应修改，以适应安全生产工作的需要。</w:t>
      </w:r>
    </w:p>
    <w:p w14:paraId="561B9708">
      <w:pPr>
        <w:spacing w:line="520" w:lineRule="exact"/>
        <w:ind w:right="-59" w:rightChars="-28" w:firstLine="420" w:firstLineChars="200"/>
        <w:rPr>
          <w:rFonts w:ascii="宋体" w:hAnsi="宋体" w:cs="仿宋"/>
          <w:color w:val="auto"/>
          <w:szCs w:val="21"/>
        </w:rPr>
      </w:pPr>
      <w:r>
        <w:rPr>
          <w:rFonts w:ascii="宋体" w:hAnsi="宋体" w:cs="仿宋"/>
          <w:color w:val="auto"/>
          <w:szCs w:val="21"/>
        </w:rPr>
        <w:t>6.19</w:t>
      </w:r>
      <w:r>
        <w:rPr>
          <w:rFonts w:hint="eastAsia" w:ascii="宋体" w:hAnsi="宋体" w:cs="仿宋"/>
          <w:color w:val="auto"/>
          <w:szCs w:val="21"/>
        </w:rPr>
        <w:t>、乙方应对工作现场的行为完全负责，乙方工作人员不得违章作业，冒险作业，不能疲劳作业，并按规定做好保护工作；工程现场人员必须有配备齐全的安全防护用品，不能满足安全工程需要时，人员不得进入工程现场。</w:t>
      </w:r>
    </w:p>
    <w:p w14:paraId="0AF86E65">
      <w:pPr>
        <w:spacing w:line="520" w:lineRule="exact"/>
        <w:ind w:right="-59" w:rightChars="-28" w:firstLine="420" w:firstLineChars="200"/>
        <w:rPr>
          <w:rFonts w:ascii="宋体" w:hAnsi="宋体" w:cs="仿宋"/>
          <w:color w:val="auto"/>
          <w:szCs w:val="21"/>
        </w:rPr>
      </w:pPr>
      <w:r>
        <w:rPr>
          <w:rFonts w:ascii="宋体" w:hAnsi="宋体" w:cs="仿宋"/>
          <w:color w:val="auto"/>
          <w:szCs w:val="21"/>
        </w:rPr>
        <w:t>6.20</w:t>
      </w:r>
      <w:r>
        <w:rPr>
          <w:rFonts w:hint="eastAsia" w:ascii="宋体" w:hAnsi="宋体" w:cs="仿宋"/>
          <w:color w:val="auto"/>
          <w:szCs w:val="21"/>
        </w:rPr>
        <w:t>、乙方与从业人员订立的劳动合同，应当载明有关保障从业人员劳动安全、防止职业危害的事项，以及依法为从业人员办理工伤保险的事项。乙方不得以任何形式与从业人员订立协议，免除或者减轻其对从业人员因生产安全事故伤亡依法应承担的责任。在施工过程中如发生人身伤亡事故，由乙方承担全部负责。</w:t>
      </w:r>
    </w:p>
    <w:p w14:paraId="7EF53A67">
      <w:pPr>
        <w:spacing w:line="520" w:lineRule="exact"/>
        <w:ind w:firstLine="422" w:firstLineChars="200"/>
        <w:rPr>
          <w:rFonts w:ascii="宋体" w:hAnsi="宋体" w:cs="仿宋"/>
          <w:b/>
          <w:bCs/>
          <w:color w:val="auto"/>
          <w:szCs w:val="21"/>
        </w:rPr>
      </w:pPr>
      <w:r>
        <w:rPr>
          <w:rFonts w:hint="eastAsia" w:ascii="宋体" w:hAnsi="宋体" w:cs="仿宋"/>
          <w:b/>
          <w:bCs/>
          <w:color w:val="auto"/>
          <w:szCs w:val="21"/>
        </w:rPr>
        <w:t>七、其他</w:t>
      </w:r>
    </w:p>
    <w:p w14:paraId="027711D7">
      <w:pPr>
        <w:spacing w:line="520" w:lineRule="exact"/>
        <w:ind w:firstLine="420" w:firstLineChars="200"/>
        <w:rPr>
          <w:rFonts w:ascii="宋体" w:hAnsi="宋体" w:cs="仿宋"/>
          <w:szCs w:val="21"/>
        </w:rPr>
      </w:pPr>
      <w:r>
        <w:rPr>
          <w:rFonts w:hint="eastAsia" w:ascii="宋体" w:hAnsi="宋体" w:cs="仿宋"/>
          <w:szCs w:val="21"/>
        </w:rPr>
        <w:t>本协议一式</w:t>
      </w:r>
      <w:r>
        <w:rPr>
          <w:rFonts w:hint="eastAsia" w:ascii="宋体" w:hAnsi="宋体" w:cs="仿宋"/>
          <w:b/>
          <w:szCs w:val="21"/>
          <w:u w:val="single"/>
        </w:rPr>
        <w:t>贰</w:t>
      </w:r>
      <w:r>
        <w:rPr>
          <w:rFonts w:hint="eastAsia" w:ascii="宋体" w:hAnsi="宋体" w:cs="仿宋"/>
          <w:szCs w:val="21"/>
        </w:rPr>
        <w:t>份，具有同等法律效力，甲乙双方各持</w:t>
      </w:r>
      <w:r>
        <w:rPr>
          <w:rFonts w:hint="eastAsia" w:ascii="宋体" w:hAnsi="宋体" w:cs="仿宋"/>
          <w:b/>
          <w:szCs w:val="21"/>
          <w:u w:val="single"/>
        </w:rPr>
        <w:t>壹</w:t>
      </w:r>
      <w:r>
        <w:rPr>
          <w:rFonts w:hint="eastAsia" w:ascii="宋体" w:hAnsi="宋体" w:cs="仿宋"/>
          <w:szCs w:val="21"/>
        </w:rPr>
        <w:t>份，本协议经双方签字、盖章之日起即时生效，作为《施工合同》附件并含有相同法律效力。因履行本协议发生纠纷</w:t>
      </w:r>
      <w:r>
        <w:rPr>
          <w:rFonts w:ascii="宋体" w:hAnsi="宋体" w:cs="仿宋"/>
          <w:szCs w:val="21"/>
        </w:rPr>
        <w:t>，</w:t>
      </w:r>
      <w:r>
        <w:rPr>
          <w:rFonts w:hint="eastAsia" w:ascii="宋体" w:hAnsi="宋体" w:cs="仿宋"/>
          <w:szCs w:val="21"/>
        </w:rPr>
        <w:t>双方应友好协商</w:t>
      </w:r>
      <w:r>
        <w:rPr>
          <w:rFonts w:ascii="宋体" w:hAnsi="宋体" w:cs="仿宋"/>
          <w:szCs w:val="21"/>
        </w:rPr>
        <w:t>，</w:t>
      </w:r>
      <w:r>
        <w:rPr>
          <w:rFonts w:hint="eastAsia" w:ascii="宋体" w:hAnsi="宋体" w:cs="仿宋"/>
          <w:szCs w:val="21"/>
        </w:rPr>
        <w:t>协商不成的可以向工程所在地人民法院提起诉讼</w:t>
      </w:r>
      <w:r>
        <w:rPr>
          <w:rFonts w:ascii="宋体" w:hAnsi="宋体" w:cs="仿宋"/>
          <w:szCs w:val="21"/>
        </w:rPr>
        <w:t>。</w:t>
      </w:r>
    </w:p>
    <w:p w14:paraId="59F690D7">
      <w:pPr>
        <w:spacing w:line="520" w:lineRule="exact"/>
        <w:ind w:firstLine="420" w:firstLineChars="200"/>
        <w:rPr>
          <w:rFonts w:ascii="宋体" w:hAnsi="宋体" w:cs="仿宋"/>
          <w:szCs w:val="21"/>
        </w:rPr>
      </w:pPr>
    </w:p>
    <w:p w14:paraId="5181510B">
      <w:pPr>
        <w:spacing w:line="520" w:lineRule="exact"/>
        <w:rPr>
          <w:rFonts w:ascii="宋体" w:hAnsi="宋体" w:cs="仿宋"/>
          <w:color w:val="auto"/>
          <w:szCs w:val="21"/>
        </w:rPr>
      </w:pPr>
      <w:r>
        <w:rPr>
          <w:rFonts w:hint="eastAsia" w:ascii="宋体" w:hAnsi="宋体" w:cs="仿宋"/>
          <w:color w:val="auto"/>
          <w:szCs w:val="21"/>
        </w:rPr>
        <w:t>甲     方：（公章）                乙     方：（公章）</w:t>
      </w:r>
    </w:p>
    <w:p w14:paraId="5A08AAA2">
      <w:pPr>
        <w:spacing w:line="520" w:lineRule="exact"/>
        <w:rPr>
          <w:rFonts w:ascii="宋体" w:hAnsi="宋体" w:cs="仿宋"/>
          <w:color w:val="auto"/>
          <w:szCs w:val="21"/>
        </w:rPr>
      </w:pPr>
      <w:r>
        <w:rPr>
          <w:rFonts w:hint="eastAsia" w:ascii="宋体" w:hAnsi="宋体" w:cs="仿宋"/>
          <w:color w:val="auto"/>
          <w:szCs w:val="21"/>
        </w:rPr>
        <w:t>法定代表人（委托代理人）：         法定代表人：</w:t>
      </w:r>
    </w:p>
    <w:p w14:paraId="3D20F7F8">
      <w:pPr>
        <w:spacing w:line="520" w:lineRule="exact"/>
        <w:rPr>
          <w:rFonts w:ascii="宋体" w:hAnsi="宋体" w:cs="仿宋"/>
          <w:szCs w:val="21"/>
        </w:rPr>
      </w:pPr>
      <w:r>
        <w:rPr>
          <w:rFonts w:hint="eastAsia" w:ascii="宋体" w:hAnsi="宋体" w:cs="仿宋"/>
          <w:color w:val="auto"/>
          <w:szCs w:val="21"/>
        </w:rPr>
        <w:t xml:space="preserve">项目经理：      </w:t>
      </w:r>
      <w:r>
        <w:rPr>
          <w:rFonts w:hint="eastAsia" w:ascii="宋体" w:hAnsi="宋体" w:cs="仿宋"/>
          <w:szCs w:val="21"/>
        </w:rPr>
        <w:t xml:space="preserve">                  委托代理人：</w:t>
      </w:r>
    </w:p>
    <w:p w14:paraId="61BB20F1">
      <w:pPr>
        <w:spacing w:line="520" w:lineRule="exact"/>
        <w:rPr>
          <w:rFonts w:ascii="宋体" w:hAnsi="宋体" w:cs="仿宋"/>
          <w:szCs w:val="21"/>
        </w:rPr>
      </w:pPr>
      <w:r>
        <w:rPr>
          <w:rFonts w:hint="eastAsia" w:ascii="宋体" w:hAnsi="宋体" w:cs="仿宋"/>
          <w:szCs w:val="21"/>
        </w:rPr>
        <w:t xml:space="preserve">电    话：                        电      话：          </w:t>
      </w:r>
    </w:p>
    <w:p w14:paraId="5BE1D154">
      <w:pPr>
        <w:spacing w:line="520" w:lineRule="exact"/>
        <w:rPr>
          <w:rFonts w:ascii="宋体" w:hAnsi="宋体" w:cs="仿宋"/>
          <w:szCs w:val="21"/>
        </w:rPr>
      </w:pPr>
      <w:r>
        <w:rPr>
          <w:rFonts w:hint="eastAsia" w:ascii="宋体" w:hAnsi="宋体" w:cs="仿宋"/>
          <w:szCs w:val="21"/>
        </w:rPr>
        <w:t>年  月  日                        年  月  日</w:t>
      </w:r>
    </w:p>
    <w:p w14:paraId="3FE51AC4">
      <w:pPr>
        <w:spacing w:line="520" w:lineRule="exact"/>
        <w:rPr>
          <w:rFonts w:ascii="仿宋" w:hAnsi="仿宋" w:eastAsia="仿宋" w:cs="仿宋"/>
          <w:sz w:val="28"/>
          <w:szCs w:val="28"/>
        </w:rPr>
      </w:pPr>
    </w:p>
    <w:p w14:paraId="1AFFBABB"/>
    <w:p w14:paraId="2E476780">
      <w:pPr>
        <w:spacing w:line="360" w:lineRule="auto"/>
        <w:rPr>
          <w:rFonts w:ascii="宋体" w:hAnsi="宋体" w:cs="宋体"/>
        </w:rPr>
      </w:pPr>
      <w:r>
        <w:rPr>
          <w:rFonts w:ascii="宋体" w:hAnsi="宋体" w:cs="宋体"/>
        </w:rPr>
        <w:t>附件</w:t>
      </w:r>
      <w:r>
        <w:rPr>
          <w:rFonts w:hint="eastAsia" w:ascii="宋体" w:hAnsi="宋体" w:cs="宋体"/>
        </w:rPr>
        <w:t>3</w:t>
      </w:r>
    </w:p>
    <w:p w14:paraId="5ADD8AF0">
      <w:pPr>
        <w:spacing w:after="240" w:afterLines="100" w:line="500" w:lineRule="exact"/>
        <w:ind w:left="542" w:hanging="542"/>
        <w:jc w:val="center"/>
        <w:rPr>
          <w:rFonts w:ascii="宋体" w:hAnsi="宋体" w:cs="宋体"/>
          <w:b/>
          <w:sz w:val="44"/>
          <w:szCs w:val="44"/>
        </w:rPr>
      </w:pPr>
      <w:r>
        <w:rPr>
          <w:rFonts w:hint="eastAsia" w:ascii="宋体" w:hAnsi="宋体" w:cs="宋体"/>
          <w:b/>
          <w:sz w:val="36"/>
          <w:szCs w:val="36"/>
        </w:rPr>
        <w:t>湘潭大学项目建设廉洁从业承诺书</w:t>
      </w:r>
    </w:p>
    <w:p w14:paraId="0D16DF6C">
      <w:pPr>
        <w:spacing w:line="560" w:lineRule="exact"/>
        <w:ind w:firstLine="420" w:firstLineChars="200"/>
        <w:rPr>
          <w:rFonts w:ascii="宋体" w:hAnsi="宋体" w:cs="宋体"/>
          <w:bCs/>
          <w:szCs w:val="21"/>
        </w:rPr>
      </w:pPr>
      <w:r>
        <w:rPr>
          <w:rFonts w:hint="eastAsia" w:ascii="宋体" w:hAnsi="宋体" w:cs="宋体"/>
          <w:bCs/>
          <w:szCs w:val="21"/>
        </w:rPr>
        <w:t>本人</w:t>
      </w:r>
      <w:r>
        <w:rPr>
          <w:rFonts w:hint="eastAsia" w:ascii="宋体" w:hAnsi="宋体" w:cs="宋体"/>
          <w:bCs/>
          <w:szCs w:val="21"/>
          <w:u w:val="single"/>
        </w:rPr>
        <w:t xml:space="preserve">  </w:t>
      </w:r>
      <w:r>
        <w:rPr>
          <w:rFonts w:ascii="宋体" w:hAnsi="宋体" w:cs="宋体"/>
          <w:bCs/>
          <w:szCs w:val="21"/>
          <w:u w:val="single"/>
        </w:rPr>
        <w:t xml:space="preserve">     </w:t>
      </w:r>
      <w:r>
        <w:rPr>
          <w:rFonts w:hint="eastAsia" w:ascii="宋体" w:hAnsi="宋体" w:cs="宋体"/>
          <w:bCs/>
          <w:szCs w:val="21"/>
          <w:u w:val="single"/>
        </w:rPr>
        <w:t xml:space="preserve"> </w:t>
      </w:r>
      <w:r>
        <w:rPr>
          <w:rFonts w:hint="eastAsia" w:ascii="宋体" w:hAnsi="宋体" w:cs="宋体"/>
          <w:bCs/>
          <w:szCs w:val="21"/>
        </w:rPr>
        <w:t>作为</w:t>
      </w:r>
      <w:r>
        <w:rPr>
          <w:rFonts w:hint="eastAsia" w:ascii="宋体" w:hAnsi="宋体" w:cs="宋体"/>
          <w:bCs/>
          <w:szCs w:val="21"/>
          <w:u w:val="single"/>
        </w:rPr>
        <w:t xml:space="preserve"> </w:t>
      </w:r>
      <w:r>
        <w:rPr>
          <w:rFonts w:ascii="宋体" w:hAnsi="宋体" w:cs="宋体"/>
          <w:bCs/>
          <w:szCs w:val="21"/>
          <w:u w:val="single"/>
        </w:rPr>
        <w:t xml:space="preserve">      </w:t>
      </w:r>
      <w:r>
        <w:rPr>
          <w:rFonts w:hint="eastAsia" w:ascii="宋体" w:hAnsi="宋体" w:cs="宋体"/>
          <w:bCs/>
          <w:szCs w:val="21"/>
        </w:rPr>
        <w:t>法人代表（法人、委托人），为</w:t>
      </w:r>
      <w:r>
        <w:rPr>
          <w:rFonts w:hint="eastAsia" w:ascii="宋体" w:hAnsi="宋体" w:cs="宋体"/>
          <w:bCs/>
          <w:szCs w:val="21"/>
          <w:u w:val="single"/>
        </w:rPr>
        <w:t xml:space="preserve"> </w:t>
      </w:r>
      <w:r>
        <w:rPr>
          <w:rFonts w:ascii="宋体" w:hAnsi="宋体"/>
          <w:szCs w:val="21"/>
          <w:u w:val="single"/>
        </w:rPr>
        <w:t xml:space="preserve">                </w:t>
      </w:r>
      <w:r>
        <w:rPr>
          <w:rFonts w:hint="eastAsia" w:ascii="宋体" w:hAnsi="宋体" w:cs="宋体"/>
          <w:bCs/>
          <w:szCs w:val="21"/>
          <w:u w:val="single"/>
        </w:rPr>
        <w:t xml:space="preserve"> </w:t>
      </w:r>
      <w:r>
        <w:rPr>
          <w:rFonts w:hint="eastAsia" w:ascii="宋体" w:hAnsi="宋体" w:cs="宋体"/>
          <w:bCs/>
          <w:szCs w:val="21"/>
        </w:rPr>
        <w:t>项目廉洁从业的第一责任人。根据招投标政策法规和学校要求，郑重承诺:</w:t>
      </w:r>
    </w:p>
    <w:p w14:paraId="09B8D6F6">
      <w:pPr>
        <w:spacing w:line="560" w:lineRule="exact"/>
        <w:ind w:firstLine="420" w:firstLineChars="200"/>
        <w:rPr>
          <w:rFonts w:ascii="宋体" w:hAnsi="宋体" w:cs="宋体"/>
          <w:bCs/>
          <w:szCs w:val="21"/>
        </w:rPr>
      </w:pPr>
      <w:r>
        <w:rPr>
          <w:rFonts w:hint="eastAsia" w:ascii="宋体" w:hAnsi="宋体" w:cs="宋体"/>
          <w:bCs/>
          <w:szCs w:val="21"/>
        </w:rPr>
        <w:t>（一）严格按合同约定履职尽责，自觉接受学校及相关部门监督；</w:t>
      </w:r>
    </w:p>
    <w:p w14:paraId="159DB6BD">
      <w:pPr>
        <w:spacing w:line="560" w:lineRule="exact"/>
        <w:ind w:firstLine="420" w:firstLineChars="200"/>
        <w:rPr>
          <w:rFonts w:ascii="宋体" w:hAnsi="宋体" w:cs="宋体"/>
          <w:bCs/>
          <w:szCs w:val="21"/>
        </w:rPr>
      </w:pPr>
      <w:r>
        <w:rPr>
          <w:rFonts w:hint="eastAsia" w:ascii="宋体" w:hAnsi="宋体" w:cs="宋体"/>
          <w:bCs/>
          <w:szCs w:val="21"/>
        </w:rPr>
        <w:t>（二）确保项目质量，严格按规范和工艺施工，不偷工减料、以次充好；</w:t>
      </w:r>
    </w:p>
    <w:p w14:paraId="79EEFCDA">
      <w:pPr>
        <w:spacing w:line="560" w:lineRule="exact"/>
        <w:ind w:firstLine="420" w:firstLineChars="200"/>
        <w:rPr>
          <w:rFonts w:ascii="宋体" w:hAnsi="宋体" w:cs="宋体"/>
          <w:bCs/>
          <w:szCs w:val="21"/>
        </w:rPr>
      </w:pPr>
      <w:r>
        <w:rPr>
          <w:rFonts w:hint="eastAsia" w:ascii="宋体" w:hAnsi="宋体" w:cs="宋体"/>
          <w:bCs/>
          <w:szCs w:val="21"/>
        </w:rPr>
        <w:t>（三）对施工过程中出现的问题严格按要求整改落实；</w:t>
      </w:r>
    </w:p>
    <w:p w14:paraId="73C03532">
      <w:pPr>
        <w:spacing w:line="560" w:lineRule="exact"/>
        <w:ind w:firstLine="420" w:firstLineChars="200"/>
        <w:rPr>
          <w:rFonts w:ascii="宋体" w:hAnsi="宋体" w:cs="宋体"/>
          <w:bCs/>
          <w:szCs w:val="21"/>
        </w:rPr>
      </w:pPr>
      <w:r>
        <w:rPr>
          <w:rFonts w:hint="eastAsia" w:ascii="宋体" w:hAnsi="宋体" w:cs="宋体"/>
          <w:bCs/>
          <w:szCs w:val="21"/>
        </w:rPr>
        <w:t>（四）严格遵守纪律法规要求，不向相关监管人员进行宴请、赠送礼品礼金有价证券等任何形式的商业贿赂；</w:t>
      </w:r>
    </w:p>
    <w:p w14:paraId="30E6F03A">
      <w:pPr>
        <w:spacing w:line="560" w:lineRule="exact"/>
        <w:ind w:firstLine="420" w:firstLineChars="200"/>
        <w:rPr>
          <w:rFonts w:ascii="宋体" w:hAnsi="宋体" w:cs="宋体"/>
          <w:bCs/>
          <w:szCs w:val="21"/>
        </w:rPr>
      </w:pPr>
      <w:r>
        <w:rPr>
          <w:rFonts w:hint="eastAsia" w:ascii="宋体" w:hAnsi="宋体" w:cs="宋体"/>
          <w:bCs/>
          <w:szCs w:val="21"/>
        </w:rPr>
        <w:t>（五）无其他违纪违规违法行为。</w:t>
      </w:r>
    </w:p>
    <w:p w14:paraId="346DF1C6">
      <w:pPr>
        <w:spacing w:line="560" w:lineRule="exact"/>
        <w:rPr>
          <w:rFonts w:ascii="宋体" w:hAnsi="宋体" w:cs="宋体"/>
          <w:bCs/>
          <w:szCs w:val="21"/>
        </w:rPr>
      </w:pPr>
      <w:r>
        <w:rPr>
          <w:rFonts w:hint="eastAsia" w:ascii="宋体" w:hAnsi="宋体" w:cs="宋体"/>
          <w:bCs/>
          <w:szCs w:val="21"/>
        </w:rPr>
        <w:t xml:space="preserve"> </w:t>
      </w:r>
    </w:p>
    <w:p w14:paraId="2926B9BC">
      <w:pPr>
        <w:spacing w:line="560" w:lineRule="exact"/>
        <w:ind w:firstLine="2730" w:firstLineChars="1300"/>
        <w:rPr>
          <w:rFonts w:ascii="宋体" w:hAnsi="宋体" w:cs="宋体"/>
          <w:bCs/>
          <w:szCs w:val="21"/>
        </w:rPr>
      </w:pPr>
      <w:r>
        <w:rPr>
          <w:rFonts w:hint="eastAsia" w:ascii="宋体" w:hAnsi="宋体" w:cs="宋体"/>
          <w:bCs/>
          <w:szCs w:val="21"/>
        </w:rPr>
        <w:t xml:space="preserve">承诺人:      （签名、公司章）        </w:t>
      </w:r>
    </w:p>
    <w:p w14:paraId="291F44DD">
      <w:pPr>
        <w:spacing w:line="560" w:lineRule="exact"/>
        <w:ind w:firstLine="2730" w:firstLineChars="1300"/>
        <w:rPr>
          <w:rFonts w:ascii="宋体" w:hAnsi="宋体" w:cs="宋体"/>
          <w:bCs/>
          <w:szCs w:val="21"/>
        </w:rPr>
      </w:pPr>
      <w:r>
        <w:rPr>
          <w:rFonts w:hint="eastAsia" w:ascii="宋体" w:hAnsi="宋体" w:cs="宋体"/>
          <w:bCs/>
          <w:szCs w:val="21"/>
        </w:rPr>
        <w:t>身份证号码：</w:t>
      </w:r>
    </w:p>
    <w:p w14:paraId="2AD911D2">
      <w:pPr>
        <w:spacing w:line="560" w:lineRule="exact"/>
        <w:ind w:firstLine="2730" w:firstLineChars="1300"/>
        <w:rPr>
          <w:rFonts w:ascii="宋体" w:hAnsi="宋体" w:cs="宋体"/>
          <w:bCs/>
          <w:szCs w:val="21"/>
        </w:rPr>
      </w:pPr>
      <w:r>
        <w:rPr>
          <w:rFonts w:hint="eastAsia" w:ascii="宋体" w:hAnsi="宋体" w:cs="宋体"/>
          <w:bCs/>
          <w:szCs w:val="21"/>
        </w:rPr>
        <w:t xml:space="preserve">联系电话：   </w:t>
      </w:r>
    </w:p>
    <w:p w14:paraId="46EEB8FD"/>
    <w:p w14:paraId="1668EA5B">
      <w:pPr>
        <w:pStyle w:val="91"/>
        <w:ind w:hanging="315"/>
      </w:pPr>
    </w:p>
    <w:p w14:paraId="3483E165">
      <w:pPr>
        <w:spacing w:line="360" w:lineRule="auto"/>
      </w:pPr>
    </w:p>
    <w:p w14:paraId="47A65F53">
      <w:pPr>
        <w:ind w:hanging="315"/>
        <w:jc w:val="right"/>
        <w:rPr>
          <w:rFonts w:ascii="宋体" w:hAnsi="宋体" w:cs="宋体"/>
          <w:b/>
          <w:bCs/>
          <w:szCs w:val="21"/>
        </w:rPr>
      </w:pPr>
      <w:r>
        <w:rPr>
          <w:rFonts w:hint="eastAsia" w:ascii="宋体" w:hAnsi="宋体" w:cs="宋体"/>
          <w:bCs/>
          <w:szCs w:val="21"/>
        </w:rPr>
        <w:t>年   月   日</w:t>
      </w:r>
    </w:p>
    <w:p w14:paraId="7315170D">
      <w:pPr>
        <w:ind w:left="316" w:hanging="316"/>
      </w:pPr>
      <w:r>
        <w:rPr>
          <w:rFonts w:hint="eastAsia" w:ascii="宋体" w:hAnsi="宋体" w:cs="宋体"/>
          <w:b/>
          <w:bCs/>
          <w:szCs w:val="21"/>
        </w:rPr>
        <w:br w:type="page"/>
      </w:r>
    </w:p>
    <w:p w14:paraId="04A2BB2E">
      <w:pPr>
        <w:pStyle w:val="2"/>
        <w:ind w:left="482" w:hanging="482"/>
      </w:pPr>
      <w:r>
        <w:rPr>
          <w:rFonts w:hint="eastAsia"/>
        </w:rPr>
        <w:t>第五章 采购需求</w:t>
      </w:r>
      <w:bookmarkEnd w:id="70"/>
      <w:bookmarkEnd w:id="71"/>
      <w:bookmarkEnd w:id="72"/>
      <w:bookmarkEnd w:id="73"/>
      <w:bookmarkEnd w:id="74"/>
      <w:bookmarkEnd w:id="75"/>
    </w:p>
    <w:p w14:paraId="11297A53">
      <w:pPr>
        <w:pStyle w:val="198"/>
        <w:widowControl/>
        <w:tabs>
          <w:tab w:val="left" w:pos="9000"/>
        </w:tabs>
        <w:spacing w:line="360" w:lineRule="auto"/>
        <w:ind w:firstLine="0" w:firstLineChars="0"/>
        <w:jc w:val="left"/>
        <w:rPr>
          <w:rFonts w:ascii="宋体" w:hAnsi="宋体" w:cs="宋体"/>
          <w:b/>
          <w:kern w:val="0"/>
          <w:szCs w:val="21"/>
        </w:rPr>
      </w:pPr>
    </w:p>
    <w:p w14:paraId="32C877C2">
      <w:pPr>
        <w:adjustRightInd w:val="0"/>
        <w:snapToGrid w:val="0"/>
        <w:spacing w:line="360" w:lineRule="auto"/>
        <w:ind w:firstLine="422"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一、项目概况</w:t>
      </w:r>
    </w:p>
    <w:p w14:paraId="0BEBC599">
      <w:pPr>
        <w:widowControl/>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项目名称：松涛片区综合管线改造工程</w:t>
      </w:r>
    </w:p>
    <w:p w14:paraId="59FEC3AE">
      <w:pPr>
        <w:numPr>
          <w:ilvl w:val="0"/>
          <w:numId w:val="5"/>
        </w:numPr>
        <w:adjustRightInd w:val="0"/>
        <w:snapToGrid w:val="0"/>
        <w:spacing w:line="360" w:lineRule="auto"/>
        <w:ind w:firstLine="422" w:firstLineChars="200"/>
        <w:rPr>
          <w:rFonts w:ascii="宋体" w:hAnsi="宋体"/>
          <w:b/>
          <w:szCs w:val="21"/>
        </w:rPr>
      </w:pPr>
      <w:r>
        <w:rPr>
          <w:rFonts w:hint="eastAsia" w:ascii="宋体" w:hAnsi="宋体"/>
          <w:b/>
          <w:szCs w:val="21"/>
        </w:rPr>
        <w:t>工程条件：</w:t>
      </w:r>
    </w:p>
    <w:p w14:paraId="0850523F">
      <w:pPr>
        <w:widowControl/>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1、供应商应负责自行解决正常施工所需要的进入施工现场的交通条件。</w:t>
      </w:r>
    </w:p>
    <w:p w14:paraId="7CB3CE86">
      <w:pPr>
        <w:widowControl/>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2、采购人负责协调处理施工现场周围地下管线和邻近建筑物、构筑物的保护工作，但相关费用由供应商承担。</w:t>
      </w:r>
    </w:p>
    <w:p w14:paraId="42C59A07">
      <w:pPr>
        <w:widowControl/>
        <w:spacing w:line="360" w:lineRule="auto"/>
        <w:ind w:firstLine="420" w:firstLineChars="200"/>
        <w:rPr>
          <w:rFonts w:ascii="宋体" w:hAnsi="宋体"/>
          <w:szCs w:val="21"/>
        </w:rPr>
      </w:pPr>
      <w:r>
        <w:rPr>
          <w:rFonts w:hint="eastAsia" w:ascii="宋体" w:hAnsi="宋体"/>
          <w:szCs w:val="21"/>
          <w:shd w:val="clear" w:color="auto" w:fill="FFFFFF"/>
        </w:rPr>
        <w:t>3、施工手续办理：供应商需要办理施工过程中的所有手续包括但不限于城管、卫生、环保、治安、劳动、保险、安监等手续，由投标人负责，需缴纳的相关费用由供应商自行承担。</w:t>
      </w:r>
    </w:p>
    <w:p w14:paraId="115B67E4">
      <w:pPr>
        <w:spacing w:line="360" w:lineRule="auto"/>
        <w:ind w:firstLine="422" w:firstLineChars="200"/>
        <w:rPr>
          <w:rFonts w:ascii="宋体" w:hAnsi="宋体"/>
          <w:szCs w:val="21"/>
        </w:rPr>
      </w:pPr>
      <w:r>
        <w:rPr>
          <w:rFonts w:hint="eastAsia" w:ascii="宋体" w:hAnsi="宋体"/>
          <w:b/>
          <w:szCs w:val="21"/>
        </w:rPr>
        <w:t>三、项目基本情况：</w:t>
      </w:r>
    </w:p>
    <w:p w14:paraId="5190AC5D">
      <w:pPr>
        <w:adjustRightInd w:val="0"/>
        <w:snapToGrid w:val="0"/>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1、项目地点：湘潭大学指定地点</w:t>
      </w:r>
    </w:p>
    <w:p w14:paraId="41D9A6CA">
      <w:pPr>
        <w:adjustRightInd w:val="0"/>
        <w:snapToGrid w:val="0"/>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2、工程范围：主要内容详见工程量清单；</w:t>
      </w:r>
    </w:p>
    <w:p w14:paraId="37C2B9BC">
      <w:pPr>
        <w:adjustRightInd w:val="0"/>
        <w:snapToGrid w:val="0"/>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3、质量要求：合格工程</w:t>
      </w:r>
    </w:p>
    <w:p w14:paraId="3E1E7FF3">
      <w:pPr>
        <w:adjustRightInd w:val="0"/>
        <w:snapToGrid w:val="0"/>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4、保修及验收要求：</w:t>
      </w:r>
      <w:r>
        <w:rPr>
          <w:rFonts w:hint="eastAsia" w:ascii="宋体" w:hAnsi="宋体"/>
          <w:bCs/>
          <w:szCs w:val="21"/>
        </w:rPr>
        <w:t>保修期内按照相关标准和规范进行施工。整体</w:t>
      </w:r>
      <w:r>
        <w:rPr>
          <w:rFonts w:hint="eastAsia" w:ascii="宋体" w:hAnsi="宋体"/>
          <w:szCs w:val="21"/>
          <w:shd w:val="clear" w:color="auto" w:fill="FFFFFF"/>
        </w:rPr>
        <w:t>按建设部【2000】80号令相关保修规定。</w:t>
      </w:r>
    </w:p>
    <w:p w14:paraId="2F979629">
      <w:pPr>
        <w:adjustRightInd w:val="0"/>
        <w:snapToGrid w:val="0"/>
        <w:spacing w:line="360" w:lineRule="auto"/>
        <w:ind w:firstLine="420" w:firstLineChars="200"/>
        <w:rPr>
          <w:rFonts w:ascii="宋体" w:hAnsi="宋体"/>
          <w:szCs w:val="21"/>
          <w:shd w:val="clear" w:color="auto" w:fill="FFFFFF"/>
        </w:rPr>
      </w:pPr>
      <w:r>
        <w:rPr>
          <w:rFonts w:hint="eastAsia" w:ascii="宋体" w:hAnsi="宋体"/>
          <w:szCs w:val="21"/>
          <w:shd w:val="clear" w:color="auto" w:fill="FFFFFF"/>
        </w:rPr>
        <w:t>5、工期要求：自合同签订之日起45日历天完成合同工程。</w:t>
      </w:r>
    </w:p>
    <w:p w14:paraId="298FC006">
      <w:pPr>
        <w:adjustRightInd w:val="0"/>
        <w:snapToGrid w:val="0"/>
        <w:spacing w:line="360" w:lineRule="auto"/>
        <w:ind w:firstLine="420" w:firstLineChars="200"/>
        <w:rPr>
          <w:rFonts w:eastAsia="仿宋"/>
          <w:color w:val="auto"/>
          <w:sz w:val="26"/>
          <w:szCs w:val="28"/>
          <w:highlight w:val="none"/>
        </w:rPr>
      </w:pPr>
      <w:r>
        <w:rPr>
          <w:rFonts w:hint="eastAsia" w:ascii="宋体" w:hAnsi="宋体"/>
          <w:szCs w:val="21"/>
          <w:shd w:val="clear" w:color="auto" w:fill="FFFFFF"/>
        </w:rPr>
        <w:t>6、付款</w:t>
      </w:r>
      <w:r>
        <w:rPr>
          <w:rFonts w:hint="eastAsia" w:ascii="宋体" w:hAnsi="宋体"/>
          <w:color w:val="auto"/>
          <w:szCs w:val="21"/>
          <w:highlight w:val="none"/>
          <w:shd w:val="clear" w:color="auto" w:fill="FFFFFF"/>
        </w:rPr>
        <w:t>方式：</w:t>
      </w:r>
      <w:r>
        <w:rPr>
          <w:rFonts w:hint="eastAsia" w:ascii="宋体" w:hAnsi="宋体" w:cs="宋体"/>
          <w:color w:val="auto"/>
          <w:szCs w:val="21"/>
          <w:highlight w:val="none"/>
        </w:rPr>
        <w:t>本工程不支付进度款，整个工程完成并正式竣工验收合格后，付至合同价款</w:t>
      </w:r>
      <w:bookmarkStart w:id="621" w:name="OLE_LINK7"/>
      <w:bookmarkStart w:id="622" w:name="OLE_LINK8"/>
      <w:r>
        <w:rPr>
          <w:rFonts w:hint="eastAsia" w:ascii="宋体" w:hAnsi="宋体"/>
          <w:color w:val="auto"/>
          <w:szCs w:val="21"/>
          <w:highlight w:val="none"/>
        </w:rPr>
        <w:t>（扣减暂列金额和原合同范围内取消的工作）</w:t>
      </w:r>
      <w:bookmarkEnd w:id="621"/>
      <w:bookmarkEnd w:id="622"/>
      <w:r>
        <w:rPr>
          <w:rFonts w:hint="eastAsia" w:ascii="宋体" w:hAnsi="宋体" w:cs="宋体"/>
          <w:color w:val="auto"/>
          <w:szCs w:val="21"/>
          <w:highlight w:val="none"/>
        </w:rPr>
        <w:t>的</w:t>
      </w:r>
      <w:r>
        <w:rPr>
          <w:rFonts w:ascii="宋体" w:hAnsi="宋体" w:cs="宋体"/>
          <w:color w:val="auto"/>
          <w:szCs w:val="21"/>
          <w:highlight w:val="none"/>
        </w:rPr>
        <w:t>5</w:t>
      </w:r>
      <w:r>
        <w:rPr>
          <w:rFonts w:hint="eastAsia" w:ascii="宋体" w:hAnsi="宋体" w:cs="宋体"/>
          <w:color w:val="auto"/>
          <w:szCs w:val="21"/>
          <w:highlight w:val="none"/>
        </w:rPr>
        <w:t>0%；承包人向学校审计部门提交基建工程竣工结算验证清单所需资料后，付至合同价款</w:t>
      </w:r>
      <w:r>
        <w:rPr>
          <w:rFonts w:hint="eastAsia" w:ascii="宋体" w:hAnsi="宋体"/>
          <w:color w:val="auto"/>
          <w:szCs w:val="21"/>
          <w:highlight w:val="none"/>
        </w:rPr>
        <w:t>（扣减暂列金额和原合同范围内取消的工作）</w:t>
      </w:r>
      <w:r>
        <w:rPr>
          <w:rFonts w:hint="eastAsia" w:ascii="宋体" w:hAnsi="宋体" w:cs="宋体"/>
          <w:color w:val="auto"/>
          <w:szCs w:val="21"/>
          <w:highlight w:val="none"/>
        </w:rPr>
        <w:t>的8</w:t>
      </w:r>
      <w:r>
        <w:rPr>
          <w:rFonts w:ascii="宋体" w:hAnsi="宋体" w:cs="宋体"/>
          <w:color w:val="auto"/>
          <w:szCs w:val="21"/>
          <w:highlight w:val="none"/>
        </w:rPr>
        <w:t>0</w:t>
      </w:r>
      <w:r>
        <w:rPr>
          <w:rFonts w:hint="eastAsia" w:ascii="宋体" w:hAnsi="宋体" w:cs="宋体"/>
          <w:color w:val="auto"/>
          <w:szCs w:val="21"/>
          <w:highlight w:val="none"/>
        </w:rPr>
        <w:t>%；审计处审定后，承包人向发包人档案室移交备案证及全套工程资料后</w:t>
      </w:r>
      <w:r>
        <w:rPr>
          <w:rFonts w:ascii="宋体" w:hAnsi="宋体" w:cs="宋体"/>
          <w:color w:val="auto"/>
          <w:szCs w:val="21"/>
          <w:highlight w:val="none"/>
        </w:rPr>
        <w:t>10个工作日内，凭国家规定税务发票付至结算审定总</w:t>
      </w:r>
      <w:r>
        <w:rPr>
          <w:rFonts w:hint="eastAsia" w:ascii="宋体" w:hAnsi="宋体" w:cs="宋体"/>
          <w:color w:val="auto"/>
          <w:szCs w:val="21"/>
          <w:highlight w:val="none"/>
        </w:rPr>
        <w:t>价款</w:t>
      </w:r>
      <w:r>
        <w:rPr>
          <w:rFonts w:ascii="宋体" w:hAnsi="宋体" w:cs="宋体"/>
          <w:color w:val="auto"/>
          <w:szCs w:val="21"/>
          <w:highlight w:val="none"/>
        </w:rPr>
        <w:t>的97%</w:t>
      </w:r>
      <w:r>
        <w:rPr>
          <w:rFonts w:hint="eastAsia" w:ascii="宋体" w:hAnsi="宋体" w:cs="宋体"/>
          <w:color w:val="auto"/>
          <w:szCs w:val="21"/>
          <w:highlight w:val="none"/>
        </w:rPr>
        <w:t>，剩余的3%作为质量保证金(不计息)；剩余</w:t>
      </w:r>
      <w:r>
        <w:rPr>
          <w:rFonts w:hint="eastAsia" w:ascii="宋体" w:hAnsi="宋体" w:cs="宋体"/>
          <w:color w:val="auto"/>
          <w:highlight w:val="none"/>
        </w:rPr>
        <w:t>的3%作为质量保证金(不计息)，</w:t>
      </w:r>
      <w:r>
        <w:rPr>
          <w:rFonts w:hint="eastAsia" w:ascii="宋体" w:hAnsi="宋体" w:cs="宋体"/>
          <w:color w:val="auto"/>
          <w:szCs w:val="21"/>
          <w:highlight w:val="none"/>
        </w:rPr>
        <w:t>质保期满，支付至结算总价款的100%</w:t>
      </w:r>
      <w:r>
        <w:rPr>
          <w:rFonts w:eastAsia="仿宋"/>
          <w:color w:val="auto"/>
          <w:sz w:val="26"/>
          <w:szCs w:val="28"/>
          <w:highlight w:val="none"/>
        </w:rPr>
        <w:t>。</w:t>
      </w:r>
    </w:p>
    <w:p w14:paraId="3F92F003">
      <w:pPr>
        <w:adjustRightInd w:val="0"/>
        <w:snapToGrid w:val="0"/>
        <w:spacing w:line="360" w:lineRule="auto"/>
        <w:ind w:firstLine="422" w:firstLineChars="200"/>
        <w:rPr>
          <w:rFonts w:ascii="宋体" w:hAnsi="宋体"/>
          <w:szCs w:val="21"/>
        </w:rPr>
      </w:pPr>
      <w:r>
        <w:rPr>
          <w:rFonts w:hint="eastAsia" w:ascii="宋体" w:hAnsi="宋体"/>
          <w:b/>
          <w:szCs w:val="21"/>
        </w:rPr>
        <w:t>四、工程承包范围：</w:t>
      </w:r>
      <w:r>
        <w:rPr>
          <w:rFonts w:hint="eastAsia" w:ascii="宋体" w:hAnsi="宋体"/>
          <w:szCs w:val="21"/>
        </w:rPr>
        <w:t>工程量清单及图纸包含的所有内容。图纸另册。</w:t>
      </w:r>
    </w:p>
    <w:p w14:paraId="130F45FD">
      <w:pPr>
        <w:adjustRightInd w:val="0"/>
        <w:snapToGrid w:val="0"/>
        <w:spacing w:line="360" w:lineRule="auto"/>
        <w:ind w:firstLine="422" w:firstLineChars="200"/>
        <w:rPr>
          <w:rFonts w:ascii="宋体" w:hAnsi="宋体"/>
          <w:szCs w:val="21"/>
        </w:rPr>
      </w:pPr>
      <w:r>
        <w:rPr>
          <w:rFonts w:hint="eastAsia" w:ascii="宋体" w:hAnsi="宋体"/>
          <w:b/>
          <w:szCs w:val="21"/>
        </w:rPr>
        <w:t>五、施工要求：</w:t>
      </w:r>
    </w:p>
    <w:p w14:paraId="5ED6F1F0">
      <w:pPr>
        <w:spacing w:line="360" w:lineRule="auto"/>
        <w:ind w:firstLine="403" w:firstLineChars="192"/>
        <w:rPr>
          <w:rFonts w:ascii="宋体" w:hAnsi="宋体"/>
          <w:bCs/>
          <w:szCs w:val="21"/>
        </w:rPr>
      </w:pPr>
      <w:r>
        <w:rPr>
          <w:rFonts w:hint="eastAsia" w:ascii="宋体" w:hAnsi="宋体"/>
          <w:bCs/>
          <w:szCs w:val="21"/>
        </w:rPr>
        <w:t>1、成交单位须保护好施工现场内外的环境及卫生，施工材料及垃圾须集中堆放、清理。</w:t>
      </w:r>
    </w:p>
    <w:p w14:paraId="5C4437F4">
      <w:pPr>
        <w:spacing w:line="360" w:lineRule="auto"/>
        <w:ind w:firstLine="403" w:firstLineChars="192"/>
        <w:rPr>
          <w:rFonts w:ascii="宋体" w:hAnsi="宋体"/>
          <w:bCs/>
          <w:szCs w:val="21"/>
        </w:rPr>
      </w:pPr>
      <w:r>
        <w:rPr>
          <w:rFonts w:hint="eastAsia" w:ascii="宋体" w:hAnsi="宋体"/>
          <w:bCs/>
          <w:szCs w:val="21"/>
        </w:rPr>
        <w:t>2、成交单位须管理好进入采购单位内的施工人员，保证施工现场作业人员的安全，杜绝一切安全事故的发生。</w:t>
      </w:r>
    </w:p>
    <w:p w14:paraId="758B3D57">
      <w:pPr>
        <w:spacing w:line="360" w:lineRule="auto"/>
        <w:ind w:firstLine="403" w:firstLineChars="192"/>
        <w:rPr>
          <w:rFonts w:ascii="宋体" w:hAnsi="宋体"/>
          <w:bCs/>
          <w:szCs w:val="21"/>
        </w:rPr>
      </w:pPr>
      <w:r>
        <w:rPr>
          <w:rFonts w:hint="eastAsia" w:ascii="宋体" w:hAnsi="宋体"/>
          <w:bCs/>
          <w:szCs w:val="21"/>
        </w:rPr>
        <w:t>3、成交单位须保证在施工过程中不影响湘潭大学的日常工作，由于施工期间的不规范行为造成的一切安全问题，由成交单位承担全部责任。服从学校有关部门管理，维护学校环境卫生保持路面整洁。所有施工车辆进入要按学校指定路线行走，并及时清理被施工污染的道路、场地，保证校内卫生。施工临时设施、设备、材料只能位于发包方指定地点。</w:t>
      </w:r>
    </w:p>
    <w:p w14:paraId="6B280718">
      <w:pPr>
        <w:spacing w:line="360" w:lineRule="auto"/>
        <w:ind w:firstLine="403" w:firstLineChars="192"/>
        <w:rPr>
          <w:rFonts w:ascii="宋体" w:hAnsi="宋体"/>
          <w:bCs/>
          <w:szCs w:val="21"/>
        </w:rPr>
      </w:pPr>
      <w:r>
        <w:rPr>
          <w:rFonts w:hint="eastAsia" w:ascii="宋体" w:hAnsi="宋体"/>
          <w:bCs/>
          <w:szCs w:val="21"/>
        </w:rPr>
        <w:t>3、施工中如有损坏原有管线、基础设施、铺砌、构建物、绿化环境等由承包方无偿恢复原状。</w:t>
      </w:r>
    </w:p>
    <w:p w14:paraId="25106BE0">
      <w:pPr>
        <w:spacing w:line="360" w:lineRule="auto"/>
        <w:ind w:firstLine="403" w:firstLineChars="192"/>
        <w:rPr>
          <w:rFonts w:ascii="宋体" w:hAnsi="宋体"/>
          <w:bCs/>
          <w:szCs w:val="21"/>
        </w:rPr>
      </w:pPr>
      <w:r>
        <w:rPr>
          <w:rFonts w:hint="eastAsia" w:ascii="宋体" w:hAnsi="宋体"/>
          <w:bCs/>
          <w:szCs w:val="21"/>
        </w:rPr>
        <w:t>4、设置安全警示和防护标志。</w:t>
      </w:r>
    </w:p>
    <w:p w14:paraId="3ABF4FC3">
      <w:pPr>
        <w:spacing w:line="360" w:lineRule="auto"/>
        <w:ind w:firstLine="403" w:firstLineChars="192"/>
        <w:rPr>
          <w:rFonts w:ascii="宋体" w:hAnsi="宋体"/>
          <w:bCs/>
          <w:szCs w:val="21"/>
        </w:rPr>
      </w:pPr>
      <w:r>
        <w:rPr>
          <w:rFonts w:hint="eastAsia" w:ascii="宋体" w:hAnsi="宋体"/>
          <w:bCs/>
          <w:szCs w:val="21"/>
        </w:rPr>
        <w:t>5、成交单位在施工过程中，必须根据磋商文件的要求，选择材料的品牌、品种、规格、质地，采购前必须由采购单位看样定货，签字确认后方可采购进场。</w:t>
      </w:r>
    </w:p>
    <w:p w14:paraId="040E6C12">
      <w:pPr>
        <w:spacing w:line="360" w:lineRule="auto"/>
        <w:ind w:firstLine="403" w:firstLineChars="192"/>
        <w:rPr>
          <w:rFonts w:ascii="宋体" w:hAnsi="宋体"/>
          <w:bCs/>
          <w:szCs w:val="21"/>
        </w:rPr>
      </w:pPr>
      <w:r>
        <w:rPr>
          <w:rFonts w:hint="eastAsia" w:ascii="宋体" w:hAnsi="宋体"/>
          <w:bCs/>
          <w:szCs w:val="21"/>
        </w:rPr>
        <w:t>★6、工程施工须严格按工程量清单所列项目进行，如有漏项必须事先书面报告采购人，经采购人贰人签字认可方可施工，否则不予认定。需要增补的项目，施工前须出具书面通知并进行工程签证。</w:t>
      </w:r>
    </w:p>
    <w:p w14:paraId="573552D9">
      <w:pPr>
        <w:spacing w:line="360" w:lineRule="auto"/>
        <w:ind w:firstLine="403" w:firstLineChars="192"/>
        <w:rPr>
          <w:rFonts w:ascii="宋体" w:hAnsi="宋体"/>
          <w:bCs/>
          <w:szCs w:val="21"/>
        </w:rPr>
      </w:pPr>
      <w:r>
        <w:rPr>
          <w:rFonts w:hint="eastAsia" w:ascii="宋体" w:hAnsi="宋体"/>
          <w:bCs/>
          <w:szCs w:val="21"/>
        </w:rPr>
        <w:t>7、根据磋商文件的要求。所用材料必须是原厂家生产的，新的未使用和未经修复的，必须符合国家规定的相应技术标准，并按相应的国家标准及行业规范完成所有安装。必须严格按《产品质量法》实行三包。本工程项目的材料、设备、施工须达到现行中华人民共和国以及省、自治区、直辖市或行业的工程建设标准、规范的要求。</w:t>
      </w:r>
    </w:p>
    <w:p w14:paraId="1E0E2DAA">
      <w:pPr>
        <w:spacing w:line="360" w:lineRule="auto"/>
        <w:ind w:firstLine="405" w:firstLineChars="192"/>
        <w:rPr>
          <w:rFonts w:ascii="宋体" w:hAnsi="宋体"/>
          <w:b/>
          <w:bCs/>
          <w:szCs w:val="21"/>
        </w:rPr>
      </w:pPr>
      <w:r>
        <w:rPr>
          <w:rFonts w:hint="eastAsia" w:ascii="宋体" w:hAnsi="宋体"/>
          <w:b/>
          <w:bCs/>
          <w:szCs w:val="21"/>
        </w:rPr>
        <w:t>供应商须对以上7点于响应文件中响应。</w:t>
      </w:r>
    </w:p>
    <w:p w14:paraId="2FD953CB">
      <w:pPr>
        <w:spacing w:line="360" w:lineRule="auto"/>
        <w:ind w:firstLine="413" w:firstLineChars="196"/>
        <w:rPr>
          <w:rFonts w:ascii="宋体" w:hAnsi="宋体"/>
          <w:b/>
          <w:szCs w:val="21"/>
        </w:rPr>
      </w:pPr>
      <w:r>
        <w:rPr>
          <w:rFonts w:hint="eastAsia" w:ascii="宋体" w:hAnsi="宋体"/>
          <w:b/>
          <w:bCs/>
          <w:szCs w:val="21"/>
        </w:rPr>
        <w:t>六、</w:t>
      </w:r>
      <w:r>
        <w:rPr>
          <w:rFonts w:hint="eastAsia" w:ascii="宋体" w:hAnsi="宋体"/>
          <w:b/>
          <w:szCs w:val="21"/>
        </w:rPr>
        <w:t>投标报价说明：</w:t>
      </w:r>
    </w:p>
    <w:p w14:paraId="608F5664">
      <w:pPr>
        <w:spacing w:line="360" w:lineRule="auto"/>
        <w:ind w:left="4" w:leftChars="2" w:firstLine="420" w:firstLineChars="200"/>
        <w:rPr>
          <w:rFonts w:ascii="宋体" w:hAnsi="宋体"/>
          <w:szCs w:val="21"/>
        </w:rPr>
      </w:pPr>
      <w:r>
        <w:rPr>
          <w:rFonts w:hint="eastAsia" w:ascii="宋体" w:hAnsi="宋体"/>
          <w:szCs w:val="21"/>
        </w:rPr>
        <w:t>1、依据：本磋商文件；现行《湖南省建筑工程消耗量标准》、《湖南省安装工程消耗量标准》、《湖南省建设工程计价办法》及其它有关配套文件和市场行情。</w:t>
      </w:r>
    </w:p>
    <w:p w14:paraId="1BEC5187">
      <w:pPr>
        <w:spacing w:line="360" w:lineRule="auto"/>
        <w:ind w:firstLine="420" w:firstLineChars="200"/>
        <w:rPr>
          <w:rFonts w:ascii="宋体" w:hAnsi="宋体"/>
          <w:b/>
          <w:color w:val="auto"/>
          <w:szCs w:val="21"/>
          <w:highlight w:val="none"/>
        </w:rPr>
      </w:pPr>
      <w:r>
        <w:rPr>
          <w:rFonts w:hint="eastAsia" w:ascii="宋体" w:hAnsi="宋体"/>
          <w:szCs w:val="21"/>
        </w:rPr>
        <w:t>2、投标预算文件应有总价</w:t>
      </w:r>
      <w:r>
        <w:rPr>
          <w:rFonts w:hint="eastAsia" w:ascii="宋体" w:hAnsi="宋体"/>
          <w:color w:val="auto"/>
          <w:szCs w:val="21"/>
          <w:highlight w:val="none"/>
        </w:rPr>
        <w:t>与分项构成。</w:t>
      </w:r>
      <w:r>
        <w:rPr>
          <w:rFonts w:hint="eastAsia" w:ascii="宋体" w:hAnsi="宋体"/>
          <w:b/>
          <w:color w:val="auto"/>
          <w:szCs w:val="21"/>
          <w:highlight w:val="none"/>
        </w:rPr>
        <w:t>本次投标采用总价包干形式。</w:t>
      </w:r>
    </w:p>
    <w:p w14:paraId="1E3DC988">
      <w:pPr>
        <w:spacing w:line="360" w:lineRule="auto"/>
        <w:ind w:firstLine="420" w:firstLineChars="200"/>
        <w:rPr>
          <w:rFonts w:ascii="宋体" w:hAnsi="宋体"/>
          <w:szCs w:val="21"/>
        </w:rPr>
      </w:pPr>
      <w:r>
        <w:rPr>
          <w:rFonts w:hint="eastAsia" w:ascii="宋体" w:hAnsi="宋体"/>
          <w:szCs w:val="21"/>
        </w:rPr>
        <w:t>3、投标报价由供应商自行决定，只允许有一个报价，投标报价应为含税优惠价。</w:t>
      </w:r>
    </w:p>
    <w:p w14:paraId="1289EBC7">
      <w:pPr>
        <w:spacing w:line="360" w:lineRule="auto"/>
        <w:ind w:firstLine="420" w:firstLineChars="200"/>
        <w:rPr>
          <w:rFonts w:ascii="宋体" w:hAnsi="宋体"/>
          <w:szCs w:val="21"/>
        </w:rPr>
      </w:pPr>
      <w:r>
        <w:rPr>
          <w:rFonts w:hint="eastAsia" w:ascii="宋体" w:hAnsi="宋体"/>
          <w:szCs w:val="21"/>
        </w:rPr>
        <w:t>4、 投标报价中应考虑招标文件中要求供应商承担的风险范围以及相关的费用。</w:t>
      </w:r>
    </w:p>
    <w:p w14:paraId="49FDC330">
      <w:pPr>
        <w:spacing w:line="360" w:lineRule="auto"/>
        <w:ind w:left="4" w:leftChars="2" w:firstLine="420" w:firstLineChars="200"/>
        <w:rPr>
          <w:rFonts w:ascii="宋体" w:hAnsi="宋体"/>
          <w:szCs w:val="21"/>
        </w:rPr>
      </w:pPr>
      <w:r>
        <w:rPr>
          <w:rFonts w:hint="eastAsia" w:ascii="宋体" w:hAnsi="宋体"/>
          <w:szCs w:val="21"/>
        </w:rPr>
        <w:t>5、 投标总价为供应商在投标文件中提出的各项支付金额的总和，为实施、完成招标工程并修补缺陷以及履行招标文件中约定的风险范围内的所有责任和义务所发生的全部费用。</w:t>
      </w:r>
    </w:p>
    <w:p w14:paraId="3748B864">
      <w:pPr>
        <w:spacing w:line="360" w:lineRule="auto"/>
        <w:ind w:firstLine="413" w:firstLineChars="196"/>
        <w:rPr>
          <w:rFonts w:ascii="宋体" w:hAnsi="宋体"/>
          <w:b/>
          <w:bCs/>
          <w:szCs w:val="21"/>
        </w:rPr>
      </w:pPr>
      <w:r>
        <w:rPr>
          <w:rFonts w:hint="eastAsia" w:ascii="宋体" w:hAnsi="宋体"/>
          <w:b/>
          <w:bCs/>
          <w:szCs w:val="21"/>
        </w:rPr>
        <w:t>七、其他重要说明：</w:t>
      </w:r>
    </w:p>
    <w:p w14:paraId="31FC54BD">
      <w:pPr>
        <w:adjustRightInd w:val="0"/>
        <w:snapToGrid w:val="0"/>
        <w:spacing w:line="360" w:lineRule="auto"/>
        <w:ind w:firstLine="420" w:firstLineChars="200"/>
        <w:rPr>
          <w:rFonts w:ascii="宋体" w:hAnsi="宋体"/>
          <w:bCs/>
          <w:szCs w:val="21"/>
        </w:rPr>
      </w:pPr>
      <w:r>
        <w:rPr>
          <w:rFonts w:hint="eastAsia" w:ascii="宋体" w:hAnsi="宋体"/>
          <w:bCs/>
          <w:szCs w:val="21"/>
        </w:rPr>
        <w:t>1、供应商在领取招标工程量清单时，必须对工程量清单详细复核，如发现清单有漏项或工程量有较大出入，必须以书面形式在招标文件截止3个工作日前向招标人提交；如投标时未提出，则视同认可招标工程量清单为全部施工图纸范围（若有图纸的话），在不发生图纸变更或业主提出增项的情况下，工程量清单及工程数量不做任何调整。</w:t>
      </w:r>
    </w:p>
    <w:p w14:paraId="3B16362C">
      <w:pPr>
        <w:adjustRightInd w:val="0"/>
        <w:snapToGrid w:val="0"/>
        <w:spacing w:line="360" w:lineRule="auto"/>
        <w:ind w:firstLine="420" w:firstLineChars="200"/>
        <w:rPr>
          <w:rFonts w:ascii="宋体" w:hAnsi="宋体"/>
          <w:bCs/>
          <w:szCs w:val="21"/>
        </w:rPr>
      </w:pPr>
      <w:r>
        <w:rPr>
          <w:rFonts w:hint="eastAsia" w:ascii="宋体" w:hAnsi="宋体"/>
          <w:bCs/>
          <w:szCs w:val="21"/>
        </w:rPr>
        <w:t>2、请供应商务必对施工现场和周围环境进行踏勘，以获取供应商编制有关投标文件和签署合同时所需的有关资料。踏勘现场所发生的费用由供应商自行承担，供应商并应对由此次踏勘现场而造成的死亡、人身伤害、财产损失、损害以及任何其它损失、损害和引起的费用和开支承担责任。</w:t>
      </w:r>
    </w:p>
    <w:p w14:paraId="5870DB9F">
      <w:pPr>
        <w:adjustRightInd w:val="0"/>
        <w:snapToGrid w:val="0"/>
        <w:spacing w:line="360" w:lineRule="auto"/>
        <w:ind w:firstLine="420" w:firstLineChars="200"/>
        <w:rPr>
          <w:rFonts w:ascii="宋体" w:hAnsi="宋体"/>
          <w:bCs/>
          <w:szCs w:val="21"/>
        </w:rPr>
      </w:pPr>
      <w:r>
        <w:rPr>
          <w:rFonts w:hint="eastAsia" w:ascii="宋体" w:hAnsi="宋体"/>
          <w:bCs/>
          <w:szCs w:val="21"/>
        </w:rPr>
        <w:t>3、参加投标的供应商应按照本投标书的要求编制投标书，不得围标和串通投标，不得哄抬或不合理压低报价。</w:t>
      </w:r>
    </w:p>
    <w:p w14:paraId="64486A69">
      <w:pPr>
        <w:adjustRightInd w:val="0"/>
        <w:snapToGrid w:val="0"/>
        <w:spacing w:line="360" w:lineRule="auto"/>
        <w:ind w:firstLine="420" w:firstLineChars="200"/>
        <w:rPr>
          <w:rFonts w:ascii="宋体" w:hAnsi="宋体"/>
          <w:bCs/>
          <w:szCs w:val="21"/>
        </w:rPr>
      </w:pPr>
      <w:r>
        <w:rPr>
          <w:rFonts w:hint="eastAsia" w:ascii="宋体" w:hAnsi="宋体"/>
          <w:bCs/>
          <w:szCs w:val="21"/>
        </w:rPr>
        <w:t>4、参加投标的供应商应互相尊重，整个投标过程不得发生有损于他人合法权益和任何不利于团结的言行。</w:t>
      </w:r>
    </w:p>
    <w:p w14:paraId="3E394C8B">
      <w:pPr>
        <w:adjustRightInd w:val="0"/>
        <w:snapToGrid w:val="0"/>
        <w:spacing w:line="360" w:lineRule="auto"/>
        <w:ind w:firstLine="420" w:firstLineChars="200"/>
        <w:rPr>
          <w:rFonts w:ascii="宋体" w:hAnsi="宋体"/>
          <w:bCs/>
          <w:szCs w:val="21"/>
        </w:rPr>
      </w:pPr>
      <w:r>
        <w:rPr>
          <w:rFonts w:hint="eastAsia" w:ascii="宋体" w:hAnsi="宋体"/>
          <w:bCs/>
          <w:szCs w:val="21"/>
        </w:rPr>
        <w:t>5、整个投标过程中如发生违反投标纪律的情况，将取消该单位投（中）标资格，并影响其今后到湘潭大学参加建设项目投标信誉。供应商参加湘潭大学招投标报名，学校确定入围投标的供应商和项目经理，无正当理由2次及以上不参加投标报价的，或违反投标纪律1次及以上的，学校将取消该供应商、项目经理继续参加学校工程招投标的资格。</w:t>
      </w:r>
    </w:p>
    <w:p w14:paraId="33D76A2D">
      <w:pPr>
        <w:adjustRightInd w:val="0"/>
        <w:snapToGrid w:val="0"/>
        <w:spacing w:line="360" w:lineRule="auto"/>
        <w:ind w:firstLine="420" w:firstLineChars="200"/>
        <w:rPr>
          <w:rFonts w:ascii="宋体" w:hAnsi="宋体"/>
          <w:bCs/>
          <w:szCs w:val="21"/>
        </w:rPr>
      </w:pPr>
      <w:r>
        <w:rPr>
          <w:rFonts w:hint="eastAsia" w:ascii="宋体" w:hAnsi="宋体"/>
          <w:bCs/>
          <w:szCs w:val="21"/>
        </w:rPr>
        <w:t>6、供应商一旦成交，不得以任何理由将工程转包或分包。</w:t>
      </w:r>
    </w:p>
    <w:p w14:paraId="198823A3">
      <w:pPr>
        <w:adjustRightInd w:val="0"/>
        <w:snapToGrid w:val="0"/>
        <w:spacing w:line="360" w:lineRule="auto"/>
        <w:ind w:firstLine="420" w:firstLineChars="200"/>
        <w:rPr>
          <w:rFonts w:ascii="宋体" w:hAnsi="宋体"/>
          <w:bCs/>
          <w:szCs w:val="21"/>
        </w:rPr>
      </w:pPr>
      <w:r>
        <w:rPr>
          <w:rFonts w:hint="eastAsia" w:ascii="宋体" w:hAnsi="宋体"/>
          <w:bCs/>
          <w:szCs w:val="21"/>
        </w:rPr>
        <w:t>7、服从采购人的管理，包括用电、用水等。</w:t>
      </w:r>
    </w:p>
    <w:p w14:paraId="7A4F2CF8">
      <w:pPr>
        <w:adjustRightInd w:val="0"/>
        <w:snapToGrid w:val="0"/>
        <w:spacing w:line="360" w:lineRule="auto"/>
        <w:ind w:firstLine="420" w:firstLineChars="200"/>
      </w:pPr>
      <w:r>
        <w:rPr>
          <w:rFonts w:hint="eastAsia" w:ascii="宋体" w:hAnsi="宋体"/>
          <w:bCs/>
          <w:szCs w:val="21"/>
        </w:rPr>
        <w:t>★8、成交</w:t>
      </w:r>
      <w:r>
        <w:rPr>
          <w:rFonts w:ascii="宋体" w:hAnsi="宋体"/>
          <w:bCs/>
          <w:szCs w:val="21"/>
        </w:rPr>
        <w:t>单位</w:t>
      </w:r>
      <w:r>
        <w:rPr>
          <w:rFonts w:hint="eastAsia" w:ascii="宋体" w:hAnsi="宋体"/>
          <w:bCs/>
          <w:szCs w:val="21"/>
        </w:rPr>
        <w:t>在办理竣工结算时应遵循《湘潭大学建设项目审计实施办法》https://sjc.xtu.edu.cn/info/1049/1104.htm的相关规定。</w:t>
      </w:r>
    </w:p>
    <w:p w14:paraId="367C74CA">
      <w:pPr>
        <w:pStyle w:val="25"/>
        <w:adjustRightInd w:val="0"/>
        <w:snapToGrid w:val="0"/>
        <w:spacing w:before="120" w:beforeLines="50" w:line="360" w:lineRule="auto"/>
        <w:ind w:firstLine="420" w:firstLineChars="200"/>
        <w:rPr>
          <w:rFonts w:hAnsi="宋体"/>
        </w:rPr>
      </w:pPr>
    </w:p>
    <w:p w14:paraId="256C22C3">
      <w:pPr>
        <w:pStyle w:val="25"/>
        <w:adjustRightInd w:val="0"/>
        <w:snapToGrid w:val="0"/>
        <w:spacing w:before="120" w:beforeLines="50" w:line="360" w:lineRule="auto"/>
        <w:ind w:left="316" w:hanging="316"/>
        <w:jc w:val="center"/>
        <w:rPr>
          <w:rFonts w:hAnsi="宋体"/>
          <w:b/>
          <w:sz w:val="84"/>
          <w:szCs w:val="84"/>
        </w:rPr>
      </w:pPr>
      <w:r>
        <w:rPr>
          <w:rFonts w:hint="eastAsia" w:hAnsi="宋体"/>
          <w:b/>
          <w:bCs/>
        </w:rPr>
        <w:t>对于上述项目要求，供应商应在响应文件中进行回应，作出承诺及说明。</w:t>
      </w:r>
      <w:bookmarkStart w:id="623" w:name="_Toc13949"/>
      <w:bookmarkStart w:id="624" w:name="_Toc6014"/>
      <w:bookmarkStart w:id="625" w:name="_Toc12063"/>
      <w:bookmarkStart w:id="626" w:name="_Toc24824"/>
      <w:bookmarkStart w:id="627" w:name="_Toc25360"/>
    </w:p>
    <w:p w14:paraId="7827DFCA">
      <w:pPr>
        <w:pStyle w:val="25"/>
        <w:ind w:left="1265" w:hanging="1265"/>
        <w:jc w:val="center"/>
        <w:rPr>
          <w:rFonts w:hAnsi="宋体"/>
          <w:b/>
          <w:sz w:val="84"/>
          <w:szCs w:val="84"/>
        </w:rPr>
      </w:pPr>
    </w:p>
    <w:p w14:paraId="36788F2D">
      <w:pPr>
        <w:pStyle w:val="25"/>
        <w:ind w:left="1265" w:hanging="1265"/>
        <w:jc w:val="center"/>
        <w:rPr>
          <w:rFonts w:hAnsi="宋体"/>
          <w:b/>
          <w:sz w:val="84"/>
          <w:szCs w:val="84"/>
        </w:rPr>
      </w:pPr>
      <w:bookmarkStart w:id="628" w:name="_Toc6947"/>
      <w:bookmarkStart w:id="629" w:name="_Toc31469"/>
      <w:bookmarkStart w:id="630" w:name="_Toc22060"/>
    </w:p>
    <w:p w14:paraId="193F1C10">
      <w:pPr>
        <w:pStyle w:val="25"/>
        <w:ind w:left="1265" w:hanging="1265"/>
        <w:jc w:val="center"/>
        <w:rPr>
          <w:rFonts w:hAnsi="宋体"/>
          <w:b/>
          <w:sz w:val="84"/>
          <w:szCs w:val="84"/>
        </w:rPr>
      </w:pPr>
    </w:p>
    <w:p w14:paraId="5AFBD970">
      <w:pPr>
        <w:pStyle w:val="25"/>
        <w:ind w:left="1265" w:hanging="1265"/>
        <w:jc w:val="center"/>
        <w:rPr>
          <w:rFonts w:hAnsi="宋体"/>
          <w:b/>
          <w:sz w:val="84"/>
          <w:szCs w:val="84"/>
        </w:rPr>
      </w:pPr>
    </w:p>
    <w:p w14:paraId="4205D23A">
      <w:pPr>
        <w:ind w:left="1265" w:hanging="1265"/>
        <w:rPr>
          <w:rFonts w:hAnsi="宋体"/>
          <w:b/>
          <w:sz w:val="84"/>
          <w:szCs w:val="84"/>
        </w:rPr>
      </w:pPr>
    </w:p>
    <w:p w14:paraId="1289EA69">
      <w:pPr>
        <w:pStyle w:val="25"/>
        <w:ind w:left="1265" w:hanging="1265"/>
        <w:jc w:val="center"/>
        <w:rPr>
          <w:rFonts w:hAnsi="宋体"/>
          <w:b/>
          <w:sz w:val="84"/>
          <w:szCs w:val="84"/>
        </w:rPr>
      </w:pPr>
    </w:p>
    <w:p w14:paraId="07CB883A">
      <w:pPr>
        <w:pStyle w:val="25"/>
        <w:ind w:left="1265" w:hanging="1265"/>
        <w:jc w:val="center"/>
        <w:rPr>
          <w:rFonts w:hAnsi="宋体"/>
          <w:b/>
          <w:sz w:val="84"/>
          <w:szCs w:val="84"/>
        </w:rPr>
      </w:pPr>
    </w:p>
    <w:p w14:paraId="63D020FF">
      <w:pPr>
        <w:ind w:left="1265" w:hanging="1265"/>
        <w:rPr>
          <w:rFonts w:hAnsi="宋体"/>
          <w:b/>
          <w:sz w:val="84"/>
          <w:szCs w:val="84"/>
        </w:rPr>
      </w:pPr>
    </w:p>
    <w:p w14:paraId="518DAD07">
      <w:pPr>
        <w:ind w:left="1265" w:hanging="1265"/>
        <w:rPr>
          <w:rFonts w:hAnsi="宋体"/>
          <w:b/>
          <w:sz w:val="84"/>
          <w:szCs w:val="84"/>
        </w:rPr>
      </w:pPr>
    </w:p>
    <w:p w14:paraId="42194C63">
      <w:pPr>
        <w:ind w:left="1265" w:hanging="1265"/>
        <w:rPr>
          <w:rFonts w:hAnsi="宋体"/>
          <w:b/>
          <w:sz w:val="84"/>
          <w:szCs w:val="84"/>
        </w:rPr>
      </w:pPr>
    </w:p>
    <w:p w14:paraId="7B9F3EEB">
      <w:pPr>
        <w:ind w:left="1265" w:hanging="1265"/>
        <w:rPr>
          <w:rFonts w:hAnsi="宋体"/>
          <w:b/>
          <w:sz w:val="84"/>
          <w:szCs w:val="84"/>
        </w:rPr>
      </w:pPr>
    </w:p>
    <w:p w14:paraId="7E4F1610">
      <w:pPr>
        <w:ind w:left="1265" w:hanging="1265"/>
        <w:rPr>
          <w:rFonts w:hAnsi="宋体"/>
          <w:b/>
          <w:sz w:val="84"/>
          <w:szCs w:val="84"/>
        </w:rPr>
      </w:pPr>
    </w:p>
    <w:p w14:paraId="591865BC">
      <w:pPr>
        <w:ind w:left="1265" w:hanging="1265"/>
        <w:rPr>
          <w:rFonts w:hAnsi="宋体"/>
          <w:b/>
          <w:sz w:val="84"/>
          <w:szCs w:val="84"/>
        </w:rPr>
      </w:pPr>
    </w:p>
    <w:p w14:paraId="2EEF492E">
      <w:pPr>
        <w:pStyle w:val="25"/>
        <w:ind w:left="1265" w:hanging="1265"/>
        <w:jc w:val="center"/>
        <w:rPr>
          <w:rFonts w:ascii="Times New Roman" w:hAnsi="宋体" w:cs="Times New Roman"/>
          <w:b/>
          <w:sz w:val="84"/>
          <w:szCs w:val="84"/>
        </w:rPr>
      </w:pPr>
    </w:p>
    <w:p w14:paraId="11AB7B51">
      <w:pPr>
        <w:pStyle w:val="25"/>
        <w:ind w:left="1265" w:hanging="1265"/>
        <w:jc w:val="center"/>
        <w:rPr>
          <w:rFonts w:ascii="Times New Roman" w:hAnsi="宋体" w:cs="Times New Roman"/>
          <w:b/>
          <w:sz w:val="84"/>
          <w:szCs w:val="84"/>
        </w:rPr>
      </w:pPr>
    </w:p>
    <w:p w14:paraId="40FE5A76">
      <w:pPr>
        <w:pStyle w:val="25"/>
        <w:ind w:left="1265" w:hanging="1265"/>
        <w:jc w:val="center"/>
        <w:rPr>
          <w:rFonts w:ascii="Times New Roman" w:hAnsi="宋体" w:cs="Times New Roman"/>
          <w:b/>
          <w:sz w:val="84"/>
          <w:szCs w:val="84"/>
        </w:rPr>
      </w:pPr>
    </w:p>
    <w:p w14:paraId="6280B6E1">
      <w:pPr>
        <w:pStyle w:val="25"/>
        <w:ind w:firstLine="3373" w:firstLineChars="400"/>
        <w:rPr>
          <w:rFonts w:hAnsi="宋体"/>
          <w:b/>
          <w:sz w:val="84"/>
          <w:szCs w:val="84"/>
        </w:rPr>
      </w:pPr>
      <w:r>
        <w:rPr>
          <w:rFonts w:hint="eastAsia" w:hAnsi="宋体"/>
          <w:b/>
          <w:sz w:val="84"/>
          <w:szCs w:val="84"/>
        </w:rPr>
        <w:t>政府采购</w:t>
      </w:r>
      <w:bookmarkEnd w:id="623"/>
      <w:bookmarkEnd w:id="624"/>
      <w:bookmarkEnd w:id="625"/>
      <w:bookmarkEnd w:id="626"/>
      <w:bookmarkEnd w:id="627"/>
      <w:bookmarkEnd w:id="628"/>
      <w:bookmarkEnd w:id="629"/>
      <w:bookmarkEnd w:id="630"/>
    </w:p>
    <w:p w14:paraId="20CD1271">
      <w:pPr>
        <w:pStyle w:val="25"/>
        <w:ind w:left="1265" w:hanging="1265"/>
        <w:jc w:val="center"/>
        <w:rPr>
          <w:rFonts w:hAnsi="宋体"/>
          <w:b/>
          <w:sz w:val="84"/>
          <w:szCs w:val="84"/>
        </w:rPr>
      </w:pPr>
      <w:bookmarkStart w:id="631" w:name="_Toc27730"/>
      <w:bookmarkStart w:id="632" w:name="_Toc27659"/>
      <w:bookmarkStart w:id="633" w:name="_Toc21909"/>
      <w:bookmarkStart w:id="634" w:name="_Toc31071"/>
      <w:bookmarkStart w:id="635" w:name="_Toc10603"/>
      <w:bookmarkStart w:id="636" w:name="_Toc6744"/>
      <w:bookmarkStart w:id="637" w:name="_Toc30589"/>
      <w:bookmarkStart w:id="638" w:name="_Toc6003"/>
      <w:r>
        <w:rPr>
          <w:rFonts w:hint="eastAsia" w:hAnsi="宋体"/>
          <w:b/>
          <w:sz w:val="84"/>
          <w:szCs w:val="84"/>
        </w:rPr>
        <w:t>竞争性磋商文件</w:t>
      </w:r>
      <w:bookmarkEnd w:id="631"/>
      <w:bookmarkEnd w:id="632"/>
      <w:bookmarkEnd w:id="633"/>
      <w:bookmarkEnd w:id="634"/>
      <w:bookmarkEnd w:id="635"/>
      <w:bookmarkEnd w:id="636"/>
      <w:bookmarkEnd w:id="637"/>
      <w:bookmarkEnd w:id="638"/>
    </w:p>
    <w:p w14:paraId="60A0DA4D">
      <w:pPr>
        <w:pStyle w:val="25"/>
        <w:adjustRightInd w:val="0"/>
        <w:snapToGrid w:val="0"/>
        <w:spacing w:line="360" w:lineRule="auto"/>
        <w:ind w:left="661" w:hanging="661"/>
        <w:jc w:val="center"/>
        <w:rPr>
          <w:rFonts w:ascii="华文中宋" w:hAnsi="华文中宋" w:eastAsia="华文中宋"/>
          <w:b/>
          <w:sz w:val="44"/>
          <w:szCs w:val="44"/>
        </w:rPr>
      </w:pPr>
    </w:p>
    <w:p w14:paraId="441D58EA">
      <w:pPr>
        <w:pStyle w:val="25"/>
        <w:adjustRightInd w:val="0"/>
        <w:snapToGrid w:val="0"/>
        <w:spacing w:line="360" w:lineRule="auto"/>
        <w:ind w:left="663" w:hanging="663"/>
        <w:jc w:val="center"/>
        <w:rPr>
          <w:rFonts w:hAnsi="宋体"/>
          <w:b/>
          <w:sz w:val="44"/>
          <w:szCs w:val="44"/>
        </w:rPr>
      </w:pPr>
      <w:r>
        <w:rPr>
          <w:rFonts w:hint="eastAsia" w:hAnsi="宋体"/>
          <w:b/>
          <w:sz w:val="44"/>
          <w:szCs w:val="44"/>
        </w:rPr>
        <w:t>(第二部分)</w:t>
      </w:r>
    </w:p>
    <w:p w14:paraId="0DBFB8B6">
      <w:pPr>
        <w:ind w:left="480" w:hanging="480"/>
        <w:jc w:val="center"/>
        <w:rPr>
          <w:rFonts w:ascii="黑体" w:hAnsi="黑体" w:eastAsia="黑体"/>
          <w:sz w:val="32"/>
        </w:rPr>
      </w:pPr>
    </w:p>
    <w:p w14:paraId="3A8E166E">
      <w:pPr>
        <w:ind w:left="480" w:hanging="480"/>
        <w:jc w:val="center"/>
        <w:rPr>
          <w:rFonts w:ascii="黑体" w:hAnsi="黑体" w:eastAsia="黑体"/>
          <w:sz w:val="32"/>
        </w:rPr>
      </w:pPr>
    </w:p>
    <w:p w14:paraId="184EC4FF">
      <w:pPr>
        <w:ind w:left="480" w:hanging="480"/>
        <w:rPr>
          <w:rFonts w:ascii="黑体" w:hAnsi="黑体" w:eastAsia="黑体"/>
          <w:sz w:val="32"/>
        </w:rPr>
      </w:pPr>
    </w:p>
    <w:p w14:paraId="05A0D98F">
      <w:pPr>
        <w:pStyle w:val="46"/>
        <w:spacing w:after="96"/>
        <w:ind w:firstLine="640"/>
        <w:rPr>
          <w:rFonts w:ascii="黑体" w:hAnsi="黑体" w:eastAsia="黑体"/>
          <w:sz w:val="32"/>
        </w:rPr>
      </w:pPr>
    </w:p>
    <w:p w14:paraId="51E41EDA">
      <w:pPr>
        <w:pStyle w:val="46"/>
        <w:spacing w:after="96"/>
        <w:ind w:firstLine="640"/>
        <w:rPr>
          <w:rFonts w:ascii="黑体" w:hAnsi="黑体" w:eastAsia="黑体"/>
          <w:sz w:val="32"/>
        </w:rPr>
      </w:pPr>
    </w:p>
    <w:p w14:paraId="7B9406F1">
      <w:pPr>
        <w:ind w:hanging="315"/>
      </w:pPr>
    </w:p>
    <w:p w14:paraId="2F8FC913">
      <w:pPr>
        <w:ind w:hanging="315"/>
      </w:pPr>
    </w:p>
    <w:p w14:paraId="3E2F51D9">
      <w:pPr>
        <w:ind w:hanging="315"/>
      </w:pPr>
    </w:p>
    <w:p w14:paraId="0337EA47">
      <w:pPr>
        <w:pStyle w:val="90"/>
      </w:pPr>
    </w:p>
    <w:p w14:paraId="10238016">
      <w:pPr>
        <w:pStyle w:val="90"/>
      </w:pPr>
    </w:p>
    <w:p w14:paraId="10FE9BD7">
      <w:pPr>
        <w:ind w:hanging="315"/>
      </w:pPr>
      <w:r>
        <w:rPr>
          <w:rFonts w:hint="eastAsia"/>
        </w:rPr>
        <w:br w:type="page"/>
      </w:r>
    </w:p>
    <w:p w14:paraId="527288C8">
      <w:pPr>
        <w:pStyle w:val="2"/>
        <w:ind w:left="482" w:hanging="482"/>
      </w:pPr>
      <w:r>
        <w:rPr>
          <w:rFonts w:hint="eastAsia"/>
        </w:rPr>
        <w:t>第六章 响应文件组成</w:t>
      </w:r>
    </w:p>
    <w:p w14:paraId="2403DAA8">
      <w:pPr>
        <w:spacing w:line="360" w:lineRule="auto"/>
        <w:ind w:hanging="315"/>
        <w:rPr>
          <w:rFonts w:ascii="宋体" w:hAnsi="宋体"/>
        </w:rPr>
      </w:pPr>
    </w:p>
    <w:p w14:paraId="7FCC7672">
      <w:pPr>
        <w:spacing w:line="360" w:lineRule="auto"/>
        <w:ind w:hanging="315"/>
        <w:rPr>
          <w:rFonts w:ascii="宋体" w:hAnsi="宋体"/>
        </w:rPr>
      </w:pPr>
      <w:r>
        <w:rPr>
          <w:rFonts w:hint="eastAsia" w:ascii="宋体" w:hAnsi="宋体"/>
        </w:rPr>
        <w:t>供应商的响应文件应包含以下几个部分：</w:t>
      </w:r>
    </w:p>
    <w:p w14:paraId="7BD682A9">
      <w:pPr>
        <w:adjustRightInd w:val="0"/>
        <w:snapToGrid w:val="0"/>
        <w:spacing w:line="360" w:lineRule="auto"/>
        <w:ind w:left="316" w:hanging="316"/>
        <w:jc w:val="left"/>
        <w:outlineLvl w:val="0"/>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一、磋商响应声明</w:t>
      </w:r>
    </w:p>
    <w:p w14:paraId="02FBC209">
      <w:pPr>
        <w:adjustRightInd w:val="0"/>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附件1：法定代表人身份证明(法定代表人参加磋商)</w:t>
      </w:r>
    </w:p>
    <w:p w14:paraId="43663FF9">
      <w:pPr>
        <w:adjustRightInd w:val="0"/>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附件2：法定代表人授权书(委托代理人参加磋商)</w:t>
      </w:r>
    </w:p>
    <w:p w14:paraId="34571B1C">
      <w:pPr>
        <w:adjustRightInd w:val="0"/>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附件3：湖南省政府采购供应商资格承诺函</w:t>
      </w:r>
    </w:p>
    <w:p w14:paraId="15E368BC">
      <w:pPr>
        <w:adjustRightInd w:val="0"/>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附件4：工程质量保修书</w:t>
      </w:r>
    </w:p>
    <w:p w14:paraId="6057F683">
      <w:pPr>
        <w:adjustRightInd w:val="0"/>
        <w:snapToGrid w:val="0"/>
        <w:spacing w:line="360" w:lineRule="auto"/>
        <w:ind w:left="316" w:hanging="316"/>
        <w:jc w:val="left"/>
        <w:outlineLvl w:val="0"/>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二、保证金</w:t>
      </w:r>
    </w:p>
    <w:p w14:paraId="36F011D7">
      <w:pPr>
        <w:adjustRightInd w:val="0"/>
        <w:snapToGrid w:val="0"/>
        <w:spacing w:line="360" w:lineRule="auto"/>
        <w:ind w:left="316" w:hanging="316"/>
        <w:jc w:val="left"/>
        <w:outlineLvl w:val="0"/>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三、供应商的资格证明材料</w:t>
      </w:r>
    </w:p>
    <w:p w14:paraId="0D0A95AA">
      <w:pPr>
        <w:adjustRightInd w:val="0"/>
        <w:snapToGrid w:val="0"/>
        <w:spacing w:line="360" w:lineRule="auto"/>
        <w:ind w:firstLine="420" w:firstLineChars="200"/>
        <w:jc w:val="left"/>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附件5：供应商基本情况表</w:t>
      </w:r>
    </w:p>
    <w:p w14:paraId="67BF3636">
      <w:pPr>
        <w:adjustRightInd w:val="0"/>
        <w:snapToGrid w:val="0"/>
        <w:spacing w:line="360" w:lineRule="auto"/>
        <w:ind w:firstLine="420" w:firstLineChars="200"/>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附件6：供应商的资格条件更新材料</w:t>
      </w:r>
    </w:p>
    <w:p w14:paraId="77874195">
      <w:pPr>
        <w:adjustRightInd w:val="0"/>
        <w:snapToGrid w:val="0"/>
        <w:spacing w:line="360" w:lineRule="auto"/>
        <w:ind w:firstLine="420" w:firstLineChars="200"/>
        <w:jc w:val="left"/>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附件7：磋商文件规定的基本资格条件证明资料</w:t>
      </w:r>
    </w:p>
    <w:p w14:paraId="7B3C858B">
      <w:pPr>
        <w:adjustRightInd w:val="0"/>
        <w:snapToGrid w:val="0"/>
        <w:spacing w:line="360" w:lineRule="auto"/>
        <w:ind w:firstLine="420" w:firstLineChars="200"/>
        <w:jc w:val="left"/>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附件8：磋商文件规定的特定资格条件证明资料</w:t>
      </w:r>
    </w:p>
    <w:p w14:paraId="3E75D9DC">
      <w:pPr>
        <w:adjustRightInd w:val="0"/>
        <w:snapToGrid w:val="0"/>
        <w:spacing w:line="360" w:lineRule="auto"/>
        <w:ind w:left="316" w:hanging="316"/>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b/>
        </w:rPr>
        <w:t>四、施工组织设计</w:t>
      </w:r>
    </w:p>
    <w:p w14:paraId="20A5C965">
      <w:pPr>
        <w:adjustRightInd w:val="0"/>
        <w:snapToGrid w:val="0"/>
        <w:spacing w:line="360" w:lineRule="auto"/>
        <w:ind w:firstLine="420" w:firstLineChars="200"/>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附件9：主要人员简历表</w:t>
      </w:r>
    </w:p>
    <w:p w14:paraId="65852C3C">
      <w:pPr>
        <w:pStyle w:val="25"/>
        <w:adjustRightInd w:val="0"/>
        <w:snapToGrid w:val="0"/>
        <w:spacing w:line="360" w:lineRule="auto"/>
        <w:ind w:left="316" w:hanging="316"/>
        <w:rPr>
          <w:rFonts w:asciiTheme="minorEastAsia" w:hAnsiTheme="minorEastAsia" w:eastAsiaTheme="minorEastAsia" w:cstheme="minorEastAsia"/>
          <w:b/>
        </w:rPr>
      </w:pPr>
      <w:r>
        <w:rPr>
          <w:rFonts w:hint="eastAsia" w:asciiTheme="minorEastAsia" w:hAnsiTheme="minorEastAsia" w:eastAsiaTheme="minorEastAsia" w:cstheme="minorEastAsia"/>
          <w:b/>
        </w:rPr>
        <w:t>五、技术/商务响应与偏离表</w:t>
      </w:r>
    </w:p>
    <w:p w14:paraId="1D3DA0FC">
      <w:pPr>
        <w:pStyle w:val="25"/>
        <w:adjustRightInd w:val="0"/>
        <w:snapToGrid w:val="0"/>
        <w:spacing w:line="360" w:lineRule="auto"/>
        <w:ind w:left="316" w:hanging="316"/>
        <w:rPr>
          <w:rFonts w:asciiTheme="minorEastAsia" w:hAnsiTheme="minorEastAsia" w:eastAsiaTheme="minorEastAsia" w:cstheme="minorEastAsia"/>
          <w:b/>
        </w:rPr>
      </w:pPr>
      <w:r>
        <w:rPr>
          <w:rFonts w:hint="eastAsia" w:asciiTheme="minorEastAsia" w:hAnsiTheme="minorEastAsia" w:eastAsiaTheme="minorEastAsia" w:cstheme="minorEastAsia"/>
          <w:b/>
        </w:rPr>
        <w:t>六、提供政府采购政策产品等证明材料</w:t>
      </w:r>
    </w:p>
    <w:p w14:paraId="28F32FCF">
      <w:pPr>
        <w:pStyle w:val="25"/>
        <w:adjustRightInd w:val="0"/>
        <w:snapToGrid w:val="0"/>
        <w:spacing w:line="36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附件9：中小企业声明函</w:t>
      </w:r>
    </w:p>
    <w:p w14:paraId="3B1062A4">
      <w:pPr>
        <w:pStyle w:val="25"/>
        <w:adjustRightInd w:val="0"/>
        <w:snapToGrid w:val="0"/>
        <w:spacing w:line="360" w:lineRule="auto"/>
        <w:ind w:left="316" w:hanging="316"/>
        <w:rPr>
          <w:rFonts w:asciiTheme="minorEastAsia" w:hAnsiTheme="minorEastAsia" w:eastAsiaTheme="minorEastAsia" w:cstheme="minorEastAsia"/>
          <w:b/>
        </w:rPr>
      </w:pPr>
      <w:r>
        <w:rPr>
          <w:rFonts w:hint="eastAsia" w:asciiTheme="minorEastAsia" w:hAnsiTheme="minorEastAsia" w:eastAsiaTheme="minorEastAsia" w:cstheme="minorEastAsia"/>
          <w:b/>
        </w:rPr>
        <w:t>七、报价一览表及报价文件</w:t>
      </w:r>
    </w:p>
    <w:p w14:paraId="253F3E23">
      <w:pPr>
        <w:adjustRightInd w:val="0"/>
        <w:snapToGrid w:val="0"/>
        <w:spacing w:line="360" w:lineRule="auto"/>
        <w:ind w:firstLine="420" w:firstLineChars="200"/>
        <w:jc w:val="left"/>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附件10：报价一览表及报价文件</w:t>
      </w:r>
    </w:p>
    <w:p w14:paraId="61038575">
      <w:pPr>
        <w:adjustRightInd w:val="0"/>
        <w:snapToGrid w:val="0"/>
        <w:spacing w:line="360" w:lineRule="auto"/>
        <w:ind w:firstLine="420" w:firstLineChars="200"/>
        <w:jc w:val="left"/>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附件11：分项报价表</w:t>
      </w:r>
    </w:p>
    <w:p w14:paraId="3A51B4F3">
      <w:pPr>
        <w:pStyle w:val="25"/>
        <w:numPr>
          <w:ilvl w:val="0"/>
          <w:numId w:val="6"/>
        </w:numPr>
        <w:adjustRightInd w:val="0"/>
        <w:snapToGrid w:val="0"/>
        <w:spacing w:line="360" w:lineRule="auto"/>
        <w:ind w:left="316" w:hanging="316"/>
        <w:rPr>
          <w:rFonts w:asciiTheme="minorEastAsia" w:hAnsiTheme="minorEastAsia" w:eastAsiaTheme="minorEastAsia" w:cstheme="minorEastAsia"/>
          <w:b/>
        </w:rPr>
      </w:pPr>
      <w:r>
        <w:rPr>
          <w:rFonts w:hint="eastAsia" w:asciiTheme="minorEastAsia" w:hAnsiTheme="minorEastAsia" w:eastAsiaTheme="minorEastAsia" w:cstheme="minorEastAsia"/>
          <w:b/>
        </w:rPr>
        <w:t>供应商认为需提供的其它资料</w:t>
      </w:r>
    </w:p>
    <w:p w14:paraId="550BF379">
      <w:pPr>
        <w:adjustRightInd w:val="0"/>
        <w:snapToGrid w:val="0"/>
        <w:spacing w:line="360" w:lineRule="auto"/>
        <w:ind w:firstLine="420" w:firstLineChars="200"/>
      </w:pPr>
      <w:r>
        <w:rPr>
          <w:rFonts w:hint="eastAsia" w:asciiTheme="minorEastAsia" w:hAnsiTheme="minorEastAsia" w:eastAsiaTheme="minorEastAsia" w:cstheme="minorEastAsia"/>
          <w:szCs w:val="21"/>
        </w:rPr>
        <w:t>附件12：主要人员简历表</w:t>
      </w:r>
    </w:p>
    <w:p w14:paraId="6D75CB71">
      <w:pPr>
        <w:pStyle w:val="25"/>
        <w:adjustRightInd w:val="0"/>
        <w:snapToGrid w:val="0"/>
        <w:spacing w:line="360" w:lineRule="auto"/>
        <w:ind w:left="316" w:hanging="316"/>
        <w:rPr>
          <w:rFonts w:asciiTheme="minorEastAsia" w:hAnsiTheme="minorEastAsia" w:eastAsiaTheme="minorEastAsia" w:cstheme="minorEastAsia"/>
          <w:b/>
        </w:rPr>
      </w:pPr>
      <w:r>
        <w:rPr>
          <w:rFonts w:hint="eastAsia" w:asciiTheme="minorEastAsia" w:hAnsiTheme="minorEastAsia" w:eastAsiaTheme="minorEastAsia" w:cstheme="minorEastAsia"/>
          <w:b/>
        </w:rPr>
        <w:t>九、最后报价</w:t>
      </w:r>
    </w:p>
    <w:p w14:paraId="35C8A795">
      <w:pPr>
        <w:pStyle w:val="25"/>
        <w:adjustRightInd w:val="0"/>
        <w:snapToGrid w:val="0"/>
        <w:spacing w:line="360" w:lineRule="auto"/>
        <w:ind w:left="482" w:hanging="482"/>
        <w:jc w:val="center"/>
        <w:rPr>
          <w:rFonts w:hAnsi="宋体"/>
          <w:b/>
          <w:sz w:val="32"/>
          <w:szCs w:val="32"/>
        </w:rPr>
      </w:pPr>
      <w:r>
        <w:rPr>
          <w:rFonts w:hint="eastAsia" w:hAnsi="宋体"/>
          <w:b/>
          <w:sz w:val="32"/>
          <w:szCs w:val="32"/>
        </w:rPr>
        <w:br w:type="page"/>
      </w:r>
    </w:p>
    <w:p w14:paraId="6B39140A">
      <w:pPr>
        <w:pStyle w:val="25"/>
        <w:adjustRightInd w:val="0"/>
        <w:snapToGrid w:val="0"/>
        <w:spacing w:line="360" w:lineRule="auto"/>
        <w:ind w:left="482" w:hanging="482"/>
        <w:jc w:val="center"/>
        <w:rPr>
          <w:rFonts w:hAnsi="宋体"/>
          <w:b/>
          <w:sz w:val="32"/>
          <w:szCs w:val="32"/>
        </w:rPr>
      </w:pPr>
    </w:p>
    <w:p w14:paraId="36D94C9E">
      <w:pPr>
        <w:ind w:left="482" w:hanging="482"/>
        <w:rPr>
          <w:rFonts w:hAnsi="宋体"/>
          <w:b/>
          <w:sz w:val="32"/>
          <w:szCs w:val="32"/>
        </w:rPr>
      </w:pPr>
    </w:p>
    <w:p w14:paraId="30187074">
      <w:pPr>
        <w:ind w:left="482" w:hanging="482"/>
        <w:rPr>
          <w:rFonts w:hAnsi="宋体"/>
          <w:b/>
          <w:sz w:val="32"/>
          <w:szCs w:val="32"/>
        </w:rPr>
      </w:pPr>
    </w:p>
    <w:p w14:paraId="596A5F12">
      <w:pPr>
        <w:ind w:left="482" w:hanging="482"/>
        <w:rPr>
          <w:rFonts w:hAnsi="宋体"/>
          <w:b/>
          <w:sz w:val="32"/>
          <w:szCs w:val="32"/>
        </w:rPr>
      </w:pPr>
    </w:p>
    <w:p w14:paraId="7E07C2A4">
      <w:pPr>
        <w:adjustRightInd w:val="0"/>
        <w:snapToGrid w:val="0"/>
        <w:spacing w:line="360" w:lineRule="auto"/>
        <w:ind w:left="1084" w:hanging="1084"/>
        <w:jc w:val="center"/>
        <w:rPr>
          <w:rFonts w:hAnsi="宋体"/>
          <w:b/>
          <w:bCs/>
          <w:sz w:val="72"/>
          <w:szCs w:val="72"/>
        </w:rPr>
      </w:pPr>
      <w:r>
        <w:rPr>
          <w:rFonts w:hint="eastAsia" w:hAnsi="宋体"/>
          <w:b/>
          <w:bCs/>
          <w:sz w:val="72"/>
          <w:szCs w:val="72"/>
        </w:rPr>
        <w:t>竞争性磋商</w:t>
      </w:r>
    </w:p>
    <w:p w14:paraId="6FCEB4E4">
      <w:pPr>
        <w:adjustRightInd w:val="0"/>
        <w:snapToGrid w:val="0"/>
        <w:spacing w:line="360" w:lineRule="auto"/>
        <w:ind w:left="1265" w:hanging="1265"/>
        <w:jc w:val="center"/>
        <w:rPr>
          <w:rFonts w:ascii="宋体" w:hAnsi="宋体"/>
          <w:b/>
          <w:bCs/>
          <w:sz w:val="84"/>
          <w:szCs w:val="84"/>
        </w:rPr>
      </w:pPr>
      <w:r>
        <w:rPr>
          <w:rFonts w:hint="eastAsia" w:ascii="宋体" w:hAnsi="宋体"/>
          <w:b/>
          <w:bCs/>
          <w:sz w:val="84"/>
          <w:szCs w:val="84"/>
        </w:rPr>
        <w:t>响 应 文 件</w:t>
      </w:r>
    </w:p>
    <w:p w14:paraId="64DB877A">
      <w:pPr>
        <w:adjustRightInd w:val="0"/>
        <w:snapToGrid w:val="0"/>
        <w:spacing w:line="360" w:lineRule="auto"/>
        <w:ind w:left="482" w:hanging="482"/>
        <w:rPr>
          <w:rFonts w:ascii="黑体" w:hAnsi="黑体" w:eastAsia="黑体"/>
          <w:b/>
          <w:sz w:val="32"/>
          <w:szCs w:val="32"/>
        </w:rPr>
      </w:pPr>
    </w:p>
    <w:p w14:paraId="6CE205B1">
      <w:pPr>
        <w:adjustRightInd w:val="0"/>
        <w:snapToGrid w:val="0"/>
        <w:spacing w:line="360" w:lineRule="auto"/>
        <w:ind w:left="482" w:hanging="482"/>
        <w:rPr>
          <w:rFonts w:ascii="宋体" w:hAnsi="宋体"/>
          <w:b/>
          <w:sz w:val="30"/>
          <w:szCs w:val="30"/>
        </w:rPr>
      </w:pPr>
      <w:r>
        <w:rPr>
          <w:rFonts w:hint="eastAsia" w:ascii="宋体" w:hAnsi="宋体"/>
          <w:b/>
          <w:sz w:val="32"/>
          <w:szCs w:val="32"/>
        </w:rPr>
        <w:t xml:space="preserve">                     </w:t>
      </w:r>
    </w:p>
    <w:p w14:paraId="7DCBC25C">
      <w:pPr>
        <w:pStyle w:val="25"/>
        <w:adjustRightInd w:val="0"/>
        <w:snapToGrid w:val="0"/>
        <w:spacing w:line="360" w:lineRule="auto"/>
        <w:ind w:firstLine="602" w:firstLineChars="200"/>
        <w:rPr>
          <w:rFonts w:hAnsi="宋体" w:cs="宋体"/>
          <w:b/>
          <w:bCs/>
          <w:sz w:val="30"/>
          <w:szCs w:val="30"/>
          <w:u w:val="single"/>
        </w:rPr>
      </w:pPr>
      <w:r>
        <w:rPr>
          <w:rFonts w:hint="eastAsia" w:hAnsi="宋体" w:cs="宋体"/>
          <w:b/>
          <w:bCs/>
          <w:sz w:val="30"/>
          <w:szCs w:val="30"/>
        </w:rPr>
        <w:t xml:space="preserve">采购项目名称： </w:t>
      </w:r>
      <w:r>
        <w:rPr>
          <w:rFonts w:hint="eastAsia" w:hAnsi="宋体" w:cs="宋体"/>
          <w:b/>
          <w:bCs/>
          <w:sz w:val="30"/>
          <w:szCs w:val="30"/>
          <w:u w:val="single"/>
        </w:rPr>
        <w:t xml:space="preserve">                                   。 </w:t>
      </w:r>
    </w:p>
    <w:p w14:paraId="32FEC450">
      <w:pPr>
        <w:pStyle w:val="25"/>
        <w:adjustRightInd w:val="0"/>
        <w:snapToGrid w:val="0"/>
        <w:spacing w:line="360" w:lineRule="auto"/>
        <w:ind w:firstLine="602" w:firstLineChars="200"/>
        <w:rPr>
          <w:rFonts w:hint="eastAsia" w:hAnsi="宋体" w:cs="宋体"/>
          <w:b/>
          <w:bCs/>
          <w:sz w:val="30"/>
          <w:szCs w:val="30"/>
          <w:u w:val="single"/>
        </w:rPr>
      </w:pPr>
      <w:r>
        <w:rPr>
          <w:rFonts w:hint="eastAsia" w:hAnsi="宋体" w:cs="宋体"/>
          <w:b/>
          <w:bCs/>
          <w:sz w:val="30"/>
          <w:szCs w:val="30"/>
        </w:rPr>
        <w:t>采   购   人：</w:t>
      </w:r>
      <w:r>
        <w:rPr>
          <w:rFonts w:hint="eastAsia" w:hAnsi="宋体" w:cs="宋体"/>
          <w:b/>
          <w:bCs/>
          <w:sz w:val="30"/>
          <w:szCs w:val="30"/>
          <w:u w:val="single"/>
        </w:rPr>
        <w:t xml:space="preserve">                                   。  </w:t>
      </w:r>
    </w:p>
    <w:p w14:paraId="639FC749">
      <w:pPr>
        <w:pStyle w:val="25"/>
        <w:adjustRightInd w:val="0"/>
        <w:snapToGrid w:val="0"/>
        <w:spacing w:line="360" w:lineRule="auto"/>
        <w:ind w:firstLine="602" w:firstLineChars="200"/>
        <w:rPr>
          <w:rFonts w:hAnsi="宋体" w:cs="宋体"/>
          <w:b/>
          <w:bCs/>
          <w:sz w:val="30"/>
          <w:szCs w:val="30"/>
        </w:rPr>
      </w:pPr>
      <w:r>
        <w:rPr>
          <w:rFonts w:hint="eastAsia" w:hAnsi="宋体" w:cs="宋体"/>
          <w:b/>
          <w:bCs/>
          <w:sz w:val="30"/>
          <w:szCs w:val="30"/>
          <w:u w:val="none"/>
          <w:lang w:val="en-US" w:eastAsia="zh-CN"/>
        </w:rPr>
        <w:t>政府采购编号：</w:t>
      </w:r>
      <w:r>
        <w:rPr>
          <w:rFonts w:hint="eastAsia" w:hAnsi="宋体" w:cs="宋体"/>
          <w:b/>
          <w:bCs/>
          <w:sz w:val="30"/>
          <w:szCs w:val="30"/>
          <w:u w:val="single"/>
          <w:lang w:val="en-US" w:eastAsia="zh-CN"/>
        </w:rPr>
        <w:t xml:space="preserve">                                 。                         </w:t>
      </w:r>
      <w:r>
        <w:rPr>
          <w:rFonts w:hint="eastAsia" w:hAnsi="宋体" w:cs="宋体"/>
          <w:b/>
          <w:bCs/>
          <w:sz w:val="30"/>
          <w:szCs w:val="30"/>
          <w:u w:val="single"/>
        </w:rPr>
        <w:t xml:space="preserve">              </w:t>
      </w:r>
      <w:r>
        <w:rPr>
          <w:rFonts w:hint="eastAsia" w:hAnsi="宋体" w:cs="宋体"/>
          <w:b/>
          <w:bCs/>
          <w:sz w:val="30"/>
          <w:szCs w:val="30"/>
          <w:u w:val="none"/>
        </w:rPr>
        <w:t xml:space="preserve">  </w:t>
      </w:r>
      <w:r>
        <w:rPr>
          <w:rFonts w:hint="eastAsia" w:hAnsi="宋体" w:cs="宋体"/>
          <w:b/>
          <w:bCs/>
          <w:sz w:val="30"/>
          <w:szCs w:val="30"/>
          <w:u w:val="single"/>
        </w:rPr>
        <w:t xml:space="preserve">     </w:t>
      </w:r>
    </w:p>
    <w:p w14:paraId="206B8F40">
      <w:pPr>
        <w:pStyle w:val="25"/>
        <w:adjustRightInd w:val="0"/>
        <w:snapToGrid w:val="0"/>
        <w:spacing w:line="360" w:lineRule="auto"/>
        <w:ind w:firstLine="602" w:firstLineChars="200"/>
        <w:rPr>
          <w:rFonts w:hAnsi="宋体" w:cs="宋体"/>
          <w:b/>
          <w:bCs/>
          <w:sz w:val="30"/>
          <w:szCs w:val="30"/>
          <w:u w:val="single"/>
        </w:rPr>
      </w:pPr>
      <w:r>
        <w:rPr>
          <w:rFonts w:hint="eastAsia" w:hAnsi="宋体" w:cs="宋体"/>
          <w:b/>
          <w:bCs/>
          <w:sz w:val="30"/>
          <w:szCs w:val="30"/>
        </w:rPr>
        <w:t>代 理 编 号 ：</w:t>
      </w:r>
      <w:r>
        <w:rPr>
          <w:rFonts w:hint="eastAsia" w:hAnsi="宋体" w:cs="宋体"/>
          <w:b/>
          <w:bCs/>
          <w:sz w:val="30"/>
          <w:szCs w:val="30"/>
          <w:u w:val="single"/>
        </w:rPr>
        <w:t xml:space="preserve">                                   。                      </w:t>
      </w:r>
    </w:p>
    <w:p w14:paraId="2E526C0D">
      <w:pPr>
        <w:pStyle w:val="25"/>
        <w:adjustRightInd w:val="0"/>
        <w:snapToGrid w:val="0"/>
        <w:spacing w:line="360" w:lineRule="auto"/>
        <w:ind w:firstLine="602" w:firstLineChars="200"/>
        <w:rPr>
          <w:rFonts w:hAnsi="宋体" w:cs="宋体"/>
          <w:b/>
          <w:bCs/>
          <w:sz w:val="30"/>
          <w:szCs w:val="30"/>
          <w:u w:val="single"/>
        </w:rPr>
      </w:pPr>
      <w:r>
        <w:rPr>
          <w:rFonts w:hint="eastAsia" w:hAnsi="宋体" w:cs="宋体"/>
          <w:b/>
          <w:bCs/>
          <w:sz w:val="30"/>
          <w:szCs w:val="30"/>
        </w:rPr>
        <w:t>采购代理机构：</w:t>
      </w:r>
      <w:r>
        <w:rPr>
          <w:rFonts w:hint="eastAsia" w:hAnsi="宋体" w:cs="宋体"/>
          <w:b/>
          <w:bCs/>
          <w:sz w:val="30"/>
          <w:szCs w:val="30"/>
          <w:u w:val="single"/>
        </w:rPr>
        <w:t xml:space="preserve">                                   。                      </w:t>
      </w:r>
    </w:p>
    <w:p w14:paraId="711EFEA6">
      <w:pPr>
        <w:adjustRightInd w:val="0"/>
        <w:snapToGrid w:val="0"/>
        <w:spacing w:line="360" w:lineRule="auto"/>
        <w:ind w:firstLine="1928" w:firstLineChars="600"/>
        <w:rPr>
          <w:rFonts w:ascii="宋体" w:hAnsi="宋体" w:cs="宋体"/>
          <w:b/>
          <w:bCs/>
          <w:sz w:val="32"/>
          <w:szCs w:val="32"/>
        </w:rPr>
      </w:pPr>
    </w:p>
    <w:p w14:paraId="00E893F7">
      <w:pPr>
        <w:adjustRightInd w:val="0"/>
        <w:snapToGrid w:val="0"/>
        <w:spacing w:line="360" w:lineRule="auto"/>
        <w:ind w:firstLine="1928" w:firstLineChars="600"/>
        <w:rPr>
          <w:rFonts w:ascii="宋体" w:hAnsi="宋体" w:cs="宋体"/>
          <w:b/>
          <w:bCs/>
          <w:sz w:val="32"/>
          <w:szCs w:val="32"/>
        </w:rPr>
      </w:pPr>
    </w:p>
    <w:p w14:paraId="10BECEC1">
      <w:pPr>
        <w:adjustRightInd w:val="0"/>
        <w:snapToGrid w:val="0"/>
        <w:spacing w:line="360" w:lineRule="auto"/>
        <w:ind w:firstLine="1928" w:firstLineChars="600"/>
        <w:rPr>
          <w:rFonts w:ascii="宋体" w:hAnsi="宋体" w:cs="宋体"/>
          <w:b/>
          <w:bCs/>
          <w:sz w:val="32"/>
          <w:szCs w:val="32"/>
          <w:u w:val="single"/>
        </w:rPr>
      </w:pPr>
      <w:r>
        <w:rPr>
          <w:rFonts w:hint="eastAsia" w:ascii="宋体" w:hAnsi="宋体" w:cs="宋体"/>
          <w:b/>
          <w:bCs/>
          <w:sz w:val="32"/>
          <w:szCs w:val="32"/>
        </w:rPr>
        <w:t>供应商：</w:t>
      </w:r>
      <w:r>
        <w:rPr>
          <w:rFonts w:hint="eastAsia" w:ascii="宋体" w:hAnsi="宋体" w:cs="宋体"/>
          <w:b/>
          <w:bCs/>
          <w:sz w:val="32"/>
          <w:szCs w:val="32"/>
          <w:u w:val="single"/>
        </w:rPr>
        <w:t xml:space="preserve">                         </w:t>
      </w:r>
    </w:p>
    <w:p w14:paraId="5086008F">
      <w:pPr>
        <w:ind w:left="482" w:hanging="482"/>
        <w:jc w:val="center"/>
        <w:rPr>
          <w:rFonts w:ascii="宋体" w:hAnsi="宋体" w:cs="宋体"/>
          <w:b/>
          <w:bCs/>
          <w:sz w:val="32"/>
          <w:szCs w:val="32"/>
        </w:rPr>
      </w:pPr>
    </w:p>
    <w:p w14:paraId="7442B4BD">
      <w:pPr>
        <w:ind w:left="482" w:hanging="482"/>
        <w:jc w:val="center"/>
        <w:rPr>
          <w:rFonts w:ascii="宋体" w:hAnsi="宋体" w:cs="宋体"/>
          <w:b/>
          <w:bCs/>
          <w:sz w:val="32"/>
          <w:szCs w:val="32"/>
        </w:rPr>
      </w:pPr>
    </w:p>
    <w:p w14:paraId="5DDA56B7">
      <w:pPr>
        <w:ind w:left="482" w:hanging="482"/>
        <w:jc w:val="center"/>
        <w:rPr>
          <w:rFonts w:ascii="宋体" w:hAnsi="宋体" w:cs="宋体"/>
          <w:b/>
          <w:bCs/>
          <w:sz w:val="32"/>
          <w:szCs w:val="32"/>
        </w:rPr>
      </w:pPr>
      <w:r>
        <w:rPr>
          <w:rFonts w:hint="eastAsia" w:ascii="宋体" w:hAnsi="宋体" w:cs="宋体"/>
          <w:b/>
          <w:bCs/>
          <w:sz w:val="32"/>
          <w:szCs w:val="32"/>
        </w:rPr>
        <w:t>年  月  日</w:t>
      </w:r>
    </w:p>
    <w:p w14:paraId="6669EBB0">
      <w:pPr>
        <w:spacing w:line="360" w:lineRule="exact"/>
        <w:ind w:left="482" w:hanging="482"/>
        <w:jc w:val="center"/>
        <w:rPr>
          <w:rFonts w:ascii="宋体" w:hAnsi="宋体"/>
          <w:b/>
          <w:sz w:val="32"/>
          <w:szCs w:val="32"/>
        </w:rPr>
      </w:pPr>
    </w:p>
    <w:p w14:paraId="2CD88449">
      <w:pPr>
        <w:spacing w:line="360" w:lineRule="exact"/>
        <w:ind w:left="482" w:hanging="482"/>
        <w:jc w:val="center"/>
        <w:rPr>
          <w:rFonts w:ascii="宋体" w:hAnsi="宋体"/>
          <w:b/>
          <w:sz w:val="32"/>
          <w:szCs w:val="32"/>
        </w:rPr>
      </w:pPr>
    </w:p>
    <w:p w14:paraId="4FCAE97A">
      <w:pPr>
        <w:spacing w:line="360" w:lineRule="exact"/>
        <w:ind w:left="482" w:hanging="482"/>
        <w:jc w:val="center"/>
        <w:rPr>
          <w:rFonts w:ascii="宋体" w:hAnsi="宋体"/>
          <w:b/>
          <w:sz w:val="32"/>
          <w:szCs w:val="32"/>
        </w:rPr>
      </w:pPr>
    </w:p>
    <w:p w14:paraId="4454DBC5">
      <w:pPr>
        <w:spacing w:line="360" w:lineRule="exact"/>
        <w:ind w:left="482" w:hanging="482"/>
        <w:jc w:val="center"/>
        <w:rPr>
          <w:rFonts w:ascii="宋体" w:hAnsi="宋体"/>
          <w:b/>
          <w:sz w:val="32"/>
          <w:szCs w:val="32"/>
        </w:rPr>
      </w:pPr>
    </w:p>
    <w:p w14:paraId="0B340FE2">
      <w:pPr>
        <w:spacing w:line="360" w:lineRule="exact"/>
        <w:ind w:left="482" w:hanging="482"/>
        <w:jc w:val="center"/>
        <w:rPr>
          <w:rFonts w:ascii="宋体" w:hAnsi="宋体"/>
          <w:b/>
          <w:sz w:val="32"/>
          <w:szCs w:val="32"/>
        </w:rPr>
      </w:pPr>
    </w:p>
    <w:p w14:paraId="3A11FA03">
      <w:pPr>
        <w:spacing w:line="360" w:lineRule="exact"/>
        <w:ind w:left="482" w:hanging="482"/>
        <w:rPr>
          <w:rFonts w:ascii="宋体" w:hAnsi="宋体"/>
          <w:b/>
          <w:sz w:val="32"/>
          <w:szCs w:val="32"/>
        </w:rPr>
      </w:pPr>
    </w:p>
    <w:p w14:paraId="55112CFB">
      <w:pPr>
        <w:spacing w:line="360" w:lineRule="exact"/>
        <w:ind w:left="482" w:hanging="482"/>
        <w:jc w:val="center"/>
        <w:rPr>
          <w:rFonts w:ascii="宋体" w:hAnsi="宋体"/>
          <w:b/>
          <w:sz w:val="32"/>
          <w:szCs w:val="32"/>
        </w:rPr>
      </w:pPr>
    </w:p>
    <w:p w14:paraId="2824A160">
      <w:pPr>
        <w:spacing w:line="360" w:lineRule="exact"/>
        <w:ind w:left="422" w:hanging="422"/>
        <w:jc w:val="center"/>
        <w:rPr>
          <w:rFonts w:ascii="宋体" w:hAnsi="宋体"/>
          <w:b/>
          <w:sz w:val="28"/>
          <w:szCs w:val="28"/>
        </w:rPr>
      </w:pPr>
      <w:r>
        <w:rPr>
          <w:rFonts w:hint="eastAsia" w:ascii="宋体" w:hAnsi="宋体"/>
          <w:b/>
          <w:sz w:val="28"/>
          <w:szCs w:val="28"/>
        </w:rPr>
        <w:t>一、磋商响应声明</w:t>
      </w:r>
    </w:p>
    <w:p w14:paraId="334CCD79">
      <w:pPr>
        <w:adjustRightInd w:val="0"/>
        <w:snapToGrid w:val="0"/>
        <w:spacing w:line="360" w:lineRule="auto"/>
        <w:ind w:left="360" w:hanging="360"/>
        <w:rPr>
          <w:rFonts w:ascii="宋体" w:hAnsi="宋体"/>
          <w:sz w:val="24"/>
        </w:rPr>
      </w:pPr>
    </w:p>
    <w:p w14:paraId="60023C8E">
      <w:pPr>
        <w:adjustRightInd w:val="0"/>
        <w:snapToGrid w:val="0"/>
        <w:spacing w:line="360" w:lineRule="auto"/>
        <w:ind w:hanging="315"/>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0635DFB5">
      <w:pPr>
        <w:adjustRightInd w:val="0"/>
        <w:snapToGrid w:val="0"/>
        <w:spacing w:before="120" w:beforeLines="50" w:line="360" w:lineRule="auto"/>
        <w:ind w:hanging="315"/>
        <w:rPr>
          <w:rFonts w:ascii="宋体" w:hAnsi="宋体" w:cs="宋体"/>
          <w:szCs w:val="21"/>
        </w:rPr>
      </w:pPr>
      <w:r>
        <w:rPr>
          <w:rFonts w:hint="eastAsia" w:ascii="宋体" w:hAnsi="宋体" w:cs="宋体"/>
          <w:szCs w:val="21"/>
        </w:rPr>
        <w:t>根据贵方为</w:t>
      </w:r>
      <w:r>
        <w:rPr>
          <w:rFonts w:hint="eastAsia" w:ascii="宋体" w:hAnsi="宋体" w:cs="宋体"/>
          <w:szCs w:val="21"/>
          <w:u w:val="single"/>
        </w:rPr>
        <w:t xml:space="preserve">           </w:t>
      </w:r>
      <w:r>
        <w:rPr>
          <w:rFonts w:hint="eastAsia" w:ascii="宋体" w:hAnsi="宋体" w:cs="宋体"/>
          <w:szCs w:val="21"/>
        </w:rPr>
        <w:t>（项目名称）的磋商邀请（采购代理编号：</w:t>
      </w:r>
      <w:r>
        <w:rPr>
          <w:rFonts w:hint="eastAsia" w:ascii="宋体" w:hAnsi="宋体" w:cs="宋体"/>
          <w:szCs w:val="21"/>
          <w:u w:val="single"/>
        </w:rPr>
        <w:t xml:space="preserve">         </w:t>
      </w:r>
      <w:r>
        <w:rPr>
          <w:rFonts w:hint="eastAsia" w:ascii="宋体" w:hAnsi="宋体" w:cs="宋体"/>
          <w:szCs w:val="21"/>
        </w:rPr>
        <w:t xml:space="preserve">），签字代表 </w:t>
      </w:r>
      <w:r>
        <w:rPr>
          <w:rFonts w:hint="eastAsia" w:ascii="宋体" w:hAnsi="宋体" w:cs="宋体"/>
          <w:szCs w:val="21"/>
          <w:u w:val="single"/>
        </w:rPr>
        <w:t xml:space="preserve">      </w:t>
      </w:r>
      <w:r>
        <w:rPr>
          <w:rFonts w:hint="eastAsia" w:ascii="宋体" w:hAnsi="宋体" w:cs="宋体"/>
          <w:szCs w:val="21"/>
        </w:rPr>
        <w:t>（姓名、职务）经正式授权并代表供应商</w:t>
      </w:r>
      <w:r>
        <w:rPr>
          <w:rFonts w:hint="eastAsia" w:ascii="宋体" w:hAnsi="宋体" w:cs="宋体"/>
          <w:szCs w:val="21"/>
          <w:u w:val="single"/>
        </w:rPr>
        <w:t xml:space="preserve">       </w:t>
      </w:r>
      <w:r>
        <w:rPr>
          <w:rFonts w:hint="eastAsia" w:ascii="宋体" w:hAnsi="宋体" w:cs="宋体"/>
          <w:szCs w:val="21"/>
        </w:rPr>
        <w:t xml:space="preserve"> （供应商名称）提交响应文件正本一份，副本</w:t>
      </w:r>
      <w:r>
        <w:rPr>
          <w:rFonts w:hint="eastAsia" w:ascii="宋体" w:hAnsi="宋体" w:cs="宋体"/>
          <w:szCs w:val="21"/>
          <w:u w:val="single"/>
        </w:rPr>
        <w:t xml:space="preserve">     </w:t>
      </w:r>
      <w:r>
        <w:rPr>
          <w:rFonts w:hint="eastAsia" w:ascii="宋体" w:hAnsi="宋体" w:cs="宋体"/>
          <w:szCs w:val="21"/>
        </w:rPr>
        <w:t>份；响应文件电子文档：</w:t>
      </w:r>
      <w:r>
        <w:rPr>
          <w:rFonts w:hint="eastAsia" w:ascii="宋体" w:hAnsi="宋体" w:cs="宋体"/>
          <w:szCs w:val="21"/>
          <w:u w:val="single"/>
        </w:rPr>
        <w:t xml:space="preserve"> 一 </w:t>
      </w:r>
      <w:r>
        <w:rPr>
          <w:rFonts w:hint="eastAsia" w:ascii="宋体" w:hAnsi="宋体" w:cs="宋体"/>
          <w:szCs w:val="21"/>
        </w:rPr>
        <w:t>份，参加本次采购项目，并在此声明，所递交的响应文件内容完整、真实。</w:t>
      </w:r>
    </w:p>
    <w:p w14:paraId="635ADED3">
      <w:pPr>
        <w:pStyle w:val="25"/>
        <w:adjustRightInd w:val="0"/>
        <w:snapToGrid w:val="0"/>
        <w:spacing w:before="120" w:beforeLines="50" w:line="360" w:lineRule="auto"/>
        <w:ind w:firstLine="420" w:firstLineChars="200"/>
        <w:rPr>
          <w:rFonts w:hAnsi="宋体" w:cs="宋体"/>
        </w:rPr>
      </w:pPr>
      <w:r>
        <w:rPr>
          <w:rFonts w:hint="eastAsia" w:hAnsi="宋体" w:cs="宋体"/>
        </w:rPr>
        <w:t>一、我方已详细审查磋商文件。我们完全理解并同意放弃对这方面有不明及误解的权力。</w:t>
      </w:r>
    </w:p>
    <w:p w14:paraId="07B8C981">
      <w:pPr>
        <w:pStyle w:val="25"/>
        <w:adjustRightInd w:val="0"/>
        <w:snapToGrid w:val="0"/>
        <w:spacing w:before="120" w:beforeLines="50" w:line="360" w:lineRule="auto"/>
        <w:ind w:firstLine="420" w:firstLineChars="200"/>
        <w:rPr>
          <w:rFonts w:hAnsi="宋体" w:cs="宋体"/>
          <w:bCs/>
        </w:rPr>
      </w:pPr>
      <w:r>
        <w:rPr>
          <w:rFonts w:hint="eastAsia" w:hAnsi="宋体" w:cs="宋体"/>
        </w:rPr>
        <w:t>二、我方愿意向贵方提供任何与本项采购有关的数据、情况和技术资料。若贵方需要，我方愿意提供我方作出的一切承诺的证明材料。</w:t>
      </w:r>
    </w:p>
    <w:p w14:paraId="60B8D4A1">
      <w:pPr>
        <w:pStyle w:val="25"/>
        <w:adjustRightInd w:val="0"/>
        <w:snapToGrid w:val="0"/>
        <w:spacing w:before="120" w:beforeLines="50" w:line="360" w:lineRule="auto"/>
        <w:ind w:firstLine="420" w:firstLineChars="200"/>
        <w:rPr>
          <w:rFonts w:hAnsi="宋体" w:cs="宋体"/>
        </w:rPr>
      </w:pPr>
      <w:r>
        <w:rPr>
          <w:rFonts w:hint="eastAsia" w:hAnsi="宋体" w:cs="宋体"/>
        </w:rPr>
        <w:t>三、我方愿意按磋商文件规定和磋商小组要求重新提交响应文件和最后报价。</w:t>
      </w:r>
    </w:p>
    <w:p w14:paraId="4AAD8A34">
      <w:pPr>
        <w:pStyle w:val="25"/>
        <w:adjustRightInd w:val="0"/>
        <w:snapToGrid w:val="0"/>
        <w:spacing w:before="120" w:beforeLines="50" w:line="360" w:lineRule="auto"/>
        <w:ind w:firstLine="420" w:firstLineChars="200"/>
        <w:rPr>
          <w:rFonts w:hAnsi="宋体" w:cs="宋体"/>
        </w:rPr>
      </w:pPr>
      <w:r>
        <w:rPr>
          <w:rFonts w:hint="eastAsia" w:hAnsi="宋体" w:cs="宋体"/>
        </w:rPr>
        <w:t>四、我方同意在磋商文件中规定的提交首次响应文件截止时间起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6F19C4DB">
      <w:pPr>
        <w:pStyle w:val="25"/>
        <w:adjustRightInd w:val="0"/>
        <w:snapToGrid w:val="0"/>
        <w:spacing w:before="120" w:beforeLines="50" w:line="360" w:lineRule="auto"/>
        <w:ind w:firstLine="420" w:firstLineChars="200"/>
        <w:rPr>
          <w:rFonts w:hAnsi="宋体" w:cs="宋体"/>
        </w:rPr>
      </w:pPr>
      <w:r>
        <w:rPr>
          <w:rFonts w:hint="eastAsia" w:hAnsi="宋体" w:cs="宋体"/>
        </w:rPr>
        <w:t>五、我方承诺遵守《招标采购法》及实施条例、《招标采购非招标方式管理办法》（财政部第74号令）的有关规定，保证在获得成交资格后，按照磋商文件确定的事项签订招标采购合同，履行双方所签订的合同，并承担合同规定的责任和义务。</w:t>
      </w:r>
    </w:p>
    <w:p w14:paraId="079B4138">
      <w:pPr>
        <w:pStyle w:val="25"/>
        <w:adjustRightInd w:val="0"/>
        <w:snapToGrid w:val="0"/>
        <w:spacing w:before="120" w:beforeLines="50" w:line="360" w:lineRule="auto"/>
        <w:ind w:firstLine="420" w:firstLineChars="200"/>
        <w:rPr>
          <w:rFonts w:hAnsi="宋体" w:cs="宋体"/>
        </w:rPr>
      </w:pPr>
      <w:r>
        <w:rPr>
          <w:rFonts w:hint="eastAsia" w:hAnsi="宋体" w:cs="宋体"/>
        </w:rPr>
        <w:t>六、我方承诺在参与竞争性磋商过程中，若出现《招标采购法》第七十七条、《招标采购法实施条例》第七十二条和《招标采购非招标方式管理办法》第五十四条规定之情形，我方同意接受条款规定作出的处罚。</w:t>
      </w:r>
    </w:p>
    <w:p w14:paraId="69DFD4D6">
      <w:pPr>
        <w:adjustRightInd w:val="0"/>
        <w:snapToGrid w:val="0"/>
        <w:spacing w:before="120" w:beforeLines="50" w:line="360" w:lineRule="auto"/>
        <w:ind w:hanging="315"/>
        <w:rPr>
          <w:rFonts w:ascii="宋体" w:hAnsi="宋体" w:cs="宋体"/>
          <w:szCs w:val="21"/>
        </w:rPr>
      </w:pPr>
      <w:r>
        <w:rPr>
          <w:rFonts w:hint="eastAsia" w:ascii="宋体" w:hAnsi="宋体" w:cs="宋体"/>
          <w:szCs w:val="21"/>
        </w:rPr>
        <w:t>七、我方的联系方式：</w:t>
      </w:r>
    </w:p>
    <w:p w14:paraId="5B51B366">
      <w:pPr>
        <w:adjustRightInd w:val="0"/>
        <w:snapToGrid w:val="0"/>
        <w:spacing w:line="360" w:lineRule="exact"/>
        <w:ind w:hanging="315"/>
        <w:rPr>
          <w:rFonts w:ascii="宋体" w:hAnsi="宋体" w:cs="Calibri"/>
          <w:u w:val="single"/>
        </w:rPr>
      </w:pPr>
      <w:r>
        <w:rPr>
          <w:rFonts w:hint="eastAsia" w:ascii="宋体" w:hAnsi="宋体" w:cs="宋体"/>
          <w:szCs w:val="21"/>
        </w:rPr>
        <w:t>地址：</w:t>
      </w:r>
      <w:r>
        <w:rPr>
          <w:rFonts w:hint="eastAsia" w:ascii="宋体" w:hAnsi="宋体" w:cs="宋体"/>
          <w:szCs w:val="21"/>
          <w:u w:val="single"/>
        </w:rPr>
        <w:t xml:space="preserve">             </w:t>
      </w:r>
      <w:r>
        <w:rPr>
          <w:rFonts w:hint="eastAsia" w:ascii="宋体" w:hAnsi="宋体" w:cs="宋体"/>
          <w:szCs w:val="21"/>
        </w:rPr>
        <w:t xml:space="preserve"> 邮编： </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电子邮箱：</w:t>
      </w:r>
      <w:r>
        <w:rPr>
          <w:rFonts w:hint="eastAsia" w:ascii="宋体" w:hAnsi="宋体" w:cs="宋体"/>
          <w:szCs w:val="21"/>
          <w:u w:val="single"/>
        </w:rPr>
        <w:t xml:space="preserve">            。</w:t>
      </w:r>
    </w:p>
    <w:p w14:paraId="0C91C5D8">
      <w:pPr>
        <w:adjustRightInd w:val="0"/>
        <w:snapToGrid w:val="0"/>
        <w:spacing w:line="360" w:lineRule="auto"/>
        <w:ind w:right="24" w:hanging="315"/>
        <w:rPr>
          <w:rFonts w:ascii="宋体" w:hAnsi="宋体"/>
          <w:bCs/>
          <w:szCs w:val="21"/>
        </w:rPr>
      </w:pPr>
    </w:p>
    <w:p w14:paraId="720C83AF">
      <w:pPr>
        <w:adjustRightInd w:val="0"/>
        <w:snapToGrid w:val="0"/>
        <w:spacing w:line="360" w:lineRule="auto"/>
        <w:ind w:right="24" w:hanging="315"/>
        <w:rPr>
          <w:rFonts w:ascii="宋体" w:hAnsi="宋体"/>
          <w:bCs/>
          <w:szCs w:val="21"/>
        </w:rPr>
      </w:pPr>
    </w:p>
    <w:p w14:paraId="25BC95F1">
      <w:pPr>
        <w:adjustRightInd w:val="0"/>
        <w:snapToGrid w:val="0"/>
        <w:spacing w:line="360" w:lineRule="auto"/>
        <w:ind w:right="24" w:hanging="315"/>
        <w:rPr>
          <w:rFonts w:ascii="宋体" w:hAnsi="宋体" w:cs="Courier New"/>
          <w:szCs w:val="21"/>
        </w:rPr>
      </w:pPr>
      <w:r>
        <w:rPr>
          <w:rFonts w:hint="eastAsia" w:ascii="宋体" w:hAnsi="宋体"/>
          <w:bCs/>
          <w:szCs w:val="21"/>
        </w:rPr>
        <w:t>附</w:t>
      </w:r>
      <w:r>
        <w:rPr>
          <w:rFonts w:hint="eastAsia" w:ascii="宋体" w:hAnsi="宋体" w:cs="Courier New"/>
          <w:szCs w:val="21"/>
        </w:rPr>
        <w:t>件1：法定代表人（负责人）身份证明(法定代表人〔负责人〕参加磋商)</w:t>
      </w:r>
    </w:p>
    <w:p w14:paraId="41161EF1">
      <w:pPr>
        <w:adjustRightInd w:val="0"/>
        <w:snapToGrid w:val="0"/>
        <w:spacing w:line="360" w:lineRule="auto"/>
        <w:ind w:right="24" w:hanging="315"/>
        <w:rPr>
          <w:rFonts w:ascii="宋体" w:hAnsi="宋体" w:cs="Courier New"/>
          <w:szCs w:val="21"/>
        </w:rPr>
      </w:pPr>
      <w:r>
        <w:rPr>
          <w:rFonts w:hint="eastAsia" w:ascii="宋体" w:hAnsi="宋体" w:cs="Courier New"/>
          <w:szCs w:val="21"/>
        </w:rPr>
        <w:t>附件2：法定代表人（负责人）授权书(委托代理人参加磋商)</w:t>
      </w:r>
    </w:p>
    <w:p w14:paraId="4CC96679">
      <w:pPr>
        <w:pStyle w:val="25"/>
        <w:adjustRightInd w:val="0"/>
        <w:snapToGrid w:val="0"/>
        <w:spacing w:line="360" w:lineRule="auto"/>
        <w:ind w:hanging="315"/>
        <w:rPr>
          <w:rFonts w:hAnsi="宋体"/>
        </w:rPr>
      </w:pPr>
    </w:p>
    <w:p w14:paraId="7A253489">
      <w:pPr>
        <w:pStyle w:val="25"/>
        <w:adjustRightInd w:val="0"/>
        <w:snapToGrid w:val="0"/>
        <w:spacing w:line="360" w:lineRule="auto"/>
        <w:ind w:hanging="315"/>
        <w:rPr>
          <w:rFonts w:hAnsi="宋体"/>
        </w:rPr>
      </w:pPr>
      <w:r>
        <w:rPr>
          <w:rFonts w:hint="eastAsia" w:hAnsi="宋体"/>
        </w:rPr>
        <w:t>供应商名称(盖单位章)：</w:t>
      </w:r>
    </w:p>
    <w:p w14:paraId="5F86C70C">
      <w:pPr>
        <w:adjustRightInd w:val="0"/>
        <w:snapToGrid w:val="0"/>
        <w:spacing w:line="360" w:lineRule="auto"/>
        <w:ind w:hanging="315"/>
        <w:rPr>
          <w:rFonts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318D39D7">
      <w:pPr>
        <w:adjustRightInd w:val="0"/>
        <w:snapToGrid w:val="0"/>
        <w:spacing w:line="360" w:lineRule="auto"/>
        <w:ind w:hanging="315"/>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5F7F13">
      <w:pPr>
        <w:adjustRightInd w:val="0"/>
        <w:snapToGrid w:val="0"/>
        <w:spacing w:line="360" w:lineRule="auto"/>
        <w:ind w:left="450" w:right="24" w:hanging="450"/>
        <w:rPr>
          <w:rFonts w:ascii="宋体" w:hAnsi="宋体"/>
          <w:bCs/>
          <w:sz w:val="30"/>
          <w:szCs w:val="30"/>
        </w:rPr>
      </w:pPr>
    </w:p>
    <w:p w14:paraId="72F421E5">
      <w:pPr>
        <w:adjustRightInd w:val="0"/>
        <w:snapToGrid w:val="0"/>
        <w:spacing w:line="360" w:lineRule="auto"/>
        <w:ind w:left="450" w:right="24" w:hanging="450"/>
        <w:rPr>
          <w:rFonts w:ascii="宋体" w:hAnsi="宋体"/>
          <w:bCs/>
          <w:sz w:val="30"/>
          <w:szCs w:val="30"/>
        </w:rPr>
      </w:pPr>
    </w:p>
    <w:p w14:paraId="42D4E505">
      <w:pPr>
        <w:adjustRightInd w:val="0"/>
        <w:snapToGrid w:val="0"/>
        <w:spacing w:line="360" w:lineRule="auto"/>
        <w:ind w:left="450" w:right="24" w:hanging="450"/>
        <w:rPr>
          <w:rFonts w:ascii="宋体" w:hAnsi="宋体"/>
          <w:bCs/>
          <w:sz w:val="30"/>
          <w:szCs w:val="30"/>
        </w:rPr>
      </w:pPr>
      <w:r>
        <w:rPr>
          <w:rFonts w:hint="eastAsia" w:ascii="宋体" w:hAnsi="宋体"/>
          <w:bCs/>
          <w:sz w:val="30"/>
          <w:szCs w:val="30"/>
        </w:rPr>
        <w:t>附件1</w:t>
      </w:r>
    </w:p>
    <w:p w14:paraId="30C96634">
      <w:pPr>
        <w:adjustRightInd w:val="0"/>
        <w:snapToGrid w:val="0"/>
        <w:spacing w:before="120" w:beforeLines="50" w:line="360" w:lineRule="auto"/>
        <w:ind w:left="422" w:hanging="422"/>
        <w:jc w:val="center"/>
        <w:rPr>
          <w:rFonts w:ascii="宋体" w:hAnsi="宋体"/>
          <w:b/>
          <w:sz w:val="28"/>
          <w:szCs w:val="28"/>
        </w:rPr>
      </w:pPr>
      <w:r>
        <w:rPr>
          <w:rFonts w:hint="eastAsia" w:ascii="宋体" w:hAnsi="宋体"/>
          <w:b/>
          <w:sz w:val="28"/>
          <w:szCs w:val="28"/>
        </w:rPr>
        <w:t>法定代表人身份证明(格式)</w:t>
      </w:r>
    </w:p>
    <w:p w14:paraId="2472CD6B">
      <w:pPr>
        <w:snapToGrid w:val="0"/>
        <w:spacing w:line="480" w:lineRule="auto"/>
        <w:ind w:hanging="315"/>
        <w:rPr>
          <w:rFonts w:ascii="宋体" w:hAnsi="宋体"/>
          <w:szCs w:val="21"/>
        </w:rPr>
      </w:pPr>
    </w:p>
    <w:p w14:paraId="12EC9B1A">
      <w:pPr>
        <w:tabs>
          <w:tab w:val="left" w:pos="3880"/>
        </w:tabs>
        <w:autoSpaceDE w:val="0"/>
        <w:autoSpaceDN w:val="0"/>
        <w:adjustRightInd w:val="0"/>
        <w:snapToGrid w:val="0"/>
        <w:spacing w:before="120" w:beforeLines="50" w:line="360" w:lineRule="auto"/>
        <w:ind w:left="315" w:right="-20" w:hanging="315"/>
        <w:jc w:val="left"/>
        <w:rPr>
          <w:rFonts w:ascii="宋体" w:hAnsi="宋体" w:cs="宋体"/>
          <w:kern w:val="0"/>
          <w:szCs w:val="21"/>
          <w:u w:val="single"/>
        </w:rPr>
      </w:pPr>
      <w:r>
        <w:rPr>
          <w:rFonts w:hint="eastAsia" w:ascii="宋体" w:hAnsi="宋体" w:cs="宋体"/>
          <w:kern w:val="0"/>
          <w:position w:val="-4"/>
          <w:szCs w:val="21"/>
        </w:rPr>
        <w:t>供应商名</w:t>
      </w:r>
      <w:r>
        <w:rPr>
          <w:rFonts w:hint="eastAsia" w:ascii="宋体" w:hAnsi="宋体" w:cs="宋体"/>
          <w:spacing w:val="-2"/>
          <w:kern w:val="0"/>
          <w:position w:val="-4"/>
          <w:szCs w:val="21"/>
        </w:rPr>
        <w:t>称</w:t>
      </w:r>
      <w:r>
        <w:rPr>
          <w:rFonts w:hint="eastAsia" w:ascii="宋体" w:hAnsi="宋体" w:cs="宋体"/>
          <w:kern w:val="0"/>
          <w:position w:val="-4"/>
          <w:szCs w:val="21"/>
        </w:rPr>
        <w:t>：</w:t>
      </w:r>
      <w:r>
        <w:rPr>
          <w:rFonts w:hint="eastAsia" w:ascii="宋体" w:hAnsi="宋体" w:cs="宋体"/>
          <w:kern w:val="0"/>
          <w:position w:val="-4"/>
          <w:szCs w:val="21"/>
          <w:u w:val="single"/>
        </w:rPr>
        <w:t xml:space="preserve">                      </w:t>
      </w:r>
      <w:r>
        <w:rPr>
          <w:rFonts w:hint="eastAsia" w:ascii="宋体" w:hAnsi="宋体" w:cs="宋体"/>
          <w:szCs w:val="21"/>
          <w:u w:val="single"/>
        </w:rPr>
        <w:t>。</w:t>
      </w:r>
    </w:p>
    <w:p w14:paraId="1D09BC3E">
      <w:pPr>
        <w:tabs>
          <w:tab w:val="left" w:pos="2400"/>
          <w:tab w:val="left" w:pos="3880"/>
          <w:tab w:val="left" w:pos="5340"/>
          <w:tab w:val="left" w:pos="6820"/>
        </w:tabs>
        <w:autoSpaceDE w:val="0"/>
        <w:autoSpaceDN w:val="0"/>
        <w:adjustRightInd w:val="0"/>
        <w:snapToGrid w:val="0"/>
        <w:spacing w:before="120" w:beforeLines="50" w:line="360" w:lineRule="auto"/>
        <w:ind w:left="315" w:right="-20" w:hanging="315"/>
        <w:jc w:val="left"/>
        <w:rPr>
          <w:rFonts w:ascii="宋体" w:hAnsi="宋体" w:cs="宋体"/>
          <w:kern w:val="0"/>
          <w:position w:val="-2"/>
          <w:szCs w:val="21"/>
        </w:rPr>
      </w:pPr>
      <w:r>
        <w:rPr>
          <w:rFonts w:hint="eastAsia" w:ascii="宋体" w:hAnsi="宋体" w:cs="宋体"/>
          <w:kern w:val="0"/>
          <w:position w:val="-2"/>
          <w:szCs w:val="21"/>
        </w:rPr>
        <w:t>统一社会信用代码：</w:t>
      </w:r>
      <w:r>
        <w:rPr>
          <w:rFonts w:hint="eastAsia" w:ascii="宋体" w:hAnsi="宋体" w:cs="宋体"/>
          <w:kern w:val="0"/>
          <w:position w:val="-4"/>
          <w:szCs w:val="21"/>
          <w:u w:val="single"/>
        </w:rPr>
        <w:t xml:space="preserve">                      </w:t>
      </w:r>
      <w:r>
        <w:rPr>
          <w:rFonts w:hint="eastAsia" w:ascii="宋体" w:hAnsi="宋体" w:cs="宋体"/>
          <w:szCs w:val="21"/>
          <w:u w:val="single"/>
        </w:rPr>
        <w:t xml:space="preserve">。                 </w:t>
      </w:r>
    </w:p>
    <w:p w14:paraId="6079CD46">
      <w:pPr>
        <w:tabs>
          <w:tab w:val="left" w:pos="2400"/>
          <w:tab w:val="left" w:pos="3880"/>
          <w:tab w:val="left" w:pos="5340"/>
          <w:tab w:val="left" w:pos="6820"/>
        </w:tabs>
        <w:autoSpaceDE w:val="0"/>
        <w:autoSpaceDN w:val="0"/>
        <w:adjustRightInd w:val="0"/>
        <w:snapToGrid w:val="0"/>
        <w:spacing w:before="120" w:beforeLines="50" w:line="360" w:lineRule="auto"/>
        <w:ind w:left="315" w:right="-20" w:hanging="315"/>
        <w:jc w:val="left"/>
        <w:rPr>
          <w:rFonts w:ascii="宋体" w:hAnsi="宋体" w:cs="宋体"/>
          <w:kern w:val="0"/>
          <w:position w:val="-2"/>
          <w:szCs w:val="21"/>
        </w:rPr>
      </w:pPr>
      <w:r>
        <w:rPr>
          <w:rFonts w:hint="eastAsia" w:ascii="宋体" w:hAnsi="宋体" w:cs="宋体"/>
          <w:kern w:val="0"/>
          <w:position w:val="-2"/>
          <w:szCs w:val="21"/>
        </w:rPr>
        <w:t>注册地址：</w:t>
      </w:r>
      <w:r>
        <w:rPr>
          <w:rFonts w:hint="eastAsia" w:ascii="宋体" w:hAnsi="宋体" w:cs="宋体"/>
          <w:kern w:val="0"/>
          <w:position w:val="-4"/>
          <w:szCs w:val="21"/>
          <w:u w:val="single"/>
        </w:rPr>
        <w:t xml:space="preserve">                      </w:t>
      </w:r>
      <w:r>
        <w:rPr>
          <w:rFonts w:hint="eastAsia" w:ascii="宋体" w:hAnsi="宋体" w:cs="宋体"/>
          <w:szCs w:val="21"/>
          <w:u w:val="single"/>
        </w:rPr>
        <w:t xml:space="preserve">。                </w:t>
      </w:r>
    </w:p>
    <w:p w14:paraId="7E643754">
      <w:pPr>
        <w:tabs>
          <w:tab w:val="left" w:pos="2400"/>
          <w:tab w:val="left" w:pos="3880"/>
          <w:tab w:val="left" w:pos="5340"/>
          <w:tab w:val="left" w:pos="6820"/>
        </w:tabs>
        <w:autoSpaceDE w:val="0"/>
        <w:autoSpaceDN w:val="0"/>
        <w:adjustRightInd w:val="0"/>
        <w:snapToGrid w:val="0"/>
        <w:spacing w:before="120" w:beforeLines="50" w:line="360" w:lineRule="auto"/>
        <w:ind w:right="-23" w:firstLine="210" w:firstLineChars="100"/>
        <w:jc w:val="left"/>
        <w:rPr>
          <w:rFonts w:ascii="宋体" w:hAnsi="宋体" w:cs="宋体"/>
          <w:kern w:val="0"/>
          <w:szCs w:val="21"/>
        </w:rPr>
      </w:pPr>
      <w:r>
        <w:rPr>
          <w:rFonts w:hint="eastAsia" w:ascii="宋体" w:hAnsi="宋体" w:cs="宋体"/>
          <w:kern w:val="0"/>
          <w:position w:val="-2"/>
          <w:szCs w:val="21"/>
        </w:rPr>
        <w:t>姓名</w:t>
      </w:r>
      <w:r>
        <w:rPr>
          <w:rFonts w:hint="eastAsia" w:ascii="宋体" w:hAnsi="宋体" w:cs="宋体"/>
          <w:spacing w:val="-2"/>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性别</w:t>
      </w:r>
      <w:r>
        <w:rPr>
          <w:rFonts w:hint="eastAsia" w:ascii="宋体" w:hAnsi="宋体" w:cs="宋体"/>
          <w:spacing w:val="-2"/>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年</w:t>
      </w:r>
      <w:r>
        <w:rPr>
          <w:rFonts w:hint="eastAsia" w:ascii="宋体" w:hAnsi="宋体" w:cs="宋体"/>
          <w:spacing w:val="-2"/>
          <w:kern w:val="0"/>
          <w:position w:val="-2"/>
          <w:szCs w:val="21"/>
        </w:rPr>
        <w:t>龄</w:t>
      </w:r>
      <w:r>
        <w:rPr>
          <w:rFonts w:hint="eastAsia" w:ascii="宋体" w:hAnsi="宋体" w:cs="宋体"/>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职</w:t>
      </w:r>
      <w:r>
        <w:rPr>
          <w:rFonts w:hint="eastAsia" w:ascii="宋体" w:hAnsi="宋体" w:cs="宋体"/>
          <w:spacing w:val="-2"/>
          <w:kern w:val="0"/>
          <w:position w:val="-2"/>
          <w:szCs w:val="21"/>
        </w:rPr>
        <w:t>务</w:t>
      </w:r>
      <w:r>
        <w:rPr>
          <w:rFonts w:hint="eastAsia" w:ascii="宋体" w:hAnsi="宋体" w:cs="宋体"/>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系</w:t>
      </w:r>
      <w:r>
        <w:rPr>
          <w:rFonts w:hint="eastAsia" w:ascii="宋体" w:hAnsi="宋体" w:cs="宋体"/>
          <w:szCs w:val="21"/>
          <w:u w:val="single"/>
        </w:rPr>
        <w:t xml:space="preserve">         </w:t>
      </w:r>
      <w:r>
        <w:rPr>
          <w:rFonts w:hint="eastAsia" w:ascii="宋体" w:hAnsi="宋体" w:cs="宋体"/>
          <w:spacing w:val="-2"/>
          <w:kern w:val="0"/>
          <w:position w:val="-2"/>
          <w:szCs w:val="21"/>
        </w:rPr>
        <w:t>（</w:t>
      </w:r>
      <w:r>
        <w:rPr>
          <w:rFonts w:hint="eastAsia" w:ascii="宋体" w:hAnsi="宋体" w:cs="宋体"/>
          <w:kern w:val="0"/>
          <w:position w:val="-2"/>
          <w:szCs w:val="21"/>
        </w:rPr>
        <w:t>供应商</w:t>
      </w:r>
      <w:r>
        <w:rPr>
          <w:rFonts w:hint="eastAsia" w:ascii="宋体" w:hAnsi="宋体" w:cs="宋体"/>
          <w:spacing w:val="-2"/>
          <w:kern w:val="0"/>
          <w:position w:val="-2"/>
          <w:szCs w:val="21"/>
        </w:rPr>
        <w:t>名</w:t>
      </w:r>
      <w:r>
        <w:rPr>
          <w:rFonts w:hint="eastAsia" w:ascii="宋体" w:hAnsi="宋体" w:cs="宋体"/>
          <w:kern w:val="0"/>
          <w:position w:val="-2"/>
          <w:szCs w:val="21"/>
        </w:rPr>
        <w:t>称</w:t>
      </w:r>
      <w:r>
        <w:rPr>
          <w:rFonts w:hint="eastAsia" w:ascii="宋体" w:hAnsi="宋体" w:cs="宋体"/>
          <w:spacing w:val="-2"/>
          <w:kern w:val="0"/>
          <w:position w:val="-2"/>
          <w:szCs w:val="21"/>
        </w:rPr>
        <w:t>）</w:t>
      </w:r>
      <w:r>
        <w:rPr>
          <w:rFonts w:hint="eastAsia" w:ascii="宋体" w:hAnsi="宋体" w:cs="宋体"/>
          <w:kern w:val="0"/>
          <w:position w:val="-2"/>
          <w:szCs w:val="21"/>
        </w:rPr>
        <w:t>的</w:t>
      </w:r>
      <w:r>
        <w:rPr>
          <w:rFonts w:hint="eastAsia" w:ascii="宋体" w:hAnsi="宋体" w:cs="宋体"/>
          <w:spacing w:val="-2"/>
          <w:kern w:val="0"/>
          <w:position w:val="-2"/>
          <w:szCs w:val="21"/>
        </w:rPr>
        <w:t>法定代表人（单位负责人）。</w:t>
      </w:r>
    </w:p>
    <w:p w14:paraId="3B9F0FA9">
      <w:pPr>
        <w:autoSpaceDE w:val="0"/>
        <w:autoSpaceDN w:val="0"/>
        <w:adjustRightInd w:val="0"/>
        <w:snapToGrid w:val="0"/>
        <w:spacing w:before="120" w:beforeLines="50" w:line="360" w:lineRule="auto"/>
        <w:ind w:left="315" w:right="-20" w:hanging="315"/>
        <w:jc w:val="left"/>
        <w:rPr>
          <w:rFonts w:ascii="宋体" w:hAnsi="宋体" w:cs="宋体"/>
          <w:kern w:val="0"/>
          <w:szCs w:val="21"/>
        </w:rPr>
      </w:pPr>
      <w:r>
        <w:rPr>
          <w:rFonts w:hint="eastAsia" w:ascii="宋体" w:hAnsi="宋体" w:cs="宋体"/>
          <w:kern w:val="0"/>
          <w:szCs w:val="21"/>
        </w:rPr>
        <w:t>特此</w:t>
      </w:r>
      <w:r>
        <w:rPr>
          <w:rFonts w:hint="eastAsia" w:ascii="宋体" w:hAnsi="宋体" w:cs="宋体"/>
          <w:spacing w:val="-2"/>
          <w:kern w:val="0"/>
          <w:szCs w:val="21"/>
        </w:rPr>
        <w:t>证</w:t>
      </w:r>
      <w:r>
        <w:rPr>
          <w:rFonts w:hint="eastAsia" w:ascii="宋体" w:hAnsi="宋体" w:cs="宋体"/>
          <w:kern w:val="0"/>
          <w:szCs w:val="21"/>
        </w:rPr>
        <w:t>明。</w:t>
      </w:r>
    </w:p>
    <w:p w14:paraId="74740B18">
      <w:pPr>
        <w:autoSpaceDE w:val="0"/>
        <w:autoSpaceDN w:val="0"/>
        <w:adjustRightInd w:val="0"/>
        <w:snapToGrid w:val="0"/>
        <w:spacing w:before="120" w:beforeLines="50" w:line="360" w:lineRule="auto"/>
        <w:ind w:left="315" w:right="4231"/>
        <w:jc w:val="left"/>
        <w:rPr>
          <w:rFonts w:ascii="宋体" w:hAnsi="宋体" w:cs="宋体"/>
          <w:kern w:val="0"/>
          <w:szCs w:val="21"/>
        </w:rPr>
      </w:pPr>
      <w:r>
        <w:rPr>
          <w:rFonts w:hint="eastAsia" w:ascii="宋体" w:hAnsi="宋体" w:cs="宋体"/>
          <w:kern w:val="0"/>
          <w:szCs w:val="21"/>
        </w:rPr>
        <w:t>附：</w:t>
      </w: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kern w:val="0"/>
          <w:szCs w:val="21"/>
        </w:rPr>
        <w:t>身</w:t>
      </w:r>
      <w:r>
        <w:rPr>
          <w:rFonts w:hint="eastAsia" w:ascii="宋体" w:hAnsi="宋体" w:cs="宋体"/>
          <w:spacing w:val="-2"/>
          <w:kern w:val="0"/>
          <w:szCs w:val="21"/>
        </w:rPr>
        <w:t>份</w:t>
      </w:r>
      <w:r>
        <w:rPr>
          <w:rFonts w:hint="eastAsia" w:ascii="宋体" w:hAnsi="宋体" w:cs="宋体"/>
          <w:kern w:val="0"/>
          <w:szCs w:val="21"/>
        </w:rPr>
        <w:t>证</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r>
        <w:rPr>
          <w:rFonts w:hint="eastAsia" w:ascii="宋体" w:hAnsi="宋体" w:cs="宋体"/>
          <w:kern w:val="0"/>
          <w:szCs w:val="21"/>
        </w:rPr>
        <w:t>。</w:t>
      </w:r>
    </w:p>
    <w:tbl>
      <w:tblPr>
        <w:tblStyle w:val="4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903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3898" w:type="dxa"/>
            <w:vAlign w:val="center"/>
          </w:tcPr>
          <w:p w14:paraId="7FBA10B9">
            <w:pPr>
              <w:adjustRightInd w:val="0"/>
              <w:snapToGrid w:val="0"/>
              <w:spacing w:before="120" w:beforeLines="50" w:line="360" w:lineRule="auto"/>
              <w:ind w:hanging="315"/>
              <w:jc w:val="center"/>
              <w:rPr>
                <w:rFonts w:ascii="宋体" w:hAnsi="宋体" w:cs="宋体"/>
                <w:szCs w:val="21"/>
              </w:rPr>
            </w:pPr>
            <w:r>
              <w:rPr>
                <w:rFonts w:hint="eastAsia" w:ascii="宋体" w:hAnsi="宋体" w:cs="宋体"/>
                <w:szCs w:val="21"/>
              </w:rPr>
              <w:t>身份证（正面）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c>
          <w:tcPr>
            <w:tcW w:w="3899" w:type="dxa"/>
            <w:vAlign w:val="center"/>
          </w:tcPr>
          <w:p w14:paraId="6F0FB36B">
            <w:pPr>
              <w:adjustRightInd w:val="0"/>
              <w:snapToGrid w:val="0"/>
              <w:spacing w:before="120" w:beforeLines="50" w:line="360" w:lineRule="auto"/>
              <w:ind w:hanging="315"/>
              <w:jc w:val="center"/>
              <w:rPr>
                <w:rFonts w:ascii="宋体" w:hAnsi="宋体" w:cs="宋体"/>
                <w:szCs w:val="21"/>
              </w:rPr>
            </w:pPr>
            <w:r>
              <w:rPr>
                <w:rFonts w:hint="eastAsia" w:ascii="宋体" w:hAnsi="宋体" w:cs="宋体"/>
                <w:szCs w:val="21"/>
              </w:rPr>
              <w:t>身份证（反面）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r>
    </w:tbl>
    <w:p w14:paraId="5EA3D66D">
      <w:pPr>
        <w:adjustRightInd w:val="0"/>
        <w:snapToGrid w:val="0"/>
        <w:spacing w:before="120" w:beforeLines="50" w:line="360" w:lineRule="auto"/>
        <w:ind w:hanging="315"/>
        <w:rPr>
          <w:rFonts w:ascii="宋体" w:hAnsi="宋体" w:cs="宋体"/>
          <w:szCs w:val="21"/>
        </w:rPr>
      </w:pPr>
    </w:p>
    <w:p w14:paraId="48D6D3CF">
      <w:pPr>
        <w:adjustRightInd w:val="0"/>
        <w:snapToGrid w:val="0"/>
        <w:spacing w:before="120" w:beforeLines="50" w:line="360" w:lineRule="auto"/>
        <w:ind w:hanging="315"/>
        <w:rPr>
          <w:rFonts w:ascii="宋体" w:hAnsi="宋体" w:cs="宋体"/>
          <w:szCs w:val="21"/>
        </w:rPr>
      </w:pPr>
      <w:r>
        <w:rPr>
          <w:rFonts w:hint="eastAsia" w:ascii="宋体" w:hAnsi="宋体" w:cs="宋体"/>
          <w:szCs w:val="21"/>
        </w:rPr>
        <w:t>注：供应商代表为法定代表人（单位负责人）的提供。供应商为自然人的无需提供。</w:t>
      </w:r>
    </w:p>
    <w:p w14:paraId="3ADC7F61">
      <w:pPr>
        <w:adjustRightInd w:val="0"/>
        <w:snapToGrid w:val="0"/>
        <w:spacing w:before="120" w:beforeLines="50" w:line="360" w:lineRule="auto"/>
        <w:ind w:hanging="315"/>
        <w:rPr>
          <w:rFonts w:ascii="宋体" w:hAnsi="宋体" w:cs="宋体"/>
          <w:szCs w:val="21"/>
        </w:rPr>
      </w:pPr>
    </w:p>
    <w:p w14:paraId="31048E35">
      <w:pPr>
        <w:pStyle w:val="25"/>
        <w:adjustRightInd w:val="0"/>
        <w:snapToGrid w:val="0"/>
        <w:spacing w:before="120" w:beforeLines="50" w:line="360" w:lineRule="auto"/>
        <w:ind w:hanging="315"/>
        <w:rPr>
          <w:rFonts w:hAnsi="宋体" w:cs="宋体"/>
        </w:rPr>
      </w:pPr>
      <w:r>
        <w:rPr>
          <w:rFonts w:hint="eastAsia" w:hAnsi="宋体" w:cs="宋体"/>
        </w:rPr>
        <w:t>供应商名称(盖单位公章)：</w:t>
      </w:r>
    </w:p>
    <w:p w14:paraId="5D4E8E98">
      <w:pPr>
        <w:adjustRightInd w:val="0"/>
        <w:snapToGrid w:val="0"/>
        <w:spacing w:before="120" w:beforeLines="50" w:line="360" w:lineRule="auto"/>
        <w:ind w:right="24" w:hanging="315"/>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255EC04">
      <w:pPr>
        <w:adjustRightInd w:val="0"/>
        <w:snapToGrid w:val="0"/>
        <w:spacing w:before="120" w:beforeLines="50" w:line="360" w:lineRule="auto"/>
        <w:ind w:left="316" w:hanging="316"/>
        <w:rPr>
          <w:rFonts w:ascii="宋体" w:hAnsi="宋体" w:cs="宋体"/>
          <w:b/>
        </w:rPr>
      </w:pPr>
    </w:p>
    <w:p w14:paraId="299BC546">
      <w:pPr>
        <w:adjustRightInd w:val="0"/>
        <w:snapToGrid w:val="0"/>
        <w:spacing w:before="120" w:beforeLines="50" w:line="360" w:lineRule="auto"/>
        <w:ind w:left="316" w:hanging="316"/>
        <w:rPr>
          <w:rFonts w:ascii="宋体" w:hAnsi="宋体" w:cs="宋体"/>
          <w:b/>
        </w:rPr>
      </w:pPr>
    </w:p>
    <w:p w14:paraId="0507AEAA">
      <w:pPr>
        <w:adjustRightInd w:val="0"/>
        <w:snapToGrid w:val="0"/>
        <w:spacing w:line="360" w:lineRule="auto"/>
        <w:ind w:left="316" w:right="420" w:hanging="316"/>
        <w:rPr>
          <w:rFonts w:ascii="宋体" w:hAnsi="宋体" w:cs="宋体"/>
          <w:szCs w:val="21"/>
        </w:rPr>
      </w:pPr>
      <w:r>
        <w:rPr>
          <w:rFonts w:hint="eastAsia" w:ascii="宋体" w:hAnsi="宋体" w:cs="宋体"/>
          <w:b/>
        </w:rPr>
        <w:t>法定代表人参与磋商的，请将此身份证明单独另备一份与法定代表人身份证原件于开标现场身份验证时使用。</w:t>
      </w:r>
    </w:p>
    <w:p w14:paraId="495AE8F3">
      <w:pPr>
        <w:adjustRightInd w:val="0"/>
        <w:snapToGrid w:val="0"/>
        <w:spacing w:before="120" w:beforeLines="50" w:line="360" w:lineRule="auto"/>
        <w:ind w:hanging="315"/>
        <w:rPr>
          <w:rFonts w:ascii="宋体" w:hAnsi="宋体" w:cs="宋体"/>
          <w:szCs w:val="21"/>
        </w:rPr>
      </w:pPr>
    </w:p>
    <w:p w14:paraId="1DF0954E">
      <w:pPr>
        <w:adjustRightInd w:val="0"/>
        <w:snapToGrid w:val="0"/>
        <w:spacing w:before="120" w:beforeLines="50" w:line="360" w:lineRule="auto"/>
        <w:ind w:left="450" w:hanging="450"/>
        <w:rPr>
          <w:rFonts w:ascii="宋体" w:hAnsi="宋体"/>
          <w:sz w:val="30"/>
          <w:szCs w:val="30"/>
        </w:rPr>
      </w:pPr>
      <w:r>
        <w:rPr>
          <w:rFonts w:hint="eastAsia" w:ascii="宋体" w:hAnsi="宋体"/>
          <w:bCs/>
          <w:sz w:val="30"/>
          <w:szCs w:val="30"/>
        </w:rPr>
        <w:br w:type="page"/>
      </w:r>
      <w:r>
        <w:rPr>
          <w:rFonts w:hint="eastAsia" w:ascii="宋体" w:hAnsi="宋体"/>
          <w:bCs/>
          <w:sz w:val="30"/>
          <w:szCs w:val="30"/>
        </w:rPr>
        <w:t>附件2</w:t>
      </w:r>
    </w:p>
    <w:p w14:paraId="5C50FCE6">
      <w:pPr>
        <w:spacing w:line="360" w:lineRule="exact"/>
        <w:ind w:left="422" w:hanging="422"/>
        <w:jc w:val="center"/>
        <w:rPr>
          <w:rFonts w:ascii="宋体" w:hAnsi="宋体"/>
          <w:b/>
          <w:sz w:val="28"/>
          <w:szCs w:val="28"/>
        </w:rPr>
      </w:pPr>
      <w:r>
        <w:rPr>
          <w:rFonts w:hint="eastAsia" w:ascii="宋体" w:hAnsi="宋体"/>
          <w:b/>
          <w:sz w:val="28"/>
          <w:szCs w:val="28"/>
        </w:rPr>
        <w:t>授权委托书(格式)</w:t>
      </w:r>
    </w:p>
    <w:p w14:paraId="0E9D4761">
      <w:pPr>
        <w:adjustRightInd w:val="0"/>
        <w:snapToGrid w:val="0"/>
        <w:spacing w:line="360" w:lineRule="auto"/>
        <w:ind w:left="422" w:hanging="422"/>
        <w:jc w:val="center"/>
        <w:rPr>
          <w:rFonts w:ascii="宋体" w:hAnsi="宋体"/>
          <w:b/>
          <w:sz w:val="28"/>
          <w:szCs w:val="28"/>
        </w:rPr>
      </w:pPr>
    </w:p>
    <w:p w14:paraId="263A95C4">
      <w:pPr>
        <w:autoSpaceDE w:val="0"/>
        <w:autoSpaceDN w:val="0"/>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kern w:val="0"/>
          <w:szCs w:val="21"/>
        </w:rPr>
        <w:t>本人</w:t>
      </w:r>
      <w:r>
        <w:rPr>
          <w:rFonts w:hint="eastAsia" w:ascii="宋体" w:hAnsi="宋体"/>
          <w:kern w:val="0"/>
          <w:szCs w:val="21"/>
          <w:u w:val="single"/>
        </w:rPr>
        <w:t xml:space="preserve">          </w:t>
      </w:r>
      <w:r>
        <w:rPr>
          <w:rFonts w:hint="eastAsia" w:ascii="宋体" w:hAnsi="宋体"/>
          <w:kern w:val="0"/>
          <w:szCs w:val="21"/>
        </w:rPr>
        <w:t>（姓名、职务）系</w:t>
      </w:r>
      <w:r>
        <w:rPr>
          <w:rFonts w:hint="eastAsia" w:ascii="宋体" w:hAnsi="宋体"/>
          <w:kern w:val="0"/>
          <w:szCs w:val="21"/>
          <w:u w:val="single"/>
        </w:rPr>
        <w:t xml:space="preserve">                          </w:t>
      </w:r>
      <w:r>
        <w:rPr>
          <w:rFonts w:hint="eastAsia" w:ascii="宋体" w:hAnsi="宋体"/>
          <w:kern w:val="0"/>
          <w:szCs w:val="21"/>
        </w:rPr>
        <w:t xml:space="preserve"> （</w:t>
      </w:r>
      <w:r>
        <w:rPr>
          <w:rFonts w:hint="eastAsia" w:ascii="宋体" w:hAnsi="宋体"/>
          <w:szCs w:val="21"/>
        </w:rPr>
        <w:t>供应商</w:t>
      </w:r>
      <w:r>
        <w:rPr>
          <w:rFonts w:hint="eastAsia" w:ascii="宋体" w:hAnsi="宋体"/>
          <w:kern w:val="0"/>
          <w:szCs w:val="21"/>
        </w:rPr>
        <w:t>名称）的法定代表人，现授权</w:t>
      </w:r>
      <w:r>
        <w:rPr>
          <w:rFonts w:hint="eastAsia" w:ascii="宋体" w:hAnsi="宋体"/>
          <w:kern w:val="0"/>
          <w:szCs w:val="21"/>
          <w:u w:val="single"/>
        </w:rPr>
        <w:t xml:space="preserve">          </w:t>
      </w:r>
      <w:r>
        <w:rPr>
          <w:rFonts w:hint="eastAsia" w:ascii="宋体" w:hAnsi="宋体"/>
          <w:kern w:val="0"/>
          <w:szCs w:val="21"/>
        </w:rPr>
        <w:t>（姓名、职务）为我方代理人。代理人根据授权，以我方名义：(1)签署、澄清、补正、修改、撤回、提交</w:t>
      </w:r>
      <w:r>
        <w:rPr>
          <w:rFonts w:hint="eastAsia" w:ascii="宋体" w:hAnsi="宋体"/>
          <w:kern w:val="0"/>
          <w:szCs w:val="21"/>
          <w:u w:val="single"/>
        </w:rPr>
        <w:t xml:space="preserve">                     </w:t>
      </w:r>
      <w:r>
        <w:rPr>
          <w:rFonts w:hint="eastAsia" w:ascii="宋体" w:hAnsi="宋体"/>
          <w:kern w:val="0"/>
          <w:szCs w:val="21"/>
        </w:rPr>
        <w:t>（项目名称、采购代理编号）响应文件；</w:t>
      </w:r>
      <w:r>
        <w:rPr>
          <w:rFonts w:hint="eastAsia" w:ascii="宋体" w:hAnsi="宋体" w:cs="宋体"/>
          <w:kern w:val="0"/>
          <w:szCs w:val="21"/>
        </w:rPr>
        <w:t>(2)签署并重新提交响应文件及最后报价；(3)退出磋商（如可能）；(4)签订合同和处理有关事宜，其法律后果由我方承担。</w:t>
      </w:r>
    </w:p>
    <w:p w14:paraId="217EA868">
      <w:pPr>
        <w:autoSpaceDE w:val="0"/>
        <w:autoSpaceDN w:val="0"/>
        <w:adjustRightInd w:val="0"/>
        <w:snapToGrid w:val="0"/>
        <w:spacing w:before="120" w:beforeLines="50" w:line="360" w:lineRule="auto"/>
        <w:ind w:firstLine="420" w:firstLineChars="200"/>
        <w:jc w:val="left"/>
        <w:rPr>
          <w:rFonts w:ascii="宋体" w:hAnsi="宋体"/>
          <w:kern w:val="0"/>
          <w:szCs w:val="21"/>
        </w:rPr>
      </w:pPr>
      <w:r>
        <w:rPr>
          <w:rFonts w:hint="eastAsia" w:ascii="宋体" w:hAnsi="宋体"/>
          <w:kern w:val="0"/>
          <w:szCs w:val="21"/>
        </w:rPr>
        <w:t>委托期限：</w:t>
      </w:r>
      <w:r>
        <w:rPr>
          <w:rFonts w:hint="eastAsia" w:ascii="宋体" w:hAnsi="宋体"/>
          <w:kern w:val="0"/>
          <w:szCs w:val="21"/>
          <w:u w:val="single"/>
        </w:rPr>
        <w:t xml:space="preserve">                                     </w:t>
      </w:r>
      <w:r>
        <w:rPr>
          <w:rFonts w:hint="eastAsia" w:ascii="宋体" w:hAnsi="宋体"/>
          <w:kern w:val="0"/>
          <w:szCs w:val="21"/>
        </w:rPr>
        <w:t xml:space="preserve"> 。</w:t>
      </w:r>
    </w:p>
    <w:p w14:paraId="7C71D881">
      <w:pPr>
        <w:spacing w:line="360" w:lineRule="auto"/>
        <w:ind w:hanging="315"/>
        <w:rPr>
          <w:rFonts w:ascii="宋体" w:hAnsi="宋体"/>
          <w:kern w:val="0"/>
          <w:szCs w:val="21"/>
        </w:rPr>
      </w:pPr>
      <w:r>
        <w:rPr>
          <w:rFonts w:hint="eastAsia" w:ascii="宋体" w:hAnsi="宋体"/>
          <w:kern w:val="0"/>
          <w:szCs w:val="21"/>
        </w:rPr>
        <w:t>代理人无转委托权。</w:t>
      </w:r>
    </w:p>
    <w:p w14:paraId="2EC05473">
      <w:pPr>
        <w:spacing w:line="360" w:lineRule="auto"/>
        <w:ind w:hanging="315"/>
        <w:rPr>
          <w:rFonts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4871C2A6">
      <w:pPr>
        <w:adjustRightInd w:val="0"/>
        <w:snapToGrid w:val="0"/>
        <w:spacing w:before="120" w:beforeLines="50" w:line="360" w:lineRule="auto"/>
        <w:ind w:firstLine="420" w:firstLineChars="200"/>
        <w:rPr>
          <w:rFonts w:ascii="宋体" w:hAnsi="宋体"/>
          <w:szCs w:val="21"/>
        </w:rPr>
      </w:pPr>
      <w:r>
        <w:rPr>
          <w:rFonts w:hint="eastAsia" w:ascii="宋体" w:hAnsi="宋体"/>
          <w:szCs w:val="21"/>
        </w:rPr>
        <w:t>附：委托代理人身份证复印件及法定代表人身份证明(附件1，原件)</w:t>
      </w:r>
    </w:p>
    <w:tbl>
      <w:tblPr>
        <w:tblStyle w:val="4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A10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3898" w:type="dxa"/>
            <w:vAlign w:val="center"/>
          </w:tcPr>
          <w:p w14:paraId="054322C1">
            <w:pPr>
              <w:adjustRightInd w:val="0"/>
              <w:snapToGrid w:val="0"/>
              <w:spacing w:before="120" w:beforeLines="50" w:line="360" w:lineRule="auto"/>
              <w:ind w:hanging="315"/>
              <w:jc w:val="center"/>
              <w:rPr>
                <w:rFonts w:ascii="宋体" w:hAnsi="宋体" w:cs="宋体"/>
                <w:szCs w:val="21"/>
              </w:rPr>
            </w:pPr>
            <w:r>
              <w:rPr>
                <w:rFonts w:hint="eastAsia" w:ascii="宋体" w:hAnsi="宋体" w:cs="宋体"/>
                <w:szCs w:val="21"/>
              </w:rPr>
              <w:t>身份证（正反面）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c>
          <w:tcPr>
            <w:tcW w:w="3899" w:type="dxa"/>
            <w:vAlign w:val="center"/>
          </w:tcPr>
          <w:p w14:paraId="1E982854">
            <w:pPr>
              <w:adjustRightInd w:val="0"/>
              <w:snapToGrid w:val="0"/>
              <w:spacing w:before="120" w:beforeLines="50" w:line="360" w:lineRule="auto"/>
              <w:ind w:hanging="315"/>
              <w:jc w:val="center"/>
              <w:rPr>
                <w:rFonts w:ascii="宋体" w:hAnsi="宋体" w:cs="宋体"/>
                <w:szCs w:val="21"/>
              </w:rPr>
            </w:pPr>
            <w:r>
              <w:rPr>
                <w:rFonts w:hint="eastAsia" w:ascii="宋体" w:hAnsi="宋体" w:cs="宋体"/>
                <w:szCs w:val="21"/>
              </w:rPr>
              <w:t>身份证（正反面）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r>
    </w:tbl>
    <w:p w14:paraId="2F0E8CCC">
      <w:pPr>
        <w:adjustRightInd w:val="0"/>
        <w:snapToGrid w:val="0"/>
        <w:spacing w:line="360" w:lineRule="auto"/>
        <w:ind w:right="420" w:hanging="315"/>
        <w:rPr>
          <w:rFonts w:ascii="宋体" w:hAnsi="宋体"/>
          <w:szCs w:val="21"/>
        </w:rPr>
      </w:pPr>
    </w:p>
    <w:p w14:paraId="1CA4275D">
      <w:pPr>
        <w:adjustRightInd w:val="0"/>
        <w:snapToGrid w:val="0"/>
        <w:spacing w:line="360" w:lineRule="auto"/>
        <w:ind w:right="420" w:hanging="315"/>
        <w:rPr>
          <w:rFonts w:ascii="宋体" w:hAnsi="宋体"/>
          <w:szCs w:val="21"/>
        </w:rPr>
      </w:pPr>
    </w:p>
    <w:p w14:paraId="1F8BEEF6">
      <w:pPr>
        <w:adjustRightInd w:val="0"/>
        <w:snapToGrid w:val="0"/>
        <w:spacing w:line="360" w:lineRule="auto"/>
        <w:ind w:right="420" w:hanging="315"/>
        <w:rPr>
          <w:rFonts w:ascii="宋体" w:hAnsi="宋体"/>
          <w:szCs w:val="21"/>
        </w:rPr>
      </w:pPr>
      <w:r>
        <w:rPr>
          <w:rFonts w:hint="eastAsia" w:ascii="宋体" w:hAnsi="宋体"/>
          <w:szCs w:val="21"/>
        </w:rPr>
        <w:t>法定代表人（签字）：</w:t>
      </w:r>
      <w:r>
        <w:rPr>
          <w:rFonts w:hint="eastAsia" w:ascii="宋体" w:hAnsi="宋体"/>
          <w:szCs w:val="21"/>
          <w:u w:val="single"/>
        </w:rPr>
        <w:t xml:space="preserve">                     </w:t>
      </w:r>
    </w:p>
    <w:p w14:paraId="55C28B0B">
      <w:pPr>
        <w:adjustRightInd w:val="0"/>
        <w:snapToGrid w:val="0"/>
        <w:spacing w:line="360" w:lineRule="auto"/>
        <w:ind w:right="420" w:hanging="315"/>
        <w:rPr>
          <w:rFonts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48C321B3">
      <w:pPr>
        <w:adjustRightInd w:val="0"/>
        <w:snapToGrid w:val="0"/>
        <w:spacing w:line="360" w:lineRule="auto"/>
        <w:ind w:right="24" w:hanging="315"/>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F7025E9">
      <w:pPr>
        <w:spacing w:line="360" w:lineRule="exact"/>
        <w:ind w:left="316" w:hanging="316"/>
        <w:rPr>
          <w:rFonts w:ascii="宋体" w:hAnsi="宋体"/>
          <w:b/>
        </w:rPr>
      </w:pPr>
    </w:p>
    <w:p w14:paraId="35F48B78">
      <w:pPr>
        <w:spacing w:line="360" w:lineRule="exact"/>
        <w:ind w:left="316" w:hanging="316"/>
        <w:rPr>
          <w:rFonts w:ascii="宋体" w:hAnsi="宋体"/>
          <w:b/>
        </w:rPr>
      </w:pPr>
    </w:p>
    <w:p w14:paraId="4D43B712">
      <w:pPr>
        <w:spacing w:line="360" w:lineRule="exact"/>
        <w:ind w:left="316" w:hanging="316"/>
        <w:rPr>
          <w:rFonts w:ascii="宋体" w:hAnsi="宋体"/>
          <w:b/>
        </w:rPr>
      </w:pPr>
    </w:p>
    <w:p w14:paraId="03A583DA">
      <w:pPr>
        <w:adjustRightInd w:val="0"/>
        <w:snapToGrid w:val="0"/>
        <w:spacing w:before="120" w:beforeLines="50" w:line="360" w:lineRule="auto"/>
        <w:ind w:left="316" w:right="420" w:hanging="316"/>
        <w:rPr>
          <w:rFonts w:ascii="宋体" w:hAnsi="宋体" w:cs="宋体"/>
          <w:szCs w:val="21"/>
        </w:rPr>
      </w:pPr>
      <w:r>
        <w:rPr>
          <w:rFonts w:hint="eastAsia" w:ascii="宋体" w:hAnsi="宋体" w:cs="宋体"/>
          <w:b/>
          <w:szCs w:val="21"/>
        </w:rPr>
        <w:t>本授权委托书和法定代表人身份证明（单独另备一份）及委托代理人身份证原件开标现场查验。</w:t>
      </w:r>
    </w:p>
    <w:p w14:paraId="08651E82">
      <w:pPr>
        <w:spacing w:line="360" w:lineRule="exact"/>
        <w:ind w:left="316" w:hanging="316"/>
        <w:rPr>
          <w:rFonts w:ascii="宋体" w:hAnsi="宋体"/>
          <w:b/>
        </w:rPr>
      </w:pPr>
    </w:p>
    <w:p w14:paraId="2488E8EA">
      <w:pPr>
        <w:spacing w:line="360" w:lineRule="exact"/>
        <w:ind w:left="316" w:hanging="316"/>
        <w:rPr>
          <w:rFonts w:ascii="宋体" w:hAnsi="宋体"/>
          <w:b/>
        </w:rPr>
      </w:pPr>
    </w:p>
    <w:p w14:paraId="14C8E2B7">
      <w:pPr>
        <w:spacing w:line="360" w:lineRule="exact"/>
        <w:ind w:left="316" w:hanging="316"/>
        <w:rPr>
          <w:rFonts w:ascii="宋体" w:hAnsi="宋体"/>
          <w:b/>
        </w:rPr>
      </w:pPr>
    </w:p>
    <w:p w14:paraId="7ECD862F">
      <w:pPr>
        <w:spacing w:line="360" w:lineRule="exact"/>
        <w:ind w:left="316" w:hanging="316"/>
        <w:rPr>
          <w:rFonts w:ascii="宋体" w:hAnsi="宋体"/>
          <w:b/>
        </w:rPr>
      </w:pPr>
    </w:p>
    <w:p w14:paraId="57683616">
      <w:pPr>
        <w:spacing w:line="360" w:lineRule="exact"/>
        <w:ind w:left="482" w:hanging="482"/>
        <w:jc w:val="center"/>
        <w:rPr>
          <w:rFonts w:ascii="宋体" w:hAnsi="宋体"/>
          <w:b/>
          <w:sz w:val="32"/>
          <w:szCs w:val="32"/>
        </w:rPr>
      </w:pPr>
    </w:p>
    <w:p w14:paraId="4BF073B5">
      <w:pPr>
        <w:spacing w:line="360" w:lineRule="exact"/>
        <w:ind w:left="482" w:hanging="482"/>
        <w:jc w:val="center"/>
        <w:rPr>
          <w:rFonts w:ascii="宋体" w:hAnsi="宋体"/>
          <w:b/>
          <w:sz w:val="32"/>
          <w:szCs w:val="32"/>
        </w:rPr>
      </w:pPr>
    </w:p>
    <w:p w14:paraId="3EDED17D">
      <w:pPr>
        <w:pStyle w:val="91"/>
        <w:ind w:hanging="315"/>
      </w:pPr>
    </w:p>
    <w:p w14:paraId="06423141">
      <w:pPr>
        <w:spacing w:line="360" w:lineRule="exact"/>
        <w:ind w:left="482" w:hanging="482"/>
        <w:jc w:val="center"/>
        <w:rPr>
          <w:rFonts w:ascii="宋体" w:hAnsi="宋体"/>
          <w:b/>
          <w:sz w:val="32"/>
          <w:szCs w:val="32"/>
        </w:rPr>
      </w:pPr>
    </w:p>
    <w:p w14:paraId="0465A849">
      <w:pPr>
        <w:adjustRightInd w:val="0"/>
        <w:snapToGrid w:val="0"/>
        <w:spacing w:before="120" w:beforeLines="50" w:line="360" w:lineRule="auto"/>
        <w:ind w:left="450" w:hanging="450"/>
        <w:rPr>
          <w:rFonts w:ascii="宋体" w:hAnsi="宋体"/>
          <w:bCs/>
          <w:sz w:val="30"/>
          <w:szCs w:val="30"/>
        </w:rPr>
      </w:pPr>
      <w:r>
        <w:rPr>
          <w:rFonts w:hint="eastAsia" w:ascii="宋体" w:hAnsi="宋体"/>
          <w:bCs/>
          <w:sz w:val="30"/>
          <w:szCs w:val="30"/>
        </w:rPr>
        <w:t>附件3</w:t>
      </w:r>
    </w:p>
    <w:p w14:paraId="1DD05DD3">
      <w:pPr>
        <w:pStyle w:val="46"/>
        <w:spacing w:after="96"/>
      </w:pPr>
    </w:p>
    <w:p w14:paraId="57F53CF5">
      <w:pPr>
        <w:autoSpaceDE w:val="0"/>
        <w:autoSpaceDN w:val="0"/>
        <w:adjustRightInd w:val="0"/>
        <w:snapToGrid w:val="0"/>
        <w:spacing w:before="120" w:beforeLines="50" w:line="360" w:lineRule="auto"/>
        <w:ind w:left="420" w:right="24" w:hanging="420"/>
        <w:jc w:val="center"/>
        <w:rPr>
          <w:rFonts w:ascii="黑体" w:hAnsi="黑体" w:eastAsia="黑体" w:cs="微软雅黑"/>
          <w:kern w:val="0"/>
          <w:position w:val="-3"/>
          <w:sz w:val="28"/>
          <w:szCs w:val="28"/>
        </w:rPr>
      </w:pPr>
      <w:r>
        <w:rPr>
          <w:rFonts w:hint="eastAsia" w:ascii="黑体" w:hAnsi="黑体" w:eastAsia="黑体" w:cs="微软雅黑"/>
          <w:kern w:val="0"/>
          <w:position w:val="-3"/>
          <w:sz w:val="28"/>
          <w:szCs w:val="28"/>
        </w:rPr>
        <w:t>湖南省政府采购供应商资格承诺函</w:t>
      </w:r>
    </w:p>
    <w:p w14:paraId="312F2B0A">
      <w:pPr>
        <w:spacing w:line="266" w:lineRule="auto"/>
        <w:ind w:hanging="315"/>
        <w:rPr>
          <w:rFonts w:ascii="Arial"/>
        </w:rPr>
      </w:pPr>
    </w:p>
    <w:p w14:paraId="43782EAD">
      <w:pPr>
        <w:spacing w:line="266" w:lineRule="auto"/>
        <w:ind w:hanging="315"/>
        <w:rPr>
          <w:rFonts w:asciiTheme="minorEastAsia" w:hAnsiTheme="minorEastAsia" w:eastAsiaTheme="minorEastAsia" w:cstheme="minorEastAsia"/>
          <w:szCs w:val="21"/>
        </w:rPr>
      </w:pPr>
    </w:p>
    <w:p w14:paraId="66FA882B">
      <w:pPr>
        <w:spacing w:line="360" w:lineRule="auto"/>
        <w:ind w:left="420" w:leftChars="200" w:right="113" w:firstLine="61" w:firstLineChars="25"/>
        <w:rPr>
          <w:rFonts w:ascii="宋体" w:hAnsi="宋体" w:cs="宋体"/>
          <w:szCs w:val="21"/>
        </w:rPr>
      </w:pPr>
      <w:r>
        <w:rPr>
          <w:rFonts w:hint="eastAsia" w:ascii="宋体" w:hAnsi="宋体" w:cs="宋体"/>
          <w:spacing w:val="18"/>
          <w:szCs w:val="21"/>
        </w:rPr>
        <w:t>本</w:t>
      </w:r>
      <w:r>
        <w:rPr>
          <w:rFonts w:hint="eastAsia" w:ascii="宋体" w:hAnsi="宋体" w:cs="宋体"/>
          <w:spacing w:val="11"/>
          <w:szCs w:val="21"/>
        </w:rPr>
        <w:t>公</w:t>
      </w:r>
      <w:r>
        <w:rPr>
          <w:rFonts w:hint="eastAsia" w:ascii="宋体" w:hAnsi="宋体" w:cs="宋体"/>
          <w:spacing w:val="9"/>
          <w:szCs w:val="21"/>
        </w:rPr>
        <w:t>司独立承担民事责任、具有良好的商业信誉和健全的财</w:t>
      </w:r>
      <w:r>
        <w:rPr>
          <w:rFonts w:hint="eastAsia" w:ascii="宋体" w:hAnsi="宋体" w:cs="宋体"/>
          <w:spacing w:val="18"/>
          <w:szCs w:val="21"/>
        </w:rPr>
        <w:t>务会</w:t>
      </w:r>
      <w:r>
        <w:rPr>
          <w:rFonts w:hint="eastAsia" w:ascii="宋体" w:hAnsi="宋体" w:cs="宋体"/>
          <w:spacing w:val="11"/>
          <w:szCs w:val="21"/>
        </w:rPr>
        <w:t>计</w:t>
      </w:r>
      <w:r>
        <w:rPr>
          <w:rFonts w:hint="eastAsia" w:ascii="宋体" w:hAnsi="宋体" w:cs="宋体"/>
          <w:spacing w:val="9"/>
          <w:szCs w:val="21"/>
        </w:rPr>
        <w:t>制度、依法缴纳税收和社会保障资金，在前三年的经营活</w:t>
      </w:r>
      <w:r>
        <w:rPr>
          <w:rFonts w:hint="eastAsia" w:ascii="宋体" w:hAnsi="宋体" w:cs="宋体"/>
          <w:spacing w:val="18"/>
          <w:szCs w:val="21"/>
        </w:rPr>
        <w:t>动中</w:t>
      </w:r>
      <w:r>
        <w:rPr>
          <w:rFonts w:hint="eastAsia" w:ascii="宋体" w:hAnsi="宋体" w:cs="宋体"/>
          <w:spacing w:val="11"/>
          <w:szCs w:val="21"/>
        </w:rPr>
        <w:t>无</w:t>
      </w:r>
      <w:r>
        <w:rPr>
          <w:rFonts w:hint="eastAsia" w:ascii="宋体" w:hAnsi="宋体" w:cs="宋体"/>
          <w:spacing w:val="9"/>
          <w:szCs w:val="21"/>
        </w:rPr>
        <w:t>重大违法记录，未列入严重失信行为名单，符合政府采购</w:t>
      </w:r>
      <w:r>
        <w:rPr>
          <w:rFonts w:hint="eastAsia" w:ascii="宋体" w:hAnsi="宋体" w:cs="宋体"/>
          <w:szCs w:val="21"/>
        </w:rPr>
        <w:t xml:space="preserve"> </w:t>
      </w:r>
      <w:r>
        <w:rPr>
          <w:rFonts w:hint="eastAsia" w:ascii="宋体" w:hAnsi="宋体" w:cs="宋体"/>
          <w:spacing w:val="12"/>
          <w:szCs w:val="21"/>
        </w:rPr>
        <w:t>供</w:t>
      </w:r>
      <w:r>
        <w:rPr>
          <w:rFonts w:hint="eastAsia" w:ascii="宋体" w:hAnsi="宋体" w:cs="宋体"/>
          <w:spacing w:val="8"/>
          <w:szCs w:val="21"/>
        </w:rPr>
        <w:t>应商的基本资格要求。</w:t>
      </w:r>
    </w:p>
    <w:p w14:paraId="24B41A7D">
      <w:pPr>
        <w:spacing w:line="360" w:lineRule="auto"/>
        <w:ind w:left="369" w:right="113" w:hanging="369"/>
        <w:rPr>
          <w:rFonts w:ascii="宋体" w:hAnsi="宋体" w:cs="宋体"/>
          <w:spacing w:val="18"/>
          <w:szCs w:val="21"/>
        </w:rPr>
      </w:pPr>
      <w:r>
        <w:rPr>
          <w:rFonts w:hint="eastAsia" w:ascii="宋体" w:hAnsi="宋体" w:cs="宋体"/>
          <w:spacing w:val="18"/>
          <w:szCs w:val="21"/>
        </w:rPr>
        <w:t>按 照《 政 府 采 购 促 进 中 小 企 业 发 展 管 理 办 法》</w:t>
      </w:r>
    </w:p>
    <w:p w14:paraId="799A04B7">
      <w:pPr>
        <w:spacing w:line="360" w:lineRule="auto"/>
        <w:ind w:left="369" w:right="113" w:hanging="369"/>
        <w:jc w:val="left"/>
        <w:rPr>
          <w:rFonts w:ascii="宋体" w:hAnsi="宋体" w:cs="宋体"/>
          <w:szCs w:val="21"/>
        </w:rPr>
      </w:pPr>
      <w:r>
        <w:rPr>
          <w:rFonts w:hint="eastAsia" w:ascii="宋体" w:hAnsi="宋体" w:cs="宋体"/>
          <w:spacing w:val="18"/>
          <w:szCs w:val="21"/>
        </w:rPr>
        <w:t>(财库〔2020〕46 号 )，本公司企业规模为：大型</w:t>
      </w:r>
      <w:r>
        <w:rPr>
          <w:rFonts w:hint="eastAsia" w:ascii="宋体" w:hAnsi="宋体" w:cs="宋体"/>
          <w:szCs w:val="21"/>
        </w:rPr>
        <w:t xml:space="preserve">□ </w:t>
      </w:r>
      <w:r>
        <w:rPr>
          <w:rFonts w:hint="eastAsia" w:ascii="宋体" w:hAnsi="宋体" w:cs="宋体"/>
          <w:spacing w:val="18"/>
          <w:szCs w:val="21"/>
        </w:rPr>
        <w:t>中型</w:t>
      </w:r>
      <w:r>
        <w:rPr>
          <w:rFonts w:hint="eastAsia" w:ascii="宋体" w:hAnsi="宋体" w:cs="宋体"/>
          <w:szCs w:val="21"/>
        </w:rPr>
        <w:t xml:space="preserve">□ </w:t>
      </w:r>
      <w:r>
        <w:rPr>
          <w:rFonts w:hint="eastAsia" w:ascii="宋体" w:hAnsi="宋体" w:cs="宋体"/>
          <w:spacing w:val="18"/>
          <w:szCs w:val="21"/>
        </w:rPr>
        <w:t>小型</w:t>
      </w:r>
      <w:r>
        <w:rPr>
          <w:rFonts w:hint="eastAsia" w:ascii="宋体" w:hAnsi="宋体" w:cs="宋体"/>
          <w:szCs w:val="21"/>
        </w:rPr>
        <w:t xml:space="preserve">□ </w:t>
      </w:r>
      <w:r>
        <w:rPr>
          <w:rFonts w:hint="eastAsia" w:ascii="宋体" w:hAnsi="宋体" w:cs="宋体"/>
          <w:spacing w:val="18"/>
          <w:szCs w:val="21"/>
        </w:rPr>
        <w:t>微型</w:t>
      </w:r>
      <w:r>
        <w:rPr>
          <w:rFonts w:hint="eastAsia" w:ascii="宋体" w:hAnsi="宋体" w:cs="宋体"/>
          <w:szCs w:val="21"/>
        </w:rPr>
        <w:t>□。</w:t>
      </w:r>
    </w:p>
    <w:p w14:paraId="7685DBFC">
      <w:pPr>
        <w:spacing w:line="360" w:lineRule="auto"/>
        <w:ind w:right="113" w:firstLine="420" w:firstLineChars="200"/>
        <w:rPr>
          <w:rFonts w:ascii="宋体" w:hAnsi="宋体" w:cs="宋体"/>
          <w:spacing w:val="18"/>
          <w:szCs w:val="21"/>
        </w:rPr>
      </w:pPr>
      <w:r>
        <w:rPr>
          <w:rFonts w:hint="eastAsia" w:ascii="宋体" w:hAnsi="宋体" w:cs="宋体"/>
          <w:szCs w:val="21"/>
        </w:rPr>
        <w:t>□</w:t>
      </w:r>
      <w:r>
        <w:rPr>
          <w:rFonts w:hint="eastAsia" w:ascii="宋体" w:hAnsi="宋体" w:cs="宋体"/>
          <w:spacing w:val="18"/>
          <w:szCs w:val="21"/>
        </w:rPr>
        <w:t>本公司自愿入驻湖南省政府采购电子卖场，遵守《湖南省政府采购电子卖场管理办法》(湘财购〔2019〕27号)，如违反承诺，同意金融机构将增信保证划缴国库(非电子卖场采购活动项目不需勾选)。</w:t>
      </w:r>
    </w:p>
    <w:p w14:paraId="4C61B938">
      <w:pPr>
        <w:spacing w:line="360" w:lineRule="auto"/>
        <w:ind w:hanging="315"/>
        <w:rPr>
          <w:rFonts w:ascii="宋体" w:hAnsi="宋体" w:cs="宋体"/>
          <w:szCs w:val="21"/>
        </w:rPr>
      </w:pPr>
    </w:p>
    <w:p w14:paraId="7E437810">
      <w:pPr>
        <w:spacing w:before="101" w:line="360" w:lineRule="auto"/>
        <w:ind w:left="336" w:hanging="336"/>
        <w:rPr>
          <w:rFonts w:ascii="宋体" w:hAnsi="宋体" w:cs="宋体"/>
          <w:szCs w:val="21"/>
        </w:rPr>
      </w:pPr>
      <w:r>
        <w:rPr>
          <w:rFonts w:hint="eastAsia" w:ascii="宋体" w:hAnsi="宋体" w:cs="宋体"/>
          <w:spacing w:val="7"/>
          <w:szCs w:val="21"/>
        </w:rPr>
        <w:t>公司 (单位) 名称 (盖章</w:t>
      </w:r>
      <w:r>
        <w:rPr>
          <w:rFonts w:hint="eastAsia" w:ascii="宋体" w:hAnsi="宋体" w:cs="宋体"/>
          <w:spacing w:val="6"/>
          <w:szCs w:val="21"/>
        </w:rPr>
        <w:t>)</w:t>
      </w:r>
    </w:p>
    <w:p w14:paraId="67450E01">
      <w:pPr>
        <w:spacing w:line="360" w:lineRule="auto"/>
        <w:ind w:hanging="315"/>
        <w:rPr>
          <w:rFonts w:ascii="宋体" w:hAnsi="宋体" w:cs="宋体"/>
          <w:szCs w:val="21"/>
        </w:rPr>
      </w:pPr>
    </w:p>
    <w:p w14:paraId="457B1052">
      <w:pPr>
        <w:spacing w:line="360" w:lineRule="auto"/>
        <w:ind w:hanging="315"/>
        <w:rPr>
          <w:rFonts w:ascii="宋体" w:hAnsi="宋体" w:cs="宋体"/>
          <w:szCs w:val="21"/>
        </w:rPr>
      </w:pPr>
    </w:p>
    <w:p w14:paraId="63A78EDE">
      <w:pPr>
        <w:tabs>
          <w:tab w:val="left" w:pos="5770"/>
        </w:tabs>
        <w:spacing w:before="102" w:line="360" w:lineRule="auto"/>
        <w:ind w:left="315" w:hanging="315"/>
        <w:rPr>
          <w:rFonts w:ascii="宋体" w:hAnsi="宋体" w:cs="宋体"/>
          <w:szCs w:val="21"/>
        </w:rPr>
      </w:pPr>
      <w:r>
        <w:rPr>
          <w:rFonts w:hint="eastAsia" w:ascii="宋体" w:hAnsi="宋体" w:cs="宋体"/>
          <w:szCs w:val="21"/>
          <w:u w:val="single"/>
        </w:rPr>
        <w:tab/>
      </w:r>
      <w:r>
        <w:rPr>
          <w:rFonts w:hint="eastAsia" w:ascii="宋体" w:hAnsi="宋体" w:cs="宋体"/>
          <w:spacing w:val="-8"/>
          <w:szCs w:val="21"/>
        </w:rPr>
        <w:t>年</w:t>
      </w:r>
      <w:r>
        <w:rPr>
          <w:rFonts w:hint="eastAsia" w:ascii="宋体" w:hAnsi="宋体" w:cs="宋体"/>
          <w:spacing w:val="-8"/>
          <w:szCs w:val="21"/>
          <w:u w:val="single"/>
        </w:rPr>
        <w:t xml:space="preserve"> </w:t>
      </w:r>
      <w:r>
        <w:rPr>
          <w:rFonts w:hint="eastAsia" w:ascii="宋体" w:hAnsi="宋体" w:cs="宋体"/>
          <w:spacing w:val="-4"/>
          <w:szCs w:val="21"/>
          <w:u w:val="single"/>
        </w:rPr>
        <w:t xml:space="preserve">  </w:t>
      </w:r>
      <w:r>
        <w:rPr>
          <w:rFonts w:hint="eastAsia" w:ascii="宋体" w:hAnsi="宋体" w:cs="宋体"/>
          <w:spacing w:val="-4"/>
          <w:szCs w:val="21"/>
        </w:rPr>
        <w:t>月</w:t>
      </w:r>
      <w:r>
        <w:rPr>
          <w:rFonts w:hint="eastAsia" w:ascii="宋体" w:hAnsi="宋体" w:cs="宋体"/>
          <w:spacing w:val="-4"/>
          <w:szCs w:val="21"/>
          <w:u w:val="single"/>
        </w:rPr>
        <w:t xml:space="preserve">   </w:t>
      </w:r>
      <w:r>
        <w:rPr>
          <w:rFonts w:hint="eastAsia" w:ascii="宋体" w:hAnsi="宋体" w:cs="宋体"/>
          <w:spacing w:val="-4"/>
          <w:szCs w:val="21"/>
        </w:rPr>
        <w:t xml:space="preserve"> 日</w:t>
      </w:r>
    </w:p>
    <w:p w14:paraId="4D14401F">
      <w:pPr>
        <w:spacing w:line="360" w:lineRule="auto"/>
        <w:ind w:hanging="315"/>
        <w:rPr>
          <w:rFonts w:ascii="宋体" w:hAnsi="宋体" w:cs="宋体"/>
          <w:szCs w:val="21"/>
        </w:rPr>
      </w:pPr>
    </w:p>
    <w:p w14:paraId="7B925A77">
      <w:pPr>
        <w:spacing w:line="360" w:lineRule="auto"/>
        <w:ind w:hanging="315"/>
        <w:rPr>
          <w:rFonts w:ascii="宋体" w:hAnsi="宋体" w:cs="宋体"/>
          <w:szCs w:val="21"/>
        </w:rPr>
      </w:pPr>
    </w:p>
    <w:p w14:paraId="2E57FAE8">
      <w:pPr>
        <w:spacing w:before="101" w:line="360" w:lineRule="auto"/>
        <w:ind w:left="339" w:hanging="339"/>
        <w:rPr>
          <w:rFonts w:ascii="宋体" w:hAnsi="宋体" w:cs="宋体"/>
          <w:szCs w:val="21"/>
        </w:rPr>
      </w:pPr>
      <w:r>
        <w:rPr>
          <w:rFonts w:hint="eastAsia" w:ascii="宋体" w:hAnsi="宋体" w:cs="宋体"/>
          <w:spacing w:val="8"/>
          <w:szCs w:val="21"/>
        </w:rPr>
        <w:t>机构代码、注册登记机构、日期、有效期、注册资本、地址、</w:t>
      </w:r>
      <w:r>
        <w:rPr>
          <w:rFonts w:hint="eastAsia" w:ascii="宋体" w:hAnsi="宋体" w:cs="宋体"/>
          <w:spacing w:val="2"/>
          <w:szCs w:val="21"/>
        </w:rPr>
        <w:t>经</w:t>
      </w:r>
      <w:r>
        <w:rPr>
          <w:rFonts w:hint="eastAsia" w:ascii="宋体" w:hAnsi="宋体" w:cs="宋体"/>
          <w:spacing w:val="9"/>
          <w:szCs w:val="21"/>
        </w:rPr>
        <w:t>济</w:t>
      </w:r>
      <w:r>
        <w:rPr>
          <w:rFonts w:hint="eastAsia" w:ascii="宋体" w:hAnsi="宋体" w:cs="宋体"/>
          <w:spacing w:val="6"/>
          <w:szCs w:val="21"/>
        </w:rPr>
        <w:t>行业、经济性质</w:t>
      </w:r>
    </w:p>
    <w:p w14:paraId="1A52B711">
      <w:pPr>
        <w:spacing w:before="1" w:line="360" w:lineRule="auto"/>
        <w:ind w:left="330" w:right="1001" w:hanging="330"/>
        <w:rPr>
          <w:rFonts w:ascii="宋体" w:hAnsi="宋体" w:cs="宋体"/>
          <w:spacing w:val="5"/>
          <w:szCs w:val="21"/>
        </w:rPr>
      </w:pPr>
    </w:p>
    <w:p w14:paraId="7FC05B1C">
      <w:pPr>
        <w:spacing w:before="1" w:line="360" w:lineRule="auto"/>
        <w:ind w:left="330" w:right="1001" w:hanging="330"/>
        <w:rPr>
          <w:rFonts w:ascii="宋体" w:hAnsi="宋体" w:cs="宋体"/>
          <w:szCs w:val="21"/>
        </w:rPr>
      </w:pPr>
      <w:r>
        <w:rPr>
          <w:rFonts w:hint="eastAsia" w:ascii="宋体" w:hAnsi="宋体" w:cs="宋体"/>
          <w:spacing w:val="5"/>
          <w:szCs w:val="21"/>
        </w:rPr>
        <w:t>法定代表人 (负责人) 姓名 (签字)、身份证号、手机号</w:t>
      </w:r>
      <w:r>
        <w:rPr>
          <w:rFonts w:hint="eastAsia" w:ascii="宋体" w:hAnsi="宋体" w:cs="宋体"/>
          <w:spacing w:val="1"/>
          <w:szCs w:val="21"/>
        </w:rPr>
        <w:t>：</w:t>
      </w:r>
      <w:r>
        <w:rPr>
          <w:rFonts w:hint="eastAsia" w:ascii="宋体" w:hAnsi="宋体" w:cs="宋体"/>
          <w:szCs w:val="21"/>
        </w:rPr>
        <w:t xml:space="preserve"> </w:t>
      </w:r>
    </w:p>
    <w:p w14:paraId="2CD85ECD">
      <w:pPr>
        <w:spacing w:before="1" w:line="360" w:lineRule="auto"/>
        <w:ind w:left="363" w:right="1001" w:hanging="363"/>
        <w:rPr>
          <w:rFonts w:ascii="宋体" w:hAnsi="宋体" w:cs="宋体"/>
          <w:szCs w:val="21"/>
        </w:rPr>
      </w:pPr>
      <w:r>
        <w:rPr>
          <w:rFonts w:hint="eastAsia" w:ascii="宋体" w:hAnsi="宋体" w:cs="宋体"/>
          <w:spacing w:val="16"/>
          <w:szCs w:val="21"/>
        </w:rPr>
        <w:t>授</w:t>
      </w:r>
      <w:r>
        <w:rPr>
          <w:rFonts w:hint="eastAsia" w:ascii="宋体" w:hAnsi="宋体" w:cs="宋体"/>
          <w:spacing w:val="8"/>
          <w:szCs w:val="21"/>
        </w:rPr>
        <w:t>权代表人姓名 (签字)、身份证号、手机号：</w:t>
      </w:r>
    </w:p>
    <w:p w14:paraId="307240BF">
      <w:pPr>
        <w:spacing w:line="360" w:lineRule="exact"/>
        <w:ind w:left="422" w:hanging="422"/>
        <w:jc w:val="center"/>
        <w:rPr>
          <w:rFonts w:ascii="宋体" w:hAnsi="宋体"/>
          <w:b/>
          <w:sz w:val="28"/>
          <w:szCs w:val="28"/>
        </w:rPr>
      </w:pPr>
    </w:p>
    <w:p w14:paraId="28986DBB">
      <w:pPr>
        <w:spacing w:line="360" w:lineRule="exact"/>
        <w:ind w:left="422" w:hanging="422"/>
        <w:jc w:val="center"/>
        <w:rPr>
          <w:rFonts w:ascii="宋体" w:hAnsi="宋体"/>
          <w:b/>
          <w:sz w:val="28"/>
          <w:szCs w:val="28"/>
        </w:rPr>
      </w:pPr>
    </w:p>
    <w:p w14:paraId="0E78E534">
      <w:pPr>
        <w:spacing w:line="360" w:lineRule="exact"/>
        <w:ind w:left="422" w:hanging="422"/>
        <w:jc w:val="center"/>
        <w:rPr>
          <w:rFonts w:ascii="宋体" w:hAnsi="宋体"/>
          <w:b/>
          <w:sz w:val="28"/>
          <w:szCs w:val="28"/>
        </w:rPr>
      </w:pPr>
    </w:p>
    <w:p w14:paraId="5FAD1310">
      <w:pPr>
        <w:spacing w:line="360" w:lineRule="exact"/>
        <w:ind w:left="422" w:hanging="422"/>
        <w:jc w:val="center"/>
        <w:rPr>
          <w:rFonts w:ascii="宋体" w:hAnsi="宋体"/>
          <w:b/>
          <w:sz w:val="28"/>
          <w:szCs w:val="28"/>
        </w:rPr>
      </w:pPr>
    </w:p>
    <w:p w14:paraId="50A1E7F0">
      <w:pPr>
        <w:spacing w:line="360" w:lineRule="exact"/>
        <w:ind w:left="422" w:hanging="422"/>
        <w:jc w:val="center"/>
        <w:rPr>
          <w:rFonts w:ascii="宋体" w:hAnsi="宋体"/>
          <w:b/>
          <w:sz w:val="28"/>
          <w:szCs w:val="28"/>
        </w:rPr>
      </w:pPr>
    </w:p>
    <w:p w14:paraId="1DC4C098">
      <w:pPr>
        <w:spacing w:line="360" w:lineRule="exact"/>
        <w:ind w:left="422" w:hanging="422"/>
        <w:jc w:val="center"/>
        <w:rPr>
          <w:rFonts w:ascii="宋体" w:hAnsi="宋体"/>
          <w:b/>
          <w:sz w:val="28"/>
          <w:szCs w:val="28"/>
        </w:rPr>
      </w:pPr>
    </w:p>
    <w:p w14:paraId="0D951C11">
      <w:pPr>
        <w:spacing w:line="360" w:lineRule="exact"/>
        <w:ind w:left="422" w:hanging="422"/>
        <w:jc w:val="center"/>
        <w:rPr>
          <w:rFonts w:ascii="宋体" w:hAnsi="宋体"/>
          <w:b/>
          <w:sz w:val="28"/>
          <w:szCs w:val="28"/>
        </w:rPr>
      </w:pPr>
    </w:p>
    <w:p w14:paraId="508E78A7">
      <w:pPr>
        <w:spacing w:line="360" w:lineRule="auto"/>
        <w:ind w:hanging="315"/>
        <w:jc w:val="left"/>
        <w:rPr>
          <w:rFonts w:ascii="宋体" w:hAnsi="宋体" w:cs="宋体"/>
        </w:rPr>
      </w:pPr>
    </w:p>
    <w:p w14:paraId="4C727487">
      <w:pPr>
        <w:spacing w:line="360" w:lineRule="auto"/>
        <w:ind w:hanging="315"/>
        <w:jc w:val="left"/>
        <w:rPr>
          <w:rFonts w:ascii="宋体" w:hAnsi="宋体" w:cs="宋体"/>
        </w:rPr>
      </w:pPr>
    </w:p>
    <w:p w14:paraId="04225EF9">
      <w:pPr>
        <w:adjustRightInd w:val="0"/>
        <w:snapToGrid w:val="0"/>
        <w:spacing w:before="120" w:beforeLines="50" w:line="360" w:lineRule="auto"/>
        <w:ind w:left="450" w:hanging="450"/>
        <w:rPr>
          <w:rFonts w:ascii="宋体" w:hAnsi="宋体"/>
          <w:bCs/>
          <w:sz w:val="30"/>
          <w:szCs w:val="30"/>
        </w:rPr>
      </w:pPr>
      <w:r>
        <w:rPr>
          <w:rFonts w:ascii="宋体" w:hAnsi="宋体"/>
          <w:bCs/>
          <w:sz w:val="30"/>
          <w:szCs w:val="30"/>
        </w:rPr>
        <w:t>附件4</w:t>
      </w:r>
    </w:p>
    <w:p w14:paraId="6A247828">
      <w:pPr>
        <w:spacing w:line="360" w:lineRule="auto"/>
        <w:ind w:left="422" w:hanging="422"/>
        <w:jc w:val="center"/>
        <w:rPr>
          <w:rFonts w:ascii="宋体" w:hAnsi="宋体" w:cs="宋体"/>
          <w:b/>
          <w:bCs/>
          <w:sz w:val="28"/>
          <w:szCs w:val="28"/>
        </w:rPr>
      </w:pPr>
      <w:r>
        <w:rPr>
          <w:rFonts w:ascii="宋体" w:hAnsi="宋体" w:cs="宋体"/>
          <w:b/>
          <w:bCs/>
          <w:sz w:val="28"/>
          <w:szCs w:val="28"/>
        </w:rPr>
        <w:t>工程质量保修书</w:t>
      </w:r>
    </w:p>
    <w:p w14:paraId="62CF3C4A">
      <w:pPr>
        <w:spacing w:line="440" w:lineRule="exact"/>
        <w:ind w:firstLine="420" w:firstLineChars="200"/>
        <w:rPr>
          <w:rFonts w:ascii="宋体" w:hAnsi="宋体"/>
          <w:color w:val="auto"/>
          <w:szCs w:val="21"/>
        </w:rPr>
      </w:pPr>
      <w:r>
        <w:rPr>
          <w:rFonts w:ascii="宋体" w:hAnsi="宋体"/>
          <w:color w:val="000000"/>
          <w:szCs w:val="21"/>
        </w:rPr>
        <w:t>发包人（</w:t>
      </w:r>
      <w:r>
        <w:rPr>
          <w:rFonts w:ascii="宋体" w:hAnsi="宋体"/>
          <w:color w:val="auto"/>
          <w:szCs w:val="21"/>
        </w:rPr>
        <w:t>全称）：</w:t>
      </w:r>
      <w:r>
        <w:rPr>
          <w:rFonts w:ascii="宋体" w:hAnsi="宋体"/>
          <w:color w:val="auto"/>
          <w:szCs w:val="21"/>
          <w:u w:val="single"/>
        </w:rPr>
        <w:t xml:space="preserve">   </w:t>
      </w:r>
      <w:r>
        <w:rPr>
          <w:rFonts w:hint="eastAsia" w:ascii="宋体" w:hAnsi="宋体"/>
          <w:color w:val="auto"/>
          <w:szCs w:val="21"/>
          <w:u w:val="single"/>
        </w:rPr>
        <w:t>湘潭大学</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6DE966E5">
      <w:pPr>
        <w:spacing w:line="440" w:lineRule="exact"/>
        <w:ind w:hanging="315"/>
        <w:rPr>
          <w:rFonts w:ascii="宋体" w:hAnsi="宋体"/>
          <w:color w:val="auto"/>
          <w:szCs w:val="21"/>
        </w:rPr>
      </w:pPr>
      <w:r>
        <w:rPr>
          <w:rFonts w:ascii="宋体" w:hAnsi="宋体"/>
          <w:color w:val="auto"/>
          <w:szCs w:val="21"/>
        </w:rPr>
        <w:t>　　承包人（全称）：</w:t>
      </w:r>
      <w:r>
        <w:rPr>
          <w:rFonts w:ascii="宋体" w:hAnsi="宋体"/>
          <w:color w:val="auto"/>
          <w:szCs w:val="21"/>
          <w:u w:val="single"/>
        </w:rPr>
        <w:t xml:space="preserve">                                </w:t>
      </w:r>
      <w:r>
        <w:rPr>
          <w:rFonts w:ascii="宋体" w:hAnsi="宋体"/>
          <w:color w:val="auto"/>
          <w:szCs w:val="21"/>
        </w:rPr>
        <w:t xml:space="preserve"> </w:t>
      </w:r>
    </w:p>
    <w:p w14:paraId="46F368F2">
      <w:pPr>
        <w:spacing w:line="440" w:lineRule="exact"/>
        <w:ind w:hanging="315"/>
        <w:rPr>
          <w:rFonts w:ascii="宋体" w:hAnsi="宋体"/>
          <w:color w:val="auto"/>
          <w:szCs w:val="21"/>
        </w:rPr>
      </w:pPr>
    </w:p>
    <w:p w14:paraId="234411B4">
      <w:pPr>
        <w:spacing w:line="360" w:lineRule="auto"/>
        <w:ind w:hanging="315"/>
        <w:rPr>
          <w:rFonts w:ascii="宋体" w:hAnsi="宋体"/>
          <w:color w:val="auto"/>
          <w:szCs w:val="21"/>
        </w:rPr>
      </w:pPr>
      <w:r>
        <w:rPr>
          <w:rFonts w:ascii="宋体" w:hAnsi="宋体"/>
          <w:color w:val="auto"/>
          <w:szCs w:val="21"/>
        </w:rPr>
        <w:t>　　发包人和承包人根据《中华人民共和国建筑法》和《建设工程质量管理条例》，经协商一致就</w:t>
      </w:r>
      <w:r>
        <w:rPr>
          <w:rFonts w:ascii="宋体" w:hAnsi="宋体"/>
          <w:color w:val="auto"/>
          <w:szCs w:val="21"/>
          <w:u w:val="single"/>
        </w:rPr>
        <w:t xml:space="preserve">                </w:t>
      </w:r>
      <w:r>
        <w:rPr>
          <w:rFonts w:ascii="宋体" w:hAnsi="宋体"/>
          <w:color w:val="auto"/>
          <w:szCs w:val="21"/>
        </w:rPr>
        <w:t>（工程全称）签订工程质量保修书。</w:t>
      </w:r>
    </w:p>
    <w:p w14:paraId="5861CFD6">
      <w:pPr>
        <w:spacing w:line="360" w:lineRule="auto"/>
        <w:ind w:hanging="315"/>
        <w:outlineLvl w:val="0"/>
        <w:rPr>
          <w:rFonts w:ascii="宋体" w:hAnsi="宋体"/>
          <w:color w:val="auto"/>
          <w:szCs w:val="21"/>
        </w:rPr>
      </w:pPr>
      <w:r>
        <w:rPr>
          <w:rFonts w:ascii="宋体" w:hAnsi="宋体"/>
          <w:color w:val="auto"/>
          <w:szCs w:val="21"/>
        </w:rPr>
        <w:t>　　一、工程质量保修范围和内容</w:t>
      </w:r>
    </w:p>
    <w:p w14:paraId="5E7C2A10">
      <w:pPr>
        <w:spacing w:line="360" w:lineRule="auto"/>
        <w:ind w:hanging="315"/>
        <w:rPr>
          <w:rFonts w:ascii="宋体" w:hAnsi="宋体"/>
          <w:color w:val="auto"/>
          <w:szCs w:val="21"/>
        </w:rPr>
      </w:pPr>
      <w:r>
        <w:rPr>
          <w:rFonts w:ascii="宋体" w:hAnsi="宋体"/>
          <w:color w:val="auto"/>
          <w:szCs w:val="21"/>
        </w:rPr>
        <w:t>　　承包人在质量保修期内，按照有关法律规定和合同约定，承担工程质量保修责任。</w:t>
      </w:r>
    </w:p>
    <w:p w14:paraId="1D164D7E">
      <w:pPr>
        <w:spacing w:line="360" w:lineRule="auto"/>
        <w:ind w:hanging="315"/>
        <w:rPr>
          <w:rFonts w:ascii="宋体" w:hAnsi="宋体"/>
          <w:color w:val="auto"/>
          <w:szCs w:val="21"/>
        </w:rPr>
      </w:pPr>
      <w:r>
        <w:rPr>
          <w:rFonts w:ascii="宋体" w:hAnsi="宋体"/>
          <w:color w:val="auto"/>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auto"/>
          <w:szCs w:val="21"/>
          <w:u w:val="single"/>
        </w:rPr>
        <w:t>承包人承包范围内的全部内容</w:t>
      </w:r>
      <w:r>
        <w:rPr>
          <w:rFonts w:ascii="宋体" w:hAnsi="宋体"/>
          <w:color w:val="auto"/>
          <w:szCs w:val="21"/>
          <w:u w:val="single"/>
        </w:rPr>
        <w:t xml:space="preserve">  </w:t>
      </w:r>
      <w:r>
        <w:rPr>
          <w:rFonts w:ascii="宋体" w:hAnsi="宋体"/>
          <w:color w:val="auto"/>
          <w:szCs w:val="21"/>
        </w:rPr>
        <w:t>。</w:t>
      </w:r>
    </w:p>
    <w:p w14:paraId="2817E9A2">
      <w:pPr>
        <w:spacing w:line="360" w:lineRule="auto"/>
        <w:ind w:left="316" w:hanging="316"/>
        <w:outlineLvl w:val="0"/>
        <w:rPr>
          <w:rFonts w:ascii="宋体" w:hAnsi="宋体"/>
          <w:color w:val="auto"/>
          <w:szCs w:val="21"/>
        </w:rPr>
      </w:pPr>
      <w:r>
        <w:rPr>
          <w:rFonts w:ascii="宋体" w:hAnsi="宋体"/>
          <w:b/>
          <w:color w:val="auto"/>
          <w:szCs w:val="21"/>
        </w:rPr>
        <w:t>　　</w:t>
      </w:r>
      <w:r>
        <w:rPr>
          <w:rFonts w:ascii="宋体" w:hAnsi="宋体"/>
          <w:color w:val="auto"/>
          <w:szCs w:val="21"/>
        </w:rPr>
        <w:t>二、质量保修期</w:t>
      </w:r>
    </w:p>
    <w:p w14:paraId="00CF38E5">
      <w:pPr>
        <w:spacing w:line="360" w:lineRule="auto"/>
        <w:ind w:firstLine="420" w:firstLineChars="200"/>
        <w:rPr>
          <w:rFonts w:ascii="宋体" w:hAnsi="宋体"/>
          <w:color w:val="auto"/>
          <w:szCs w:val="21"/>
        </w:rPr>
      </w:pPr>
      <w:r>
        <w:rPr>
          <w:rFonts w:ascii="宋体" w:hAnsi="宋体"/>
          <w:color w:val="auto"/>
          <w:szCs w:val="21"/>
        </w:rPr>
        <w:t>根据《建设工程质量管理条例》及有关规定，工程的质量保修期如下：</w:t>
      </w:r>
    </w:p>
    <w:p w14:paraId="2457012B">
      <w:pPr>
        <w:spacing w:line="360" w:lineRule="auto"/>
        <w:ind w:firstLine="420" w:firstLineChars="200"/>
        <w:rPr>
          <w:rFonts w:ascii="宋体" w:hAnsi="宋体"/>
          <w:color w:val="auto"/>
          <w:szCs w:val="21"/>
        </w:rPr>
      </w:pPr>
      <w:r>
        <w:rPr>
          <w:rFonts w:hint="eastAsia" w:ascii="宋体" w:hAnsi="宋体"/>
          <w:color w:val="auto"/>
          <w:szCs w:val="21"/>
        </w:rPr>
        <w:t>1．地基基础工程和主体结构工程为设计文件规定的工程合理使用年限；</w:t>
      </w:r>
    </w:p>
    <w:p w14:paraId="4A549A05">
      <w:pPr>
        <w:spacing w:line="360" w:lineRule="auto"/>
        <w:ind w:firstLine="420" w:firstLineChars="200"/>
        <w:rPr>
          <w:rFonts w:ascii="宋体" w:hAnsi="宋体"/>
          <w:color w:val="auto"/>
          <w:szCs w:val="21"/>
        </w:rPr>
      </w:pPr>
      <w:r>
        <w:rPr>
          <w:rFonts w:hint="eastAsia" w:ascii="宋体" w:hAnsi="宋体"/>
          <w:color w:val="auto"/>
          <w:szCs w:val="21"/>
        </w:rPr>
        <w:t>2．</w:t>
      </w:r>
      <w:r>
        <w:rPr>
          <w:rFonts w:ascii="宋体" w:hAnsi="宋体"/>
          <w:color w:val="auto"/>
          <w:szCs w:val="21"/>
        </w:rPr>
        <w:t>屋面防水工程、有防水要求的卫生间、房间和外墙面的防渗</w:t>
      </w:r>
      <w:r>
        <w:rPr>
          <w:rFonts w:hint="eastAsia" w:ascii="宋体" w:hAnsi="宋体"/>
          <w:color w:val="auto"/>
          <w:szCs w:val="21"/>
        </w:rPr>
        <w:t xml:space="preserve">     为</w:t>
      </w:r>
      <w:r>
        <w:rPr>
          <w:rFonts w:hint="eastAsia" w:ascii="宋体" w:hAnsi="宋体"/>
          <w:color w:val="auto"/>
          <w:szCs w:val="21"/>
          <w:u w:val="single"/>
        </w:rPr>
        <w:t xml:space="preserve">   5  </w:t>
      </w:r>
      <w:r>
        <w:rPr>
          <w:rFonts w:ascii="宋体" w:hAnsi="宋体"/>
          <w:color w:val="auto"/>
          <w:szCs w:val="21"/>
        </w:rPr>
        <w:t>年；</w:t>
      </w:r>
    </w:p>
    <w:p w14:paraId="2ADD1140">
      <w:pPr>
        <w:spacing w:line="360" w:lineRule="auto"/>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装修工程为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3ED45525">
      <w:pPr>
        <w:spacing w:line="360" w:lineRule="auto"/>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电气管线、给排水管道、设备安装工程为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0038DD92">
      <w:pPr>
        <w:spacing w:line="360" w:lineRule="auto"/>
        <w:ind w:firstLine="420" w:firstLineChars="200"/>
        <w:rPr>
          <w:rFonts w:ascii="宋体" w:hAnsi="宋体"/>
          <w:color w:val="auto"/>
          <w:szCs w:val="21"/>
        </w:rPr>
      </w:pPr>
      <w:r>
        <w:rPr>
          <w:rFonts w:hint="eastAsia" w:ascii="宋体" w:hAnsi="宋体"/>
          <w:color w:val="auto"/>
          <w:szCs w:val="21"/>
        </w:rPr>
        <w:t>5．</w:t>
      </w:r>
      <w:r>
        <w:rPr>
          <w:rFonts w:ascii="宋体" w:hAnsi="宋体"/>
          <w:color w:val="auto"/>
          <w:szCs w:val="21"/>
        </w:rPr>
        <w:t>供热与供冷系统为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个采暖期、供冷期；</w:t>
      </w:r>
    </w:p>
    <w:p w14:paraId="4DA4A72B">
      <w:pPr>
        <w:spacing w:line="360" w:lineRule="auto"/>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住宅小区内的给排水设施、道路等配套工程为</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ascii="宋体" w:hAnsi="宋体"/>
          <w:color w:val="auto"/>
          <w:szCs w:val="21"/>
        </w:rPr>
        <w:t>年；</w:t>
      </w:r>
    </w:p>
    <w:p w14:paraId="72ED9888">
      <w:pPr>
        <w:spacing w:line="360" w:lineRule="auto"/>
        <w:ind w:firstLine="420" w:firstLineChars="200"/>
        <w:rPr>
          <w:rFonts w:ascii="宋体" w:hAnsi="宋体"/>
          <w:color w:val="auto"/>
          <w:szCs w:val="21"/>
        </w:rPr>
      </w:pPr>
      <w:r>
        <w:rPr>
          <w:rFonts w:hint="eastAsia" w:ascii="宋体" w:hAnsi="宋体"/>
          <w:color w:val="auto"/>
          <w:szCs w:val="21"/>
        </w:rPr>
        <w:t>7．</w:t>
      </w:r>
      <w:r>
        <w:rPr>
          <w:rFonts w:ascii="宋体" w:hAnsi="宋体"/>
          <w:color w:val="auto"/>
          <w:szCs w:val="21"/>
        </w:rPr>
        <w:t>其他项目保修期限约定如下：</w:t>
      </w:r>
      <w:r>
        <w:rPr>
          <w:rFonts w:ascii="宋体" w:hAnsi="宋体"/>
          <w:color w:val="auto"/>
          <w:szCs w:val="21"/>
          <w:u w:val="single"/>
        </w:rPr>
        <w:t xml:space="preserve"> </w:t>
      </w:r>
      <w:r>
        <w:rPr>
          <w:rFonts w:hint="eastAsia" w:ascii="宋体" w:hAnsi="宋体"/>
          <w:color w:val="auto"/>
          <w:szCs w:val="21"/>
          <w:u w:val="single"/>
        </w:rPr>
        <w:t xml:space="preserve">   2年</w:t>
      </w:r>
      <w:r>
        <w:rPr>
          <w:rFonts w:ascii="宋体" w:hAnsi="宋体"/>
          <w:color w:val="auto"/>
          <w:szCs w:val="21"/>
          <w:u w:val="single"/>
        </w:rPr>
        <w:t xml:space="preserve">  </w:t>
      </w:r>
      <w:r>
        <w:rPr>
          <w:rFonts w:ascii="宋体" w:hAnsi="宋体"/>
          <w:color w:val="auto"/>
          <w:szCs w:val="21"/>
        </w:rPr>
        <w:t>。</w:t>
      </w:r>
    </w:p>
    <w:p w14:paraId="0A9F64A8">
      <w:pPr>
        <w:spacing w:line="360" w:lineRule="auto"/>
        <w:ind w:hanging="315"/>
        <w:rPr>
          <w:rFonts w:ascii="宋体" w:hAnsi="宋体"/>
          <w:color w:val="000000"/>
          <w:szCs w:val="21"/>
        </w:rPr>
      </w:pPr>
      <w:r>
        <w:rPr>
          <w:rFonts w:ascii="宋体" w:hAnsi="宋体"/>
          <w:color w:val="000000"/>
          <w:szCs w:val="21"/>
        </w:rPr>
        <w:t>　　质量保修期自工程竣工验收合格之日起计算。</w:t>
      </w:r>
    </w:p>
    <w:p w14:paraId="7629D5C8">
      <w:pPr>
        <w:spacing w:line="360" w:lineRule="auto"/>
        <w:ind w:firstLine="420" w:firstLineChars="200"/>
        <w:outlineLvl w:val="0"/>
        <w:rPr>
          <w:rFonts w:ascii="宋体" w:hAnsi="宋体"/>
          <w:color w:val="auto"/>
          <w:szCs w:val="21"/>
        </w:rPr>
      </w:pPr>
      <w:r>
        <w:rPr>
          <w:rFonts w:ascii="宋体" w:hAnsi="宋体"/>
          <w:color w:val="000000"/>
          <w:szCs w:val="21"/>
        </w:rPr>
        <w:t>三、缺陷责</w:t>
      </w:r>
      <w:r>
        <w:rPr>
          <w:rFonts w:ascii="宋体" w:hAnsi="宋体"/>
          <w:color w:val="auto"/>
          <w:szCs w:val="21"/>
        </w:rPr>
        <w:t>任期</w:t>
      </w:r>
    </w:p>
    <w:p w14:paraId="10EB8BF4">
      <w:pPr>
        <w:spacing w:line="360" w:lineRule="auto"/>
        <w:ind w:firstLine="420" w:firstLineChars="200"/>
        <w:rPr>
          <w:rFonts w:ascii="宋体" w:hAnsi="宋体"/>
          <w:color w:val="000000"/>
          <w:szCs w:val="21"/>
        </w:rPr>
      </w:pPr>
      <w:r>
        <w:rPr>
          <w:rFonts w:ascii="宋体" w:hAnsi="宋体"/>
          <w:color w:val="auto"/>
          <w:szCs w:val="21"/>
        </w:rPr>
        <w:t>工程缺陷责任期为</w:t>
      </w:r>
      <w:r>
        <w:rPr>
          <w:rFonts w:ascii="宋体" w:hAnsi="宋体"/>
          <w:color w:val="auto"/>
          <w:szCs w:val="21"/>
          <w:u w:val="single"/>
        </w:rPr>
        <w:t xml:space="preserve">  </w:t>
      </w:r>
      <w:r>
        <w:rPr>
          <w:rFonts w:hint="eastAsia" w:ascii="宋体" w:hAnsi="宋体"/>
          <w:color w:val="auto"/>
          <w:szCs w:val="21"/>
          <w:u w:val="single"/>
        </w:rPr>
        <w:t xml:space="preserve">24 </w:t>
      </w:r>
      <w:r>
        <w:rPr>
          <w:rFonts w:ascii="宋体" w:hAnsi="宋体"/>
          <w:color w:val="auto"/>
          <w:szCs w:val="21"/>
          <w:u w:val="single"/>
        </w:rPr>
        <w:t xml:space="preserve"> </w:t>
      </w:r>
      <w:r>
        <w:rPr>
          <w:rFonts w:ascii="宋体" w:hAnsi="宋体"/>
          <w:color w:val="auto"/>
          <w:szCs w:val="21"/>
        </w:rPr>
        <w:t>个月，缺陷</w:t>
      </w:r>
      <w:r>
        <w:rPr>
          <w:rFonts w:ascii="宋体" w:hAnsi="宋体"/>
          <w:color w:val="000000"/>
          <w:szCs w:val="21"/>
        </w:rPr>
        <w:t>责任期自工程</w:t>
      </w:r>
      <w:r>
        <w:rPr>
          <w:rFonts w:hint="eastAsia" w:ascii="宋体" w:hAnsi="宋体"/>
          <w:color w:val="000000"/>
          <w:szCs w:val="21"/>
        </w:rPr>
        <w:t>通过竣工验收</w:t>
      </w:r>
      <w:r>
        <w:rPr>
          <w:rFonts w:ascii="宋体" w:hAnsi="宋体"/>
          <w:color w:val="000000"/>
          <w:szCs w:val="21"/>
        </w:rPr>
        <w:t>之日起计算。单位工程先于全部工程进行验收，单位工程缺陷责任期自单位工程验收合格之日起算。</w:t>
      </w:r>
    </w:p>
    <w:p w14:paraId="248865C2">
      <w:pPr>
        <w:spacing w:line="360" w:lineRule="auto"/>
        <w:ind w:firstLine="420" w:firstLineChars="200"/>
        <w:rPr>
          <w:rFonts w:ascii="宋体" w:hAnsi="宋体"/>
          <w:color w:val="000000"/>
          <w:szCs w:val="21"/>
        </w:rPr>
      </w:pPr>
      <w:r>
        <w:rPr>
          <w:rFonts w:ascii="宋体" w:hAnsi="宋体"/>
          <w:color w:val="000000"/>
          <w:szCs w:val="21"/>
        </w:rPr>
        <w:t>缺陷责任期终止后，发包人应退还剩余的质量保证金。</w:t>
      </w:r>
    </w:p>
    <w:p w14:paraId="7B9EC5B6">
      <w:pPr>
        <w:spacing w:line="360" w:lineRule="auto"/>
        <w:ind w:hanging="315"/>
        <w:outlineLvl w:val="0"/>
        <w:rPr>
          <w:rFonts w:ascii="宋体" w:hAnsi="宋体"/>
          <w:color w:val="000000"/>
          <w:szCs w:val="21"/>
        </w:rPr>
      </w:pPr>
      <w:r>
        <w:rPr>
          <w:rFonts w:ascii="宋体" w:hAnsi="宋体"/>
          <w:color w:val="000000"/>
          <w:szCs w:val="21"/>
        </w:rPr>
        <w:t xml:space="preserve">    四、质量保修责任</w:t>
      </w:r>
    </w:p>
    <w:p w14:paraId="70D4A902">
      <w:pPr>
        <w:spacing w:line="360" w:lineRule="auto"/>
        <w:ind w:left="105" w:leftChars="50" w:firstLine="430" w:firstLineChars="205"/>
        <w:rPr>
          <w:rFonts w:ascii="宋体" w:hAnsi="宋体"/>
          <w:color w:val="000000"/>
          <w:szCs w:val="21"/>
        </w:rPr>
      </w:pPr>
      <w:r>
        <w:rPr>
          <w:rFonts w:hint="eastAsia" w:ascii="宋体" w:hAnsi="宋体"/>
          <w:color w:val="000000"/>
          <w:szCs w:val="21"/>
        </w:rPr>
        <w:t>1</w:t>
      </w:r>
      <w:r>
        <w:rPr>
          <w:rFonts w:hint="eastAsia" w:ascii="宋体" w:hAnsi="宋体"/>
          <w:szCs w:val="21"/>
        </w:rPr>
        <w:t>．</w:t>
      </w:r>
      <w:r>
        <w:rPr>
          <w:rFonts w:ascii="宋体" w:hAnsi="宋体"/>
          <w:color w:val="000000"/>
          <w:szCs w:val="21"/>
        </w:rPr>
        <w:t>属于保修范围、内容的项目，承包人应当在接到保修通知之日起7天内派人保修。承包人不在约定期限内派人保修的，发包人可以委托他人修理。</w:t>
      </w:r>
    </w:p>
    <w:p w14:paraId="6FA223ED">
      <w:pPr>
        <w:spacing w:line="360" w:lineRule="auto"/>
        <w:ind w:left="105" w:leftChars="50" w:firstLine="430" w:firstLineChars="205"/>
        <w:rPr>
          <w:rFonts w:ascii="宋体" w:hAnsi="宋体"/>
          <w:color w:val="000000"/>
          <w:szCs w:val="21"/>
        </w:rPr>
      </w:pPr>
      <w:r>
        <w:rPr>
          <w:rFonts w:hint="eastAsia" w:ascii="宋体" w:hAnsi="宋体"/>
          <w:color w:val="000000"/>
          <w:szCs w:val="21"/>
        </w:rPr>
        <w:t>2</w:t>
      </w:r>
      <w:r>
        <w:rPr>
          <w:rFonts w:hint="eastAsia" w:ascii="宋体" w:hAnsi="宋体"/>
          <w:szCs w:val="21"/>
        </w:rPr>
        <w:t>．</w:t>
      </w:r>
      <w:r>
        <w:rPr>
          <w:rFonts w:ascii="宋体" w:hAnsi="宋体"/>
          <w:color w:val="000000"/>
          <w:szCs w:val="21"/>
        </w:rPr>
        <w:t>发生紧急事故需抢修的，承包人在接到事故通知后，应当立即到达事故现场抢修。</w:t>
      </w:r>
    </w:p>
    <w:p w14:paraId="3AA685A9">
      <w:pPr>
        <w:spacing w:line="360" w:lineRule="auto"/>
        <w:ind w:left="105" w:leftChars="50" w:firstLine="430" w:firstLineChars="205"/>
        <w:rPr>
          <w:rFonts w:ascii="宋体" w:hAnsi="宋体"/>
          <w:color w:val="000000"/>
          <w:szCs w:val="21"/>
        </w:rPr>
      </w:pPr>
      <w:r>
        <w:rPr>
          <w:rFonts w:hint="eastAsia" w:ascii="宋体" w:hAnsi="宋体"/>
          <w:color w:val="000000"/>
          <w:szCs w:val="21"/>
        </w:rPr>
        <w:t>3</w:t>
      </w:r>
      <w:r>
        <w:rPr>
          <w:rFonts w:hint="eastAsia" w:ascii="宋体" w:hAnsi="宋体"/>
          <w:szCs w:val="21"/>
        </w:rPr>
        <w:t>．</w:t>
      </w:r>
      <w:r>
        <w:rPr>
          <w:rFonts w:ascii="宋体" w:hAnsi="宋体"/>
          <w:color w:val="000000"/>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487C908">
      <w:pPr>
        <w:spacing w:line="360" w:lineRule="auto"/>
        <w:ind w:left="420" w:leftChars="200" w:firstLine="105" w:firstLineChars="50"/>
        <w:rPr>
          <w:rFonts w:ascii="宋体" w:hAnsi="宋体"/>
          <w:color w:val="000000"/>
          <w:szCs w:val="21"/>
        </w:rPr>
      </w:pPr>
      <w:r>
        <w:rPr>
          <w:rFonts w:hint="eastAsia" w:ascii="宋体" w:hAnsi="宋体"/>
          <w:color w:val="000000"/>
          <w:szCs w:val="21"/>
        </w:rPr>
        <w:t>4</w:t>
      </w:r>
      <w:r>
        <w:rPr>
          <w:rFonts w:hint="eastAsia" w:ascii="宋体" w:hAnsi="宋体"/>
          <w:szCs w:val="21"/>
        </w:rPr>
        <w:t>．</w:t>
      </w:r>
      <w:r>
        <w:rPr>
          <w:rFonts w:ascii="宋体" w:hAnsi="宋体"/>
          <w:color w:val="000000"/>
          <w:szCs w:val="21"/>
        </w:rPr>
        <w:t>质量保修完成后，由发包人组织验收。</w:t>
      </w:r>
    </w:p>
    <w:p w14:paraId="38505B8E">
      <w:pPr>
        <w:spacing w:line="360" w:lineRule="auto"/>
        <w:ind w:hanging="315"/>
        <w:outlineLvl w:val="0"/>
        <w:rPr>
          <w:rFonts w:ascii="宋体" w:hAnsi="宋体"/>
          <w:color w:val="000000"/>
          <w:szCs w:val="21"/>
        </w:rPr>
      </w:pPr>
      <w:r>
        <w:rPr>
          <w:rFonts w:ascii="宋体" w:hAnsi="宋体"/>
          <w:color w:val="000000"/>
          <w:szCs w:val="21"/>
        </w:rPr>
        <w:t>　　五、保修费用</w:t>
      </w:r>
    </w:p>
    <w:p w14:paraId="71052E4D">
      <w:pPr>
        <w:spacing w:line="360" w:lineRule="auto"/>
        <w:ind w:hanging="315"/>
        <w:rPr>
          <w:rFonts w:ascii="宋体" w:hAnsi="宋体"/>
          <w:color w:val="000000"/>
          <w:szCs w:val="21"/>
        </w:rPr>
      </w:pPr>
      <w:r>
        <w:rPr>
          <w:rFonts w:ascii="宋体" w:hAnsi="宋体"/>
          <w:color w:val="000000"/>
          <w:szCs w:val="21"/>
        </w:rPr>
        <w:t>　　保修费用由造成质量缺陷的责任方承担。</w:t>
      </w:r>
    </w:p>
    <w:p w14:paraId="15F3E897">
      <w:pPr>
        <w:spacing w:line="360" w:lineRule="auto"/>
        <w:ind w:firstLine="420" w:firstLineChars="200"/>
        <w:jc w:val="left"/>
        <w:rPr>
          <w:rFonts w:ascii="宋体" w:hAnsi="宋体"/>
          <w:color w:val="auto"/>
          <w:szCs w:val="21"/>
        </w:rPr>
      </w:pPr>
      <w:r>
        <w:rPr>
          <w:rFonts w:ascii="宋体" w:hAnsi="宋体"/>
          <w:color w:val="000000"/>
          <w:szCs w:val="21"/>
        </w:rPr>
        <w:t>六、双方约定的其他工程质量</w:t>
      </w:r>
      <w:r>
        <w:rPr>
          <w:rFonts w:ascii="宋体" w:hAnsi="宋体"/>
          <w:color w:val="auto"/>
          <w:szCs w:val="21"/>
        </w:rPr>
        <w:t>保修事项：</w:t>
      </w:r>
      <w:r>
        <w:rPr>
          <w:rFonts w:ascii="宋体" w:hAnsi="宋体"/>
          <w:color w:val="auto"/>
          <w:szCs w:val="21"/>
          <w:u w:val="single"/>
        </w:rPr>
        <w:t xml:space="preserve"> </w:t>
      </w:r>
      <w:r>
        <w:rPr>
          <w:rFonts w:hint="eastAsia" w:ascii="宋体" w:hAnsi="宋体"/>
          <w:color w:val="auto"/>
          <w:szCs w:val="21"/>
          <w:u w:val="single"/>
        </w:rPr>
        <w:t xml:space="preserve">    /   </w:t>
      </w:r>
      <w:r>
        <w:rPr>
          <w:rFonts w:ascii="宋体" w:hAnsi="宋体"/>
          <w:color w:val="auto"/>
          <w:szCs w:val="21"/>
          <w:u w:val="single"/>
        </w:rPr>
        <w:t xml:space="preserve">  </w:t>
      </w:r>
      <w:r>
        <w:rPr>
          <w:rFonts w:ascii="宋体" w:hAnsi="宋体"/>
          <w:color w:val="auto"/>
          <w:szCs w:val="21"/>
        </w:rPr>
        <w:t>。</w:t>
      </w:r>
    </w:p>
    <w:p w14:paraId="50BDADAD">
      <w:pPr>
        <w:spacing w:line="360" w:lineRule="auto"/>
        <w:ind w:firstLine="399" w:firstLineChars="190"/>
        <w:rPr>
          <w:rFonts w:ascii="宋体" w:hAnsi="宋体"/>
          <w:color w:val="000000"/>
          <w:szCs w:val="21"/>
        </w:rPr>
      </w:pPr>
      <w:r>
        <w:rPr>
          <w:rFonts w:ascii="宋体" w:hAnsi="宋体"/>
          <w:color w:val="000000"/>
          <w:szCs w:val="21"/>
        </w:rPr>
        <w:t>工程质量保修书由发包人、承包人在工程竣工验收前共同签署，作为施工合同附件，其有效期限至保修期满。</w:t>
      </w:r>
    </w:p>
    <w:p w14:paraId="11DF77B7">
      <w:pPr>
        <w:spacing w:line="360" w:lineRule="auto"/>
        <w:ind w:hanging="315"/>
        <w:rPr>
          <w:rFonts w:ascii="宋体" w:hAnsi="宋体"/>
          <w:color w:val="000000"/>
          <w:szCs w:val="21"/>
        </w:rPr>
      </w:pPr>
    </w:p>
    <w:p w14:paraId="35832216">
      <w:pPr>
        <w:spacing w:line="360" w:lineRule="auto"/>
        <w:ind w:hanging="315"/>
        <w:rPr>
          <w:rFonts w:ascii="宋体" w:hAnsi="宋体"/>
          <w:color w:val="000000"/>
          <w:szCs w:val="21"/>
        </w:rPr>
      </w:pPr>
      <w:r>
        <w:rPr>
          <w:rFonts w:ascii="宋体" w:hAnsi="宋体"/>
          <w:color w:val="000000"/>
          <w:szCs w:val="21"/>
        </w:rPr>
        <w:t>发包人(公章)：</w:t>
      </w:r>
      <w:r>
        <w:rPr>
          <w:rFonts w:ascii="宋体" w:hAnsi="宋体"/>
          <w:color w:val="000000"/>
          <w:szCs w:val="21"/>
          <w:u w:val="single"/>
        </w:rPr>
        <w:t xml:space="preserve">        </w:t>
      </w:r>
      <w:r>
        <w:rPr>
          <w:rFonts w:ascii="宋体" w:hAnsi="宋体"/>
          <w:color w:val="000000"/>
          <w:szCs w:val="21"/>
        </w:rPr>
        <w:t xml:space="preserve"> 承包人(公章)：</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0EEC7DE4">
      <w:pPr>
        <w:spacing w:line="360" w:lineRule="auto"/>
        <w:ind w:hanging="315"/>
        <w:rPr>
          <w:rFonts w:ascii="宋体" w:hAnsi="宋体"/>
          <w:color w:val="000000"/>
          <w:szCs w:val="21"/>
        </w:rPr>
      </w:pPr>
      <w:r>
        <w:rPr>
          <w:rFonts w:ascii="宋体" w:hAnsi="宋体"/>
          <w:color w:val="000000"/>
          <w:szCs w:val="21"/>
        </w:rPr>
        <w:t>地  址：</w:t>
      </w:r>
      <w:r>
        <w:rPr>
          <w:rFonts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14:paraId="0A62F321">
      <w:pPr>
        <w:spacing w:line="360" w:lineRule="auto"/>
        <w:ind w:hanging="315"/>
        <w:rPr>
          <w:rFonts w:ascii="宋体" w:hAnsi="宋体"/>
          <w:color w:val="000000"/>
          <w:szCs w:val="21"/>
        </w:rPr>
      </w:pPr>
      <w:r>
        <w:rPr>
          <w:rFonts w:ascii="宋体" w:hAnsi="宋体"/>
          <w:color w:val="000000"/>
          <w:szCs w:val="21"/>
        </w:rPr>
        <w:t>法定代表人(签字)：</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xml:space="preserve"> 法定代表人(签字)：</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444198EE">
      <w:pPr>
        <w:spacing w:line="360" w:lineRule="auto"/>
        <w:ind w:hanging="315"/>
        <w:rPr>
          <w:rFonts w:ascii="宋体" w:hAnsi="宋体"/>
          <w:color w:val="000000"/>
          <w:szCs w:val="21"/>
        </w:rPr>
      </w:pPr>
      <w:r>
        <w:rPr>
          <w:rFonts w:ascii="宋体" w:hAnsi="宋体"/>
          <w:color w:val="000000"/>
          <w:szCs w:val="21"/>
        </w:rPr>
        <w:t>委托代理人(签字)：</w:t>
      </w:r>
      <w:r>
        <w:rPr>
          <w:rFonts w:ascii="宋体" w:hAnsi="宋体"/>
          <w:color w:val="000000"/>
          <w:szCs w:val="21"/>
          <w:u w:val="single"/>
        </w:rPr>
        <w:t xml:space="preserve">      </w:t>
      </w:r>
      <w:r>
        <w:rPr>
          <w:rFonts w:ascii="宋体" w:hAnsi="宋体"/>
          <w:color w:val="000000"/>
          <w:szCs w:val="21"/>
        </w:rPr>
        <w:t xml:space="preserve"> 委托代理人(签字)：</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14:paraId="7D063DB4">
      <w:pPr>
        <w:spacing w:line="360" w:lineRule="auto"/>
        <w:ind w:hanging="315"/>
        <w:rPr>
          <w:rFonts w:ascii="宋体" w:hAnsi="宋体"/>
          <w:color w:val="000000"/>
          <w:szCs w:val="21"/>
        </w:rPr>
      </w:pPr>
      <w:r>
        <w:rPr>
          <w:rFonts w:ascii="宋体" w:hAnsi="宋体"/>
          <w:color w:val="000000"/>
          <w:szCs w:val="21"/>
        </w:rPr>
        <w:t>电  话：</w:t>
      </w:r>
      <w:r>
        <w:rPr>
          <w:rFonts w:ascii="宋体" w:hAnsi="宋体"/>
          <w:color w:val="000000"/>
          <w:szCs w:val="21"/>
          <w:u w:val="single"/>
        </w:rPr>
        <w:t xml:space="preserve">   </w:t>
      </w:r>
      <w:r>
        <w:rPr>
          <w:rFonts w:ascii="宋体" w:hAnsi="宋体"/>
          <w:color w:val="000000"/>
          <w:szCs w:val="21"/>
        </w:rPr>
        <w:t xml:space="preserve"> 电  话：</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0F3E721E">
      <w:pPr>
        <w:spacing w:line="360" w:lineRule="auto"/>
        <w:ind w:hanging="315"/>
        <w:rPr>
          <w:rFonts w:ascii="宋体" w:hAnsi="宋体"/>
          <w:color w:val="000000"/>
          <w:szCs w:val="21"/>
        </w:rPr>
      </w:pPr>
      <w:r>
        <w:rPr>
          <w:rFonts w:ascii="宋体" w:hAnsi="宋体"/>
          <w:color w:val="000000"/>
          <w:szCs w:val="21"/>
        </w:rPr>
        <w:t>传  真：</w:t>
      </w:r>
      <w:r>
        <w:rPr>
          <w:rFonts w:ascii="宋体" w:hAnsi="宋体"/>
          <w:color w:val="000000"/>
          <w:szCs w:val="21"/>
          <w:u w:val="single"/>
        </w:rPr>
        <w:t xml:space="preserve">   </w:t>
      </w:r>
      <w:r>
        <w:rPr>
          <w:rFonts w:ascii="宋体" w:hAnsi="宋体"/>
          <w:color w:val="000000"/>
          <w:szCs w:val="21"/>
        </w:rPr>
        <w:t xml:space="preserve"> 传  真：</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p>
    <w:p w14:paraId="444F2DBF">
      <w:pPr>
        <w:spacing w:line="360" w:lineRule="auto"/>
        <w:ind w:hanging="315"/>
        <w:rPr>
          <w:rFonts w:ascii="宋体" w:hAnsi="宋体"/>
          <w:color w:val="000000"/>
          <w:szCs w:val="21"/>
        </w:rPr>
      </w:pPr>
      <w:r>
        <w:rPr>
          <w:rFonts w:ascii="宋体" w:hAnsi="宋体"/>
          <w:color w:val="000000"/>
          <w:szCs w:val="21"/>
        </w:rPr>
        <w:t>开户银行：</w:t>
      </w:r>
      <w:r>
        <w:rPr>
          <w:rFonts w:ascii="宋体" w:hAnsi="宋体"/>
          <w:color w:val="000000"/>
          <w:szCs w:val="21"/>
          <w:u w:val="single"/>
        </w:rPr>
        <w:t xml:space="preserve">   </w:t>
      </w:r>
      <w:r>
        <w:rPr>
          <w:rFonts w:ascii="宋体" w:hAnsi="宋体"/>
          <w:color w:val="000000"/>
          <w:szCs w:val="21"/>
        </w:rPr>
        <w:t xml:space="preserve"> 开户银行：</w:t>
      </w:r>
      <w:r>
        <w:rPr>
          <w:rFonts w:ascii="宋体" w:hAnsi="宋体"/>
          <w:color w:val="000000"/>
          <w:szCs w:val="21"/>
          <w:u w:val="single"/>
        </w:rPr>
        <w:t xml:space="preserve">   </w:t>
      </w:r>
    </w:p>
    <w:p w14:paraId="1AF00A72">
      <w:pPr>
        <w:spacing w:line="360" w:lineRule="auto"/>
        <w:ind w:hanging="315"/>
        <w:rPr>
          <w:rFonts w:ascii="宋体" w:hAnsi="宋体"/>
          <w:color w:val="000000"/>
          <w:szCs w:val="21"/>
        </w:rPr>
      </w:pPr>
      <w:r>
        <w:rPr>
          <w:rFonts w:ascii="宋体" w:hAnsi="宋体"/>
          <w:color w:val="000000"/>
          <w:szCs w:val="21"/>
        </w:rPr>
        <w:t>账  号：</w:t>
      </w:r>
      <w:r>
        <w:rPr>
          <w:rFonts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账</w:t>
      </w:r>
      <w:r>
        <w:rPr>
          <w:rFonts w:hint="eastAsia" w:ascii="宋体" w:hAnsi="宋体"/>
          <w:color w:val="000000"/>
          <w:szCs w:val="21"/>
        </w:rPr>
        <w:t xml:space="preserve"> </w:t>
      </w:r>
      <w:r>
        <w:rPr>
          <w:rFonts w:ascii="宋体" w:hAnsi="宋体"/>
          <w:color w:val="000000"/>
          <w:szCs w:val="21"/>
        </w:rPr>
        <w:t xml:space="preserve"> 号：</w:t>
      </w:r>
      <w:r>
        <w:rPr>
          <w:rFonts w:ascii="宋体" w:hAnsi="宋体"/>
          <w:color w:val="000000"/>
          <w:szCs w:val="21"/>
          <w:u w:val="single"/>
        </w:rPr>
        <w:t></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p>
    <w:p w14:paraId="37B2B318">
      <w:pPr>
        <w:spacing w:line="360" w:lineRule="auto"/>
        <w:ind w:hanging="315"/>
        <w:rPr>
          <w:rFonts w:ascii="宋体" w:hAnsi="宋体"/>
          <w:color w:val="000000"/>
          <w:szCs w:val="21"/>
        </w:rPr>
      </w:pPr>
      <w:r>
        <w:rPr>
          <w:rFonts w:ascii="宋体" w:hAnsi="宋体"/>
          <w:color w:val="000000"/>
          <w:szCs w:val="21"/>
        </w:rPr>
        <w:t>邮政编码：</w:t>
      </w:r>
      <w:r>
        <w:rPr>
          <w:rFonts w:ascii="宋体" w:hAnsi="宋体"/>
          <w:color w:val="000000"/>
          <w:szCs w:val="21"/>
          <w:u w:val="single"/>
        </w:rPr>
        <w:t xml:space="preserve">     </w:t>
      </w:r>
      <w:r>
        <w:rPr>
          <w:rFonts w:ascii="宋体" w:hAnsi="宋体"/>
          <w:color w:val="000000"/>
          <w:szCs w:val="21"/>
        </w:rPr>
        <w:t xml:space="preserve"> 邮政编码：</w:t>
      </w:r>
      <w:r>
        <w:rPr>
          <w:rFonts w:ascii="宋体" w:hAnsi="宋体"/>
          <w:color w:val="000000"/>
          <w:szCs w:val="21"/>
          <w:u w:val="single"/>
        </w:rPr>
        <w:t xml:space="preserve">   </w:t>
      </w:r>
    </w:p>
    <w:p w14:paraId="34648DE4">
      <w:pPr>
        <w:spacing w:line="360" w:lineRule="exact"/>
        <w:ind w:left="422" w:hanging="422"/>
        <w:jc w:val="center"/>
        <w:rPr>
          <w:rFonts w:ascii="宋体" w:hAnsi="宋体"/>
          <w:b/>
          <w:sz w:val="28"/>
          <w:szCs w:val="28"/>
        </w:rPr>
      </w:pPr>
    </w:p>
    <w:p w14:paraId="649CC278">
      <w:pPr>
        <w:spacing w:line="360" w:lineRule="exact"/>
        <w:ind w:left="422" w:hanging="422"/>
        <w:jc w:val="center"/>
        <w:rPr>
          <w:rFonts w:ascii="宋体" w:hAnsi="宋体"/>
          <w:b/>
          <w:sz w:val="28"/>
          <w:szCs w:val="28"/>
        </w:rPr>
      </w:pPr>
    </w:p>
    <w:p w14:paraId="22096076">
      <w:pPr>
        <w:spacing w:line="360" w:lineRule="exact"/>
        <w:ind w:left="422" w:hanging="422"/>
        <w:jc w:val="center"/>
        <w:rPr>
          <w:rFonts w:ascii="宋体" w:hAnsi="宋体"/>
          <w:b/>
          <w:sz w:val="28"/>
          <w:szCs w:val="28"/>
        </w:rPr>
      </w:pPr>
    </w:p>
    <w:p w14:paraId="11D1E75F">
      <w:pPr>
        <w:pStyle w:val="2"/>
        <w:ind w:left="482" w:hanging="482"/>
      </w:pPr>
    </w:p>
    <w:p w14:paraId="2D773CBB"/>
    <w:p w14:paraId="68950043">
      <w:pPr>
        <w:pStyle w:val="2"/>
        <w:ind w:left="482" w:hanging="482"/>
      </w:pPr>
    </w:p>
    <w:p w14:paraId="24D745E2"/>
    <w:p w14:paraId="248576DA">
      <w:pPr>
        <w:pStyle w:val="2"/>
        <w:ind w:left="482" w:hanging="482"/>
      </w:pPr>
    </w:p>
    <w:p w14:paraId="1FAB8391"/>
    <w:p w14:paraId="65947648">
      <w:pPr>
        <w:pStyle w:val="2"/>
        <w:ind w:left="482" w:hanging="482"/>
      </w:pPr>
    </w:p>
    <w:p w14:paraId="4E31B773"/>
    <w:p w14:paraId="7A2DD6E7">
      <w:pPr>
        <w:pStyle w:val="2"/>
        <w:ind w:left="482" w:hanging="482"/>
      </w:pPr>
    </w:p>
    <w:p w14:paraId="781AFCF4"/>
    <w:p w14:paraId="191D0357">
      <w:pPr>
        <w:pStyle w:val="2"/>
        <w:ind w:left="482" w:hanging="482"/>
      </w:pPr>
    </w:p>
    <w:p w14:paraId="727DB4A9"/>
    <w:p w14:paraId="5043C8D1">
      <w:pPr>
        <w:pStyle w:val="2"/>
        <w:ind w:left="482" w:hanging="482"/>
      </w:pPr>
    </w:p>
    <w:p w14:paraId="19CE9289"/>
    <w:p w14:paraId="6C53C398">
      <w:pPr>
        <w:pStyle w:val="2"/>
        <w:ind w:left="482" w:hanging="482"/>
      </w:pPr>
    </w:p>
    <w:p w14:paraId="58766BC1"/>
    <w:p w14:paraId="5E982731">
      <w:pPr>
        <w:pStyle w:val="2"/>
        <w:ind w:left="482" w:hanging="482"/>
      </w:pPr>
    </w:p>
    <w:p w14:paraId="29849E78"/>
    <w:p w14:paraId="63401501">
      <w:pPr>
        <w:pStyle w:val="2"/>
        <w:ind w:left="482" w:hanging="482"/>
      </w:pPr>
    </w:p>
    <w:p w14:paraId="541C7BA0">
      <w:pPr>
        <w:spacing w:line="360" w:lineRule="exact"/>
        <w:ind w:left="422" w:hanging="422"/>
        <w:jc w:val="center"/>
        <w:rPr>
          <w:rFonts w:ascii="宋体" w:hAnsi="宋体"/>
          <w:b/>
          <w:sz w:val="28"/>
          <w:szCs w:val="28"/>
        </w:rPr>
      </w:pPr>
      <w:r>
        <w:rPr>
          <w:rFonts w:hint="eastAsia" w:ascii="宋体" w:hAnsi="宋体"/>
          <w:b/>
          <w:sz w:val="28"/>
          <w:szCs w:val="28"/>
        </w:rPr>
        <w:t>二、磋商保证金缴纳证明材料</w:t>
      </w:r>
    </w:p>
    <w:p w14:paraId="687C2DF6">
      <w:pPr>
        <w:pStyle w:val="25"/>
        <w:adjustRightInd w:val="0"/>
        <w:snapToGrid w:val="0"/>
        <w:spacing w:before="120" w:beforeLines="50" w:line="360" w:lineRule="auto"/>
        <w:ind w:hanging="315"/>
        <w:rPr>
          <w:rFonts w:hAnsi="宋体"/>
        </w:rPr>
      </w:pPr>
    </w:p>
    <w:p w14:paraId="0A6986B2">
      <w:pPr>
        <w:adjustRightInd w:val="0"/>
        <w:snapToGrid w:val="0"/>
        <w:spacing w:before="156" w:beforeLines="50" w:line="360" w:lineRule="auto"/>
        <w:ind w:firstLine="562" w:firstLineChars="200"/>
        <w:jc w:val="center"/>
        <w:rPr>
          <w:rFonts w:hint="eastAsia" w:ascii="黑体" w:hAnsi="宋体" w:eastAsia="黑体"/>
          <w:b/>
          <w:bCs/>
          <w:color w:val="auto"/>
          <w:sz w:val="28"/>
          <w:szCs w:val="28"/>
        </w:rPr>
      </w:pPr>
      <w:r>
        <w:rPr>
          <w:rFonts w:hint="eastAsia" w:ascii="黑体" w:hAnsi="宋体" w:eastAsia="黑体"/>
          <w:b/>
          <w:bCs/>
          <w:color w:val="auto"/>
          <w:sz w:val="28"/>
          <w:szCs w:val="28"/>
        </w:rPr>
        <w:t>信用承诺书</w:t>
      </w:r>
    </w:p>
    <w:p w14:paraId="76B9C2B9">
      <w:pPr>
        <w:adjustRightInd w:val="0"/>
        <w:snapToGrid w:val="0"/>
        <w:spacing w:before="156" w:beforeLines="50" w:line="360" w:lineRule="auto"/>
        <w:ind w:firstLine="562" w:firstLineChars="200"/>
        <w:jc w:val="center"/>
        <w:rPr>
          <w:rFonts w:hint="eastAsia" w:ascii="宋体" w:hAnsi="宋体"/>
          <w:b/>
          <w:color w:val="auto"/>
          <w:szCs w:val="21"/>
        </w:rPr>
      </w:pPr>
      <w:r>
        <w:rPr>
          <w:rFonts w:hint="eastAsia" w:ascii="黑体" w:hAnsi="宋体" w:eastAsia="黑体"/>
          <w:b/>
          <w:bCs/>
          <w:color w:val="auto"/>
          <w:sz w:val="28"/>
          <w:szCs w:val="28"/>
        </w:rPr>
        <w:t>（格式自拟）</w:t>
      </w:r>
    </w:p>
    <w:p w14:paraId="158BA23D">
      <w:pPr>
        <w:adjustRightInd w:val="0"/>
        <w:snapToGrid w:val="0"/>
        <w:spacing w:before="156" w:beforeLines="50" w:line="360" w:lineRule="auto"/>
        <w:jc w:val="left"/>
        <w:rPr>
          <w:rFonts w:hint="eastAsia" w:ascii="宋体" w:hAnsi="宋体"/>
          <w:b/>
          <w:color w:val="auto"/>
          <w:szCs w:val="21"/>
        </w:rPr>
      </w:pPr>
      <w:r>
        <w:rPr>
          <w:rFonts w:hint="eastAsia" w:ascii="宋体" w:hAnsi="宋体"/>
          <w:b/>
          <w:color w:val="auto"/>
          <w:szCs w:val="21"/>
        </w:rPr>
        <w:t>注：根据湘潭市财政局《关于加强政府采购保证金管理工作的通知》(潭财购【2024】12号)文精神，本项目不需要缴纳投标保证金，但</w:t>
      </w:r>
      <w:r>
        <w:rPr>
          <w:rFonts w:hint="eastAsia" w:ascii="宋体" w:hAnsi="宋体"/>
          <w:b/>
          <w:color w:val="auto"/>
          <w:szCs w:val="21"/>
          <w:lang w:eastAsia="zh-CN"/>
        </w:rPr>
        <w:t>投标供应商</w:t>
      </w:r>
      <w:r>
        <w:rPr>
          <w:rFonts w:hint="eastAsia" w:ascii="宋体" w:hAnsi="宋体"/>
          <w:b/>
          <w:color w:val="auto"/>
          <w:szCs w:val="21"/>
        </w:rPr>
        <w:t>免交非免责。为保障采购人的合法权益，</w:t>
      </w:r>
      <w:r>
        <w:rPr>
          <w:rFonts w:hint="eastAsia" w:ascii="宋体" w:hAnsi="宋体"/>
          <w:b/>
          <w:color w:val="auto"/>
          <w:szCs w:val="21"/>
          <w:lang w:eastAsia="zh-CN"/>
        </w:rPr>
        <w:t>投标供应商</w:t>
      </w:r>
      <w:r>
        <w:rPr>
          <w:rFonts w:hint="eastAsia" w:ascii="宋体" w:hAnsi="宋体"/>
          <w:b/>
          <w:color w:val="auto"/>
          <w:szCs w:val="21"/>
        </w:rPr>
        <w:t>应向采购人出具投标供应商免缴投标保证金信用承诺书，承诺遵守政府采购相关法律法规，对于违反相关规定给采购人造成损失的，依法承担赔偿责任，并接受相关行政监督部门处理。</w:t>
      </w:r>
    </w:p>
    <w:p w14:paraId="0E18B95B">
      <w:pPr>
        <w:adjustRightInd w:val="0"/>
        <w:snapToGrid w:val="0"/>
        <w:spacing w:before="120" w:beforeLines="50" w:line="360" w:lineRule="auto"/>
        <w:jc w:val="left"/>
        <w:rPr>
          <w:rFonts w:ascii="宋体" w:hAnsi="宋体"/>
          <w:b/>
          <w:sz w:val="32"/>
          <w:szCs w:val="32"/>
        </w:rPr>
      </w:pPr>
    </w:p>
    <w:p w14:paraId="2CD373B2">
      <w:pPr>
        <w:adjustRightInd w:val="0"/>
        <w:snapToGrid w:val="0"/>
        <w:spacing w:before="120" w:beforeLines="50" w:line="360" w:lineRule="auto"/>
        <w:jc w:val="left"/>
        <w:rPr>
          <w:rFonts w:ascii="宋体" w:hAnsi="宋体"/>
          <w:b/>
          <w:sz w:val="32"/>
          <w:szCs w:val="32"/>
        </w:rPr>
      </w:pPr>
    </w:p>
    <w:p w14:paraId="7AF222DD">
      <w:pPr>
        <w:adjustRightInd w:val="0"/>
        <w:snapToGrid w:val="0"/>
        <w:spacing w:before="120" w:beforeLines="50" w:line="360" w:lineRule="auto"/>
        <w:jc w:val="left"/>
        <w:rPr>
          <w:rFonts w:ascii="宋体" w:hAnsi="宋体"/>
          <w:b/>
          <w:sz w:val="32"/>
          <w:szCs w:val="32"/>
        </w:rPr>
      </w:pPr>
    </w:p>
    <w:p w14:paraId="58D5C991">
      <w:pPr>
        <w:adjustRightInd w:val="0"/>
        <w:snapToGrid w:val="0"/>
        <w:spacing w:before="120" w:beforeLines="50" w:line="360" w:lineRule="auto"/>
        <w:jc w:val="left"/>
        <w:rPr>
          <w:rFonts w:ascii="宋体" w:hAnsi="宋体"/>
          <w:b/>
          <w:sz w:val="32"/>
          <w:szCs w:val="32"/>
        </w:rPr>
      </w:pPr>
    </w:p>
    <w:p w14:paraId="49DCD302">
      <w:pPr>
        <w:adjustRightInd w:val="0"/>
        <w:snapToGrid w:val="0"/>
        <w:spacing w:before="120" w:beforeLines="50" w:line="360" w:lineRule="auto"/>
        <w:jc w:val="left"/>
        <w:rPr>
          <w:rFonts w:ascii="宋体" w:hAnsi="宋体"/>
          <w:b/>
          <w:sz w:val="32"/>
          <w:szCs w:val="32"/>
        </w:rPr>
      </w:pPr>
    </w:p>
    <w:p w14:paraId="52604F08">
      <w:pPr>
        <w:adjustRightInd w:val="0"/>
        <w:snapToGrid w:val="0"/>
        <w:spacing w:before="120" w:beforeLines="50" w:line="360" w:lineRule="auto"/>
        <w:jc w:val="left"/>
        <w:rPr>
          <w:rFonts w:ascii="宋体" w:hAnsi="宋体"/>
          <w:b/>
          <w:sz w:val="32"/>
          <w:szCs w:val="32"/>
        </w:rPr>
      </w:pPr>
    </w:p>
    <w:p w14:paraId="752BB684">
      <w:pPr>
        <w:adjustRightInd w:val="0"/>
        <w:snapToGrid w:val="0"/>
        <w:spacing w:before="120" w:beforeLines="50" w:line="360" w:lineRule="auto"/>
        <w:jc w:val="left"/>
        <w:rPr>
          <w:rFonts w:ascii="宋体" w:hAnsi="宋体"/>
          <w:b/>
          <w:sz w:val="32"/>
          <w:szCs w:val="32"/>
        </w:rPr>
      </w:pPr>
    </w:p>
    <w:p w14:paraId="6B6B547D">
      <w:pPr>
        <w:adjustRightInd w:val="0"/>
        <w:snapToGrid w:val="0"/>
        <w:spacing w:before="120" w:beforeLines="50" w:line="360" w:lineRule="auto"/>
        <w:jc w:val="left"/>
        <w:rPr>
          <w:rFonts w:ascii="宋体" w:hAnsi="宋体"/>
          <w:b/>
          <w:sz w:val="32"/>
          <w:szCs w:val="32"/>
        </w:rPr>
      </w:pPr>
    </w:p>
    <w:p w14:paraId="097A5BC2">
      <w:pPr>
        <w:adjustRightInd w:val="0"/>
        <w:snapToGrid w:val="0"/>
        <w:spacing w:before="120" w:beforeLines="50" w:line="360" w:lineRule="auto"/>
        <w:jc w:val="left"/>
        <w:rPr>
          <w:rFonts w:ascii="宋体" w:hAnsi="宋体"/>
          <w:b/>
          <w:sz w:val="32"/>
          <w:szCs w:val="32"/>
        </w:rPr>
      </w:pPr>
    </w:p>
    <w:p w14:paraId="494640FC">
      <w:pPr>
        <w:adjustRightInd w:val="0"/>
        <w:snapToGrid w:val="0"/>
        <w:spacing w:before="120" w:beforeLines="50" w:line="360" w:lineRule="auto"/>
        <w:jc w:val="left"/>
        <w:rPr>
          <w:rFonts w:ascii="宋体" w:hAnsi="宋体"/>
          <w:b/>
          <w:sz w:val="32"/>
          <w:szCs w:val="32"/>
        </w:rPr>
      </w:pPr>
    </w:p>
    <w:p w14:paraId="6F820EE6">
      <w:pPr>
        <w:adjustRightInd w:val="0"/>
        <w:snapToGrid w:val="0"/>
        <w:spacing w:before="120" w:beforeLines="50" w:line="360" w:lineRule="auto"/>
        <w:jc w:val="left"/>
        <w:rPr>
          <w:rFonts w:ascii="宋体" w:hAnsi="宋体"/>
          <w:b/>
          <w:sz w:val="32"/>
          <w:szCs w:val="32"/>
        </w:rPr>
      </w:pPr>
    </w:p>
    <w:p w14:paraId="5FA59C59">
      <w:pPr>
        <w:adjustRightInd w:val="0"/>
        <w:snapToGrid w:val="0"/>
        <w:spacing w:before="120" w:beforeLines="50" w:line="360" w:lineRule="auto"/>
        <w:jc w:val="left"/>
        <w:rPr>
          <w:rFonts w:ascii="宋体" w:hAnsi="宋体"/>
          <w:b/>
          <w:sz w:val="32"/>
          <w:szCs w:val="32"/>
        </w:rPr>
      </w:pPr>
    </w:p>
    <w:p w14:paraId="2BB31DB6">
      <w:pPr>
        <w:adjustRightInd w:val="0"/>
        <w:snapToGrid w:val="0"/>
        <w:spacing w:line="360" w:lineRule="auto"/>
        <w:ind w:left="482" w:hanging="482"/>
        <w:jc w:val="center"/>
        <w:rPr>
          <w:rFonts w:ascii="宋体" w:hAnsi="宋体"/>
          <w:b/>
          <w:bCs/>
          <w:sz w:val="32"/>
          <w:szCs w:val="32"/>
        </w:rPr>
      </w:pPr>
      <w:r>
        <w:rPr>
          <w:rFonts w:hint="eastAsia" w:ascii="宋体" w:hAnsi="宋体"/>
          <w:b/>
          <w:sz w:val="32"/>
          <w:szCs w:val="32"/>
        </w:rPr>
        <w:t>三、供应商</w:t>
      </w:r>
      <w:r>
        <w:rPr>
          <w:rFonts w:hint="eastAsia" w:ascii="宋体" w:hAnsi="宋体"/>
          <w:b/>
          <w:bCs/>
          <w:sz w:val="32"/>
          <w:szCs w:val="32"/>
        </w:rPr>
        <w:t>的资格证明资料</w:t>
      </w:r>
    </w:p>
    <w:p w14:paraId="02355131">
      <w:pPr>
        <w:spacing w:line="480" w:lineRule="exact"/>
        <w:ind w:left="450" w:hanging="450"/>
        <w:rPr>
          <w:rFonts w:ascii="宋体" w:hAnsi="宋体"/>
          <w:sz w:val="30"/>
          <w:szCs w:val="30"/>
        </w:rPr>
      </w:pPr>
      <w:r>
        <w:rPr>
          <w:rFonts w:hint="eastAsia" w:ascii="宋体" w:hAnsi="宋体"/>
          <w:sz w:val="30"/>
          <w:szCs w:val="30"/>
        </w:rPr>
        <w:t>附件5             供应商基本情况表</w:t>
      </w:r>
    </w:p>
    <w:p w14:paraId="20C578D2">
      <w:pPr>
        <w:spacing w:line="480" w:lineRule="exact"/>
        <w:ind w:left="450" w:hanging="450"/>
        <w:rPr>
          <w:rFonts w:ascii="宋体" w:hAnsi="宋体"/>
          <w:sz w:val="30"/>
          <w:szCs w:val="30"/>
        </w:rPr>
      </w:pPr>
    </w:p>
    <w:p w14:paraId="0E9BA3C0">
      <w:pPr>
        <w:adjustRightInd w:val="0"/>
        <w:snapToGrid w:val="0"/>
        <w:spacing w:line="360" w:lineRule="auto"/>
        <w:ind w:hanging="315"/>
        <w:rPr>
          <w:rFonts w:ascii="宋体" w:hAnsi="宋体"/>
          <w:szCs w:val="21"/>
        </w:rPr>
      </w:pPr>
      <w:r>
        <w:rPr>
          <w:rFonts w:hint="eastAsia" w:ascii="宋体" w:hAnsi="宋体"/>
          <w:szCs w:val="21"/>
        </w:rPr>
        <w:t>盖供应商单位章</w:t>
      </w:r>
    </w:p>
    <w:tbl>
      <w:tblPr>
        <w:tblStyle w:val="47"/>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3DEAA0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1F4AE7E1">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551D29DF">
            <w:pPr>
              <w:topLinePunct/>
              <w:spacing w:line="440" w:lineRule="exact"/>
              <w:ind w:hanging="315"/>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0C71128E">
            <w:pPr>
              <w:topLinePunct/>
              <w:spacing w:line="440" w:lineRule="exact"/>
              <w:jc w:val="center"/>
              <w:rPr>
                <w:rFonts w:ascii="宋体" w:hAnsi="宋体"/>
                <w:szCs w:val="21"/>
              </w:rPr>
            </w:pPr>
            <w:r>
              <w:rPr>
                <w:rFonts w:ascii="宋体" w:hAnsi="宋体"/>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6AA44973">
            <w:pPr>
              <w:topLinePunct/>
              <w:spacing w:line="440" w:lineRule="exact"/>
              <w:ind w:hanging="315"/>
              <w:jc w:val="center"/>
              <w:rPr>
                <w:rFonts w:ascii="宋体" w:hAnsi="宋体"/>
                <w:szCs w:val="21"/>
              </w:rPr>
            </w:pPr>
          </w:p>
        </w:tc>
      </w:tr>
      <w:tr w14:paraId="6E4A81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329F6833">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73BB280">
            <w:pPr>
              <w:topLinePunct/>
              <w:spacing w:line="440" w:lineRule="exact"/>
              <w:ind w:hanging="315"/>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26E4E49">
            <w:pPr>
              <w:topLinePunct/>
              <w:spacing w:line="440" w:lineRule="exact"/>
              <w:jc w:val="center"/>
              <w:rPr>
                <w:rFonts w:ascii="宋体" w:hAnsi="宋体"/>
                <w:szCs w:val="21"/>
              </w:rPr>
            </w:pPr>
            <w:r>
              <w:rPr>
                <w:rFonts w:ascii="宋体" w:hAnsi="宋体"/>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376E5636">
            <w:pPr>
              <w:topLinePunct/>
              <w:spacing w:line="440" w:lineRule="exact"/>
              <w:ind w:hanging="315"/>
              <w:jc w:val="center"/>
              <w:rPr>
                <w:rFonts w:ascii="宋体" w:hAnsi="宋体"/>
                <w:szCs w:val="21"/>
              </w:rPr>
            </w:pPr>
          </w:p>
        </w:tc>
      </w:tr>
      <w:tr w14:paraId="71DB2E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4B51B71">
            <w:pPr>
              <w:topLinePunct/>
              <w:spacing w:line="440" w:lineRule="exact"/>
              <w:jc w:val="center"/>
              <w:rPr>
                <w:rFonts w:ascii="宋体" w:hAnsi="宋体"/>
                <w:szCs w:val="21"/>
              </w:rPr>
            </w:pPr>
            <w:r>
              <w:rPr>
                <w:rFonts w:hint="eastAsia" w:ascii="宋体" w:hAnsi="宋体"/>
                <w:szCs w:val="21"/>
              </w:rPr>
              <w:t>办公电话</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95D6C87">
            <w:pPr>
              <w:topLinePunct/>
              <w:spacing w:line="440" w:lineRule="exact"/>
              <w:ind w:hanging="315"/>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F5A101F">
            <w:pPr>
              <w:topLinePunct/>
              <w:spacing w:line="440" w:lineRule="exact"/>
              <w:jc w:val="center"/>
              <w:rPr>
                <w:rFonts w:ascii="宋体" w:hAnsi="宋体"/>
                <w:szCs w:val="21"/>
              </w:rPr>
            </w:pPr>
            <w:r>
              <w:rPr>
                <w:rFonts w:hint="eastAsia" w:ascii="宋体" w:hAnsi="宋体"/>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76951BD5">
            <w:pPr>
              <w:topLinePunct/>
              <w:spacing w:line="440" w:lineRule="exact"/>
              <w:ind w:hanging="315"/>
              <w:jc w:val="center"/>
              <w:rPr>
                <w:rFonts w:ascii="宋体" w:hAnsi="宋体"/>
                <w:szCs w:val="21"/>
              </w:rPr>
            </w:pPr>
          </w:p>
        </w:tc>
      </w:tr>
      <w:tr w14:paraId="7AED18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BCD990B">
            <w:pPr>
              <w:topLinePunct/>
              <w:spacing w:line="440" w:lineRule="exact"/>
              <w:jc w:val="center"/>
              <w:rPr>
                <w:rFonts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67971D6D">
            <w:pPr>
              <w:topLinePunct/>
              <w:spacing w:line="440" w:lineRule="exact"/>
              <w:ind w:hanging="315"/>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5B1AA4D">
            <w:pPr>
              <w:topLinePunct/>
              <w:spacing w:line="440" w:lineRule="exact"/>
              <w:jc w:val="center"/>
              <w:rPr>
                <w:rFonts w:ascii="宋体" w:hAnsi="宋体"/>
                <w:szCs w:val="21"/>
              </w:rPr>
            </w:pPr>
            <w:r>
              <w:rPr>
                <w:rFonts w:hint="eastAsia" w:ascii="宋体" w:hAnsi="宋体"/>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54D61576">
            <w:pPr>
              <w:topLinePunct/>
              <w:spacing w:line="440" w:lineRule="exact"/>
              <w:ind w:hanging="315"/>
              <w:jc w:val="center"/>
              <w:rPr>
                <w:rFonts w:ascii="宋体" w:hAnsi="宋体"/>
                <w:szCs w:val="21"/>
              </w:rPr>
            </w:pPr>
          </w:p>
        </w:tc>
      </w:tr>
      <w:tr w14:paraId="45B444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21D69712">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AA52DD8">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6D4B23A4">
            <w:pPr>
              <w:topLinePunct/>
              <w:spacing w:line="440" w:lineRule="exact"/>
              <w:ind w:hanging="315"/>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5022A1C">
            <w:pPr>
              <w:topLinePunct/>
              <w:spacing w:line="440" w:lineRule="exact"/>
              <w:jc w:val="center"/>
              <w:rPr>
                <w:rFonts w:ascii="宋体" w:hAnsi="宋体"/>
                <w:szCs w:val="21"/>
              </w:rPr>
            </w:pPr>
            <w:r>
              <w:rPr>
                <w:rFonts w:hint="eastAsia" w:ascii="宋体" w:hAnsi="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2B356AD">
            <w:pPr>
              <w:topLinePunct/>
              <w:spacing w:line="440" w:lineRule="exact"/>
              <w:ind w:firstLine="105" w:firstLineChars="50"/>
              <w:jc w:val="center"/>
              <w:rPr>
                <w:rFonts w:ascii="宋体" w:hAnsi="宋体"/>
                <w:szCs w:val="21"/>
              </w:rPr>
            </w:pPr>
          </w:p>
        </w:tc>
      </w:tr>
      <w:tr w14:paraId="1429A4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7CADD9B6">
            <w:pPr>
              <w:topLinePunct/>
              <w:spacing w:line="440" w:lineRule="exact"/>
              <w:ind w:hanging="315"/>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C1D3A4B">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2CE0629E">
            <w:pPr>
              <w:topLinePunct/>
              <w:spacing w:line="440" w:lineRule="exact"/>
              <w:ind w:hanging="315"/>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60E2AFCC">
            <w:pPr>
              <w:topLinePunct/>
              <w:spacing w:line="440" w:lineRule="exact"/>
              <w:jc w:val="center"/>
              <w:rPr>
                <w:rFonts w:ascii="宋体" w:hAnsi="宋体"/>
                <w:szCs w:val="21"/>
              </w:rPr>
            </w:pPr>
            <w:r>
              <w:rPr>
                <w:rFonts w:hint="eastAsia" w:ascii="宋体" w:hAnsi="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D4332BC">
            <w:pPr>
              <w:topLinePunct/>
              <w:spacing w:line="440" w:lineRule="exact"/>
              <w:ind w:firstLine="105" w:firstLineChars="50"/>
              <w:jc w:val="center"/>
              <w:rPr>
                <w:rFonts w:ascii="宋体" w:hAnsi="宋体"/>
                <w:szCs w:val="21"/>
              </w:rPr>
            </w:pPr>
          </w:p>
        </w:tc>
      </w:tr>
      <w:tr w14:paraId="2416D6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2A4B8C8">
            <w:pPr>
              <w:topLinePunct/>
              <w:spacing w:line="440" w:lineRule="exact"/>
              <w:ind w:hanging="315"/>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984C782">
            <w:pPr>
              <w:topLinePunct/>
              <w:spacing w:line="440" w:lineRule="exact"/>
              <w:jc w:val="center"/>
              <w:rPr>
                <w:rFonts w:ascii="宋体" w:hAnsi="宋体"/>
                <w:szCs w:val="21"/>
              </w:rPr>
            </w:pPr>
            <w:r>
              <w:rPr>
                <w:rFonts w:hint="eastAsia" w:ascii="宋体" w:hAnsi="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37FF9EBA">
            <w:pPr>
              <w:topLinePunct/>
              <w:spacing w:line="440" w:lineRule="exact"/>
              <w:ind w:firstLine="105" w:firstLineChars="50"/>
              <w:jc w:val="center"/>
              <w:rPr>
                <w:rFonts w:ascii="宋体" w:hAnsi="宋体"/>
                <w:szCs w:val="21"/>
              </w:rPr>
            </w:pPr>
          </w:p>
        </w:tc>
      </w:tr>
      <w:tr w14:paraId="24941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BFA1155">
            <w:pPr>
              <w:topLinePunct/>
              <w:spacing w:line="440" w:lineRule="exact"/>
              <w:ind w:hanging="315"/>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3C39461">
            <w:pPr>
              <w:topLinePunct/>
              <w:spacing w:line="440" w:lineRule="exact"/>
              <w:jc w:val="center"/>
              <w:rPr>
                <w:rFonts w:ascii="宋体" w:hAnsi="宋体"/>
                <w:szCs w:val="21"/>
              </w:rPr>
            </w:pPr>
            <w:r>
              <w:rPr>
                <w:rFonts w:hint="eastAsia" w:ascii="宋体" w:hAnsi="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E4AA511">
            <w:pPr>
              <w:topLinePunct/>
              <w:spacing w:line="440" w:lineRule="exact"/>
              <w:ind w:firstLine="105" w:firstLineChars="50"/>
              <w:jc w:val="center"/>
              <w:rPr>
                <w:rFonts w:ascii="宋体" w:hAnsi="宋体"/>
                <w:szCs w:val="21"/>
              </w:rPr>
            </w:pPr>
          </w:p>
        </w:tc>
      </w:tr>
      <w:tr w14:paraId="5F514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FC65A53">
            <w:pPr>
              <w:topLinePunct/>
              <w:spacing w:line="440" w:lineRule="exact"/>
              <w:jc w:val="center"/>
              <w:rPr>
                <w:rFonts w:ascii="宋体" w:hAnsi="宋体"/>
                <w:szCs w:val="21"/>
              </w:rPr>
            </w:pPr>
            <w:r>
              <w:rPr>
                <w:rFonts w:hint="eastAsia" w:ascii="宋体" w:hAnsi="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2354DD89">
            <w:pPr>
              <w:topLinePunct/>
              <w:spacing w:line="440" w:lineRule="exact"/>
              <w:ind w:hanging="315"/>
              <w:jc w:val="center"/>
              <w:rPr>
                <w:rFonts w:ascii="宋体" w:hAnsi="宋体"/>
                <w:szCs w:val="21"/>
              </w:rPr>
            </w:pPr>
          </w:p>
        </w:tc>
      </w:tr>
      <w:tr w14:paraId="75615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CBCAAF3">
            <w:pPr>
              <w:topLinePunct/>
              <w:spacing w:line="440" w:lineRule="exact"/>
              <w:jc w:val="center"/>
              <w:rPr>
                <w:rFonts w:ascii="宋体" w:hAnsi="宋体"/>
                <w:szCs w:val="21"/>
              </w:rPr>
            </w:pPr>
            <w:r>
              <w:rPr>
                <w:rFonts w:hint="eastAsia" w:ascii="宋体" w:hAnsi="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717A9024">
            <w:pPr>
              <w:topLinePunct/>
              <w:spacing w:line="440" w:lineRule="exact"/>
              <w:ind w:hanging="315"/>
              <w:jc w:val="center"/>
              <w:rPr>
                <w:rFonts w:ascii="宋体" w:hAnsi="宋体"/>
                <w:szCs w:val="21"/>
              </w:rPr>
            </w:pPr>
          </w:p>
        </w:tc>
      </w:tr>
      <w:tr w14:paraId="53C66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CFA3812">
            <w:pPr>
              <w:topLinePunct/>
              <w:spacing w:line="440" w:lineRule="exact"/>
              <w:ind w:hanging="315"/>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CC55DC7">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51632B0">
            <w:pPr>
              <w:topLinePunct/>
              <w:spacing w:line="440" w:lineRule="exact"/>
              <w:jc w:val="center"/>
              <w:rPr>
                <w:rFonts w:ascii="宋体" w:hAnsi="宋体"/>
                <w:szCs w:val="21"/>
              </w:rPr>
            </w:pPr>
            <w:r>
              <w:rPr>
                <w:rFonts w:hint="eastAsia" w:ascii="宋体" w:hAnsi="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26DC918">
            <w:pPr>
              <w:topLinePunct/>
              <w:spacing w:line="440" w:lineRule="exact"/>
              <w:ind w:hanging="315"/>
              <w:jc w:val="center"/>
              <w:rPr>
                <w:rFonts w:ascii="宋体" w:hAnsi="宋体"/>
                <w:szCs w:val="21"/>
              </w:rPr>
            </w:pPr>
            <w:r>
              <w:rPr>
                <w:rFonts w:hint="eastAsia" w:ascii="宋体" w:hAnsi="宋体"/>
                <w:szCs w:val="21"/>
              </w:rPr>
              <w:t>有效期</w:t>
            </w:r>
          </w:p>
        </w:tc>
      </w:tr>
      <w:tr w14:paraId="01D961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61538E1">
            <w:pPr>
              <w:topLinePunct/>
              <w:spacing w:line="440" w:lineRule="exact"/>
              <w:ind w:hanging="315"/>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E9042CF">
            <w:pPr>
              <w:topLinePunct/>
              <w:spacing w:line="440" w:lineRule="exact"/>
              <w:ind w:hanging="315"/>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275749D">
            <w:pPr>
              <w:topLinePunct/>
              <w:spacing w:line="440" w:lineRule="exact"/>
              <w:ind w:hanging="315"/>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7FE518D">
            <w:pPr>
              <w:topLinePunct/>
              <w:spacing w:line="440" w:lineRule="exact"/>
              <w:ind w:hanging="315"/>
              <w:jc w:val="center"/>
              <w:rPr>
                <w:rFonts w:ascii="宋体" w:hAnsi="宋体"/>
                <w:szCs w:val="21"/>
              </w:rPr>
            </w:pPr>
          </w:p>
        </w:tc>
      </w:tr>
      <w:tr w14:paraId="369291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C1F924F">
            <w:pPr>
              <w:topLinePunct/>
              <w:spacing w:line="440" w:lineRule="exact"/>
              <w:ind w:hanging="315"/>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040D94A">
            <w:pPr>
              <w:topLinePunct/>
              <w:spacing w:line="440" w:lineRule="exact"/>
              <w:ind w:hanging="315"/>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8B9DDF0">
            <w:pPr>
              <w:topLinePunct/>
              <w:spacing w:line="440" w:lineRule="exact"/>
              <w:ind w:hanging="315"/>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61CB7B5">
            <w:pPr>
              <w:topLinePunct/>
              <w:spacing w:line="440" w:lineRule="exact"/>
              <w:ind w:hanging="315"/>
              <w:jc w:val="center"/>
              <w:rPr>
                <w:rFonts w:ascii="宋体" w:hAnsi="宋体"/>
                <w:szCs w:val="21"/>
              </w:rPr>
            </w:pPr>
          </w:p>
        </w:tc>
      </w:tr>
      <w:tr w14:paraId="15F4D9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17715BD1">
            <w:pPr>
              <w:topLinePunct/>
              <w:spacing w:line="440" w:lineRule="exact"/>
              <w:jc w:val="center"/>
              <w:rPr>
                <w:rFonts w:ascii="宋体" w:hAnsi="宋体"/>
                <w:szCs w:val="21"/>
              </w:rPr>
            </w:pPr>
            <w:r>
              <w:rPr>
                <w:rFonts w:ascii="宋体" w:hAnsi="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0FC5BACC">
            <w:pPr>
              <w:topLinePunct/>
              <w:spacing w:line="440" w:lineRule="exact"/>
              <w:ind w:hanging="315"/>
              <w:jc w:val="center"/>
              <w:rPr>
                <w:rFonts w:ascii="宋体" w:hAnsi="宋体"/>
                <w:szCs w:val="21"/>
              </w:rPr>
            </w:pPr>
          </w:p>
        </w:tc>
      </w:tr>
    </w:tbl>
    <w:p w14:paraId="2736F4DB">
      <w:pPr>
        <w:spacing w:line="480" w:lineRule="exact"/>
        <w:ind w:left="450" w:hanging="450"/>
        <w:rPr>
          <w:rFonts w:ascii="宋体" w:hAnsi="宋体"/>
          <w:sz w:val="30"/>
          <w:szCs w:val="30"/>
        </w:rPr>
      </w:pPr>
    </w:p>
    <w:p w14:paraId="166D5FC3">
      <w:pPr>
        <w:spacing w:line="480" w:lineRule="exact"/>
        <w:ind w:left="450" w:hanging="450"/>
        <w:rPr>
          <w:rFonts w:asciiTheme="minorEastAsia" w:hAnsiTheme="minorEastAsia" w:eastAsiaTheme="minorEastAsia" w:cstheme="minorEastAsia"/>
          <w:sz w:val="24"/>
        </w:rPr>
      </w:pPr>
      <w:r>
        <w:rPr>
          <w:rFonts w:hint="eastAsia" w:ascii="宋体" w:hAnsi="宋体"/>
          <w:sz w:val="30"/>
          <w:szCs w:val="30"/>
        </w:rPr>
        <w:br w:type="page"/>
      </w:r>
      <w:r>
        <w:rPr>
          <w:rFonts w:hint="eastAsia" w:ascii="宋体" w:hAnsi="宋体"/>
          <w:sz w:val="30"/>
          <w:szCs w:val="30"/>
        </w:rPr>
        <w:t>附件6</w:t>
      </w:r>
      <w:r>
        <w:rPr>
          <w:rFonts w:hint="eastAsia" w:asciiTheme="minorEastAsia" w:hAnsiTheme="minorEastAsia" w:eastAsiaTheme="minorEastAsia" w:cstheme="minorEastAsia"/>
          <w:sz w:val="24"/>
        </w:rPr>
        <w:t>：</w:t>
      </w:r>
    </w:p>
    <w:p w14:paraId="5B4D383F">
      <w:pPr>
        <w:adjustRightInd w:val="0"/>
        <w:snapToGrid w:val="0"/>
        <w:ind w:left="422" w:hanging="422"/>
        <w:jc w:val="center"/>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供应商的资格条件更新材料</w:t>
      </w:r>
    </w:p>
    <w:p w14:paraId="03F11D19">
      <w:pPr>
        <w:adjustRightInd w:val="0"/>
        <w:snapToGrid w:val="0"/>
        <w:spacing w:before="120" w:beforeLines="50" w:line="360" w:lineRule="auto"/>
        <w:ind w:hanging="315"/>
        <w:rPr>
          <w:rFonts w:asciiTheme="minorEastAsia" w:hAnsiTheme="minorEastAsia" w:eastAsiaTheme="minorEastAsia" w:cstheme="minorEastAsia"/>
          <w:szCs w:val="21"/>
        </w:rPr>
      </w:pPr>
    </w:p>
    <w:p w14:paraId="234D7D6E">
      <w:pPr>
        <w:adjustRightInd w:val="0"/>
        <w:snapToGrid w:val="0"/>
        <w:spacing w:line="360" w:lineRule="auto"/>
        <w:ind w:firstLine="630" w:firstLineChars="3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kern w:val="0"/>
          <w:szCs w:val="21"/>
          <w:lang w:val="zh-CN"/>
        </w:rPr>
        <w:t>供应商根据磋商文件第二章第14.1项“</w:t>
      </w:r>
      <w:r>
        <w:rPr>
          <w:rFonts w:hint="eastAsia" w:asciiTheme="minorEastAsia" w:hAnsiTheme="minorEastAsia" w:eastAsiaTheme="minorEastAsia" w:cstheme="minorEastAsia"/>
          <w:szCs w:val="21"/>
        </w:rPr>
        <w:t>在磋商</w:t>
      </w:r>
      <w:r>
        <w:rPr>
          <w:rFonts w:hint="eastAsia" w:asciiTheme="minorEastAsia" w:hAnsiTheme="minorEastAsia" w:eastAsiaTheme="minorEastAsia" w:cstheme="minorEastAsia"/>
          <w:bCs/>
          <w:szCs w:val="21"/>
        </w:rPr>
        <w:t>小组确定邀请供应商名单起</w:t>
      </w:r>
      <w:r>
        <w:rPr>
          <w:rFonts w:hint="eastAsia" w:asciiTheme="minorEastAsia" w:hAnsiTheme="minorEastAsia" w:eastAsiaTheme="minorEastAsia" w:cstheme="minorEastAsia"/>
          <w:szCs w:val="21"/>
        </w:rPr>
        <w:t>至</w:t>
      </w:r>
      <w:r>
        <w:rPr>
          <w:rFonts w:hint="eastAsia" w:asciiTheme="minorEastAsia" w:hAnsiTheme="minorEastAsia" w:eastAsiaTheme="minorEastAsia" w:cstheme="minorEastAsia"/>
          <w:kern w:val="0"/>
          <w:szCs w:val="21"/>
        </w:rPr>
        <w:t>提交首次响应文件</w:t>
      </w:r>
      <w:r>
        <w:rPr>
          <w:rFonts w:hint="eastAsia" w:asciiTheme="minorEastAsia" w:hAnsiTheme="minorEastAsia" w:eastAsiaTheme="minorEastAsia" w:cstheme="minorEastAsia"/>
          <w:szCs w:val="21"/>
        </w:rPr>
        <w:t>止，供应商资格条件发生重大变化，可能影响资格条件的，供应商应更新或者补充提供的资格证明材料，以证实其各项条件仍能继续满足本章第3.1项规定的供应商资格条件要求</w:t>
      </w:r>
      <w:r>
        <w:rPr>
          <w:rFonts w:hint="eastAsia" w:asciiTheme="minorEastAsia" w:hAnsiTheme="minorEastAsia" w:eastAsiaTheme="minorEastAsia" w:cstheme="minorEastAsia"/>
          <w:kern w:val="0"/>
          <w:szCs w:val="21"/>
          <w:lang w:val="zh-CN"/>
        </w:rPr>
        <w:t>”的规定，应</w:t>
      </w:r>
      <w:r>
        <w:rPr>
          <w:rFonts w:hint="eastAsia" w:asciiTheme="minorEastAsia" w:hAnsiTheme="minorEastAsia" w:eastAsiaTheme="minorEastAsia" w:cstheme="minorEastAsia"/>
          <w:szCs w:val="21"/>
        </w:rPr>
        <w:t>提供的更新或者补充资格证明材料。</w:t>
      </w:r>
    </w:p>
    <w:p w14:paraId="08A7550F">
      <w:pPr>
        <w:adjustRightInd w:val="0"/>
        <w:snapToGrid w:val="0"/>
        <w:ind w:hanging="315"/>
        <w:rPr>
          <w:rFonts w:asciiTheme="minorEastAsia" w:hAnsiTheme="minorEastAsia" w:eastAsiaTheme="minorEastAsia" w:cstheme="minorEastAsia"/>
          <w:szCs w:val="21"/>
        </w:rPr>
      </w:pPr>
    </w:p>
    <w:p w14:paraId="11152CEE">
      <w:pPr>
        <w:adjustRightInd w:val="0"/>
        <w:snapToGrid w:val="0"/>
        <w:ind w:hanging="315"/>
        <w:rPr>
          <w:rFonts w:asciiTheme="minorEastAsia" w:hAnsiTheme="minorEastAsia" w:eastAsiaTheme="minorEastAsia" w:cstheme="minorEastAsia"/>
          <w:szCs w:val="21"/>
        </w:rPr>
      </w:pPr>
    </w:p>
    <w:p w14:paraId="33896A66">
      <w:pPr>
        <w:adjustRightInd w:val="0"/>
        <w:snapToGrid w:val="0"/>
        <w:ind w:hanging="315"/>
        <w:rPr>
          <w:rFonts w:asciiTheme="minorEastAsia" w:hAnsiTheme="minorEastAsia" w:eastAsiaTheme="minorEastAsia" w:cstheme="minorEastAsia"/>
          <w:szCs w:val="21"/>
        </w:rPr>
      </w:pPr>
    </w:p>
    <w:p w14:paraId="08AAA566">
      <w:pPr>
        <w:adjustRightInd w:val="0"/>
        <w:snapToGrid w:val="0"/>
        <w:ind w:hanging="315"/>
        <w:rPr>
          <w:rFonts w:asciiTheme="minorEastAsia" w:hAnsiTheme="minorEastAsia" w:eastAsiaTheme="minorEastAsia" w:cstheme="minorEastAsia"/>
          <w:szCs w:val="21"/>
        </w:rPr>
      </w:pPr>
    </w:p>
    <w:p w14:paraId="62DC2AA4">
      <w:pPr>
        <w:spacing w:line="480" w:lineRule="exact"/>
        <w:ind w:left="450" w:hanging="450"/>
        <w:jc w:val="left"/>
        <w:rPr>
          <w:rFonts w:asciiTheme="minorEastAsia" w:hAnsiTheme="minorEastAsia" w:eastAsiaTheme="minorEastAsia" w:cstheme="minorEastAsia"/>
          <w:sz w:val="30"/>
          <w:szCs w:val="30"/>
        </w:rPr>
      </w:pPr>
      <w:r>
        <w:rPr>
          <w:rFonts w:hint="eastAsia" w:ascii="宋体" w:hAnsi="宋体"/>
          <w:sz w:val="30"/>
          <w:szCs w:val="30"/>
        </w:rPr>
        <w:t xml:space="preserve">附件7 </w:t>
      </w: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30"/>
          <w:szCs w:val="30"/>
        </w:rPr>
        <w:t xml:space="preserve"> </w:t>
      </w:r>
    </w:p>
    <w:p w14:paraId="787347CC">
      <w:pPr>
        <w:adjustRightInd w:val="0"/>
        <w:snapToGrid w:val="0"/>
        <w:ind w:left="422" w:hanging="422"/>
        <w:jc w:val="center"/>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磋商文件规定的基本资格条件证明资料</w:t>
      </w:r>
    </w:p>
    <w:p w14:paraId="282DFEEC">
      <w:pPr>
        <w:spacing w:line="480" w:lineRule="exact"/>
        <w:ind w:hanging="315"/>
        <w:rPr>
          <w:rFonts w:asciiTheme="minorEastAsia" w:hAnsiTheme="minorEastAsia" w:eastAsiaTheme="minorEastAsia" w:cstheme="minorEastAsia"/>
          <w:szCs w:val="21"/>
        </w:rPr>
      </w:pPr>
    </w:p>
    <w:p w14:paraId="662E2AB3">
      <w:pPr>
        <w:spacing w:line="480" w:lineRule="exact"/>
        <w:ind w:left="450" w:hanging="450"/>
        <w:rPr>
          <w:rFonts w:asciiTheme="minorEastAsia" w:hAnsiTheme="minorEastAsia" w:eastAsiaTheme="minorEastAsia" w:cstheme="minorEastAsia"/>
          <w:sz w:val="30"/>
          <w:szCs w:val="30"/>
        </w:rPr>
      </w:pPr>
    </w:p>
    <w:p w14:paraId="151C1790">
      <w:pPr>
        <w:spacing w:line="480" w:lineRule="exact"/>
        <w:ind w:left="450" w:hanging="450"/>
        <w:jc w:val="left"/>
        <w:rPr>
          <w:rFonts w:ascii="宋体" w:hAnsi="宋体"/>
          <w:sz w:val="30"/>
          <w:szCs w:val="30"/>
        </w:rPr>
      </w:pPr>
      <w:r>
        <w:rPr>
          <w:rFonts w:hint="eastAsia" w:ascii="宋体" w:hAnsi="宋体"/>
          <w:sz w:val="30"/>
          <w:szCs w:val="30"/>
        </w:rPr>
        <w:t>附件8</w:t>
      </w:r>
    </w:p>
    <w:p w14:paraId="3067E86E">
      <w:pPr>
        <w:spacing w:line="480" w:lineRule="exact"/>
        <w:ind w:left="422" w:hanging="422"/>
        <w:jc w:val="center"/>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磋商文件规定的特定资格条件证明资料</w:t>
      </w:r>
    </w:p>
    <w:p w14:paraId="494F44F0">
      <w:pPr>
        <w:adjustRightInd w:val="0"/>
        <w:snapToGrid w:val="0"/>
        <w:ind w:firstLine="630" w:firstLineChars="300"/>
        <w:jc w:val="left"/>
        <w:rPr>
          <w:rFonts w:asciiTheme="minorEastAsia" w:hAnsiTheme="minorEastAsia" w:eastAsiaTheme="minorEastAsia" w:cstheme="minorEastAsia"/>
          <w:kern w:val="0"/>
          <w:szCs w:val="21"/>
          <w:lang w:val="zh-CN"/>
        </w:rPr>
      </w:pPr>
    </w:p>
    <w:p w14:paraId="10DBB09E">
      <w:pPr>
        <w:adjustRightInd w:val="0"/>
        <w:snapToGrid w:val="0"/>
        <w:ind w:hanging="315"/>
        <w:jc w:val="left"/>
        <w:rPr>
          <w:rFonts w:asciiTheme="minorEastAsia" w:hAnsiTheme="minorEastAsia" w:eastAsiaTheme="minorEastAsia" w:cstheme="minorEastAsia"/>
          <w:kern w:val="0"/>
          <w:szCs w:val="21"/>
          <w:lang w:val="zh-CN"/>
        </w:rPr>
      </w:pPr>
      <w:r>
        <w:rPr>
          <w:rFonts w:hint="eastAsia" w:asciiTheme="minorEastAsia" w:hAnsiTheme="minorEastAsia" w:eastAsiaTheme="minorEastAsia" w:cstheme="minorEastAsia"/>
          <w:kern w:val="0"/>
          <w:szCs w:val="21"/>
          <w:lang w:val="zh-CN"/>
        </w:rPr>
        <w:t>备注：提供第二章 磋商须知第3.1款供应商特定资格条件证明资料的复印件。</w:t>
      </w:r>
    </w:p>
    <w:p w14:paraId="3D34E803">
      <w:pPr>
        <w:spacing w:line="480" w:lineRule="exact"/>
        <w:ind w:hanging="315"/>
        <w:rPr>
          <w:rFonts w:ascii="宋体" w:hAnsi="宋体"/>
          <w:szCs w:val="21"/>
        </w:rPr>
      </w:pPr>
    </w:p>
    <w:p w14:paraId="08535E63">
      <w:pPr>
        <w:spacing w:line="480" w:lineRule="exact"/>
        <w:ind w:hanging="315"/>
        <w:rPr>
          <w:rFonts w:ascii="宋体" w:hAnsi="宋体"/>
          <w:szCs w:val="21"/>
        </w:rPr>
      </w:pPr>
    </w:p>
    <w:p w14:paraId="33C22843">
      <w:pPr>
        <w:adjustRightInd w:val="0"/>
        <w:snapToGrid w:val="0"/>
        <w:spacing w:line="360" w:lineRule="auto"/>
        <w:ind w:left="452" w:hanging="452"/>
        <w:rPr>
          <w:rFonts w:ascii="宋体" w:hAnsi="宋体"/>
          <w:b/>
          <w:sz w:val="30"/>
          <w:szCs w:val="30"/>
        </w:rPr>
      </w:pPr>
    </w:p>
    <w:p w14:paraId="36070751">
      <w:pPr>
        <w:adjustRightInd w:val="0"/>
        <w:snapToGrid w:val="0"/>
        <w:spacing w:line="360" w:lineRule="auto"/>
        <w:ind w:left="452" w:hanging="452"/>
        <w:rPr>
          <w:rFonts w:ascii="宋体" w:hAnsi="宋体"/>
          <w:b/>
          <w:sz w:val="30"/>
          <w:szCs w:val="30"/>
        </w:rPr>
      </w:pPr>
    </w:p>
    <w:p w14:paraId="284AB5EE">
      <w:pPr>
        <w:adjustRightInd w:val="0"/>
        <w:snapToGrid w:val="0"/>
        <w:spacing w:line="360" w:lineRule="auto"/>
        <w:ind w:left="452" w:hanging="452"/>
        <w:rPr>
          <w:rFonts w:ascii="宋体" w:hAnsi="宋体"/>
          <w:b/>
          <w:sz w:val="30"/>
          <w:szCs w:val="30"/>
        </w:rPr>
      </w:pPr>
    </w:p>
    <w:p w14:paraId="5433959B">
      <w:pPr>
        <w:adjustRightInd w:val="0"/>
        <w:snapToGrid w:val="0"/>
        <w:spacing w:line="360" w:lineRule="auto"/>
        <w:ind w:left="452" w:hanging="452"/>
        <w:rPr>
          <w:rFonts w:ascii="宋体" w:hAnsi="宋体"/>
          <w:b/>
          <w:sz w:val="30"/>
          <w:szCs w:val="30"/>
        </w:rPr>
      </w:pPr>
    </w:p>
    <w:p w14:paraId="18618D33">
      <w:pPr>
        <w:adjustRightInd w:val="0"/>
        <w:snapToGrid w:val="0"/>
        <w:spacing w:line="360" w:lineRule="auto"/>
        <w:ind w:left="482" w:hanging="482"/>
        <w:jc w:val="center"/>
        <w:rPr>
          <w:rFonts w:ascii="宋体" w:hAnsi="宋体"/>
          <w:b/>
          <w:sz w:val="32"/>
          <w:szCs w:val="32"/>
        </w:rPr>
      </w:pPr>
    </w:p>
    <w:p w14:paraId="62BFB719">
      <w:pPr>
        <w:adjustRightInd w:val="0"/>
        <w:snapToGrid w:val="0"/>
        <w:spacing w:line="360" w:lineRule="auto"/>
        <w:ind w:left="482" w:hanging="482"/>
        <w:jc w:val="center"/>
        <w:rPr>
          <w:rFonts w:ascii="宋体" w:hAnsi="宋体"/>
          <w:b/>
          <w:sz w:val="32"/>
          <w:szCs w:val="32"/>
        </w:rPr>
      </w:pPr>
    </w:p>
    <w:p w14:paraId="324FDD11">
      <w:pPr>
        <w:adjustRightInd w:val="0"/>
        <w:snapToGrid w:val="0"/>
        <w:spacing w:line="360" w:lineRule="auto"/>
        <w:ind w:left="482" w:hanging="482"/>
        <w:jc w:val="center"/>
        <w:rPr>
          <w:rFonts w:ascii="宋体" w:hAnsi="宋体"/>
          <w:b/>
          <w:sz w:val="32"/>
          <w:szCs w:val="32"/>
        </w:rPr>
      </w:pPr>
    </w:p>
    <w:p w14:paraId="1D6B0C32">
      <w:pPr>
        <w:adjustRightInd w:val="0"/>
        <w:snapToGrid w:val="0"/>
        <w:spacing w:line="360" w:lineRule="auto"/>
        <w:ind w:left="482" w:hanging="482"/>
        <w:rPr>
          <w:rFonts w:ascii="宋体" w:hAnsi="宋体"/>
          <w:b/>
          <w:sz w:val="32"/>
          <w:szCs w:val="32"/>
        </w:rPr>
      </w:pPr>
    </w:p>
    <w:p w14:paraId="5B6D2E4C">
      <w:pPr>
        <w:pStyle w:val="90"/>
        <w:ind w:firstLine="643"/>
        <w:rPr>
          <w:rFonts w:ascii="宋体" w:hAnsi="宋体"/>
          <w:b/>
          <w:sz w:val="32"/>
          <w:szCs w:val="32"/>
        </w:rPr>
      </w:pPr>
    </w:p>
    <w:p w14:paraId="23446DC4">
      <w:pPr>
        <w:pStyle w:val="90"/>
        <w:ind w:firstLine="643"/>
        <w:rPr>
          <w:rFonts w:ascii="宋体" w:hAnsi="宋体"/>
          <w:b/>
          <w:sz w:val="32"/>
          <w:szCs w:val="32"/>
        </w:rPr>
      </w:pPr>
    </w:p>
    <w:p w14:paraId="68E09E6A">
      <w:pPr>
        <w:pStyle w:val="90"/>
        <w:ind w:firstLine="643"/>
        <w:rPr>
          <w:rFonts w:ascii="宋体" w:hAnsi="宋体"/>
          <w:b/>
          <w:sz w:val="32"/>
          <w:szCs w:val="32"/>
        </w:rPr>
      </w:pPr>
    </w:p>
    <w:p w14:paraId="6C316FCD">
      <w:pPr>
        <w:adjustRightInd w:val="0"/>
        <w:snapToGrid w:val="0"/>
        <w:ind w:left="422" w:hanging="422"/>
        <w:jc w:val="center"/>
        <w:outlineLvl w:val="0"/>
        <w:rPr>
          <w:rFonts w:asciiTheme="minorEastAsia" w:hAnsiTheme="minorEastAsia" w:eastAsiaTheme="minorEastAsia" w:cstheme="minorEastAsia"/>
          <w:b/>
          <w:sz w:val="32"/>
          <w:szCs w:val="32"/>
        </w:rPr>
      </w:pPr>
      <w:r>
        <w:rPr>
          <w:rFonts w:hint="eastAsia" w:ascii="宋体" w:hAnsi="宋体"/>
          <w:b/>
          <w:bCs/>
          <w:sz w:val="28"/>
          <w:szCs w:val="28"/>
        </w:rPr>
        <w:t>四、</w:t>
      </w:r>
      <w:r>
        <w:rPr>
          <w:rFonts w:hint="eastAsia" w:asciiTheme="minorEastAsia" w:hAnsiTheme="minorEastAsia" w:eastAsiaTheme="minorEastAsia" w:cstheme="minorEastAsia"/>
          <w:b/>
          <w:sz w:val="32"/>
          <w:szCs w:val="32"/>
        </w:rPr>
        <w:t>施工组织设计</w:t>
      </w:r>
    </w:p>
    <w:p w14:paraId="795FBCB4">
      <w:pPr>
        <w:spacing w:line="480" w:lineRule="exact"/>
        <w:ind w:left="422" w:hanging="422"/>
        <w:jc w:val="center"/>
        <w:rPr>
          <w:rFonts w:ascii="宋体" w:hAnsi="宋体"/>
          <w:b/>
          <w:bCs/>
          <w:sz w:val="28"/>
          <w:szCs w:val="28"/>
        </w:rPr>
      </w:pPr>
    </w:p>
    <w:p w14:paraId="60ECAF3B">
      <w:pPr>
        <w:adjustRightInd w:val="0"/>
        <w:snapToGrid w:val="0"/>
        <w:ind w:left="422" w:right="24" w:hanging="422"/>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施工组织设计</w:t>
      </w:r>
    </w:p>
    <w:p w14:paraId="3559FD2D">
      <w:pPr>
        <w:adjustRightInd w:val="0"/>
        <w:snapToGrid w:val="0"/>
        <w:ind w:left="360" w:hanging="360"/>
        <w:rPr>
          <w:rFonts w:asciiTheme="minorEastAsia" w:hAnsiTheme="minorEastAsia" w:eastAsiaTheme="minorEastAsia"/>
          <w:bCs/>
          <w:sz w:val="24"/>
        </w:rPr>
      </w:pPr>
    </w:p>
    <w:p w14:paraId="770755F9">
      <w:pPr>
        <w:adjustRightInd w:val="0"/>
        <w:snapToGrid w:val="0"/>
        <w:spacing w:before="50"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施工组织设计可包括但不限于：</w:t>
      </w:r>
    </w:p>
    <w:p w14:paraId="02F93105">
      <w:pPr>
        <w:adjustRightInd w:val="0"/>
        <w:snapToGrid w:val="0"/>
        <w:spacing w:before="50"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(1)施工方案</w:t>
      </w:r>
      <w:r>
        <w:rPr>
          <w:rFonts w:hint="eastAsia"/>
        </w:rPr>
        <w:t>与技术措施</w:t>
      </w:r>
      <w:r>
        <w:rPr>
          <w:rFonts w:hint="eastAsia" w:asciiTheme="minorEastAsia" w:hAnsiTheme="minorEastAsia" w:eastAsiaTheme="minorEastAsia"/>
          <w:szCs w:val="21"/>
        </w:rPr>
        <w:t>；</w:t>
      </w:r>
    </w:p>
    <w:p w14:paraId="5390235B">
      <w:pPr>
        <w:adjustRightInd w:val="0"/>
        <w:snapToGrid w:val="0"/>
        <w:spacing w:before="50"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hint="eastAsia" w:ascii="宋体" w:hAnsi="宋体" w:cs="宋体"/>
          <w:szCs w:val="21"/>
        </w:rPr>
        <w:t>质量管理体系与措施</w:t>
      </w:r>
      <w:r>
        <w:rPr>
          <w:rFonts w:hint="eastAsia" w:asciiTheme="minorEastAsia" w:hAnsiTheme="minorEastAsia" w:eastAsiaTheme="minorEastAsia"/>
          <w:szCs w:val="21"/>
        </w:rPr>
        <w:t>；</w:t>
      </w:r>
    </w:p>
    <w:p w14:paraId="44B5E291">
      <w:pPr>
        <w:adjustRightInd w:val="0"/>
        <w:snapToGrid w:val="0"/>
        <w:spacing w:before="50"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cs="宋体"/>
          <w:szCs w:val="21"/>
        </w:rPr>
        <w:t>安全管理体系与措施</w:t>
      </w:r>
      <w:r>
        <w:rPr>
          <w:rFonts w:hint="eastAsia" w:asciiTheme="minorEastAsia" w:hAnsiTheme="minorEastAsia" w:eastAsiaTheme="minorEastAsia"/>
          <w:szCs w:val="21"/>
        </w:rPr>
        <w:t>；</w:t>
      </w:r>
    </w:p>
    <w:p w14:paraId="33C9094D">
      <w:pPr>
        <w:adjustRightInd w:val="0"/>
        <w:snapToGrid w:val="0"/>
        <w:spacing w:before="50"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cs="宋体"/>
          <w:kern w:val="0"/>
        </w:rPr>
        <w:t>环境保护体系与措施</w:t>
      </w:r>
      <w:r>
        <w:rPr>
          <w:rFonts w:hint="eastAsia"/>
        </w:rPr>
        <w:t>；</w:t>
      </w:r>
    </w:p>
    <w:p w14:paraId="444592D0">
      <w:pPr>
        <w:adjustRightInd w:val="0"/>
        <w:snapToGrid w:val="0"/>
        <w:spacing w:before="50" w:line="360" w:lineRule="auto"/>
        <w:ind w:firstLine="420" w:firstLineChars="200"/>
        <w:rPr>
          <w:rFonts w:asciiTheme="minorEastAsia" w:hAnsiTheme="minorEastAsia"/>
          <w:szCs w:val="21"/>
        </w:rPr>
      </w:pPr>
      <w:r>
        <w:rPr>
          <w:rFonts w:hint="eastAsia" w:asciiTheme="minorEastAsia" w:hAnsiTheme="minorEastAsia" w:eastAsiaTheme="minorEastAsia"/>
          <w:szCs w:val="21"/>
        </w:rPr>
        <w:t>(5)</w:t>
      </w:r>
      <w:r>
        <w:rPr>
          <w:rFonts w:hint="eastAsia"/>
        </w:rPr>
        <w:t>资源配备计划；</w:t>
      </w:r>
    </w:p>
    <w:p w14:paraId="296991DD">
      <w:pPr>
        <w:adjustRightInd w:val="0"/>
        <w:snapToGrid w:val="0"/>
        <w:spacing w:line="360" w:lineRule="auto"/>
        <w:ind w:left="482" w:hanging="482"/>
        <w:jc w:val="center"/>
        <w:rPr>
          <w:b/>
          <w:bCs/>
          <w:sz w:val="32"/>
          <w:szCs w:val="40"/>
        </w:rPr>
      </w:pPr>
      <w:r>
        <w:rPr>
          <w:rFonts w:hint="eastAsia" w:ascii="宋体" w:hAnsi="宋体"/>
          <w:b/>
          <w:sz w:val="32"/>
          <w:szCs w:val="32"/>
        </w:rPr>
        <w:br w:type="page"/>
      </w:r>
      <w:bookmarkStart w:id="639" w:name="_Toc7254"/>
      <w:r>
        <w:rPr>
          <w:rFonts w:hint="eastAsia"/>
          <w:b/>
          <w:bCs/>
          <w:sz w:val="28"/>
          <w:szCs w:val="28"/>
        </w:rPr>
        <w:t>五、技术/商务响应与偏离表</w:t>
      </w:r>
      <w:bookmarkEnd w:id="639"/>
    </w:p>
    <w:tbl>
      <w:tblPr>
        <w:tblStyle w:val="47"/>
        <w:tblW w:w="95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6"/>
        <w:gridCol w:w="1691"/>
        <w:gridCol w:w="1609"/>
        <w:gridCol w:w="3463"/>
        <w:gridCol w:w="1301"/>
        <w:gridCol w:w="838"/>
      </w:tblGrid>
      <w:tr w14:paraId="3E8F8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947" w:hRule="atLeast"/>
          <w:jc w:val="center"/>
        </w:trPr>
        <w:tc>
          <w:tcPr>
            <w:tcW w:w="636" w:type="dxa"/>
            <w:vAlign w:val="center"/>
          </w:tcPr>
          <w:p w14:paraId="28E1C307">
            <w:pPr>
              <w:adjustRightInd w:val="0"/>
              <w:snapToGrid w:val="0"/>
              <w:ind w:left="227" w:leftChars="-42" w:hanging="315"/>
              <w:jc w:val="center"/>
              <w:rPr>
                <w:rFonts w:ascii="宋体" w:hAnsi="宋体"/>
                <w:bCs/>
                <w:szCs w:val="21"/>
              </w:rPr>
            </w:pPr>
            <w:r>
              <w:rPr>
                <w:rFonts w:hint="eastAsia" w:ascii="宋体" w:hAnsi="宋体"/>
                <w:bCs/>
                <w:szCs w:val="21"/>
              </w:rPr>
              <w:t>序号</w:t>
            </w:r>
          </w:p>
        </w:tc>
        <w:tc>
          <w:tcPr>
            <w:tcW w:w="1691" w:type="dxa"/>
            <w:vAlign w:val="center"/>
          </w:tcPr>
          <w:p w14:paraId="11983070">
            <w:pPr>
              <w:adjustRightInd w:val="0"/>
              <w:snapToGrid w:val="0"/>
              <w:ind w:left="227" w:leftChars="-42" w:hanging="315"/>
              <w:jc w:val="center"/>
              <w:rPr>
                <w:rFonts w:ascii="宋体" w:hAnsi="宋体"/>
                <w:szCs w:val="21"/>
              </w:rPr>
            </w:pPr>
            <w:r>
              <w:rPr>
                <w:rFonts w:hint="eastAsia" w:ascii="宋体" w:hAnsi="宋体"/>
                <w:szCs w:val="21"/>
              </w:rPr>
              <w:t>磋商文件条目号</w:t>
            </w:r>
          </w:p>
        </w:tc>
        <w:tc>
          <w:tcPr>
            <w:tcW w:w="1609" w:type="dxa"/>
            <w:vAlign w:val="center"/>
          </w:tcPr>
          <w:p w14:paraId="3469F47B">
            <w:pPr>
              <w:adjustRightInd w:val="0"/>
              <w:snapToGrid w:val="0"/>
              <w:ind w:hanging="315"/>
              <w:jc w:val="center"/>
              <w:rPr>
                <w:rFonts w:ascii="宋体" w:hAnsi="宋体"/>
                <w:szCs w:val="21"/>
              </w:rPr>
            </w:pPr>
            <w:r>
              <w:rPr>
                <w:rFonts w:hint="eastAsia" w:ascii="宋体" w:hAnsi="宋体"/>
                <w:szCs w:val="21"/>
              </w:rPr>
              <w:t>采购规格/技术（商务）条款</w:t>
            </w:r>
          </w:p>
        </w:tc>
        <w:tc>
          <w:tcPr>
            <w:tcW w:w="3463" w:type="dxa"/>
            <w:vAlign w:val="center"/>
          </w:tcPr>
          <w:p w14:paraId="5DBED3D3">
            <w:pPr>
              <w:adjustRightInd w:val="0"/>
              <w:snapToGrid w:val="0"/>
              <w:ind w:hanging="315"/>
              <w:jc w:val="center"/>
              <w:rPr>
                <w:rFonts w:ascii="宋体" w:hAnsi="宋体"/>
                <w:szCs w:val="21"/>
              </w:rPr>
            </w:pPr>
            <w:r>
              <w:rPr>
                <w:rFonts w:hint="eastAsia" w:ascii="宋体" w:hAnsi="宋体"/>
                <w:szCs w:val="21"/>
              </w:rPr>
              <w:t>响应文件的规格/技术（商务）条款</w:t>
            </w:r>
          </w:p>
        </w:tc>
        <w:tc>
          <w:tcPr>
            <w:tcW w:w="1301" w:type="dxa"/>
            <w:vAlign w:val="center"/>
          </w:tcPr>
          <w:p w14:paraId="21EC9F46">
            <w:pPr>
              <w:adjustRightInd w:val="0"/>
              <w:snapToGrid w:val="0"/>
              <w:ind w:left="227" w:leftChars="-42" w:hanging="315"/>
              <w:jc w:val="center"/>
              <w:rPr>
                <w:rFonts w:ascii="宋体" w:hAnsi="宋体"/>
                <w:szCs w:val="21"/>
              </w:rPr>
            </w:pPr>
            <w:r>
              <w:rPr>
                <w:rFonts w:hint="eastAsia" w:ascii="宋体" w:hAnsi="宋体"/>
                <w:szCs w:val="21"/>
              </w:rPr>
              <w:t>响应与偏离</w:t>
            </w:r>
          </w:p>
        </w:tc>
        <w:tc>
          <w:tcPr>
            <w:tcW w:w="838" w:type="dxa"/>
            <w:vAlign w:val="center"/>
          </w:tcPr>
          <w:p w14:paraId="21EE39C9">
            <w:pPr>
              <w:adjustRightInd w:val="0"/>
              <w:snapToGrid w:val="0"/>
              <w:ind w:left="227" w:leftChars="-42" w:hanging="315"/>
              <w:jc w:val="center"/>
              <w:rPr>
                <w:rFonts w:ascii="宋体" w:hAnsi="宋体"/>
                <w:szCs w:val="21"/>
              </w:rPr>
            </w:pPr>
            <w:r>
              <w:rPr>
                <w:rFonts w:hint="eastAsia" w:ascii="宋体" w:hAnsi="宋体"/>
                <w:szCs w:val="21"/>
              </w:rPr>
              <w:t>说明</w:t>
            </w:r>
          </w:p>
        </w:tc>
      </w:tr>
      <w:tr w14:paraId="13438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858" w:hRule="atLeast"/>
          <w:jc w:val="center"/>
        </w:trPr>
        <w:tc>
          <w:tcPr>
            <w:tcW w:w="636" w:type="dxa"/>
          </w:tcPr>
          <w:p w14:paraId="3ECA1DFB">
            <w:pPr>
              <w:adjustRightInd w:val="0"/>
              <w:snapToGrid w:val="0"/>
              <w:ind w:left="227" w:leftChars="-42" w:hanging="315"/>
              <w:jc w:val="center"/>
              <w:rPr>
                <w:rFonts w:ascii="宋体" w:hAnsi="宋体"/>
                <w:szCs w:val="21"/>
              </w:rPr>
            </w:pPr>
          </w:p>
        </w:tc>
        <w:tc>
          <w:tcPr>
            <w:tcW w:w="1691" w:type="dxa"/>
            <w:vAlign w:val="center"/>
          </w:tcPr>
          <w:p w14:paraId="7894E838">
            <w:pPr>
              <w:adjustRightInd w:val="0"/>
              <w:snapToGrid w:val="0"/>
              <w:ind w:left="227" w:leftChars="-42" w:hanging="315"/>
              <w:jc w:val="center"/>
              <w:rPr>
                <w:rFonts w:ascii="宋体" w:hAnsi="宋体"/>
                <w:szCs w:val="21"/>
              </w:rPr>
            </w:pPr>
          </w:p>
        </w:tc>
        <w:tc>
          <w:tcPr>
            <w:tcW w:w="1609" w:type="dxa"/>
            <w:vAlign w:val="center"/>
          </w:tcPr>
          <w:p w14:paraId="43E2EF0A">
            <w:pPr>
              <w:adjustRightInd w:val="0"/>
              <w:snapToGrid w:val="0"/>
              <w:ind w:left="227" w:leftChars="-42" w:hanging="315"/>
              <w:jc w:val="center"/>
              <w:rPr>
                <w:rFonts w:ascii="宋体" w:hAnsi="宋体"/>
                <w:szCs w:val="21"/>
              </w:rPr>
            </w:pPr>
          </w:p>
        </w:tc>
        <w:tc>
          <w:tcPr>
            <w:tcW w:w="3463" w:type="dxa"/>
            <w:vAlign w:val="center"/>
          </w:tcPr>
          <w:p w14:paraId="781545CA">
            <w:pPr>
              <w:adjustRightInd w:val="0"/>
              <w:snapToGrid w:val="0"/>
              <w:ind w:left="227" w:leftChars="-42" w:hanging="315"/>
              <w:jc w:val="center"/>
              <w:rPr>
                <w:rFonts w:ascii="宋体" w:hAnsi="宋体"/>
                <w:szCs w:val="21"/>
              </w:rPr>
            </w:pPr>
          </w:p>
        </w:tc>
        <w:tc>
          <w:tcPr>
            <w:tcW w:w="1301" w:type="dxa"/>
            <w:vAlign w:val="center"/>
          </w:tcPr>
          <w:p w14:paraId="257DD8EC">
            <w:pPr>
              <w:adjustRightInd w:val="0"/>
              <w:snapToGrid w:val="0"/>
              <w:ind w:left="227" w:leftChars="-42" w:hanging="315"/>
              <w:jc w:val="center"/>
              <w:rPr>
                <w:rFonts w:ascii="宋体" w:hAnsi="宋体"/>
                <w:szCs w:val="21"/>
              </w:rPr>
            </w:pPr>
          </w:p>
        </w:tc>
        <w:tc>
          <w:tcPr>
            <w:tcW w:w="838" w:type="dxa"/>
            <w:vAlign w:val="center"/>
          </w:tcPr>
          <w:p w14:paraId="3A557114">
            <w:pPr>
              <w:adjustRightInd w:val="0"/>
              <w:snapToGrid w:val="0"/>
              <w:ind w:left="227" w:leftChars="-42" w:hanging="315"/>
              <w:jc w:val="center"/>
              <w:rPr>
                <w:rFonts w:ascii="宋体" w:hAnsi="宋体"/>
                <w:szCs w:val="21"/>
              </w:rPr>
            </w:pPr>
          </w:p>
        </w:tc>
      </w:tr>
      <w:tr w14:paraId="3C4641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858" w:hRule="atLeast"/>
          <w:jc w:val="center"/>
        </w:trPr>
        <w:tc>
          <w:tcPr>
            <w:tcW w:w="636" w:type="dxa"/>
          </w:tcPr>
          <w:p w14:paraId="61AC6E3C">
            <w:pPr>
              <w:adjustRightInd w:val="0"/>
              <w:snapToGrid w:val="0"/>
              <w:ind w:left="227" w:leftChars="-42" w:hanging="315"/>
              <w:jc w:val="center"/>
              <w:rPr>
                <w:rFonts w:ascii="宋体" w:hAnsi="宋体"/>
                <w:szCs w:val="21"/>
              </w:rPr>
            </w:pPr>
          </w:p>
        </w:tc>
        <w:tc>
          <w:tcPr>
            <w:tcW w:w="1691" w:type="dxa"/>
            <w:vAlign w:val="center"/>
          </w:tcPr>
          <w:p w14:paraId="47FAF5CF">
            <w:pPr>
              <w:adjustRightInd w:val="0"/>
              <w:snapToGrid w:val="0"/>
              <w:ind w:left="227" w:leftChars="-42" w:hanging="315"/>
              <w:jc w:val="center"/>
              <w:rPr>
                <w:rFonts w:ascii="宋体" w:hAnsi="宋体"/>
                <w:szCs w:val="21"/>
              </w:rPr>
            </w:pPr>
          </w:p>
        </w:tc>
        <w:tc>
          <w:tcPr>
            <w:tcW w:w="1609" w:type="dxa"/>
            <w:vAlign w:val="center"/>
          </w:tcPr>
          <w:p w14:paraId="1F523FB9">
            <w:pPr>
              <w:adjustRightInd w:val="0"/>
              <w:snapToGrid w:val="0"/>
              <w:ind w:left="227" w:leftChars="-42" w:hanging="315"/>
              <w:jc w:val="center"/>
              <w:rPr>
                <w:rFonts w:ascii="宋体" w:hAnsi="宋体"/>
                <w:szCs w:val="21"/>
              </w:rPr>
            </w:pPr>
          </w:p>
        </w:tc>
        <w:tc>
          <w:tcPr>
            <w:tcW w:w="3463" w:type="dxa"/>
            <w:vAlign w:val="center"/>
          </w:tcPr>
          <w:p w14:paraId="18983DF8">
            <w:pPr>
              <w:adjustRightInd w:val="0"/>
              <w:snapToGrid w:val="0"/>
              <w:ind w:left="227" w:leftChars="-42" w:hanging="315"/>
              <w:jc w:val="center"/>
              <w:rPr>
                <w:rFonts w:ascii="宋体" w:hAnsi="宋体"/>
                <w:szCs w:val="21"/>
              </w:rPr>
            </w:pPr>
          </w:p>
        </w:tc>
        <w:tc>
          <w:tcPr>
            <w:tcW w:w="1301" w:type="dxa"/>
            <w:vAlign w:val="center"/>
          </w:tcPr>
          <w:p w14:paraId="0E8C350E">
            <w:pPr>
              <w:adjustRightInd w:val="0"/>
              <w:snapToGrid w:val="0"/>
              <w:ind w:left="227" w:leftChars="-42" w:hanging="315"/>
              <w:jc w:val="center"/>
              <w:rPr>
                <w:rFonts w:ascii="宋体" w:hAnsi="宋体"/>
                <w:szCs w:val="21"/>
              </w:rPr>
            </w:pPr>
          </w:p>
        </w:tc>
        <w:tc>
          <w:tcPr>
            <w:tcW w:w="838" w:type="dxa"/>
            <w:vAlign w:val="center"/>
          </w:tcPr>
          <w:p w14:paraId="3473D5E4">
            <w:pPr>
              <w:adjustRightInd w:val="0"/>
              <w:snapToGrid w:val="0"/>
              <w:ind w:left="227" w:leftChars="-42" w:hanging="315"/>
              <w:jc w:val="center"/>
              <w:rPr>
                <w:rFonts w:ascii="宋体" w:hAnsi="宋体"/>
                <w:szCs w:val="21"/>
              </w:rPr>
            </w:pPr>
          </w:p>
        </w:tc>
      </w:tr>
      <w:tr w14:paraId="6C9FDB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858" w:hRule="atLeast"/>
          <w:jc w:val="center"/>
        </w:trPr>
        <w:tc>
          <w:tcPr>
            <w:tcW w:w="636" w:type="dxa"/>
          </w:tcPr>
          <w:p w14:paraId="06C062D3">
            <w:pPr>
              <w:adjustRightInd w:val="0"/>
              <w:snapToGrid w:val="0"/>
              <w:ind w:left="227" w:leftChars="-42" w:hanging="315"/>
              <w:jc w:val="center"/>
              <w:rPr>
                <w:rFonts w:ascii="宋体" w:hAnsi="宋体"/>
                <w:szCs w:val="21"/>
              </w:rPr>
            </w:pPr>
          </w:p>
        </w:tc>
        <w:tc>
          <w:tcPr>
            <w:tcW w:w="1691" w:type="dxa"/>
            <w:vAlign w:val="center"/>
          </w:tcPr>
          <w:p w14:paraId="4D3B77FA">
            <w:pPr>
              <w:adjustRightInd w:val="0"/>
              <w:snapToGrid w:val="0"/>
              <w:ind w:left="227" w:leftChars="-42" w:hanging="315"/>
              <w:jc w:val="center"/>
              <w:rPr>
                <w:rFonts w:ascii="宋体" w:hAnsi="宋体"/>
                <w:szCs w:val="21"/>
              </w:rPr>
            </w:pPr>
          </w:p>
        </w:tc>
        <w:tc>
          <w:tcPr>
            <w:tcW w:w="1609" w:type="dxa"/>
            <w:vAlign w:val="center"/>
          </w:tcPr>
          <w:p w14:paraId="0EA70DC6">
            <w:pPr>
              <w:adjustRightInd w:val="0"/>
              <w:snapToGrid w:val="0"/>
              <w:ind w:left="227" w:leftChars="-42" w:hanging="315"/>
              <w:jc w:val="center"/>
              <w:rPr>
                <w:rFonts w:ascii="宋体" w:hAnsi="宋体"/>
                <w:szCs w:val="21"/>
              </w:rPr>
            </w:pPr>
          </w:p>
        </w:tc>
        <w:tc>
          <w:tcPr>
            <w:tcW w:w="3463" w:type="dxa"/>
            <w:vAlign w:val="center"/>
          </w:tcPr>
          <w:p w14:paraId="6702A90F">
            <w:pPr>
              <w:adjustRightInd w:val="0"/>
              <w:snapToGrid w:val="0"/>
              <w:ind w:left="227" w:leftChars="-42" w:hanging="315"/>
              <w:jc w:val="center"/>
              <w:rPr>
                <w:rFonts w:ascii="宋体" w:hAnsi="宋体"/>
                <w:szCs w:val="21"/>
              </w:rPr>
            </w:pPr>
          </w:p>
        </w:tc>
        <w:tc>
          <w:tcPr>
            <w:tcW w:w="1301" w:type="dxa"/>
            <w:vAlign w:val="center"/>
          </w:tcPr>
          <w:p w14:paraId="111908F3">
            <w:pPr>
              <w:adjustRightInd w:val="0"/>
              <w:snapToGrid w:val="0"/>
              <w:ind w:left="227" w:leftChars="-42" w:hanging="315"/>
              <w:jc w:val="center"/>
              <w:rPr>
                <w:rFonts w:ascii="宋体" w:hAnsi="宋体"/>
                <w:szCs w:val="21"/>
              </w:rPr>
            </w:pPr>
          </w:p>
        </w:tc>
        <w:tc>
          <w:tcPr>
            <w:tcW w:w="838" w:type="dxa"/>
            <w:vAlign w:val="center"/>
          </w:tcPr>
          <w:p w14:paraId="6C289B68">
            <w:pPr>
              <w:adjustRightInd w:val="0"/>
              <w:snapToGrid w:val="0"/>
              <w:ind w:left="227" w:leftChars="-42" w:hanging="315"/>
              <w:jc w:val="center"/>
              <w:rPr>
                <w:rFonts w:ascii="宋体" w:hAnsi="宋体"/>
                <w:szCs w:val="21"/>
              </w:rPr>
            </w:pPr>
          </w:p>
        </w:tc>
      </w:tr>
      <w:tr w14:paraId="747E1A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858" w:hRule="atLeast"/>
          <w:jc w:val="center"/>
        </w:trPr>
        <w:tc>
          <w:tcPr>
            <w:tcW w:w="636" w:type="dxa"/>
          </w:tcPr>
          <w:p w14:paraId="36019BCB">
            <w:pPr>
              <w:adjustRightInd w:val="0"/>
              <w:snapToGrid w:val="0"/>
              <w:ind w:left="227" w:leftChars="-42" w:hanging="315"/>
              <w:jc w:val="center"/>
              <w:rPr>
                <w:rFonts w:ascii="宋体" w:hAnsi="宋体"/>
                <w:szCs w:val="21"/>
              </w:rPr>
            </w:pPr>
          </w:p>
        </w:tc>
        <w:tc>
          <w:tcPr>
            <w:tcW w:w="1691" w:type="dxa"/>
            <w:vAlign w:val="center"/>
          </w:tcPr>
          <w:p w14:paraId="5D8EDACF">
            <w:pPr>
              <w:adjustRightInd w:val="0"/>
              <w:snapToGrid w:val="0"/>
              <w:ind w:left="227" w:leftChars="-42" w:hanging="315"/>
              <w:jc w:val="center"/>
              <w:rPr>
                <w:rFonts w:ascii="宋体" w:hAnsi="宋体"/>
                <w:szCs w:val="21"/>
              </w:rPr>
            </w:pPr>
          </w:p>
        </w:tc>
        <w:tc>
          <w:tcPr>
            <w:tcW w:w="1609" w:type="dxa"/>
            <w:vAlign w:val="center"/>
          </w:tcPr>
          <w:p w14:paraId="531BA31B">
            <w:pPr>
              <w:adjustRightInd w:val="0"/>
              <w:snapToGrid w:val="0"/>
              <w:ind w:left="227" w:leftChars="-42" w:hanging="315"/>
              <w:jc w:val="center"/>
              <w:rPr>
                <w:rFonts w:ascii="宋体" w:hAnsi="宋体"/>
                <w:szCs w:val="21"/>
              </w:rPr>
            </w:pPr>
          </w:p>
        </w:tc>
        <w:tc>
          <w:tcPr>
            <w:tcW w:w="3463" w:type="dxa"/>
            <w:vAlign w:val="center"/>
          </w:tcPr>
          <w:p w14:paraId="7498FDAB">
            <w:pPr>
              <w:adjustRightInd w:val="0"/>
              <w:snapToGrid w:val="0"/>
              <w:ind w:left="227" w:leftChars="-42" w:hanging="315"/>
              <w:jc w:val="center"/>
              <w:rPr>
                <w:rFonts w:ascii="宋体" w:hAnsi="宋体"/>
                <w:szCs w:val="21"/>
              </w:rPr>
            </w:pPr>
          </w:p>
        </w:tc>
        <w:tc>
          <w:tcPr>
            <w:tcW w:w="1301" w:type="dxa"/>
            <w:vAlign w:val="center"/>
          </w:tcPr>
          <w:p w14:paraId="6F1C2FAA">
            <w:pPr>
              <w:adjustRightInd w:val="0"/>
              <w:snapToGrid w:val="0"/>
              <w:ind w:left="227" w:leftChars="-42" w:hanging="315"/>
              <w:jc w:val="center"/>
              <w:rPr>
                <w:rFonts w:ascii="宋体" w:hAnsi="宋体"/>
                <w:szCs w:val="21"/>
              </w:rPr>
            </w:pPr>
          </w:p>
        </w:tc>
        <w:tc>
          <w:tcPr>
            <w:tcW w:w="838" w:type="dxa"/>
            <w:vAlign w:val="center"/>
          </w:tcPr>
          <w:p w14:paraId="2A4E4F93">
            <w:pPr>
              <w:adjustRightInd w:val="0"/>
              <w:snapToGrid w:val="0"/>
              <w:ind w:left="227" w:leftChars="-42" w:hanging="315"/>
              <w:jc w:val="center"/>
              <w:rPr>
                <w:rFonts w:ascii="宋体" w:hAnsi="宋体"/>
                <w:szCs w:val="21"/>
              </w:rPr>
            </w:pPr>
          </w:p>
        </w:tc>
      </w:tr>
      <w:tr w14:paraId="6AD52C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907" w:hRule="atLeast"/>
          <w:jc w:val="center"/>
        </w:trPr>
        <w:tc>
          <w:tcPr>
            <w:tcW w:w="636" w:type="dxa"/>
          </w:tcPr>
          <w:p w14:paraId="09FFB900">
            <w:pPr>
              <w:adjustRightInd w:val="0"/>
              <w:snapToGrid w:val="0"/>
              <w:ind w:left="227" w:leftChars="-42" w:hanging="315"/>
              <w:jc w:val="center"/>
              <w:rPr>
                <w:rFonts w:ascii="宋体" w:hAnsi="宋体"/>
                <w:szCs w:val="21"/>
              </w:rPr>
            </w:pPr>
          </w:p>
        </w:tc>
        <w:tc>
          <w:tcPr>
            <w:tcW w:w="1691" w:type="dxa"/>
            <w:vAlign w:val="center"/>
          </w:tcPr>
          <w:p w14:paraId="1579BAFE">
            <w:pPr>
              <w:adjustRightInd w:val="0"/>
              <w:snapToGrid w:val="0"/>
              <w:ind w:left="227" w:leftChars="-42" w:hanging="315"/>
              <w:jc w:val="center"/>
              <w:rPr>
                <w:rFonts w:ascii="宋体" w:hAnsi="宋体"/>
                <w:szCs w:val="21"/>
              </w:rPr>
            </w:pPr>
          </w:p>
        </w:tc>
        <w:tc>
          <w:tcPr>
            <w:tcW w:w="1609" w:type="dxa"/>
            <w:vAlign w:val="center"/>
          </w:tcPr>
          <w:p w14:paraId="3189029C">
            <w:pPr>
              <w:adjustRightInd w:val="0"/>
              <w:snapToGrid w:val="0"/>
              <w:ind w:left="227" w:leftChars="-42" w:hanging="315"/>
              <w:jc w:val="center"/>
              <w:rPr>
                <w:rFonts w:ascii="宋体" w:hAnsi="宋体"/>
                <w:szCs w:val="21"/>
              </w:rPr>
            </w:pPr>
          </w:p>
        </w:tc>
        <w:tc>
          <w:tcPr>
            <w:tcW w:w="3463" w:type="dxa"/>
            <w:vAlign w:val="center"/>
          </w:tcPr>
          <w:p w14:paraId="1E415E80">
            <w:pPr>
              <w:adjustRightInd w:val="0"/>
              <w:snapToGrid w:val="0"/>
              <w:ind w:left="227" w:leftChars="-42" w:hanging="315"/>
              <w:jc w:val="center"/>
              <w:rPr>
                <w:rFonts w:ascii="宋体" w:hAnsi="宋体"/>
                <w:szCs w:val="21"/>
              </w:rPr>
            </w:pPr>
          </w:p>
        </w:tc>
        <w:tc>
          <w:tcPr>
            <w:tcW w:w="1301" w:type="dxa"/>
            <w:vAlign w:val="center"/>
          </w:tcPr>
          <w:p w14:paraId="586349A9">
            <w:pPr>
              <w:adjustRightInd w:val="0"/>
              <w:snapToGrid w:val="0"/>
              <w:ind w:left="227" w:leftChars="-42" w:hanging="315"/>
              <w:jc w:val="center"/>
              <w:rPr>
                <w:rFonts w:ascii="宋体" w:hAnsi="宋体"/>
                <w:szCs w:val="21"/>
              </w:rPr>
            </w:pPr>
          </w:p>
        </w:tc>
        <w:tc>
          <w:tcPr>
            <w:tcW w:w="838" w:type="dxa"/>
            <w:vAlign w:val="center"/>
          </w:tcPr>
          <w:p w14:paraId="44B02B10">
            <w:pPr>
              <w:adjustRightInd w:val="0"/>
              <w:snapToGrid w:val="0"/>
              <w:ind w:left="227" w:leftChars="-42" w:hanging="315"/>
              <w:jc w:val="center"/>
              <w:rPr>
                <w:rFonts w:ascii="宋体" w:hAnsi="宋体"/>
                <w:szCs w:val="21"/>
              </w:rPr>
            </w:pPr>
          </w:p>
        </w:tc>
      </w:tr>
    </w:tbl>
    <w:p w14:paraId="5D13F63A">
      <w:pPr>
        <w:adjustRightInd w:val="0"/>
        <w:snapToGrid w:val="0"/>
        <w:spacing w:line="360" w:lineRule="auto"/>
        <w:ind w:left="227" w:leftChars="-42" w:hanging="315"/>
        <w:rPr>
          <w:rFonts w:ascii="宋体" w:hAnsi="宋体"/>
          <w:szCs w:val="21"/>
        </w:rPr>
      </w:pPr>
    </w:p>
    <w:p w14:paraId="09AC7434">
      <w:pPr>
        <w:adjustRightInd w:val="0"/>
        <w:snapToGrid w:val="0"/>
        <w:spacing w:line="360" w:lineRule="auto"/>
        <w:ind w:left="227" w:leftChars="-42" w:hanging="315"/>
        <w:rPr>
          <w:rFonts w:ascii="宋体" w:hAnsi="宋体"/>
          <w:szCs w:val="21"/>
        </w:rPr>
      </w:pPr>
      <w:r>
        <w:rPr>
          <w:rFonts w:hint="eastAsia" w:ascii="宋体" w:hAnsi="宋体"/>
          <w:szCs w:val="21"/>
        </w:rPr>
        <w:t>说明：1、“响应与偏离”应注明“响应”或“偏离”。</w:t>
      </w:r>
    </w:p>
    <w:p w14:paraId="63CCDDF7">
      <w:pPr>
        <w:adjustRightInd w:val="0"/>
        <w:snapToGrid w:val="0"/>
        <w:spacing w:line="360" w:lineRule="auto"/>
        <w:ind w:left="316" w:hanging="316"/>
        <w:rPr>
          <w:rFonts w:ascii="宋体" w:hAnsi="宋体"/>
          <w:szCs w:val="21"/>
        </w:rPr>
      </w:pPr>
      <w:r>
        <w:rPr>
          <w:rFonts w:hint="eastAsia" w:ascii="宋体" w:hAnsi="宋体"/>
          <w:b/>
          <w:szCs w:val="21"/>
        </w:rPr>
        <w:t xml:space="preserve">     </w:t>
      </w:r>
      <w:r>
        <w:rPr>
          <w:rFonts w:hint="eastAsia" w:ascii="宋体" w:hAnsi="宋体"/>
          <w:szCs w:val="21"/>
        </w:rPr>
        <w:t>2、属磋商文件规定可能变动的内容在“说明”栏中注明。</w:t>
      </w:r>
    </w:p>
    <w:p w14:paraId="5862A62F">
      <w:pPr>
        <w:pStyle w:val="25"/>
        <w:ind w:hanging="315"/>
      </w:pPr>
    </w:p>
    <w:p w14:paraId="200B76C8">
      <w:pPr>
        <w:spacing w:line="360" w:lineRule="auto"/>
        <w:ind w:hanging="315"/>
      </w:pPr>
    </w:p>
    <w:p w14:paraId="227D781C">
      <w:pPr>
        <w:spacing w:line="360" w:lineRule="auto"/>
        <w:ind w:hanging="315"/>
      </w:pPr>
    </w:p>
    <w:p w14:paraId="4F01C262">
      <w:pPr>
        <w:spacing w:line="360" w:lineRule="auto"/>
        <w:ind w:hanging="315"/>
        <w:rPr>
          <w:u w:val="single"/>
        </w:rPr>
      </w:pPr>
      <w:r>
        <w:rPr>
          <w:rFonts w:hint="eastAsia"/>
        </w:rPr>
        <w:t>供应商名称：</w:t>
      </w:r>
      <w:r>
        <w:rPr>
          <w:rFonts w:ascii="宋体" w:hAnsi="宋体"/>
          <w:szCs w:val="21"/>
        </w:rPr>
        <w:t xml:space="preserve"> </w:t>
      </w:r>
      <w:r>
        <w:rPr>
          <w:rFonts w:hint="eastAsia" w:ascii="宋体" w:hAnsi="宋体" w:cs="宋体"/>
          <w:szCs w:val="21"/>
          <w:u w:val="single"/>
        </w:rPr>
        <w:t xml:space="preserve">                      。</w:t>
      </w:r>
      <w:r>
        <w:rPr>
          <w:rFonts w:hint="eastAsia"/>
          <w:u w:val="single"/>
        </w:rPr>
        <w:t xml:space="preserve">                   </w:t>
      </w:r>
    </w:p>
    <w:p w14:paraId="0613817F">
      <w:pPr>
        <w:spacing w:line="360" w:lineRule="auto"/>
        <w:ind w:hanging="315"/>
        <w:rPr>
          <w:u w:val="single"/>
        </w:rPr>
      </w:pPr>
      <w:r>
        <w:rPr>
          <w:rFonts w:hint="eastAsia" w:ascii="新宋体" w:hAnsi="新宋体" w:eastAsia="新宋体" w:cs="新宋体"/>
          <w:kern w:val="0"/>
          <w:szCs w:val="21"/>
        </w:rPr>
        <w:t>法定代表人</w:t>
      </w:r>
      <w:r>
        <w:rPr>
          <w:rFonts w:hint="eastAsia"/>
        </w:rPr>
        <w:t>或其委托代理人(签字)：</w:t>
      </w:r>
      <w:r>
        <w:rPr>
          <w:rFonts w:ascii="宋体" w:hAnsi="宋体"/>
          <w:szCs w:val="21"/>
        </w:rPr>
        <w:t xml:space="preserve"> </w:t>
      </w:r>
      <w:r>
        <w:rPr>
          <w:rFonts w:hint="eastAsia" w:ascii="宋体" w:hAnsi="宋体" w:cs="宋体"/>
          <w:szCs w:val="21"/>
          <w:u w:val="single"/>
        </w:rPr>
        <w:t xml:space="preserve">                      。</w:t>
      </w:r>
      <w:r>
        <w:rPr>
          <w:rFonts w:hint="eastAsia"/>
          <w:u w:val="single"/>
        </w:rPr>
        <w:t xml:space="preserve">                   </w:t>
      </w:r>
    </w:p>
    <w:p w14:paraId="4582C6B6">
      <w:pPr>
        <w:spacing w:line="360" w:lineRule="auto"/>
        <w:ind w:hanging="315"/>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795D20F4">
      <w:pPr>
        <w:adjustRightInd w:val="0"/>
        <w:snapToGrid w:val="0"/>
        <w:ind w:left="420" w:hanging="420"/>
        <w:rPr>
          <w:rFonts w:ascii="宋体" w:hAnsi="宋体"/>
          <w:bCs/>
          <w:sz w:val="28"/>
          <w:szCs w:val="28"/>
        </w:rPr>
      </w:pPr>
    </w:p>
    <w:p w14:paraId="40FB31B1">
      <w:pPr>
        <w:adjustRightInd w:val="0"/>
        <w:snapToGrid w:val="0"/>
        <w:ind w:left="420" w:hanging="420"/>
        <w:rPr>
          <w:rFonts w:ascii="宋体" w:hAnsi="宋体"/>
          <w:bCs/>
          <w:sz w:val="28"/>
          <w:szCs w:val="28"/>
        </w:rPr>
      </w:pPr>
    </w:p>
    <w:p w14:paraId="6780397F">
      <w:pPr>
        <w:adjustRightInd w:val="0"/>
        <w:snapToGrid w:val="0"/>
        <w:ind w:hanging="315"/>
        <w:rPr>
          <w:rFonts w:ascii="宋体" w:hAnsi="宋体"/>
          <w:szCs w:val="21"/>
        </w:rPr>
      </w:pPr>
    </w:p>
    <w:p w14:paraId="055A5F17">
      <w:pPr>
        <w:adjustRightInd w:val="0"/>
        <w:snapToGrid w:val="0"/>
        <w:ind w:hanging="315"/>
        <w:rPr>
          <w:rFonts w:ascii="宋体" w:hAnsi="宋体"/>
          <w:szCs w:val="21"/>
        </w:rPr>
      </w:pPr>
    </w:p>
    <w:p w14:paraId="1A590A58">
      <w:pPr>
        <w:adjustRightInd w:val="0"/>
        <w:snapToGrid w:val="0"/>
        <w:ind w:hanging="315"/>
        <w:rPr>
          <w:rFonts w:ascii="宋体" w:hAnsi="宋体"/>
          <w:szCs w:val="21"/>
        </w:rPr>
      </w:pPr>
    </w:p>
    <w:p w14:paraId="5C3DD937">
      <w:pPr>
        <w:adjustRightInd w:val="0"/>
        <w:snapToGrid w:val="0"/>
        <w:ind w:hanging="315"/>
        <w:rPr>
          <w:rFonts w:ascii="宋体" w:hAnsi="宋体"/>
          <w:szCs w:val="21"/>
        </w:rPr>
      </w:pPr>
    </w:p>
    <w:p w14:paraId="080D1277">
      <w:pPr>
        <w:adjustRightInd w:val="0"/>
        <w:snapToGrid w:val="0"/>
        <w:ind w:hanging="315"/>
        <w:rPr>
          <w:rFonts w:ascii="宋体" w:hAnsi="宋体"/>
          <w:szCs w:val="21"/>
        </w:rPr>
      </w:pPr>
    </w:p>
    <w:p w14:paraId="5D7394A0">
      <w:pPr>
        <w:adjustRightInd w:val="0"/>
        <w:snapToGrid w:val="0"/>
        <w:ind w:hanging="315"/>
        <w:rPr>
          <w:rFonts w:ascii="宋体" w:hAnsi="宋体"/>
          <w:szCs w:val="21"/>
        </w:rPr>
      </w:pPr>
    </w:p>
    <w:p w14:paraId="5BEB8C40">
      <w:pPr>
        <w:adjustRightInd w:val="0"/>
        <w:snapToGrid w:val="0"/>
        <w:ind w:hanging="315"/>
        <w:rPr>
          <w:rFonts w:ascii="宋体" w:hAnsi="宋体"/>
          <w:szCs w:val="21"/>
        </w:rPr>
      </w:pPr>
    </w:p>
    <w:p w14:paraId="1BBC8AF5">
      <w:pPr>
        <w:adjustRightInd w:val="0"/>
        <w:snapToGrid w:val="0"/>
        <w:ind w:hanging="315"/>
        <w:rPr>
          <w:rFonts w:ascii="宋体" w:hAnsi="宋体"/>
          <w:szCs w:val="21"/>
        </w:rPr>
      </w:pPr>
    </w:p>
    <w:p w14:paraId="42720E67">
      <w:pPr>
        <w:adjustRightInd w:val="0"/>
        <w:snapToGrid w:val="0"/>
        <w:ind w:hanging="315"/>
        <w:rPr>
          <w:rFonts w:ascii="宋体" w:hAnsi="宋体"/>
          <w:szCs w:val="21"/>
        </w:rPr>
      </w:pPr>
    </w:p>
    <w:p w14:paraId="30EE5CAC">
      <w:pPr>
        <w:adjustRightInd w:val="0"/>
        <w:snapToGrid w:val="0"/>
        <w:ind w:hanging="315"/>
        <w:rPr>
          <w:rFonts w:ascii="宋体" w:hAnsi="宋体"/>
          <w:szCs w:val="21"/>
        </w:rPr>
      </w:pPr>
    </w:p>
    <w:p w14:paraId="2928B5CE">
      <w:pPr>
        <w:spacing w:line="360" w:lineRule="exact"/>
        <w:ind w:hanging="315"/>
        <w:rPr>
          <w:rFonts w:ascii="宋体" w:hAnsi="宋体"/>
          <w:szCs w:val="21"/>
        </w:rPr>
      </w:pPr>
    </w:p>
    <w:p w14:paraId="59846DAB">
      <w:pPr>
        <w:tabs>
          <w:tab w:val="left" w:pos="3600"/>
        </w:tabs>
        <w:adjustRightInd w:val="0"/>
        <w:snapToGrid w:val="0"/>
        <w:ind w:left="452" w:hanging="452"/>
        <w:jc w:val="center"/>
        <w:rPr>
          <w:rFonts w:ascii="宋体" w:hAnsi="宋体"/>
          <w:b/>
          <w:sz w:val="28"/>
          <w:szCs w:val="28"/>
        </w:rPr>
      </w:pPr>
      <w:r>
        <w:rPr>
          <w:rFonts w:hint="eastAsia" w:ascii="宋体" w:hAnsi="宋体"/>
          <w:b/>
          <w:sz w:val="30"/>
          <w:szCs w:val="30"/>
        </w:rPr>
        <w:br w:type="page"/>
      </w:r>
      <w:r>
        <w:rPr>
          <w:rFonts w:hint="eastAsia" w:ascii="宋体" w:hAnsi="宋体"/>
          <w:b/>
          <w:sz w:val="28"/>
          <w:szCs w:val="28"/>
        </w:rPr>
        <w:t>六、提供享受招标采购政策的证明材料和清单表</w:t>
      </w:r>
    </w:p>
    <w:p w14:paraId="72C54AC4">
      <w:pPr>
        <w:tabs>
          <w:tab w:val="left" w:pos="3600"/>
        </w:tabs>
        <w:adjustRightInd w:val="0"/>
        <w:snapToGrid w:val="0"/>
        <w:ind w:left="482" w:hanging="482"/>
        <w:jc w:val="center"/>
        <w:rPr>
          <w:rFonts w:ascii="宋体" w:hAnsi="宋体" w:cs="宋体"/>
          <w:b/>
          <w:sz w:val="32"/>
          <w:szCs w:val="32"/>
        </w:rPr>
      </w:pPr>
    </w:p>
    <w:p w14:paraId="12A1BC72">
      <w:pPr>
        <w:widowControl/>
        <w:adjustRightInd w:val="0"/>
        <w:snapToGrid w:val="0"/>
        <w:spacing w:line="360" w:lineRule="auto"/>
        <w:ind w:left="334" w:hanging="334"/>
        <w:rPr>
          <w:rFonts w:ascii="宋体" w:hAnsi="宋体" w:cs="宋体"/>
          <w:b/>
          <w:bCs/>
          <w:spacing w:val="6"/>
          <w:kern w:val="0"/>
          <w:szCs w:val="21"/>
        </w:rPr>
      </w:pPr>
      <w:r>
        <w:rPr>
          <w:rFonts w:hint="eastAsia" w:ascii="宋体" w:hAnsi="宋体" w:cs="宋体"/>
          <w:b/>
          <w:bCs/>
          <w:spacing w:val="6"/>
          <w:kern w:val="0"/>
          <w:szCs w:val="21"/>
        </w:rPr>
        <w:t xml:space="preserve">附件9  </w:t>
      </w:r>
    </w:p>
    <w:p w14:paraId="22D3BC00">
      <w:pPr>
        <w:widowControl/>
        <w:ind w:left="422" w:hanging="422"/>
        <w:jc w:val="center"/>
        <w:textAlignment w:val="baseline"/>
        <w:rPr>
          <w:rStyle w:val="110"/>
          <w:rFonts w:ascii="宋体" w:hAnsi="宋体"/>
          <w:b/>
          <w:kern w:val="0"/>
          <w:sz w:val="28"/>
          <w:szCs w:val="28"/>
        </w:rPr>
      </w:pPr>
    </w:p>
    <w:p w14:paraId="7268AE29">
      <w:pPr>
        <w:pStyle w:val="4"/>
        <w:jc w:val="center"/>
        <w:rPr>
          <w:color w:val="auto"/>
        </w:rPr>
      </w:pPr>
      <w:r>
        <w:rPr>
          <w:color w:val="auto"/>
        </w:rPr>
        <w:t>中小企业声明函（</w:t>
      </w:r>
      <w:r>
        <w:rPr>
          <w:rFonts w:hint="eastAsia"/>
          <w:color w:val="auto"/>
        </w:rPr>
        <w:t>工程</w:t>
      </w:r>
      <w:r>
        <w:rPr>
          <w:color w:val="auto"/>
        </w:rPr>
        <w:t>）</w:t>
      </w:r>
    </w:p>
    <w:p w14:paraId="183DC036">
      <w:pPr>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rPr>
        <w:t>本公司（联合体）郑重声明，根据《政府采购促进中小企业发展管理办法》（财库﹝2020﹞46 号）的规定，本公司参加（单位名称）的（项目名称）采购活动，工程的施工单位全部为符合政策要求的中小企业。相关企业（含联合体中的中小企业、签订分包意向协议的中小企业）的具体情况如下：</w:t>
      </w:r>
    </w:p>
    <w:p w14:paraId="29A5671E">
      <w:pPr>
        <w:numPr>
          <w:ilvl w:val="0"/>
          <w:numId w:val="7"/>
        </w:numPr>
        <w:wordWrap w:val="0"/>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u w:val="single"/>
        </w:rPr>
        <w:t xml:space="preserve">        （标的名称）</w:t>
      </w:r>
      <w:r>
        <w:rPr>
          <w:rFonts w:hint="eastAsia" w:ascii="宋体" w:hAnsi="宋体" w:cs="宋体"/>
          <w:color w:val="auto"/>
          <w:szCs w:val="21"/>
        </w:rPr>
        <w:t>，属于</w:t>
      </w:r>
      <w:r>
        <w:rPr>
          <w:rFonts w:hint="eastAsia" w:ascii="宋体" w:hAnsi="宋体" w:cs="宋体"/>
          <w:color w:val="auto"/>
          <w:szCs w:val="21"/>
          <w:u w:val="single"/>
        </w:rPr>
        <w:t xml:space="preserve">    </w:t>
      </w:r>
      <w:r>
        <w:rPr>
          <w:rFonts w:hint="eastAsia" w:ascii="宋体" w:hAnsi="宋体" w:cs="宋体"/>
          <w:color w:val="auto"/>
          <w:szCs w:val="21"/>
        </w:rPr>
        <w:t xml:space="preserve">（采购文件中明确的所属行业）；承建（承接）企业为 </w:t>
      </w:r>
      <w:r>
        <w:rPr>
          <w:rFonts w:hint="eastAsia" w:ascii="宋体" w:hAnsi="宋体" w:cs="宋体"/>
          <w:color w:val="auto"/>
          <w:szCs w:val="21"/>
          <w:u w:val="single"/>
        </w:rPr>
        <w:t xml:space="preserve">     </w:t>
      </w:r>
      <w:r>
        <w:rPr>
          <w:rFonts w:hint="eastAsia" w:ascii="宋体" w:hAnsi="宋体" w:cs="宋体"/>
          <w:color w:val="auto"/>
          <w:szCs w:val="21"/>
        </w:rPr>
        <w:t>（企业名称），从业人员</w:t>
      </w:r>
      <w:r>
        <w:rPr>
          <w:rFonts w:hint="eastAsia" w:ascii="宋体" w:hAnsi="宋体" w:cs="宋体"/>
          <w:color w:val="auto"/>
          <w:szCs w:val="21"/>
          <w:u w:val="single"/>
        </w:rPr>
        <w:t xml:space="preserve">   </w:t>
      </w:r>
      <w:r>
        <w:rPr>
          <w:rFonts w:hint="eastAsia" w:ascii="宋体" w:hAnsi="宋体" w:cs="宋体"/>
          <w:color w:val="auto"/>
          <w:szCs w:val="21"/>
        </w:rPr>
        <w:t xml:space="preserve">人，营业收入为  </w:t>
      </w:r>
      <w:r>
        <w:rPr>
          <w:rFonts w:hint="eastAsia" w:ascii="宋体" w:hAnsi="宋体" w:cs="宋体"/>
          <w:color w:val="auto"/>
          <w:szCs w:val="21"/>
          <w:u w:val="single"/>
        </w:rPr>
        <w:tab/>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 xml:space="preserve">   </w:t>
      </w:r>
      <w:r>
        <w:rPr>
          <w:rFonts w:hint="eastAsia" w:ascii="宋体" w:hAnsi="宋体" w:cs="宋体"/>
          <w:color w:val="auto"/>
          <w:szCs w:val="21"/>
        </w:rPr>
        <w:t xml:space="preserve"> （中型企业、小型企业、微型企业）；</w:t>
      </w:r>
    </w:p>
    <w:p w14:paraId="7D4B51E3">
      <w:pPr>
        <w:numPr>
          <w:ilvl w:val="0"/>
          <w:numId w:val="7"/>
        </w:numPr>
        <w:wordWrap w:val="0"/>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u w:val="single"/>
        </w:rPr>
        <w:t xml:space="preserve">          （标的名称）</w:t>
      </w:r>
      <w:r>
        <w:rPr>
          <w:rFonts w:hint="eastAsia" w:ascii="宋体" w:hAnsi="宋体" w:cs="宋体"/>
          <w:color w:val="auto"/>
          <w:szCs w:val="21"/>
        </w:rPr>
        <w:t>，属于</w:t>
      </w:r>
      <w:r>
        <w:rPr>
          <w:rFonts w:hint="eastAsia" w:ascii="宋体" w:hAnsi="宋体" w:cs="宋体"/>
          <w:color w:val="auto"/>
          <w:szCs w:val="21"/>
          <w:u w:val="single"/>
        </w:rPr>
        <w:t xml:space="preserve">        （采购文件中明确的所属行业）</w:t>
      </w:r>
      <w:r>
        <w:rPr>
          <w:rFonts w:hint="eastAsia" w:ascii="宋体" w:hAnsi="宋体" w:cs="宋体"/>
          <w:color w:val="auto"/>
          <w:szCs w:val="21"/>
        </w:rPr>
        <w:t>； 承建（承接）企业为</w:t>
      </w:r>
      <w:r>
        <w:rPr>
          <w:rFonts w:hint="eastAsia" w:ascii="宋体" w:hAnsi="宋体" w:cs="宋体"/>
          <w:color w:val="auto"/>
          <w:szCs w:val="21"/>
          <w:u w:val="single"/>
        </w:rPr>
        <w:t xml:space="preserve">     </w:t>
      </w:r>
      <w:r>
        <w:rPr>
          <w:rFonts w:hint="eastAsia" w:ascii="宋体" w:hAnsi="宋体" w:cs="宋体"/>
          <w:color w:val="auto"/>
          <w:szCs w:val="21"/>
        </w:rPr>
        <w:t>（企业名称），从业人员</w:t>
      </w:r>
      <w:r>
        <w:rPr>
          <w:rFonts w:hint="eastAsia" w:ascii="宋体" w:hAnsi="宋体" w:cs="宋体"/>
          <w:color w:val="auto"/>
          <w:szCs w:val="21"/>
          <w:u w:val="single"/>
        </w:rPr>
        <w:tab/>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 xml:space="preserve">    </w:t>
      </w:r>
      <w:r>
        <w:rPr>
          <w:rFonts w:hint="eastAsia" w:ascii="宋体" w:hAnsi="宋体" w:cs="宋体"/>
          <w:color w:val="auto"/>
          <w:szCs w:val="21"/>
        </w:rPr>
        <w:t>（中型企业、小型企业、微型企业）；</w:t>
      </w:r>
    </w:p>
    <w:p w14:paraId="7E1A9E77">
      <w:pPr>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rPr>
        <w:t>……</w:t>
      </w:r>
    </w:p>
    <w:p w14:paraId="2140D7B7">
      <w:pPr>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rPr>
        <w:t>以上企业，不属于大企业的分支机构，不存在控股股东为大企业的情形，也不存在与大企业的负责人为同一人的情形。</w:t>
      </w:r>
    </w:p>
    <w:p w14:paraId="3849BD6A">
      <w:pPr>
        <w:adjustRightInd w:val="0"/>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rPr>
        <w:t>本企业对上述声明内容的真实性负责。如有虚假，将依法承担相应责任。</w:t>
      </w:r>
    </w:p>
    <w:p w14:paraId="74AD6FB4">
      <w:pPr>
        <w:adjustRightInd w:val="0"/>
        <w:snapToGrid w:val="0"/>
        <w:spacing w:line="360" w:lineRule="auto"/>
        <w:ind w:firstLine="3675" w:firstLineChars="1750"/>
        <w:rPr>
          <w:rFonts w:hint="eastAsia" w:ascii="宋体" w:hAnsi="宋体" w:cs="宋体"/>
          <w:color w:val="auto"/>
          <w:szCs w:val="21"/>
        </w:rPr>
      </w:pPr>
    </w:p>
    <w:p w14:paraId="57B1CC6C">
      <w:pPr>
        <w:adjustRightInd w:val="0"/>
        <w:snapToGrid w:val="0"/>
        <w:spacing w:line="360" w:lineRule="auto"/>
        <w:ind w:firstLine="3675" w:firstLineChars="1750"/>
        <w:rPr>
          <w:rFonts w:hint="eastAsia" w:ascii="宋体" w:hAnsi="宋体" w:cs="宋体"/>
          <w:color w:val="auto"/>
          <w:szCs w:val="21"/>
        </w:rPr>
      </w:pPr>
      <w:r>
        <w:rPr>
          <w:rFonts w:hint="eastAsia" w:ascii="宋体" w:hAnsi="宋体" w:cs="宋体"/>
          <w:color w:val="auto"/>
          <w:szCs w:val="21"/>
        </w:rPr>
        <w:t>企业名称（盖章）：</w:t>
      </w:r>
    </w:p>
    <w:p w14:paraId="3EC92930">
      <w:pPr>
        <w:adjustRightInd w:val="0"/>
        <w:snapToGrid w:val="0"/>
        <w:spacing w:line="360" w:lineRule="auto"/>
        <w:ind w:firstLine="3675" w:firstLineChars="1750"/>
        <w:rPr>
          <w:rFonts w:hint="eastAsia" w:ascii="宋体" w:hAnsi="宋体" w:cs="宋体"/>
          <w:color w:val="auto"/>
          <w:szCs w:val="21"/>
        </w:rPr>
      </w:pPr>
      <w:r>
        <w:rPr>
          <w:rFonts w:hint="eastAsia" w:ascii="宋体" w:hAnsi="宋体" w:cs="宋体"/>
          <w:color w:val="auto"/>
          <w:szCs w:val="21"/>
        </w:rPr>
        <w:t>日期：年  月  日</w:t>
      </w:r>
    </w:p>
    <w:p w14:paraId="75C6BB9B">
      <w:pPr>
        <w:adjustRightInd w:val="0"/>
        <w:snapToGrid w:val="0"/>
        <w:spacing w:line="360" w:lineRule="auto"/>
        <w:rPr>
          <w:rFonts w:hint="eastAsia" w:ascii="宋体" w:hAnsi="宋体" w:cs="宋体"/>
          <w:bCs/>
          <w:color w:val="auto"/>
          <w:szCs w:val="21"/>
        </w:rPr>
      </w:pPr>
      <w:r>
        <w:rPr>
          <w:rFonts w:hint="eastAsia" w:ascii="宋体" w:hAnsi="宋体" w:cs="宋体"/>
          <w:color w:val="auto"/>
          <w:szCs w:val="21"/>
        </w:rPr>
        <w:t>注：</w:t>
      </w:r>
      <w:r>
        <w:rPr>
          <w:rFonts w:hint="eastAsia" w:ascii="宋体" w:hAnsi="宋体" w:cs="宋体"/>
          <w:bCs/>
          <w:color w:val="auto"/>
          <w:szCs w:val="21"/>
        </w:rPr>
        <w:t>未按上述要求提供、</w:t>
      </w:r>
      <w:r>
        <w:rPr>
          <w:rFonts w:hint="eastAsia" w:ascii="宋体" w:hAnsi="宋体" w:cs="宋体"/>
          <w:color w:val="auto"/>
          <w:szCs w:val="21"/>
        </w:rPr>
        <w:t>填写</w:t>
      </w:r>
      <w:r>
        <w:rPr>
          <w:rFonts w:hint="eastAsia" w:ascii="宋体" w:hAnsi="宋体" w:cs="宋体"/>
          <w:bCs/>
          <w:color w:val="auto"/>
          <w:szCs w:val="21"/>
        </w:rPr>
        <w:t>的，评审时不予以考虑。</w:t>
      </w:r>
    </w:p>
    <w:p w14:paraId="6F84289B">
      <w:pPr>
        <w:pStyle w:val="13"/>
        <w:rPr>
          <w:color w:val="auto"/>
        </w:rPr>
      </w:pPr>
    </w:p>
    <w:p w14:paraId="5F77B66E">
      <w:pPr>
        <w:adjustRightInd w:val="0"/>
        <w:snapToGrid w:val="0"/>
        <w:spacing w:line="360" w:lineRule="auto"/>
        <w:rPr>
          <w:rFonts w:hint="eastAsia" w:ascii="宋体" w:hAnsi="宋体"/>
          <w:color w:val="auto"/>
          <w:szCs w:val="21"/>
        </w:rPr>
      </w:pPr>
      <w:r>
        <w:rPr>
          <w:rFonts w:hint="eastAsia" w:ascii="宋体" w:hAnsi="宋体"/>
          <w:color w:val="auto"/>
          <w:szCs w:val="21"/>
        </w:rPr>
        <w:t>说明：1.填写前请认真阅读</w:t>
      </w:r>
      <w:r>
        <w:rPr>
          <w:rFonts w:hint="eastAsia" w:ascii="宋体" w:hAnsi="宋体" w:cs="宋体"/>
          <w:color w:val="auto"/>
          <w:spacing w:val="6"/>
          <w:kern w:val="0"/>
          <w:szCs w:val="21"/>
        </w:rPr>
        <w:t>《工业和信息化部、国家统计局、国家发展和改革委员会、财政部关于印发中小企业划型标准规定的通知》（工信部联企业[2011]300号）和</w:t>
      </w:r>
      <w:r>
        <w:rPr>
          <w:rFonts w:hint="eastAsia" w:ascii="宋体" w:hAnsi="宋体"/>
          <w:color w:val="auto"/>
          <w:spacing w:val="6"/>
          <w:szCs w:val="21"/>
        </w:rPr>
        <w:t>《财政部工业和信息化部</w:t>
      </w:r>
      <w:r>
        <w:rPr>
          <w:rFonts w:hint="eastAsia" w:ascii="宋体" w:hAnsi="宋体"/>
          <w:bCs/>
          <w:color w:val="auto"/>
          <w:szCs w:val="21"/>
        </w:rPr>
        <w:t>关于印发＜政府采购促进中小企业发展暂行办法＞的通知》(</w:t>
      </w:r>
      <w:r>
        <w:rPr>
          <w:rFonts w:hint="eastAsia" w:ascii="宋体" w:hAnsi="宋体"/>
          <w:color w:val="auto"/>
          <w:szCs w:val="21"/>
        </w:rPr>
        <w:t>财库[2011]181号)相关规定。</w:t>
      </w:r>
    </w:p>
    <w:p w14:paraId="22C2660A">
      <w:pPr>
        <w:adjustRightInd w:val="0"/>
        <w:snapToGrid w:val="0"/>
        <w:spacing w:line="360" w:lineRule="auto"/>
        <w:ind w:firstLine="525" w:firstLineChars="250"/>
        <w:rPr>
          <w:rFonts w:hint="eastAsia" w:ascii="宋体" w:hAnsi="宋体"/>
          <w:color w:val="auto"/>
          <w:szCs w:val="21"/>
        </w:rPr>
      </w:pPr>
      <w:r>
        <w:rPr>
          <w:rFonts w:hint="eastAsia" w:ascii="宋体" w:hAnsi="宋体"/>
          <w:color w:val="auto"/>
          <w:szCs w:val="21"/>
        </w:rPr>
        <w:t>2.中小企业</w:t>
      </w:r>
      <w:r>
        <w:rPr>
          <w:rFonts w:hint="eastAsia" w:ascii="宋体" w:hAnsi="宋体" w:cs="宋体"/>
          <w:color w:val="auto"/>
          <w:spacing w:val="6"/>
          <w:kern w:val="0"/>
          <w:szCs w:val="21"/>
        </w:rPr>
        <w:t>部分</w:t>
      </w:r>
      <w:r>
        <w:rPr>
          <w:rFonts w:hint="eastAsia" w:ascii="宋体" w:hAnsi="宋体"/>
          <w:color w:val="auto"/>
          <w:szCs w:val="21"/>
        </w:rPr>
        <w:t>提供</w:t>
      </w:r>
      <w:r>
        <w:rPr>
          <w:rFonts w:hint="eastAsia" w:ascii="宋体" w:hAnsi="宋体" w:cs="宋体"/>
          <w:color w:val="auto"/>
          <w:spacing w:val="6"/>
          <w:kern w:val="0"/>
          <w:szCs w:val="21"/>
        </w:rPr>
        <w:t>其他中小企业制造货物的应另附</w:t>
      </w:r>
      <w:r>
        <w:rPr>
          <w:rFonts w:hint="eastAsia" w:ascii="宋体" w:hAnsi="宋体"/>
          <w:color w:val="auto"/>
          <w:szCs w:val="21"/>
        </w:rPr>
        <w:t>说明，并与后面的报价一栏表保持一致。</w:t>
      </w:r>
    </w:p>
    <w:p w14:paraId="1EB002F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未按上述要求提供、</w:t>
      </w:r>
      <w:r>
        <w:rPr>
          <w:rFonts w:hint="eastAsia" w:ascii="宋体" w:hAnsi="宋体"/>
          <w:color w:val="auto"/>
          <w:szCs w:val="21"/>
        </w:rPr>
        <w:t>填写</w:t>
      </w:r>
      <w:r>
        <w:rPr>
          <w:rFonts w:hint="eastAsia" w:ascii="宋体" w:hAnsi="宋体"/>
          <w:bCs/>
          <w:color w:val="auto"/>
          <w:szCs w:val="21"/>
        </w:rPr>
        <w:t>的为无效响应。</w:t>
      </w:r>
    </w:p>
    <w:p w14:paraId="0FC469B4">
      <w:pPr>
        <w:widowControl/>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4.供应商可登陆工信部组织开发的自测小程序测定自身中小企业规模类型http://202.106.120.146/baosong/appweb/orgScale.html</w:t>
      </w:r>
    </w:p>
    <w:p w14:paraId="5C2A15F0">
      <w:pPr>
        <w:pStyle w:val="287"/>
        <w:rPr>
          <w:color w:val="auto"/>
        </w:rPr>
      </w:pPr>
    </w:p>
    <w:p w14:paraId="01F02ADE">
      <w:pPr>
        <w:pStyle w:val="4"/>
        <w:jc w:val="center"/>
        <w:rPr>
          <w:color w:val="auto"/>
        </w:rPr>
      </w:pPr>
      <w:r>
        <w:rPr>
          <w:rFonts w:hint="eastAsia"/>
          <w:color w:val="auto"/>
        </w:rPr>
        <w:t xml:space="preserve">提供小微企业货物清单表  </w:t>
      </w:r>
    </w:p>
    <w:p w14:paraId="7C75B0EA">
      <w:pPr>
        <w:jc w:val="center"/>
        <w:rPr>
          <w:rFonts w:hint="eastAsia" w:hAnsi="宋体"/>
          <w:color w:val="auto"/>
        </w:rPr>
      </w:pPr>
      <w:r>
        <w:rPr>
          <w:rFonts w:hint="eastAsia"/>
          <w:color w:val="auto"/>
          <w:sz w:val="24"/>
        </w:rPr>
        <w:t>（本项目不适用，无需提供）</w:t>
      </w:r>
      <w:r>
        <w:rPr>
          <w:rFonts w:hint="eastAsia" w:hAnsi="宋体"/>
          <w:color w:val="auto"/>
        </w:rPr>
        <w:t xml:space="preserve">              </w:t>
      </w:r>
    </w:p>
    <w:tbl>
      <w:tblPr>
        <w:tblStyle w:val="47"/>
        <w:tblW w:w="8931"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709"/>
        <w:gridCol w:w="850"/>
        <w:gridCol w:w="851"/>
        <w:gridCol w:w="1701"/>
        <w:gridCol w:w="1701"/>
        <w:gridCol w:w="1276"/>
      </w:tblGrid>
      <w:tr w14:paraId="418BB6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931" w:type="dxa"/>
            <w:gridSpan w:val="8"/>
            <w:vAlign w:val="center"/>
          </w:tcPr>
          <w:p w14:paraId="73202194">
            <w:pPr>
              <w:widowControl/>
              <w:spacing w:line="360" w:lineRule="auto"/>
              <w:jc w:val="center"/>
              <w:rPr>
                <w:rFonts w:hint="eastAsia" w:ascii="黑体" w:hAnsi="宋体" w:eastAsia="黑体"/>
                <w:b/>
                <w:color w:val="auto"/>
                <w:kern w:val="0"/>
                <w:sz w:val="28"/>
                <w:szCs w:val="28"/>
              </w:rPr>
            </w:pPr>
            <w:r>
              <w:rPr>
                <w:rFonts w:hint="eastAsia" w:ascii="黑体" w:hAnsi="宋体" w:eastAsia="黑体"/>
                <w:b/>
                <w:color w:val="auto"/>
                <w:kern w:val="0"/>
                <w:sz w:val="28"/>
                <w:szCs w:val="28"/>
              </w:rPr>
              <w:t>本公司对本表的真实性负责。如有虚假，将依法承担相应责任。</w:t>
            </w:r>
          </w:p>
        </w:tc>
      </w:tr>
      <w:tr w14:paraId="001E6B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0456B367">
            <w:pPr>
              <w:widowControl/>
              <w:spacing w:line="360" w:lineRule="auto"/>
              <w:jc w:val="center"/>
              <w:rPr>
                <w:rFonts w:hint="eastAsia" w:ascii="宋体" w:hAnsi="宋体"/>
                <w:color w:val="auto"/>
                <w:kern w:val="0"/>
                <w:szCs w:val="21"/>
              </w:rPr>
            </w:pPr>
            <w:r>
              <w:rPr>
                <w:rFonts w:hint="eastAsia" w:ascii="宋体" w:hAnsi="宋体"/>
                <w:color w:val="auto"/>
                <w:kern w:val="0"/>
                <w:szCs w:val="21"/>
              </w:rPr>
              <w:t>1</w:t>
            </w:r>
          </w:p>
        </w:tc>
        <w:tc>
          <w:tcPr>
            <w:tcW w:w="1134" w:type="dxa"/>
            <w:vAlign w:val="center"/>
          </w:tcPr>
          <w:p w14:paraId="1B140FEE">
            <w:pPr>
              <w:widowControl/>
              <w:spacing w:line="360" w:lineRule="auto"/>
              <w:jc w:val="center"/>
              <w:rPr>
                <w:rFonts w:hint="eastAsia" w:ascii="宋体" w:hAnsi="宋体"/>
                <w:color w:val="auto"/>
                <w:kern w:val="0"/>
                <w:szCs w:val="21"/>
              </w:rPr>
            </w:pPr>
            <w:r>
              <w:rPr>
                <w:rFonts w:hint="eastAsia" w:ascii="宋体" w:hAnsi="宋体"/>
                <w:color w:val="auto"/>
                <w:kern w:val="0"/>
                <w:szCs w:val="21"/>
              </w:rPr>
              <w:t>2</w:t>
            </w:r>
          </w:p>
        </w:tc>
        <w:tc>
          <w:tcPr>
            <w:tcW w:w="709" w:type="dxa"/>
            <w:vAlign w:val="center"/>
          </w:tcPr>
          <w:p w14:paraId="258783F9">
            <w:pPr>
              <w:widowControl/>
              <w:spacing w:line="360" w:lineRule="auto"/>
              <w:jc w:val="center"/>
              <w:rPr>
                <w:rFonts w:hint="eastAsia" w:ascii="宋体" w:hAnsi="宋体"/>
                <w:color w:val="auto"/>
                <w:kern w:val="0"/>
                <w:szCs w:val="21"/>
              </w:rPr>
            </w:pPr>
            <w:r>
              <w:rPr>
                <w:rFonts w:hint="eastAsia" w:ascii="宋体" w:hAnsi="宋体"/>
                <w:color w:val="auto"/>
                <w:kern w:val="0"/>
                <w:szCs w:val="21"/>
              </w:rPr>
              <w:t>3</w:t>
            </w:r>
          </w:p>
        </w:tc>
        <w:tc>
          <w:tcPr>
            <w:tcW w:w="850" w:type="dxa"/>
            <w:vAlign w:val="center"/>
          </w:tcPr>
          <w:p w14:paraId="1C270EAF">
            <w:pPr>
              <w:widowControl/>
              <w:spacing w:line="360" w:lineRule="auto"/>
              <w:jc w:val="center"/>
              <w:rPr>
                <w:rFonts w:hint="eastAsia" w:ascii="宋体" w:hAnsi="宋体"/>
                <w:color w:val="auto"/>
                <w:kern w:val="0"/>
                <w:szCs w:val="21"/>
              </w:rPr>
            </w:pPr>
            <w:r>
              <w:rPr>
                <w:rFonts w:hint="eastAsia" w:ascii="宋体" w:hAnsi="宋体"/>
                <w:color w:val="auto"/>
                <w:kern w:val="0"/>
                <w:szCs w:val="21"/>
              </w:rPr>
              <w:t>4</w:t>
            </w:r>
          </w:p>
        </w:tc>
        <w:tc>
          <w:tcPr>
            <w:tcW w:w="851" w:type="dxa"/>
            <w:vAlign w:val="center"/>
          </w:tcPr>
          <w:p w14:paraId="20C84842">
            <w:pPr>
              <w:widowControl/>
              <w:spacing w:line="360" w:lineRule="auto"/>
              <w:jc w:val="center"/>
              <w:rPr>
                <w:rFonts w:hint="eastAsia" w:ascii="宋体" w:hAnsi="宋体"/>
                <w:color w:val="auto"/>
                <w:kern w:val="0"/>
                <w:szCs w:val="21"/>
              </w:rPr>
            </w:pPr>
            <w:r>
              <w:rPr>
                <w:rFonts w:hint="eastAsia" w:ascii="宋体" w:hAnsi="宋体"/>
                <w:color w:val="auto"/>
                <w:kern w:val="0"/>
                <w:szCs w:val="21"/>
              </w:rPr>
              <w:t>5</w:t>
            </w:r>
          </w:p>
        </w:tc>
        <w:tc>
          <w:tcPr>
            <w:tcW w:w="1701" w:type="dxa"/>
            <w:vAlign w:val="center"/>
          </w:tcPr>
          <w:p w14:paraId="438B807C">
            <w:pPr>
              <w:widowControl/>
              <w:spacing w:line="360" w:lineRule="auto"/>
              <w:jc w:val="center"/>
              <w:rPr>
                <w:rFonts w:hint="eastAsia" w:ascii="宋体" w:hAnsi="宋体"/>
                <w:color w:val="auto"/>
                <w:kern w:val="0"/>
                <w:szCs w:val="21"/>
              </w:rPr>
            </w:pPr>
            <w:r>
              <w:rPr>
                <w:rFonts w:hint="eastAsia" w:ascii="宋体" w:hAnsi="宋体"/>
                <w:color w:val="auto"/>
                <w:kern w:val="0"/>
                <w:szCs w:val="21"/>
              </w:rPr>
              <w:t>6</w:t>
            </w:r>
          </w:p>
        </w:tc>
        <w:tc>
          <w:tcPr>
            <w:tcW w:w="1701" w:type="dxa"/>
            <w:vAlign w:val="center"/>
          </w:tcPr>
          <w:p w14:paraId="72191C9D">
            <w:pPr>
              <w:widowControl/>
              <w:spacing w:line="360" w:lineRule="auto"/>
              <w:jc w:val="center"/>
              <w:rPr>
                <w:rFonts w:hint="eastAsia" w:ascii="宋体" w:hAnsi="宋体"/>
                <w:color w:val="auto"/>
                <w:kern w:val="0"/>
                <w:szCs w:val="21"/>
              </w:rPr>
            </w:pPr>
            <w:r>
              <w:rPr>
                <w:rFonts w:hint="eastAsia" w:ascii="宋体" w:hAnsi="宋体"/>
                <w:color w:val="auto"/>
                <w:kern w:val="0"/>
                <w:szCs w:val="21"/>
              </w:rPr>
              <w:t>7</w:t>
            </w:r>
          </w:p>
        </w:tc>
        <w:tc>
          <w:tcPr>
            <w:tcW w:w="1276" w:type="dxa"/>
            <w:vAlign w:val="center"/>
          </w:tcPr>
          <w:p w14:paraId="6161F7DF">
            <w:pPr>
              <w:widowControl/>
              <w:spacing w:line="360" w:lineRule="auto"/>
              <w:jc w:val="center"/>
              <w:rPr>
                <w:rFonts w:hint="eastAsia" w:ascii="宋体" w:hAnsi="宋体"/>
                <w:color w:val="auto"/>
                <w:kern w:val="0"/>
                <w:szCs w:val="21"/>
              </w:rPr>
            </w:pPr>
            <w:r>
              <w:rPr>
                <w:rFonts w:hint="eastAsia" w:ascii="宋体" w:hAnsi="宋体"/>
                <w:color w:val="auto"/>
                <w:kern w:val="0"/>
                <w:szCs w:val="21"/>
              </w:rPr>
              <w:t>8</w:t>
            </w:r>
          </w:p>
        </w:tc>
      </w:tr>
      <w:tr w14:paraId="5B44F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5D61AFE6">
            <w:pPr>
              <w:widowControl/>
              <w:spacing w:line="360" w:lineRule="auto"/>
              <w:jc w:val="center"/>
              <w:rPr>
                <w:rFonts w:hint="eastAsia" w:ascii="宋体" w:hAnsi="宋体"/>
                <w:color w:val="auto"/>
                <w:kern w:val="0"/>
                <w:szCs w:val="21"/>
              </w:rPr>
            </w:pPr>
            <w:r>
              <w:rPr>
                <w:rFonts w:hint="eastAsia" w:ascii="宋体" w:hAnsi="宋体"/>
                <w:color w:val="auto"/>
                <w:kern w:val="0"/>
                <w:szCs w:val="21"/>
              </w:rPr>
              <w:t>序号</w:t>
            </w:r>
          </w:p>
        </w:tc>
        <w:tc>
          <w:tcPr>
            <w:tcW w:w="1134" w:type="dxa"/>
            <w:vAlign w:val="center"/>
          </w:tcPr>
          <w:p w14:paraId="040802E7">
            <w:pPr>
              <w:widowControl/>
              <w:spacing w:line="360" w:lineRule="auto"/>
              <w:jc w:val="center"/>
              <w:rPr>
                <w:rFonts w:hint="eastAsia" w:ascii="宋体" w:hAnsi="宋体"/>
                <w:color w:val="auto"/>
                <w:kern w:val="0"/>
                <w:szCs w:val="21"/>
              </w:rPr>
            </w:pPr>
            <w:r>
              <w:rPr>
                <w:rFonts w:hint="eastAsia" w:ascii="宋体" w:hAnsi="宋体"/>
                <w:color w:val="auto"/>
                <w:kern w:val="0"/>
                <w:szCs w:val="21"/>
              </w:rPr>
              <w:t>货物名称</w:t>
            </w:r>
          </w:p>
        </w:tc>
        <w:tc>
          <w:tcPr>
            <w:tcW w:w="709" w:type="dxa"/>
            <w:vAlign w:val="center"/>
          </w:tcPr>
          <w:p w14:paraId="26F37CC3">
            <w:pPr>
              <w:widowControl/>
              <w:spacing w:line="360" w:lineRule="auto"/>
              <w:jc w:val="center"/>
              <w:rPr>
                <w:rFonts w:hint="eastAsia" w:ascii="宋体" w:hAnsi="宋体"/>
                <w:color w:val="auto"/>
                <w:kern w:val="0"/>
                <w:szCs w:val="21"/>
              </w:rPr>
            </w:pPr>
            <w:r>
              <w:rPr>
                <w:rFonts w:hint="eastAsia" w:ascii="宋体" w:hAnsi="宋体"/>
                <w:color w:val="auto"/>
                <w:kern w:val="0"/>
                <w:szCs w:val="21"/>
              </w:rPr>
              <w:t>数量</w:t>
            </w:r>
          </w:p>
        </w:tc>
        <w:tc>
          <w:tcPr>
            <w:tcW w:w="850" w:type="dxa"/>
            <w:vAlign w:val="center"/>
          </w:tcPr>
          <w:p w14:paraId="415257E3">
            <w:pPr>
              <w:widowControl/>
              <w:spacing w:line="360" w:lineRule="auto"/>
              <w:jc w:val="center"/>
              <w:rPr>
                <w:rFonts w:hint="eastAsia" w:ascii="宋体" w:hAnsi="宋体"/>
                <w:color w:val="auto"/>
                <w:kern w:val="0"/>
                <w:szCs w:val="21"/>
              </w:rPr>
            </w:pPr>
            <w:r>
              <w:rPr>
                <w:rFonts w:hint="eastAsia" w:ascii="宋体" w:hAnsi="宋体"/>
                <w:color w:val="auto"/>
                <w:kern w:val="0"/>
                <w:szCs w:val="21"/>
              </w:rPr>
              <w:t>单价</w:t>
            </w:r>
          </w:p>
        </w:tc>
        <w:tc>
          <w:tcPr>
            <w:tcW w:w="851" w:type="dxa"/>
            <w:vAlign w:val="center"/>
          </w:tcPr>
          <w:p w14:paraId="73FF250A">
            <w:pPr>
              <w:widowControl/>
              <w:spacing w:line="360" w:lineRule="auto"/>
              <w:jc w:val="center"/>
              <w:rPr>
                <w:rFonts w:hint="eastAsia" w:ascii="宋体" w:hAnsi="宋体"/>
                <w:color w:val="auto"/>
                <w:kern w:val="0"/>
                <w:szCs w:val="21"/>
              </w:rPr>
            </w:pPr>
            <w:r>
              <w:rPr>
                <w:rFonts w:hint="eastAsia" w:ascii="宋体" w:hAnsi="宋体"/>
                <w:color w:val="auto"/>
                <w:kern w:val="0"/>
                <w:szCs w:val="21"/>
              </w:rPr>
              <w:t>总额</w:t>
            </w:r>
          </w:p>
        </w:tc>
        <w:tc>
          <w:tcPr>
            <w:tcW w:w="1701" w:type="dxa"/>
            <w:vAlign w:val="center"/>
          </w:tcPr>
          <w:p w14:paraId="2D8932F9">
            <w:pPr>
              <w:widowControl/>
              <w:spacing w:line="360" w:lineRule="auto"/>
              <w:jc w:val="center"/>
              <w:rPr>
                <w:rFonts w:hint="eastAsia" w:ascii="宋体" w:hAnsi="宋体"/>
                <w:color w:val="auto"/>
                <w:kern w:val="0"/>
                <w:szCs w:val="21"/>
              </w:rPr>
            </w:pPr>
            <w:r>
              <w:rPr>
                <w:rFonts w:hint="eastAsia" w:ascii="宋体" w:hAnsi="宋体"/>
                <w:color w:val="auto"/>
                <w:kern w:val="0"/>
                <w:szCs w:val="21"/>
              </w:rPr>
              <w:t>货物制造商名称</w:t>
            </w:r>
          </w:p>
        </w:tc>
        <w:tc>
          <w:tcPr>
            <w:tcW w:w="1701" w:type="dxa"/>
            <w:vAlign w:val="center"/>
          </w:tcPr>
          <w:p w14:paraId="3374E278">
            <w:pPr>
              <w:widowControl/>
              <w:spacing w:line="360" w:lineRule="auto"/>
              <w:jc w:val="center"/>
              <w:rPr>
                <w:rFonts w:hint="eastAsia" w:ascii="宋体" w:hAnsi="宋体"/>
                <w:color w:val="auto"/>
                <w:kern w:val="0"/>
                <w:szCs w:val="21"/>
              </w:rPr>
            </w:pPr>
            <w:r>
              <w:rPr>
                <w:rFonts w:hint="eastAsia" w:ascii="宋体" w:hAnsi="宋体"/>
                <w:color w:val="auto"/>
                <w:kern w:val="0"/>
                <w:szCs w:val="21"/>
              </w:rPr>
              <w:t>货物制造商类型</w:t>
            </w:r>
          </w:p>
        </w:tc>
        <w:tc>
          <w:tcPr>
            <w:tcW w:w="1276" w:type="dxa"/>
            <w:vAlign w:val="center"/>
          </w:tcPr>
          <w:p w14:paraId="5FAE3ED7">
            <w:pPr>
              <w:widowControl/>
              <w:spacing w:line="360" w:lineRule="auto"/>
              <w:jc w:val="center"/>
              <w:rPr>
                <w:rFonts w:hint="eastAsia" w:ascii="宋体" w:hAnsi="宋体"/>
                <w:color w:val="auto"/>
                <w:kern w:val="0"/>
                <w:szCs w:val="21"/>
              </w:rPr>
            </w:pPr>
            <w:r>
              <w:rPr>
                <w:rFonts w:hint="eastAsia" w:ascii="宋体" w:hAnsi="宋体"/>
                <w:color w:val="auto"/>
                <w:kern w:val="0"/>
                <w:szCs w:val="21"/>
              </w:rPr>
              <w:t>商标名称</w:t>
            </w:r>
          </w:p>
        </w:tc>
      </w:tr>
      <w:tr w14:paraId="0EDC04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8931" w:type="dxa"/>
            <w:gridSpan w:val="8"/>
            <w:vAlign w:val="center"/>
          </w:tcPr>
          <w:p w14:paraId="112789FE">
            <w:pPr>
              <w:spacing w:line="360" w:lineRule="auto"/>
              <w:jc w:val="left"/>
              <w:rPr>
                <w:rFonts w:hint="eastAsia" w:ascii="宋体" w:hAnsi="宋体"/>
                <w:b/>
                <w:color w:val="auto"/>
                <w:szCs w:val="21"/>
              </w:rPr>
            </w:pPr>
            <w:r>
              <w:rPr>
                <w:rFonts w:hint="eastAsia" w:ascii="宋体" w:hAnsi="宋体"/>
                <w:b/>
                <w:color w:val="auto"/>
                <w:szCs w:val="21"/>
              </w:rPr>
              <w:t>中型</w:t>
            </w:r>
          </w:p>
        </w:tc>
      </w:tr>
      <w:tr w14:paraId="0E0EAE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0D28E68">
            <w:pPr>
              <w:spacing w:line="360" w:lineRule="auto"/>
              <w:jc w:val="center"/>
              <w:rPr>
                <w:rFonts w:hint="eastAsia" w:ascii="宋体" w:hAnsi="宋体"/>
                <w:color w:val="auto"/>
                <w:szCs w:val="21"/>
              </w:rPr>
            </w:pPr>
          </w:p>
        </w:tc>
        <w:tc>
          <w:tcPr>
            <w:tcW w:w="1134" w:type="dxa"/>
            <w:vAlign w:val="center"/>
          </w:tcPr>
          <w:p w14:paraId="134B1D55">
            <w:pPr>
              <w:spacing w:line="360" w:lineRule="auto"/>
              <w:jc w:val="center"/>
              <w:rPr>
                <w:rFonts w:hint="eastAsia" w:ascii="宋体" w:hAnsi="宋体"/>
                <w:color w:val="auto"/>
                <w:szCs w:val="21"/>
              </w:rPr>
            </w:pPr>
          </w:p>
        </w:tc>
        <w:tc>
          <w:tcPr>
            <w:tcW w:w="709" w:type="dxa"/>
            <w:vAlign w:val="center"/>
          </w:tcPr>
          <w:p w14:paraId="6255FD0C">
            <w:pPr>
              <w:spacing w:line="360" w:lineRule="auto"/>
              <w:jc w:val="center"/>
              <w:rPr>
                <w:rFonts w:hint="eastAsia" w:ascii="宋体" w:hAnsi="宋体"/>
                <w:color w:val="auto"/>
                <w:szCs w:val="21"/>
              </w:rPr>
            </w:pPr>
          </w:p>
        </w:tc>
        <w:tc>
          <w:tcPr>
            <w:tcW w:w="850" w:type="dxa"/>
            <w:vAlign w:val="center"/>
          </w:tcPr>
          <w:p w14:paraId="63B5512C">
            <w:pPr>
              <w:spacing w:line="360" w:lineRule="auto"/>
              <w:jc w:val="center"/>
              <w:rPr>
                <w:rFonts w:hint="eastAsia" w:ascii="宋体" w:hAnsi="宋体"/>
                <w:color w:val="auto"/>
                <w:szCs w:val="21"/>
              </w:rPr>
            </w:pPr>
          </w:p>
        </w:tc>
        <w:tc>
          <w:tcPr>
            <w:tcW w:w="851" w:type="dxa"/>
            <w:vAlign w:val="center"/>
          </w:tcPr>
          <w:p w14:paraId="27406E43">
            <w:pPr>
              <w:spacing w:line="360" w:lineRule="auto"/>
              <w:jc w:val="center"/>
              <w:rPr>
                <w:rFonts w:hint="eastAsia" w:ascii="宋体" w:hAnsi="宋体"/>
                <w:color w:val="auto"/>
                <w:szCs w:val="21"/>
              </w:rPr>
            </w:pPr>
          </w:p>
        </w:tc>
        <w:tc>
          <w:tcPr>
            <w:tcW w:w="1701" w:type="dxa"/>
            <w:vAlign w:val="center"/>
          </w:tcPr>
          <w:p w14:paraId="180E0BB3">
            <w:pPr>
              <w:spacing w:line="360" w:lineRule="auto"/>
              <w:jc w:val="left"/>
              <w:rPr>
                <w:rFonts w:hint="eastAsia" w:ascii="宋体" w:hAnsi="宋体"/>
                <w:color w:val="auto"/>
                <w:szCs w:val="21"/>
              </w:rPr>
            </w:pPr>
          </w:p>
        </w:tc>
        <w:tc>
          <w:tcPr>
            <w:tcW w:w="1701" w:type="dxa"/>
          </w:tcPr>
          <w:p w14:paraId="75C38137">
            <w:pPr>
              <w:spacing w:line="360" w:lineRule="auto"/>
              <w:jc w:val="center"/>
              <w:rPr>
                <w:rFonts w:hint="eastAsia" w:ascii="宋体" w:hAnsi="宋体"/>
                <w:color w:val="auto"/>
                <w:szCs w:val="21"/>
              </w:rPr>
            </w:pPr>
          </w:p>
        </w:tc>
        <w:tc>
          <w:tcPr>
            <w:tcW w:w="1276" w:type="dxa"/>
            <w:vAlign w:val="center"/>
          </w:tcPr>
          <w:p w14:paraId="39776348">
            <w:pPr>
              <w:spacing w:line="360" w:lineRule="auto"/>
              <w:jc w:val="center"/>
              <w:rPr>
                <w:rFonts w:hint="eastAsia" w:ascii="宋体" w:hAnsi="宋体"/>
                <w:color w:val="auto"/>
                <w:szCs w:val="21"/>
              </w:rPr>
            </w:pPr>
          </w:p>
        </w:tc>
      </w:tr>
      <w:tr w14:paraId="36F0C7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FC91CB2">
            <w:pPr>
              <w:spacing w:line="360" w:lineRule="auto"/>
              <w:jc w:val="center"/>
              <w:rPr>
                <w:rFonts w:hint="eastAsia" w:ascii="宋体" w:hAnsi="宋体"/>
                <w:color w:val="auto"/>
                <w:szCs w:val="21"/>
              </w:rPr>
            </w:pPr>
          </w:p>
        </w:tc>
        <w:tc>
          <w:tcPr>
            <w:tcW w:w="1134" w:type="dxa"/>
            <w:vAlign w:val="center"/>
          </w:tcPr>
          <w:p w14:paraId="6286A53C">
            <w:pPr>
              <w:spacing w:line="360" w:lineRule="auto"/>
              <w:jc w:val="center"/>
              <w:rPr>
                <w:rFonts w:hint="eastAsia" w:ascii="宋体" w:hAnsi="宋体"/>
                <w:color w:val="auto"/>
                <w:szCs w:val="21"/>
              </w:rPr>
            </w:pPr>
          </w:p>
        </w:tc>
        <w:tc>
          <w:tcPr>
            <w:tcW w:w="709" w:type="dxa"/>
            <w:vAlign w:val="center"/>
          </w:tcPr>
          <w:p w14:paraId="79051F5C">
            <w:pPr>
              <w:spacing w:line="360" w:lineRule="auto"/>
              <w:jc w:val="center"/>
              <w:rPr>
                <w:rFonts w:hint="eastAsia" w:ascii="宋体" w:hAnsi="宋体"/>
                <w:color w:val="auto"/>
                <w:szCs w:val="21"/>
              </w:rPr>
            </w:pPr>
          </w:p>
        </w:tc>
        <w:tc>
          <w:tcPr>
            <w:tcW w:w="850" w:type="dxa"/>
            <w:vAlign w:val="center"/>
          </w:tcPr>
          <w:p w14:paraId="64F23415">
            <w:pPr>
              <w:spacing w:line="360" w:lineRule="auto"/>
              <w:jc w:val="center"/>
              <w:rPr>
                <w:rFonts w:hint="eastAsia" w:ascii="宋体" w:hAnsi="宋体"/>
                <w:color w:val="auto"/>
                <w:szCs w:val="21"/>
              </w:rPr>
            </w:pPr>
          </w:p>
        </w:tc>
        <w:tc>
          <w:tcPr>
            <w:tcW w:w="851" w:type="dxa"/>
            <w:vAlign w:val="center"/>
          </w:tcPr>
          <w:p w14:paraId="782ECC39">
            <w:pPr>
              <w:spacing w:line="360" w:lineRule="auto"/>
              <w:jc w:val="center"/>
              <w:rPr>
                <w:rFonts w:hint="eastAsia" w:ascii="宋体" w:hAnsi="宋体"/>
                <w:color w:val="auto"/>
                <w:szCs w:val="21"/>
              </w:rPr>
            </w:pPr>
          </w:p>
        </w:tc>
        <w:tc>
          <w:tcPr>
            <w:tcW w:w="1701" w:type="dxa"/>
            <w:vAlign w:val="center"/>
          </w:tcPr>
          <w:p w14:paraId="53D47A34">
            <w:pPr>
              <w:spacing w:line="360" w:lineRule="auto"/>
              <w:jc w:val="left"/>
              <w:rPr>
                <w:rFonts w:hint="eastAsia" w:ascii="宋体" w:hAnsi="宋体"/>
                <w:color w:val="auto"/>
                <w:szCs w:val="21"/>
              </w:rPr>
            </w:pPr>
          </w:p>
        </w:tc>
        <w:tc>
          <w:tcPr>
            <w:tcW w:w="1701" w:type="dxa"/>
          </w:tcPr>
          <w:p w14:paraId="56151CAA">
            <w:pPr>
              <w:spacing w:line="360" w:lineRule="auto"/>
              <w:jc w:val="center"/>
              <w:rPr>
                <w:rFonts w:hint="eastAsia" w:ascii="宋体" w:hAnsi="宋体"/>
                <w:color w:val="auto"/>
                <w:szCs w:val="21"/>
              </w:rPr>
            </w:pPr>
          </w:p>
        </w:tc>
        <w:tc>
          <w:tcPr>
            <w:tcW w:w="1276" w:type="dxa"/>
            <w:vAlign w:val="center"/>
          </w:tcPr>
          <w:p w14:paraId="310A5383">
            <w:pPr>
              <w:spacing w:line="360" w:lineRule="auto"/>
              <w:jc w:val="center"/>
              <w:rPr>
                <w:rFonts w:hint="eastAsia" w:ascii="宋体" w:hAnsi="宋体"/>
                <w:color w:val="auto"/>
                <w:szCs w:val="21"/>
              </w:rPr>
            </w:pPr>
          </w:p>
        </w:tc>
      </w:tr>
      <w:tr w14:paraId="0C611F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E91D1C1">
            <w:pPr>
              <w:spacing w:line="360" w:lineRule="auto"/>
              <w:jc w:val="center"/>
              <w:rPr>
                <w:rFonts w:hint="eastAsia" w:ascii="宋体" w:hAnsi="宋体"/>
                <w:color w:val="auto"/>
                <w:szCs w:val="21"/>
              </w:rPr>
            </w:pPr>
            <w:r>
              <w:rPr>
                <w:rFonts w:hint="eastAsia" w:ascii="宋体" w:hAnsi="宋体"/>
                <w:color w:val="auto"/>
                <w:szCs w:val="21"/>
              </w:rPr>
              <w:t>小计</w:t>
            </w:r>
          </w:p>
        </w:tc>
        <w:tc>
          <w:tcPr>
            <w:tcW w:w="1134" w:type="dxa"/>
            <w:vAlign w:val="center"/>
          </w:tcPr>
          <w:p w14:paraId="058EB74B">
            <w:pPr>
              <w:spacing w:line="360" w:lineRule="auto"/>
              <w:jc w:val="center"/>
              <w:rPr>
                <w:rFonts w:hint="eastAsia" w:ascii="宋体" w:hAnsi="宋体"/>
                <w:color w:val="auto"/>
                <w:szCs w:val="21"/>
              </w:rPr>
            </w:pPr>
          </w:p>
        </w:tc>
        <w:tc>
          <w:tcPr>
            <w:tcW w:w="709" w:type="dxa"/>
            <w:vAlign w:val="center"/>
          </w:tcPr>
          <w:p w14:paraId="6145B908">
            <w:pPr>
              <w:spacing w:line="360" w:lineRule="auto"/>
              <w:jc w:val="center"/>
              <w:rPr>
                <w:rFonts w:hint="eastAsia" w:ascii="宋体" w:hAnsi="宋体"/>
                <w:color w:val="auto"/>
                <w:szCs w:val="21"/>
              </w:rPr>
            </w:pPr>
          </w:p>
        </w:tc>
        <w:tc>
          <w:tcPr>
            <w:tcW w:w="850" w:type="dxa"/>
            <w:vAlign w:val="center"/>
          </w:tcPr>
          <w:p w14:paraId="7C7AF3CF">
            <w:pPr>
              <w:spacing w:line="360" w:lineRule="auto"/>
              <w:jc w:val="center"/>
              <w:rPr>
                <w:rFonts w:hint="eastAsia" w:ascii="宋体" w:hAnsi="宋体"/>
                <w:color w:val="auto"/>
                <w:szCs w:val="21"/>
              </w:rPr>
            </w:pPr>
          </w:p>
        </w:tc>
        <w:tc>
          <w:tcPr>
            <w:tcW w:w="851" w:type="dxa"/>
            <w:vAlign w:val="center"/>
          </w:tcPr>
          <w:p w14:paraId="48805979">
            <w:pPr>
              <w:spacing w:line="360" w:lineRule="auto"/>
              <w:jc w:val="center"/>
              <w:rPr>
                <w:rFonts w:hint="eastAsia" w:ascii="宋体" w:hAnsi="宋体"/>
                <w:color w:val="auto"/>
                <w:szCs w:val="21"/>
              </w:rPr>
            </w:pPr>
          </w:p>
        </w:tc>
        <w:tc>
          <w:tcPr>
            <w:tcW w:w="1701" w:type="dxa"/>
            <w:vAlign w:val="center"/>
          </w:tcPr>
          <w:p w14:paraId="28CBBFA4">
            <w:pPr>
              <w:spacing w:line="360" w:lineRule="auto"/>
              <w:jc w:val="left"/>
              <w:rPr>
                <w:rFonts w:hint="eastAsia" w:ascii="宋体" w:hAnsi="宋体"/>
                <w:color w:val="auto"/>
                <w:szCs w:val="21"/>
              </w:rPr>
            </w:pPr>
          </w:p>
        </w:tc>
        <w:tc>
          <w:tcPr>
            <w:tcW w:w="1701" w:type="dxa"/>
          </w:tcPr>
          <w:p w14:paraId="654728CA">
            <w:pPr>
              <w:spacing w:line="360" w:lineRule="auto"/>
              <w:jc w:val="center"/>
              <w:rPr>
                <w:rFonts w:hint="eastAsia" w:ascii="宋体" w:hAnsi="宋体"/>
                <w:color w:val="auto"/>
                <w:szCs w:val="21"/>
              </w:rPr>
            </w:pPr>
          </w:p>
        </w:tc>
        <w:tc>
          <w:tcPr>
            <w:tcW w:w="1276" w:type="dxa"/>
            <w:vAlign w:val="center"/>
          </w:tcPr>
          <w:p w14:paraId="3648712B">
            <w:pPr>
              <w:spacing w:line="360" w:lineRule="auto"/>
              <w:jc w:val="center"/>
              <w:rPr>
                <w:rFonts w:hint="eastAsia" w:ascii="宋体" w:hAnsi="宋体"/>
                <w:color w:val="auto"/>
                <w:szCs w:val="21"/>
              </w:rPr>
            </w:pPr>
          </w:p>
        </w:tc>
      </w:tr>
      <w:tr w14:paraId="5F943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8931" w:type="dxa"/>
            <w:gridSpan w:val="8"/>
            <w:vAlign w:val="center"/>
          </w:tcPr>
          <w:p w14:paraId="6C18657F">
            <w:pPr>
              <w:spacing w:line="360" w:lineRule="auto"/>
              <w:jc w:val="left"/>
              <w:rPr>
                <w:rFonts w:hint="eastAsia" w:ascii="宋体" w:hAnsi="宋体"/>
                <w:b/>
                <w:color w:val="auto"/>
                <w:szCs w:val="21"/>
              </w:rPr>
            </w:pPr>
            <w:r>
              <w:rPr>
                <w:rFonts w:hint="eastAsia" w:ascii="宋体" w:hAnsi="宋体"/>
                <w:b/>
                <w:color w:val="auto"/>
                <w:szCs w:val="21"/>
              </w:rPr>
              <w:t>小型、微型</w:t>
            </w:r>
          </w:p>
        </w:tc>
      </w:tr>
      <w:tr w14:paraId="149C6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D638E69">
            <w:pPr>
              <w:spacing w:line="360" w:lineRule="auto"/>
              <w:jc w:val="center"/>
              <w:rPr>
                <w:rFonts w:hint="eastAsia" w:ascii="宋体" w:hAnsi="宋体"/>
                <w:color w:val="auto"/>
                <w:szCs w:val="21"/>
              </w:rPr>
            </w:pPr>
          </w:p>
        </w:tc>
        <w:tc>
          <w:tcPr>
            <w:tcW w:w="1134" w:type="dxa"/>
            <w:vAlign w:val="center"/>
          </w:tcPr>
          <w:p w14:paraId="154C24B9">
            <w:pPr>
              <w:spacing w:line="360" w:lineRule="auto"/>
              <w:jc w:val="center"/>
              <w:rPr>
                <w:rFonts w:hint="eastAsia" w:ascii="宋体" w:hAnsi="宋体"/>
                <w:color w:val="auto"/>
                <w:szCs w:val="21"/>
              </w:rPr>
            </w:pPr>
          </w:p>
        </w:tc>
        <w:tc>
          <w:tcPr>
            <w:tcW w:w="709" w:type="dxa"/>
            <w:vAlign w:val="center"/>
          </w:tcPr>
          <w:p w14:paraId="272C9757">
            <w:pPr>
              <w:spacing w:line="360" w:lineRule="auto"/>
              <w:jc w:val="center"/>
              <w:rPr>
                <w:rFonts w:hint="eastAsia" w:ascii="宋体" w:hAnsi="宋体"/>
                <w:color w:val="auto"/>
                <w:szCs w:val="21"/>
              </w:rPr>
            </w:pPr>
          </w:p>
        </w:tc>
        <w:tc>
          <w:tcPr>
            <w:tcW w:w="850" w:type="dxa"/>
            <w:vAlign w:val="center"/>
          </w:tcPr>
          <w:p w14:paraId="21C09A1E">
            <w:pPr>
              <w:spacing w:line="360" w:lineRule="auto"/>
              <w:jc w:val="center"/>
              <w:rPr>
                <w:rFonts w:hint="eastAsia" w:ascii="宋体" w:hAnsi="宋体"/>
                <w:color w:val="auto"/>
                <w:szCs w:val="21"/>
              </w:rPr>
            </w:pPr>
          </w:p>
        </w:tc>
        <w:tc>
          <w:tcPr>
            <w:tcW w:w="851" w:type="dxa"/>
            <w:vAlign w:val="center"/>
          </w:tcPr>
          <w:p w14:paraId="3D53DB8E">
            <w:pPr>
              <w:spacing w:line="360" w:lineRule="auto"/>
              <w:jc w:val="center"/>
              <w:rPr>
                <w:rFonts w:hint="eastAsia" w:ascii="宋体" w:hAnsi="宋体"/>
                <w:color w:val="auto"/>
                <w:szCs w:val="21"/>
              </w:rPr>
            </w:pPr>
          </w:p>
        </w:tc>
        <w:tc>
          <w:tcPr>
            <w:tcW w:w="1701" w:type="dxa"/>
            <w:vAlign w:val="center"/>
          </w:tcPr>
          <w:p w14:paraId="7E4AA716">
            <w:pPr>
              <w:spacing w:line="360" w:lineRule="auto"/>
              <w:jc w:val="center"/>
              <w:rPr>
                <w:rFonts w:hint="eastAsia" w:ascii="宋体" w:hAnsi="宋体"/>
                <w:color w:val="auto"/>
                <w:szCs w:val="21"/>
              </w:rPr>
            </w:pPr>
          </w:p>
        </w:tc>
        <w:tc>
          <w:tcPr>
            <w:tcW w:w="1701" w:type="dxa"/>
          </w:tcPr>
          <w:p w14:paraId="66CF979A">
            <w:pPr>
              <w:spacing w:line="360" w:lineRule="auto"/>
              <w:jc w:val="center"/>
              <w:rPr>
                <w:rFonts w:hint="eastAsia" w:ascii="宋体" w:hAnsi="宋体"/>
                <w:color w:val="auto"/>
                <w:szCs w:val="21"/>
              </w:rPr>
            </w:pPr>
          </w:p>
        </w:tc>
        <w:tc>
          <w:tcPr>
            <w:tcW w:w="1276" w:type="dxa"/>
            <w:vAlign w:val="center"/>
          </w:tcPr>
          <w:p w14:paraId="3A77C10D">
            <w:pPr>
              <w:spacing w:line="360" w:lineRule="auto"/>
              <w:jc w:val="center"/>
              <w:rPr>
                <w:rFonts w:hint="eastAsia" w:ascii="宋体" w:hAnsi="宋体"/>
                <w:color w:val="auto"/>
                <w:szCs w:val="21"/>
              </w:rPr>
            </w:pPr>
          </w:p>
        </w:tc>
      </w:tr>
      <w:tr w14:paraId="79578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EF508D1">
            <w:pPr>
              <w:spacing w:line="360" w:lineRule="auto"/>
              <w:jc w:val="center"/>
              <w:rPr>
                <w:rFonts w:hint="eastAsia" w:ascii="宋体" w:hAnsi="宋体"/>
                <w:color w:val="auto"/>
                <w:szCs w:val="21"/>
              </w:rPr>
            </w:pPr>
          </w:p>
        </w:tc>
        <w:tc>
          <w:tcPr>
            <w:tcW w:w="1134" w:type="dxa"/>
            <w:vAlign w:val="center"/>
          </w:tcPr>
          <w:p w14:paraId="50A098EF">
            <w:pPr>
              <w:spacing w:line="360" w:lineRule="auto"/>
              <w:jc w:val="center"/>
              <w:rPr>
                <w:rFonts w:hint="eastAsia" w:ascii="宋体" w:hAnsi="宋体"/>
                <w:color w:val="auto"/>
                <w:szCs w:val="21"/>
              </w:rPr>
            </w:pPr>
          </w:p>
        </w:tc>
        <w:tc>
          <w:tcPr>
            <w:tcW w:w="709" w:type="dxa"/>
            <w:vAlign w:val="center"/>
          </w:tcPr>
          <w:p w14:paraId="098186A4">
            <w:pPr>
              <w:spacing w:line="360" w:lineRule="auto"/>
              <w:jc w:val="center"/>
              <w:rPr>
                <w:rFonts w:hint="eastAsia" w:ascii="宋体" w:hAnsi="宋体"/>
                <w:color w:val="auto"/>
                <w:szCs w:val="21"/>
              </w:rPr>
            </w:pPr>
          </w:p>
        </w:tc>
        <w:tc>
          <w:tcPr>
            <w:tcW w:w="850" w:type="dxa"/>
            <w:vAlign w:val="center"/>
          </w:tcPr>
          <w:p w14:paraId="2C80A9DB">
            <w:pPr>
              <w:spacing w:line="360" w:lineRule="auto"/>
              <w:jc w:val="center"/>
              <w:rPr>
                <w:rFonts w:hint="eastAsia" w:ascii="宋体" w:hAnsi="宋体"/>
                <w:color w:val="auto"/>
                <w:szCs w:val="21"/>
              </w:rPr>
            </w:pPr>
          </w:p>
        </w:tc>
        <w:tc>
          <w:tcPr>
            <w:tcW w:w="851" w:type="dxa"/>
            <w:vAlign w:val="center"/>
          </w:tcPr>
          <w:p w14:paraId="409C47F8">
            <w:pPr>
              <w:spacing w:line="360" w:lineRule="auto"/>
              <w:jc w:val="center"/>
              <w:rPr>
                <w:rFonts w:hint="eastAsia" w:ascii="宋体" w:hAnsi="宋体"/>
                <w:color w:val="auto"/>
                <w:szCs w:val="21"/>
              </w:rPr>
            </w:pPr>
          </w:p>
        </w:tc>
        <w:tc>
          <w:tcPr>
            <w:tcW w:w="1701" w:type="dxa"/>
            <w:vAlign w:val="center"/>
          </w:tcPr>
          <w:p w14:paraId="42474669">
            <w:pPr>
              <w:spacing w:line="360" w:lineRule="auto"/>
              <w:jc w:val="center"/>
              <w:rPr>
                <w:rFonts w:hint="eastAsia" w:ascii="宋体" w:hAnsi="宋体"/>
                <w:color w:val="auto"/>
                <w:szCs w:val="21"/>
              </w:rPr>
            </w:pPr>
          </w:p>
        </w:tc>
        <w:tc>
          <w:tcPr>
            <w:tcW w:w="1701" w:type="dxa"/>
          </w:tcPr>
          <w:p w14:paraId="47DBF099">
            <w:pPr>
              <w:spacing w:line="360" w:lineRule="auto"/>
              <w:jc w:val="center"/>
              <w:rPr>
                <w:rFonts w:hint="eastAsia" w:ascii="宋体" w:hAnsi="宋体"/>
                <w:color w:val="auto"/>
                <w:szCs w:val="21"/>
              </w:rPr>
            </w:pPr>
          </w:p>
        </w:tc>
        <w:tc>
          <w:tcPr>
            <w:tcW w:w="1276" w:type="dxa"/>
            <w:vAlign w:val="center"/>
          </w:tcPr>
          <w:p w14:paraId="1F3DE9B1">
            <w:pPr>
              <w:spacing w:line="360" w:lineRule="auto"/>
              <w:jc w:val="center"/>
              <w:rPr>
                <w:rFonts w:hint="eastAsia" w:ascii="宋体" w:hAnsi="宋体"/>
                <w:color w:val="auto"/>
                <w:szCs w:val="21"/>
              </w:rPr>
            </w:pPr>
          </w:p>
        </w:tc>
      </w:tr>
      <w:tr w14:paraId="0645C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783B7E2">
            <w:pPr>
              <w:spacing w:line="360" w:lineRule="auto"/>
              <w:jc w:val="center"/>
              <w:rPr>
                <w:rFonts w:hint="eastAsia" w:ascii="宋体" w:hAnsi="宋体"/>
                <w:color w:val="auto"/>
                <w:szCs w:val="21"/>
              </w:rPr>
            </w:pPr>
            <w:r>
              <w:rPr>
                <w:rFonts w:hint="eastAsia" w:ascii="宋体" w:hAnsi="宋体"/>
                <w:color w:val="auto"/>
                <w:szCs w:val="21"/>
              </w:rPr>
              <w:t>小计</w:t>
            </w:r>
          </w:p>
        </w:tc>
        <w:tc>
          <w:tcPr>
            <w:tcW w:w="1134" w:type="dxa"/>
            <w:vAlign w:val="center"/>
          </w:tcPr>
          <w:p w14:paraId="2CB48023">
            <w:pPr>
              <w:spacing w:line="360" w:lineRule="auto"/>
              <w:jc w:val="center"/>
              <w:rPr>
                <w:rFonts w:hint="eastAsia" w:ascii="宋体" w:hAnsi="宋体"/>
                <w:color w:val="auto"/>
                <w:szCs w:val="21"/>
              </w:rPr>
            </w:pPr>
          </w:p>
        </w:tc>
        <w:tc>
          <w:tcPr>
            <w:tcW w:w="709" w:type="dxa"/>
            <w:vAlign w:val="center"/>
          </w:tcPr>
          <w:p w14:paraId="4DA34DF5">
            <w:pPr>
              <w:spacing w:line="360" w:lineRule="auto"/>
              <w:jc w:val="center"/>
              <w:rPr>
                <w:rFonts w:hint="eastAsia" w:ascii="宋体" w:hAnsi="宋体"/>
                <w:color w:val="auto"/>
                <w:szCs w:val="21"/>
              </w:rPr>
            </w:pPr>
          </w:p>
        </w:tc>
        <w:tc>
          <w:tcPr>
            <w:tcW w:w="850" w:type="dxa"/>
            <w:vAlign w:val="center"/>
          </w:tcPr>
          <w:p w14:paraId="506A881C">
            <w:pPr>
              <w:spacing w:line="360" w:lineRule="auto"/>
              <w:jc w:val="center"/>
              <w:rPr>
                <w:rFonts w:hint="eastAsia" w:ascii="宋体" w:hAnsi="宋体"/>
                <w:color w:val="auto"/>
                <w:szCs w:val="21"/>
              </w:rPr>
            </w:pPr>
          </w:p>
        </w:tc>
        <w:tc>
          <w:tcPr>
            <w:tcW w:w="851" w:type="dxa"/>
            <w:vAlign w:val="center"/>
          </w:tcPr>
          <w:p w14:paraId="4E1DC05B">
            <w:pPr>
              <w:spacing w:line="360" w:lineRule="auto"/>
              <w:jc w:val="center"/>
              <w:rPr>
                <w:rFonts w:hint="eastAsia" w:ascii="宋体" w:hAnsi="宋体"/>
                <w:color w:val="auto"/>
                <w:szCs w:val="21"/>
              </w:rPr>
            </w:pPr>
          </w:p>
        </w:tc>
        <w:tc>
          <w:tcPr>
            <w:tcW w:w="1701" w:type="dxa"/>
            <w:vAlign w:val="center"/>
          </w:tcPr>
          <w:p w14:paraId="2DF67D4C">
            <w:pPr>
              <w:spacing w:line="360" w:lineRule="auto"/>
              <w:jc w:val="center"/>
              <w:rPr>
                <w:rFonts w:hint="eastAsia" w:ascii="宋体" w:hAnsi="宋体"/>
                <w:color w:val="auto"/>
                <w:szCs w:val="21"/>
              </w:rPr>
            </w:pPr>
          </w:p>
        </w:tc>
        <w:tc>
          <w:tcPr>
            <w:tcW w:w="1701" w:type="dxa"/>
          </w:tcPr>
          <w:p w14:paraId="4D2A5231">
            <w:pPr>
              <w:spacing w:line="360" w:lineRule="auto"/>
              <w:jc w:val="center"/>
              <w:rPr>
                <w:rFonts w:hint="eastAsia" w:ascii="宋体" w:hAnsi="宋体"/>
                <w:color w:val="auto"/>
                <w:szCs w:val="21"/>
              </w:rPr>
            </w:pPr>
          </w:p>
        </w:tc>
        <w:tc>
          <w:tcPr>
            <w:tcW w:w="1276" w:type="dxa"/>
            <w:vAlign w:val="center"/>
          </w:tcPr>
          <w:p w14:paraId="02AD3DC7">
            <w:pPr>
              <w:spacing w:line="360" w:lineRule="auto"/>
              <w:jc w:val="center"/>
              <w:rPr>
                <w:rFonts w:hint="eastAsia" w:ascii="宋体" w:hAnsi="宋体"/>
                <w:color w:val="auto"/>
                <w:szCs w:val="21"/>
              </w:rPr>
            </w:pPr>
          </w:p>
        </w:tc>
      </w:tr>
    </w:tbl>
    <w:p w14:paraId="5F09A54A">
      <w:pPr>
        <w:spacing w:line="360" w:lineRule="auto"/>
        <w:rPr>
          <w:rFonts w:hint="eastAsia" w:ascii="仿宋_GB2312" w:hAnsi="宋体" w:eastAsia="仿宋_GB2312"/>
          <w:color w:val="auto"/>
          <w:szCs w:val="21"/>
        </w:rPr>
      </w:pPr>
      <w:r>
        <w:rPr>
          <w:rFonts w:hint="eastAsia" w:ascii="仿宋_GB2312" w:hAnsi="宋体" w:eastAsia="仿宋_GB2312"/>
          <w:color w:val="auto"/>
          <w:szCs w:val="21"/>
        </w:rPr>
        <w:t>说明：1、本表用于计算小微企业应享受的政策功能价格扣除。</w:t>
      </w:r>
    </w:p>
    <w:p w14:paraId="01DA26D9">
      <w:pPr>
        <w:spacing w:line="360" w:lineRule="auto"/>
        <w:ind w:firstLine="630" w:firstLineChars="300"/>
        <w:rPr>
          <w:rFonts w:hint="eastAsia" w:ascii="仿宋_GB2312" w:hAnsi="宋体" w:eastAsia="仿宋_GB2312"/>
          <w:color w:val="auto"/>
          <w:szCs w:val="21"/>
        </w:rPr>
      </w:pPr>
      <w:r>
        <w:rPr>
          <w:rFonts w:hint="eastAsia" w:ascii="仿宋_GB2312" w:hAnsi="宋体" w:eastAsia="仿宋_GB2312"/>
          <w:color w:val="auto"/>
          <w:szCs w:val="21"/>
        </w:rPr>
        <w:t>2、栏目7“货物制造商类型”，填写：小型、微型。</w:t>
      </w:r>
    </w:p>
    <w:p w14:paraId="3E5E189E">
      <w:pPr>
        <w:spacing w:line="360" w:lineRule="auto"/>
        <w:ind w:firstLine="630" w:firstLineChars="300"/>
        <w:rPr>
          <w:rFonts w:hint="eastAsia" w:ascii="仿宋_GB2312" w:hAnsi="宋体" w:eastAsia="仿宋_GB2312"/>
          <w:color w:val="auto"/>
          <w:szCs w:val="21"/>
        </w:rPr>
      </w:pPr>
      <w:r>
        <w:rPr>
          <w:rFonts w:hint="eastAsia" w:ascii="仿宋_GB2312" w:hAnsi="宋体" w:eastAsia="仿宋_GB2312"/>
          <w:color w:val="auto"/>
          <w:szCs w:val="21"/>
        </w:rPr>
        <w:t>3、栏目4“单价”为综合单价，包含货物所有隐含的内容，如运输费、保险费、管理费和利润等。</w:t>
      </w:r>
    </w:p>
    <w:p w14:paraId="164802FA">
      <w:pPr>
        <w:spacing w:line="360" w:lineRule="auto"/>
        <w:ind w:firstLine="630" w:firstLineChars="300"/>
        <w:rPr>
          <w:rFonts w:hint="eastAsia" w:ascii="黑体" w:hAnsi="宋体" w:eastAsia="黑体"/>
          <w:color w:val="auto"/>
          <w:szCs w:val="21"/>
        </w:rPr>
      </w:pPr>
      <w:r>
        <w:rPr>
          <w:rFonts w:hint="eastAsia" w:ascii="黑体" w:hAnsi="宋体" w:eastAsia="黑体"/>
          <w:color w:val="auto"/>
          <w:szCs w:val="21"/>
        </w:rPr>
        <w:t>4、未提供《小微企业声明函》及未按上述要求填写，或者提供的内容不真实的，评审时本表所有优惠不予以考虑。对提供的内容不真实的，监督管理部门可能以冒充小微企业参与政府采购活动谋取中标，依法予以处理。</w:t>
      </w:r>
    </w:p>
    <w:p w14:paraId="1CF002B1">
      <w:pPr>
        <w:spacing w:line="360" w:lineRule="auto"/>
        <w:rPr>
          <w:rFonts w:hint="eastAsia" w:ascii="宋体" w:hAnsi="宋体"/>
          <w:color w:val="auto"/>
          <w:szCs w:val="21"/>
        </w:rPr>
      </w:pPr>
      <w:r>
        <w:rPr>
          <w:rFonts w:hint="eastAsia" w:ascii="宋体" w:hAnsi="宋体"/>
          <w:color w:val="auto"/>
          <w:szCs w:val="21"/>
        </w:rPr>
        <w:t>供应商名称（单位章）：</w:t>
      </w:r>
    </w:p>
    <w:p w14:paraId="00CCFA22">
      <w:pPr>
        <w:spacing w:line="360" w:lineRule="auto"/>
        <w:rPr>
          <w:rFonts w:hint="eastAsia"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14:paraId="322AAD59">
      <w:pPr>
        <w:spacing w:line="36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A5BE777">
      <w:pPr>
        <w:ind w:firstLine="1759" w:firstLineChars="600"/>
        <w:rPr>
          <w:rFonts w:hint="eastAsia" w:ascii="黑体" w:hAnsi="黑体" w:eastAsia="黑体"/>
          <w:b/>
          <w:spacing w:val="6"/>
          <w:sz w:val="28"/>
          <w:szCs w:val="28"/>
        </w:rPr>
      </w:pPr>
    </w:p>
    <w:p w14:paraId="0D3A1C06">
      <w:pPr>
        <w:ind w:firstLine="1759" w:firstLineChars="600"/>
        <w:rPr>
          <w:rFonts w:hint="eastAsia" w:ascii="黑体" w:hAnsi="黑体" w:eastAsia="黑体"/>
          <w:b/>
          <w:spacing w:val="6"/>
          <w:sz w:val="28"/>
          <w:szCs w:val="28"/>
        </w:rPr>
      </w:pPr>
    </w:p>
    <w:p w14:paraId="1EA85B59">
      <w:pPr>
        <w:ind w:firstLine="1759" w:firstLineChars="600"/>
        <w:rPr>
          <w:rFonts w:hint="eastAsia" w:ascii="黑体" w:hAnsi="黑体" w:eastAsia="黑体"/>
          <w:b/>
          <w:spacing w:val="6"/>
          <w:sz w:val="28"/>
          <w:szCs w:val="28"/>
        </w:rPr>
      </w:pPr>
    </w:p>
    <w:p w14:paraId="791A95CD">
      <w:pPr>
        <w:ind w:firstLine="1759" w:firstLineChars="600"/>
        <w:rPr>
          <w:rFonts w:hint="eastAsia" w:ascii="黑体" w:hAnsi="黑体" w:eastAsia="黑体"/>
          <w:b/>
          <w:spacing w:val="6"/>
          <w:sz w:val="28"/>
          <w:szCs w:val="28"/>
        </w:rPr>
      </w:pPr>
    </w:p>
    <w:p w14:paraId="3BAA6118">
      <w:pPr>
        <w:ind w:firstLine="1759" w:firstLineChars="600"/>
        <w:rPr>
          <w:rFonts w:hint="eastAsia" w:ascii="黑体" w:hAnsi="黑体" w:eastAsia="黑体"/>
          <w:b/>
          <w:spacing w:val="6"/>
          <w:sz w:val="28"/>
          <w:szCs w:val="28"/>
        </w:rPr>
      </w:pPr>
      <w:r>
        <w:rPr>
          <w:rFonts w:hint="eastAsia" w:ascii="黑体" w:hAnsi="黑体" w:eastAsia="黑体"/>
          <w:b/>
          <w:spacing w:val="6"/>
          <w:sz w:val="28"/>
          <w:szCs w:val="28"/>
        </w:rPr>
        <w:t>“节能产品”、“环境标志产品”证明材料</w:t>
      </w:r>
    </w:p>
    <w:p w14:paraId="79CCC290">
      <w:pPr>
        <w:jc w:val="center"/>
        <w:rPr>
          <w:rFonts w:hint="eastAsia" w:ascii="黑体" w:hAnsi="黑体" w:eastAsia="黑体"/>
          <w:b/>
          <w:spacing w:val="6"/>
          <w:sz w:val="28"/>
          <w:szCs w:val="28"/>
        </w:rPr>
      </w:pPr>
      <w:r>
        <w:rPr>
          <w:rFonts w:hint="eastAsia"/>
          <w:color w:val="auto"/>
          <w:sz w:val="24"/>
        </w:rPr>
        <w:t>（本项目不适用，无需提供）</w:t>
      </w:r>
    </w:p>
    <w:p w14:paraId="69F36159">
      <w:pPr>
        <w:spacing w:line="480" w:lineRule="exact"/>
        <w:ind w:left="360" w:hanging="360"/>
        <w:rPr>
          <w:rFonts w:asciiTheme="minorEastAsia" w:hAnsiTheme="minorEastAsia" w:eastAsiaTheme="minorEastAsia" w:cstheme="minorEastAsia"/>
          <w:sz w:val="24"/>
        </w:rPr>
      </w:pPr>
    </w:p>
    <w:p w14:paraId="584E8EB8">
      <w:pPr>
        <w:adjustRightInd w:val="0"/>
        <w:snapToGrid w:val="0"/>
        <w:spacing w:line="360" w:lineRule="auto"/>
        <w:ind w:hanging="315"/>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szCs w:val="21"/>
        </w:rPr>
        <w:t>供应商提供的产品</w:t>
      </w:r>
      <w:r>
        <w:rPr>
          <w:rFonts w:hint="eastAsia" w:asciiTheme="minorEastAsia" w:hAnsiTheme="minorEastAsia" w:eastAsiaTheme="minorEastAsia" w:cstheme="minorEastAsia"/>
          <w:bCs/>
          <w:szCs w:val="21"/>
        </w:rPr>
        <w:t>属于</w:t>
      </w:r>
      <w:r>
        <w:rPr>
          <w:rFonts w:hint="eastAsia" w:asciiTheme="minorEastAsia" w:hAnsiTheme="minorEastAsia" w:eastAsiaTheme="minorEastAsia" w:cstheme="minorEastAsia"/>
          <w:szCs w:val="21"/>
        </w:rPr>
        <w:t>下列情形，应按第二章磋商须知第2.8款、第9.2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规定提供相关证明材料(</w:t>
      </w:r>
      <w:r>
        <w:rPr>
          <w:rFonts w:hint="eastAsia" w:asciiTheme="minorEastAsia" w:hAnsiTheme="minorEastAsia" w:eastAsiaTheme="minorEastAsia" w:cstheme="minorEastAsia"/>
          <w:bCs/>
          <w:szCs w:val="21"/>
        </w:rPr>
        <w:t>清单或目录所在页复印件</w:t>
      </w:r>
      <w:r>
        <w:rPr>
          <w:rFonts w:hint="eastAsia" w:asciiTheme="minorEastAsia" w:hAnsiTheme="minorEastAsia" w:eastAsiaTheme="minorEastAsia" w:cstheme="minorEastAsia"/>
          <w:szCs w:val="21"/>
        </w:rPr>
        <w:t>)，并在本章《</w:t>
      </w:r>
      <w:r>
        <w:rPr>
          <w:rFonts w:hint="eastAsia" w:asciiTheme="minorEastAsia" w:hAnsiTheme="minorEastAsia" w:eastAsiaTheme="minorEastAsia" w:cstheme="minorEastAsia"/>
          <w:bCs/>
          <w:szCs w:val="21"/>
        </w:rPr>
        <w:t>七、</w:t>
      </w:r>
      <w:r>
        <w:rPr>
          <w:rFonts w:hint="eastAsia" w:asciiTheme="minorEastAsia" w:hAnsiTheme="minorEastAsia" w:eastAsiaTheme="minorEastAsia" w:cstheme="minorEastAsia"/>
          <w:szCs w:val="21"/>
        </w:rPr>
        <w:t>报价一览表及报价文件》中提供相应数据。</w:t>
      </w:r>
    </w:p>
    <w:p w14:paraId="66A8127D">
      <w:pPr>
        <w:adjustRightInd w:val="0"/>
        <w:snapToGrid w:val="0"/>
        <w:spacing w:line="360" w:lineRule="auto"/>
        <w:ind w:firstLine="525" w:firstLineChars="25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(1)符合</w:t>
      </w:r>
      <w:r>
        <w:rPr>
          <w:rFonts w:hint="eastAsia" w:asciiTheme="minorEastAsia" w:hAnsiTheme="minorEastAsia" w:eastAsiaTheme="minorEastAsia" w:cstheme="minorEastAsia"/>
          <w:szCs w:val="21"/>
        </w:rPr>
        <w:t>政府采购强制采购政策的(《节能产品政府采购清单》成交记★符号节能产品及其他强制采购产品)；</w:t>
      </w:r>
    </w:p>
    <w:p w14:paraId="0FC6E877">
      <w:pPr>
        <w:adjustRightInd w:val="0"/>
        <w:snapToGrid w:val="0"/>
        <w:spacing w:line="360" w:lineRule="auto"/>
        <w:ind w:firstLine="525" w:firstLineChars="25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(2)符合</w:t>
      </w:r>
      <w:r>
        <w:rPr>
          <w:rFonts w:hint="eastAsia" w:asciiTheme="minorEastAsia" w:hAnsiTheme="minorEastAsia" w:eastAsiaTheme="minorEastAsia" w:cstheme="minorEastAsia"/>
          <w:szCs w:val="21"/>
        </w:rPr>
        <w:t>政府采购优先采购政策的(《节能产品政府采购清单》中非标记★符号节能产品，《环境标志产品政府采购清单》中环境标志</w:t>
      </w:r>
      <w:r>
        <w:rPr>
          <w:rFonts w:hint="eastAsia" w:asciiTheme="minorEastAsia" w:hAnsiTheme="minorEastAsia" w:eastAsiaTheme="minorEastAsia" w:cstheme="minorEastAsia"/>
          <w:bCs/>
          <w:szCs w:val="21"/>
        </w:rPr>
        <w:t>产品</w:t>
      </w:r>
      <w:r>
        <w:rPr>
          <w:rFonts w:hint="eastAsia" w:asciiTheme="minorEastAsia" w:hAnsiTheme="minorEastAsia" w:eastAsiaTheme="minorEastAsia" w:cstheme="minorEastAsia"/>
          <w:szCs w:val="21"/>
        </w:rPr>
        <w:t>)。</w:t>
      </w:r>
    </w:p>
    <w:p w14:paraId="1264E650">
      <w:pPr>
        <w:adjustRightInd w:val="0"/>
        <w:snapToGrid w:val="0"/>
        <w:spacing w:line="360" w:lineRule="auto"/>
        <w:ind w:firstLine="525" w:firstLineChars="25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2、未按上述要求提供、</w:t>
      </w:r>
      <w:r>
        <w:rPr>
          <w:rFonts w:hint="eastAsia" w:asciiTheme="minorEastAsia" w:hAnsiTheme="minorEastAsia" w:eastAsiaTheme="minorEastAsia" w:cstheme="minorEastAsia"/>
          <w:szCs w:val="21"/>
        </w:rPr>
        <w:t>填写</w:t>
      </w:r>
      <w:r>
        <w:rPr>
          <w:rFonts w:hint="eastAsia" w:asciiTheme="minorEastAsia" w:hAnsiTheme="minorEastAsia" w:eastAsiaTheme="minorEastAsia" w:cstheme="minorEastAsia"/>
          <w:bCs/>
          <w:szCs w:val="21"/>
        </w:rPr>
        <w:t>的，评审时不予以考虑。</w:t>
      </w:r>
    </w:p>
    <w:p w14:paraId="6A9D000A">
      <w:pPr>
        <w:adjustRightInd w:val="0"/>
        <w:snapToGrid w:val="0"/>
        <w:spacing w:line="360" w:lineRule="auto"/>
        <w:ind w:left="440" w:hanging="440"/>
        <w:jc w:val="center"/>
        <w:rPr>
          <w:rFonts w:ascii="黑体" w:hAnsi="黑体" w:eastAsia="黑体"/>
          <w:b/>
          <w:spacing w:val="6"/>
          <w:sz w:val="28"/>
          <w:szCs w:val="28"/>
        </w:rPr>
      </w:pPr>
    </w:p>
    <w:p w14:paraId="53121DA0">
      <w:pPr>
        <w:adjustRightInd w:val="0"/>
        <w:snapToGrid w:val="0"/>
        <w:spacing w:line="360" w:lineRule="auto"/>
        <w:ind w:left="440" w:hanging="440"/>
        <w:jc w:val="center"/>
        <w:rPr>
          <w:rFonts w:ascii="黑体" w:hAnsi="黑体" w:eastAsia="黑体"/>
          <w:b/>
          <w:spacing w:val="6"/>
          <w:sz w:val="28"/>
          <w:szCs w:val="28"/>
        </w:rPr>
      </w:pPr>
    </w:p>
    <w:p w14:paraId="6AC231ED">
      <w:pPr>
        <w:adjustRightInd w:val="0"/>
        <w:snapToGrid w:val="0"/>
        <w:spacing w:line="360" w:lineRule="auto"/>
        <w:ind w:left="440" w:hanging="440"/>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75711DF2">
      <w:pPr>
        <w:adjustRightInd w:val="0"/>
        <w:snapToGrid w:val="0"/>
        <w:spacing w:line="360" w:lineRule="auto"/>
        <w:ind w:left="334" w:hanging="334"/>
        <w:jc w:val="center"/>
        <w:rPr>
          <w:rFonts w:ascii="宋体" w:hAnsi="宋体"/>
          <w:b/>
          <w:spacing w:val="6"/>
          <w:szCs w:val="21"/>
        </w:rPr>
      </w:pPr>
      <w:r>
        <w:rPr>
          <w:rFonts w:hint="eastAsia" w:ascii="宋体" w:hAnsi="宋体"/>
          <w:b/>
          <w:spacing w:val="6"/>
          <w:szCs w:val="21"/>
        </w:rPr>
        <w:t>(不属于残疾人福利性单位的无需填写)</w:t>
      </w:r>
    </w:p>
    <w:p w14:paraId="4603F3F2">
      <w:pPr>
        <w:adjustRightInd w:val="0"/>
        <w:snapToGrid w:val="0"/>
        <w:spacing w:line="360" w:lineRule="auto"/>
        <w:ind w:firstLine="444" w:firstLineChars="200"/>
        <w:rPr>
          <w:rFonts w:ascii="宋体" w:hAnsi="宋体"/>
          <w:spacing w:val="6"/>
          <w:szCs w:val="21"/>
        </w:rPr>
      </w:pPr>
    </w:p>
    <w:p w14:paraId="79499929">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中国残疾人联合会关于促进残疾人就业招标采购政策的通知》（财库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单位的______项目采购活动提供本单位制造的货物（由本单位承担工程/提供服务），或者提供其他残疾人福利性单位制造的货物（不包括使用非残疾人福利性单位注册商标的货物）。</w:t>
      </w:r>
    </w:p>
    <w:p w14:paraId="5F8BADAF">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778E8D92">
      <w:pPr>
        <w:adjustRightInd w:val="0"/>
        <w:snapToGrid w:val="0"/>
        <w:spacing w:line="360" w:lineRule="auto"/>
        <w:ind w:firstLine="444" w:firstLineChars="200"/>
        <w:rPr>
          <w:rFonts w:ascii="宋体" w:hAnsi="宋体"/>
          <w:spacing w:val="6"/>
          <w:szCs w:val="21"/>
        </w:rPr>
      </w:pPr>
    </w:p>
    <w:p w14:paraId="62E4D96F">
      <w:pPr>
        <w:adjustRightInd w:val="0"/>
        <w:snapToGrid w:val="0"/>
        <w:spacing w:line="360" w:lineRule="auto"/>
        <w:ind w:firstLine="444" w:firstLineChars="200"/>
        <w:rPr>
          <w:rFonts w:ascii="宋体" w:hAnsi="宋体"/>
          <w:spacing w:val="6"/>
          <w:szCs w:val="21"/>
        </w:rPr>
      </w:pPr>
    </w:p>
    <w:p w14:paraId="4EE6EB61">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             </w:t>
      </w:r>
    </w:p>
    <w:p w14:paraId="0B80D0BE">
      <w:pPr>
        <w:pStyle w:val="18"/>
        <w:spacing w:after="96"/>
        <w:ind w:left="333" w:hanging="333"/>
        <w:rPr>
          <w:rFonts w:ascii="宋体" w:hAnsi="宋体" w:cs="宋体"/>
        </w:rPr>
      </w:pPr>
      <w:r>
        <w:rPr>
          <w:rFonts w:hint="eastAsia" w:ascii="宋体" w:hAnsi="宋体"/>
          <w:spacing w:val="6"/>
          <w:szCs w:val="21"/>
        </w:rPr>
        <w:t xml:space="preserve">                                      日  期：            </w:t>
      </w:r>
    </w:p>
    <w:p w14:paraId="5DF3AC36">
      <w:pPr>
        <w:spacing w:before="120" w:line="360" w:lineRule="auto"/>
        <w:ind w:left="482" w:hanging="482"/>
        <w:jc w:val="center"/>
        <w:rPr>
          <w:rFonts w:ascii="宋体" w:hAnsi="宋体" w:cs="宋体"/>
          <w:b/>
          <w:sz w:val="32"/>
        </w:rPr>
      </w:pPr>
    </w:p>
    <w:p w14:paraId="11EB4B13">
      <w:pPr>
        <w:adjustRightInd w:val="0"/>
        <w:snapToGrid w:val="0"/>
        <w:spacing w:line="360" w:lineRule="auto"/>
        <w:ind w:left="334" w:hanging="334"/>
        <w:jc w:val="left"/>
        <w:rPr>
          <w:rFonts w:ascii="黑体" w:hAnsi="黑体" w:eastAsia="黑体" w:cs="宋体"/>
          <w:b/>
          <w:bCs/>
          <w:spacing w:val="6"/>
          <w:kern w:val="0"/>
          <w:szCs w:val="21"/>
        </w:rPr>
      </w:pPr>
    </w:p>
    <w:p w14:paraId="1B96E75D">
      <w:pPr>
        <w:adjustRightInd w:val="0"/>
        <w:snapToGrid w:val="0"/>
        <w:spacing w:line="360" w:lineRule="auto"/>
        <w:ind w:left="334" w:hanging="334"/>
        <w:jc w:val="left"/>
        <w:rPr>
          <w:rFonts w:ascii="黑体" w:hAnsi="黑体" w:eastAsia="黑体" w:cs="宋体"/>
          <w:b/>
          <w:bCs/>
          <w:spacing w:val="6"/>
          <w:kern w:val="0"/>
          <w:szCs w:val="21"/>
        </w:rPr>
      </w:pPr>
    </w:p>
    <w:p w14:paraId="261CC2C2">
      <w:pPr>
        <w:adjustRightInd w:val="0"/>
        <w:snapToGrid w:val="0"/>
        <w:spacing w:line="360" w:lineRule="auto"/>
        <w:ind w:left="334" w:hanging="334"/>
        <w:jc w:val="left"/>
        <w:rPr>
          <w:rFonts w:ascii="黑体" w:hAnsi="黑体" w:eastAsia="黑体" w:cs="宋体"/>
          <w:b/>
          <w:bCs/>
          <w:spacing w:val="6"/>
          <w:kern w:val="0"/>
          <w:szCs w:val="21"/>
        </w:rPr>
      </w:pPr>
    </w:p>
    <w:p w14:paraId="4262DB3E">
      <w:pPr>
        <w:adjustRightInd w:val="0"/>
        <w:snapToGrid w:val="0"/>
        <w:spacing w:line="360" w:lineRule="auto"/>
        <w:ind w:left="334" w:hanging="334"/>
        <w:jc w:val="center"/>
        <w:rPr>
          <w:rFonts w:ascii="黑体" w:hAnsi="黑体" w:eastAsia="黑体" w:cs="宋体"/>
          <w:b/>
          <w:bCs/>
          <w:spacing w:val="6"/>
          <w:kern w:val="0"/>
          <w:szCs w:val="21"/>
        </w:rPr>
      </w:pPr>
    </w:p>
    <w:p w14:paraId="7CCA05C1">
      <w:pPr>
        <w:adjustRightInd w:val="0"/>
        <w:snapToGrid w:val="0"/>
        <w:spacing w:line="360" w:lineRule="auto"/>
        <w:ind w:left="422" w:hanging="422"/>
        <w:jc w:val="center"/>
        <w:rPr>
          <w:rFonts w:ascii="黑体" w:hAnsi="宋体"/>
          <w:b/>
          <w:sz w:val="28"/>
          <w:szCs w:val="28"/>
        </w:rPr>
      </w:pPr>
    </w:p>
    <w:p w14:paraId="4991D083">
      <w:pPr>
        <w:adjustRightInd w:val="0"/>
        <w:snapToGrid w:val="0"/>
        <w:spacing w:line="360" w:lineRule="auto"/>
        <w:ind w:left="422" w:hanging="422"/>
        <w:jc w:val="center"/>
        <w:rPr>
          <w:rFonts w:ascii="黑体" w:hAnsi="宋体"/>
          <w:b/>
          <w:sz w:val="28"/>
          <w:szCs w:val="28"/>
        </w:rPr>
      </w:pPr>
    </w:p>
    <w:p w14:paraId="7D2453C1">
      <w:pPr>
        <w:adjustRightInd w:val="0"/>
        <w:snapToGrid w:val="0"/>
        <w:spacing w:line="360" w:lineRule="auto"/>
        <w:ind w:left="422" w:hanging="422"/>
        <w:jc w:val="center"/>
        <w:rPr>
          <w:rFonts w:ascii="黑体" w:hAnsi="宋体"/>
          <w:b/>
          <w:sz w:val="28"/>
          <w:szCs w:val="28"/>
        </w:rPr>
      </w:pPr>
      <w:r>
        <w:rPr>
          <w:rFonts w:hint="eastAsia" w:ascii="黑体" w:hAnsi="宋体"/>
          <w:b/>
          <w:sz w:val="28"/>
          <w:szCs w:val="28"/>
        </w:rPr>
        <w:t>监狱企业证明资料</w:t>
      </w:r>
    </w:p>
    <w:p w14:paraId="44F4495C">
      <w:pPr>
        <w:adjustRightInd w:val="0"/>
        <w:snapToGrid w:val="0"/>
        <w:spacing w:line="360" w:lineRule="auto"/>
        <w:ind w:left="334" w:hanging="334"/>
        <w:jc w:val="center"/>
        <w:rPr>
          <w:rFonts w:ascii="宋体" w:hAnsi="宋体"/>
          <w:b/>
          <w:spacing w:val="6"/>
          <w:szCs w:val="21"/>
        </w:rPr>
      </w:pPr>
      <w:r>
        <w:rPr>
          <w:rFonts w:hint="eastAsia" w:ascii="宋体" w:hAnsi="宋体"/>
          <w:b/>
          <w:spacing w:val="6"/>
          <w:szCs w:val="21"/>
        </w:rPr>
        <w:t>(不属于监狱企业的无需提供)</w:t>
      </w:r>
    </w:p>
    <w:p w14:paraId="5784B1D0">
      <w:pPr>
        <w:adjustRightInd w:val="0"/>
        <w:snapToGrid w:val="0"/>
        <w:spacing w:line="360" w:lineRule="auto"/>
        <w:ind w:hanging="315"/>
        <w:rPr>
          <w:rFonts w:ascii="宋体" w:hAnsi="宋体"/>
          <w:szCs w:val="21"/>
        </w:rPr>
      </w:pPr>
    </w:p>
    <w:p w14:paraId="07A24611">
      <w:pPr>
        <w:adjustRightInd w:val="0"/>
        <w:snapToGrid w:val="0"/>
        <w:spacing w:before="50" w:line="360" w:lineRule="auto"/>
        <w:ind w:left="333" w:hanging="333"/>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司法部关于招标采购支持监狱企业发展有关问题的通知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10ADA610">
      <w:pPr>
        <w:ind w:left="333" w:hanging="333"/>
        <w:sectPr>
          <w:headerReference r:id="rId6" w:type="default"/>
          <w:footerReference r:id="rId7" w:type="default"/>
          <w:pgSz w:w="11906" w:h="16838"/>
          <w:pgMar w:top="1474" w:right="1474" w:bottom="1474" w:left="1474" w:header="851" w:footer="992" w:gutter="0"/>
          <w:cols w:space="720" w:num="1"/>
          <w:docGrid w:linePitch="312" w:charSpace="0"/>
        </w:sectPr>
      </w:pPr>
      <w:bookmarkStart w:id="640" w:name="_Toc20651270"/>
      <w:r>
        <w:rPr>
          <w:rFonts w:hint="eastAsia" w:ascii="黑体" w:hAnsi="华文中宋" w:cs="宋体"/>
          <w:spacing w:val="6"/>
          <w:kern w:val="0"/>
          <w:szCs w:val="21"/>
        </w:rPr>
        <w:br w:type="page"/>
      </w:r>
      <w:bookmarkEnd w:id="640"/>
    </w:p>
    <w:p w14:paraId="19E60A8D">
      <w:pPr>
        <w:spacing w:line="360" w:lineRule="auto"/>
        <w:ind w:left="422" w:hanging="422"/>
        <w:jc w:val="center"/>
        <w:rPr>
          <w:rFonts w:ascii="宋体" w:hAnsi="宋体"/>
          <w:b/>
          <w:sz w:val="28"/>
          <w:szCs w:val="28"/>
        </w:rPr>
      </w:pPr>
      <w:r>
        <w:rPr>
          <w:rFonts w:hint="eastAsia" w:ascii="宋体" w:hAnsi="宋体"/>
          <w:b/>
          <w:sz w:val="28"/>
          <w:szCs w:val="28"/>
        </w:rPr>
        <w:t>七、报价一览表及报价文件</w:t>
      </w:r>
    </w:p>
    <w:p w14:paraId="626C64EF">
      <w:pPr>
        <w:tabs>
          <w:tab w:val="left" w:pos="1680"/>
        </w:tabs>
        <w:adjustRightInd w:val="0"/>
        <w:snapToGrid w:val="0"/>
        <w:ind w:left="450" w:hanging="450"/>
        <w:rPr>
          <w:rFonts w:ascii="宋体" w:hAnsi="宋体"/>
          <w:sz w:val="30"/>
          <w:szCs w:val="30"/>
        </w:rPr>
      </w:pPr>
      <w:r>
        <w:rPr>
          <w:rFonts w:ascii="宋体" w:hAnsi="宋体"/>
          <w:sz w:val="30"/>
          <w:szCs w:val="30"/>
        </w:rPr>
        <w:tab/>
      </w:r>
    </w:p>
    <w:p w14:paraId="68D1C125">
      <w:pPr>
        <w:adjustRightInd w:val="0"/>
        <w:snapToGrid w:val="0"/>
        <w:ind w:left="360" w:hanging="360"/>
        <w:rPr>
          <w:rFonts w:ascii="宋体" w:hAnsi="宋体"/>
          <w:szCs w:val="21"/>
        </w:rPr>
      </w:pPr>
      <w:r>
        <w:rPr>
          <w:rFonts w:hint="eastAsia" w:ascii="宋体" w:hAnsi="宋体"/>
          <w:sz w:val="24"/>
        </w:rPr>
        <w:t xml:space="preserve">附件10  报价一览表    </w:t>
      </w:r>
      <w:r>
        <w:rPr>
          <w:rFonts w:hint="eastAsia" w:ascii="宋体" w:hAnsi="宋体"/>
          <w:sz w:val="30"/>
          <w:szCs w:val="30"/>
        </w:rPr>
        <w:t xml:space="preserve">         </w:t>
      </w:r>
    </w:p>
    <w:p w14:paraId="3003C213">
      <w:pPr>
        <w:adjustRightInd w:val="0"/>
        <w:snapToGrid w:val="0"/>
        <w:spacing w:line="360" w:lineRule="auto"/>
        <w:ind w:hanging="315"/>
        <w:rPr>
          <w:rFonts w:ascii="宋体" w:hAnsi="宋体"/>
          <w:szCs w:val="21"/>
        </w:rPr>
      </w:pPr>
    </w:p>
    <w:tbl>
      <w:tblPr>
        <w:tblStyle w:val="4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3201"/>
        <w:gridCol w:w="1575"/>
        <w:gridCol w:w="2520"/>
      </w:tblGrid>
      <w:tr w14:paraId="2DC4A1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524" w:type="dxa"/>
            <w:tcBorders>
              <w:top w:val="double" w:color="auto" w:sz="4" w:space="0"/>
              <w:left w:val="double" w:color="auto" w:sz="4" w:space="0"/>
              <w:bottom w:val="single" w:color="auto" w:sz="6" w:space="0"/>
              <w:right w:val="single" w:color="auto" w:sz="6" w:space="0"/>
            </w:tcBorders>
            <w:vAlign w:val="center"/>
          </w:tcPr>
          <w:p w14:paraId="4A347A85">
            <w:pPr>
              <w:spacing w:line="420" w:lineRule="exact"/>
              <w:rPr>
                <w:rFonts w:ascii="宋体" w:hAnsi="宋体"/>
                <w:szCs w:val="21"/>
              </w:rPr>
            </w:pPr>
            <w:r>
              <w:rPr>
                <w:rFonts w:hint="eastAsia" w:ascii="宋体" w:hAnsi="宋体"/>
                <w:szCs w:val="21"/>
              </w:rPr>
              <w:t>项目名称</w:t>
            </w:r>
          </w:p>
        </w:tc>
        <w:tc>
          <w:tcPr>
            <w:tcW w:w="3201" w:type="dxa"/>
            <w:tcBorders>
              <w:top w:val="double" w:color="auto" w:sz="4" w:space="0"/>
              <w:left w:val="single" w:color="auto" w:sz="6" w:space="0"/>
              <w:bottom w:val="single" w:color="auto" w:sz="6" w:space="0"/>
              <w:right w:val="single" w:color="auto" w:sz="6" w:space="0"/>
            </w:tcBorders>
            <w:vAlign w:val="center"/>
          </w:tcPr>
          <w:p w14:paraId="2372C317">
            <w:pPr>
              <w:spacing w:line="420" w:lineRule="exact"/>
              <w:ind w:hanging="315"/>
              <w:jc w:val="left"/>
              <w:rPr>
                <w:rFonts w:ascii="宋体" w:hAnsi="宋体"/>
                <w:szCs w:val="21"/>
              </w:rPr>
            </w:pPr>
          </w:p>
        </w:tc>
        <w:tc>
          <w:tcPr>
            <w:tcW w:w="1575" w:type="dxa"/>
            <w:tcBorders>
              <w:top w:val="double" w:color="auto" w:sz="4" w:space="0"/>
              <w:left w:val="single" w:color="auto" w:sz="6" w:space="0"/>
              <w:right w:val="single" w:color="auto" w:sz="6" w:space="0"/>
            </w:tcBorders>
            <w:vAlign w:val="center"/>
          </w:tcPr>
          <w:p w14:paraId="5E8E37D7">
            <w:pPr>
              <w:spacing w:line="420" w:lineRule="exact"/>
              <w:jc w:val="left"/>
              <w:rPr>
                <w:rFonts w:ascii="宋体" w:hAnsi="宋体"/>
                <w:szCs w:val="21"/>
              </w:rPr>
            </w:pPr>
            <w:r>
              <w:rPr>
                <w:rFonts w:hint="eastAsia" w:ascii="宋体" w:hAnsi="宋体"/>
                <w:szCs w:val="21"/>
              </w:rPr>
              <w:t>采购代理编号</w:t>
            </w:r>
          </w:p>
        </w:tc>
        <w:tc>
          <w:tcPr>
            <w:tcW w:w="2520" w:type="dxa"/>
            <w:tcBorders>
              <w:top w:val="double" w:color="auto" w:sz="4" w:space="0"/>
              <w:left w:val="single" w:color="auto" w:sz="6" w:space="0"/>
              <w:bottom w:val="single" w:color="auto" w:sz="6" w:space="0"/>
              <w:right w:val="double" w:color="auto" w:sz="4" w:space="0"/>
            </w:tcBorders>
            <w:vAlign w:val="center"/>
          </w:tcPr>
          <w:p w14:paraId="4FF784DC">
            <w:pPr>
              <w:spacing w:line="420" w:lineRule="exact"/>
              <w:ind w:hanging="315"/>
              <w:jc w:val="left"/>
              <w:rPr>
                <w:rFonts w:ascii="宋体" w:hAnsi="宋体"/>
                <w:szCs w:val="21"/>
              </w:rPr>
            </w:pPr>
          </w:p>
        </w:tc>
      </w:tr>
      <w:tr w14:paraId="77C7A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57" w:hRule="atLeast"/>
        </w:trPr>
        <w:tc>
          <w:tcPr>
            <w:tcW w:w="1524" w:type="dxa"/>
            <w:tcBorders>
              <w:top w:val="single" w:color="auto" w:sz="6" w:space="0"/>
              <w:left w:val="double" w:color="auto" w:sz="4" w:space="0"/>
              <w:bottom w:val="single" w:color="auto" w:sz="6" w:space="0"/>
              <w:right w:val="single" w:color="auto" w:sz="6" w:space="0"/>
            </w:tcBorders>
            <w:vAlign w:val="center"/>
          </w:tcPr>
          <w:p w14:paraId="7928FA14">
            <w:pPr>
              <w:spacing w:line="420" w:lineRule="exact"/>
              <w:rPr>
                <w:rFonts w:ascii="宋体" w:hAnsi="宋体"/>
                <w:szCs w:val="21"/>
              </w:rPr>
            </w:pPr>
            <w:r>
              <w:rPr>
                <w:rFonts w:hint="eastAsia" w:ascii="宋体" w:hAnsi="宋体"/>
                <w:szCs w:val="21"/>
              </w:rPr>
              <w:t>总报价</w:t>
            </w:r>
          </w:p>
        </w:tc>
        <w:tc>
          <w:tcPr>
            <w:tcW w:w="7296" w:type="dxa"/>
            <w:gridSpan w:val="3"/>
            <w:tcBorders>
              <w:top w:val="single" w:color="auto" w:sz="6" w:space="0"/>
              <w:left w:val="single" w:color="auto" w:sz="6" w:space="0"/>
              <w:bottom w:val="single" w:color="auto" w:sz="6" w:space="0"/>
              <w:right w:val="double" w:color="auto" w:sz="4" w:space="0"/>
            </w:tcBorders>
            <w:vAlign w:val="center"/>
          </w:tcPr>
          <w:p w14:paraId="4253CCC7">
            <w:pPr>
              <w:spacing w:line="420" w:lineRule="exact"/>
              <w:ind w:hanging="315"/>
              <w:jc w:val="center"/>
              <w:rPr>
                <w:rFonts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137A7939">
            <w:pPr>
              <w:spacing w:line="420" w:lineRule="exact"/>
              <w:ind w:hanging="315"/>
              <w:jc w:val="center"/>
              <w:rPr>
                <w:rFonts w:ascii="宋体" w:hAnsi="宋体"/>
                <w:szCs w:val="21"/>
              </w:rPr>
            </w:pPr>
          </w:p>
          <w:p w14:paraId="6CB14CFD">
            <w:pPr>
              <w:spacing w:line="420" w:lineRule="exact"/>
              <w:ind w:hanging="315"/>
              <w:jc w:val="center"/>
              <w:rPr>
                <w:rFonts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2ECA3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524" w:type="dxa"/>
            <w:tcBorders>
              <w:top w:val="single" w:color="auto" w:sz="6" w:space="0"/>
              <w:left w:val="double" w:color="auto" w:sz="4" w:space="0"/>
              <w:bottom w:val="single" w:color="auto" w:sz="6" w:space="0"/>
              <w:right w:val="single" w:color="auto" w:sz="6" w:space="0"/>
            </w:tcBorders>
            <w:vAlign w:val="center"/>
          </w:tcPr>
          <w:p w14:paraId="03748B8A">
            <w:pPr>
              <w:spacing w:line="420" w:lineRule="exact"/>
              <w:rPr>
                <w:rFonts w:ascii="宋体" w:hAnsi="宋体"/>
                <w:szCs w:val="21"/>
              </w:rPr>
            </w:pPr>
            <w:r>
              <w:rPr>
                <w:rFonts w:hint="eastAsia" w:ascii="宋体" w:hAnsi="宋体"/>
                <w:szCs w:val="21"/>
              </w:rPr>
              <w:t>工期</w:t>
            </w:r>
          </w:p>
        </w:tc>
        <w:tc>
          <w:tcPr>
            <w:tcW w:w="7296" w:type="dxa"/>
            <w:gridSpan w:val="3"/>
            <w:tcBorders>
              <w:top w:val="single" w:color="auto" w:sz="6" w:space="0"/>
              <w:left w:val="single" w:color="auto" w:sz="6" w:space="0"/>
              <w:bottom w:val="single" w:color="auto" w:sz="6" w:space="0"/>
              <w:right w:val="double" w:color="auto" w:sz="4" w:space="0"/>
            </w:tcBorders>
            <w:vAlign w:val="center"/>
          </w:tcPr>
          <w:p w14:paraId="2158090D">
            <w:pPr>
              <w:spacing w:line="420" w:lineRule="exact"/>
              <w:ind w:hanging="315"/>
              <w:jc w:val="left"/>
              <w:rPr>
                <w:rFonts w:ascii="宋体" w:hAnsi="宋体"/>
                <w:szCs w:val="21"/>
              </w:rPr>
            </w:pPr>
          </w:p>
        </w:tc>
      </w:tr>
      <w:tr w14:paraId="415BF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524" w:type="dxa"/>
            <w:tcBorders>
              <w:top w:val="single" w:color="auto" w:sz="6" w:space="0"/>
              <w:left w:val="double" w:color="auto" w:sz="4" w:space="0"/>
              <w:bottom w:val="single" w:color="auto" w:sz="6" w:space="0"/>
              <w:right w:val="single" w:color="auto" w:sz="6" w:space="0"/>
            </w:tcBorders>
            <w:vAlign w:val="center"/>
          </w:tcPr>
          <w:p w14:paraId="23BC8358">
            <w:pPr>
              <w:spacing w:line="420" w:lineRule="exact"/>
              <w:rPr>
                <w:rFonts w:ascii="宋体" w:hAnsi="宋体"/>
                <w:szCs w:val="21"/>
              </w:rPr>
            </w:pPr>
            <w:r>
              <w:rPr>
                <w:rFonts w:hint="eastAsia" w:ascii="宋体" w:hAnsi="宋体"/>
                <w:szCs w:val="21"/>
              </w:rPr>
              <w:t>保修质量</w:t>
            </w:r>
          </w:p>
        </w:tc>
        <w:tc>
          <w:tcPr>
            <w:tcW w:w="7296" w:type="dxa"/>
            <w:gridSpan w:val="3"/>
            <w:tcBorders>
              <w:top w:val="single" w:color="auto" w:sz="6" w:space="0"/>
              <w:left w:val="single" w:color="auto" w:sz="6" w:space="0"/>
              <w:bottom w:val="single" w:color="auto" w:sz="6" w:space="0"/>
              <w:right w:val="double" w:color="auto" w:sz="4" w:space="0"/>
            </w:tcBorders>
            <w:vAlign w:val="center"/>
          </w:tcPr>
          <w:p w14:paraId="1AEFC452">
            <w:pPr>
              <w:spacing w:line="420" w:lineRule="exact"/>
              <w:ind w:hanging="315"/>
              <w:jc w:val="left"/>
              <w:rPr>
                <w:rFonts w:ascii="宋体" w:hAnsi="宋体"/>
                <w:szCs w:val="21"/>
              </w:rPr>
            </w:pPr>
          </w:p>
        </w:tc>
      </w:tr>
      <w:tr w14:paraId="0C8A8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524" w:type="dxa"/>
            <w:tcBorders>
              <w:top w:val="single" w:color="auto" w:sz="6" w:space="0"/>
              <w:left w:val="double" w:color="auto" w:sz="4" w:space="0"/>
              <w:right w:val="single" w:color="auto" w:sz="6" w:space="0"/>
            </w:tcBorders>
            <w:vAlign w:val="center"/>
          </w:tcPr>
          <w:p w14:paraId="3C9C2B1A">
            <w:pPr>
              <w:spacing w:line="420" w:lineRule="exact"/>
              <w:rPr>
                <w:rFonts w:ascii="宋体" w:hAnsi="宋体"/>
                <w:szCs w:val="21"/>
              </w:rPr>
            </w:pPr>
            <w:r>
              <w:rPr>
                <w:rFonts w:hint="eastAsia" w:ascii="宋体" w:hAnsi="宋体"/>
                <w:szCs w:val="21"/>
              </w:rPr>
              <w:t>项目负责人</w:t>
            </w:r>
          </w:p>
        </w:tc>
        <w:tc>
          <w:tcPr>
            <w:tcW w:w="7296" w:type="dxa"/>
            <w:gridSpan w:val="3"/>
            <w:tcBorders>
              <w:top w:val="single" w:color="auto" w:sz="6" w:space="0"/>
              <w:left w:val="single" w:color="auto" w:sz="6" w:space="0"/>
              <w:bottom w:val="single" w:color="auto" w:sz="6" w:space="0"/>
              <w:right w:val="double" w:color="auto" w:sz="4" w:space="0"/>
            </w:tcBorders>
            <w:vAlign w:val="center"/>
          </w:tcPr>
          <w:p w14:paraId="5FB2BA2B">
            <w:pPr>
              <w:ind w:hanging="315"/>
              <w:jc w:val="center"/>
              <w:rPr>
                <w:rFonts w:ascii="宋体" w:hAnsi="宋体"/>
                <w:szCs w:val="21"/>
              </w:rPr>
            </w:pPr>
          </w:p>
        </w:tc>
      </w:tr>
      <w:tr w14:paraId="1E64B9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4" w:type="dxa"/>
            <w:tcBorders>
              <w:top w:val="single" w:color="auto" w:sz="6" w:space="0"/>
              <w:left w:val="double" w:color="auto" w:sz="4" w:space="0"/>
              <w:bottom w:val="double" w:color="auto" w:sz="4" w:space="0"/>
              <w:right w:val="single" w:color="auto" w:sz="6" w:space="0"/>
            </w:tcBorders>
            <w:vAlign w:val="center"/>
          </w:tcPr>
          <w:p w14:paraId="2A512D5A">
            <w:pPr>
              <w:spacing w:line="420" w:lineRule="exact"/>
              <w:rPr>
                <w:rFonts w:ascii="宋体" w:hAnsi="宋体"/>
                <w:szCs w:val="21"/>
              </w:rPr>
            </w:pPr>
            <w:r>
              <w:rPr>
                <w:rFonts w:ascii="宋体" w:hAnsi="宋体"/>
                <w:szCs w:val="21"/>
              </w:rPr>
              <w:t>备  注</w:t>
            </w:r>
          </w:p>
        </w:tc>
        <w:tc>
          <w:tcPr>
            <w:tcW w:w="7296" w:type="dxa"/>
            <w:gridSpan w:val="3"/>
            <w:tcBorders>
              <w:top w:val="single" w:color="auto" w:sz="6" w:space="0"/>
              <w:left w:val="single" w:color="auto" w:sz="6" w:space="0"/>
              <w:bottom w:val="double" w:color="auto" w:sz="4" w:space="0"/>
              <w:right w:val="double" w:color="auto" w:sz="4" w:space="0"/>
            </w:tcBorders>
            <w:vAlign w:val="center"/>
          </w:tcPr>
          <w:p w14:paraId="674ED64F">
            <w:pPr>
              <w:spacing w:line="420" w:lineRule="exact"/>
              <w:ind w:hanging="315"/>
              <w:rPr>
                <w:rFonts w:ascii="宋体" w:hAnsi="宋体"/>
                <w:szCs w:val="21"/>
              </w:rPr>
            </w:pPr>
          </w:p>
        </w:tc>
      </w:tr>
    </w:tbl>
    <w:p w14:paraId="0263BEEA">
      <w:pPr>
        <w:adjustRightInd w:val="0"/>
        <w:snapToGrid w:val="0"/>
        <w:spacing w:line="360" w:lineRule="auto"/>
        <w:ind w:left="227" w:leftChars="-42" w:hanging="315"/>
        <w:rPr>
          <w:rFonts w:ascii="宋体" w:hAnsi="宋体"/>
          <w:szCs w:val="21"/>
        </w:rPr>
      </w:pPr>
    </w:p>
    <w:p w14:paraId="1C9595E7">
      <w:pPr>
        <w:adjustRightInd w:val="0"/>
        <w:snapToGrid w:val="0"/>
        <w:spacing w:line="360" w:lineRule="auto"/>
        <w:ind w:hanging="315"/>
        <w:rPr>
          <w:rFonts w:ascii="宋体" w:hAnsi="宋体"/>
          <w:szCs w:val="21"/>
        </w:rPr>
      </w:pPr>
    </w:p>
    <w:p w14:paraId="3331EAF7">
      <w:pPr>
        <w:adjustRightInd w:val="0"/>
        <w:snapToGrid w:val="0"/>
        <w:spacing w:line="360" w:lineRule="auto"/>
        <w:ind w:hanging="315"/>
        <w:rPr>
          <w:rFonts w:ascii="宋体" w:hAnsi="宋体"/>
          <w:szCs w:val="21"/>
        </w:rPr>
      </w:pPr>
    </w:p>
    <w:p w14:paraId="410E3F53">
      <w:pPr>
        <w:adjustRightInd w:val="0"/>
        <w:snapToGrid w:val="0"/>
        <w:spacing w:line="360" w:lineRule="auto"/>
        <w:ind w:hanging="315"/>
        <w:rPr>
          <w:rFonts w:ascii="宋体" w:hAnsi="宋体"/>
          <w:szCs w:val="21"/>
        </w:rPr>
      </w:pPr>
      <w:r>
        <w:rPr>
          <w:rFonts w:hint="eastAsia" w:ascii="宋体" w:hAnsi="宋体"/>
          <w:szCs w:val="21"/>
        </w:rPr>
        <w:t>供应商（盖单位章）：</w:t>
      </w:r>
    </w:p>
    <w:p w14:paraId="24ED8301">
      <w:pPr>
        <w:adjustRightInd w:val="0"/>
        <w:snapToGrid w:val="0"/>
        <w:spacing w:line="360" w:lineRule="auto"/>
        <w:ind w:hanging="315"/>
        <w:rPr>
          <w:rFonts w:ascii="宋体" w:hAnsi="宋体"/>
          <w:szCs w:val="21"/>
        </w:rPr>
      </w:pPr>
    </w:p>
    <w:p w14:paraId="5158C77B">
      <w:pPr>
        <w:adjustRightInd w:val="0"/>
        <w:snapToGrid w:val="0"/>
        <w:spacing w:line="360" w:lineRule="auto"/>
        <w:ind w:hanging="315"/>
        <w:rPr>
          <w:rFonts w:ascii="宋体" w:hAnsi="宋体"/>
          <w:szCs w:val="21"/>
        </w:rPr>
      </w:pPr>
      <w:r>
        <w:rPr>
          <w:rFonts w:hint="eastAsia" w:ascii="宋体" w:hAnsi="宋体"/>
          <w:szCs w:val="21"/>
        </w:rPr>
        <w:t xml:space="preserve">法定代表人或其委托代理人签字：        </w:t>
      </w:r>
      <w:r>
        <w:rPr>
          <w:rFonts w:hint="eastAsia" w:ascii="宋体" w:hAnsi="宋体"/>
          <w:szCs w:val="21"/>
          <w:u w:val="single"/>
        </w:rPr>
        <w:t xml:space="preserve">      </w:t>
      </w:r>
    </w:p>
    <w:p w14:paraId="11635A4D">
      <w:pPr>
        <w:adjustRightInd w:val="0"/>
        <w:snapToGrid w:val="0"/>
        <w:spacing w:line="360" w:lineRule="auto"/>
        <w:ind w:hanging="315"/>
        <w:rPr>
          <w:rFonts w:ascii="宋体" w:hAnsi="宋体"/>
          <w:szCs w:val="21"/>
        </w:rPr>
      </w:pPr>
    </w:p>
    <w:p w14:paraId="4E50C5CE">
      <w:pPr>
        <w:adjustRightInd w:val="0"/>
        <w:snapToGrid w:val="0"/>
        <w:spacing w:line="360" w:lineRule="auto"/>
        <w:ind w:hanging="315"/>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C2680D9">
      <w:pPr>
        <w:adjustRightInd w:val="0"/>
        <w:snapToGrid w:val="0"/>
        <w:spacing w:line="360" w:lineRule="auto"/>
        <w:ind w:hanging="315"/>
        <w:rPr>
          <w:rFonts w:ascii="宋体" w:hAnsi="宋体"/>
        </w:rPr>
      </w:pPr>
      <w:r>
        <w:rPr>
          <w:rFonts w:ascii="宋体" w:hAnsi="宋体"/>
        </w:rPr>
        <w:br w:type="page"/>
      </w:r>
    </w:p>
    <w:p w14:paraId="65F8386D">
      <w:pPr>
        <w:adjustRightInd w:val="0"/>
        <w:snapToGrid w:val="0"/>
        <w:spacing w:before="120" w:beforeLines="50"/>
        <w:ind w:left="360" w:hanging="360"/>
        <w:rPr>
          <w:rFonts w:asciiTheme="minorEastAsia" w:hAnsiTheme="minorEastAsia" w:eastAsiaTheme="minorEastAsia"/>
          <w:bCs/>
          <w:sz w:val="24"/>
        </w:rPr>
      </w:pPr>
      <w:r>
        <w:rPr>
          <w:rFonts w:hint="eastAsia" w:asciiTheme="minorEastAsia" w:hAnsiTheme="minorEastAsia" w:eastAsiaTheme="minorEastAsia"/>
          <w:bCs/>
          <w:sz w:val="24"/>
        </w:rPr>
        <w:t>附件11</w:t>
      </w:r>
    </w:p>
    <w:p w14:paraId="4CDF4489">
      <w:pPr>
        <w:adjustRightInd w:val="0"/>
        <w:snapToGrid w:val="0"/>
        <w:ind w:left="422" w:right="24" w:hanging="422"/>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分项价格表</w:t>
      </w:r>
    </w:p>
    <w:p w14:paraId="1A2D9774">
      <w:pPr>
        <w:adjustRightInd w:val="0"/>
        <w:snapToGrid w:val="0"/>
        <w:ind w:hanging="315"/>
        <w:jc w:val="center"/>
        <w:rPr>
          <w:rFonts w:asciiTheme="minorEastAsia" w:hAnsiTheme="minorEastAsia" w:eastAsiaTheme="minorEastAsia"/>
          <w:szCs w:val="21"/>
        </w:rPr>
      </w:pPr>
    </w:p>
    <w:p w14:paraId="5899B5AF">
      <w:pPr>
        <w:adjustRightInd w:val="0"/>
        <w:snapToGrid w:val="0"/>
        <w:spacing w:line="360" w:lineRule="auto"/>
        <w:ind w:hanging="315"/>
        <w:jc w:val="center"/>
        <w:rPr>
          <w:rFonts w:asciiTheme="minorEastAsia" w:hAnsiTheme="minorEastAsia" w:eastAsiaTheme="minorEastAsia"/>
          <w:szCs w:val="21"/>
        </w:rPr>
      </w:pPr>
      <w:r>
        <w:rPr>
          <w:rFonts w:hint="eastAsia" w:asciiTheme="minorEastAsia" w:hAnsiTheme="minorEastAsia" w:eastAsiaTheme="minorEastAsia"/>
          <w:szCs w:val="21"/>
        </w:rPr>
        <w:t>按采购文件提供的清单报价。</w:t>
      </w:r>
    </w:p>
    <w:p w14:paraId="01FF9A45">
      <w:pPr>
        <w:spacing w:line="360" w:lineRule="auto"/>
        <w:ind w:firstLine="420" w:firstLineChars="200"/>
        <w:rPr>
          <w:rFonts w:cs="宋体" w:asciiTheme="minorEastAsia" w:hAnsiTheme="minorEastAsia" w:eastAsiaTheme="minorEastAsia"/>
          <w:szCs w:val="21"/>
        </w:rPr>
      </w:pPr>
      <w:r>
        <w:rPr>
          <w:rFonts w:hint="eastAsia" w:cs="宋体" w:asciiTheme="minorEastAsia" w:hAnsiTheme="minorEastAsia" w:eastAsiaTheme="minorEastAsia"/>
          <w:szCs w:val="21"/>
        </w:rPr>
        <w:t>按</w:t>
      </w:r>
      <w:r>
        <w:rPr>
          <w:rFonts w:hint="eastAsia" w:ascii="宋体" w:hAnsi="宋体"/>
          <w:szCs w:val="21"/>
          <w:u w:val="single"/>
        </w:rPr>
        <w:t>湘建价〔2020〕56号</w:t>
      </w:r>
      <w:r>
        <w:rPr>
          <w:rFonts w:hint="eastAsia" w:cs="宋体" w:asciiTheme="minorEastAsia" w:hAnsiTheme="minorEastAsia" w:eastAsiaTheme="minorEastAsia"/>
          <w:szCs w:val="21"/>
        </w:rPr>
        <w:t>文《湖南省建设工程计价办法》（以下简称“计价办法”）及其配套文件、 湘建价〔2016〕72号文《关于增值税条件下计费程序和计费标准的规定》、湘建价[2016]160号文《关于调整补充增值税条件下建设工程计价依据的通知》、湘建价[2016]134号文《关于取消建筑行业劳保基金与增加社会保险费有关事项的通知》规定，采用一般计税法。</w:t>
      </w:r>
    </w:p>
    <w:p w14:paraId="5F24AE0A">
      <w:pPr>
        <w:autoSpaceDE w:val="0"/>
        <w:autoSpaceDN w:val="0"/>
        <w:adjustRightInd w:val="0"/>
        <w:spacing w:line="360" w:lineRule="auto"/>
        <w:ind w:right="-23" w:firstLine="422"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注：1）投标文件中提供的主材必须填写品牌及型号。</w:t>
      </w:r>
    </w:p>
    <w:p w14:paraId="3A2DFFC1">
      <w:pPr>
        <w:autoSpaceDE w:val="0"/>
        <w:autoSpaceDN w:val="0"/>
        <w:adjustRightInd w:val="0"/>
        <w:spacing w:line="360" w:lineRule="auto"/>
        <w:ind w:right="-23" w:firstLine="422"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2）供应商委托他人编制投标报价文件的，应当委托具有相应资质的工程造价咨询机构编制并在投标文件中附有委托合同，其投标报价文件应当注明委托人和被委托人并加盖各自法人公章，同时由被委托人的造价员签字并加盖造价员执业专用章，签字盖章的造价员的注册单位应当与被委托人一致。未按本规定提供的投标报价文件无效。</w:t>
      </w:r>
    </w:p>
    <w:p w14:paraId="33AAB5A5">
      <w:pPr>
        <w:pStyle w:val="90"/>
      </w:pPr>
    </w:p>
    <w:p w14:paraId="2780106A">
      <w:pPr>
        <w:adjustRightInd w:val="0"/>
        <w:snapToGrid w:val="0"/>
        <w:spacing w:line="360" w:lineRule="auto"/>
        <w:ind w:hanging="315"/>
        <w:rPr>
          <w:rFonts w:ascii="宋体" w:hAnsi="宋体"/>
          <w:szCs w:val="21"/>
        </w:rPr>
      </w:pPr>
    </w:p>
    <w:p w14:paraId="42842B80">
      <w:pPr>
        <w:adjustRightInd w:val="0"/>
        <w:snapToGrid w:val="0"/>
        <w:spacing w:line="360" w:lineRule="auto"/>
        <w:ind w:hanging="315"/>
        <w:rPr>
          <w:rFonts w:ascii="宋体" w:hAnsi="宋体"/>
          <w:szCs w:val="21"/>
        </w:rPr>
      </w:pPr>
    </w:p>
    <w:p w14:paraId="57B87EE1">
      <w:pPr>
        <w:adjustRightInd w:val="0"/>
        <w:snapToGrid w:val="0"/>
        <w:spacing w:line="360" w:lineRule="auto"/>
        <w:ind w:hanging="315"/>
        <w:rPr>
          <w:rFonts w:ascii="宋体" w:hAnsi="宋体"/>
          <w:szCs w:val="21"/>
        </w:rPr>
      </w:pPr>
    </w:p>
    <w:p w14:paraId="2A52AB02">
      <w:pPr>
        <w:adjustRightInd w:val="0"/>
        <w:snapToGrid w:val="0"/>
        <w:spacing w:line="360" w:lineRule="auto"/>
        <w:ind w:hanging="315"/>
        <w:rPr>
          <w:rFonts w:ascii="宋体" w:hAnsi="宋体"/>
          <w:szCs w:val="21"/>
        </w:rPr>
      </w:pPr>
    </w:p>
    <w:p w14:paraId="36B7AA06">
      <w:pPr>
        <w:adjustRightInd w:val="0"/>
        <w:snapToGrid w:val="0"/>
        <w:spacing w:line="360" w:lineRule="auto"/>
        <w:ind w:hanging="315"/>
        <w:rPr>
          <w:rFonts w:ascii="宋体" w:hAnsi="宋体"/>
          <w:szCs w:val="21"/>
        </w:rPr>
      </w:pPr>
      <w:r>
        <w:rPr>
          <w:rFonts w:hint="eastAsia" w:ascii="宋体" w:hAnsi="宋体"/>
          <w:szCs w:val="21"/>
        </w:rPr>
        <w:t>投标人名称（单位公章）：</w:t>
      </w:r>
      <w:r>
        <w:rPr>
          <w:rFonts w:hint="eastAsia" w:ascii="宋体" w:hAnsi="宋体"/>
          <w:szCs w:val="21"/>
          <w:u w:val="single"/>
        </w:rPr>
        <w:t xml:space="preserve">                </w:t>
      </w:r>
      <w:r>
        <w:rPr>
          <w:rFonts w:hint="eastAsia" w:ascii="宋体" w:hAnsi="宋体"/>
          <w:szCs w:val="21"/>
        </w:rPr>
        <w:t>_</w:t>
      </w:r>
    </w:p>
    <w:p w14:paraId="1C0E2001">
      <w:pPr>
        <w:adjustRightInd w:val="0"/>
        <w:snapToGrid w:val="0"/>
        <w:spacing w:line="360" w:lineRule="auto"/>
        <w:ind w:hanging="315"/>
        <w:rPr>
          <w:rFonts w:ascii="宋体" w:hAnsi="宋体"/>
          <w:szCs w:val="21"/>
        </w:rPr>
      </w:pPr>
      <w:r>
        <w:rPr>
          <w:rFonts w:hint="eastAsia" w:ascii="宋体" w:hAnsi="宋体"/>
          <w:szCs w:val="21"/>
        </w:rPr>
        <w:t>法定代表人或其授权的代理人(签字)：</w:t>
      </w:r>
      <w:r>
        <w:rPr>
          <w:rFonts w:hint="eastAsia" w:ascii="宋体" w:hAnsi="宋体"/>
          <w:szCs w:val="21"/>
          <w:u w:val="single"/>
        </w:rPr>
        <w:t xml:space="preserve">                </w:t>
      </w:r>
      <w:r>
        <w:rPr>
          <w:rFonts w:hint="eastAsia" w:ascii="宋体" w:hAnsi="宋体"/>
          <w:szCs w:val="21"/>
        </w:rPr>
        <w:t>_</w:t>
      </w:r>
    </w:p>
    <w:p w14:paraId="0273632A">
      <w:pPr>
        <w:adjustRightInd w:val="0"/>
        <w:snapToGrid w:val="0"/>
        <w:ind w:hanging="315"/>
        <w:rPr>
          <w:rFonts w:ascii="宋体" w:hAnsi="宋体"/>
          <w:szCs w:val="21"/>
        </w:rPr>
        <w:sectPr>
          <w:pgSz w:w="11906" w:h="16838"/>
          <w:pgMar w:top="1984" w:right="1587" w:bottom="2098" w:left="1474" w:header="851" w:footer="992" w:gutter="0"/>
          <w:cols w:space="720" w:num="1"/>
          <w:docGrid w:linePitch="312" w:charSpace="0"/>
        </w:sect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F2A5375">
      <w:pPr>
        <w:adjustRightInd w:val="0"/>
        <w:snapToGrid w:val="0"/>
        <w:spacing w:line="360" w:lineRule="auto"/>
        <w:ind w:left="334" w:leftChars="-42" w:hanging="422"/>
        <w:jc w:val="center"/>
        <w:rPr>
          <w:rFonts w:ascii="宋体" w:hAnsi="宋体"/>
          <w:sz w:val="28"/>
          <w:szCs w:val="28"/>
        </w:rPr>
      </w:pPr>
      <w:r>
        <w:rPr>
          <w:rFonts w:hint="eastAsia" w:ascii="宋体" w:hAnsi="宋体"/>
          <w:b/>
          <w:sz w:val="28"/>
          <w:szCs w:val="28"/>
        </w:rPr>
        <w:t>八</w:t>
      </w:r>
      <w:r>
        <w:rPr>
          <w:rFonts w:hint="eastAsia" w:ascii="宋体" w:hAnsi="宋体"/>
          <w:b/>
          <w:bCs/>
          <w:sz w:val="28"/>
          <w:szCs w:val="28"/>
        </w:rPr>
        <w:t>、供应商认为需要提供的其它资料</w:t>
      </w:r>
    </w:p>
    <w:p w14:paraId="0158AC1E">
      <w:pPr>
        <w:spacing w:line="480" w:lineRule="exact"/>
        <w:ind w:left="480" w:hanging="480" w:hangingChars="200"/>
        <w:rPr>
          <w:rFonts w:ascii="宋体" w:hAnsi="宋体"/>
          <w:sz w:val="24"/>
        </w:rPr>
      </w:pPr>
      <w:r>
        <w:rPr>
          <w:rFonts w:hint="eastAsia" w:ascii="宋体" w:hAnsi="宋体"/>
          <w:sz w:val="24"/>
        </w:rPr>
        <w:t>附件12 项目负责人简历</w:t>
      </w:r>
    </w:p>
    <w:p w14:paraId="0A4F06A5">
      <w:pPr>
        <w:adjustRightInd w:val="0"/>
        <w:snapToGrid w:val="0"/>
        <w:ind w:left="360" w:hanging="360"/>
        <w:rPr>
          <w:rFonts w:ascii="宋体" w:hAnsi="宋体"/>
          <w:sz w:val="24"/>
        </w:rPr>
      </w:pPr>
    </w:p>
    <w:p w14:paraId="7640250F">
      <w:pPr>
        <w:spacing w:line="480" w:lineRule="exact"/>
        <w:ind w:left="482" w:hanging="482" w:hangingChars="200"/>
        <w:jc w:val="center"/>
        <w:rPr>
          <w:rFonts w:ascii="宋体" w:hAnsi="宋体"/>
          <w:b/>
          <w:sz w:val="24"/>
        </w:rPr>
      </w:pPr>
      <w:r>
        <w:rPr>
          <w:rFonts w:hint="eastAsia" w:ascii="宋体" w:hAnsi="宋体"/>
          <w:b/>
          <w:sz w:val="24"/>
        </w:rPr>
        <w:t>项目负责人简历</w:t>
      </w:r>
    </w:p>
    <w:tbl>
      <w:tblPr>
        <w:tblStyle w:val="4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05BE15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3FB44CC9">
            <w:pPr>
              <w:spacing w:line="360" w:lineRule="atLeast"/>
              <w:ind w:hanging="315"/>
              <w:jc w:val="center"/>
              <w:rPr>
                <w:rFonts w:ascii="宋体"/>
              </w:rPr>
            </w:pPr>
            <w:r>
              <w:rPr>
                <w:rFonts w:hint="eastAsia" w:ascii="宋体"/>
              </w:rPr>
              <w:t>姓</w:t>
            </w:r>
            <w:r>
              <w:rPr>
                <w:rFonts w:ascii="宋体"/>
              </w:rPr>
              <w:t xml:space="preserve">   </w:t>
            </w:r>
            <w:r>
              <w:rPr>
                <w:rFonts w:hint="eastAsia" w:ascii="宋体"/>
              </w:rPr>
              <w:t>名</w:t>
            </w:r>
          </w:p>
        </w:tc>
        <w:tc>
          <w:tcPr>
            <w:tcW w:w="2468" w:type="dxa"/>
            <w:vAlign w:val="center"/>
          </w:tcPr>
          <w:p w14:paraId="3B16CBE0">
            <w:pPr>
              <w:spacing w:line="360" w:lineRule="atLeast"/>
              <w:ind w:hanging="315"/>
              <w:jc w:val="center"/>
              <w:rPr>
                <w:rFonts w:ascii="宋体"/>
              </w:rPr>
            </w:pPr>
          </w:p>
        </w:tc>
        <w:tc>
          <w:tcPr>
            <w:tcW w:w="2340" w:type="dxa"/>
            <w:gridSpan w:val="3"/>
            <w:vAlign w:val="center"/>
          </w:tcPr>
          <w:p w14:paraId="0F3253C8">
            <w:pPr>
              <w:spacing w:line="360" w:lineRule="atLeast"/>
              <w:ind w:hanging="315"/>
              <w:jc w:val="center"/>
              <w:rPr>
                <w:rFonts w:ascii="宋体"/>
              </w:rPr>
            </w:pPr>
            <w:r>
              <w:rPr>
                <w:rFonts w:hint="eastAsia" w:ascii="宋体"/>
              </w:rPr>
              <w:t>性</w:t>
            </w:r>
            <w:r>
              <w:rPr>
                <w:rFonts w:ascii="宋体"/>
              </w:rPr>
              <w:t xml:space="preserve">  </w:t>
            </w:r>
            <w:r>
              <w:rPr>
                <w:rFonts w:hint="eastAsia" w:ascii="宋体"/>
              </w:rPr>
              <w:t>别</w:t>
            </w:r>
          </w:p>
        </w:tc>
        <w:tc>
          <w:tcPr>
            <w:tcW w:w="1663" w:type="dxa"/>
            <w:vAlign w:val="center"/>
          </w:tcPr>
          <w:p w14:paraId="2D4AF316">
            <w:pPr>
              <w:spacing w:line="360" w:lineRule="atLeast"/>
              <w:ind w:hanging="315"/>
              <w:jc w:val="center"/>
              <w:rPr>
                <w:rFonts w:ascii="宋体"/>
              </w:rPr>
            </w:pPr>
          </w:p>
        </w:tc>
      </w:tr>
      <w:tr w14:paraId="50E571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2E779397">
            <w:pPr>
              <w:spacing w:line="360" w:lineRule="atLeast"/>
              <w:ind w:hanging="315"/>
              <w:jc w:val="center"/>
              <w:rPr>
                <w:rFonts w:ascii="宋体"/>
              </w:rPr>
            </w:pPr>
            <w:r>
              <w:rPr>
                <w:rFonts w:hint="eastAsia" w:ascii="宋体"/>
              </w:rPr>
              <w:t>职</w:t>
            </w:r>
            <w:r>
              <w:rPr>
                <w:rFonts w:ascii="宋体"/>
              </w:rPr>
              <w:t xml:space="preserve">   </w:t>
            </w:r>
            <w:r>
              <w:rPr>
                <w:rFonts w:hint="eastAsia" w:ascii="宋体"/>
              </w:rPr>
              <w:t>务</w:t>
            </w:r>
          </w:p>
        </w:tc>
        <w:tc>
          <w:tcPr>
            <w:tcW w:w="2468" w:type="dxa"/>
            <w:vAlign w:val="center"/>
          </w:tcPr>
          <w:p w14:paraId="272CD5C8">
            <w:pPr>
              <w:spacing w:line="360" w:lineRule="atLeast"/>
              <w:ind w:hanging="315"/>
              <w:jc w:val="center"/>
              <w:rPr>
                <w:rFonts w:ascii="宋体"/>
              </w:rPr>
            </w:pPr>
          </w:p>
        </w:tc>
        <w:tc>
          <w:tcPr>
            <w:tcW w:w="2340" w:type="dxa"/>
            <w:gridSpan w:val="3"/>
            <w:vAlign w:val="center"/>
          </w:tcPr>
          <w:p w14:paraId="7D7F8FD5">
            <w:pPr>
              <w:spacing w:line="360" w:lineRule="atLeast"/>
              <w:ind w:hanging="315"/>
              <w:jc w:val="center"/>
              <w:rPr>
                <w:rFonts w:ascii="宋体"/>
              </w:rPr>
            </w:pPr>
            <w:r>
              <w:rPr>
                <w:rFonts w:hint="eastAsia" w:ascii="宋体"/>
              </w:rPr>
              <w:t>职</w:t>
            </w:r>
            <w:r>
              <w:rPr>
                <w:rFonts w:ascii="宋体"/>
              </w:rPr>
              <w:t xml:space="preserve">  </w:t>
            </w:r>
            <w:r>
              <w:rPr>
                <w:rFonts w:hint="eastAsia" w:ascii="宋体"/>
              </w:rPr>
              <w:t>称</w:t>
            </w:r>
          </w:p>
        </w:tc>
        <w:tc>
          <w:tcPr>
            <w:tcW w:w="1663" w:type="dxa"/>
            <w:vAlign w:val="center"/>
          </w:tcPr>
          <w:p w14:paraId="4F5017D6">
            <w:pPr>
              <w:spacing w:line="360" w:lineRule="atLeast"/>
              <w:ind w:hanging="315"/>
              <w:jc w:val="center"/>
              <w:rPr>
                <w:rFonts w:ascii="宋体"/>
              </w:rPr>
            </w:pPr>
          </w:p>
        </w:tc>
      </w:tr>
      <w:tr w14:paraId="742928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6AD47210">
            <w:pPr>
              <w:spacing w:line="360" w:lineRule="atLeast"/>
              <w:ind w:hanging="315"/>
              <w:jc w:val="right"/>
              <w:rPr>
                <w:rFonts w:ascii="宋体"/>
              </w:rPr>
            </w:pPr>
            <w:r>
              <w:rPr>
                <w:rFonts w:hint="eastAsia" w:ascii="宋体"/>
              </w:rPr>
              <w:t>毕业学校、专业</w:t>
            </w:r>
          </w:p>
        </w:tc>
        <w:tc>
          <w:tcPr>
            <w:tcW w:w="6471" w:type="dxa"/>
            <w:gridSpan w:val="5"/>
            <w:vAlign w:val="center"/>
          </w:tcPr>
          <w:p w14:paraId="0EDB6964">
            <w:pPr>
              <w:spacing w:line="360" w:lineRule="atLeast"/>
              <w:ind w:hanging="315"/>
              <w:jc w:val="center"/>
              <w:rPr>
                <w:rFonts w:ascii="宋体"/>
              </w:rPr>
            </w:pPr>
          </w:p>
        </w:tc>
      </w:tr>
      <w:tr w14:paraId="0EF04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0876F2CC">
            <w:pPr>
              <w:spacing w:line="360" w:lineRule="atLeast"/>
              <w:ind w:hanging="315"/>
              <w:jc w:val="center"/>
              <w:rPr>
                <w:rFonts w:ascii="宋体"/>
              </w:rPr>
            </w:pPr>
            <w:r>
              <w:rPr>
                <w:rFonts w:hint="eastAsia" w:ascii="宋体"/>
              </w:rPr>
              <w:t>身份证号</w:t>
            </w:r>
          </w:p>
        </w:tc>
        <w:tc>
          <w:tcPr>
            <w:tcW w:w="2468" w:type="dxa"/>
            <w:vAlign w:val="center"/>
          </w:tcPr>
          <w:p w14:paraId="4BD2DB7D">
            <w:pPr>
              <w:spacing w:line="360" w:lineRule="atLeast"/>
              <w:ind w:hanging="315"/>
              <w:jc w:val="center"/>
              <w:rPr>
                <w:rFonts w:ascii="宋体"/>
              </w:rPr>
            </w:pPr>
          </w:p>
        </w:tc>
        <w:tc>
          <w:tcPr>
            <w:tcW w:w="2340" w:type="dxa"/>
            <w:gridSpan w:val="3"/>
            <w:vAlign w:val="center"/>
          </w:tcPr>
          <w:p w14:paraId="56EEA7E9">
            <w:pPr>
              <w:spacing w:line="360" w:lineRule="atLeast"/>
              <w:ind w:hanging="315"/>
              <w:jc w:val="center"/>
              <w:rPr>
                <w:rFonts w:ascii="宋体"/>
              </w:rPr>
            </w:pPr>
            <w:r>
              <w:rPr>
                <w:rFonts w:hint="eastAsia" w:ascii="宋体"/>
              </w:rPr>
              <w:t>拟在本合同任职</w:t>
            </w:r>
          </w:p>
        </w:tc>
        <w:tc>
          <w:tcPr>
            <w:tcW w:w="1663" w:type="dxa"/>
            <w:vAlign w:val="center"/>
          </w:tcPr>
          <w:p w14:paraId="4A0F5A53">
            <w:pPr>
              <w:spacing w:line="360" w:lineRule="atLeast"/>
              <w:ind w:right="-105" w:rightChars="-50" w:hanging="315"/>
              <w:jc w:val="center"/>
              <w:rPr>
                <w:rFonts w:ascii="宋体"/>
              </w:rPr>
            </w:pPr>
          </w:p>
        </w:tc>
      </w:tr>
      <w:tr w14:paraId="2CCC80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0B847D8">
            <w:pPr>
              <w:spacing w:line="360" w:lineRule="atLeast"/>
              <w:ind w:hanging="315"/>
              <w:jc w:val="center"/>
              <w:rPr>
                <w:rFonts w:ascii="宋体"/>
              </w:rPr>
            </w:pPr>
            <w:r>
              <w:rPr>
                <w:rFonts w:hint="eastAsia" w:ascii="宋体"/>
              </w:rPr>
              <w:t>执业资格证</w:t>
            </w:r>
          </w:p>
        </w:tc>
        <w:tc>
          <w:tcPr>
            <w:tcW w:w="2468" w:type="dxa"/>
            <w:vAlign w:val="center"/>
          </w:tcPr>
          <w:p w14:paraId="19278C9C">
            <w:pPr>
              <w:spacing w:line="360" w:lineRule="atLeast"/>
              <w:ind w:hanging="315"/>
              <w:jc w:val="center"/>
              <w:rPr>
                <w:rFonts w:ascii="宋体"/>
              </w:rPr>
            </w:pPr>
          </w:p>
        </w:tc>
        <w:tc>
          <w:tcPr>
            <w:tcW w:w="2340" w:type="dxa"/>
            <w:gridSpan w:val="3"/>
            <w:vAlign w:val="center"/>
          </w:tcPr>
          <w:p w14:paraId="407F3083">
            <w:pPr>
              <w:spacing w:line="360" w:lineRule="atLeast"/>
              <w:ind w:hanging="315"/>
              <w:jc w:val="center"/>
              <w:rPr>
                <w:rFonts w:ascii="宋体"/>
              </w:rPr>
            </w:pPr>
            <w:r>
              <w:rPr>
                <w:rFonts w:hint="eastAsia" w:ascii="宋体"/>
              </w:rPr>
              <w:t>执业资格证书号</w:t>
            </w:r>
          </w:p>
        </w:tc>
        <w:tc>
          <w:tcPr>
            <w:tcW w:w="1663" w:type="dxa"/>
            <w:vAlign w:val="center"/>
          </w:tcPr>
          <w:p w14:paraId="191BC42C">
            <w:pPr>
              <w:ind w:hanging="315"/>
              <w:rPr>
                <w:rFonts w:ascii="宋体"/>
              </w:rPr>
            </w:pPr>
          </w:p>
        </w:tc>
      </w:tr>
      <w:tr w14:paraId="5162F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6D927626">
            <w:pPr>
              <w:spacing w:line="360" w:lineRule="atLeast"/>
              <w:ind w:hanging="315"/>
              <w:rPr>
                <w:rFonts w:ascii="宋体"/>
              </w:rPr>
            </w:pPr>
            <w:r>
              <w:rPr>
                <w:rFonts w:hint="eastAsia" w:ascii="宋体"/>
              </w:rPr>
              <w:t>近三年承担项目情况</w:t>
            </w:r>
          </w:p>
        </w:tc>
      </w:tr>
      <w:tr w14:paraId="1183E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F63B6A7">
            <w:pPr>
              <w:spacing w:line="360" w:lineRule="atLeast"/>
              <w:ind w:hanging="315"/>
              <w:jc w:val="center"/>
              <w:rPr>
                <w:rFonts w:ascii="宋体"/>
              </w:rPr>
            </w:pPr>
            <w:r>
              <w:rPr>
                <w:rFonts w:hint="eastAsia" w:ascii="宋体"/>
              </w:rPr>
              <w:t>时间</w:t>
            </w:r>
          </w:p>
        </w:tc>
        <w:tc>
          <w:tcPr>
            <w:tcW w:w="3636" w:type="dxa"/>
            <w:gridSpan w:val="3"/>
            <w:vAlign w:val="center"/>
          </w:tcPr>
          <w:p w14:paraId="1B6559E7">
            <w:pPr>
              <w:spacing w:line="360" w:lineRule="atLeast"/>
              <w:ind w:hanging="315"/>
              <w:jc w:val="center"/>
              <w:rPr>
                <w:rFonts w:ascii="宋体"/>
              </w:rPr>
            </w:pPr>
            <w:r>
              <w:rPr>
                <w:rFonts w:hint="eastAsia" w:ascii="宋体"/>
              </w:rPr>
              <w:t>类似项目名称</w:t>
            </w:r>
          </w:p>
        </w:tc>
        <w:tc>
          <w:tcPr>
            <w:tcW w:w="1404" w:type="dxa"/>
            <w:vAlign w:val="center"/>
          </w:tcPr>
          <w:p w14:paraId="40C30E84">
            <w:pPr>
              <w:spacing w:line="360" w:lineRule="atLeast"/>
              <w:ind w:hanging="315"/>
              <w:jc w:val="center"/>
              <w:rPr>
                <w:rFonts w:ascii="宋体"/>
              </w:rPr>
            </w:pPr>
            <w:r>
              <w:rPr>
                <w:rFonts w:hint="eastAsia" w:ascii="宋体"/>
              </w:rPr>
              <w:t>担任职务</w:t>
            </w:r>
          </w:p>
        </w:tc>
        <w:tc>
          <w:tcPr>
            <w:tcW w:w="2203" w:type="dxa"/>
            <w:gridSpan w:val="2"/>
            <w:vAlign w:val="center"/>
          </w:tcPr>
          <w:p w14:paraId="168158AA">
            <w:pPr>
              <w:spacing w:line="360" w:lineRule="atLeast"/>
              <w:ind w:hanging="315"/>
              <w:jc w:val="center"/>
              <w:rPr>
                <w:rFonts w:ascii="宋体"/>
              </w:rPr>
            </w:pPr>
            <w:r>
              <w:rPr>
                <w:rFonts w:hint="eastAsia" w:ascii="宋体"/>
              </w:rPr>
              <w:t>项目单位名称及电话</w:t>
            </w:r>
          </w:p>
        </w:tc>
      </w:tr>
      <w:tr w14:paraId="6E1041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62C7401">
            <w:pPr>
              <w:spacing w:line="360" w:lineRule="atLeast"/>
              <w:ind w:hanging="315"/>
              <w:jc w:val="center"/>
              <w:rPr>
                <w:rFonts w:ascii="宋体"/>
              </w:rPr>
            </w:pPr>
          </w:p>
        </w:tc>
        <w:tc>
          <w:tcPr>
            <w:tcW w:w="3636" w:type="dxa"/>
            <w:gridSpan w:val="3"/>
            <w:vAlign w:val="center"/>
          </w:tcPr>
          <w:p w14:paraId="25AEAAC5">
            <w:pPr>
              <w:spacing w:line="360" w:lineRule="atLeast"/>
              <w:ind w:hanging="315"/>
              <w:jc w:val="center"/>
              <w:rPr>
                <w:rFonts w:ascii="宋体"/>
              </w:rPr>
            </w:pPr>
          </w:p>
        </w:tc>
        <w:tc>
          <w:tcPr>
            <w:tcW w:w="1404" w:type="dxa"/>
            <w:vAlign w:val="center"/>
          </w:tcPr>
          <w:p w14:paraId="4B4C4A01">
            <w:pPr>
              <w:spacing w:line="360" w:lineRule="atLeast"/>
              <w:ind w:hanging="315"/>
              <w:jc w:val="center"/>
              <w:rPr>
                <w:rFonts w:ascii="宋体"/>
              </w:rPr>
            </w:pPr>
          </w:p>
        </w:tc>
        <w:tc>
          <w:tcPr>
            <w:tcW w:w="2203" w:type="dxa"/>
            <w:gridSpan w:val="2"/>
            <w:vAlign w:val="center"/>
          </w:tcPr>
          <w:p w14:paraId="26296AA3">
            <w:pPr>
              <w:spacing w:line="360" w:lineRule="atLeast"/>
              <w:ind w:hanging="315"/>
              <w:jc w:val="center"/>
              <w:rPr>
                <w:rFonts w:ascii="宋体"/>
              </w:rPr>
            </w:pPr>
          </w:p>
        </w:tc>
      </w:tr>
      <w:tr w14:paraId="3ADBC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F5A79F7">
            <w:pPr>
              <w:spacing w:line="360" w:lineRule="atLeast"/>
              <w:ind w:hanging="315"/>
              <w:jc w:val="center"/>
              <w:rPr>
                <w:rFonts w:ascii="宋体"/>
              </w:rPr>
            </w:pPr>
          </w:p>
        </w:tc>
        <w:tc>
          <w:tcPr>
            <w:tcW w:w="3636" w:type="dxa"/>
            <w:gridSpan w:val="3"/>
            <w:vAlign w:val="center"/>
          </w:tcPr>
          <w:p w14:paraId="7E6F53B1">
            <w:pPr>
              <w:spacing w:line="360" w:lineRule="atLeast"/>
              <w:ind w:hanging="315"/>
              <w:jc w:val="center"/>
              <w:rPr>
                <w:rFonts w:ascii="宋体"/>
              </w:rPr>
            </w:pPr>
          </w:p>
        </w:tc>
        <w:tc>
          <w:tcPr>
            <w:tcW w:w="1404" w:type="dxa"/>
            <w:vAlign w:val="center"/>
          </w:tcPr>
          <w:p w14:paraId="34F91BE8">
            <w:pPr>
              <w:spacing w:line="360" w:lineRule="atLeast"/>
              <w:ind w:hanging="315"/>
              <w:jc w:val="center"/>
              <w:rPr>
                <w:rFonts w:ascii="宋体"/>
              </w:rPr>
            </w:pPr>
          </w:p>
        </w:tc>
        <w:tc>
          <w:tcPr>
            <w:tcW w:w="2203" w:type="dxa"/>
            <w:gridSpan w:val="2"/>
            <w:vAlign w:val="center"/>
          </w:tcPr>
          <w:p w14:paraId="04854EC5">
            <w:pPr>
              <w:spacing w:line="360" w:lineRule="atLeast"/>
              <w:ind w:hanging="315"/>
              <w:jc w:val="center"/>
              <w:rPr>
                <w:rFonts w:ascii="宋体"/>
              </w:rPr>
            </w:pPr>
          </w:p>
        </w:tc>
      </w:tr>
      <w:tr w14:paraId="781497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ED532FC">
            <w:pPr>
              <w:spacing w:line="360" w:lineRule="atLeast"/>
              <w:ind w:hanging="315"/>
              <w:jc w:val="center"/>
              <w:rPr>
                <w:rFonts w:ascii="宋体"/>
              </w:rPr>
            </w:pPr>
          </w:p>
        </w:tc>
        <w:tc>
          <w:tcPr>
            <w:tcW w:w="3636" w:type="dxa"/>
            <w:gridSpan w:val="3"/>
            <w:vAlign w:val="center"/>
          </w:tcPr>
          <w:p w14:paraId="7C5336CB">
            <w:pPr>
              <w:spacing w:line="360" w:lineRule="atLeast"/>
              <w:ind w:hanging="315"/>
              <w:jc w:val="center"/>
              <w:rPr>
                <w:rFonts w:ascii="宋体"/>
              </w:rPr>
            </w:pPr>
          </w:p>
        </w:tc>
        <w:tc>
          <w:tcPr>
            <w:tcW w:w="1404" w:type="dxa"/>
            <w:vAlign w:val="center"/>
          </w:tcPr>
          <w:p w14:paraId="17EB7586">
            <w:pPr>
              <w:spacing w:line="360" w:lineRule="atLeast"/>
              <w:ind w:hanging="315"/>
              <w:jc w:val="center"/>
              <w:rPr>
                <w:rFonts w:ascii="宋体"/>
              </w:rPr>
            </w:pPr>
          </w:p>
        </w:tc>
        <w:tc>
          <w:tcPr>
            <w:tcW w:w="2203" w:type="dxa"/>
            <w:gridSpan w:val="2"/>
            <w:vAlign w:val="center"/>
          </w:tcPr>
          <w:p w14:paraId="74C2BB63">
            <w:pPr>
              <w:spacing w:line="360" w:lineRule="atLeast"/>
              <w:ind w:hanging="315"/>
              <w:jc w:val="center"/>
              <w:rPr>
                <w:rFonts w:ascii="宋体"/>
              </w:rPr>
            </w:pPr>
          </w:p>
        </w:tc>
      </w:tr>
      <w:tr w14:paraId="1705C4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E37DA9C">
            <w:pPr>
              <w:spacing w:line="360" w:lineRule="atLeast"/>
              <w:ind w:hanging="315"/>
              <w:jc w:val="center"/>
              <w:rPr>
                <w:rFonts w:ascii="宋体"/>
              </w:rPr>
            </w:pPr>
          </w:p>
        </w:tc>
        <w:tc>
          <w:tcPr>
            <w:tcW w:w="3636" w:type="dxa"/>
            <w:gridSpan w:val="3"/>
            <w:vAlign w:val="center"/>
          </w:tcPr>
          <w:p w14:paraId="690ABB45">
            <w:pPr>
              <w:spacing w:line="360" w:lineRule="atLeast"/>
              <w:ind w:hanging="315"/>
              <w:jc w:val="center"/>
              <w:rPr>
                <w:rFonts w:ascii="宋体"/>
              </w:rPr>
            </w:pPr>
          </w:p>
        </w:tc>
        <w:tc>
          <w:tcPr>
            <w:tcW w:w="1404" w:type="dxa"/>
            <w:vAlign w:val="center"/>
          </w:tcPr>
          <w:p w14:paraId="6A968F69">
            <w:pPr>
              <w:spacing w:line="360" w:lineRule="atLeast"/>
              <w:ind w:hanging="315"/>
              <w:jc w:val="center"/>
              <w:rPr>
                <w:rFonts w:ascii="宋体"/>
              </w:rPr>
            </w:pPr>
          </w:p>
        </w:tc>
        <w:tc>
          <w:tcPr>
            <w:tcW w:w="2203" w:type="dxa"/>
            <w:gridSpan w:val="2"/>
            <w:vAlign w:val="center"/>
          </w:tcPr>
          <w:p w14:paraId="655FCF8B">
            <w:pPr>
              <w:spacing w:line="360" w:lineRule="atLeast"/>
              <w:ind w:hanging="315"/>
              <w:jc w:val="center"/>
              <w:rPr>
                <w:rFonts w:ascii="宋体"/>
              </w:rPr>
            </w:pPr>
          </w:p>
        </w:tc>
      </w:tr>
      <w:tr w14:paraId="09EE0D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87AA88E">
            <w:pPr>
              <w:spacing w:line="360" w:lineRule="atLeast"/>
              <w:ind w:hanging="315"/>
              <w:jc w:val="center"/>
              <w:rPr>
                <w:rFonts w:ascii="宋体"/>
              </w:rPr>
            </w:pPr>
          </w:p>
        </w:tc>
        <w:tc>
          <w:tcPr>
            <w:tcW w:w="3636" w:type="dxa"/>
            <w:gridSpan w:val="3"/>
            <w:vAlign w:val="center"/>
          </w:tcPr>
          <w:p w14:paraId="18D6D959">
            <w:pPr>
              <w:spacing w:line="360" w:lineRule="atLeast"/>
              <w:ind w:hanging="315"/>
              <w:jc w:val="center"/>
              <w:rPr>
                <w:rFonts w:ascii="宋体"/>
              </w:rPr>
            </w:pPr>
          </w:p>
        </w:tc>
        <w:tc>
          <w:tcPr>
            <w:tcW w:w="1404" w:type="dxa"/>
            <w:vAlign w:val="center"/>
          </w:tcPr>
          <w:p w14:paraId="1720E002">
            <w:pPr>
              <w:spacing w:line="360" w:lineRule="atLeast"/>
              <w:ind w:hanging="315"/>
              <w:jc w:val="center"/>
              <w:rPr>
                <w:rFonts w:ascii="宋体"/>
              </w:rPr>
            </w:pPr>
          </w:p>
        </w:tc>
        <w:tc>
          <w:tcPr>
            <w:tcW w:w="2203" w:type="dxa"/>
            <w:gridSpan w:val="2"/>
            <w:vAlign w:val="center"/>
          </w:tcPr>
          <w:p w14:paraId="113BFDFF">
            <w:pPr>
              <w:spacing w:line="360" w:lineRule="atLeast"/>
              <w:ind w:hanging="315"/>
              <w:jc w:val="center"/>
              <w:rPr>
                <w:rFonts w:ascii="宋体"/>
              </w:rPr>
            </w:pPr>
          </w:p>
        </w:tc>
      </w:tr>
      <w:tr w14:paraId="1FBA06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C8D6BC9">
            <w:pPr>
              <w:spacing w:line="360" w:lineRule="atLeast"/>
              <w:ind w:hanging="315"/>
              <w:jc w:val="center"/>
              <w:rPr>
                <w:rFonts w:ascii="宋体"/>
              </w:rPr>
            </w:pPr>
          </w:p>
        </w:tc>
        <w:tc>
          <w:tcPr>
            <w:tcW w:w="3636" w:type="dxa"/>
            <w:gridSpan w:val="3"/>
            <w:vAlign w:val="center"/>
          </w:tcPr>
          <w:p w14:paraId="79F6E094">
            <w:pPr>
              <w:spacing w:line="360" w:lineRule="atLeast"/>
              <w:ind w:hanging="315"/>
              <w:jc w:val="center"/>
              <w:rPr>
                <w:rFonts w:ascii="宋体"/>
              </w:rPr>
            </w:pPr>
          </w:p>
        </w:tc>
        <w:tc>
          <w:tcPr>
            <w:tcW w:w="1404" w:type="dxa"/>
            <w:vAlign w:val="center"/>
          </w:tcPr>
          <w:p w14:paraId="27D34F9B">
            <w:pPr>
              <w:spacing w:line="360" w:lineRule="atLeast"/>
              <w:ind w:hanging="315"/>
              <w:jc w:val="center"/>
              <w:rPr>
                <w:rFonts w:ascii="宋体"/>
              </w:rPr>
            </w:pPr>
          </w:p>
        </w:tc>
        <w:tc>
          <w:tcPr>
            <w:tcW w:w="2203" w:type="dxa"/>
            <w:gridSpan w:val="2"/>
            <w:vAlign w:val="center"/>
          </w:tcPr>
          <w:p w14:paraId="2208F545">
            <w:pPr>
              <w:spacing w:line="360" w:lineRule="atLeast"/>
              <w:ind w:hanging="315"/>
              <w:jc w:val="center"/>
              <w:rPr>
                <w:rFonts w:ascii="宋体"/>
              </w:rPr>
            </w:pPr>
          </w:p>
        </w:tc>
      </w:tr>
      <w:tr w14:paraId="7C341C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42B5C6B">
            <w:pPr>
              <w:spacing w:line="360" w:lineRule="atLeast"/>
              <w:ind w:hanging="315"/>
              <w:jc w:val="center"/>
              <w:rPr>
                <w:rFonts w:ascii="宋体"/>
              </w:rPr>
            </w:pPr>
          </w:p>
        </w:tc>
        <w:tc>
          <w:tcPr>
            <w:tcW w:w="3636" w:type="dxa"/>
            <w:gridSpan w:val="3"/>
            <w:vAlign w:val="center"/>
          </w:tcPr>
          <w:p w14:paraId="66D2AC34">
            <w:pPr>
              <w:spacing w:line="360" w:lineRule="atLeast"/>
              <w:ind w:hanging="315"/>
              <w:jc w:val="center"/>
              <w:rPr>
                <w:rFonts w:ascii="宋体"/>
              </w:rPr>
            </w:pPr>
          </w:p>
        </w:tc>
        <w:tc>
          <w:tcPr>
            <w:tcW w:w="1404" w:type="dxa"/>
            <w:vAlign w:val="center"/>
          </w:tcPr>
          <w:p w14:paraId="06A59DDD">
            <w:pPr>
              <w:spacing w:line="360" w:lineRule="atLeast"/>
              <w:ind w:hanging="315"/>
              <w:jc w:val="center"/>
              <w:rPr>
                <w:rFonts w:ascii="宋体"/>
              </w:rPr>
            </w:pPr>
          </w:p>
        </w:tc>
        <w:tc>
          <w:tcPr>
            <w:tcW w:w="2203" w:type="dxa"/>
            <w:gridSpan w:val="2"/>
            <w:vAlign w:val="center"/>
          </w:tcPr>
          <w:p w14:paraId="0344E4E9">
            <w:pPr>
              <w:spacing w:line="360" w:lineRule="atLeast"/>
              <w:ind w:hanging="315"/>
              <w:jc w:val="center"/>
              <w:rPr>
                <w:rFonts w:ascii="宋体"/>
              </w:rPr>
            </w:pPr>
          </w:p>
        </w:tc>
      </w:tr>
      <w:tr w14:paraId="6BE18B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A7B9A8B">
            <w:pPr>
              <w:spacing w:line="360" w:lineRule="atLeast"/>
              <w:ind w:hanging="315"/>
              <w:jc w:val="center"/>
              <w:rPr>
                <w:rFonts w:ascii="宋体"/>
              </w:rPr>
            </w:pPr>
          </w:p>
        </w:tc>
        <w:tc>
          <w:tcPr>
            <w:tcW w:w="3636" w:type="dxa"/>
            <w:gridSpan w:val="3"/>
            <w:vAlign w:val="center"/>
          </w:tcPr>
          <w:p w14:paraId="4C12F407">
            <w:pPr>
              <w:spacing w:line="360" w:lineRule="atLeast"/>
              <w:ind w:hanging="315"/>
              <w:jc w:val="center"/>
              <w:rPr>
                <w:rFonts w:ascii="宋体"/>
              </w:rPr>
            </w:pPr>
          </w:p>
        </w:tc>
        <w:tc>
          <w:tcPr>
            <w:tcW w:w="1404" w:type="dxa"/>
            <w:vAlign w:val="center"/>
          </w:tcPr>
          <w:p w14:paraId="54C2A01D">
            <w:pPr>
              <w:spacing w:line="360" w:lineRule="atLeast"/>
              <w:ind w:hanging="315"/>
              <w:jc w:val="center"/>
              <w:rPr>
                <w:rFonts w:ascii="宋体"/>
              </w:rPr>
            </w:pPr>
          </w:p>
        </w:tc>
        <w:tc>
          <w:tcPr>
            <w:tcW w:w="2203" w:type="dxa"/>
            <w:gridSpan w:val="2"/>
            <w:vAlign w:val="center"/>
          </w:tcPr>
          <w:p w14:paraId="754CE244">
            <w:pPr>
              <w:spacing w:line="360" w:lineRule="atLeast"/>
              <w:ind w:hanging="315"/>
              <w:jc w:val="center"/>
              <w:rPr>
                <w:rFonts w:ascii="宋体"/>
              </w:rPr>
            </w:pPr>
          </w:p>
        </w:tc>
      </w:tr>
      <w:tr w14:paraId="63224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F88ADBB">
            <w:pPr>
              <w:spacing w:line="360" w:lineRule="atLeast"/>
              <w:ind w:hanging="315"/>
              <w:jc w:val="center"/>
              <w:rPr>
                <w:rFonts w:ascii="宋体"/>
              </w:rPr>
            </w:pPr>
          </w:p>
        </w:tc>
        <w:tc>
          <w:tcPr>
            <w:tcW w:w="3636" w:type="dxa"/>
            <w:gridSpan w:val="3"/>
            <w:vAlign w:val="center"/>
          </w:tcPr>
          <w:p w14:paraId="00B9EF41">
            <w:pPr>
              <w:spacing w:line="360" w:lineRule="atLeast"/>
              <w:ind w:hanging="315"/>
              <w:jc w:val="center"/>
              <w:rPr>
                <w:rFonts w:ascii="宋体"/>
              </w:rPr>
            </w:pPr>
          </w:p>
        </w:tc>
        <w:tc>
          <w:tcPr>
            <w:tcW w:w="1404" w:type="dxa"/>
            <w:vAlign w:val="center"/>
          </w:tcPr>
          <w:p w14:paraId="0FAA2E29">
            <w:pPr>
              <w:spacing w:line="360" w:lineRule="atLeast"/>
              <w:ind w:hanging="315"/>
              <w:jc w:val="center"/>
              <w:rPr>
                <w:rFonts w:ascii="宋体"/>
              </w:rPr>
            </w:pPr>
          </w:p>
        </w:tc>
        <w:tc>
          <w:tcPr>
            <w:tcW w:w="2203" w:type="dxa"/>
            <w:gridSpan w:val="2"/>
            <w:vAlign w:val="center"/>
          </w:tcPr>
          <w:p w14:paraId="68C3D9E2">
            <w:pPr>
              <w:spacing w:line="360" w:lineRule="atLeast"/>
              <w:ind w:hanging="315"/>
              <w:jc w:val="center"/>
              <w:rPr>
                <w:rFonts w:ascii="宋体"/>
              </w:rPr>
            </w:pPr>
          </w:p>
        </w:tc>
      </w:tr>
    </w:tbl>
    <w:p w14:paraId="7A5824F0">
      <w:pPr>
        <w:spacing w:line="420" w:lineRule="exact"/>
        <w:ind w:left="482" w:hanging="482"/>
        <w:jc w:val="center"/>
        <w:rPr>
          <w:rFonts w:ascii="宋体" w:hAnsi="宋体"/>
          <w:b/>
          <w:sz w:val="32"/>
        </w:rPr>
      </w:pPr>
    </w:p>
    <w:p w14:paraId="3AE364A8">
      <w:pPr>
        <w:spacing w:line="420" w:lineRule="exact"/>
        <w:ind w:left="482" w:hanging="482"/>
        <w:jc w:val="center"/>
        <w:rPr>
          <w:rFonts w:ascii="宋体" w:hAnsi="宋体"/>
          <w:b/>
          <w:sz w:val="32"/>
        </w:rPr>
      </w:pPr>
    </w:p>
    <w:p w14:paraId="31BD10D5">
      <w:pPr>
        <w:spacing w:line="420" w:lineRule="exact"/>
        <w:ind w:left="482" w:hanging="482"/>
        <w:jc w:val="center"/>
        <w:rPr>
          <w:rFonts w:ascii="宋体" w:hAnsi="宋体"/>
          <w:b/>
          <w:sz w:val="32"/>
        </w:rPr>
      </w:pPr>
    </w:p>
    <w:p w14:paraId="1A5A5290">
      <w:pPr>
        <w:adjustRightInd w:val="0"/>
        <w:snapToGrid w:val="0"/>
        <w:spacing w:line="360" w:lineRule="auto"/>
        <w:ind w:left="334" w:leftChars="-42" w:hanging="422"/>
        <w:jc w:val="center"/>
        <w:rPr>
          <w:rFonts w:ascii="宋体" w:hAnsi="宋体"/>
          <w:b/>
          <w:bCs/>
          <w:sz w:val="28"/>
          <w:szCs w:val="28"/>
        </w:rPr>
      </w:pPr>
    </w:p>
    <w:p w14:paraId="07E8DB82">
      <w:pPr>
        <w:pStyle w:val="12"/>
        <w:ind w:left="735" w:hanging="315"/>
      </w:pPr>
    </w:p>
    <w:p w14:paraId="70A2190F">
      <w:pPr>
        <w:ind w:hanging="315"/>
      </w:pPr>
    </w:p>
    <w:p w14:paraId="12304FA4">
      <w:pPr>
        <w:adjustRightInd w:val="0"/>
        <w:snapToGrid w:val="0"/>
        <w:spacing w:line="360" w:lineRule="auto"/>
        <w:ind w:left="334" w:leftChars="-42" w:hanging="422"/>
        <w:jc w:val="center"/>
        <w:rPr>
          <w:rFonts w:ascii="宋体" w:hAnsi="宋体"/>
          <w:b/>
          <w:bCs/>
          <w:sz w:val="28"/>
          <w:szCs w:val="28"/>
        </w:rPr>
      </w:pPr>
    </w:p>
    <w:p w14:paraId="0C0AFAC9">
      <w:pPr>
        <w:adjustRightInd w:val="0"/>
        <w:snapToGrid w:val="0"/>
        <w:spacing w:line="360" w:lineRule="auto"/>
        <w:ind w:left="334" w:leftChars="-42" w:hanging="422"/>
        <w:jc w:val="center"/>
        <w:rPr>
          <w:rFonts w:ascii="宋体" w:hAnsi="宋体"/>
          <w:b/>
          <w:bCs/>
          <w:sz w:val="28"/>
          <w:szCs w:val="28"/>
        </w:rPr>
      </w:pPr>
      <w:bookmarkStart w:id="641" w:name="_Toc34637811"/>
      <w:r>
        <w:rPr>
          <w:rFonts w:hint="eastAsia" w:ascii="宋体" w:hAnsi="宋体"/>
          <w:b/>
          <w:bCs/>
          <w:sz w:val="28"/>
          <w:szCs w:val="28"/>
        </w:rPr>
        <w:t>九、最后报价</w:t>
      </w:r>
    </w:p>
    <w:p w14:paraId="087CCF24">
      <w:pPr>
        <w:adjustRightInd w:val="0"/>
        <w:snapToGrid w:val="0"/>
        <w:ind w:left="227" w:leftChars="-42" w:hanging="315"/>
        <w:rPr>
          <w:rFonts w:ascii="宋体" w:hAnsi="宋体" w:cs="宋体"/>
          <w:szCs w:val="21"/>
        </w:rPr>
      </w:pPr>
    </w:p>
    <w:bookmarkEnd w:id="641"/>
    <w:p w14:paraId="1B59E9C9">
      <w:pPr>
        <w:adjustRightInd w:val="0"/>
        <w:snapToGrid w:val="0"/>
        <w:ind w:left="227" w:leftChars="-42" w:hanging="315"/>
        <w:rPr>
          <w:rFonts w:asciiTheme="minorEastAsia" w:hAnsiTheme="minorEastAsia" w:eastAsiaTheme="minorEastAsia" w:cstheme="minorEastAsia"/>
          <w:szCs w:val="21"/>
        </w:rPr>
      </w:pPr>
    </w:p>
    <w:p w14:paraId="6232EF53">
      <w:pPr>
        <w:widowControl/>
        <w:adjustRightInd w:val="0"/>
        <w:snapToGrid w:val="0"/>
        <w:ind w:firstLine="444" w:firstLineChars="200"/>
        <w:jc w:val="left"/>
        <w:rPr>
          <w:rFonts w:asciiTheme="minorEastAsia" w:hAnsiTheme="minorEastAsia" w:eastAsiaTheme="minorEastAsia" w:cstheme="minorEastAsia"/>
          <w:spacing w:val="6"/>
          <w:kern w:val="0"/>
          <w:szCs w:val="21"/>
        </w:rPr>
      </w:pPr>
      <w:r>
        <w:rPr>
          <w:rFonts w:hint="eastAsia" w:asciiTheme="minorEastAsia" w:hAnsiTheme="minorEastAsia" w:eastAsiaTheme="minorEastAsia" w:cstheme="minorEastAsia"/>
          <w:spacing w:val="6"/>
          <w:kern w:val="0"/>
          <w:szCs w:val="21"/>
        </w:rPr>
        <w:t>说明：最后报价按规定在开标现场提供。</w:t>
      </w:r>
    </w:p>
    <w:p w14:paraId="699E42F0">
      <w:pPr>
        <w:adjustRightInd w:val="0"/>
        <w:snapToGrid w:val="0"/>
        <w:spacing w:before="120" w:beforeLines="50" w:line="360" w:lineRule="auto"/>
        <w:ind w:firstLine="420" w:firstLineChars="200"/>
        <w:rPr>
          <w:rFonts w:ascii="宋体" w:hAnsi="宋体" w:cs="宋体"/>
        </w:rPr>
      </w:pPr>
    </w:p>
    <w:p w14:paraId="1A7C288A">
      <w:pPr>
        <w:pStyle w:val="62"/>
        <w:rPr>
          <w:rFonts w:ascii="宋体" w:hAnsi="宋体"/>
          <w:b/>
          <w:sz w:val="32"/>
          <w:szCs w:val="32"/>
        </w:rPr>
      </w:pPr>
    </w:p>
    <w:p w14:paraId="4BAFE5A3">
      <w:pPr>
        <w:pStyle w:val="62"/>
        <w:rPr>
          <w:rFonts w:ascii="宋体" w:hAnsi="宋体"/>
          <w:b/>
          <w:sz w:val="32"/>
          <w:szCs w:val="32"/>
        </w:rPr>
      </w:pPr>
    </w:p>
    <w:p w14:paraId="72462398">
      <w:pPr>
        <w:pStyle w:val="62"/>
        <w:rPr>
          <w:rFonts w:ascii="宋体" w:hAnsi="宋体"/>
          <w:b/>
          <w:sz w:val="32"/>
          <w:szCs w:val="32"/>
        </w:rPr>
      </w:pPr>
    </w:p>
    <w:p w14:paraId="644649B8">
      <w:pPr>
        <w:pStyle w:val="62"/>
        <w:rPr>
          <w:rFonts w:ascii="宋体" w:hAnsi="宋体"/>
          <w:b/>
          <w:sz w:val="32"/>
          <w:szCs w:val="32"/>
        </w:rPr>
      </w:pPr>
    </w:p>
    <w:p w14:paraId="13D18E90">
      <w:pPr>
        <w:pStyle w:val="62"/>
        <w:rPr>
          <w:rFonts w:ascii="宋体" w:hAnsi="宋体"/>
          <w:b/>
          <w:sz w:val="32"/>
          <w:szCs w:val="32"/>
        </w:rPr>
      </w:pPr>
    </w:p>
    <w:p w14:paraId="0867F640">
      <w:pPr>
        <w:pStyle w:val="62"/>
        <w:rPr>
          <w:rFonts w:ascii="宋体" w:hAnsi="宋体"/>
          <w:b/>
          <w:sz w:val="32"/>
          <w:szCs w:val="32"/>
        </w:rPr>
      </w:pPr>
    </w:p>
    <w:p w14:paraId="0CA39F97">
      <w:pPr>
        <w:pStyle w:val="62"/>
        <w:rPr>
          <w:rFonts w:ascii="宋体" w:hAnsi="宋体"/>
          <w:b/>
          <w:sz w:val="32"/>
          <w:szCs w:val="32"/>
        </w:rPr>
      </w:pPr>
    </w:p>
    <w:p w14:paraId="02F66C66">
      <w:pPr>
        <w:pStyle w:val="62"/>
        <w:rPr>
          <w:rFonts w:ascii="宋体" w:hAnsi="宋体"/>
          <w:b/>
          <w:sz w:val="32"/>
          <w:szCs w:val="32"/>
        </w:rPr>
      </w:pPr>
    </w:p>
    <w:p w14:paraId="44DC669C">
      <w:pPr>
        <w:pStyle w:val="62"/>
        <w:rPr>
          <w:rFonts w:ascii="宋体" w:hAnsi="宋体"/>
          <w:b/>
          <w:sz w:val="32"/>
          <w:szCs w:val="32"/>
        </w:rPr>
      </w:pPr>
    </w:p>
    <w:p w14:paraId="574EB1F4">
      <w:pPr>
        <w:adjustRightInd w:val="0"/>
        <w:snapToGrid w:val="0"/>
        <w:spacing w:before="120" w:beforeLines="50" w:line="360" w:lineRule="auto"/>
        <w:ind w:hanging="315"/>
        <w:rPr>
          <w:rFonts w:ascii="宋体"/>
        </w:rPr>
      </w:pPr>
    </w:p>
    <w:p w14:paraId="67099FF3">
      <w:pPr>
        <w:ind w:hanging="315"/>
      </w:pPr>
    </w:p>
    <w:p w14:paraId="4A1E70CE">
      <w:pPr>
        <w:widowControl/>
        <w:adjustRightInd w:val="0"/>
        <w:snapToGrid w:val="0"/>
        <w:spacing w:before="120" w:beforeLines="50" w:line="360" w:lineRule="auto"/>
        <w:ind w:left="331" w:hanging="331"/>
        <w:jc w:val="center"/>
        <w:rPr>
          <w:rFonts w:ascii="宋体" w:hAnsi="宋体"/>
          <w:b/>
          <w:sz w:val="22"/>
          <w:szCs w:val="22"/>
        </w:rPr>
      </w:pPr>
      <w:r>
        <w:rPr>
          <w:rFonts w:hint="eastAsia" w:ascii="宋体" w:hAnsi="宋体"/>
          <w:b/>
          <w:sz w:val="22"/>
          <w:szCs w:val="22"/>
        </w:rPr>
        <w:t>(全文完）</w:t>
      </w:r>
    </w:p>
    <w:p w14:paraId="4BEF4891">
      <w:pPr>
        <w:widowControl/>
        <w:spacing w:before="100" w:beforeAutospacing="1" w:after="96" w:afterAutospacing="1" w:line="408" w:lineRule="auto"/>
        <w:ind w:hanging="315"/>
        <w:jc w:val="center"/>
      </w:pPr>
    </w:p>
    <w:p w14:paraId="699F0A08">
      <w:pPr>
        <w:ind w:hanging="315"/>
      </w:pPr>
    </w:p>
    <w:p w14:paraId="3DFBD3B5">
      <w:pPr>
        <w:adjustRightInd w:val="0"/>
        <w:snapToGrid w:val="0"/>
        <w:spacing w:line="360" w:lineRule="auto"/>
        <w:ind w:hanging="315"/>
        <w:rPr>
          <w:rFonts w:ascii="宋体" w:hAnsi="宋体"/>
          <w:szCs w:val="21"/>
        </w:rPr>
      </w:pPr>
    </w:p>
    <w:p w14:paraId="4EE87B97">
      <w:pPr>
        <w:widowControl/>
        <w:adjustRightInd w:val="0"/>
        <w:snapToGrid w:val="0"/>
        <w:spacing w:before="120" w:beforeLines="50" w:line="360" w:lineRule="auto"/>
        <w:ind w:left="316" w:hanging="316"/>
        <w:rPr>
          <w:rFonts w:ascii="宋体" w:hAnsi="宋体"/>
          <w:b/>
          <w:szCs w:val="21"/>
        </w:rPr>
      </w:pPr>
    </w:p>
    <w:sectPr>
      <w:headerReference r:id="rId8" w:type="default"/>
      <w:footerReference r:id="rId9" w:type="default"/>
      <w:pgSz w:w="11906" w:h="16838"/>
      <w:pgMar w:top="1474" w:right="1984" w:bottom="1587" w:left="209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02B4FB-C2AE-453C-AB06-ECEB7F35B3B3}"/>
  </w:font>
  <w:font w:name="黑体">
    <w:panose1 w:val="02010609060101010101"/>
    <w:charset w:val="86"/>
    <w:family w:val="auto"/>
    <w:pitch w:val="default"/>
    <w:sig w:usb0="800002BF" w:usb1="38CF7CFA" w:usb2="00000016" w:usb3="00000000" w:csb0="00040001" w:csb1="00000000"/>
    <w:embedRegular r:id="rId2" w:fontKey="{9E60CBC9-6637-46F7-A640-935D4D2064A7}"/>
  </w:font>
  <w:font w:name="Courier New">
    <w:panose1 w:val="02070309020205020404"/>
    <w:charset w:val="01"/>
    <w:family w:val="modern"/>
    <w:pitch w:val="default"/>
    <w:sig w:usb0="E0002EFF" w:usb1="C0007843" w:usb2="00000009" w:usb3="00000000" w:csb0="400001FF" w:csb1="FFFF0000"/>
    <w:embedRegular r:id="rId3" w:fontKey="{E460D8B7-3B82-43F3-896A-36C0B14B194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A5D914FE-4010-4BBE-AF34-F520AECB192F}"/>
  </w:font>
  <w:font w:name="仿宋_GB2312">
    <w:panose1 w:val="02010609030101010101"/>
    <w:charset w:val="86"/>
    <w:family w:val="modern"/>
    <w:pitch w:val="default"/>
    <w:sig w:usb0="00000001" w:usb1="080E0000" w:usb2="00000000" w:usb3="00000000" w:csb0="00040000" w:csb1="00000000"/>
    <w:embedRegular r:id="rId5" w:fontKey="{AE8771C0-3C6D-47CC-B04E-E57CF4684C98}"/>
  </w:font>
  <w:font w:name="楷体_GB2312">
    <w:altName w:val="楷体"/>
    <w:panose1 w:val="02010609030101010101"/>
    <w:charset w:val="86"/>
    <w:family w:val="modern"/>
    <w:pitch w:val="default"/>
    <w:sig w:usb0="00000000" w:usb1="00000000" w:usb2="00000010" w:usb3="00000000" w:csb0="00040000" w:csb1="00000000"/>
    <w:embedRegular r:id="rId6" w:fontKey="{9A0C914A-5E4D-44D7-9A4A-2AEC05B34637}"/>
  </w:font>
  <w:font w:name="楷体">
    <w:panose1 w:val="02010609060101010101"/>
    <w:charset w:val="86"/>
    <w:family w:val="modern"/>
    <w:pitch w:val="default"/>
    <w:sig w:usb0="800002BF" w:usb1="38CF7CFA" w:usb2="00000016" w:usb3="00000000" w:csb0="00040001" w:csb1="00000000"/>
    <w:embedRegular r:id="rId7" w:fontKey="{4173CF78-3255-4B3F-9DD1-B065CFEE5A90}"/>
  </w:font>
  <w:font w:name="Cambria">
    <w:panose1 w:val="02040503050406030204"/>
    <w:charset w:val="00"/>
    <w:family w:val="roman"/>
    <w:pitch w:val="default"/>
    <w:sig w:usb0="E00006FF" w:usb1="420024FF" w:usb2="02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8" w:fontKey="{4305ABF7-0BFC-4BC7-BC91-4E8CE63D95F2}"/>
  </w:font>
  <w:font w:name="仿宋">
    <w:panose1 w:val="02010609060101010101"/>
    <w:charset w:val="86"/>
    <w:family w:val="modern"/>
    <w:pitch w:val="default"/>
    <w:sig w:usb0="800002BF" w:usb1="38CF7CFA" w:usb2="00000016" w:usb3="00000000" w:csb0="00040001" w:csb1="00000000"/>
    <w:embedRegular r:id="rId9" w:fontKey="{9584EEB0-3C64-460C-8939-FF59788BC523}"/>
  </w:font>
  <w:font w:name="华文中宋">
    <w:panose1 w:val="02010600040101010101"/>
    <w:charset w:val="86"/>
    <w:family w:val="auto"/>
    <w:pitch w:val="default"/>
    <w:sig w:usb0="00000287" w:usb1="080F0000" w:usb2="00000000" w:usb3="00000000" w:csb0="0004009F" w:csb1="DFD70000"/>
    <w:embedRegular r:id="rId10" w:fontKey="{8D46A3CE-CD9C-4EDD-8818-F5BADA9B4F7E}"/>
  </w:font>
  <w:font w:name="Wingdings 2">
    <w:panose1 w:val="05020102010507070707"/>
    <w:charset w:val="02"/>
    <w:family w:val="roman"/>
    <w:pitch w:val="default"/>
    <w:sig w:usb0="00000000" w:usb1="00000000" w:usb2="00000000" w:usb3="00000000" w:csb0="80000000" w:csb1="00000000"/>
    <w:embedRegular r:id="rId11" w:fontKey="{2585F5C4-6A08-4A29-B2D4-4F1EA7AE50C4}"/>
  </w:font>
  <w:font w:name="方正小标宋简体">
    <w:panose1 w:val="03000509000000000000"/>
    <w:charset w:val="86"/>
    <w:family w:val="auto"/>
    <w:pitch w:val="default"/>
    <w:sig w:usb0="00000001" w:usb1="080E0000" w:usb2="00000000" w:usb3="00000000" w:csb0="00040000" w:csb1="00000000"/>
    <w:embedRegular r:id="rId12" w:fontKey="{C6627007-0368-4A01-B198-B26A993BEDCE}"/>
  </w:font>
  <w:font w:name="新宋体">
    <w:panose1 w:val="02010609030101010101"/>
    <w:charset w:val="86"/>
    <w:family w:val="modern"/>
    <w:pitch w:val="default"/>
    <w:sig w:usb0="00000203" w:usb1="288F0000" w:usb2="00000006" w:usb3="00000000" w:csb0="00040001" w:csb1="00000000"/>
    <w:embedRegular r:id="rId13" w:fontKey="{E85F7CD9-7593-4F56-A494-FB655D2DC556}"/>
  </w:font>
  <w:font w:name="隶书">
    <w:panose1 w:val="02010509060101010101"/>
    <w:charset w:val="86"/>
    <w:family w:val="modern"/>
    <w:pitch w:val="default"/>
    <w:sig w:usb0="00000001" w:usb1="080E0000" w:usb2="00000000" w:usb3="00000000" w:csb0="00040000" w:csb1="00000000"/>
    <w:embedRegular r:id="rId14" w:fontKey="{55638E93-45B3-412D-9F4F-D4EF482DE188}"/>
  </w:font>
  <w:font w:name="微软雅黑">
    <w:panose1 w:val="020B0503020204020204"/>
    <w:charset w:val="86"/>
    <w:family w:val="swiss"/>
    <w:pitch w:val="default"/>
    <w:sig w:usb0="80000287" w:usb1="2ACF3C50" w:usb2="00000016" w:usb3="00000000" w:csb0="0004001F" w:csb1="00000000"/>
    <w:embedRegular r:id="rId15" w:fontKey="{426D413A-FBCF-4400-A77D-7CDF740D0123}"/>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6169C">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15035" cy="147955"/>
              <wp:effectExtent l="0" t="0" r="18415" b="4445"/>
              <wp:wrapNone/>
              <wp:docPr id="1" name="文本框 16385"/>
              <wp:cNvGraphicFramePr/>
              <a:graphic xmlns:a="http://schemas.openxmlformats.org/drawingml/2006/main">
                <a:graphicData uri="http://schemas.microsoft.com/office/word/2010/wordprocessingShape">
                  <wps:wsp>
                    <wps:cNvSpPr txBox="1"/>
                    <wps:spPr>
                      <a:xfrm>
                        <a:off x="0" y="0"/>
                        <a:ext cx="915035" cy="147955"/>
                      </a:xfrm>
                      <a:prstGeom prst="rect">
                        <a:avLst/>
                      </a:prstGeom>
                      <a:noFill/>
                      <a:ln>
                        <a:noFill/>
                      </a:ln>
                      <a:effectLst/>
                    </wps:spPr>
                    <wps:txbx>
                      <w:txbxContent>
                        <w:p w14:paraId="38DCBD14">
                          <w:pPr>
                            <w:pStyle w:val="29"/>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wps:txbx>
                    <wps:bodyPr wrap="none" lIns="0" tIns="0" rIns="0" bIns="0">
                      <a:spAutoFit/>
                    </wps:bodyPr>
                  </wps:wsp>
                </a:graphicData>
              </a:graphic>
            </wp:anchor>
          </w:drawing>
        </mc:Choice>
        <mc:Fallback>
          <w:pict>
            <v:shape id="文本框 16385" o:spid="_x0000_s1026" o:spt="202" type="#_x0000_t202" style="position:absolute;left:0pt;margin-top:0pt;height:11.65pt;width:72.05pt;mso-position-horizontal:center;mso-position-horizontal-relative:margin;mso-wrap-style:none;z-index:251659264;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Q7eqt9IAAAAEAQAADwAAAAAAAAABACAAAAAiAAAAZHJz&#10;L2Rvd25yZXYueG1sUEsBAhQAFAAAAAgAh07iQFL1cs3RAQAAnQMAAA4AAAAAAAAAAQAgAAAAIQEA&#10;AGRycy9lMm9Eb2MueG1sUEsFBgAAAAAGAAYAWQEAAGQFAAAAAA==&#10;">
              <v:fill on="f" focussize="0,0"/>
              <v:stroke on="f"/>
              <v:imagedata o:title=""/>
              <o:lock v:ext="edit" aspectratio="f"/>
              <v:textbox inset="0mm,0mm,0mm,0mm" style="mso-fit-shape-to-text:t;">
                <w:txbxContent>
                  <w:p w14:paraId="38DCBD14">
                    <w:pPr>
                      <w:pStyle w:val="29"/>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56287">
    <w:pPr>
      <w:pStyle w:val="29"/>
      <w:ind w:left="180" w:right="359" w:rightChars="171" w:hanging="180" w:hangingChars="10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470805">
                          <w:pPr>
                            <w:pStyle w:val="29"/>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6470805">
                    <w:pPr>
                      <w:pStyle w:val="29"/>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AC487">
    <w:pPr>
      <w:pStyle w:val="29"/>
      <w:pBdr>
        <w:top w:val="single" w:color="auto" w:sz="4" w:space="1"/>
      </w:pBdr>
      <w:ind w:right="359" w:rightChars="171" w:firstLine="210" w:firstLineChars="100"/>
      <w:jc w:val="both"/>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2185" cy="147955"/>
              <wp:effectExtent l="0" t="0" r="3175" b="8255"/>
              <wp:wrapNone/>
              <wp:docPr id="4" name="文本框 4"/>
              <wp:cNvGraphicFramePr/>
              <a:graphic xmlns:a="http://schemas.openxmlformats.org/drawingml/2006/main">
                <a:graphicData uri="http://schemas.microsoft.com/office/word/2010/wordprocessingShape">
                  <wps:wsp>
                    <wps:cNvSpPr txBox="1"/>
                    <wps:spPr>
                      <a:xfrm>
                        <a:off x="0" y="0"/>
                        <a:ext cx="972185" cy="147955"/>
                      </a:xfrm>
                      <a:prstGeom prst="rect">
                        <a:avLst/>
                      </a:prstGeom>
                      <a:noFill/>
                      <a:ln w="15875">
                        <a:noFill/>
                      </a:ln>
                      <a:effectLst/>
                    </wps:spPr>
                    <wps:txbx>
                      <w:txbxContent>
                        <w:p w14:paraId="55BE6A5C">
                          <w:pPr>
                            <w:pStyle w:val="29"/>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1.65pt;width:76.55pt;mso-position-horizontal:center;mso-position-horizontal-relative:margin;mso-wrap-style:none;z-index:251660288;mso-width-relative:page;mso-height-relative:page;" filled="f" stroked="f" coordsize="21600,21600" o:gfxdata="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3VkSdUAAAAEAQAADwAAAAAAAAABACAAAAAi&#10;AAAAZHJzL2Rvd25yZXYueG1sUEsBAhQAFAAAAAgAh07iQKvhJGDUAQAAowMAAA4AAAAAAAAAAQAg&#10;AAAAJAEAAGRycy9lMm9Eb2MueG1sUEsFBgAAAAAGAAYAWQEAAGoFAAAAAA==&#10;">
              <v:fill on="f" focussize="0,0"/>
              <v:stroke on="f" weight="1.25pt"/>
              <v:imagedata o:title=""/>
              <o:lock v:ext="edit" aspectratio="f"/>
              <v:textbox inset="0mm,0mm,0mm,0mm" style="mso-fit-shape-to-text:t;">
                <w:txbxContent>
                  <w:p w14:paraId="55BE6A5C">
                    <w:pPr>
                      <w:pStyle w:val="29"/>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v:textbox>
            </v:shape>
          </w:pict>
        </mc:Fallback>
      </mc:AlternateContent>
    </w:r>
    <w:r>
      <w:rPr>
        <w:rFonts w:hint="eastAsia" w:ascii="隶书" w:eastAsia="隶书"/>
        <w:b/>
        <w:kern w:val="0"/>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C2DD">
    <w:pPr>
      <w:pStyle w:val="29"/>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200150" cy="147955"/>
              <wp:effectExtent l="0" t="0" r="0" b="4445"/>
              <wp:wrapNone/>
              <wp:docPr id="3" name="文本框 16387"/>
              <wp:cNvGraphicFramePr/>
              <a:graphic xmlns:a="http://schemas.openxmlformats.org/drawingml/2006/main">
                <a:graphicData uri="http://schemas.microsoft.com/office/word/2010/wordprocessingShape">
                  <wps:wsp>
                    <wps:cNvSpPr txBox="1"/>
                    <wps:spPr>
                      <a:xfrm>
                        <a:off x="0" y="0"/>
                        <a:ext cx="1200150" cy="147955"/>
                      </a:xfrm>
                      <a:prstGeom prst="rect">
                        <a:avLst/>
                      </a:prstGeom>
                      <a:noFill/>
                      <a:ln>
                        <a:noFill/>
                      </a:ln>
                      <a:effectLst/>
                    </wps:spPr>
                    <wps:txbx>
                      <w:txbxContent>
                        <w:p w14:paraId="14E3B370">
                          <w:pPr>
                            <w:pStyle w:val="29"/>
                            <w:ind w:left="180" w:right="359" w:rightChars="171" w:hanging="180" w:hangingChars="100"/>
                            <w:jc w:val="center"/>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wps:txbx>
                    <wps:bodyPr wrap="none" lIns="0" tIns="0" rIns="0" bIns="0">
                      <a:spAutoFit/>
                    </wps:bodyPr>
                  </wps:wsp>
                </a:graphicData>
              </a:graphic>
            </wp:anchor>
          </w:drawing>
        </mc:Choice>
        <mc:Fallback>
          <w:pict>
            <v:shape id="文本框 16387" o:spid="_x0000_s1026" o:spt="202" type="#_x0000_t202" style="position:absolute;left:0pt;margin-top:0pt;height:11.65pt;width:94.5pt;mso-position-horizontal:center;mso-position-horizontal-relative:margin;mso-wrap-style:none;z-index:251661312;mso-width-relative:page;mso-height-relative:page;" filled="f" stroked="f" coordsize="21600,21600" o:gfxdata="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DqWSrRAAAABAEAAA8AAAAAAAAAAQAgAAAAIgAAAGRycy9k&#10;b3ducmV2LnhtbFBLAQIUABQAAAAIAIdO4kCZjS6a0AEAAJ4DAAAOAAAAAAAAAAEAIAAAACABAABk&#10;cnMvZTJvRG9jLnhtbFBLBQYAAAAABgAGAFkBAABiBQAAAAA=&#10;">
              <v:fill on="f" focussize="0,0"/>
              <v:stroke on="f"/>
              <v:imagedata o:title=""/>
              <o:lock v:ext="edit" aspectratio="f"/>
              <v:textbox inset="0mm,0mm,0mm,0mm" style="mso-fit-shape-to-text:t;">
                <w:txbxContent>
                  <w:p w14:paraId="14E3B370">
                    <w:pPr>
                      <w:pStyle w:val="29"/>
                      <w:ind w:left="180" w:right="359" w:rightChars="171" w:hanging="180" w:hangingChars="100"/>
                      <w:jc w:val="center"/>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BF999">
    <w:pPr>
      <w:pStyle w:val="25"/>
      <w:adjustRightInd w:val="0"/>
      <w:snapToGrid w:val="0"/>
      <w:spacing w:line="360" w:lineRule="auto"/>
      <w:ind w:left="1470" w:hanging="1470" w:hangingChars="70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8E605">
    <w:pPr>
      <w:pStyle w:val="25"/>
      <w:rPr>
        <w:rFonts w:ascii="仿宋_GB2312" w:eastAsia="仿宋_GB2312"/>
        <w:b/>
        <w:sz w:val="18"/>
        <w:szCs w:val="18"/>
      </w:rPr>
    </w:pPr>
    <w:r>
      <w:rPr>
        <w:rFonts w:hint="eastAsia" w:hAnsi="宋体" w:cs="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C5C7E">
    <w:pPr>
      <w:pStyle w:val="25"/>
      <w:ind w:left="271" w:hanging="271"/>
      <w:rPr>
        <w:rFonts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52A85"/>
    <w:multiLevelType w:val="singleLevel"/>
    <w:tmpl w:val="97652A85"/>
    <w:lvl w:ilvl="0" w:tentative="0">
      <w:start w:val="2"/>
      <w:numFmt w:val="chineseCounting"/>
      <w:suff w:val="nothing"/>
      <w:lvlText w:val="%1、"/>
      <w:lvlJc w:val="left"/>
      <w:rPr>
        <w:rFonts w:hint="eastAsia"/>
      </w:rPr>
    </w:lvl>
  </w:abstractNum>
  <w:abstractNum w:abstractNumId="1">
    <w:nsid w:val="D5F86FA8"/>
    <w:multiLevelType w:val="singleLevel"/>
    <w:tmpl w:val="D5F86FA8"/>
    <w:lvl w:ilvl="0" w:tentative="0">
      <w:start w:val="2"/>
      <w:numFmt w:val="decimal"/>
      <w:suff w:val="space"/>
      <w:lvlText w:val="%1."/>
      <w:lvlJc w:val="left"/>
      <w:pPr>
        <w:ind w:left="0" w:firstLine="0"/>
      </w:pPr>
    </w:lvl>
  </w:abstractNum>
  <w:abstractNum w:abstractNumId="2">
    <w:nsid w:val="E16DB6A7"/>
    <w:multiLevelType w:val="singleLevel"/>
    <w:tmpl w:val="E16DB6A7"/>
    <w:lvl w:ilvl="0" w:tentative="0">
      <w:start w:val="4"/>
      <w:numFmt w:val="decimal"/>
      <w:lvlText w:val="%1."/>
      <w:lvlJc w:val="left"/>
      <w:pPr>
        <w:tabs>
          <w:tab w:val="left" w:pos="312"/>
        </w:tabs>
      </w:pPr>
    </w:lvl>
  </w:abstractNum>
  <w:abstractNum w:abstractNumId="3">
    <w:nsid w:val="00000001"/>
    <w:multiLevelType w:val="singleLevel"/>
    <w:tmpl w:val="00000001"/>
    <w:lvl w:ilvl="0" w:tentative="0">
      <w:start w:val="1"/>
      <w:numFmt w:val="decimal"/>
      <w:suff w:val="space"/>
      <w:lvlText w:val="%1."/>
      <w:lvlJc w:val="left"/>
    </w:lvl>
  </w:abstractNum>
  <w:abstractNum w:abstractNumId="4">
    <w:nsid w:val="06EDBC8B"/>
    <w:multiLevelType w:val="singleLevel"/>
    <w:tmpl w:val="06EDBC8B"/>
    <w:lvl w:ilvl="0" w:tentative="0">
      <w:start w:val="8"/>
      <w:numFmt w:val="chineseCounting"/>
      <w:suff w:val="nothing"/>
      <w:lvlText w:val="%1、"/>
      <w:lvlJc w:val="left"/>
      <w:rPr>
        <w:rFonts w:hint="eastAsia"/>
      </w:rPr>
    </w:lvl>
  </w:abstractNum>
  <w:abstractNum w:abstractNumId="5">
    <w:nsid w:val="5F9478E8"/>
    <w:multiLevelType w:val="multilevel"/>
    <w:tmpl w:val="5F9478E8"/>
    <w:lvl w:ilvl="0" w:tentative="0">
      <w:start w:val="1"/>
      <w:numFmt w:val="decimal"/>
      <w:lvlText w:val="%1、"/>
      <w:lvlJc w:val="left"/>
      <w:pPr>
        <w:ind w:left="360" w:hanging="360"/>
      </w:pPr>
      <w:rPr>
        <w:rFonts w:hint="default" w:hAns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9676019"/>
    <w:multiLevelType w:val="singleLevel"/>
    <w:tmpl w:val="69676019"/>
    <w:lvl w:ilvl="0" w:tentative="0">
      <w:start w:val="2"/>
      <w:numFmt w:val="chineseCounting"/>
      <w:suff w:val="nothing"/>
      <w:lvlText w:val="%1、"/>
      <w:lvlJc w:val="left"/>
      <w:rPr>
        <w:rFonts w:hint="eastAsia"/>
      </w:rPr>
    </w:lvl>
  </w:abstractNum>
  <w:num w:numId="1">
    <w:abstractNumId w:val="6"/>
  </w:num>
  <w:num w:numId="2">
    <w:abstractNumId w:val="5"/>
  </w:num>
  <w:num w:numId="3">
    <w:abstractNumId w:val="2"/>
  </w:num>
  <w:num w:numId="4">
    <w:abstractNumId w:val="1"/>
    <w:lvlOverride w:ilvl="0">
      <w:startOverride w:val="2"/>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1YzI5MDg5NDIwNmQ0OWRkY2NkZTU1OWFhNDM0NDIifQ=="/>
    <w:docVar w:name="KSO_WPS_MARK_KEY" w:val="b9654e4f-638f-49eb-b90e-307d0d51f0ca"/>
  </w:docVars>
  <w:rsids>
    <w:rsidRoot w:val="00496D5A"/>
    <w:rsid w:val="000026CD"/>
    <w:rsid w:val="0000689C"/>
    <w:rsid w:val="00006D54"/>
    <w:rsid w:val="00007183"/>
    <w:rsid w:val="00010AA2"/>
    <w:rsid w:val="00011684"/>
    <w:rsid w:val="00011F75"/>
    <w:rsid w:val="00012CB6"/>
    <w:rsid w:val="000143A9"/>
    <w:rsid w:val="000152CE"/>
    <w:rsid w:val="000156E2"/>
    <w:rsid w:val="000165F2"/>
    <w:rsid w:val="000179DA"/>
    <w:rsid w:val="00024344"/>
    <w:rsid w:val="000247D5"/>
    <w:rsid w:val="00024E29"/>
    <w:rsid w:val="00024EBC"/>
    <w:rsid w:val="00025986"/>
    <w:rsid w:val="00026B4C"/>
    <w:rsid w:val="00026FD7"/>
    <w:rsid w:val="00027240"/>
    <w:rsid w:val="00027406"/>
    <w:rsid w:val="0002779F"/>
    <w:rsid w:val="0002791B"/>
    <w:rsid w:val="00027D5B"/>
    <w:rsid w:val="00030495"/>
    <w:rsid w:val="000313EC"/>
    <w:rsid w:val="00031583"/>
    <w:rsid w:val="000328A2"/>
    <w:rsid w:val="000328D7"/>
    <w:rsid w:val="00034641"/>
    <w:rsid w:val="00037E98"/>
    <w:rsid w:val="00040807"/>
    <w:rsid w:val="00040D86"/>
    <w:rsid w:val="00041F5E"/>
    <w:rsid w:val="000441C7"/>
    <w:rsid w:val="000444EB"/>
    <w:rsid w:val="00044BFE"/>
    <w:rsid w:val="00051E2A"/>
    <w:rsid w:val="0005274D"/>
    <w:rsid w:val="00052D47"/>
    <w:rsid w:val="00053DE3"/>
    <w:rsid w:val="00054846"/>
    <w:rsid w:val="0005520D"/>
    <w:rsid w:val="00055D1A"/>
    <w:rsid w:val="0005632B"/>
    <w:rsid w:val="000579EF"/>
    <w:rsid w:val="00063E5F"/>
    <w:rsid w:val="000640EC"/>
    <w:rsid w:val="000641A5"/>
    <w:rsid w:val="00064807"/>
    <w:rsid w:val="00065D9C"/>
    <w:rsid w:val="00066BEA"/>
    <w:rsid w:val="00067E40"/>
    <w:rsid w:val="00077B6F"/>
    <w:rsid w:val="00080636"/>
    <w:rsid w:val="00080709"/>
    <w:rsid w:val="00081249"/>
    <w:rsid w:val="000818D8"/>
    <w:rsid w:val="00081FA6"/>
    <w:rsid w:val="0008252B"/>
    <w:rsid w:val="000828F7"/>
    <w:rsid w:val="00082D83"/>
    <w:rsid w:val="00086A97"/>
    <w:rsid w:val="00090C5D"/>
    <w:rsid w:val="0009126C"/>
    <w:rsid w:val="00091475"/>
    <w:rsid w:val="000922C8"/>
    <w:rsid w:val="000928BC"/>
    <w:rsid w:val="000943CC"/>
    <w:rsid w:val="00095022"/>
    <w:rsid w:val="000952E7"/>
    <w:rsid w:val="00097AEC"/>
    <w:rsid w:val="00097EC7"/>
    <w:rsid w:val="000A079C"/>
    <w:rsid w:val="000A2407"/>
    <w:rsid w:val="000A2941"/>
    <w:rsid w:val="000A3E58"/>
    <w:rsid w:val="000A604E"/>
    <w:rsid w:val="000A6970"/>
    <w:rsid w:val="000B422C"/>
    <w:rsid w:val="000B5ABD"/>
    <w:rsid w:val="000B6963"/>
    <w:rsid w:val="000B699D"/>
    <w:rsid w:val="000B72E3"/>
    <w:rsid w:val="000C2B71"/>
    <w:rsid w:val="000C2BA1"/>
    <w:rsid w:val="000C3661"/>
    <w:rsid w:val="000C3C47"/>
    <w:rsid w:val="000C3D6F"/>
    <w:rsid w:val="000C5109"/>
    <w:rsid w:val="000C585B"/>
    <w:rsid w:val="000C5B6D"/>
    <w:rsid w:val="000C5BDA"/>
    <w:rsid w:val="000C714A"/>
    <w:rsid w:val="000D0E92"/>
    <w:rsid w:val="000D1A14"/>
    <w:rsid w:val="000D1F4B"/>
    <w:rsid w:val="000D38F1"/>
    <w:rsid w:val="000D54CD"/>
    <w:rsid w:val="000D7196"/>
    <w:rsid w:val="000E1E33"/>
    <w:rsid w:val="000E3452"/>
    <w:rsid w:val="000E430C"/>
    <w:rsid w:val="000E5168"/>
    <w:rsid w:val="000F1ED4"/>
    <w:rsid w:val="000F23B9"/>
    <w:rsid w:val="000F314F"/>
    <w:rsid w:val="000F5486"/>
    <w:rsid w:val="000F79FA"/>
    <w:rsid w:val="00100664"/>
    <w:rsid w:val="00100878"/>
    <w:rsid w:val="001016B9"/>
    <w:rsid w:val="001039A9"/>
    <w:rsid w:val="00103CE3"/>
    <w:rsid w:val="00106CB3"/>
    <w:rsid w:val="00107232"/>
    <w:rsid w:val="0011285B"/>
    <w:rsid w:val="0011494C"/>
    <w:rsid w:val="00115E74"/>
    <w:rsid w:val="001167A7"/>
    <w:rsid w:val="0012198B"/>
    <w:rsid w:val="00121AD0"/>
    <w:rsid w:val="00122512"/>
    <w:rsid w:val="0012340C"/>
    <w:rsid w:val="00123959"/>
    <w:rsid w:val="001240A1"/>
    <w:rsid w:val="00124A33"/>
    <w:rsid w:val="001256EF"/>
    <w:rsid w:val="001269CE"/>
    <w:rsid w:val="00127819"/>
    <w:rsid w:val="00130881"/>
    <w:rsid w:val="00130BB4"/>
    <w:rsid w:val="001318DD"/>
    <w:rsid w:val="001324C6"/>
    <w:rsid w:val="001344E3"/>
    <w:rsid w:val="00134EEC"/>
    <w:rsid w:val="001364C1"/>
    <w:rsid w:val="001416D5"/>
    <w:rsid w:val="00142461"/>
    <w:rsid w:val="001424B5"/>
    <w:rsid w:val="00142F07"/>
    <w:rsid w:val="00147E27"/>
    <w:rsid w:val="00154ED0"/>
    <w:rsid w:val="0015686C"/>
    <w:rsid w:val="00160437"/>
    <w:rsid w:val="00160B71"/>
    <w:rsid w:val="00161974"/>
    <w:rsid w:val="001627FE"/>
    <w:rsid w:val="001652A3"/>
    <w:rsid w:val="00165389"/>
    <w:rsid w:val="001657AE"/>
    <w:rsid w:val="00166CD1"/>
    <w:rsid w:val="001672AE"/>
    <w:rsid w:val="00167513"/>
    <w:rsid w:val="00167D4D"/>
    <w:rsid w:val="00167E36"/>
    <w:rsid w:val="001706D6"/>
    <w:rsid w:val="0017108F"/>
    <w:rsid w:val="001717E4"/>
    <w:rsid w:val="00172007"/>
    <w:rsid w:val="00172683"/>
    <w:rsid w:val="00172983"/>
    <w:rsid w:val="00172AC1"/>
    <w:rsid w:val="00174093"/>
    <w:rsid w:val="00174AD2"/>
    <w:rsid w:val="0017639C"/>
    <w:rsid w:val="00177537"/>
    <w:rsid w:val="00181753"/>
    <w:rsid w:val="00181EF7"/>
    <w:rsid w:val="00182444"/>
    <w:rsid w:val="0018284B"/>
    <w:rsid w:val="00182ADB"/>
    <w:rsid w:val="001871C4"/>
    <w:rsid w:val="0018787D"/>
    <w:rsid w:val="00190C6A"/>
    <w:rsid w:val="00190F87"/>
    <w:rsid w:val="00191704"/>
    <w:rsid w:val="00192A69"/>
    <w:rsid w:val="00193386"/>
    <w:rsid w:val="00194A9F"/>
    <w:rsid w:val="00194E27"/>
    <w:rsid w:val="00195154"/>
    <w:rsid w:val="001957CF"/>
    <w:rsid w:val="00197DB3"/>
    <w:rsid w:val="001A0051"/>
    <w:rsid w:val="001A27C7"/>
    <w:rsid w:val="001A2811"/>
    <w:rsid w:val="001A5435"/>
    <w:rsid w:val="001B06E9"/>
    <w:rsid w:val="001B229F"/>
    <w:rsid w:val="001B24C3"/>
    <w:rsid w:val="001B282F"/>
    <w:rsid w:val="001B4FB6"/>
    <w:rsid w:val="001B5065"/>
    <w:rsid w:val="001B5066"/>
    <w:rsid w:val="001B56C9"/>
    <w:rsid w:val="001B5F14"/>
    <w:rsid w:val="001B6E2A"/>
    <w:rsid w:val="001B7F3D"/>
    <w:rsid w:val="001C30E6"/>
    <w:rsid w:val="001C3F44"/>
    <w:rsid w:val="001C4403"/>
    <w:rsid w:val="001C5642"/>
    <w:rsid w:val="001C598A"/>
    <w:rsid w:val="001C59EB"/>
    <w:rsid w:val="001C5E95"/>
    <w:rsid w:val="001C6863"/>
    <w:rsid w:val="001C7DB0"/>
    <w:rsid w:val="001C7EEC"/>
    <w:rsid w:val="001D06AE"/>
    <w:rsid w:val="001D0713"/>
    <w:rsid w:val="001D0ECD"/>
    <w:rsid w:val="001D1504"/>
    <w:rsid w:val="001D202C"/>
    <w:rsid w:val="001D23B3"/>
    <w:rsid w:val="001D23F4"/>
    <w:rsid w:val="001D4466"/>
    <w:rsid w:val="001D6192"/>
    <w:rsid w:val="001D62AA"/>
    <w:rsid w:val="001E0AF2"/>
    <w:rsid w:val="001E32EC"/>
    <w:rsid w:val="001E4721"/>
    <w:rsid w:val="001E5332"/>
    <w:rsid w:val="001F01BB"/>
    <w:rsid w:val="001F2C74"/>
    <w:rsid w:val="001F3061"/>
    <w:rsid w:val="001F7AED"/>
    <w:rsid w:val="00200538"/>
    <w:rsid w:val="00200EA4"/>
    <w:rsid w:val="00202D0B"/>
    <w:rsid w:val="00203642"/>
    <w:rsid w:val="002037B4"/>
    <w:rsid w:val="002037DB"/>
    <w:rsid w:val="00203883"/>
    <w:rsid w:val="00205190"/>
    <w:rsid w:val="00206968"/>
    <w:rsid w:val="00206FCE"/>
    <w:rsid w:val="00207162"/>
    <w:rsid w:val="0020791D"/>
    <w:rsid w:val="00211C0E"/>
    <w:rsid w:val="002131F5"/>
    <w:rsid w:val="00215325"/>
    <w:rsid w:val="002158D3"/>
    <w:rsid w:val="0021675C"/>
    <w:rsid w:val="00217B8D"/>
    <w:rsid w:val="00220CCA"/>
    <w:rsid w:val="0022133D"/>
    <w:rsid w:val="002221D6"/>
    <w:rsid w:val="002223E0"/>
    <w:rsid w:val="00222626"/>
    <w:rsid w:val="0022399B"/>
    <w:rsid w:val="00223AAF"/>
    <w:rsid w:val="00223E9B"/>
    <w:rsid w:val="00224FFD"/>
    <w:rsid w:val="0022535F"/>
    <w:rsid w:val="00226029"/>
    <w:rsid w:val="00226977"/>
    <w:rsid w:val="002270C6"/>
    <w:rsid w:val="0023047C"/>
    <w:rsid w:val="002328E2"/>
    <w:rsid w:val="002332B7"/>
    <w:rsid w:val="00233ED9"/>
    <w:rsid w:val="0023455F"/>
    <w:rsid w:val="00234E98"/>
    <w:rsid w:val="002355BB"/>
    <w:rsid w:val="002361F9"/>
    <w:rsid w:val="00242EFF"/>
    <w:rsid w:val="00243709"/>
    <w:rsid w:val="00245060"/>
    <w:rsid w:val="00245A92"/>
    <w:rsid w:val="00246570"/>
    <w:rsid w:val="0024676F"/>
    <w:rsid w:val="002502DD"/>
    <w:rsid w:val="002506C4"/>
    <w:rsid w:val="00251627"/>
    <w:rsid w:val="002521C1"/>
    <w:rsid w:val="0025268F"/>
    <w:rsid w:val="00254E1D"/>
    <w:rsid w:val="00255155"/>
    <w:rsid w:val="00256891"/>
    <w:rsid w:val="00256A78"/>
    <w:rsid w:val="00257451"/>
    <w:rsid w:val="0026016B"/>
    <w:rsid w:val="00260478"/>
    <w:rsid w:val="00262D14"/>
    <w:rsid w:val="0026499F"/>
    <w:rsid w:val="00264A5A"/>
    <w:rsid w:val="00264C4D"/>
    <w:rsid w:val="002660F6"/>
    <w:rsid w:val="00266DB2"/>
    <w:rsid w:val="00266E91"/>
    <w:rsid w:val="0027134E"/>
    <w:rsid w:val="0027147F"/>
    <w:rsid w:val="002715BE"/>
    <w:rsid w:val="00273E7D"/>
    <w:rsid w:val="00276A4E"/>
    <w:rsid w:val="00281493"/>
    <w:rsid w:val="00285665"/>
    <w:rsid w:val="002859F6"/>
    <w:rsid w:val="002860A4"/>
    <w:rsid w:val="002869D7"/>
    <w:rsid w:val="00286FD0"/>
    <w:rsid w:val="00290033"/>
    <w:rsid w:val="00290B4C"/>
    <w:rsid w:val="00290F02"/>
    <w:rsid w:val="00290F35"/>
    <w:rsid w:val="00291C33"/>
    <w:rsid w:val="00292999"/>
    <w:rsid w:val="0029328A"/>
    <w:rsid w:val="002938EB"/>
    <w:rsid w:val="002942E2"/>
    <w:rsid w:val="00295B75"/>
    <w:rsid w:val="00295E49"/>
    <w:rsid w:val="002A03CB"/>
    <w:rsid w:val="002A1B5A"/>
    <w:rsid w:val="002A41F5"/>
    <w:rsid w:val="002A4EB3"/>
    <w:rsid w:val="002A4EE1"/>
    <w:rsid w:val="002A5C69"/>
    <w:rsid w:val="002A6ED0"/>
    <w:rsid w:val="002B2A9E"/>
    <w:rsid w:val="002B3FE0"/>
    <w:rsid w:val="002B4521"/>
    <w:rsid w:val="002B4C00"/>
    <w:rsid w:val="002B5852"/>
    <w:rsid w:val="002B5F66"/>
    <w:rsid w:val="002B5F8D"/>
    <w:rsid w:val="002B603D"/>
    <w:rsid w:val="002B7325"/>
    <w:rsid w:val="002B7DD6"/>
    <w:rsid w:val="002C184B"/>
    <w:rsid w:val="002C293C"/>
    <w:rsid w:val="002C2D23"/>
    <w:rsid w:val="002C3A1D"/>
    <w:rsid w:val="002C3D4F"/>
    <w:rsid w:val="002C46B0"/>
    <w:rsid w:val="002C47EE"/>
    <w:rsid w:val="002C7132"/>
    <w:rsid w:val="002C7908"/>
    <w:rsid w:val="002D0192"/>
    <w:rsid w:val="002D0854"/>
    <w:rsid w:val="002D3C96"/>
    <w:rsid w:val="002D3D24"/>
    <w:rsid w:val="002D54FC"/>
    <w:rsid w:val="002D6895"/>
    <w:rsid w:val="002E17E0"/>
    <w:rsid w:val="002E2AB7"/>
    <w:rsid w:val="002E2BB7"/>
    <w:rsid w:val="002E3455"/>
    <w:rsid w:val="002E356B"/>
    <w:rsid w:val="002E3B50"/>
    <w:rsid w:val="002E6042"/>
    <w:rsid w:val="002E6A2A"/>
    <w:rsid w:val="002F0548"/>
    <w:rsid w:val="002F0EFC"/>
    <w:rsid w:val="002F1B01"/>
    <w:rsid w:val="002F1FA9"/>
    <w:rsid w:val="002F21C8"/>
    <w:rsid w:val="002F4237"/>
    <w:rsid w:val="002F42D5"/>
    <w:rsid w:val="002F4BAF"/>
    <w:rsid w:val="002F6FDB"/>
    <w:rsid w:val="002F7CFF"/>
    <w:rsid w:val="0030063D"/>
    <w:rsid w:val="00301B5A"/>
    <w:rsid w:val="003054D6"/>
    <w:rsid w:val="00305728"/>
    <w:rsid w:val="003072D6"/>
    <w:rsid w:val="00311078"/>
    <w:rsid w:val="00311499"/>
    <w:rsid w:val="00311C75"/>
    <w:rsid w:val="00311EFD"/>
    <w:rsid w:val="003136E5"/>
    <w:rsid w:val="00313BC8"/>
    <w:rsid w:val="0031417B"/>
    <w:rsid w:val="00315761"/>
    <w:rsid w:val="003170A5"/>
    <w:rsid w:val="003174E9"/>
    <w:rsid w:val="00317CD3"/>
    <w:rsid w:val="0032126E"/>
    <w:rsid w:val="00321C75"/>
    <w:rsid w:val="00323F4F"/>
    <w:rsid w:val="00325055"/>
    <w:rsid w:val="00326D13"/>
    <w:rsid w:val="003303DC"/>
    <w:rsid w:val="00331A2E"/>
    <w:rsid w:val="00332134"/>
    <w:rsid w:val="00332937"/>
    <w:rsid w:val="003333D7"/>
    <w:rsid w:val="00333943"/>
    <w:rsid w:val="003355F2"/>
    <w:rsid w:val="00336F90"/>
    <w:rsid w:val="00337807"/>
    <w:rsid w:val="00340105"/>
    <w:rsid w:val="00340B6E"/>
    <w:rsid w:val="0034116B"/>
    <w:rsid w:val="00341264"/>
    <w:rsid w:val="003412D4"/>
    <w:rsid w:val="00342089"/>
    <w:rsid w:val="0034516B"/>
    <w:rsid w:val="0034572F"/>
    <w:rsid w:val="00345C90"/>
    <w:rsid w:val="003469E4"/>
    <w:rsid w:val="00346F60"/>
    <w:rsid w:val="003476A3"/>
    <w:rsid w:val="00347B72"/>
    <w:rsid w:val="0035131B"/>
    <w:rsid w:val="0035132F"/>
    <w:rsid w:val="0035331E"/>
    <w:rsid w:val="00354303"/>
    <w:rsid w:val="003561AD"/>
    <w:rsid w:val="00357156"/>
    <w:rsid w:val="003610D2"/>
    <w:rsid w:val="003678E7"/>
    <w:rsid w:val="00367C74"/>
    <w:rsid w:val="00367D96"/>
    <w:rsid w:val="0037058A"/>
    <w:rsid w:val="00374E53"/>
    <w:rsid w:val="003754A0"/>
    <w:rsid w:val="00375901"/>
    <w:rsid w:val="00376191"/>
    <w:rsid w:val="00376306"/>
    <w:rsid w:val="003808D0"/>
    <w:rsid w:val="003831A6"/>
    <w:rsid w:val="003846B9"/>
    <w:rsid w:val="003851F2"/>
    <w:rsid w:val="00386BFC"/>
    <w:rsid w:val="00387C8A"/>
    <w:rsid w:val="003914B4"/>
    <w:rsid w:val="00391A73"/>
    <w:rsid w:val="003922B2"/>
    <w:rsid w:val="00392F26"/>
    <w:rsid w:val="003948FD"/>
    <w:rsid w:val="00396823"/>
    <w:rsid w:val="00397795"/>
    <w:rsid w:val="003A157C"/>
    <w:rsid w:val="003A6117"/>
    <w:rsid w:val="003A7E86"/>
    <w:rsid w:val="003B0AFE"/>
    <w:rsid w:val="003B1744"/>
    <w:rsid w:val="003B1D0C"/>
    <w:rsid w:val="003B2891"/>
    <w:rsid w:val="003B457D"/>
    <w:rsid w:val="003B5EA3"/>
    <w:rsid w:val="003B689E"/>
    <w:rsid w:val="003B6A76"/>
    <w:rsid w:val="003B72F1"/>
    <w:rsid w:val="003B780B"/>
    <w:rsid w:val="003C0BFE"/>
    <w:rsid w:val="003C2D05"/>
    <w:rsid w:val="003C3A5C"/>
    <w:rsid w:val="003C3EAB"/>
    <w:rsid w:val="003C4473"/>
    <w:rsid w:val="003C6100"/>
    <w:rsid w:val="003C6674"/>
    <w:rsid w:val="003C7959"/>
    <w:rsid w:val="003D1521"/>
    <w:rsid w:val="003D1943"/>
    <w:rsid w:val="003D1F2D"/>
    <w:rsid w:val="003D2297"/>
    <w:rsid w:val="003D4C57"/>
    <w:rsid w:val="003D4FD1"/>
    <w:rsid w:val="003E18E1"/>
    <w:rsid w:val="003E1DB5"/>
    <w:rsid w:val="003E1EFA"/>
    <w:rsid w:val="003E2A52"/>
    <w:rsid w:val="003E7B33"/>
    <w:rsid w:val="003F1B73"/>
    <w:rsid w:val="003F3E95"/>
    <w:rsid w:val="003F472F"/>
    <w:rsid w:val="003F4843"/>
    <w:rsid w:val="003F4E1C"/>
    <w:rsid w:val="003F529D"/>
    <w:rsid w:val="003F6908"/>
    <w:rsid w:val="003F6A20"/>
    <w:rsid w:val="003F7D02"/>
    <w:rsid w:val="00400D3F"/>
    <w:rsid w:val="00401DD0"/>
    <w:rsid w:val="004032E3"/>
    <w:rsid w:val="00404EED"/>
    <w:rsid w:val="00406731"/>
    <w:rsid w:val="004070D9"/>
    <w:rsid w:val="00410033"/>
    <w:rsid w:val="0041158C"/>
    <w:rsid w:val="0041176A"/>
    <w:rsid w:val="004117F0"/>
    <w:rsid w:val="00411B9C"/>
    <w:rsid w:val="00411C9F"/>
    <w:rsid w:val="00413620"/>
    <w:rsid w:val="00420348"/>
    <w:rsid w:val="004222DD"/>
    <w:rsid w:val="004238D7"/>
    <w:rsid w:val="004239C8"/>
    <w:rsid w:val="004244A2"/>
    <w:rsid w:val="004271DA"/>
    <w:rsid w:val="004277FA"/>
    <w:rsid w:val="00430191"/>
    <w:rsid w:val="00431725"/>
    <w:rsid w:val="004324D7"/>
    <w:rsid w:val="00432850"/>
    <w:rsid w:val="004331F6"/>
    <w:rsid w:val="00437510"/>
    <w:rsid w:val="00437B5B"/>
    <w:rsid w:val="00437C2B"/>
    <w:rsid w:val="00437E19"/>
    <w:rsid w:val="004409B2"/>
    <w:rsid w:val="00441209"/>
    <w:rsid w:val="004419A6"/>
    <w:rsid w:val="004436C8"/>
    <w:rsid w:val="00443866"/>
    <w:rsid w:val="0044464A"/>
    <w:rsid w:val="00444F92"/>
    <w:rsid w:val="004458E1"/>
    <w:rsid w:val="004469A8"/>
    <w:rsid w:val="004539CE"/>
    <w:rsid w:val="00456750"/>
    <w:rsid w:val="00457EBE"/>
    <w:rsid w:val="0046193B"/>
    <w:rsid w:val="00461D0C"/>
    <w:rsid w:val="00466F41"/>
    <w:rsid w:val="00470B4E"/>
    <w:rsid w:val="00470C01"/>
    <w:rsid w:val="00476B38"/>
    <w:rsid w:val="00481BDF"/>
    <w:rsid w:val="004836CC"/>
    <w:rsid w:val="00483D0A"/>
    <w:rsid w:val="00485D13"/>
    <w:rsid w:val="0048677F"/>
    <w:rsid w:val="00492CF6"/>
    <w:rsid w:val="00492D7A"/>
    <w:rsid w:val="00492DF8"/>
    <w:rsid w:val="004939B5"/>
    <w:rsid w:val="0049529F"/>
    <w:rsid w:val="00495EB1"/>
    <w:rsid w:val="00496D5A"/>
    <w:rsid w:val="00496E07"/>
    <w:rsid w:val="00497C7E"/>
    <w:rsid w:val="004A0502"/>
    <w:rsid w:val="004A2643"/>
    <w:rsid w:val="004A2A6A"/>
    <w:rsid w:val="004A5608"/>
    <w:rsid w:val="004A6990"/>
    <w:rsid w:val="004A7B3D"/>
    <w:rsid w:val="004B07DA"/>
    <w:rsid w:val="004B0F62"/>
    <w:rsid w:val="004B457D"/>
    <w:rsid w:val="004B49BE"/>
    <w:rsid w:val="004B59DF"/>
    <w:rsid w:val="004B7380"/>
    <w:rsid w:val="004B7992"/>
    <w:rsid w:val="004C1073"/>
    <w:rsid w:val="004C16AD"/>
    <w:rsid w:val="004C23A8"/>
    <w:rsid w:val="004C2802"/>
    <w:rsid w:val="004C3F19"/>
    <w:rsid w:val="004C3F73"/>
    <w:rsid w:val="004C4D2E"/>
    <w:rsid w:val="004C5A1C"/>
    <w:rsid w:val="004D04D0"/>
    <w:rsid w:val="004D18B0"/>
    <w:rsid w:val="004D1DC5"/>
    <w:rsid w:val="004D2E61"/>
    <w:rsid w:val="004D3018"/>
    <w:rsid w:val="004D3E0B"/>
    <w:rsid w:val="004D5918"/>
    <w:rsid w:val="004D63DD"/>
    <w:rsid w:val="004D67D6"/>
    <w:rsid w:val="004E14EA"/>
    <w:rsid w:val="004E6469"/>
    <w:rsid w:val="004E67F1"/>
    <w:rsid w:val="004E6B3F"/>
    <w:rsid w:val="004F09EA"/>
    <w:rsid w:val="004F330B"/>
    <w:rsid w:val="004F46DF"/>
    <w:rsid w:val="004F76F3"/>
    <w:rsid w:val="005013BA"/>
    <w:rsid w:val="00501BBB"/>
    <w:rsid w:val="00501E81"/>
    <w:rsid w:val="005029B6"/>
    <w:rsid w:val="00504192"/>
    <w:rsid w:val="00504385"/>
    <w:rsid w:val="0050464F"/>
    <w:rsid w:val="00505582"/>
    <w:rsid w:val="00506E00"/>
    <w:rsid w:val="00507D68"/>
    <w:rsid w:val="00510535"/>
    <w:rsid w:val="00515059"/>
    <w:rsid w:val="0051550B"/>
    <w:rsid w:val="00517F30"/>
    <w:rsid w:val="00517F69"/>
    <w:rsid w:val="00521F96"/>
    <w:rsid w:val="00522A24"/>
    <w:rsid w:val="0052522F"/>
    <w:rsid w:val="0052705B"/>
    <w:rsid w:val="0052727C"/>
    <w:rsid w:val="00527A73"/>
    <w:rsid w:val="00530025"/>
    <w:rsid w:val="00530E1E"/>
    <w:rsid w:val="005325DA"/>
    <w:rsid w:val="00532675"/>
    <w:rsid w:val="005327B1"/>
    <w:rsid w:val="00532903"/>
    <w:rsid w:val="00536AA3"/>
    <w:rsid w:val="0054187D"/>
    <w:rsid w:val="00541F16"/>
    <w:rsid w:val="00542BC8"/>
    <w:rsid w:val="0054323C"/>
    <w:rsid w:val="00543990"/>
    <w:rsid w:val="00544BC0"/>
    <w:rsid w:val="00546417"/>
    <w:rsid w:val="00546DF1"/>
    <w:rsid w:val="00547254"/>
    <w:rsid w:val="00547845"/>
    <w:rsid w:val="005509E3"/>
    <w:rsid w:val="00550D15"/>
    <w:rsid w:val="00550DB2"/>
    <w:rsid w:val="00551000"/>
    <w:rsid w:val="00552DF0"/>
    <w:rsid w:val="00553640"/>
    <w:rsid w:val="00553959"/>
    <w:rsid w:val="00554044"/>
    <w:rsid w:val="00554C89"/>
    <w:rsid w:val="0056199A"/>
    <w:rsid w:val="00563597"/>
    <w:rsid w:val="00563F1D"/>
    <w:rsid w:val="00566834"/>
    <w:rsid w:val="00566DDF"/>
    <w:rsid w:val="0057439D"/>
    <w:rsid w:val="005756EB"/>
    <w:rsid w:val="00575F19"/>
    <w:rsid w:val="00575F34"/>
    <w:rsid w:val="00576118"/>
    <w:rsid w:val="005765E4"/>
    <w:rsid w:val="005770DF"/>
    <w:rsid w:val="00577EFC"/>
    <w:rsid w:val="00580188"/>
    <w:rsid w:val="0058023E"/>
    <w:rsid w:val="0058038F"/>
    <w:rsid w:val="00580CC3"/>
    <w:rsid w:val="00582329"/>
    <w:rsid w:val="00582367"/>
    <w:rsid w:val="00583097"/>
    <w:rsid w:val="00583ABF"/>
    <w:rsid w:val="00584AB7"/>
    <w:rsid w:val="005855E8"/>
    <w:rsid w:val="00585BDF"/>
    <w:rsid w:val="00586507"/>
    <w:rsid w:val="00586DCF"/>
    <w:rsid w:val="00596362"/>
    <w:rsid w:val="00596918"/>
    <w:rsid w:val="00596D4D"/>
    <w:rsid w:val="00596D54"/>
    <w:rsid w:val="005A082C"/>
    <w:rsid w:val="005A130A"/>
    <w:rsid w:val="005A20EE"/>
    <w:rsid w:val="005A22A2"/>
    <w:rsid w:val="005A242B"/>
    <w:rsid w:val="005A2A0F"/>
    <w:rsid w:val="005A3897"/>
    <w:rsid w:val="005A6515"/>
    <w:rsid w:val="005B0646"/>
    <w:rsid w:val="005B1A4E"/>
    <w:rsid w:val="005B200C"/>
    <w:rsid w:val="005B38E7"/>
    <w:rsid w:val="005B464A"/>
    <w:rsid w:val="005B53AD"/>
    <w:rsid w:val="005B6E25"/>
    <w:rsid w:val="005C02DC"/>
    <w:rsid w:val="005C0DCD"/>
    <w:rsid w:val="005C23A1"/>
    <w:rsid w:val="005C2E43"/>
    <w:rsid w:val="005C3B16"/>
    <w:rsid w:val="005C3F2F"/>
    <w:rsid w:val="005C5F4D"/>
    <w:rsid w:val="005C64DD"/>
    <w:rsid w:val="005C6937"/>
    <w:rsid w:val="005D02CF"/>
    <w:rsid w:val="005D0521"/>
    <w:rsid w:val="005D26A0"/>
    <w:rsid w:val="005D3F38"/>
    <w:rsid w:val="005D41C7"/>
    <w:rsid w:val="005D51E3"/>
    <w:rsid w:val="005D64CF"/>
    <w:rsid w:val="005D6502"/>
    <w:rsid w:val="005D7ECA"/>
    <w:rsid w:val="005E200E"/>
    <w:rsid w:val="005E26C4"/>
    <w:rsid w:val="005E273C"/>
    <w:rsid w:val="005E4A2C"/>
    <w:rsid w:val="005E5A0C"/>
    <w:rsid w:val="005E7EEA"/>
    <w:rsid w:val="005F09B3"/>
    <w:rsid w:val="005F1305"/>
    <w:rsid w:val="005F15BE"/>
    <w:rsid w:val="005F1FCE"/>
    <w:rsid w:val="005F23F3"/>
    <w:rsid w:val="005F49B9"/>
    <w:rsid w:val="005F507C"/>
    <w:rsid w:val="005F5575"/>
    <w:rsid w:val="005F59E6"/>
    <w:rsid w:val="00601F43"/>
    <w:rsid w:val="0060255B"/>
    <w:rsid w:val="006025E9"/>
    <w:rsid w:val="00604017"/>
    <w:rsid w:val="006044AE"/>
    <w:rsid w:val="0060544E"/>
    <w:rsid w:val="006058D8"/>
    <w:rsid w:val="00605A59"/>
    <w:rsid w:val="00612E59"/>
    <w:rsid w:val="006134EF"/>
    <w:rsid w:val="00615D25"/>
    <w:rsid w:val="00621D98"/>
    <w:rsid w:val="00621E4F"/>
    <w:rsid w:val="00621FE7"/>
    <w:rsid w:val="006224E5"/>
    <w:rsid w:val="00622C47"/>
    <w:rsid w:val="006246A7"/>
    <w:rsid w:val="00625AF2"/>
    <w:rsid w:val="006264F9"/>
    <w:rsid w:val="006274A1"/>
    <w:rsid w:val="0063170F"/>
    <w:rsid w:val="006321EC"/>
    <w:rsid w:val="0063228B"/>
    <w:rsid w:val="006324DD"/>
    <w:rsid w:val="006328FF"/>
    <w:rsid w:val="00633421"/>
    <w:rsid w:val="0063686A"/>
    <w:rsid w:val="00636A24"/>
    <w:rsid w:val="006373FA"/>
    <w:rsid w:val="0063767D"/>
    <w:rsid w:val="00640ACF"/>
    <w:rsid w:val="0064181F"/>
    <w:rsid w:val="0064250B"/>
    <w:rsid w:val="00646F3F"/>
    <w:rsid w:val="006478EF"/>
    <w:rsid w:val="00647FC8"/>
    <w:rsid w:val="00650AFD"/>
    <w:rsid w:val="0065196E"/>
    <w:rsid w:val="00654F84"/>
    <w:rsid w:val="00655DE9"/>
    <w:rsid w:val="006564CF"/>
    <w:rsid w:val="00657A60"/>
    <w:rsid w:val="00657D26"/>
    <w:rsid w:val="00660C14"/>
    <w:rsid w:val="00661CB3"/>
    <w:rsid w:val="006627D5"/>
    <w:rsid w:val="00663A08"/>
    <w:rsid w:val="00664DCE"/>
    <w:rsid w:val="006652F5"/>
    <w:rsid w:val="00665B61"/>
    <w:rsid w:val="00665EAE"/>
    <w:rsid w:val="00672F09"/>
    <w:rsid w:val="00673AC8"/>
    <w:rsid w:val="00674490"/>
    <w:rsid w:val="00674DF6"/>
    <w:rsid w:val="006751BE"/>
    <w:rsid w:val="00675617"/>
    <w:rsid w:val="00675A50"/>
    <w:rsid w:val="00677930"/>
    <w:rsid w:val="00680783"/>
    <w:rsid w:val="0068175E"/>
    <w:rsid w:val="00681845"/>
    <w:rsid w:val="00682EB1"/>
    <w:rsid w:val="006834E3"/>
    <w:rsid w:val="00684899"/>
    <w:rsid w:val="0068530C"/>
    <w:rsid w:val="00687880"/>
    <w:rsid w:val="00687C90"/>
    <w:rsid w:val="00691786"/>
    <w:rsid w:val="00691980"/>
    <w:rsid w:val="006931C3"/>
    <w:rsid w:val="00693615"/>
    <w:rsid w:val="00693CB4"/>
    <w:rsid w:val="00695533"/>
    <w:rsid w:val="006956F6"/>
    <w:rsid w:val="006A00EB"/>
    <w:rsid w:val="006A07DD"/>
    <w:rsid w:val="006A0BF9"/>
    <w:rsid w:val="006A18A1"/>
    <w:rsid w:val="006A1FCD"/>
    <w:rsid w:val="006A4B81"/>
    <w:rsid w:val="006A532F"/>
    <w:rsid w:val="006A7365"/>
    <w:rsid w:val="006B0A67"/>
    <w:rsid w:val="006B1413"/>
    <w:rsid w:val="006B1D8C"/>
    <w:rsid w:val="006B40C7"/>
    <w:rsid w:val="006B5C3F"/>
    <w:rsid w:val="006B6C57"/>
    <w:rsid w:val="006C108A"/>
    <w:rsid w:val="006C1C6E"/>
    <w:rsid w:val="006C1E31"/>
    <w:rsid w:val="006C4E8A"/>
    <w:rsid w:val="006C5BCC"/>
    <w:rsid w:val="006C68D0"/>
    <w:rsid w:val="006C6DB0"/>
    <w:rsid w:val="006D0438"/>
    <w:rsid w:val="006D1534"/>
    <w:rsid w:val="006D2B6F"/>
    <w:rsid w:val="006D3B5F"/>
    <w:rsid w:val="006D557F"/>
    <w:rsid w:val="006D611E"/>
    <w:rsid w:val="006D6FAF"/>
    <w:rsid w:val="006D73CF"/>
    <w:rsid w:val="006D7616"/>
    <w:rsid w:val="006E2740"/>
    <w:rsid w:val="006E6A71"/>
    <w:rsid w:val="006F0497"/>
    <w:rsid w:val="006F1393"/>
    <w:rsid w:val="006F1452"/>
    <w:rsid w:val="006F2234"/>
    <w:rsid w:val="006F3503"/>
    <w:rsid w:val="006F4B2F"/>
    <w:rsid w:val="006F6654"/>
    <w:rsid w:val="006F6B9F"/>
    <w:rsid w:val="006F70FD"/>
    <w:rsid w:val="007003E9"/>
    <w:rsid w:val="007008C9"/>
    <w:rsid w:val="0070418A"/>
    <w:rsid w:val="0070455B"/>
    <w:rsid w:val="0070539D"/>
    <w:rsid w:val="00705812"/>
    <w:rsid w:val="007063F3"/>
    <w:rsid w:val="0071048C"/>
    <w:rsid w:val="0071222D"/>
    <w:rsid w:val="00712524"/>
    <w:rsid w:val="00712ECE"/>
    <w:rsid w:val="007145A9"/>
    <w:rsid w:val="007145DE"/>
    <w:rsid w:val="00714AC3"/>
    <w:rsid w:val="00715318"/>
    <w:rsid w:val="00715421"/>
    <w:rsid w:val="00715886"/>
    <w:rsid w:val="00715930"/>
    <w:rsid w:val="00716D63"/>
    <w:rsid w:val="00723285"/>
    <w:rsid w:val="0072365F"/>
    <w:rsid w:val="00723D97"/>
    <w:rsid w:val="00725169"/>
    <w:rsid w:val="00725341"/>
    <w:rsid w:val="00725B82"/>
    <w:rsid w:val="00727077"/>
    <w:rsid w:val="00730779"/>
    <w:rsid w:val="00731AC9"/>
    <w:rsid w:val="00731F88"/>
    <w:rsid w:val="00733531"/>
    <w:rsid w:val="007346CB"/>
    <w:rsid w:val="007347E3"/>
    <w:rsid w:val="0073521C"/>
    <w:rsid w:val="007352B2"/>
    <w:rsid w:val="007353F6"/>
    <w:rsid w:val="00740953"/>
    <w:rsid w:val="007410F1"/>
    <w:rsid w:val="00741768"/>
    <w:rsid w:val="00742FAE"/>
    <w:rsid w:val="0074301E"/>
    <w:rsid w:val="00745EC1"/>
    <w:rsid w:val="00745F3E"/>
    <w:rsid w:val="0075074F"/>
    <w:rsid w:val="00752992"/>
    <w:rsid w:val="00754BFA"/>
    <w:rsid w:val="00754D46"/>
    <w:rsid w:val="00755AAE"/>
    <w:rsid w:val="00756B41"/>
    <w:rsid w:val="00756C81"/>
    <w:rsid w:val="007576C6"/>
    <w:rsid w:val="00760137"/>
    <w:rsid w:val="0076060B"/>
    <w:rsid w:val="00761762"/>
    <w:rsid w:val="00762615"/>
    <w:rsid w:val="007635D0"/>
    <w:rsid w:val="00763F0D"/>
    <w:rsid w:val="00767A67"/>
    <w:rsid w:val="00767B47"/>
    <w:rsid w:val="0077024A"/>
    <w:rsid w:val="007708C1"/>
    <w:rsid w:val="00770CFA"/>
    <w:rsid w:val="00771233"/>
    <w:rsid w:val="00773A2D"/>
    <w:rsid w:val="007749B5"/>
    <w:rsid w:val="00774C73"/>
    <w:rsid w:val="007750E8"/>
    <w:rsid w:val="00775BE6"/>
    <w:rsid w:val="0077649A"/>
    <w:rsid w:val="00776B96"/>
    <w:rsid w:val="00780B2C"/>
    <w:rsid w:val="00782267"/>
    <w:rsid w:val="00785355"/>
    <w:rsid w:val="007856CC"/>
    <w:rsid w:val="00786145"/>
    <w:rsid w:val="00786EE8"/>
    <w:rsid w:val="00791888"/>
    <w:rsid w:val="00792B23"/>
    <w:rsid w:val="00793703"/>
    <w:rsid w:val="00793F05"/>
    <w:rsid w:val="007940D5"/>
    <w:rsid w:val="00794207"/>
    <w:rsid w:val="0079609B"/>
    <w:rsid w:val="007970D6"/>
    <w:rsid w:val="007975B6"/>
    <w:rsid w:val="007A1A1A"/>
    <w:rsid w:val="007A2780"/>
    <w:rsid w:val="007A398F"/>
    <w:rsid w:val="007A45F8"/>
    <w:rsid w:val="007A49E7"/>
    <w:rsid w:val="007A647E"/>
    <w:rsid w:val="007A6607"/>
    <w:rsid w:val="007A780F"/>
    <w:rsid w:val="007A78A2"/>
    <w:rsid w:val="007B0B37"/>
    <w:rsid w:val="007B25E1"/>
    <w:rsid w:val="007B6DDE"/>
    <w:rsid w:val="007C01D7"/>
    <w:rsid w:val="007C0604"/>
    <w:rsid w:val="007C0A90"/>
    <w:rsid w:val="007C2AD2"/>
    <w:rsid w:val="007C399C"/>
    <w:rsid w:val="007C4E83"/>
    <w:rsid w:val="007C504D"/>
    <w:rsid w:val="007C6410"/>
    <w:rsid w:val="007C6BC6"/>
    <w:rsid w:val="007D0A02"/>
    <w:rsid w:val="007D1C60"/>
    <w:rsid w:val="007D2430"/>
    <w:rsid w:val="007D2855"/>
    <w:rsid w:val="007D46F5"/>
    <w:rsid w:val="007D4818"/>
    <w:rsid w:val="007D4C84"/>
    <w:rsid w:val="007D5ECD"/>
    <w:rsid w:val="007D6AEC"/>
    <w:rsid w:val="007D7270"/>
    <w:rsid w:val="007D75DA"/>
    <w:rsid w:val="007E0852"/>
    <w:rsid w:val="007E151A"/>
    <w:rsid w:val="007E234A"/>
    <w:rsid w:val="007E397C"/>
    <w:rsid w:val="007E4931"/>
    <w:rsid w:val="007E59A7"/>
    <w:rsid w:val="007E5A88"/>
    <w:rsid w:val="007E5C36"/>
    <w:rsid w:val="007E6442"/>
    <w:rsid w:val="007E72DD"/>
    <w:rsid w:val="007F0108"/>
    <w:rsid w:val="007F0B25"/>
    <w:rsid w:val="007F28DC"/>
    <w:rsid w:val="007F2B99"/>
    <w:rsid w:val="007F34A8"/>
    <w:rsid w:val="007F4C06"/>
    <w:rsid w:val="007F4CBB"/>
    <w:rsid w:val="007F688B"/>
    <w:rsid w:val="007F6C99"/>
    <w:rsid w:val="007F769F"/>
    <w:rsid w:val="00800C3F"/>
    <w:rsid w:val="00801BA0"/>
    <w:rsid w:val="0080293C"/>
    <w:rsid w:val="00802B23"/>
    <w:rsid w:val="00802E49"/>
    <w:rsid w:val="00802FCE"/>
    <w:rsid w:val="00803C70"/>
    <w:rsid w:val="00803F6B"/>
    <w:rsid w:val="00804836"/>
    <w:rsid w:val="00804BD9"/>
    <w:rsid w:val="0080525F"/>
    <w:rsid w:val="0080593B"/>
    <w:rsid w:val="00805D3A"/>
    <w:rsid w:val="00805DF3"/>
    <w:rsid w:val="00805FC3"/>
    <w:rsid w:val="00806870"/>
    <w:rsid w:val="00806B75"/>
    <w:rsid w:val="00806BDB"/>
    <w:rsid w:val="00807941"/>
    <w:rsid w:val="00807CE3"/>
    <w:rsid w:val="008109A2"/>
    <w:rsid w:val="0081213F"/>
    <w:rsid w:val="00812DF4"/>
    <w:rsid w:val="008148B2"/>
    <w:rsid w:val="00814944"/>
    <w:rsid w:val="00817C22"/>
    <w:rsid w:val="00820B50"/>
    <w:rsid w:val="008222BB"/>
    <w:rsid w:val="008262E8"/>
    <w:rsid w:val="00827205"/>
    <w:rsid w:val="0082746D"/>
    <w:rsid w:val="008302BA"/>
    <w:rsid w:val="008326D9"/>
    <w:rsid w:val="00833F9F"/>
    <w:rsid w:val="0083457E"/>
    <w:rsid w:val="008358F5"/>
    <w:rsid w:val="0083679A"/>
    <w:rsid w:val="00836A27"/>
    <w:rsid w:val="00842ACB"/>
    <w:rsid w:val="00843011"/>
    <w:rsid w:val="00845C9E"/>
    <w:rsid w:val="00850CCA"/>
    <w:rsid w:val="0085162C"/>
    <w:rsid w:val="00852394"/>
    <w:rsid w:val="00854D4A"/>
    <w:rsid w:val="0085569E"/>
    <w:rsid w:val="0085661A"/>
    <w:rsid w:val="0085703D"/>
    <w:rsid w:val="008572CB"/>
    <w:rsid w:val="00857679"/>
    <w:rsid w:val="00857C93"/>
    <w:rsid w:val="008609E9"/>
    <w:rsid w:val="00861C90"/>
    <w:rsid w:val="00862398"/>
    <w:rsid w:val="00862796"/>
    <w:rsid w:val="008632AC"/>
    <w:rsid w:val="00864BC2"/>
    <w:rsid w:val="00864CDD"/>
    <w:rsid w:val="00865330"/>
    <w:rsid w:val="008708E7"/>
    <w:rsid w:val="00870E11"/>
    <w:rsid w:val="008717C0"/>
    <w:rsid w:val="00871F05"/>
    <w:rsid w:val="00875018"/>
    <w:rsid w:val="00875F85"/>
    <w:rsid w:val="00876322"/>
    <w:rsid w:val="00876722"/>
    <w:rsid w:val="00880173"/>
    <w:rsid w:val="00880464"/>
    <w:rsid w:val="00880A7C"/>
    <w:rsid w:val="00882002"/>
    <w:rsid w:val="0088242B"/>
    <w:rsid w:val="008827A6"/>
    <w:rsid w:val="008842E6"/>
    <w:rsid w:val="00886A02"/>
    <w:rsid w:val="00891A2B"/>
    <w:rsid w:val="00893158"/>
    <w:rsid w:val="00893EF3"/>
    <w:rsid w:val="00893F57"/>
    <w:rsid w:val="00894431"/>
    <w:rsid w:val="00895459"/>
    <w:rsid w:val="00895C9A"/>
    <w:rsid w:val="00895E4A"/>
    <w:rsid w:val="00897135"/>
    <w:rsid w:val="008975AB"/>
    <w:rsid w:val="00897BF3"/>
    <w:rsid w:val="008A0907"/>
    <w:rsid w:val="008A165B"/>
    <w:rsid w:val="008A289A"/>
    <w:rsid w:val="008A393D"/>
    <w:rsid w:val="008A4AEB"/>
    <w:rsid w:val="008A4DF5"/>
    <w:rsid w:val="008A5652"/>
    <w:rsid w:val="008A7CC6"/>
    <w:rsid w:val="008B0177"/>
    <w:rsid w:val="008B019A"/>
    <w:rsid w:val="008B156A"/>
    <w:rsid w:val="008B2E5F"/>
    <w:rsid w:val="008B531D"/>
    <w:rsid w:val="008B6DC9"/>
    <w:rsid w:val="008B72DE"/>
    <w:rsid w:val="008C1DBF"/>
    <w:rsid w:val="008C3B83"/>
    <w:rsid w:val="008C40F5"/>
    <w:rsid w:val="008C53E1"/>
    <w:rsid w:val="008C594B"/>
    <w:rsid w:val="008C70F9"/>
    <w:rsid w:val="008C718A"/>
    <w:rsid w:val="008C7943"/>
    <w:rsid w:val="008D0766"/>
    <w:rsid w:val="008D1A22"/>
    <w:rsid w:val="008D2A64"/>
    <w:rsid w:val="008D5855"/>
    <w:rsid w:val="008D622F"/>
    <w:rsid w:val="008E0FD8"/>
    <w:rsid w:val="008E4C47"/>
    <w:rsid w:val="008E5950"/>
    <w:rsid w:val="008E5E4E"/>
    <w:rsid w:val="008F0109"/>
    <w:rsid w:val="008F07F0"/>
    <w:rsid w:val="008F0AD3"/>
    <w:rsid w:val="008F4153"/>
    <w:rsid w:val="008F5021"/>
    <w:rsid w:val="008F588B"/>
    <w:rsid w:val="008F6524"/>
    <w:rsid w:val="008F7039"/>
    <w:rsid w:val="008F7D4B"/>
    <w:rsid w:val="00901768"/>
    <w:rsid w:val="00902444"/>
    <w:rsid w:val="009047D6"/>
    <w:rsid w:val="00905608"/>
    <w:rsid w:val="00907F19"/>
    <w:rsid w:val="00910549"/>
    <w:rsid w:val="00910596"/>
    <w:rsid w:val="00910E8A"/>
    <w:rsid w:val="00911352"/>
    <w:rsid w:val="009115DA"/>
    <w:rsid w:val="00914B0C"/>
    <w:rsid w:val="00915F79"/>
    <w:rsid w:val="00917121"/>
    <w:rsid w:val="009214D1"/>
    <w:rsid w:val="0092157D"/>
    <w:rsid w:val="00924750"/>
    <w:rsid w:val="00924BD0"/>
    <w:rsid w:val="00925FA5"/>
    <w:rsid w:val="009277C7"/>
    <w:rsid w:val="00927AE0"/>
    <w:rsid w:val="0093010E"/>
    <w:rsid w:val="009301D2"/>
    <w:rsid w:val="00930AD2"/>
    <w:rsid w:val="0093306C"/>
    <w:rsid w:val="00933B83"/>
    <w:rsid w:val="00935D10"/>
    <w:rsid w:val="009407F7"/>
    <w:rsid w:val="00941852"/>
    <w:rsid w:val="009426B5"/>
    <w:rsid w:val="00942775"/>
    <w:rsid w:val="0094322B"/>
    <w:rsid w:val="00945FD8"/>
    <w:rsid w:val="00950450"/>
    <w:rsid w:val="00950CC6"/>
    <w:rsid w:val="00950EB3"/>
    <w:rsid w:val="009518CF"/>
    <w:rsid w:val="009520E7"/>
    <w:rsid w:val="009523FD"/>
    <w:rsid w:val="009532D2"/>
    <w:rsid w:val="00955E56"/>
    <w:rsid w:val="009562F0"/>
    <w:rsid w:val="00956A8A"/>
    <w:rsid w:val="00957320"/>
    <w:rsid w:val="00957F21"/>
    <w:rsid w:val="009614A8"/>
    <w:rsid w:val="0096250C"/>
    <w:rsid w:val="00962DB0"/>
    <w:rsid w:val="009646C4"/>
    <w:rsid w:val="00965859"/>
    <w:rsid w:val="00966731"/>
    <w:rsid w:val="0096712A"/>
    <w:rsid w:val="00967DB6"/>
    <w:rsid w:val="009708A7"/>
    <w:rsid w:val="00972C55"/>
    <w:rsid w:val="00974159"/>
    <w:rsid w:val="009744E0"/>
    <w:rsid w:val="00975F36"/>
    <w:rsid w:val="00976258"/>
    <w:rsid w:val="00981256"/>
    <w:rsid w:val="00983A98"/>
    <w:rsid w:val="00984D12"/>
    <w:rsid w:val="009860F6"/>
    <w:rsid w:val="009864CB"/>
    <w:rsid w:val="009868F0"/>
    <w:rsid w:val="00986C07"/>
    <w:rsid w:val="009874F9"/>
    <w:rsid w:val="009914BD"/>
    <w:rsid w:val="0099203F"/>
    <w:rsid w:val="0099340D"/>
    <w:rsid w:val="00993B8D"/>
    <w:rsid w:val="00993E7B"/>
    <w:rsid w:val="0099483C"/>
    <w:rsid w:val="00997CD9"/>
    <w:rsid w:val="00997E1E"/>
    <w:rsid w:val="009A13E7"/>
    <w:rsid w:val="009A4146"/>
    <w:rsid w:val="009A448D"/>
    <w:rsid w:val="009A479F"/>
    <w:rsid w:val="009A5828"/>
    <w:rsid w:val="009A590C"/>
    <w:rsid w:val="009A5BF8"/>
    <w:rsid w:val="009A6E19"/>
    <w:rsid w:val="009A751B"/>
    <w:rsid w:val="009B1053"/>
    <w:rsid w:val="009B129A"/>
    <w:rsid w:val="009B18BF"/>
    <w:rsid w:val="009B2096"/>
    <w:rsid w:val="009B2B36"/>
    <w:rsid w:val="009B2FC2"/>
    <w:rsid w:val="009B43A5"/>
    <w:rsid w:val="009B4D48"/>
    <w:rsid w:val="009B630B"/>
    <w:rsid w:val="009C0915"/>
    <w:rsid w:val="009C0E3E"/>
    <w:rsid w:val="009C1638"/>
    <w:rsid w:val="009C1850"/>
    <w:rsid w:val="009C1A68"/>
    <w:rsid w:val="009C1C6C"/>
    <w:rsid w:val="009C2848"/>
    <w:rsid w:val="009C2C09"/>
    <w:rsid w:val="009C50E0"/>
    <w:rsid w:val="009C5789"/>
    <w:rsid w:val="009C7843"/>
    <w:rsid w:val="009D09C2"/>
    <w:rsid w:val="009D3606"/>
    <w:rsid w:val="009D3788"/>
    <w:rsid w:val="009D46F0"/>
    <w:rsid w:val="009D52D1"/>
    <w:rsid w:val="009E3C93"/>
    <w:rsid w:val="009E51AA"/>
    <w:rsid w:val="009E6882"/>
    <w:rsid w:val="009F150C"/>
    <w:rsid w:val="009F2A1B"/>
    <w:rsid w:val="009F2B85"/>
    <w:rsid w:val="009F3049"/>
    <w:rsid w:val="009F3769"/>
    <w:rsid w:val="009F3BA1"/>
    <w:rsid w:val="009F3C38"/>
    <w:rsid w:val="009F588C"/>
    <w:rsid w:val="009F5F73"/>
    <w:rsid w:val="009F6488"/>
    <w:rsid w:val="009F64B9"/>
    <w:rsid w:val="00A00C08"/>
    <w:rsid w:val="00A00C1C"/>
    <w:rsid w:val="00A00DAE"/>
    <w:rsid w:val="00A0269C"/>
    <w:rsid w:val="00A026F0"/>
    <w:rsid w:val="00A04FB8"/>
    <w:rsid w:val="00A0708F"/>
    <w:rsid w:val="00A102E5"/>
    <w:rsid w:val="00A125C0"/>
    <w:rsid w:val="00A13261"/>
    <w:rsid w:val="00A14980"/>
    <w:rsid w:val="00A16084"/>
    <w:rsid w:val="00A1632A"/>
    <w:rsid w:val="00A17BAE"/>
    <w:rsid w:val="00A2169E"/>
    <w:rsid w:val="00A225A3"/>
    <w:rsid w:val="00A232DD"/>
    <w:rsid w:val="00A23A01"/>
    <w:rsid w:val="00A26E3D"/>
    <w:rsid w:val="00A27EAB"/>
    <w:rsid w:val="00A3084A"/>
    <w:rsid w:val="00A316DA"/>
    <w:rsid w:val="00A31E5D"/>
    <w:rsid w:val="00A332E1"/>
    <w:rsid w:val="00A34C12"/>
    <w:rsid w:val="00A372F3"/>
    <w:rsid w:val="00A375C1"/>
    <w:rsid w:val="00A37B48"/>
    <w:rsid w:val="00A37C2E"/>
    <w:rsid w:val="00A37FA8"/>
    <w:rsid w:val="00A40014"/>
    <w:rsid w:val="00A40CB1"/>
    <w:rsid w:val="00A42E55"/>
    <w:rsid w:val="00A43968"/>
    <w:rsid w:val="00A4404B"/>
    <w:rsid w:val="00A4677E"/>
    <w:rsid w:val="00A467C3"/>
    <w:rsid w:val="00A47F15"/>
    <w:rsid w:val="00A53AE2"/>
    <w:rsid w:val="00A53CF7"/>
    <w:rsid w:val="00A55488"/>
    <w:rsid w:val="00A55921"/>
    <w:rsid w:val="00A5745F"/>
    <w:rsid w:val="00A579CE"/>
    <w:rsid w:val="00A60913"/>
    <w:rsid w:val="00A627FC"/>
    <w:rsid w:val="00A629C3"/>
    <w:rsid w:val="00A62B3F"/>
    <w:rsid w:val="00A62BE8"/>
    <w:rsid w:val="00A6315D"/>
    <w:rsid w:val="00A640FC"/>
    <w:rsid w:val="00A64DD9"/>
    <w:rsid w:val="00A66CAE"/>
    <w:rsid w:val="00A72967"/>
    <w:rsid w:val="00A72C20"/>
    <w:rsid w:val="00A731DE"/>
    <w:rsid w:val="00A73333"/>
    <w:rsid w:val="00A73451"/>
    <w:rsid w:val="00A7379D"/>
    <w:rsid w:val="00A74A2F"/>
    <w:rsid w:val="00A74E20"/>
    <w:rsid w:val="00A75B47"/>
    <w:rsid w:val="00A81657"/>
    <w:rsid w:val="00A82A6C"/>
    <w:rsid w:val="00A83C5D"/>
    <w:rsid w:val="00A840E9"/>
    <w:rsid w:val="00A84EB2"/>
    <w:rsid w:val="00A853DF"/>
    <w:rsid w:val="00A86C30"/>
    <w:rsid w:val="00A90898"/>
    <w:rsid w:val="00A91454"/>
    <w:rsid w:val="00A91F51"/>
    <w:rsid w:val="00A92AF5"/>
    <w:rsid w:val="00A952D4"/>
    <w:rsid w:val="00A97BF2"/>
    <w:rsid w:val="00AA0A70"/>
    <w:rsid w:val="00AA1061"/>
    <w:rsid w:val="00AA1AC6"/>
    <w:rsid w:val="00AA232A"/>
    <w:rsid w:val="00AA3B30"/>
    <w:rsid w:val="00AA3D3F"/>
    <w:rsid w:val="00AA5262"/>
    <w:rsid w:val="00AA5C6A"/>
    <w:rsid w:val="00AA6819"/>
    <w:rsid w:val="00AA70D7"/>
    <w:rsid w:val="00AB0367"/>
    <w:rsid w:val="00AB049B"/>
    <w:rsid w:val="00AB10B3"/>
    <w:rsid w:val="00AB1F8C"/>
    <w:rsid w:val="00AB22F3"/>
    <w:rsid w:val="00AB23EE"/>
    <w:rsid w:val="00AB2C4F"/>
    <w:rsid w:val="00AB6907"/>
    <w:rsid w:val="00AB7D38"/>
    <w:rsid w:val="00AC06D6"/>
    <w:rsid w:val="00AC1115"/>
    <w:rsid w:val="00AC3B30"/>
    <w:rsid w:val="00AC3E7C"/>
    <w:rsid w:val="00AC5318"/>
    <w:rsid w:val="00AC542B"/>
    <w:rsid w:val="00AC7D43"/>
    <w:rsid w:val="00AC7D59"/>
    <w:rsid w:val="00AC7E2F"/>
    <w:rsid w:val="00AD0677"/>
    <w:rsid w:val="00AD0E2F"/>
    <w:rsid w:val="00AD1478"/>
    <w:rsid w:val="00AD1C40"/>
    <w:rsid w:val="00AD394C"/>
    <w:rsid w:val="00AD56B1"/>
    <w:rsid w:val="00AE3430"/>
    <w:rsid w:val="00AE3E38"/>
    <w:rsid w:val="00AE5439"/>
    <w:rsid w:val="00AE7094"/>
    <w:rsid w:val="00AE7533"/>
    <w:rsid w:val="00AE77E6"/>
    <w:rsid w:val="00AE7FA6"/>
    <w:rsid w:val="00AF4888"/>
    <w:rsid w:val="00AF67D8"/>
    <w:rsid w:val="00AF70C3"/>
    <w:rsid w:val="00B00AE3"/>
    <w:rsid w:val="00B013D1"/>
    <w:rsid w:val="00B01FF3"/>
    <w:rsid w:val="00B04538"/>
    <w:rsid w:val="00B045DA"/>
    <w:rsid w:val="00B04BA6"/>
    <w:rsid w:val="00B04D0B"/>
    <w:rsid w:val="00B06734"/>
    <w:rsid w:val="00B07FA2"/>
    <w:rsid w:val="00B10E7A"/>
    <w:rsid w:val="00B11AFB"/>
    <w:rsid w:val="00B11E3E"/>
    <w:rsid w:val="00B1493F"/>
    <w:rsid w:val="00B15ACE"/>
    <w:rsid w:val="00B17CED"/>
    <w:rsid w:val="00B2418A"/>
    <w:rsid w:val="00B2517F"/>
    <w:rsid w:val="00B26A21"/>
    <w:rsid w:val="00B26B9C"/>
    <w:rsid w:val="00B273FE"/>
    <w:rsid w:val="00B2757F"/>
    <w:rsid w:val="00B3052D"/>
    <w:rsid w:val="00B308C9"/>
    <w:rsid w:val="00B30C84"/>
    <w:rsid w:val="00B30CD6"/>
    <w:rsid w:val="00B32567"/>
    <w:rsid w:val="00B3336F"/>
    <w:rsid w:val="00B33928"/>
    <w:rsid w:val="00B34456"/>
    <w:rsid w:val="00B369DC"/>
    <w:rsid w:val="00B36F09"/>
    <w:rsid w:val="00B374EF"/>
    <w:rsid w:val="00B40087"/>
    <w:rsid w:val="00B40E39"/>
    <w:rsid w:val="00B4201F"/>
    <w:rsid w:val="00B428A4"/>
    <w:rsid w:val="00B42E84"/>
    <w:rsid w:val="00B44371"/>
    <w:rsid w:val="00B45AB0"/>
    <w:rsid w:val="00B468EB"/>
    <w:rsid w:val="00B52210"/>
    <w:rsid w:val="00B522B3"/>
    <w:rsid w:val="00B52A41"/>
    <w:rsid w:val="00B54E7D"/>
    <w:rsid w:val="00B56BEC"/>
    <w:rsid w:val="00B56E47"/>
    <w:rsid w:val="00B570CA"/>
    <w:rsid w:val="00B57BDF"/>
    <w:rsid w:val="00B60105"/>
    <w:rsid w:val="00B63832"/>
    <w:rsid w:val="00B6486F"/>
    <w:rsid w:val="00B64D7B"/>
    <w:rsid w:val="00B70078"/>
    <w:rsid w:val="00B71CCC"/>
    <w:rsid w:val="00B728A0"/>
    <w:rsid w:val="00B75170"/>
    <w:rsid w:val="00B77063"/>
    <w:rsid w:val="00B77494"/>
    <w:rsid w:val="00B812C2"/>
    <w:rsid w:val="00B8154F"/>
    <w:rsid w:val="00B815B9"/>
    <w:rsid w:val="00B82290"/>
    <w:rsid w:val="00B841F8"/>
    <w:rsid w:val="00B855EE"/>
    <w:rsid w:val="00B85ED3"/>
    <w:rsid w:val="00B86501"/>
    <w:rsid w:val="00B868DB"/>
    <w:rsid w:val="00B87EBC"/>
    <w:rsid w:val="00B9040D"/>
    <w:rsid w:val="00B93134"/>
    <w:rsid w:val="00B93252"/>
    <w:rsid w:val="00BA0304"/>
    <w:rsid w:val="00BA0794"/>
    <w:rsid w:val="00BA2BEF"/>
    <w:rsid w:val="00BA460B"/>
    <w:rsid w:val="00BA4F58"/>
    <w:rsid w:val="00BA5723"/>
    <w:rsid w:val="00BA5A35"/>
    <w:rsid w:val="00BA673A"/>
    <w:rsid w:val="00BB1202"/>
    <w:rsid w:val="00BB1658"/>
    <w:rsid w:val="00BB3D55"/>
    <w:rsid w:val="00BB403C"/>
    <w:rsid w:val="00BB40A0"/>
    <w:rsid w:val="00BB4140"/>
    <w:rsid w:val="00BB44A7"/>
    <w:rsid w:val="00BB4701"/>
    <w:rsid w:val="00BB6856"/>
    <w:rsid w:val="00BB75B7"/>
    <w:rsid w:val="00BB7BEF"/>
    <w:rsid w:val="00BC0183"/>
    <w:rsid w:val="00BC1000"/>
    <w:rsid w:val="00BC1838"/>
    <w:rsid w:val="00BC1D0F"/>
    <w:rsid w:val="00BC21EC"/>
    <w:rsid w:val="00BC2E35"/>
    <w:rsid w:val="00BC3154"/>
    <w:rsid w:val="00BC4993"/>
    <w:rsid w:val="00BC55C8"/>
    <w:rsid w:val="00BC55F7"/>
    <w:rsid w:val="00BC5F03"/>
    <w:rsid w:val="00BC63B1"/>
    <w:rsid w:val="00BC6FB5"/>
    <w:rsid w:val="00BC72EE"/>
    <w:rsid w:val="00BD048C"/>
    <w:rsid w:val="00BD0618"/>
    <w:rsid w:val="00BD2873"/>
    <w:rsid w:val="00BD2B43"/>
    <w:rsid w:val="00BD3081"/>
    <w:rsid w:val="00BD4483"/>
    <w:rsid w:val="00BD4AA2"/>
    <w:rsid w:val="00BD4E66"/>
    <w:rsid w:val="00BD6233"/>
    <w:rsid w:val="00BD79AE"/>
    <w:rsid w:val="00BE201D"/>
    <w:rsid w:val="00BE2BEA"/>
    <w:rsid w:val="00BE2D5E"/>
    <w:rsid w:val="00BE3753"/>
    <w:rsid w:val="00BE38A9"/>
    <w:rsid w:val="00BE3D6A"/>
    <w:rsid w:val="00BE4264"/>
    <w:rsid w:val="00BE6F2A"/>
    <w:rsid w:val="00BE7979"/>
    <w:rsid w:val="00BF131F"/>
    <w:rsid w:val="00BF26EA"/>
    <w:rsid w:val="00BF2EA9"/>
    <w:rsid w:val="00BF5C0F"/>
    <w:rsid w:val="00BF6AE3"/>
    <w:rsid w:val="00BF7903"/>
    <w:rsid w:val="00BF7996"/>
    <w:rsid w:val="00C0044D"/>
    <w:rsid w:val="00C00FB2"/>
    <w:rsid w:val="00C013FB"/>
    <w:rsid w:val="00C02927"/>
    <w:rsid w:val="00C04C94"/>
    <w:rsid w:val="00C060F5"/>
    <w:rsid w:val="00C0634F"/>
    <w:rsid w:val="00C06E3D"/>
    <w:rsid w:val="00C072E4"/>
    <w:rsid w:val="00C10193"/>
    <w:rsid w:val="00C10DB9"/>
    <w:rsid w:val="00C1377A"/>
    <w:rsid w:val="00C13B20"/>
    <w:rsid w:val="00C15122"/>
    <w:rsid w:val="00C17B9B"/>
    <w:rsid w:val="00C17E6C"/>
    <w:rsid w:val="00C21AFB"/>
    <w:rsid w:val="00C2392D"/>
    <w:rsid w:val="00C23B2B"/>
    <w:rsid w:val="00C2404D"/>
    <w:rsid w:val="00C24B6C"/>
    <w:rsid w:val="00C25F04"/>
    <w:rsid w:val="00C260B7"/>
    <w:rsid w:val="00C26556"/>
    <w:rsid w:val="00C2697D"/>
    <w:rsid w:val="00C26A18"/>
    <w:rsid w:val="00C27AEE"/>
    <w:rsid w:val="00C303B6"/>
    <w:rsid w:val="00C309C8"/>
    <w:rsid w:val="00C32C10"/>
    <w:rsid w:val="00C332EA"/>
    <w:rsid w:val="00C35200"/>
    <w:rsid w:val="00C356B6"/>
    <w:rsid w:val="00C35AA0"/>
    <w:rsid w:val="00C35E8A"/>
    <w:rsid w:val="00C3710B"/>
    <w:rsid w:val="00C37E01"/>
    <w:rsid w:val="00C4065A"/>
    <w:rsid w:val="00C40C5A"/>
    <w:rsid w:val="00C419DE"/>
    <w:rsid w:val="00C41F63"/>
    <w:rsid w:val="00C41F91"/>
    <w:rsid w:val="00C427BF"/>
    <w:rsid w:val="00C43246"/>
    <w:rsid w:val="00C44CD2"/>
    <w:rsid w:val="00C471CB"/>
    <w:rsid w:val="00C50F6E"/>
    <w:rsid w:val="00C51A1B"/>
    <w:rsid w:val="00C51AF0"/>
    <w:rsid w:val="00C522DF"/>
    <w:rsid w:val="00C524D4"/>
    <w:rsid w:val="00C537DB"/>
    <w:rsid w:val="00C552E2"/>
    <w:rsid w:val="00C57C3C"/>
    <w:rsid w:val="00C60AAA"/>
    <w:rsid w:val="00C61250"/>
    <w:rsid w:val="00C621A9"/>
    <w:rsid w:val="00C62431"/>
    <w:rsid w:val="00C65B62"/>
    <w:rsid w:val="00C67DE7"/>
    <w:rsid w:val="00C72C65"/>
    <w:rsid w:val="00C746DF"/>
    <w:rsid w:val="00C7679B"/>
    <w:rsid w:val="00C778B3"/>
    <w:rsid w:val="00C81ABB"/>
    <w:rsid w:val="00C82E39"/>
    <w:rsid w:val="00C83289"/>
    <w:rsid w:val="00C852BE"/>
    <w:rsid w:val="00C85C29"/>
    <w:rsid w:val="00C90AF6"/>
    <w:rsid w:val="00C92682"/>
    <w:rsid w:val="00C946B7"/>
    <w:rsid w:val="00C94B62"/>
    <w:rsid w:val="00C9634E"/>
    <w:rsid w:val="00C965DD"/>
    <w:rsid w:val="00CA1109"/>
    <w:rsid w:val="00CA197C"/>
    <w:rsid w:val="00CA1C0C"/>
    <w:rsid w:val="00CA41FC"/>
    <w:rsid w:val="00CA455D"/>
    <w:rsid w:val="00CA46B8"/>
    <w:rsid w:val="00CA7B49"/>
    <w:rsid w:val="00CB04CA"/>
    <w:rsid w:val="00CB0CEA"/>
    <w:rsid w:val="00CB2433"/>
    <w:rsid w:val="00CB40F1"/>
    <w:rsid w:val="00CB46B9"/>
    <w:rsid w:val="00CB4F73"/>
    <w:rsid w:val="00CB51CB"/>
    <w:rsid w:val="00CB579C"/>
    <w:rsid w:val="00CB669E"/>
    <w:rsid w:val="00CB7DC4"/>
    <w:rsid w:val="00CC0E5E"/>
    <w:rsid w:val="00CC0EC3"/>
    <w:rsid w:val="00CC1AF2"/>
    <w:rsid w:val="00CC248F"/>
    <w:rsid w:val="00CC315C"/>
    <w:rsid w:val="00CC3916"/>
    <w:rsid w:val="00CC3BE6"/>
    <w:rsid w:val="00CC432F"/>
    <w:rsid w:val="00CC4846"/>
    <w:rsid w:val="00CC4C6D"/>
    <w:rsid w:val="00CC4D47"/>
    <w:rsid w:val="00CC500E"/>
    <w:rsid w:val="00CC5564"/>
    <w:rsid w:val="00CC6A2D"/>
    <w:rsid w:val="00CC710B"/>
    <w:rsid w:val="00CD072F"/>
    <w:rsid w:val="00CD0B42"/>
    <w:rsid w:val="00CD0E59"/>
    <w:rsid w:val="00CD2E20"/>
    <w:rsid w:val="00CD7575"/>
    <w:rsid w:val="00CD7DF3"/>
    <w:rsid w:val="00CE0F8D"/>
    <w:rsid w:val="00CE14C1"/>
    <w:rsid w:val="00CE36EA"/>
    <w:rsid w:val="00CE3DED"/>
    <w:rsid w:val="00CE7831"/>
    <w:rsid w:val="00CE79FC"/>
    <w:rsid w:val="00CF0DBB"/>
    <w:rsid w:val="00CF349B"/>
    <w:rsid w:val="00CF6AD7"/>
    <w:rsid w:val="00D013F6"/>
    <w:rsid w:val="00D01C2F"/>
    <w:rsid w:val="00D029FE"/>
    <w:rsid w:val="00D04BA0"/>
    <w:rsid w:val="00D05F96"/>
    <w:rsid w:val="00D06BB5"/>
    <w:rsid w:val="00D10E5D"/>
    <w:rsid w:val="00D11798"/>
    <w:rsid w:val="00D13454"/>
    <w:rsid w:val="00D208D1"/>
    <w:rsid w:val="00D20F37"/>
    <w:rsid w:val="00D223F2"/>
    <w:rsid w:val="00D2356D"/>
    <w:rsid w:val="00D23896"/>
    <w:rsid w:val="00D23CD8"/>
    <w:rsid w:val="00D24208"/>
    <w:rsid w:val="00D25042"/>
    <w:rsid w:val="00D27C9E"/>
    <w:rsid w:val="00D309C5"/>
    <w:rsid w:val="00D31C69"/>
    <w:rsid w:val="00D323F8"/>
    <w:rsid w:val="00D350E0"/>
    <w:rsid w:val="00D352E7"/>
    <w:rsid w:val="00D363F3"/>
    <w:rsid w:val="00D4038E"/>
    <w:rsid w:val="00D404A0"/>
    <w:rsid w:val="00D41082"/>
    <w:rsid w:val="00D42A3D"/>
    <w:rsid w:val="00D44F29"/>
    <w:rsid w:val="00D46C25"/>
    <w:rsid w:val="00D47185"/>
    <w:rsid w:val="00D478FB"/>
    <w:rsid w:val="00D501B5"/>
    <w:rsid w:val="00D50C6D"/>
    <w:rsid w:val="00D54A03"/>
    <w:rsid w:val="00D57AE7"/>
    <w:rsid w:val="00D6221E"/>
    <w:rsid w:val="00D64D31"/>
    <w:rsid w:val="00D64F8F"/>
    <w:rsid w:val="00D65F4C"/>
    <w:rsid w:val="00D660DE"/>
    <w:rsid w:val="00D67805"/>
    <w:rsid w:val="00D709B7"/>
    <w:rsid w:val="00D70E77"/>
    <w:rsid w:val="00D72DDF"/>
    <w:rsid w:val="00D732FC"/>
    <w:rsid w:val="00D734A0"/>
    <w:rsid w:val="00D739BE"/>
    <w:rsid w:val="00D73D3B"/>
    <w:rsid w:val="00D74232"/>
    <w:rsid w:val="00D754B2"/>
    <w:rsid w:val="00D76FC4"/>
    <w:rsid w:val="00D76FF1"/>
    <w:rsid w:val="00D7723F"/>
    <w:rsid w:val="00D77E75"/>
    <w:rsid w:val="00D8155D"/>
    <w:rsid w:val="00D816DA"/>
    <w:rsid w:val="00D81E99"/>
    <w:rsid w:val="00D8224D"/>
    <w:rsid w:val="00D823F7"/>
    <w:rsid w:val="00D8300F"/>
    <w:rsid w:val="00D84D79"/>
    <w:rsid w:val="00D85371"/>
    <w:rsid w:val="00D85625"/>
    <w:rsid w:val="00D86B76"/>
    <w:rsid w:val="00D870D6"/>
    <w:rsid w:val="00D87130"/>
    <w:rsid w:val="00D878FE"/>
    <w:rsid w:val="00D90379"/>
    <w:rsid w:val="00D90BFB"/>
    <w:rsid w:val="00D9125F"/>
    <w:rsid w:val="00D91520"/>
    <w:rsid w:val="00D94C49"/>
    <w:rsid w:val="00D97374"/>
    <w:rsid w:val="00D97FB8"/>
    <w:rsid w:val="00DA416D"/>
    <w:rsid w:val="00DA5406"/>
    <w:rsid w:val="00DA5C6D"/>
    <w:rsid w:val="00DA5ED4"/>
    <w:rsid w:val="00DA65ED"/>
    <w:rsid w:val="00DA67A2"/>
    <w:rsid w:val="00DA77E2"/>
    <w:rsid w:val="00DA799E"/>
    <w:rsid w:val="00DA7EFE"/>
    <w:rsid w:val="00DB063B"/>
    <w:rsid w:val="00DB08BB"/>
    <w:rsid w:val="00DB0A31"/>
    <w:rsid w:val="00DB1E5A"/>
    <w:rsid w:val="00DB2197"/>
    <w:rsid w:val="00DB2A6B"/>
    <w:rsid w:val="00DB4D74"/>
    <w:rsid w:val="00DB4FC9"/>
    <w:rsid w:val="00DB591E"/>
    <w:rsid w:val="00DB65BF"/>
    <w:rsid w:val="00DB7D5E"/>
    <w:rsid w:val="00DB7EBC"/>
    <w:rsid w:val="00DC041A"/>
    <w:rsid w:val="00DC0E73"/>
    <w:rsid w:val="00DC35CA"/>
    <w:rsid w:val="00DC3616"/>
    <w:rsid w:val="00DC3754"/>
    <w:rsid w:val="00DC4295"/>
    <w:rsid w:val="00DC448F"/>
    <w:rsid w:val="00DC4818"/>
    <w:rsid w:val="00DC5D3F"/>
    <w:rsid w:val="00DC612D"/>
    <w:rsid w:val="00DC6E55"/>
    <w:rsid w:val="00DC79B8"/>
    <w:rsid w:val="00DC7BB1"/>
    <w:rsid w:val="00DD07D9"/>
    <w:rsid w:val="00DD1507"/>
    <w:rsid w:val="00DD1CB9"/>
    <w:rsid w:val="00DD2ACC"/>
    <w:rsid w:val="00DD49E6"/>
    <w:rsid w:val="00DD534A"/>
    <w:rsid w:val="00DD6269"/>
    <w:rsid w:val="00DD7056"/>
    <w:rsid w:val="00DD7982"/>
    <w:rsid w:val="00DE0023"/>
    <w:rsid w:val="00DE2A57"/>
    <w:rsid w:val="00DE2B2F"/>
    <w:rsid w:val="00DE3DE8"/>
    <w:rsid w:val="00DE3E78"/>
    <w:rsid w:val="00DE44EA"/>
    <w:rsid w:val="00DE6F30"/>
    <w:rsid w:val="00DE7017"/>
    <w:rsid w:val="00DE70C9"/>
    <w:rsid w:val="00DE7EF3"/>
    <w:rsid w:val="00DF1A93"/>
    <w:rsid w:val="00DF4979"/>
    <w:rsid w:val="00DF6442"/>
    <w:rsid w:val="00E01D63"/>
    <w:rsid w:val="00E06A9E"/>
    <w:rsid w:val="00E0730E"/>
    <w:rsid w:val="00E07899"/>
    <w:rsid w:val="00E10AF8"/>
    <w:rsid w:val="00E11B41"/>
    <w:rsid w:val="00E14BC6"/>
    <w:rsid w:val="00E15F46"/>
    <w:rsid w:val="00E2077F"/>
    <w:rsid w:val="00E21254"/>
    <w:rsid w:val="00E237A4"/>
    <w:rsid w:val="00E23AAC"/>
    <w:rsid w:val="00E2441B"/>
    <w:rsid w:val="00E25A4D"/>
    <w:rsid w:val="00E266D6"/>
    <w:rsid w:val="00E27939"/>
    <w:rsid w:val="00E27B5E"/>
    <w:rsid w:val="00E30E6B"/>
    <w:rsid w:val="00E31CEB"/>
    <w:rsid w:val="00E32726"/>
    <w:rsid w:val="00E33411"/>
    <w:rsid w:val="00E3428B"/>
    <w:rsid w:val="00E35A8A"/>
    <w:rsid w:val="00E407B4"/>
    <w:rsid w:val="00E408B8"/>
    <w:rsid w:val="00E414E2"/>
    <w:rsid w:val="00E41FD0"/>
    <w:rsid w:val="00E42224"/>
    <w:rsid w:val="00E429CE"/>
    <w:rsid w:val="00E4489A"/>
    <w:rsid w:val="00E4608F"/>
    <w:rsid w:val="00E46FE9"/>
    <w:rsid w:val="00E47A32"/>
    <w:rsid w:val="00E50550"/>
    <w:rsid w:val="00E51304"/>
    <w:rsid w:val="00E53AD4"/>
    <w:rsid w:val="00E53C8E"/>
    <w:rsid w:val="00E5596B"/>
    <w:rsid w:val="00E56A50"/>
    <w:rsid w:val="00E6289C"/>
    <w:rsid w:val="00E63D25"/>
    <w:rsid w:val="00E6426D"/>
    <w:rsid w:val="00E64904"/>
    <w:rsid w:val="00E66C95"/>
    <w:rsid w:val="00E66E93"/>
    <w:rsid w:val="00E7005B"/>
    <w:rsid w:val="00E705C2"/>
    <w:rsid w:val="00E70B0F"/>
    <w:rsid w:val="00E715A6"/>
    <w:rsid w:val="00E717A9"/>
    <w:rsid w:val="00E71D13"/>
    <w:rsid w:val="00E732C0"/>
    <w:rsid w:val="00E75528"/>
    <w:rsid w:val="00E762B9"/>
    <w:rsid w:val="00E76B18"/>
    <w:rsid w:val="00E80736"/>
    <w:rsid w:val="00E81536"/>
    <w:rsid w:val="00E81DA2"/>
    <w:rsid w:val="00E822D6"/>
    <w:rsid w:val="00E82C1B"/>
    <w:rsid w:val="00E83413"/>
    <w:rsid w:val="00E84656"/>
    <w:rsid w:val="00E84E3B"/>
    <w:rsid w:val="00E852B6"/>
    <w:rsid w:val="00E86000"/>
    <w:rsid w:val="00E8777E"/>
    <w:rsid w:val="00E90434"/>
    <w:rsid w:val="00E90527"/>
    <w:rsid w:val="00E90529"/>
    <w:rsid w:val="00E9079C"/>
    <w:rsid w:val="00E91356"/>
    <w:rsid w:val="00E91E58"/>
    <w:rsid w:val="00E92CE0"/>
    <w:rsid w:val="00E944D9"/>
    <w:rsid w:val="00E94FFD"/>
    <w:rsid w:val="00E95656"/>
    <w:rsid w:val="00E95E80"/>
    <w:rsid w:val="00E96E5B"/>
    <w:rsid w:val="00E971FC"/>
    <w:rsid w:val="00EA1BCE"/>
    <w:rsid w:val="00EA2686"/>
    <w:rsid w:val="00EA3A50"/>
    <w:rsid w:val="00EA5F90"/>
    <w:rsid w:val="00EA7928"/>
    <w:rsid w:val="00EB2FCC"/>
    <w:rsid w:val="00EB4A0E"/>
    <w:rsid w:val="00EB5ECF"/>
    <w:rsid w:val="00EB6998"/>
    <w:rsid w:val="00EB6A3C"/>
    <w:rsid w:val="00EC1A9A"/>
    <w:rsid w:val="00EC245F"/>
    <w:rsid w:val="00EC2548"/>
    <w:rsid w:val="00EC2F64"/>
    <w:rsid w:val="00EC4D0F"/>
    <w:rsid w:val="00EC73E2"/>
    <w:rsid w:val="00EC7C0C"/>
    <w:rsid w:val="00ED0F8F"/>
    <w:rsid w:val="00ED198D"/>
    <w:rsid w:val="00ED1D69"/>
    <w:rsid w:val="00ED2889"/>
    <w:rsid w:val="00ED2CA6"/>
    <w:rsid w:val="00ED3E23"/>
    <w:rsid w:val="00ED4090"/>
    <w:rsid w:val="00ED4A23"/>
    <w:rsid w:val="00ED51C1"/>
    <w:rsid w:val="00ED6748"/>
    <w:rsid w:val="00ED6FB0"/>
    <w:rsid w:val="00ED7F60"/>
    <w:rsid w:val="00EE04A0"/>
    <w:rsid w:val="00EE1CAC"/>
    <w:rsid w:val="00EE2083"/>
    <w:rsid w:val="00EE33CF"/>
    <w:rsid w:val="00EE48CF"/>
    <w:rsid w:val="00EE5FF0"/>
    <w:rsid w:val="00EE6804"/>
    <w:rsid w:val="00EE6864"/>
    <w:rsid w:val="00EF0DCF"/>
    <w:rsid w:val="00EF3179"/>
    <w:rsid w:val="00EF593D"/>
    <w:rsid w:val="00EF6250"/>
    <w:rsid w:val="00F01144"/>
    <w:rsid w:val="00F027F6"/>
    <w:rsid w:val="00F0387D"/>
    <w:rsid w:val="00F076A2"/>
    <w:rsid w:val="00F07D6B"/>
    <w:rsid w:val="00F10A2F"/>
    <w:rsid w:val="00F11326"/>
    <w:rsid w:val="00F11A54"/>
    <w:rsid w:val="00F12723"/>
    <w:rsid w:val="00F136C0"/>
    <w:rsid w:val="00F146A1"/>
    <w:rsid w:val="00F150A3"/>
    <w:rsid w:val="00F156A1"/>
    <w:rsid w:val="00F15C88"/>
    <w:rsid w:val="00F169DE"/>
    <w:rsid w:val="00F20AF0"/>
    <w:rsid w:val="00F22952"/>
    <w:rsid w:val="00F22CF7"/>
    <w:rsid w:val="00F2388F"/>
    <w:rsid w:val="00F244E1"/>
    <w:rsid w:val="00F248CC"/>
    <w:rsid w:val="00F24A93"/>
    <w:rsid w:val="00F24C96"/>
    <w:rsid w:val="00F26032"/>
    <w:rsid w:val="00F27A9B"/>
    <w:rsid w:val="00F27C91"/>
    <w:rsid w:val="00F27EF7"/>
    <w:rsid w:val="00F31068"/>
    <w:rsid w:val="00F32D01"/>
    <w:rsid w:val="00F343C6"/>
    <w:rsid w:val="00F3756F"/>
    <w:rsid w:val="00F40382"/>
    <w:rsid w:val="00F40707"/>
    <w:rsid w:val="00F4072F"/>
    <w:rsid w:val="00F411E1"/>
    <w:rsid w:val="00F4215A"/>
    <w:rsid w:val="00F43964"/>
    <w:rsid w:val="00F43A2F"/>
    <w:rsid w:val="00F43C29"/>
    <w:rsid w:val="00F43E21"/>
    <w:rsid w:val="00F448A1"/>
    <w:rsid w:val="00F4629B"/>
    <w:rsid w:val="00F4632D"/>
    <w:rsid w:val="00F5049D"/>
    <w:rsid w:val="00F50B7E"/>
    <w:rsid w:val="00F52E4A"/>
    <w:rsid w:val="00F5319B"/>
    <w:rsid w:val="00F532E8"/>
    <w:rsid w:val="00F54BEB"/>
    <w:rsid w:val="00F566B6"/>
    <w:rsid w:val="00F57737"/>
    <w:rsid w:val="00F57B52"/>
    <w:rsid w:val="00F60084"/>
    <w:rsid w:val="00F60A91"/>
    <w:rsid w:val="00F620DD"/>
    <w:rsid w:val="00F64DFB"/>
    <w:rsid w:val="00F65299"/>
    <w:rsid w:val="00F66492"/>
    <w:rsid w:val="00F66CB7"/>
    <w:rsid w:val="00F677A5"/>
    <w:rsid w:val="00F70AAC"/>
    <w:rsid w:val="00F71C06"/>
    <w:rsid w:val="00F724DF"/>
    <w:rsid w:val="00F735A7"/>
    <w:rsid w:val="00F73E2C"/>
    <w:rsid w:val="00F745A8"/>
    <w:rsid w:val="00F75F80"/>
    <w:rsid w:val="00F7612A"/>
    <w:rsid w:val="00F8039D"/>
    <w:rsid w:val="00F81CE2"/>
    <w:rsid w:val="00F82F0E"/>
    <w:rsid w:val="00F840EC"/>
    <w:rsid w:val="00F85688"/>
    <w:rsid w:val="00F857EE"/>
    <w:rsid w:val="00F901DE"/>
    <w:rsid w:val="00F902AA"/>
    <w:rsid w:val="00F90B25"/>
    <w:rsid w:val="00F9183A"/>
    <w:rsid w:val="00F9383F"/>
    <w:rsid w:val="00F940E8"/>
    <w:rsid w:val="00F942F9"/>
    <w:rsid w:val="00F95785"/>
    <w:rsid w:val="00F9774D"/>
    <w:rsid w:val="00F97EFA"/>
    <w:rsid w:val="00FA129E"/>
    <w:rsid w:val="00FA1877"/>
    <w:rsid w:val="00FA3D41"/>
    <w:rsid w:val="00FA498E"/>
    <w:rsid w:val="00FA58BB"/>
    <w:rsid w:val="00FA5C17"/>
    <w:rsid w:val="00FA6D3D"/>
    <w:rsid w:val="00FB00E1"/>
    <w:rsid w:val="00FB1837"/>
    <w:rsid w:val="00FB287E"/>
    <w:rsid w:val="00FB2E49"/>
    <w:rsid w:val="00FB2ED6"/>
    <w:rsid w:val="00FB3A4E"/>
    <w:rsid w:val="00FB3B79"/>
    <w:rsid w:val="00FB49E7"/>
    <w:rsid w:val="00FB6974"/>
    <w:rsid w:val="00FB747D"/>
    <w:rsid w:val="00FB7B9F"/>
    <w:rsid w:val="00FC0C7D"/>
    <w:rsid w:val="00FC3FE3"/>
    <w:rsid w:val="00FC43E1"/>
    <w:rsid w:val="00FC6B39"/>
    <w:rsid w:val="00FD04F4"/>
    <w:rsid w:val="00FD1329"/>
    <w:rsid w:val="00FD133A"/>
    <w:rsid w:val="00FD16BC"/>
    <w:rsid w:val="00FD3590"/>
    <w:rsid w:val="00FD3CB2"/>
    <w:rsid w:val="00FD54E5"/>
    <w:rsid w:val="00FD5B96"/>
    <w:rsid w:val="00FE05AD"/>
    <w:rsid w:val="00FE0768"/>
    <w:rsid w:val="00FE130F"/>
    <w:rsid w:val="00FE1CF8"/>
    <w:rsid w:val="00FE2A2C"/>
    <w:rsid w:val="00FE397A"/>
    <w:rsid w:val="00FE7F23"/>
    <w:rsid w:val="00FF2457"/>
    <w:rsid w:val="00FF2F27"/>
    <w:rsid w:val="00FF35A5"/>
    <w:rsid w:val="00FF3EF9"/>
    <w:rsid w:val="00FF56B6"/>
    <w:rsid w:val="00FF6184"/>
    <w:rsid w:val="00FF7946"/>
    <w:rsid w:val="0116705D"/>
    <w:rsid w:val="01373843"/>
    <w:rsid w:val="013833F2"/>
    <w:rsid w:val="01437C9C"/>
    <w:rsid w:val="015D5508"/>
    <w:rsid w:val="01883AF2"/>
    <w:rsid w:val="01CF667B"/>
    <w:rsid w:val="01E61C5A"/>
    <w:rsid w:val="02113D00"/>
    <w:rsid w:val="02463238"/>
    <w:rsid w:val="02613A93"/>
    <w:rsid w:val="028F55E8"/>
    <w:rsid w:val="02A17E53"/>
    <w:rsid w:val="02AB2268"/>
    <w:rsid w:val="02CC7077"/>
    <w:rsid w:val="02DE7FF9"/>
    <w:rsid w:val="031A2D16"/>
    <w:rsid w:val="03334BA2"/>
    <w:rsid w:val="03496A3D"/>
    <w:rsid w:val="035C132E"/>
    <w:rsid w:val="03711DF0"/>
    <w:rsid w:val="0373721B"/>
    <w:rsid w:val="038C6282"/>
    <w:rsid w:val="03BF1DE2"/>
    <w:rsid w:val="03EC31A7"/>
    <w:rsid w:val="03EF4035"/>
    <w:rsid w:val="03FA28E5"/>
    <w:rsid w:val="04090D29"/>
    <w:rsid w:val="040D366A"/>
    <w:rsid w:val="042704BA"/>
    <w:rsid w:val="042B0DA2"/>
    <w:rsid w:val="044D636F"/>
    <w:rsid w:val="045E7555"/>
    <w:rsid w:val="04652BC3"/>
    <w:rsid w:val="048E0719"/>
    <w:rsid w:val="04C56684"/>
    <w:rsid w:val="04D05747"/>
    <w:rsid w:val="04E47B43"/>
    <w:rsid w:val="04E565CC"/>
    <w:rsid w:val="04EF1243"/>
    <w:rsid w:val="04F07068"/>
    <w:rsid w:val="0501560F"/>
    <w:rsid w:val="050B638D"/>
    <w:rsid w:val="05344A92"/>
    <w:rsid w:val="056B5330"/>
    <w:rsid w:val="05A33F4C"/>
    <w:rsid w:val="05BE1488"/>
    <w:rsid w:val="05FD666C"/>
    <w:rsid w:val="06097409"/>
    <w:rsid w:val="061F769B"/>
    <w:rsid w:val="0624326C"/>
    <w:rsid w:val="066832FE"/>
    <w:rsid w:val="066E0B65"/>
    <w:rsid w:val="06824919"/>
    <w:rsid w:val="06871317"/>
    <w:rsid w:val="06BB7FA0"/>
    <w:rsid w:val="06D11E11"/>
    <w:rsid w:val="06D70EE9"/>
    <w:rsid w:val="0717011E"/>
    <w:rsid w:val="073F3CA5"/>
    <w:rsid w:val="07461632"/>
    <w:rsid w:val="0752353E"/>
    <w:rsid w:val="07557695"/>
    <w:rsid w:val="076B752E"/>
    <w:rsid w:val="078C0C20"/>
    <w:rsid w:val="07AC6D66"/>
    <w:rsid w:val="07D9529B"/>
    <w:rsid w:val="07EE59E0"/>
    <w:rsid w:val="082C173B"/>
    <w:rsid w:val="083E4CB0"/>
    <w:rsid w:val="085961F1"/>
    <w:rsid w:val="087967F7"/>
    <w:rsid w:val="08932A3A"/>
    <w:rsid w:val="08C05189"/>
    <w:rsid w:val="08C10C1E"/>
    <w:rsid w:val="08CE51BB"/>
    <w:rsid w:val="08F75172"/>
    <w:rsid w:val="09102DB8"/>
    <w:rsid w:val="092749EA"/>
    <w:rsid w:val="09357D93"/>
    <w:rsid w:val="097C1C79"/>
    <w:rsid w:val="098179C2"/>
    <w:rsid w:val="098533EB"/>
    <w:rsid w:val="099015FD"/>
    <w:rsid w:val="09A80A8C"/>
    <w:rsid w:val="09C7560E"/>
    <w:rsid w:val="09CC7F23"/>
    <w:rsid w:val="0A1E47C7"/>
    <w:rsid w:val="0A1E69F0"/>
    <w:rsid w:val="0A2D7887"/>
    <w:rsid w:val="0A5858D6"/>
    <w:rsid w:val="0A614AF3"/>
    <w:rsid w:val="0A675A8E"/>
    <w:rsid w:val="0A8969A7"/>
    <w:rsid w:val="0AAC38BB"/>
    <w:rsid w:val="0ACB4342"/>
    <w:rsid w:val="0AD43EC7"/>
    <w:rsid w:val="0ADB3ED2"/>
    <w:rsid w:val="0ADD4CBE"/>
    <w:rsid w:val="0AED1973"/>
    <w:rsid w:val="0AFC2A10"/>
    <w:rsid w:val="0B014BBF"/>
    <w:rsid w:val="0B077387"/>
    <w:rsid w:val="0B1D43C5"/>
    <w:rsid w:val="0B623EA6"/>
    <w:rsid w:val="0B6A062F"/>
    <w:rsid w:val="0B795158"/>
    <w:rsid w:val="0B830B64"/>
    <w:rsid w:val="0B8B340E"/>
    <w:rsid w:val="0BAF22BE"/>
    <w:rsid w:val="0C430E19"/>
    <w:rsid w:val="0C5A59EA"/>
    <w:rsid w:val="0C8B7A06"/>
    <w:rsid w:val="0CB17C9E"/>
    <w:rsid w:val="0CC50E80"/>
    <w:rsid w:val="0CC5658A"/>
    <w:rsid w:val="0CDA752F"/>
    <w:rsid w:val="0CDD37AC"/>
    <w:rsid w:val="0CFE0692"/>
    <w:rsid w:val="0D144E72"/>
    <w:rsid w:val="0D4B084D"/>
    <w:rsid w:val="0D4D7C82"/>
    <w:rsid w:val="0D9A30D8"/>
    <w:rsid w:val="0DAE573B"/>
    <w:rsid w:val="0DB37660"/>
    <w:rsid w:val="0DED4FC9"/>
    <w:rsid w:val="0E1512BB"/>
    <w:rsid w:val="0E161866"/>
    <w:rsid w:val="0E256AA6"/>
    <w:rsid w:val="0E300FCF"/>
    <w:rsid w:val="0E3F69A7"/>
    <w:rsid w:val="0E590EAC"/>
    <w:rsid w:val="0E663C8D"/>
    <w:rsid w:val="0E7E44AE"/>
    <w:rsid w:val="0E8C645F"/>
    <w:rsid w:val="0E9A3708"/>
    <w:rsid w:val="0EA13355"/>
    <w:rsid w:val="0ED01568"/>
    <w:rsid w:val="0EDA0A52"/>
    <w:rsid w:val="0F18054B"/>
    <w:rsid w:val="0F334E3B"/>
    <w:rsid w:val="0F574A82"/>
    <w:rsid w:val="0FAB1D1F"/>
    <w:rsid w:val="0FDB12EB"/>
    <w:rsid w:val="0FDE7D2A"/>
    <w:rsid w:val="0FF53A37"/>
    <w:rsid w:val="103C265A"/>
    <w:rsid w:val="10600959"/>
    <w:rsid w:val="10AC205F"/>
    <w:rsid w:val="10AD7B87"/>
    <w:rsid w:val="10DB3DE6"/>
    <w:rsid w:val="10EF00F8"/>
    <w:rsid w:val="11064911"/>
    <w:rsid w:val="110E0A1B"/>
    <w:rsid w:val="113B1F16"/>
    <w:rsid w:val="11420C55"/>
    <w:rsid w:val="116233F4"/>
    <w:rsid w:val="11744F49"/>
    <w:rsid w:val="117616E3"/>
    <w:rsid w:val="1182633E"/>
    <w:rsid w:val="119223E6"/>
    <w:rsid w:val="119C5889"/>
    <w:rsid w:val="11A22494"/>
    <w:rsid w:val="11AC0C1C"/>
    <w:rsid w:val="11B81F0D"/>
    <w:rsid w:val="11C22BCD"/>
    <w:rsid w:val="11D738CF"/>
    <w:rsid w:val="122C13C4"/>
    <w:rsid w:val="122D4AFE"/>
    <w:rsid w:val="124E5FA3"/>
    <w:rsid w:val="125637AB"/>
    <w:rsid w:val="12682064"/>
    <w:rsid w:val="126A7C8E"/>
    <w:rsid w:val="12905169"/>
    <w:rsid w:val="12974832"/>
    <w:rsid w:val="12D74352"/>
    <w:rsid w:val="12F475AE"/>
    <w:rsid w:val="12F72E57"/>
    <w:rsid w:val="13424AF8"/>
    <w:rsid w:val="13442B43"/>
    <w:rsid w:val="13460B80"/>
    <w:rsid w:val="1388660A"/>
    <w:rsid w:val="138F27C7"/>
    <w:rsid w:val="13A77417"/>
    <w:rsid w:val="13B10F60"/>
    <w:rsid w:val="13B255D2"/>
    <w:rsid w:val="13B67873"/>
    <w:rsid w:val="13D511B9"/>
    <w:rsid w:val="13DD2A74"/>
    <w:rsid w:val="13FB5E5F"/>
    <w:rsid w:val="14226AF4"/>
    <w:rsid w:val="14303CA2"/>
    <w:rsid w:val="14907D97"/>
    <w:rsid w:val="14AB468C"/>
    <w:rsid w:val="14B86EBB"/>
    <w:rsid w:val="14C76100"/>
    <w:rsid w:val="14E93251"/>
    <w:rsid w:val="150259B2"/>
    <w:rsid w:val="15036767"/>
    <w:rsid w:val="150A1529"/>
    <w:rsid w:val="150B79E8"/>
    <w:rsid w:val="151B0498"/>
    <w:rsid w:val="15265ACA"/>
    <w:rsid w:val="153375FF"/>
    <w:rsid w:val="153C6F2E"/>
    <w:rsid w:val="155335C1"/>
    <w:rsid w:val="156E11B9"/>
    <w:rsid w:val="158B6E46"/>
    <w:rsid w:val="15A0507A"/>
    <w:rsid w:val="15B9331F"/>
    <w:rsid w:val="15C63CD0"/>
    <w:rsid w:val="15E17F3F"/>
    <w:rsid w:val="15E979CB"/>
    <w:rsid w:val="15EB3F75"/>
    <w:rsid w:val="15EB5E65"/>
    <w:rsid w:val="15FD1304"/>
    <w:rsid w:val="161C6AA3"/>
    <w:rsid w:val="161F7550"/>
    <w:rsid w:val="162203B3"/>
    <w:rsid w:val="163F396F"/>
    <w:rsid w:val="16664E49"/>
    <w:rsid w:val="16AA1DE0"/>
    <w:rsid w:val="16D31D37"/>
    <w:rsid w:val="16E613D6"/>
    <w:rsid w:val="16E76D02"/>
    <w:rsid w:val="16F376C7"/>
    <w:rsid w:val="17326BFD"/>
    <w:rsid w:val="1747637B"/>
    <w:rsid w:val="174B3D3A"/>
    <w:rsid w:val="17514871"/>
    <w:rsid w:val="17553993"/>
    <w:rsid w:val="175C2B80"/>
    <w:rsid w:val="176119E8"/>
    <w:rsid w:val="17962753"/>
    <w:rsid w:val="179E40DE"/>
    <w:rsid w:val="17FA24AF"/>
    <w:rsid w:val="183F2D3D"/>
    <w:rsid w:val="185C1476"/>
    <w:rsid w:val="188F2CA4"/>
    <w:rsid w:val="18A43671"/>
    <w:rsid w:val="18BA4E27"/>
    <w:rsid w:val="18BF4F2C"/>
    <w:rsid w:val="18C5634C"/>
    <w:rsid w:val="18D376EA"/>
    <w:rsid w:val="18D37FE9"/>
    <w:rsid w:val="18E9601D"/>
    <w:rsid w:val="18FB0F21"/>
    <w:rsid w:val="19087853"/>
    <w:rsid w:val="19266717"/>
    <w:rsid w:val="19434886"/>
    <w:rsid w:val="197D0652"/>
    <w:rsid w:val="19832B82"/>
    <w:rsid w:val="19AF7CF2"/>
    <w:rsid w:val="19B647EA"/>
    <w:rsid w:val="19B9358E"/>
    <w:rsid w:val="19BA6D52"/>
    <w:rsid w:val="19C13C73"/>
    <w:rsid w:val="19CF1639"/>
    <w:rsid w:val="19DE4FEA"/>
    <w:rsid w:val="19F20C83"/>
    <w:rsid w:val="19F25E74"/>
    <w:rsid w:val="19F85E68"/>
    <w:rsid w:val="1A2F3712"/>
    <w:rsid w:val="1A4D2F65"/>
    <w:rsid w:val="1A4E76E6"/>
    <w:rsid w:val="1A6668E0"/>
    <w:rsid w:val="1AA838F5"/>
    <w:rsid w:val="1AB1139A"/>
    <w:rsid w:val="1AB43B35"/>
    <w:rsid w:val="1ABD7794"/>
    <w:rsid w:val="1ACC28B3"/>
    <w:rsid w:val="1ADE7FA8"/>
    <w:rsid w:val="1AF61E77"/>
    <w:rsid w:val="1B0A78AC"/>
    <w:rsid w:val="1B0E4DEA"/>
    <w:rsid w:val="1B1C09AD"/>
    <w:rsid w:val="1B4C3A0A"/>
    <w:rsid w:val="1B6D4326"/>
    <w:rsid w:val="1B82347A"/>
    <w:rsid w:val="1B8562EB"/>
    <w:rsid w:val="1B8C3A12"/>
    <w:rsid w:val="1B9976DA"/>
    <w:rsid w:val="1BA9706E"/>
    <w:rsid w:val="1BAE58E7"/>
    <w:rsid w:val="1BB050E4"/>
    <w:rsid w:val="1BB94200"/>
    <w:rsid w:val="1BC41081"/>
    <w:rsid w:val="1BD63CF2"/>
    <w:rsid w:val="1BDA60BE"/>
    <w:rsid w:val="1BE167C8"/>
    <w:rsid w:val="1BED7472"/>
    <w:rsid w:val="1BF542A9"/>
    <w:rsid w:val="1BF74CE3"/>
    <w:rsid w:val="1C0F1C00"/>
    <w:rsid w:val="1C385A92"/>
    <w:rsid w:val="1C3C4BC3"/>
    <w:rsid w:val="1C444B9D"/>
    <w:rsid w:val="1C4E5E66"/>
    <w:rsid w:val="1C851907"/>
    <w:rsid w:val="1C8A5CD4"/>
    <w:rsid w:val="1CB96328"/>
    <w:rsid w:val="1CDD10FA"/>
    <w:rsid w:val="1CE05356"/>
    <w:rsid w:val="1CF74B81"/>
    <w:rsid w:val="1D3D0F92"/>
    <w:rsid w:val="1D4F1796"/>
    <w:rsid w:val="1D724A5D"/>
    <w:rsid w:val="1DAE1BE5"/>
    <w:rsid w:val="1DD20B00"/>
    <w:rsid w:val="1DF044EC"/>
    <w:rsid w:val="1DF52828"/>
    <w:rsid w:val="1DF9039C"/>
    <w:rsid w:val="1E225A01"/>
    <w:rsid w:val="1E352B9D"/>
    <w:rsid w:val="1E53150D"/>
    <w:rsid w:val="1E9936C4"/>
    <w:rsid w:val="1EC70B16"/>
    <w:rsid w:val="1EC7247F"/>
    <w:rsid w:val="1ECA64AD"/>
    <w:rsid w:val="1ED0505D"/>
    <w:rsid w:val="1EEE064E"/>
    <w:rsid w:val="1EF515AE"/>
    <w:rsid w:val="1F035F39"/>
    <w:rsid w:val="1F08408D"/>
    <w:rsid w:val="1F116AD8"/>
    <w:rsid w:val="1F133FB8"/>
    <w:rsid w:val="1F154C1C"/>
    <w:rsid w:val="1F2272C7"/>
    <w:rsid w:val="1F340E9C"/>
    <w:rsid w:val="1F505806"/>
    <w:rsid w:val="1F52416E"/>
    <w:rsid w:val="1F614953"/>
    <w:rsid w:val="1F9B7B4B"/>
    <w:rsid w:val="1FA15C3C"/>
    <w:rsid w:val="1FB538BB"/>
    <w:rsid w:val="1FC81083"/>
    <w:rsid w:val="1FCF24A2"/>
    <w:rsid w:val="1FE2005D"/>
    <w:rsid w:val="20006353"/>
    <w:rsid w:val="20152D20"/>
    <w:rsid w:val="20402AFC"/>
    <w:rsid w:val="20A55195"/>
    <w:rsid w:val="20DA3A95"/>
    <w:rsid w:val="20DA6706"/>
    <w:rsid w:val="20F776E9"/>
    <w:rsid w:val="2136023E"/>
    <w:rsid w:val="21416C70"/>
    <w:rsid w:val="21551BAE"/>
    <w:rsid w:val="21674367"/>
    <w:rsid w:val="21846C37"/>
    <w:rsid w:val="218C4E05"/>
    <w:rsid w:val="21937D53"/>
    <w:rsid w:val="21D158AB"/>
    <w:rsid w:val="21E31CD2"/>
    <w:rsid w:val="21FA4A24"/>
    <w:rsid w:val="2233055C"/>
    <w:rsid w:val="223455AF"/>
    <w:rsid w:val="223C2DD3"/>
    <w:rsid w:val="224421C1"/>
    <w:rsid w:val="22471A45"/>
    <w:rsid w:val="22526669"/>
    <w:rsid w:val="226602CB"/>
    <w:rsid w:val="22747C1E"/>
    <w:rsid w:val="22805135"/>
    <w:rsid w:val="22CC0723"/>
    <w:rsid w:val="22E52551"/>
    <w:rsid w:val="22EA0674"/>
    <w:rsid w:val="22F01ECF"/>
    <w:rsid w:val="23007E87"/>
    <w:rsid w:val="232900A3"/>
    <w:rsid w:val="232A0350"/>
    <w:rsid w:val="23713439"/>
    <w:rsid w:val="23747862"/>
    <w:rsid w:val="238E7BAC"/>
    <w:rsid w:val="23945FF0"/>
    <w:rsid w:val="23AD4EAC"/>
    <w:rsid w:val="23ED7618"/>
    <w:rsid w:val="23FA3329"/>
    <w:rsid w:val="24046D21"/>
    <w:rsid w:val="24122526"/>
    <w:rsid w:val="241E52FD"/>
    <w:rsid w:val="24212A0B"/>
    <w:rsid w:val="242F5168"/>
    <w:rsid w:val="24347417"/>
    <w:rsid w:val="2437364A"/>
    <w:rsid w:val="24711720"/>
    <w:rsid w:val="24B65926"/>
    <w:rsid w:val="24B82C59"/>
    <w:rsid w:val="24C45C4B"/>
    <w:rsid w:val="24CC73FA"/>
    <w:rsid w:val="24E153CB"/>
    <w:rsid w:val="24F17464"/>
    <w:rsid w:val="24FB540E"/>
    <w:rsid w:val="25274A50"/>
    <w:rsid w:val="25302032"/>
    <w:rsid w:val="253C403D"/>
    <w:rsid w:val="254D51A3"/>
    <w:rsid w:val="255701AE"/>
    <w:rsid w:val="257200B9"/>
    <w:rsid w:val="257D2F05"/>
    <w:rsid w:val="25830512"/>
    <w:rsid w:val="25C857D9"/>
    <w:rsid w:val="25D14843"/>
    <w:rsid w:val="25D86973"/>
    <w:rsid w:val="25EB62D2"/>
    <w:rsid w:val="25FA2612"/>
    <w:rsid w:val="25FB2703"/>
    <w:rsid w:val="2600660D"/>
    <w:rsid w:val="260A71E3"/>
    <w:rsid w:val="260E21C7"/>
    <w:rsid w:val="26194770"/>
    <w:rsid w:val="26217202"/>
    <w:rsid w:val="26364A58"/>
    <w:rsid w:val="264F6AAE"/>
    <w:rsid w:val="26545BD6"/>
    <w:rsid w:val="265D28D8"/>
    <w:rsid w:val="2663625F"/>
    <w:rsid w:val="26990C2D"/>
    <w:rsid w:val="26C54E7E"/>
    <w:rsid w:val="26C70FB4"/>
    <w:rsid w:val="26DF0405"/>
    <w:rsid w:val="270E5A08"/>
    <w:rsid w:val="271C6F49"/>
    <w:rsid w:val="271E30E4"/>
    <w:rsid w:val="27304430"/>
    <w:rsid w:val="2738155B"/>
    <w:rsid w:val="276E654B"/>
    <w:rsid w:val="278C5F87"/>
    <w:rsid w:val="27960086"/>
    <w:rsid w:val="27AE2A8A"/>
    <w:rsid w:val="27C63141"/>
    <w:rsid w:val="27CA027E"/>
    <w:rsid w:val="281D1B51"/>
    <w:rsid w:val="285C2D19"/>
    <w:rsid w:val="28625C3C"/>
    <w:rsid w:val="28F67632"/>
    <w:rsid w:val="2916587E"/>
    <w:rsid w:val="29280EAE"/>
    <w:rsid w:val="29295A65"/>
    <w:rsid w:val="2931029D"/>
    <w:rsid w:val="29573AE3"/>
    <w:rsid w:val="295B1275"/>
    <w:rsid w:val="297F66B8"/>
    <w:rsid w:val="299372AB"/>
    <w:rsid w:val="299F77CD"/>
    <w:rsid w:val="29A37CDB"/>
    <w:rsid w:val="29C4113D"/>
    <w:rsid w:val="29E96B87"/>
    <w:rsid w:val="29FB6CEE"/>
    <w:rsid w:val="2A0A3473"/>
    <w:rsid w:val="2A1F1065"/>
    <w:rsid w:val="2A3C316C"/>
    <w:rsid w:val="2A4245D4"/>
    <w:rsid w:val="2A663391"/>
    <w:rsid w:val="2A685F57"/>
    <w:rsid w:val="2A7251A5"/>
    <w:rsid w:val="2A9A778F"/>
    <w:rsid w:val="2AC4304A"/>
    <w:rsid w:val="2AD3251B"/>
    <w:rsid w:val="2AE9450A"/>
    <w:rsid w:val="2B0B3379"/>
    <w:rsid w:val="2B201DDF"/>
    <w:rsid w:val="2B230D73"/>
    <w:rsid w:val="2B31241A"/>
    <w:rsid w:val="2B341DAF"/>
    <w:rsid w:val="2B635F3D"/>
    <w:rsid w:val="2B6478B9"/>
    <w:rsid w:val="2B8305DB"/>
    <w:rsid w:val="2BAE54A8"/>
    <w:rsid w:val="2BBD0EC4"/>
    <w:rsid w:val="2BD54CA2"/>
    <w:rsid w:val="2BE37608"/>
    <w:rsid w:val="2C4E7372"/>
    <w:rsid w:val="2C72517A"/>
    <w:rsid w:val="2C7629A1"/>
    <w:rsid w:val="2CCC26F2"/>
    <w:rsid w:val="2CDE39EF"/>
    <w:rsid w:val="2D4152C9"/>
    <w:rsid w:val="2D465C89"/>
    <w:rsid w:val="2D5849A7"/>
    <w:rsid w:val="2D5904A3"/>
    <w:rsid w:val="2D84798C"/>
    <w:rsid w:val="2D882823"/>
    <w:rsid w:val="2D8B6ADA"/>
    <w:rsid w:val="2D924373"/>
    <w:rsid w:val="2D95229F"/>
    <w:rsid w:val="2DB1335A"/>
    <w:rsid w:val="2DB554B4"/>
    <w:rsid w:val="2E026666"/>
    <w:rsid w:val="2E13081D"/>
    <w:rsid w:val="2E1E47EE"/>
    <w:rsid w:val="2E2609D0"/>
    <w:rsid w:val="2E275A3F"/>
    <w:rsid w:val="2E464A70"/>
    <w:rsid w:val="2E4A4A43"/>
    <w:rsid w:val="2E4B2D30"/>
    <w:rsid w:val="2E56250D"/>
    <w:rsid w:val="2E6757F7"/>
    <w:rsid w:val="2E720575"/>
    <w:rsid w:val="2E9346FB"/>
    <w:rsid w:val="2E934814"/>
    <w:rsid w:val="2EBB0A13"/>
    <w:rsid w:val="2EBC5C6A"/>
    <w:rsid w:val="2ED86F88"/>
    <w:rsid w:val="2EF338EB"/>
    <w:rsid w:val="2EF45178"/>
    <w:rsid w:val="2EF912E1"/>
    <w:rsid w:val="2EFC7C2D"/>
    <w:rsid w:val="2F355017"/>
    <w:rsid w:val="2F4E6D50"/>
    <w:rsid w:val="2FA20DE1"/>
    <w:rsid w:val="2FB24312"/>
    <w:rsid w:val="30114440"/>
    <w:rsid w:val="304E5D8C"/>
    <w:rsid w:val="306E54B5"/>
    <w:rsid w:val="307E759B"/>
    <w:rsid w:val="30C13C15"/>
    <w:rsid w:val="30FF58D5"/>
    <w:rsid w:val="31452742"/>
    <w:rsid w:val="314721D2"/>
    <w:rsid w:val="31570366"/>
    <w:rsid w:val="31915285"/>
    <w:rsid w:val="31EC3BED"/>
    <w:rsid w:val="32164695"/>
    <w:rsid w:val="32481280"/>
    <w:rsid w:val="32502BE0"/>
    <w:rsid w:val="32896FDE"/>
    <w:rsid w:val="328E5E5C"/>
    <w:rsid w:val="32970FFE"/>
    <w:rsid w:val="329C3065"/>
    <w:rsid w:val="329F6B99"/>
    <w:rsid w:val="32D31873"/>
    <w:rsid w:val="33307C15"/>
    <w:rsid w:val="33365F9E"/>
    <w:rsid w:val="339A111B"/>
    <w:rsid w:val="33BA190E"/>
    <w:rsid w:val="33D51D97"/>
    <w:rsid w:val="33DC78EE"/>
    <w:rsid w:val="33E9463E"/>
    <w:rsid w:val="34333907"/>
    <w:rsid w:val="34401C96"/>
    <w:rsid w:val="346206A2"/>
    <w:rsid w:val="346534EC"/>
    <w:rsid w:val="34724E0D"/>
    <w:rsid w:val="34782830"/>
    <w:rsid w:val="3493237C"/>
    <w:rsid w:val="34946BFE"/>
    <w:rsid w:val="34992A5B"/>
    <w:rsid w:val="349E4C1D"/>
    <w:rsid w:val="34A55F9D"/>
    <w:rsid w:val="34BB4C74"/>
    <w:rsid w:val="34C24ADA"/>
    <w:rsid w:val="34C5219B"/>
    <w:rsid w:val="34E03BC9"/>
    <w:rsid w:val="34F77AA4"/>
    <w:rsid w:val="351B53EC"/>
    <w:rsid w:val="35222AF2"/>
    <w:rsid w:val="352D2FC0"/>
    <w:rsid w:val="355B432E"/>
    <w:rsid w:val="35660106"/>
    <w:rsid w:val="356C09D5"/>
    <w:rsid w:val="357342F3"/>
    <w:rsid w:val="357D64C1"/>
    <w:rsid w:val="35811EF1"/>
    <w:rsid w:val="35916473"/>
    <w:rsid w:val="35997804"/>
    <w:rsid w:val="35AD641E"/>
    <w:rsid w:val="35B604A5"/>
    <w:rsid w:val="35C511F4"/>
    <w:rsid w:val="35D769AF"/>
    <w:rsid w:val="35E20E01"/>
    <w:rsid w:val="35ED2EFB"/>
    <w:rsid w:val="36025456"/>
    <w:rsid w:val="36032EB2"/>
    <w:rsid w:val="362807CD"/>
    <w:rsid w:val="36540F69"/>
    <w:rsid w:val="367263F3"/>
    <w:rsid w:val="36747130"/>
    <w:rsid w:val="369015F9"/>
    <w:rsid w:val="36916055"/>
    <w:rsid w:val="36AA3F4B"/>
    <w:rsid w:val="36B244E1"/>
    <w:rsid w:val="36CB0175"/>
    <w:rsid w:val="36F24ADC"/>
    <w:rsid w:val="36F67F09"/>
    <w:rsid w:val="36FF18F5"/>
    <w:rsid w:val="3727151E"/>
    <w:rsid w:val="372A32B5"/>
    <w:rsid w:val="374B5F28"/>
    <w:rsid w:val="375F0316"/>
    <w:rsid w:val="37AA0D30"/>
    <w:rsid w:val="37CB4B8B"/>
    <w:rsid w:val="37D80AB5"/>
    <w:rsid w:val="37F31893"/>
    <w:rsid w:val="37F66500"/>
    <w:rsid w:val="380A23CA"/>
    <w:rsid w:val="3810031D"/>
    <w:rsid w:val="38322D28"/>
    <w:rsid w:val="3862312E"/>
    <w:rsid w:val="387F4239"/>
    <w:rsid w:val="38C946ED"/>
    <w:rsid w:val="38CF05E4"/>
    <w:rsid w:val="38D93775"/>
    <w:rsid w:val="38DA67AF"/>
    <w:rsid w:val="38DD5F3F"/>
    <w:rsid w:val="38E76310"/>
    <w:rsid w:val="38F06318"/>
    <w:rsid w:val="390112ED"/>
    <w:rsid w:val="390977A4"/>
    <w:rsid w:val="39284F6F"/>
    <w:rsid w:val="39342D58"/>
    <w:rsid w:val="39363A4A"/>
    <w:rsid w:val="3971011A"/>
    <w:rsid w:val="39986FEB"/>
    <w:rsid w:val="39B96DF3"/>
    <w:rsid w:val="39D440AF"/>
    <w:rsid w:val="39D738BB"/>
    <w:rsid w:val="39DC5EA8"/>
    <w:rsid w:val="39F21BA3"/>
    <w:rsid w:val="3A094D2C"/>
    <w:rsid w:val="3A206067"/>
    <w:rsid w:val="3A2339A9"/>
    <w:rsid w:val="3A2536FF"/>
    <w:rsid w:val="3A2B1896"/>
    <w:rsid w:val="3A337A1F"/>
    <w:rsid w:val="3A350EE0"/>
    <w:rsid w:val="3A3B6310"/>
    <w:rsid w:val="3A693D94"/>
    <w:rsid w:val="3A801ADD"/>
    <w:rsid w:val="3A8E03E6"/>
    <w:rsid w:val="3AA82E8F"/>
    <w:rsid w:val="3AA96E43"/>
    <w:rsid w:val="3AB575F9"/>
    <w:rsid w:val="3AE3774C"/>
    <w:rsid w:val="3AFF4123"/>
    <w:rsid w:val="3B091C54"/>
    <w:rsid w:val="3B1101CE"/>
    <w:rsid w:val="3B3116FA"/>
    <w:rsid w:val="3B3555DD"/>
    <w:rsid w:val="3B8A40D3"/>
    <w:rsid w:val="3B98207B"/>
    <w:rsid w:val="3BAA1EF0"/>
    <w:rsid w:val="3BDB5452"/>
    <w:rsid w:val="3BE27CF8"/>
    <w:rsid w:val="3BEE2A58"/>
    <w:rsid w:val="3BFB1BDC"/>
    <w:rsid w:val="3C121E04"/>
    <w:rsid w:val="3C57086B"/>
    <w:rsid w:val="3C952943"/>
    <w:rsid w:val="3CAD73B7"/>
    <w:rsid w:val="3CC732A6"/>
    <w:rsid w:val="3CCD56B7"/>
    <w:rsid w:val="3D1468AE"/>
    <w:rsid w:val="3D2340B3"/>
    <w:rsid w:val="3D3E2986"/>
    <w:rsid w:val="3D4C1834"/>
    <w:rsid w:val="3D94743F"/>
    <w:rsid w:val="3D9B19A8"/>
    <w:rsid w:val="3DA754FF"/>
    <w:rsid w:val="3DAB3BCB"/>
    <w:rsid w:val="3DBB7F03"/>
    <w:rsid w:val="3DBE6C1D"/>
    <w:rsid w:val="3DC61767"/>
    <w:rsid w:val="3DF96C09"/>
    <w:rsid w:val="3E0E40E5"/>
    <w:rsid w:val="3E15733F"/>
    <w:rsid w:val="3E38552F"/>
    <w:rsid w:val="3E43495C"/>
    <w:rsid w:val="3E4C53B2"/>
    <w:rsid w:val="3E661926"/>
    <w:rsid w:val="3E726FBD"/>
    <w:rsid w:val="3E8824E2"/>
    <w:rsid w:val="3E964961"/>
    <w:rsid w:val="3E991E93"/>
    <w:rsid w:val="3ED56468"/>
    <w:rsid w:val="3EE430CF"/>
    <w:rsid w:val="3EF617A5"/>
    <w:rsid w:val="3F0A4D5B"/>
    <w:rsid w:val="3F112B44"/>
    <w:rsid w:val="3F3B26F7"/>
    <w:rsid w:val="3F3D49BB"/>
    <w:rsid w:val="3F967F45"/>
    <w:rsid w:val="3F98653F"/>
    <w:rsid w:val="3F9917E1"/>
    <w:rsid w:val="3FB046F3"/>
    <w:rsid w:val="3FBF21B6"/>
    <w:rsid w:val="3FD93D5C"/>
    <w:rsid w:val="3FE61BBA"/>
    <w:rsid w:val="3FF75544"/>
    <w:rsid w:val="401269FD"/>
    <w:rsid w:val="40164863"/>
    <w:rsid w:val="401C07AB"/>
    <w:rsid w:val="405E4B2E"/>
    <w:rsid w:val="405E79D0"/>
    <w:rsid w:val="405F3F3F"/>
    <w:rsid w:val="40731219"/>
    <w:rsid w:val="40913A7C"/>
    <w:rsid w:val="409E76D8"/>
    <w:rsid w:val="409F1B81"/>
    <w:rsid w:val="40C26841"/>
    <w:rsid w:val="40EF3288"/>
    <w:rsid w:val="40EF4CA3"/>
    <w:rsid w:val="411F6722"/>
    <w:rsid w:val="4133382C"/>
    <w:rsid w:val="41472F93"/>
    <w:rsid w:val="415F0BA0"/>
    <w:rsid w:val="41F8695E"/>
    <w:rsid w:val="41F94974"/>
    <w:rsid w:val="41FA72C2"/>
    <w:rsid w:val="420E62D8"/>
    <w:rsid w:val="421A76FA"/>
    <w:rsid w:val="423C44E6"/>
    <w:rsid w:val="42442F10"/>
    <w:rsid w:val="42695622"/>
    <w:rsid w:val="426C1062"/>
    <w:rsid w:val="427E6DC6"/>
    <w:rsid w:val="429D27CF"/>
    <w:rsid w:val="429E1053"/>
    <w:rsid w:val="42D63019"/>
    <w:rsid w:val="42EA106F"/>
    <w:rsid w:val="42FB7282"/>
    <w:rsid w:val="43297903"/>
    <w:rsid w:val="432A200E"/>
    <w:rsid w:val="4334545E"/>
    <w:rsid w:val="43467C06"/>
    <w:rsid w:val="434C6880"/>
    <w:rsid w:val="4373646E"/>
    <w:rsid w:val="4382701E"/>
    <w:rsid w:val="43A21485"/>
    <w:rsid w:val="43DE7CC7"/>
    <w:rsid w:val="43EF6CF2"/>
    <w:rsid w:val="44060F46"/>
    <w:rsid w:val="441B0C34"/>
    <w:rsid w:val="44242CF5"/>
    <w:rsid w:val="443D35A0"/>
    <w:rsid w:val="44595385"/>
    <w:rsid w:val="44626E13"/>
    <w:rsid w:val="446E2969"/>
    <w:rsid w:val="44AD6ED3"/>
    <w:rsid w:val="44E85B37"/>
    <w:rsid w:val="44EE4DF6"/>
    <w:rsid w:val="45101F31"/>
    <w:rsid w:val="4554388F"/>
    <w:rsid w:val="456E4871"/>
    <w:rsid w:val="45753121"/>
    <w:rsid w:val="45816209"/>
    <w:rsid w:val="45A16264"/>
    <w:rsid w:val="45A16321"/>
    <w:rsid w:val="45BB639E"/>
    <w:rsid w:val="45C10CC0"/>
    <w:rsid w:val="45C52BA1"/>
    <w:rsid w:val="45CB14F1"/>
    <w:rsid w:val="45D26A27"/>
    <w:rsid w:val="45E24E51"/>
    <w:rsid w:val="45EA3193"/>
    <w:rsid w:val="462A2ADC"/>
    <w:rsid w:val="46381D5C"/>
    <w:rsid w:val="46617C3E"/>
    <w:rsid w:val="46812F96"/>
    <w:rsid w:val="46887932"/>
    <w:rsid w:val="469A0759"/>
    <w:rsid w:val="46A02E2D"/>
    <w:rsid w:val="46A31B6F"/>
    <w:rsid w:val="46BD63E7"/>
    <w:rsid w:val="46C23632"/>
    <w:rsid w:val="46C30E5C"/>
    <w:rsid w:val="46D44484"/>
    <w:rsid w:val="46E64797"/>
    <w:rsid w:val="46F46550"/>
    <w:rsid w:val="472C444B"/>
    <w:rsid w:val="475F7C65"/>
    <w:rsid w:val="47670F06"/>
    <w:rsid w:val="477D44DF"/>
    <w:rsid w:val="479E323A"/>
    <w:rsid w:val="479F2A2F"/>
    <w:rsid w:val="47AC379F"/>
    <w:rsid w:val="47B307A3"/>
    <w:rsid w:val="47B309CD"/>
    <w:rsid w:val="47BC2503"/>
    <w:rsid w:val="47C15F93"/>
    <w:rsid w:val="47C3517D"/>
    <w:rsid w:val="47C42561"/>
    <w:rsid w:val="48051EF7"/>
    <w:rsid w:val="480569E3"/>
    <w:rsid w:val="48221D78"/>
    <w:rsid w:val="482F1D14"/>
    <w:rsid w:val="485B27A2"/>
    <w:rsid w:val="485E48D1"/>
    <w:rsid w:val="48687A89"/>
    <w:rsid w:val="486C27AF"/>
    <w:rsid w:val="488112BC"/>
    <w:rsid w:val="48833E77"/>
    <w:rsid w:val="488E183E"/>
    <w:rsid w:val="48C03BB5"/>
    <w:rsid w:val="48DD5661"/>
    <w:rsid w:val="48E225ED"/>
    <w:rsid w:val="48F02766"/>
    <w:rsid w:val="491920E6"/>
    <w:rsid w:val="4952623C"/>
    <w:rsid w:val="495E0FE6"/>
    <w:rsid w:val="49605783"/>
    <w:rsid w:val="497C4D1C"/>
    <w:rsid w:val="49907129"/>
    <w:rsid w:val="49C819C4"/>
    <w:rsid w:val="49CE75CB"/>
    <w:rsid w:val="4A175819"/>
    <w:rsid w:val="4A5144FD"/>
    <w:rsid w:val="4A541597"/>
    <w:rsid w:val="4A5D51DF"/>
    <w:rsid w:val="4A7B5B71"/>
    <w:rsid w:val="4A982F91"/>
    <w:rsid w:val="4A9A5AC5"/>
    <w:rsid w:val="4AB1386F"/>
    <w:rsid w:val="4AB4014A"/>
    <w:rsid w:val="4AE54DEC"/>
    <w:rsid w:val="4AF37267"/>
    <w:rsid w:val="4AF6676E"/>
    <w:rsid w:val="4B0538BB"/>
    <w:rsid w:val="4B165E25"/>
    <w:rsid w:val="4B5069EE"/>
    <w:rsid w:val="4B8B3183"/>
    <w:rsid w:val="4B961233"/>
    <w:rsid w:val="4BA80940"/>
    <w:rsid w:val="4BB328B3"/>
    <w:rsid w:val="4BC13AFD"/>
    <w:rsid w:val="4BC42687"/>
    <w:rsid w:val="4BE023EF"/>
    <w:rsid w:val="4C017704"/>
    <w:rsid w:val="4C077967"/>
    <w:rsid w:val="4C1827F1"/>
    <w:rsid w:val="4C1A2391"/>
    <w:rsid w:val="4C26098A"/>
    <w:rsid w:val="4C2D7B92"/>
    <w:rsid w:val="4C361C31"/>
    <w:rsid w:val="4C3B7925"/>
    <w:rsid w:val="4C3D490B"/>
    <w:rsid w:val="4C3F1899"/>
    <w:rsid w:val="4C5D0DE7"/>
    <w:rsid w:val="4C654F49"/>
    <w:rsid w:val="4C973E49"/>
    <w:rsid w:val="4CE213C2"/>
    <w:rsid w:val="4D063EAC"/>
    <w:rsid w:val="4D291389"/>
    <w:rsid w:val="4D40489C"/>
    <w:rsid w:val="4D904458"/>
    <w:rsid w:val="4D9B019C"/>
    <w:rsid w:val="4DA16828"/>
    <w:rsid w:val="4DB13E18"/>
    <w:rsid w:val="4DED2A4D"/>
    <w:rsid w:val="4DEF7321"/>
    <w:rsid w:val="4E0478EA"/>
    <w:rsid w:val="4E1D5AAE"/>
    <w:rsid w:val="4E4205CB"/>
    <w:rsid w:val="4E477BBE"/>
    <w:rsid w:val="4E6229C3"/>
    <w:rsid w:val="4E6E3C17"/>
    <w:rsid w:val="4E6E68D0"/>
    <w:rsid w:val="4EBE1E05"/>
    <w:rsid w:val="4EC34C2E"/>
    <w:rsid w:val="4ECF4AC0"/>
    <w:rsid w:val="4F141557"/>
    <w:rsid w:val="4F937C88"/>
    <w:rsid w:val="4F981D0C"/>
    <w:rsid w:val="4FD9460E"/>
    <w:rsid w:val="4FEE716A"/>
    <w:rsid w:val="502C63B4"/>
    <w:rsid w:val="502F74B2"/>
    <w:rsid w:val="50623B3C"/>
    <w:rsid w:val="50683318"/>
    <w:rsid w:val="506A72CD"/>
    <w:rsid w:val="506B0E9D"/>
    <w:rsid w:val="50847CC8"/>
    <w:rsid w:val="50C4189F"/>
    <w:rsid w:val="5114486E"/>
    <w:rsid w:val="51393A01"/>
    <w:rsid w:val="51467744"/>
    <w:rsid w:val="514C27C1"/>
    <w:rsid w:val="51C300C5"/>
    <w:rsid w:val="51E11030"/>
    <w:rsid w:val="5218397D"/>
    <w:rsid w:val="521A190E"/>
    <w:rsid w:val="52374505"/>
    <w:rsid w:val="523C6D3E"/>
    <w:rsid w:val="524144FF"/>
    <w:rsid w:val="524B0597"/>
    <w:rsid w:val="524F4DCF"/>
    <w:rsid w:val="5280167A"/>
    <w:rsid w:val="52827C50"/>
    <w:rsid w:val="52A12ECA"/>
    <w:rsid w:val="52AB6E4B"/>
    <w:rsid w:val="52C32140"/>
    <w:rsid w:val="52C43DDA"/>
    <w:rsid w:val="52D90ED0"/>
    <w:rsid w:val="52E31D12"/>
    <w:rsid w:val="52EC032F"/>
    <w:rsid w:val="52FA60EF"/>
    <w:rsid w:val="530379C4"/>
    <w:rsid w:val="530B40E9"/>
    <w:rsid w:val="53766494"/>
    <w:rsid w:val="539A2E6B"/>
    <w:rsid w:val="53A10131"/>
    <w:rsid w:val="53BD589F"/>
    <w:rsid w:val="53E334B6"/>
    <w:rsid w:val="53F777B9"/>
    <w:rsid w:val="54066C14"/>
    <w:rsid w:val="540A0EC2"/>
    <w:rsid w:val="54362F3B"/>
    <w:rsid w:val="543D38E0"/>
    <w:rsid w:val="54464EED"/>
    <w:rsid w:val="544A00D8"/>
    <w:rsid w:val="545C1BB9"/>
    <w:rsid w:val="54791AA9"/>
    <w:rsid w:val="547E6DE5"/>
    <w:rsid w:val="54840AB3"/>
    <w:rsid w:val="54A067E1"/>
    <w:rsid w:val="54B6124F"/>
    <w:rsid w:val="54D0781A"/>
    <w:rsid w:val="54E0104F"/>
    <w:rsid w:val="54ED53F8"/>
    <w:rsid w:val="551E1B5E"/>
    <w:rsid w:val="554D645F"/>
    <w:rsid w:val="55583D73"/>
    <w:rsid w:val="5583495C"/>
    <w:rsid w:val="55846EBF"/>
    <w:rsid w:val="55851631"/>
    <w:rsid w:val="558756C0"/>
    <w:rsid w:val="55890D22"/>
    <w:rsid w:val="558B0412"/>
    <w:rsid w:val="55A143F1"/>
    <w:rsid w:val="55AA29E0"/>
    <w:rsid w:val="55CB4099"/>
    <w:rsid w:val="55E147BA"/>
    <w:rsid w:val="56211D23"/>
    <w:rsid w:val="56406016"/>
    <w:rsid w:val="564D662B"/>
    <w:rsid w:val="56670727"/>
    <w:rsid w:val="56681F0D"/>
    <w:rsid w:val="5680429F"/>
    <w:rsid w:val="56A2530E"/>
    <w:rsid w:val="56A428E7"/>
    <w:rsid w:val="56C91435"/>
    <w:rsid w:val="56D57E27"/>
    <w:rsid w:val="56F333B8"/>
    <w:rsid w:val="570472B9"/>
    <w:rsid w:val="570A016C"/>
    <w:rsid w:val="570C7BC6"/>
    <w:rsid w:val="572D0FA8"/>
    <w:rsid w:val="577B1538"/>
    <w:rsid w:val="57826706"/>
    <w:rsid w:val="57941E70"/>
    <w:rsid w:val="57A31BED"/>
    <w:rsid w:val="57B73F73"/>
    <w:rsid w:val="57E30611"/>
    <w:rsid w:val="5850282F"/>
    <w:rsid w:val="58551CD9"/>
    <w:rsid w:val="58573DB0"/>
    <w:rsid w:val="58580F4F"/>
    <w:rsid w:val="5897662B"/>
    <w:rsid w:val="58B51BB3"/>
    <w:rsid w:val="58C565D8"/>
    <w:rsid w:val="58CE224A"/>
    <w:rsid w:val="58E70B3A"/>
    <w:rsid w:val="58F145C1"/>
    <w:rsid w:val="591B379D"/>
    <w:rsid w:val="59740CA6"/>
    <w:rsid w:val="597F3C18"/>
    <w:rsid w:val="59B67930"/>
    <w:rsid w:val="59D04DDE"/>
    <w:rsid w:val="59EC4459"/>
    <w:rsid w:val="5A3401F9"/>
    <w:rsid w:val="5A4365E4"/>
    <w:rsid w:val="5A445D00"/>
    <w:rsid w:val="5A4F1F9F"/>
    <w:rsid w:val="5A501454"/>
    <w:rsid w:val="5A535CDD"/>
    <w:rsid w:val="5A695A02"/>
    <w:rsid w:val="5A7F2553"/>
    <w:rsid w:val="5ABA58E4"/>
    <w:rsid w:val="5AC72E07"/>
    <w:rsid w:val="5AC90AA6"/>
    <w:rsid w:val="5AE73E50"/>
    <w:rsid w:val="5AFE541A"/>
    <w:rsid w:val="5B3414E1"/>
    <w:rsid w:val="5B720D2A"/>
    <w:rsid w:val="5B7C58B6"/>
    <w:rsid w:val="5B8A3F97"/>
    <w:rsid w:val="5BB462FA"/>
    <w:rsid w:val="5BB813CE"/>
    <w:rsid w:val="5BB972ED"/>
    <w:rsid w:val="5BC52891"/>
    <w:rsid w:val="5C256605"/>
    <w:rsid w:val="5C372B99"/>
    <w:rsid w:val="5C4D0890"/>
    <w:rsid w:val="5C5442BF"/>
    <w:rsid w:val="5C64615E"/>
    <w:rsid w:val="5C7C25B0"/>
    <w:rsid w:val="5C8D23DA"/>
    <w:rsid w:val="5CBB165C"/>
    <w:rsid w:val="5CC82599"/>
    <w:rsid w:val="5CFE5E6D"/>
    <w:rsid w:val="5D071E8F"/>
    <w:rsid w:val="5D2A5F26"/>
    <w:rsid w:val="5D3C4886"/>
    <w:rsid w:val="5D5B3BAC"/>
    <w:rsid w:val="5D777F13"/>
    <w:rsid w:val="5D796F8C"/>
    <w:rsid w:val="5DAC0917"/>
    <w:rsid w:val="5DBE2490"/>
    <w:rsid w:val="5DBF66BF"/>
    <w:rsid w:val="5DE52AC2"/>
    <w:rsid w:val="5E076509"/>
    <w:rsid w:val="5E111DD8"/>
    <w:rsid w:val="5E205B5E"/>
    <w:rsid w:val="5E23479A"/>
    <w:rsid w:val="5E2862AF"/>
    <w:rsid w:val="5E4156A8"/>
    <w:rsid w:val="5E61171D"/>
    <w:rsid w:val="5E6A6A5D"/>
    <w:rsid w:val="5E741206"/>
    <w:rsid w:val="5E912038"/>
    <w:rsid w:val="5EC81F56"/>
    <w:rsid w:val="5ECD0173"/>
    <w:rsid w:val="5ED96F7D"/>
    <w:rsid w:val="5EE849AE"/>
    <w:rsid w:val="5EFB4786"/>
    <w:rsid w:val="5F100D9E"/>
    <w:rsid w:val="5F197823"/>
    <w:rsid w:val="5F2C29DB"/>
    <w:rsid w:val="5F2C7B97"/>
    <w:rsid w:val="5F3D0F0C"/>
    <w:rsid w:val="5F5C3A06"/>
    <w:rsid w:val="5F621772"/>
    <w:rsid w:val="5F8F662F"/>
    <w:rsid w:val="5FC336E0"/>
    <w:rsid w:val="5FC97E80"/>
    <w:rsid w:val="5FCA7682"/>
    <w:rsid w:val="5FCC6BC8"/>
    <w:rsid w:val="5FF41B2A"/>
    <w:rsid w:val="602B5716"/>
    <w:rsid w:val="604916B7"/>
    <w:rsid w:val="604A61E0"/>
    <w:rsid w:val="60533368"/>
    <w:rsid w:val="60990834"/>
    <w:rsid w:val="60A05DB5"/>
    <w:rsid w:val="60C94FA1"/>
    <w:rsid w:val="60D269FA"/>
    <w:rsid w:val="610028A9"/>
    <w:rsid w:val="610C623C"/>
    <w:rsid w:val="610F0E07"/>
    <w:rsid w:val="61147459"/>
    <w:rsid w:val="612D7505"/>
    <w:rsid w:val="61323E9C"/>
    <w:rsid w:val="615E3140"/>
    <w:rsid w:val="61620853"/>
    <w:rsid w:val="617C09E0"/>
    <w:rsid w:val="617D6DEB"/>
    <w:rsid w:val="617E795A"/>
    <w:rsid w:val="61A57282"/>
    <w:rsid w:val="61B171A4"/>
    <w:rsid w:val="620005CD"/>
    <w:rsid w:val="62005409"/>
    <w:rsid w:val="62212ECB"/>
    <w:rsid w:val="624C1D6A"/>
    <w:rsid w:val="627243E8"/>
    <w:rsid w:val="628B3C65"/>
    <w:rsid w:val="629B18D7"/>
    <w:rsid w:val="62A94E7A"/>
    <w:rsid w:val="62AA47B4"/>
    <w:rsid w:val="62B35DD5"/>
    <w:rsid w:val="62F7675A"/>
    <w:rsid w:val="62FC0BA9"/>
    <w:rsid w:val="630B2670"/>
    <w:rsid w:val="631A638B"/>
    <w:rsid w:val="631C02E9"/>
    <w:rsid w:val="631F0134"/>
    <w:rsid w:val="632A7A6A"/>
    <w:rsid w:val="63302485"/>
    <w:rsid w:val="63B25DD3"/>
    <w:rsid w:val="63B814CF"/>
    <w:rsid w:val="63BF19E2"/>
    <w:rsid w:val="63C1623D"/>
    <w:rsid w:val="63D26423"/>
    <w:rsid w:val="63E474EC"/>
    <w:rsid w:val="64375BDD"/>
    <w:rsid w:val="6438177B"/>
    <w:rsid w:val="643B43E5"/>
    <w:rsid w:val="646625F8"/>
    <w:rsid w:val="648150E8"/>
    <w:rsid w:val="648977FD"/>
    <w:rsid w:val="6496652F"/>
    <w:rsid w:val="64996492"/>
    <w:rsid w:val="64A02A3E"/>
    <w:rsid w:val="64A27FF5"/>
    <w:rsid w:val="64B56FAB"/>
    <w:rsid w:val="64BB1C88"/>
    <w:rsid w:val="65242AC6"/>
    <w:rsid w:val="6526074A"/>
    <w:rsid w:val="6543099A"/>
    <w:rsid w:val="65452EB8"/>
    <w:rsid w:val="65820F02"/>
    <w:rsid w:val="6590505D"/>
    <w:rsid w:val="65A3544F"/>
    <w:rsid w:val="65A82FE4"/>
    <w:rsid w:val="65BB4B37"/>
    <w:rsid w:val="65BC4D50"/>
    <w:rsid w:val="65BE3D0F"/>
    <w:rsid w:val="65D5100F"/>
    <w:rsid w:val="6605699E"/>
    <w:rsid w:val="663B791F"/>
    <w:rsid w:val="66463E57"/>
    <w:rsid w:val="66D12381"/>
    <w:rsid w:val="66ED5CA8"/>
    <w:rsid w:val="66EE2ACD"/>
    <w:rsid w:val="66F86270"/>
    <w:rsid w:val="67046474"/>
    <w:rsid w:val="67224030"/>
    <w:rsid w:val="673B14D5"/>
    <w:rsid w:val="676864A9"/>
    <w:rsid w:val="67784079"/>
    <w:rsid w:val="677F7E5F"/>
    <w:rsid w:val="678577F1"/>
    <w:rsid w:val="67A05B00"/>
    <w:rsid w:val="67AA1E73"/>
    <w:rsid w:val="67E038D8"/>
    <w:rsid w:val="68093B71"/>
    <w:rsid w:val="682E551D"/>
    <w:rsid w:val="687C0017"/>
    <w:rsid w:val="68CB0943"/>
    <w:rsid w:val="68D22AA5"/>
    <w:rsid w:val="68DF10A7"/>
    <w:rsid w:val="68E17599"/>
    <w:rsid w:val="68EC222A"/>
    <w:rsid w:val="68EC3231"/>
    <w:rsid w:val="68F20581"/>
    <w:rsid w:val="69036845"/>
    <w:rsid w:val="6908273C"/>
    <w:rsid w:val="691342F2"/>
    <w:rsid w:val="691B33E9"/>
    <w:rsid w:val="692F2CA2"/>
    <w:rsid w:val="693A18E8"/>
    <w:rsid w:val="694F7BF4"/>
    <w:rsid w:val="696D6BDA"/>
    <w:rsid w:val="69813C27"/>
    <w:rsid w:val="69971E3E"/>
    <w:rsid w:val="69B61A38"/>
    <w:rsid w:val="69D836A3"/>
    <w:rsid w:val="69E202AE"/>
    <w:rsid w:val="69E93C73"/>
    <w:rsid w:val="6A14267B"/>
    <w:rsid w:val="6A157A24"/>
    <w:rsid w:val="6A261531"/>
    <w:rsid w:val="6A394C4F"/>
    <w:rsid w:val="6A540BD0"/>
    <w:rsid w:val="6A6527CF"/>
    <w:rsid w:val="6A705425"/>
    <w:rsid w:val="6A883BCE"/>
    <w:rsid w:val="6A9B4BF2"/>
    <w:rsid w:val="6AA060E9"/>
    <w:rsid w:val="6AB5444C"/>
    <w:rsid w:val="6AB80537"/>
    <w:rsid w:val="6AC21BFD"/>
    <w:rsid w:val="6ACB3360"/>
    <w:rsid w:val="6AD62934"/>
    <w:rsid w:val="6AF96DCC"/>
    <w:rsid w:val="6AFD7B28"/>
    <w:rsid w:val="6B0E47C1"/>
    <w:rsid w:val="6B545BC6"/>
    <w:rsid w:val="6B6C346D"/>
    <w:rsid w:val="6B6D7818"/>
    <w:rsid w:val="6B6E1F6C"/>
    <w:rsid w:val="6B851B40"/>
    <w:rsid w:val="6B865C96"/>
    <w:rsid w:val="6BAC2DC6"/>
    <w:rsid w:val="6BB57771"/>
    <w:rsid w:val="6BDA567D"/>
    <w:rsid w:val="6BE516A9"/>
    <w:rsid w:val="6BEF1BCA"/>
    <w:rsid w:val="6BFA2B20"/>
    <w:rsid w:val="6C0819A5"/>
    <w:rsid w:val="6C201A9D"/>
    <w:rsid w:val="6C223D2D"/>
    <w:rsid w:val="6C4F5E96"/>
    <w:rsid w:val="6C6E149A"/>
    <w:rsid w:val="6C7A4CF6"/>
    <w:rsid w:val="6C817148"/>
    <w:rsid w:val="6C8A73DF"/>
    <w:rsid w:val="6CA57828"/>
    <w:rsid w:val="6CAE4B9D"/>
    <w:rsid w:val="6CDC4A3E"/>
    <w:rsid w:val="6CED392A"/>
    <w:rsid w:val="6CFA2EB6"/>
    <w:rsid w:val="6D122A9D"/>
    <w:rsid w:val="6D2A1EEE"/>
    <w:rsid w:val="6D430D78"/>
    <w:rsid w:val="6D484DC7"/>
    <w:rsid w:val="6D5A3630"/>
    <w:rsid w:val="6D65184A"/>
    <w:rsid w:val="6D727724"/>
    <w:rsid w:val="6D7432CE"/>
    <w:rsid w:val="6D94485C"/>
    <w:rsid w:val="6D972743"/>
    <w:rsid w:val="6DCA0E46"/>
    <w:rsid w:val="6DCB6D93"/>
    <w:rsid w:val="6DCC4EC9"/>
    <w:rsid w:val="6DEE76F9"/>
    <w:rsid w:val="6DF217A3"/>
    <w:rsid w:val="6E01372E"/>
    <w:rsid w:val="6E2A1B0A"/>
    <w:rsid w:val="6E3B6705"/>
    <w:rsid w:val="6E3F5CED"/>
    <w:rsid w:val="6E440488"/>
    <w:rsid w:val="6E680EDE"/>
    <w:rsid w:val="6E9C6DE4"/>
    <w:rsid w:val="6EA319F4"/>
    <w:rsid w:val="6ECD50B4"/>
    <w:rsid w:val="6EDA7AD8"/>
    <w:rsid w:val="6EE759A0"/>
    <w:rsid w:val="6EF51DC8"/>
    <w:rsid w:val="6F181CB6"/>
    <w:rsid w:val="6F265BB8"/>
    <w:rsid w:val="6F51258B"/>
    <w:rsid w:val="6F574919"/>
    <w:rsid w:val="6F9E24D7"/>
    <w:rsid w:val="6FA61FB9"/>
    <w:rsid w:val="6FD54A1D"/>
    <w:rsid w:val="6FE37D6C"/>
    <w:rsid w:val="70026D62"/>
    <w:rsid w:val="70086925"/>
    <w:rsid w:val="701A6763"/>
    <w:rsid w:val="70452217"/>
    <w:rsid w:val="70542910"/>
    <w:rsid w:val="70694486"/>
    <w:rsid w:val="706A1C81"/>
    <w:rsid w:val="706B5913"/>
    <w:rsid w:val="708139E6"/>
    <w:rsid w:val="70A7175B"/>
    <w:rsid w:val="70A94B5F"/>
    <w:rsid w:val="70B95769"/>
    <w:rsid w:val="70CB40BA"/>
    <w:rsid w:val="710D09A5"/>
    <w:rsid w:val="711A11DF"/>
    <w:rsid w:val="711B3AA4"/>
    <w:rsid w:val="715A0486"/>
    <w:rsid w:val="71666557"/>
    <w:rsid w:val="718C1D75"/>
    <w:rsid w:val="71921344"/>
    <w:rsid w:val="71AE1A13"/>
    <w:rsid w:val="71E1584A"/>
    <w:rsid w:val="71EB5458"/>
    <w:rsid w:val="71F569FA"/>
    <w:rsid w:val="722B2677"/>
    <w:rsid w:val="72372540"/>
    <w:rsid w:val="724D0268"/>
    <w:rsid w:val="726C33BA"/>
    <w:rsid w:val="72704BC3"/>
    <w:rsid w:val="72754BF7"/>
    <w:rsid w:val="72863C8D"/>
    <w:rsid w:val="72991533"/>
    <w:rsid w:val="729A3D1D"/>
    <w:rsid w:val="72A72C32"/>
    <w:rsid w:val="72BF1755"/>
    <w:rsid w:val="72DD0D12"/>
    <w:rsid w:val="72F73CCB"/>
    <w:rsid w:val="73016589"/>
    <w:rsid w:val="731238A7"/>
    <w:rsid w:val="73294153"/>
    <w:rsid w:val="733309F1"/>
    <w:rsid w:val="734E2F66"/>
    <w:rsid w:val="73797A17"/>
    <w:rsid w:val="738D1C3F"/>
    <w:rsid w:val="73956937"/>
    <w:rsid w:val="739B6222"/>
    <w:rsid w:val="73BB5D93"/>
    <w:rsid w:val="73E223BE"/>
    <w:rsid w:val="73F87800"/>
    <w:rsid w:val="7422448F"/>
    <w:rsid w:val="742B75D7"/>
    <w:rsid w:val="745659F8"/>
    <w:rsid w:val="74577AC4"/>
    <w:rsid w:val="74737753"/>
    <w:rsid w:val="7476418B"/>
    <w:rsid w:val="74B403DF"/>
    <w:rsid w:val="74E37802"/>
    <w:rsid w:val="74E87EB8"/>
    <w:rsid w:val="74F617E9"/>
    <w:rsid w:val="74FB3CFB"/>
    <w:rsid w:val="7500170B"/>
    <w:rsid w:val="750F0DF9"/>
    <w:rsid w:val="7517036C"/>
    <w:rsid w:val="752E4723"/>
    <w:rsid w:val="754C642B"/>
    <w:rsid w:val="757A0E05"/>
    <w:rsid w:val="75944DE4"/>
    <w:rsid w:val="75AD76A9"/>
    <w:rsid w:val="75E2743C"/>
    <w:rsid w:val="764475E9"/>
    <w:rsid w:val="76541AEC"/>
    <w:rsid w:val="76747B20"/>
    <w:rsid w:val="76AB61C2"/>
    <w:rsid w:val="76C87743"/>
    <w:rsid w:val="76D1554E"/>
    <w:rsid w:val="76F31220"/>
    <w:rsid w:val="770C0616"/>
    <w:rsid w:val="77635EC0"/>
    <w:rsid w:val="777F0934"/>
    <w:rsid w:val="77894882"/>
    <w:rsid w:val="778E46E3"/>
    <w:rsid w:val="77A309CF"/>
    <w:rsid w:val="77AA7803"/>
    <w:rsid w:val="77C63C80"/>
    <w:rsid w:val="77E03C3B"/>
    <w:rsid w:val="77F22D66"/>
    <w:rsid w:val="77F550DF"/>
    <w:rsid w:val="783E7562"/>
    <w:rsid w:val="78446229"/>
    <w:rsid w:val="78507435"/>
    <w:rsid w:val="78895FCC"/>
    <w:rsid w:val="78906A4D"/>
    <w:rsid w:val="789A2C90"/>
    <w:rsid w:val="78B034BF"/>
    <w:rsid w:val="78B10718"/>
    <w:rsid w:val="78C977DD"/>
    <w:rsid w:val="79201071"/>
    <w:rsid w:val="79210D82"/>
    <w:rsid w:val="7925057F"/>
    <w:rsid w:val="7947668F"/>
    <w:rsid w:val="79581057"/>
    <w:rsid w:val="795C46D4"/>
    <w:rsid w:val="79615FB4"/>
    <w:rsid w:val="796A027A"/>
    <w:rsid w:val="79770648"/>
    <w:rsid w:val="799D4583"/>
    <w:rsid w:val="79CD4065"/>
    <w:rsid w:val="79CD6A55"/>
    <w:rsid w:val="79D556BA"/>
    <w:rsid w:val="79E50A3B"/>
    <w:rsid w:val="79F46B0F"/>
    <w:rsid w:val="7A2C6EC4"/>
    <w:rsid w:val="7A2F328D"/>
    <w:rsid w:val="7A3B32FC"/>
    <w:rsid w:val="7A6A6FBD"/>
    <w:rsid w:val="7A7E41A0"/>
    <w:rsid w:val="7A8C7BDA"/>
    <w:rsid w:val="7AA556D5"/>
    <w:rsid w:val="7AA7768D"/>
    <w:rsid w:val="7AB75B3B"/>
    <w:rsid w:val="7B381462"/>
    <w:rsid w:val="7B566DD8"/>
    <w:rsid w:val="7B567622"/>
    <w:rsid w:val="7BA824DD"/>
    <w:rsid w:val="7BB91A5D"/>
    <w:rsid w:val="7BC34038"/>
    <w:rsid w:val="7BD2278A"/>
    <w:rsid w:val="7C08480D"/>
    <w:rsid w:val="7C175103"/>
    <w:rsid w:val="7C2E19FD"/>
    <w:rsid w:val="7C451D9E"/>
    <w:rsid w:val="7C4F5D32"/>
    <w:rsid w:val="7C502CD7"/>
    <w:rsid w:val="7C625655"/>
    <w:rsid w:val="7C673E34"/>
    <w:rsid w:val="7C73245A"/>
    <w:rsid w:val="7C8960B8"/>
    <w:rsid w:val="7CD75274"/>
    <w:rsid w:val="7CE23451"/>
    <w:rsid w:val="7CEB1955"/>
    <w:rsid w:val="7CF231AB"/>
    <w:rsid w:val="7CF364F7"/>
    <w:rsid w:val="7D4F45A7"/>
    <w:rsid w:val="7D67042A"/>
    <w:rsid w:val="7D6B22CE"/>
    <w:rsid w:val="7D6B6A43"/>
    <w:rsid w:val="7D8D351D"/>
    <w:rsid w:val="7DB51EBA"/>
    <w:rsid w:val="7DF20BD1"/>
    <w:rsid w:val="7DF612ED"/>
    <w:rsid w:val="7E0D3A76"/>
    <w:rsid w:val="7E59144B"/>
    <w:rsid w:val="7E5C217D"/>
    <w:rsid w:val="7E677546"/>
    <w:rsid w:val="7E6A2537"/>
    <w:rsid w:val="7E6C1030"/>
    <w:rsid w:val="7EB636B5"/>
    <w:rsid w:val="7EC0346F"/>
    <w:rsid w:val="7EDD1836"/>
    <w:rsid w:val="7EF7561A"/>
    <w:rsid w:val="7EF873B3"/>
    <w:rsid w:val="7F064B90"/>
    <w:rsid w:val="7F373EC3"/>
    <w:rsid w:val="7F5E4DB5"/>
    <w:rsid w:val="7F6963B6"/>
    <w:rsid w:val="7F6A7B18"/>
    <w:rsid w:val="7FBE735C"/>
    <w:rsid w:val="7FD9758F"/>
    <w:rsid w:val="7FED23BF"/>
    <w:rsid w:val="7FF40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qFormat="1"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autoRedefine/>
    <w:qFormat/>
    <w:uiPriority w:val="0"/>
    <w:pPr>
      <w:keepNext/>
      <w:jc w:val="center"/>
      <w:outlineLvl w:val="0"/>
    </w:pPr>
    <w:rPr>
      <w:rFonts w:asciiTheme="majorEastAsia" w:hAnsiTheme="majorEastAsia" w:eastAsiaTheme="majorEastAsia" w:cstheme="majorEastAsia"/>
      <w:b/>
      <w:bCs/>
      <w:sz w:val="32"/>
      <w:szCs w:val="32"/>
    </w:rPr>
  </w:style>
  <w:style w:type="paragraph" w:styleId="3">
    <w:name w:val="heading 2"/>
    <w:basedOn w:val="1"/>
    <w:next w:val="1"/>
    <w:link w:val="64"/>
    <w:autoRedefine/>
    <w:qFormat/>
    <w:uiPriority w:val="0"/>
    <w:pPr>
      <w:keepNext/>
      <w:keepLines/>
      <w:spacing w:line="360" w:lineRule="auto"/>
      <w:outlineLvl w:val="1"/>
    </w:pPr>
    <w:rPr>
      <w:rFonts w:ascii="Arial" w:hAnsi="Arial"/>
      <w:b/>
      <w:bCs/>
      <w:szCs w:val="32"/>
    </w:rPr>
  </w:style>
  <w:style w:type="paragraph" w:styleId="4">
    <w:name w:val="heading 3"/>
    <w:basedOn w:val="1"/>
    <w:next w:val="1"/>
    <w:link w:val="65"/>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66"/>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7"/>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8"/>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9"/>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0"/>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1"/>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table of authorities"/>
    <w:basedOn w:val="1"/>
    <w:next w:val="1"/>
    <w:autoRedefine/>
    <w:unhideWhenUsed/>
    <w:qFormat/>
    <w:uiPriority w:val="99"/>
    <w:pPr>
      <w:ind w:left="420" w:leftChars="200"/>
    </w:pPr>
  </w:style>
  <w:style w:type="paragraph" w:styleId="13">
    <w:name w:val="Normal Indent"/>
    <w:basedOn w:val="1"/>
    <w:next w:val="1"/>
    <w:autoRedefine/>
    <w:qFormat/>
    <w:uiPriority w:val="0"/>
    <w:pPr>
      <w:widowControl/>
      <w:ind w:firstLine="420"/>
      <w:jc w:val="left"/>
    </w:pPr>
    <w:rPr>
      <w:kern w:val="0"/>
      <w:sz w:val="20"/>
      <w:szCs w:val="20"/>
    </w:rPr>
  </w:style>
  <w:style w:type="paragraph" w:styleId="14">
    <w:name w:val="Document Map"/>
    <w:basedOn w:val="1"/>
    <w:link w:val="72"/>
    <w:autoRedefine/>
    <w:semiHidden/>
    <w:qFormat/>
    <w:uiPriority w:val="0"/>
    <w:pPr>
      <w:shd w:val="clear" w:color="auto" w:fill="000080"/>
    </w:pPr>
  </w:style>
  <w:style w:type="paragraph" w:styleId="15">
    <w:name w:val="annotation text"/>
    <w:basedOn w:val="1"/>
    <w:link w:val="73"/>
    <w:autoRedefine/>
    <w:semiHidden/>
    <w:qFormat/>
    <w:uiPriority w:val="0"/>
    <w:pPr>
      <w:jc w:val="left"/>
    </w:pPr>
  </w:style>
  <w:style w:type="paragraph" w:styleId="16">
    <w:name w:val="Salutation"/>
    <w:basedOn w:val="1"/>
    <w:next w:val="1"/>
    <w:link w:val="74"/>
    <w:autoRedefine/>
    <w:qFormat/>
    <w:uiPriority w:val="0"/>
    <w:rPr>
      <w:rFonts w:ascii="仿宋_GB2312" w:eastAsia="仿宋_GB2312"/>
      <w:sz w:val="24"/>
    </w:rPr>
  </w:style>
  <w:style w:type="paragraph" w:styleId="17">
    <w:name w:val="Body Text 3"/>
    <w:basedOn w:val="1"/>
    <w:link w:val="75"/>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
    <w:link w:val="76"/>
    <w:autoRedefine/>
    <w:qFormat/>
    <w:uiPriority w:val="0"/>
    <w:pPr>
      <w:spacing w:after="120"/>
    </w:pPr>
  </w:style>
  <w:style w:type="paragraph" w:styleId="19">
    <w:name w:val="Body Text Indent"/>
    <w:basedOn w:val="1"/>
    <w:next w:val="20"/>
    <w:link w:val="78"/>
    <w:autoRedefine/>
    <w:qFormat/>
    <w:uiPriority w:val="0"/>
    <w:pPr>
      <w:spacing w:after="120"/>
      <w:ind w:left="420" w:leftChars="200"/>
    </w:pPr>
  </w:style>
  <w:style w:type="paragraph" w:styleId="20">
    <w:name w:val="Body Text Indent 2"/>
    <w:basedOn w:val="1"/>
    <w:next w:val="1"/>
    <w:link w:val="77"/>
    <w:autoRedefine/>
    <w:qFormat/>
    <w:uiPriority w:val="0"/>
    <w:pPr>
      <w:spacing w:after="120" w:line="480" w:lineRule="auto"/>
      <w:ind w:left="420" w:leftChars="200"/>
    </w:pPr>
  </w:style>
  <w:style w:type="paragraph" w:styleId="21">
    <w:name w:val="Block Text"/>
    <w:basedOn w:val="1"/>
    <w:autoRedefine/>
    <w:qFormat/>
    <w:uiPriority w:val="0"/>
    <w:pPr>
      <w:ind w:left="1171" w:right="91" w:hanging="1080"/>
    </w:pPr>
    <w:rPr>
      <w:rFonts w:eastAsia="楷体_GB2312"/>
      <w:szCs w:val="20"/>
    </w:rPr>
  </w:style>
  <w:style w:type="paragraph" w:styleId="22">
    <w:name w:val="index 4"/>
    <w:basedOn w:val="1"/>
    <w:next w:val="1"/>
    <w:autoRedefine/>
    <w:semiHidden/>
    <w:unhideWhenUsed/>
    <w:qFormat/>
    <w:uiPriority w:val="0"/>
    <w:pPr>
      <w:ind w:left="600" w:leftChars="600"/>
    </w:pPr>
  </w:style>
  <w:style w:type="paragraph" w:styleId="23">
    <w:name w:val="toc 5"/>
    <w:basedOn w:val="1"/>
    <w:next w:val="1"/>
    <w:autoRedefine/>
    <w:qFormat/>
    <w:uiPriority w:val="0"/>
    <w:pPr>
      <w:ind w:left="1680" w:leftChars="800"/>
    </w:pPr>
    <w:rPr>
      <w:rFonts w:ascii="Calibri" w:hAnsi="Calibri"/>
      <w:szCs w:val="22"/>
    </w:rPr>
  </w:style>
  <w:style w:type="paragraph" w:styleId="24">
    <w:name w:val="toc 3"/>
    <w:basedOn w:val="1"/>
    <w:next w:val="1"/>
    <w:autoRedefine/>
    <w:qFormat/>
    <w:uiPriority w:val="0"/>
    <w:pPr>
      <w:ind w:left="840" w:leftChars="400"/>
    </w:pPr>
  </w:style>
  <w:style w:type="paragraph" w:styleId="25">
    <w:name w:val="Plain Text"/>
    <w:basedOn w:val="1"/>
    <w:link w:val="79"/>
    <w:autoRedefine/>
    <w:qFormat/>
    <w:uiPriority w:val="0"/>
    <w:rPr>
      <w:rFonts w:ascii="宋体" w:hAnsi="Courier New" w:cs="Courier New"/>
      <w:szCs w:val="21"/>
    </w:rPr>
  </w:style>
  <w:style w:type="paragraph" w:styleId="26">
    <w:name w:val="toc 8"/>
    <w:basedOn w:val="1"/>
    <w:next w:val="1"/>
    <w:autoRedefine/>
    <w:qFormat/>
    <w:uiPriority w:val="0"/>
    <w:pPr>
      <w:ind w:left="2940" w:leftChars="1400"/>
    </w:pPr>
    <w:rPr>
      <w:rFonts w:ascii="Calibri" w:hAnsi="Calibri"/>
      <w:szCs w:val="22"/>
    </w:rPr>
  </w:style>
  <w:style w:type="paragraph" w:styleId="27">
    <w:name w:val="Date"/>
    <w:basedOn w:val="1"/>
    <w:next w:val="1"/>
    <w:link w:val="80"/>
    <w:autoRedefine/>
    <w:qFormat/>
    <w:uiPriority w:val="0"/>
    <w:rPr>
      <w:sz w:val="24"/>
      <w:szCs w:val="20"/>
    </w:rPr>
  </w:style>
  <w:style w:type="paragraph" w:styleId="28">
    <w:name w:val="Balloon Text"/>
    <w:basedOn w:val="1"/>
    <w:link w:val="81"/>
    <w:autoRedefine/>
    <w:qFormat/>
    <w:uiPriority w:val="0"/>
    <w:rPr>
      <w:rFonts w:ascii="Calibri" w:hAnsi="Calibri"/>
      <w:sz w:val="18"/>
      <w:szCs w:val="18"/>
    </w:rPr>
  </w:style>
  <w:style w:type="paragraph" w:styleId="29">
    <w:name w:val="footer"/>
    <w:basedOn w:val="1"/>
    <w:link w:val="82"/>
    <w:autoRedefine/>
    <w:qFormat/>
    <w:uiPriority w:val="0"/>
    <w:pPr>
      <w:tabs>
        <w:tab w:val="center" w:pos="4153"/>
        <w:tab w:val="right" w:pos="8306"/>
      </w:tabs>
      <w:snapToGrid w:val="0"/>
      <w:jc w:val="left"/>
    </w:pPr>
    <w:rPr>
      <w:sz w:val="18"/>
      <w:szCs w:val="18"/>
    </w:rPr>
  </w:style>
  <w:style w:type="paragraph" w:styleId="30">
    <w:name w:val="envelope return"/>
    <w:basedOn w:val="1"/>
    <w:autoRedefine/>
    <w:unhideWhenUsed/>
    <w:qFormat/>
    <w:uiPriority w:val="99"/>
    <w:pPr>
      <w:snapToGrid w:val="0"/>
    </w:pPr>
    <w:rPr>
      <w:rFonts w:hint="eastAsia" w:ascii="Arial" w:hAnsi="Arial"/>
    </w:rPr>
  </w:style>
  <w:style w:type="paragraph" w:styleId="31">
    <w:name w:val="header"/>
    <w:basedOn w:val="1"/>
    <w:link w:val="83"/>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0"/>
  </w:style>
  <w:style w:type="paragraph" w:styleId="33">
    <w:name w:val="toc 4"/>
    <w:basedOn w:val="1"/>
    <w:next w:val="1"/>
    <w:autoRedefine/>
    <w:qFormat/>
    <w:uiPriority w:val="0"/>
    <w:pPr>
      <w:ind w:left="1260" w:leftChars="600"/>
    </w:pPr>
  </w:style>
  <w:style w:type="paragraph" w:styleId="34">
    <w:name w:val="Subtitle"/>
    <w:basedOn w:val="1"/>
    <w:next w:val="1"/>
    <w:link w:val="306"/>
    <w:autoRedefine/>
    <w:qFormat/>
    <w:uiPriority w:val="0"/>
    <w:pPr>
      <w:spacing w:before="240" w:after="60" w:line="312" w:lineRule="auto"/>
      <w:jc w:val="center"/>
      <w:outlineLvl w:val="1"/>
    </w:pPr>
    <w:rPr>
      <w:rFonts w:ascii="Cambria" w:hAnsi="Cambria"/>
      <w:b/>
      <w:bCs/>
      <w:kern w:val="28"/>
      <w:sz w:val="32"/>
      <w:szCs w:val="32"/>
      <w:lang w:val="zh-CN"/>
    </w:rPr>
  </w:style>
  <w:style w:type="paragraph" w:styleId="35">
    <w:name w:val="toc 6"/>
    <w:basedOn w:val="1"/>
    <w:next w:val="1"/>
    <w:autoRedefine/>
    <w:qFormat/>
    <w:uiPriority w:val="0"/>
    <w:pPr>
      <w:ind w:left="2100" w:leftChars="1000"/>
    </w:pPr>
    <w:rPr>
      <w:rFonts w:ascii="Calibri" w:hAnsi="Calibri"/>
      <w:szCs w:val="22"/>
    </w:rPr>
  </w:style>
  <w:style w:type="paragraph" w:styleId="36">
    <w:name w:val="Body Text Indent 3"/>
    <w:basedOn w:val="1"/>
    <w:link w:val="84"/>
    <w:autoRedefine/>
    <w:qFormat/>
    <w:uiPriority w:val="0"/>
    <w:pPr>
      <w:spacing w:after="120"/>
      <w:ind w:left="420" w:leftChars="200"/>
    </w:pPr>
    <w:rPr>
      <w:sz w:val="16"/>
      <w:szCs w:val="16"/>
    </w:rPr>
  </w:style>
  <w:style w:type="paragraph" w:styleId="37">
    <w:name w:val="toc 2"/>
    <w:basedOn w:val="1"/>
    <w:next w:val="1"/>
    <w:autoRedefine/>
    <w:qFormat/>
    <w:uiPriority w:val="0"/>
    <w:pPr>
      <w:ind w:left="420" w:leftChars="200"/>
    </w:pPr>
  </w:style>
  <w:style w:type="paragraph" w:styleId="38">
    <w:name w:val="toc 9"/>
    <w:basedOn w:val="1"/>
    <w:next w:val="1"/>
    <w:autoRedefine/>
    <w:qFormat/>
    <w:uiPriority w:val="0"/>
    <w:pPr>
      <w:ind w:left="3360" w:leftChars="1600"/>
    </w:pPr>
    <w:rPr>
      <w:rFonts w:ascii="Calibri" w:hAnsi="Calibri"/>
      <w:szCs w:val="22"/>
    </w:rPr>
  </w:style>
  <w:style w:type="paragraph" w:styleId="39">
    <w:name w:val="Body Text 2"/>
    <w:basedOn w:val="1"/>
    <w:link w:val="85"/>
    <w:autoRedefine/>
    <w:qFormat/>
    <w:uiPriority w:val="0"/>
    <w:pPr>
      <w:spacing w:after="120" w:line="480" w:lineRule="auto"/>
    </w:pPr>
  </w:style>
  <w:style w:type="paragraph" w:styleId="40">
    <w:name w:val="HTML Preformatted"/>
    <w:basedOn w:val="1"/>
    <w:link w:val="8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1">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autoRedefine/>
    <w:qFormat/>
    <w:uiPriority w:val="0"/>
    <w:pPr>
      <w:spacing w:line="220" w:lineRule="exact"/>
      <w:jc w:val="center"/>
    </w:pPr>
    <w:rPr>
      <w:rFonts w:ascii="仿宋_GB2312" w:eastAsia="仿宋_GB2312"/>
      <w:szCs w:val="20"/>
    </w:rPr>
  </w:style>
  <w:style w:type="paragraph" w:styleId="43">
    <w:name w:val="Title"/>
    <w:basedOn w:val="1"/>
    <w:next w:val="1"/>
    <w:autoRedefine/>
    <w:qFormat/>
    <w:uiPriority w:val="0"/>
    <w:pPr>
      <w:spacing w:before="240" w:after="60"/>
      <w:jc w:val="center"/>
      <w:outlineLvl w:val="0"/>
    </w:pPr>
    <w:rPr>
      <w:rFonts w:ascii="Cambria" w:hAnsi="Cambria"/>
      <w:b/>
      <w:sz w:val="32"/>
    </w:rPr>
  </w:style>
  <w:style w:type="paragraph" w:styleId="44">
    <w:name w:val="annotation subject"/>
    <w:basedOn w:val="15"/>
    <w:next w:val="15"/>
    <w:link w:val="87"/>
    <w:autoRedefine/>
    <w:qFormat/>
    <w:uiPriority w:val="0"/>
    <w:rPr>
      <w:b/>
      <w:bCs/>
    </w:rPr>
  </w:style>
  <w:style w:type="paragraph" w:styleId="45">
    <w:name w:val="Body Text First Indent"/>
    <w:basedOn w:val="18"/>
    <w:link w:val="88"/>
    <w:autoRedefine/>
    <w:qFormat/>
    <w:uiPriority w:val="0"/>
    <w:pPr>
      <w:autoSpaceDE w:val="0"/>
      <w:autoSpaceDN w:val="0"/>
      <w:adjustRightInd w:val="0"/>
      <w:spacing w:before="72" w:after="48" w:line="306" w:lineRule="exact"/>
      <w:ind w:firstLine="454" w:firstLineChars="200"/>
      <w:jc w:val="left"/>
    </w:pPr>
    <w:rPr>
      <w:sz w:val="24"/>
    </w:rPr>
  </w:style>
  <w:style w:type="paragraph" w:styleId="46">
    <w:name w:val="Body Text First Indent 2"/>
    <w:basedOn w:val="19"/>
    <w:next w:val="13"/>
    <w:link w:val="89"/>
    <w:autoRedefine/>
    <w:qFormat/>
    <w:uiPriority w:val="0"/>
    <w:pPr>
      <w:ind w:firstLine="420" w:firstLineChars="200"/>
    </w:pPr>
  </w:style>
  <w:style w:type="table" w:styleId="48">
    <w:name w:val="Table Grid"/>
    <w:basedOn w:val="4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autoRedefine/>
    <w:qFormat/>
    <w:uiPriority w:val="0"/>
    <w:rPr>
      <w:b/>
      <w:bCs/>
    </w:rPr>
  </w:style>
  <w:style w:type="character" w:styleId="51">
    <w:name w:val="page number"/>
    <w:autoRedefine/>
    <w:qFormat/>
    <w:uiPriority w:val="0"/>
  </w:style>
  <w:style w:type="character" w:styleId="52">
    <w:name w:val="FollowedHyperlink"/>
    <w:autoRedefine/>
    <w:qFormat/>
    <w:uiPriority w:val="0"/>
    <w:rPr>
      <w:color w:val="252525"/>
      <w:u w:val="none"/>
    </w:rPr>
  </w:style>
  <w:style w:type="character" w:styleId="53">
    <w:name w:val="Emphasis"/>
    <w:autoRedefine/>
    <w:qFormat/>
    <w:uiPriority w:val="0"/>
    <w:rPr>
      <w:rFonts w:ascii="Times New Roman" w:hAnsi="Times New Roman" w:eastAsia="宋体"/>
    </w:rPr>
  </w:style>
  <w:style w:type="character" w:styleId="54">
    <w:name w:val="HTML Definition"/>
    <w:autoRedefine/>
    <w:qFormat/>
    <w:uiPriority w:val="0"/>
    <w:rPr>
      <w:rFonts w:ascii="Times New Roman" w:hAnsi="Times New Roman" w:eastAsia="宋体"/>
    </w:rPr>
  </w:style>
  <w:style w:type="character" w:styleId="55">
    <w:name w:val="HTML Variable"/>
    <w:autoRedefine/>
    <w:qFormat/>
    <w:uiPriority w:val="0"/>
    <w:rPr>
      <w:rFonts w:ascii="Times New Roman" w:hAnsi="Times New Roman" w:eastAsia="宋体"/>
    </w:rPr>
  </w:style>
  <w:style w:type="character" w:styleId="56">
    <w:name w:val="Hyperlink"/>
    <w:autoRedefine/>
    <w:qFormat/>
    <w:uiPriority w:val="0"/>
    <w:rPr>
      <w:color w:val="136EC2"/>
      <w:u w:val="single"/>
    </w:rPr>
  </w:style>
  <w:style w:type="character" w:styleId="57">
    <w:name w:val="HTML Code"/>
    <w:autoRedefine/>
    <w:qFormat/>
    <w:uiPriority w:val="0"/>
    <w:rPr>
      <w:rFonts w:ascii="Courier New" w:hAnsi="Courier New" w:eastAsia="Courier New" w:cs="Courier New"/>
      <w:sz w:val="20"/>
    </w:rPr>
  </w:style>
  <w:style w:type="character" w:styleId="58">
    <w:name w:val="annotation reference"/>
    <w:autoRedefine/>
    <w:qFormat/>
    <w:uiPriority w:val="0"/>
    <w:rPr>
      <w:sz w:val="21"/>
      <w:szCs w:val="21"/>
    </w:rPr>
  </w:style>
  <w:style w:type="character" w:styleId="59">
    <w:name w:val="HTML Cite"/>
    <w:autoRedefine/>
    <w:qFormat/>
    <w:uiPriority w:val="0"/>
    <w:rPr>
      <w:rFonts w:ascii="Times New Roman" w:hAnsi="Times New Roman" w:eastAsia="宋体"/>
    </w:rPr>
  </w:style>
  <w:style w:type="character" w:styleId="60">
    <w:name w:val="HTML Keyboard"/>
    <w:autoRedefine/>
    <w:qFormat/>
    <w:uiPriority w:val="0"/>
    <w:rPr>
      <w:rFonts w:ascii="Courier New" w:hAnsi="Courier New" w:eastAsia="Courier New" w:cs="Courier New"/>
      <w:sz w:val="20"/>
    </w:rPr>
  </w:style>
  <w:style w:type="character" w:styleId="61">
    <w:name w:val="HTML Sample"/>
    <w:autoRedefine/>
    <w:qFormat/>
    <w:uiPriority w:val="0"/>
    <w:rPr>
      <w:rFonts w:ascii="Courier New" w:hAnsi="Courier New" w:eastAsia="Courier New" w:cs="Courier New"/>
    </w:rPr>
  </w:style>
  <w:style w:type="paragraph" w:customStyle="1" w:styleId="62">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63">
    <w:name w:val="标题 1 Char1"/>
    <w:link w:val="2"/>
    <w:autoRedefine/>
    <w:qFormat/>
    <w:uiPriority w:val="0"/>
    <w:rPr>
      <w:rFonts w:asciiTheme="majorEastAsia" w:hAnsiTheme="majorEastAsia" w:eastAsiaTheme="majorEastAsia" w:cstheme="majorEastAsia"/>
      <w:b/>
      <w:bCs/>
      <w:kern w:val="2"/>
      <w:sz w:val="32"/>
      <w:szCs w:val="32"/>
    </w:rPr>
  </w:style>
  <w:style w:type="character" w:customStyle="1" w:styleId="64">
    <w:name w:val="标题 2 Char1"/>
    <w:link w:val="3"/>
    <w:autoRedefine/>
    <w:qFormat/>
    <w:uiPriority w:val="0"/>
    <w:rPr>
      <w:rFonts w:ascii="Arial" w:hAnsi="Arial" w:eastAsia="宋体"/>
      <w:b/>
      <w:bCs/>
      <w:kern w:val="2"/>
      <w:sz w:val="21"/>
      <w:szCs w:val="32"/>
      <w:lang w:val="en-US" w:eastAsia="zh-CN" w:bidi="ar-SA"/>
    </w:rPr>
  </w:style>
  <w:style w:type="character" w:customStyle="1" w:styleId="65">
    <w:name w:val="标题 3 Char1"/>
    <w:link w:val="4"/>
    <w:autoRedefine/>
    <w:qFormat/>
    <w:uiPriority w:val="0"/>
    <w:rPr>
      <w:rFonts w:eastAsia="宋体"/>
      <w:b/>
      <w:bCs/>
      <w:kern w:val="2"/>
      <w:sz w:val="32"/>
      <w:szCs w:val="32"/>
      <w:lang w:val="en-US" w:eastAsia="zh-CN" w:bidi="ar-SA"/>
    </w:rPr>
  </w:style>
  <w:style w:type="character" w:customStyle="1" w:styleId="66">
    <w:name w:val="标题 4 Char1"/>
    <w:link w:val="5"/>
    <w:autoRedefine/>
    <w:qFormat/>
    <w:uiPriority w:val="0"/>
    <w:rPr>
      <w:rFonts w:ascii="Arial" w:hAnsi="Arial" w:eastAsia="黑体"/>
      <w:b/>
      <w:bCs/>
      <w:kern w:val="2"/>
      <w:sz w:val="28"/>
      <w:szCs w:val="28"/>
      <w:lang w:val="en-US" w:eastAsia="zh-CN" w:bidi="ar-SA"/>
    </w:rPr>
  </w:style>
  <w:style w:type="character" w:customStyle="1" w:styleId="67">
    <w:name w:val="标题 5 Char1"/>
    <w:link w:val="6"/>
    <w:autoRedefine/>
    <w:qFormat/>
    <w:uiPriority w:val="0"/>
    <w:rPr>
      <w:rFonts w:eastAsia="宋体"/>
      <w:b/>
      <w:bCs/>
      <w:sz w:val="28"/>
      <w:szCs w:val="28"/>
      <w:lang w:val="en-US" w:eastAsia="zh-CN" w:bidi="ar-SA"/>
    </w:rPr>
  </w:style>
  <w:style w:type="character" w:customStyle="1" w:styleId="68">
    <w:name w:val="标题 6 Char1"/>
    <w:link w:val="7"/>
    <w:autoRedefine/>
    <w:qFormat/>
    <w:uiPriority w:val="0"/>
    <w:rPr>
      <w:rFonts w:ascii="Arial" w:hAnsi="Arial" w:eastAsia="黑体"/>
      <w:b/>
      <w:bCs/>
      <w:sz w:val="24"/>
      <w:szCs w:val="24"/>
      <w:lang w:val="en-US" w:eastAsia="zh-CN" w:bidi="ar-SA"/>
    </w:rPr>
  </w:style>
  <w:style w:type="character" w:customStyle="1" w:styleId="69">
    <w:name w:val="标题 7 Char1"/>
    <w:link w:val="8"/>
    <w:autoRedefine/>
    <w:qFormat/>
    <w:uiPriority w:val="0"/>
    <w:rPr>
      <w:rFonts w:eastAsia="宋体"/>
      <w:b/>
      <w:bCs/>
      <w:sz w:val="24"/>
      <w:szCs w:val="24"/>
      <w:lang w:val="en-US" w:eastAsia="zh-CN" w:bidi="ar-SA"/>
    </w:rPr>
  </w:style>
  <w:style w:type="character" w:customStyle="1" w:styleId="70">
    <w:name w:val="标题 8 Char1"/>
    <w:link w:val="9"/>
    <w:autoRedefine/>
    <w:qFormat/>
    <w:uiPriority w:val="0"/>
    <w:rPr>
      <w:rFonts w:ascii="Arial" w:hAnsi="Arial" w:eastAsia="黑体"/>
      <w:sz w:val="24"/>
      <w:szCs w:val="24"/>
      <w:lang w:val="en-US" w:eastAsia="zh-CN" w:bidi="ar-SA"/>
    </w:rPr>
  </w:style>
  <w:style w:type="character" w:customStyle="1" w:styleId="71">
    <w:name w:val="标题 9 Char1"/>
    <w:link w:val="10"/>
    <w:autoRedefine/>
    <w:qFormat/>
    <w:uiPriority w:val="0"/>
    <w:rPr>
      <w:rFonts w:ascii="Arial" w:hAnsi="Arial" w:eastAsia="黑体"/>
      <w:sz w:val="21"/>
      <w:szCs w:val="21"/>
      <w:lang w:val="en-US" w:eastAsia="zh-CN" w:bidi="ar-SA"/>
    </w:rPr>
  </w:style>
  <w:style w:type="character" w:customStyle="1" w:styleId="72">
    <w:name w:val="文档结构图 Char"/>
    <w:basedOn w:val="49"/>
    <w:link w:val="14"/>
    <w:semiHidden/>
    <w:qFormat/>
    <w:uiPriority w:val="0"/>
    <w:rPr>
      <w:kern w:val="2"/>
      <w:sz w:val="21"/>
      <w:szCs w:val="24"/>
      <w:shd w:val="clear" w:color="auto" w:fill="000080"/>
    </w:rPr>
  </w:style>
  <w:style w:type="character" w:customStyle="1" w:styleId="73">
    <w:name w:val="批注文字 Char1"/>
    <w:link w:val="15"/>
    <w:autoRedefine/>
    <w:qFormat/>
    <w:uiPriority w:val="0"/>
    <w:rPr>
      <w:rFonts w:eastAsia="宋体"/>
      <w:kern w:val="2"/>
      <w:sz w:val="21"/>
      <w:szCs w:val="24"/>
      <w:lang w:val="en-US" w:eastAsia="zh-CN" w:bidi="ar-SA"/>
    </w:rPr>
  </w:style>
  <w:style w:type="character" w:customStyle="1" w:styleId="74">
    <w:name w:val="称呼 Char"/>
    <w:basedOn w:val="49"/>
    <w:link w:val="16"/>
    <w:qFormat/>
    <w:uiPriority w:val="0"/>
    <w:rPr>
      <w:rFonts w:ascii="仿宋_GB2312" w:eastAsia="仿宋_GB2312"/>
      <w:kern w:val="2"/>
      <w:sz w:val="24"/>
      <w:szCs w:val="24"/>
    </w:rPr>
  </w:style>
  <w:style w:type="character" w:customStyle="1" w:styleId="75">
    <w:name w:val="正文文本 3 Char"/>
    <w:basedOn w:val="49"/>
    <w:link w:val="17"/>
    <w:qFormat/>
    <w:uiPriority w:val="0"/>
    <w:rPr>
      <w:rFonts w:ascii="宋体"/>
      <w:color w:val="000000"/>
      <w:sz w:val="24"/>
    </w:rPr>
  </w:style>
  <w:style w:type="character" w:customStyle="1" w:styleId="76">
    <w:name w:val="正文文本 Char"/>
    <w:basedOn w:val="49"/>
    <w:link w:val="18"/>
    <w:qFormat/>
    <w:uiPriority w:val="0"/>
    <w:rPr>
      <w:kern w:val="2"/>
      <w:sz w:val="21"/>
      <w:szCs w:val="24"/>
    </w:rPr>
  </w:style>
  <w:style w:type="character" w:customStyle="1" w:styleId="77">
    <w:name w:val="正文文本缩进 2 Char"/>
    <w:basedOn w:val="49"/>
    <w:link w:val="20"/>
    <w:qFormat/>
    <w:uiPriority w:val="0"/>
    <w:rPr>
      <w:kern w:val="2"/>
      <w:sz w:val="21"/>
      <w:szCs w:val="24"/>
    </w:rPr>
  </w:style>
  <w:style w:type="character" w:customStyle="1" w:styleId="78">
    <w:name w:val="正文文本缩进 Char"/>
    <w:link w:val="19"/>
    <w:autoRedefine/>
    <w:qFormat/>
    <w:uiPriority w:val="0"/>
    <w:rPr>
      <w:rFonts w:eastAsia="宋体"/>
      <w:kern w:val="2"/>
      <w:sz w:val="21"/>
      <w:szCs w:val="24"/>
      <w:lang w:val="en-US" w:eastAsia="zh-CN" w:bidi="ar-SA"/>
    </w:rPr>
  </w:style>
  <w:style w:type="character" w:customStyle="1" w:styleId="79">
    <w:name w:val="纯文本 Char"/>
    <w:link w:val="25"/>
    <w:autoRedefine/>
    <w:qFormat/>
    <w:locked/>
    <w:uiPriority w:val="0"/>
    <w:rPr>
      <w:rFonts w:ascii="宋体" w:hAnsi="Courier New" w:eastAsia="宋体" w:cs="Courier New"/>
      <w:kern w:val="2"/>
      <w:sz w:val="21"/>
      <w:szCs w:val="21"/>
      <w:lang w:val="en-US" w:eastAsia="zh-CN" w:bidi="ar-SA"/>
    </w:rPr>
  </w:style>
  <w:style w:type="character" w:customStyle="1" w:styleId="80">
    <w:name w:val="日期 Char1"/>
    <w:link w:val="27"/>
    <w:autoRedefine/>
    <w:qFormat/>
    <w:uiPriority w:val="0"/>
    <w:rPr>
      <w:rFonts w:eastAsia="宋体"/>
      <w:kern w:val="2"/>
      <w:sz w:val="24"/>
      <w:lang w:val="en-US" w:eastAsia="zh-CN" w:bidi="ar-SA"/>
    </w:rPr>
  </w:style>
  <w:style w:type="character" w:customStyle="1" w:styleId="81">
    <w:name w:val="批注框文本 Char1"/>
    <w:link w:val="28"/>
    <w:autoRedefine/>
    <w:semiHidden/>
    <w:qFormat/>
    <w:locked/>
    <w:uiPriority w:val="0"/>
    <w:rPr>
      <w:rFonts w:ascii="Calibri" w:hAnsi="Calibri" w:eastAsia="宋体"/>
      <w:kern w:val="2"/>
      <w:sz w:val="18"/>
      <w:szCs w:val="18"/>
      <w:lang w:val="en-US" w:eastAsia="zh-CN" w:bidi="ar-SA"/>
    </w:rPr>
  </w:style>
  <w:style w:type="character" w:customStyle="1" w:styleId="82">
    <w:name w:val="页脚 Char1"/>
    <w:link w:val="29"/>
    <w:autoRedefine/>
    <w:qFormat/>
    <w:uiPriority w:val="0"/>
    <w:rPr>
      <w:rFonts w:eastAsia="宋体"/>
      <w:kern w:val="2"/>
      <w:sz w:val="18"/>
      <w:szCs w:val="18"/>
      <w:lang w:val="en-US" w:eastAsia="zh-CN" w:bidi="ar-SA"/>
    </w:rPr>
  </w:style>
  <w:style w:type="character" w:customStyle="1" w:styleId="83">
    <w:name w:val="页眉 Char1"/>
    <w:link w:val="31"/>
    <w:autoRedefine/>
    <w:qFormat/>
    <w:uiPriority w:val="0"/>
    <w:rPr>
      <w:rFonts w:eastAsia="宋体"/>
      <w:kern w:val="2"/>
      <w:sz w:val="18"/>
      <w:szCs w:val="18"/>
      <w:lang w:val="en-US" w:eastAsia="zh-CN" w:bidi="ar-SA"/>
    </w:rPr>
  </w:style>
  <w:style w:type="character" w:customStyle="1" w:styleId="84">
    <w:name w:val="正文文本缩进 3 Char1"/>
    <w:link w:val="36"/>
    <w:autoRedefine/>
    <w:qFormat/>
    <w:uiPriority w:val="0"/>
    <w:rPr>
      <w:rFonts w:eastAsia="宋体"/>
      <w:kern w:val="2"/>
      <w:sz w:val="16"/>
      <w:szCs w:val="16"/>
      <w:lang w:val="en-US" w:eastAsia="zh-CN" w:bidi="ar-SA"/>
    </w:rPr>
  </w:style>
  <w:style w:type="character" w:customStyle="1" w:styleId="85">
    <w:name w:val="正文文本 2 Char"/>
    <w:basedOn w:val="49"/>
    <w:link w:val="39"/>
    <w:qFormat/>
    <w:uiPriority w:val="0"/>
    <w:rPr>
      <w:kern w:val="2"/>
      <w:sz w:val="21"/>
      <w:szCs w:val="24"/>
    </w:rPr>
  </w:style>
  <w:style w:type="character" w:customStyle="1" w:styleId="86">
    <w:name w:val="HTML 预设格式 Char"/>
    <w:link w:val="40"/>
    <w:autoRedefine/>
    <w:qFormat/>
    <w:uiPriority w:val="0"/>
    <w:rPr>
      <w:rFonts w:ascii="Arial" w:hAnsi="Arial" w:cs="Arial"/>
      <w:sz w:val="24"/>
      <w:szCs w:val="24"/>
    </w:rPr>
  </w:style>
  <w:style w:type="character" w:customStyle="1" w:styleId="87">
    <w:name w:val="批注主题 Char1"/>
    <w:link w:val="44"/>
    <w:autoRedefine/>
    <w:qFormat/>
    <w:uiPriority w:val="0"/>
    <w:rPr>
      <w:rFonts w:eastAsia="宋体"/>
      <w:b/>
      <w:bCs/>
      <w:kern w:val="2"/>
      <w:sz w:val="21"/>
      <w:szCs w:val="24"/>
      <w:lang w:val="en-US" w:eastAsia="zh-CN" w:bidi="ar-SA"/>
    </w:rPr>
  </w:style>
  <w:style w:type="character" w:customStyle="1" w:styleId="88">
    <w:name w:val="正文首行缩进 Char"/>
    <w:basedOn w:val="76"/>
    <w:link w:val="45"/>
    <w:qFormat/>
    <w:uiPriority w:val="0"/>
    <w:rPr>
      <w:kern w:val="2"/>
      <w:sz w:val="24"/>
      <w:szCs w:val="24"/>
    </w:rPr>
  </w:style>
  <w:style w:type="character" w:customStyle="1" w:styleId="89">
    <w:name w:val="正文首行缩进 2 Char"/>
    <w:basedOn w:val="78"/>
    <w:link w:val="46"/>
    <w:qFormat/>
    <w:uiPriority w:val="0"/>
    <w:rPr>
      <w:rFonts w:eastAsia="宋体"/>
      <w:kern w:val="2"/>
      <w:sz w:val="21"/>
      <w:szCs w:val="24"/>
      <w:lang w:val="en-US" w:eastAsia="zh-CN" w:bidi="ar-SA"/>
    </w:rPr>
  </w:style>
  <w:style w:type="paragraph" w:customStyle="1" w:styleId="90">
    <w:name w:val="列出段落1"/>
    <w:basedOn w:val="1"/>
    <w:autoRedefine/>
    <w:qFormat/>
    <w:uiPriority w:val="0"/>
    <w:pPr>
      <w:ind w:firstLine="420" w:firstLineChars="200"/>
    </w:pPr>
    <w:rPr>
      <w:rFonts w:ascii="Calibri" w:hAnsi="Calibri"/>
      <w:szCs w:val="22"/>
    </w:rPr>
  </w:style>
  <w:style w:type="paragraph" w:customStyle="1" w:styleId="91">
    <w:name w:val="样式 小四 行距: 1.5 倍行距"/>
    <w:basedOn w:val="1"/>
    <w:autoRedefine/>
    <w:qFormat/>
    <w:uiPriority w:val="0"/>
    <w:pPr>
      <w:ind w:firstLine="480"/>
    </w:pPr>
    <w:rPr>
      <w:rFonts w:cs="宋体"/>
      <w:szCs w:val="20"/>
    </w:rPr>
  </w:style>
  <w:style w:type="character" w:customStyle="1" w:styleId="92">
    <w:name w:val="Char Char14"/>
    <w:autoRedefine/>
    <w:qFormat/>
    <w:uiPriority w:val="0"/>
    <w:rPr>
      <w:rFonts w:ascii="Arial" w:hAnsi="Arial" w:eastAsia="黑体"/>
      <w:b/>
      <w:bCs/>
      <w:sz w:val="28"/>
      <w:szCs w:val="28"/>
      <w:lang w:val="en-US" w:eastAsia="zh-CN" w:bidi="ar-SA"/>
    </w:rPr>
  </w:style>
  <w:style w:type="character" w:customStyle="1" w:styleId="93">
    <w:name w:val="Char Char15"/>
    <w:autoRedefine/>
    <w:qFormat/>
    <w:uiPriority w:val="0"/>
    <w:rPr>
      <w:b/>
      <w:bCs/>
      <w:sz w:val="24"/>
      <w:szCs w:val="24"/>
    </w:rPr>
  </w:style>
  <w:style w:type="character" w:customStyle="1" w:styleId="94">
    <w:name w:val="sort"/>
    <w:autoRedefine/>
    <w:qFormat/>
    <w:uiPriority w:val="0"/>
    <w:rPr>
      <w:rFonts w:ascii="Times New Roman" w:hAnsi="Times New Roman" w:eastAsia="宋体"/>
      <w:color w:val="FFFFFF"/>
      <w:bdr w:val="single" w:color="auto" w:sz="24" w:space="0"/>
    </w:rPr>
  </w:style>
  <w:style w:type="character" w:customStyle="1" w:styleId="95">
    <w:name w:val="plus"/>
    <w:autoRedefine/>
    <w:qFormat/>
    <w:uiPriority w:val="0"/>
    <w:rPr>
      <w:rFonts w:ascii="Times New Roman" w:hAnsi="Times New Roman" w:eastAsia="宋体"/>
      <w:b/>
      <w:vanish/>
      <w:color w:val="1F8DEF"/>
      <w:sz w:val="24"/>
      <w:szCs w:val="24"/>
    </w:rPr>
  </w:style>
  <w:style w:type="character" w:customStyle="1" w:styleId="96">
    <w:name w:val="sidecatalog-index2"/>
    <w:autoRedefine/>
    <w:qFormat/>
    <w:uiPriority w:val="0"/>
    <w:rPr>
      <w:rFonts w:ascii="Arail" w:hAnsi="Arail" w:eastAsia="Arail" w:cs="Arail"/>
      <w:color w:val="999999"/>
      <w:sz w:val="21"/>
      <w:szCs w:val="21"/>
    </w:rPr>
  </w:style>
  <w:style w:type="character" w:customStyle="1" w:styleId="97">
    <w:name w:val="content_2"/>
    <w:autoRedefine/>
    <w:qFormat/>
    <w:uiPriority w:val="0"/>
    <w:rPr>
      <w:sz w:val="19"/>
      <w:szCs w:val="19"/>
    </w:rPr>
  </w:style>
  <w:style w:type="character" w:customStyle="1" w:styleId="98">
    <w:name w:val="批注文字 Char"/>
    <w:autoRedefine/>
    <w:qFormat/>
    <w:uiPriority w:val="0"/>
    <w:rPr>
      <w:kern w:val="2"/>
      <w:sz w:val="21"/>
      <w:szCs w:val="24"/>
    </w:rPr>
  </w:style>
  <w:style w:type="character" w:customStyle="1" w:styleId="99">
    <w:name w:val="标题 1 Char"/>
    <w:autoRedefine/>
    <w:qFormat/>
    <w:uiPriority w:val="0"/>
    <w:rPr>
      <w:rFonts w:ascii="Cambria" w:hAnsi="Cambria"/>
      <w:b/>
      <w:bCs/>
      <w:kern w:val="32"/>
      <w:sz w:val="32"/>
      <w:szCs w:val="32"/>
    </w:rPr>
  </w:style>
  <w:style w:type="character" w:customStyle="1" w:styleId="100">
    <w:name w:val="polysemyred"/>
    <w:autoRedefine/>
    <w:qFormat/>
    <w:uiPriority w:val="0"/>
    <w:rPr>
      <w:rFonts w:ascii="Times New Roman" w:hAnsi="Times New Roman" w:eastAsia="宋体"/>
      <w:color w:val="FF6666"/>
      <w:sz w:val="18"/>
      <w:szCs w:val="18"/>
    </w:rPr>
  </w:style>
  <w:style w:type="character" w:customStyle="1" w:styleId="101">
    <w:name w:val="Font Style122"/>
    <w:autoRedefine/>
    <w:unhideWhenUsed/>
    <w:qFormat/>
    <w:uiPriority w:val="0"/>
    <w:rPr>
      <w:rFonts w:hint="eastAsia" w:ascii="宋体" w:hAnsi="宋体" w:eastAsia="宋体"/>
      <w:spacing w:val="20"/>
      <w:sz w:val="24"/>
    </w:rPr>
  </w:style>
  <w:style w:type="character" w:customStyle="1" w:styleId="102">
    <w:name w:val="Font Style134"/>
    <w:autoRedefine/>
    <w:unhideWhenUsed/>
    <w:qFormat/>
    <w:uiPriority w:val="0"/>
    <w:rPr>
      <w:rFonts w:hint="eastAsia" w:ascii="宋体" w:hAnsi="宋体" w:eastAsia="宋体"/>
      <w:spacing w:val="20"/>
      <w:sz w:val="22"/>
    </w:rPr>
  </w:style>
  <w:style w:type="character" w:customStyle="1" w:styleId="103">
    <w:name w:val="标题 6 Char"/>
    <w:autoRedefine/>
    <w:qFormat/>
    <w:uiPriority w:val="0"/>
    <w:rPr>
      <w:rFonts w:ascii="Arial" w:hAnsi="Arial" w:eastAsia="黑体"/>
      <w:b/>
      <w:bCs/>
      <w:sz w:val="24"/>
      <w:szCs w:val="24"/>
    </w:rPr>
  </w:style>
  <w:style w:type="character" w:customStyle="1" w:styleId="104">
    <w:name w:val="Char Char16"/>
    <w:autoRedefine/>
    <w:qFormat/>
    <w:uiPriority w:val="0"/>
    <w:rPr>
      <w:rFonts w:ascii="宋体" w:hAnsi="Times New Roman" w:eastAsia="宋体"/>
      <w:b/>
      <w:sz w:val="24"/>
      <w:lang w:val="en-US" w:eastAsia="zh-CN" w:bidi="ar-SA"/>
    </w:rPr>
  </w:style>
  <w:style w:type="character" w:customStyle="1" w:styleId="105">
    <w:name w:val="标题 5 Char"/>
    <w:autoRedefine/>
    <w:qFormat/>
    <w:uiPriority w:val="0"/>
    <w:rPr>
      <w:b/>
      <w:bCs/>
      <w:kern w:val="2"/>
      <w:sz w:val="28"/>
      <w:szCs w:val="28"/>
    </w:rPr>
  </w:style>
  <w:style w:type="character" w:customStyle="1" w:styleId="106">
    <w:name w:val="apple-converted-space"/>
    <w:autoRedefine/>
    <w:qFormat/>
    <w:uiPriority w:val="0"/>
  </w:style>
  <w:style w:type="character" w:customStyle="1" w:styleId="107">
    <w:name w:val="title_1"/>
    <w:autoRedefine/>
    <w:qFormat/>
    <w:uiPriority w:val="0"/>
    <w:rPr>
      <w:b/>
      <w:sz w:val="30"/>
      <w:szCs w:val="30"/>
    </w:rPr>
  </w:style>
  <w:style w:type="character" w:customStyle="1" w:styleId="108">
    <w:name w:val="Font Style94"/>
    <w:autoRedefine/>
    <w:unhideWhenUsed/>
    <w:qFormat/>
    <w:uiPriority w:val="0"/>
    <w:rPr>
      <w:rFonts w:hint="eastAsia" w:ascii="Times New Roman" w:hAnsi="Times New Roman" w:eastAsia="Times New Roman"/>
      <w:sz w:val="28"/>
    </w:rPr>
  </w:style>
  <w:style w:type="character" w:customStyle="1" w:styleId="109">
    <w:name w:val="Font Style133"/>
    <w:autoRedefine/>
    <w:unhideWhenUsed/>
    <w:qFormat/>
    <w:uiPriority w:val="0"/>
    <w:rPr>
      <w:rFonts w:hint="eastAsia" w:ascii="宋体" w:hAnsi="宋体" w:eastAsia="宋体"/>
      <w:spacing w:val="30"/>
      <w:sz w:val="24"/>
    </w:rPr>
  </w:style>
  <w:style w:type="character" w:customStyle="1" w:styleId="110">
    <w:name w:val="NormalCharacter"/>
    <w:autoRedefine/>
    <w:semiHidden/>
    <w:qFormat/>
    <w:uiPriority w:val="0"/>
  </w:style>
  <w:style w:type="character" w:customStyle="1" w:styleId="111">
    <w:name w:val="页脚 Char"/>
    <w:autoRedefine/>
    <w:qFormat/>
    <w:uiPriority w:val="0"/>
    <w:rPr>
      <w:kern w:val="2"/>
      <w:sz w:val="18"/>
      <w:szCs w:val="18"/>
    </w:rPr>
  </w:style>
  <w:style w:type="character" w:customStyle="1" w:styleId="112">
    <w:name w:val="样式2 Char Char"/>
    <w:autoRedefine/>
    <w:qFormat/>
    <w:uiPriority w:val="0"/>
    <w:rPr>
      <w:rFonts w:eastAsia="宋体"/>
      <w:kern w:val="2"/>
      <w:sz w:val="18"/>
      <w:szCs w:val="18"/>
      <w:lang w:val="en-US" w:eastAsia="zh-CN" w:bidi="ar-SA"/>
    </w:rPr>
  </w:style>
  <w:style w:type="character" w:customStyle="1" w:styleId="113">
    <w:name w:val="Font Style104"/>
    <w:autoRedefine/>
    <w:unhideWhenUsed/>
    <w:qFormat/>
    <w:uiPriority w:val="0"/>
    <w:rPr>
      <w:rFonts w:hint="eastAsia" w:ascii="宋体" w:hAnsi="宋体" w:eastAsia="宋体"/>
      <w:spacing w:val="30"/>
      <w:sz w:val="18"/>
    </w:rPr>
  </w:style>
  <w:style w:type="character" w:customStyle="1" w:styleId="114">
    <w:name w:val="Font Style127"/>
    <w:autoRedefine/>
    <w:unhideWhenUsed/>
    <w:qFormat/>
    <w:uiPriority w:val="0"/>
    <w:rPr>
      <w:rFonts w:hint="eastAsia" w:ascii="Times New Roman" w:hAnsi="Times New Roman" w:eastAsia="Times New Roman"/>
      <w:sz w:val="20"/>
    </w:rPr>
  </w:style>
  <w:style w:type="character" w:customStyle="1" w:styleId="115">
    <w:name w:val="bds_more8"/>
    <w:autoRedefine/>
    <w:qFormat/>
    <w:uiPriority w:val="0"/>
    <w:rPr>
      <w:rFonts w:ascii="Times New Roman" w:hAnsi="Times New Roman" w:eastAsia="宋体"/>
    </w:rPr>
  </w:style>
  <w:style w:type="character" w:customStyle="1" w:styleId="116">
    <w:name w:val="content_table1"/>
    <w:autoRedefine/>
    <w:qFormat/>
    <w:uiPriority w:val="0"/>
    <w:rPr>
      <w:sz w:val="19"/>
      <w:szCs w:val="19"/>
    </w:rPr>
  </w:style>
  <w:style w:type="character" w:customStyle="1" w:styleId="117">
    <w:name w:val="content"/>
    <w:autoRedefine/>
    <w:qFormat/>
    <w:uiPriority w:val="0"/>
    <w:rPr>
      <w:sz w:val="19"/>
      <w:szCs w:val="19"/>
    </w:rPr>
  </w:style>
  <w:style w:type="character" w:customStyle="1" w:styleId="118">
    <w:name w:val="页眉 Char"/>
    <w:autoRedefine/>
    <w:qFormat/>
    <w:uiPriority w:val="0"/>
    <w:rPr>
      <w:kern w:val="2"/>
      <w:sz w:val="18"/>
      <w:szCs w:val="18"/>
    </w:rPr>
  </w:style>
  <w:style w:type="character" w:customStyle="1" w:styleId="119">
    <w:name w:val="标题 4 Char Char"/>
    <w:autoRedefine/>
    <w:qFormat/>
    <w:uiPriority w:val="0"/>
    <w:rPr>
      <w:rFonts w:ascii="Arial" w:hAnsi="Arial" w:eastAsia="宋体"/>
      <w:b/>
      <w:bCs/>
      <w:kern w:val="2"/>
      <w:sz w:val="21"/>
      <w:szCs w:val="28"/>
      <w:lang w:val="en-US" w:eastAsia="zh-CN" w:bidi="ar-SA"/>
    </w:rPr>
  </w:style>
  <w:style w:type="character" w:customStyle="1" w:styleId="120">
    <w:name w:val="Char Char6"/>
    <w:autoRedefine/>
    <w:qFormat/>
    <w:uiPriority w:val="0"/>
    <w:rPr>
      <w:rFonts w:ascii="Arial" w:hAnsi="Arial" w:eastAsia="黑体"/>
      <w:sz w:val="24"/>
      <w:szCs w:val="24"/>
      <w:lang w:val="en-US" w:eastAsia="zh-CN" w:bidi="ar-SA"/>
    </w:rPr>
  </w:style>
  <w:style w:type="character" w:customStyle="1" w:styleId="121">
    <w:name w:val="desc"/>
    <w:autoRedefine/>
    <w:qFormat/>
    <w:uiPriority w:val="0"/>
    <w:rPr>
      <w:rFonts w:ascii="Times New Roman" w:hAnsi="Times New Roman" w:eastAsia="宋体"/>
      <w:color w:val="000000"/>
      <w:sz w:val="18"/>
      <w:szCs w:val="18"/>
    </w:rPr>
  </w:style>
  <w:style w:type="character" w:customStyle="1" w:styleId="122">
    <w:name w:val="普通文字 Char1"/>
    <w:autoRedefine/>
    <w:qFormat/>
    <w:uiPriority w:val="0"/>
    <w:rPr>
      <w:rFonts w:ascii="宋体" w:hAnsi="Courier New" w:eastAsia="宋体" w:cs="Courier New"/>
      <w:kern w:val="2"/>
      <w:sz w:val="21"/>
      <w:szCs w:val="21"/>
      <w:lang w:val="en-US" w:eastAsia="zh-CN" w:bidi="ar-SA"/>
    </w:rPr>
  </w:style>
  <w:style w:type="character" w:customStyle="1" w:styleId="123">
    <w:name w:val="sort1"/>
    <w:autoRedefine/>
    <w:qFormat/>
    <w:uiPriority w:val="0"/>
    <w:rPr>
      <w:rFonts w:ascii="Times New Roman" w:hAnsi="Times New Roman" w:eastAsia="宋体"/>
    </w:rPr>
  </w:style>
  <w:style w:type="character" w:customStyle="1" w:styleId="124">
    <w:name w:val="morelink-item"/>
    <w:autoRedefine/>
    <w:qFormat/>
    <w:uiPriority w:val="0"/>
    <w:rPr>
      <w:rFonts w:ascii="Times New Roman" w:hAnsi="Times New Roman" w:eastAsia="宋体"/>
    </w:rPr>
  </w:style>
  <w:style w:type="character" w:customStyle="1" w:styleId="125">
    <w:name w:val="正文文本缩进 3 Char"/>
    <w:autoRedefine/>
    <w:qFormat/>
    <w:uiPriority w:val="0"/>
    <w:rPr>
      <w:rFonts w:ascii="宋体" w:hAnsi="MS Sans Serif"/>
      <w:color w:val="000000"/>
      <w:sz w:val="24"/>
    </w:rPr>
  </w:style>
  <w:style w:type="character" w:customStyle="1" w:styleId="126">
    <w:name w:val="标题 2 Char"/>
    <w:autoRedefine/>
    <w:qFormat/>
    <w:uiPriority w:val="0"/>
    <w:rPr>
      <w:rFonts w:ascii="Cambria" w:hAnsi="Cambria" w:eastAsia="宋体" w:cs="Times New Roman"/>
      <w:b/>
      <w:bCs/>
      <w:kern w:val="2"/>
      <w:sz w:val="32"/>
      <w:szCs w:val="32"/>
    </w:rPr>
  </w:style>
  <w:style w:type="character" w:customStyle="1" w:styleId="127">
    <w:name w:val="Font Style121"/>
    <w:autoRedefine/>
    <w:unhideWhenUsed/>
    <w:qFormat/>
    <w:uiPriority w:val="0"/>
    <w:rPr>
      <w:rFonts w:hint="eastAsia" w:ascii="宋体" w:hAnsi="宋体" w:eastAsia="宋体"/>
      <w:spacing w:val="-10"/>
      <w:sz w:val="30"/>
    </w:rPr>
  </w:style>
  <w:style w:type="character" w:customStyle="1" w:styleId="128">
    <w:name w:val="p0 Char"/>
    <w:link w:val="129"/>
    <w:autoRedefine/>
    <w:qFormat/>
    <w:uiPriority w:val="0"/>
    <w:rPr>
      <w:rFonts w:eastAsia="宋体"/>
      <w:sz w:val="21"/>
      <w:szCs w:val="21"/>
      <w:lang w:val="en-US" w:eastAsia="zh-CN" w:bidi="ar-SA"/>
    </w:rPr>
  </w:style>
  <w:style w:type="paragraph" w:customStyle="1" w:styleId="129">
    <w:name w:val="p0"/>
    <w:basedOn w:val="1"/>
    <w:link w:val="128"/>
    <w:autoRedefine/>
    <w:qFormat/>
    <w:uiPriority w:val="0"/>
    <w:pPr>
      <w:widowControl/>
    </w:pPr>
    <w:rPr>
      <w:kern w:val="0"/>
      <w:szCs w:val="21"/>
    </w:rPr>
  </w:style>
  <w:style w:type="character" w:customStyle="1" w:styleId="130">
    <w:name w:val="Font Style86"/>
    <w:autoRedefine/>
    <w:unhideWhenUsed/>
    <w:qFormat/>
    <w:uiPriority w:val="0"/>
    <w:rPr>
      <w:rFonts w:hint="eastAsia" w:ascii="黑体" w:hAnsi="黑体" w:eastAsia="黑体"/>
      <w:spacing w:val="10"/>
      <w:sz w:val="30"/>
    </w:rPr>
  </w:style>
  <w:style w:type="character" w:customStyle="1" w:styleId="131">
    <w:name w:val="标题 Char1"/>
    <w:autoRedefine/>
    <w:qFormat/>
    <w:uiPriority w:val="0"/>
    <w:rPr>
      <w:rFonts w:ascii="Cambria" w:hAnsi="Cambria" w:eastAsia="宋体" w:cs="Times New Roman"/>
      <w:b/>
      <w:bCs/>
      <w:sz w:val="32"/>
      <w:szCs w:val="32"/>
    </w:rPr>
  </w:style>
  <w:style w:type="character" w:customStyle="1" w:styleId="132">
    <w:name w:val="标题 9 Char"/>
    <w:autoRedefine/>
    <w:qFormat/>
    <w:uiPriority w:val="0"/>
    <w:rPr>
      <w:rFonts w:ascii="Arial" w:hAnsi="Arial" w:eastAsia="黑体"/>
      <w:sz w:val="21"/>
      <w:szCs w:val="21"/>
    </w:rPr>
  </w:style>
  <w:style w:type="character" w:customStyle="1" w:styleId="133">
    <w:name w:val="Font Style124"/>
    <w:autoRedefine/>
    <w:unhideWhenUsed/>
    <w:qFormat/>
    <w:uiPriority w:val="0"/>
    <w:rPr>
      <w:rFonts w:hint="eastAsia" w:ascii="宋体" w:hAnsi="宋体" w:eastAsia="宋体"/>
      <w:spacing w:val="30"/>
      <w:sz w:val="24"/>
    </w:rPr>
  </w:style>
  <w:style w:type="character" w:customStyle="1" w:styleId="134">
    <w:name w:val="日期 Char"/>
    <w:autoRedefine/>
    <w:qFormat/>
    <w:uiPriority w:val="0"/>
    <w:rPr>
      <w:kern w:val="2"/>
      <w:sz w:val="21"/>
      <w:szCs w:val="24"/>
    </w:rPr>
  </w:style>
  <w:style w:type="character" w:customStyle="1" w:styleId="135">
    <w:name w:val="标题 7 Char"/>
    <w:autoRedefine/>
    <w:qFormat/>
    <w:uiPriority w:val="0"/>
    <w:rPr>
      <w:b/>
      <w:bCs/>
      <w:sz w:val="24"/>
      <w:szCs w:val="24"/>
    </w:rPr>
  </w:style>
  <w:style w:type="character" w:customStyle="1" w:styleId="136">
    <w:name w:val="bds_more6"/>
    <w:autoRedefine/>
    <w:qFormat/>
    <w:uiPriority w:val="0"/>
    <w:rPr>
      <w:rFonts w:hint="eastAsia" w:ascii="宋体" w:hAnsi="宋体" w:eastAsia="宋体" w:cs="宋体"/>
    </w:rPr>
  </w:style>
  <w:style w:type="character" w:customStyle="1" w:styleId="137">
    <w:name w:val="p0 Char Char"/>
    <w:autoRedefine/>
    <w:qFormat/>
    <w:uiPriority w:val="0"/>
    <w:rPr>
      <w:rFonts w:eastAsia="宋体"/>
      <w:kern w:val="2"/>
      <w:sz w:val="21"/>
      <w:szCs w:val="21"/>
      <w:lang w:val="en-US" w:eastAsia="zh-CN" w:bidi="ar-SA"/>
    </w:rPr>
  </w:style>
  <w:style w:type="character" w:customStyle="1" w:styleId="138">
    <w:name w:val="纯文本 Char2"/>
    <w:autoRedefine/>
    <w:qFormat/>
    <w:uiPriority w:val="0"/>
    <w:rPr>
      <w:rFonts w:ascii="宋体" w:hAnsi="Courier New" w:eastAsia="宋体"/>
      <w:kern w:val="2"/>
      <w:sz w:val="21"/>
      <w:szCs w:val="21"/>
      <w:lang w:val="en-US" w:eastAsia="zh-CN" w:bidi="ar-SA"/>
    </w:rPr>
  </w:style>
  <w:style w:type="character" w:customStyle="1" w:styleId="139">
    <w:name w:val="content_3"/>
    <w:autoRedefine/>
    <w:qFormat/>
    <w:uiPriority w:val="0"/>
    <w:rPr>
      <w:sz w:val="19"/>
      <w:szCs w:val="19"/>
    </w:rPr>
  </w:style>
  <w:style w:type="character" w:customStyle="1" w:styleId="140">
    <w:name w:val="Font Style90"/>
    <w:autoRedefine/>
    <w:unhideWhenUsed/>
    <w:qFormat/>
    <w:uiPriority w:val="0"/>
    <w:rPr>
      <w:rFonts w:hint="eastAsia" w:ascii="宋体" w:hAnsi="宋体" w:eastAsia="宋体"/>
      <w:b/>
      <w:spacing w:val="-20"/>
      <w:sz w:val="40"/>
    </w:rPr>
  </w:style>
  <w:style w:type="character" w:customStyle="1" w:styleId="141">
    <w:name w:val="Font Style125"/>
    <w:autoRedefine/>
    <w:unhideWhenUsed/>
    <w:qFormat/>
    <w:uiPriority w:val="0"/>
    <w:rPr>
      <w:rFonts w:hint="eastAsia" w:ascii="宋体" w:hAnsi="宋体" w:eastAsia="宋体"/>
      <w:b/>
      <w:sz w:val="26"/>
    </w:rPr>
  </w:style>
  <w:style w:type="character" w:customStyle="1" w:styleId="142">
    <w:name w:val="sidecatalog-index1"/>
    <w:autoRedefine/>
    <w:qFormat/>
    <w:uiPriority w:val="0"/>
    <w:rPr>
      <w:rFonts w:ascii="Arial" w:hAnsi="Arial" w:eastAsia="宋体" w:cs="Arial"/>
      <w:b/>
      <w:color w:val="999999"/>
      <w:sz w:val="21"/>
      <w:szCs w:val="21"/>
    </w:rPr>
  </w:style>
  <w:style w:type="character" w:customStyle="1" w:styleId="143">
    <w:name w:val="bds_more7"/>
    <w:autoRedefine/>
    <w:qFormat/>
    <w:uiPriority w:val="0"/>
    <w:rPr>
      <w:rFonts w:ascii="Times New Roman" w:hAnsi="Times New Roman" w:eastAsia="宋体"/>
    </w:rPr>
  </w:style>
  <w:style w:type="character" w:customStyle="1" w:styleId="144">
    <w:name w:val="标题 3 Char"/>
    <w:autoRedefine/>
    <w:qFormat/>
    <w:uiPriority w:val="0"/>
    <w:rPr>
      <w:b/>
      <w:bCs/>
      <w:sz w:val="24"/>
      <w:szCs w:val="24"/>
    </w:rPr>
  </w:style>
  <w:style w:type="character" w:customStyle="1" w:styleId="145">
    <w:name w:val="bds_nopic"/>
    <w:autoRedefine/>
    <w:qFormat/>
    <w:uiPriority w:val="0"/>
    <w:rPr>
      <w:rFonts w:ascii="Times New Roman" w:hAnsi="Times New Roman" w:eastAsia="宋体"/>
    </w:rPr>
  </w:style>
  <w:style w:type="character" w:customStyle="1" w:styleId="146">
    <w:name w:val="polysemyexp"/>
    <w:autoRedefine/>
    <w:qFormat/>
    <w:uiPriority w:val="0"/>
    <w:rPr>
      <w:rFonts w:ascii="Times New Roman" w:hAnsi="Times New Roman" w:eastAsia="宋体"/>
      <w:color w:val="AAAAAA"/>
      <w:sz w:val="18"/>
      <w:szCs w:val="18"/>
    </w:rPr>
  </w:style>
  <w:style w:type="character" w:customStyle="1" w:styleId="147">
    <w:name w:val="sidecatalog-dot1"/>
    <w:autoRedefine/>
    <w:qFormat/>
    <w:uiPriority w:val="0"/>
    <w:rPr>
      <w:rFonts w:ascii="Times New Roman" w:hAnsi="Times New Roman" w:eastAsia="宋体"/>
    </w:rPr>
  </w:style>
  <w:style w:type="character" w:customStyle="1" w:styleId="148">
    <w:name w:val="title_2"/>
    <w:autoRedefine/>
    <w:qFormat/>
    <w:uiPriority w:val="0"/>
    <w:rPr>
      <w:b/>
      <w:sz w:val="19"/>
      <w:szCs w:val="19"/>
    </w:rPr>
  </w:style>
  <w:style w:type="character" w:customStyle="1" w:styleId="149">
    <w:name w:val="Font Style105"/>
    <w:autoRedefine/>
    <w:unhideWhenUsed/>
    <w:qFormat/>
    <w:uiPriority w:val="0"/>
    <w:rPr>
      <w:rFonts w:hint="eastAsia" w:ascii="Times New Roman" w:hAnsi="Times New Roman" w:eastAsia="Times New Roman"/>
      <w:w w:val="60"/>
      <w:sz w:val="26"/>
    </w:rPr>
  </w:style>
  <w:style w:type="character" w:customStyle="1" w:styleId="150">
    <w:name w:val="lemmatitleh12"/>
    <w:autoRedefine/>
    <w:qFormat/>
    <w:uiPriority w:val="0"/>
    <w:rPr>
      <w:rFonts w:ascii="Times New Roman" w:hAnsi="Times New Roman" w:eastAsia="宋体"/>
    </w:rPr>
  </w:style>
  <w:style w:type="character" w:customStyle="1" w:styleId="151">
    <w:name w:val="bds_nopic2"/>
    <w:autoRedefine/>
    <w:qFormat/>
    <w:uiPriority w:val="0"/>
    <w:rPr>
      <w:rFonts w:ascii="Times New Roman" w:hAnsi="Times New Roman" w:eastAsia="宋体"/>
    </w:rPr>
  </w:style>
  <w:style w:type="character" w:customStyle="1" w:styleId="152">
    <w:name w:val="content_1"/>
    <w:autoRedefine/>
    <w:qFormat/>
    <w:uiPriority w:val="0"/>
    <w:rPr>
      <w:sz w:val="19"/>
      <w:szCs w:val="19"/>
    </w:rPr>
  </w:style>
  <w:style w:type="character" w:customStyle="1" w:styleId="153">
    <w:name w:val="bds_more9"/>
    <w:autoRedefine/>
    <w:qFormat/>
    <w:uiPriority w:val="0"/>
    <w:rPr>
      <w:rFonts w:ascii="Times New Roman" w:hAnsi="Times New Roman" w:eastAsia="宋体"/>
    </w:rPr>
  </w:style>
  <w:style w:type="character" w:customStyle="1" w:styleId="154">
    <w:name w:val="Font Style123"/>
    <w:autoRedefine/>
    <w:unhideWhenUsed/>
    <w:qFormat/>
    <w:uiPriority w:val="0"/>
    <w:rPr>
      <w:rFonts w:hint="eastAsia" w:ascii="宋体" w:hAnsi="宋体" w:eastAsia="宋体"/>
      <w:b/>
      <w:sz w:val="32"/>
    </w:rPr>
  </w:style>
  <w:style w:type="character" w:customStyle="1" w:styleId="155">
    <w:name w:val="sidecatalog-dot"/>
    <w:autoRedefine/>
    <w:qFormat/>
    <w:uiPriority w:val="0"/>
    <w:rPr>
      <w:rFonts w:ascii="Times New Roman" w:hAnsi="Times New Roman" w:eastAsia="宋体"/>
    </w:rPr>
  </w:style>
  <w:style w:type="character" w:customStyle="1" w:styleId="156">
    <w:name w:val="Font Style126"/>
    <w:autoRedefine/>
    <w:unhideWhenUsed/>
    <w:qFormat/>
    <w:uiPriority w:val="0"/>
    <w:rPr>
      <w:rFonts w:hint="eastAsia" w:ascii="宋体" w:hAnsi="宋体" w:eastAsia="宋体"/>
      <w:b/>
      <w:spacing w:val="-30"/>
      <w:sz w:val="28"/>
    </w:rPr>
  </w:style>
  <w:style w:type="character" w:customStyle="1" w:styleId="157">
    <w:name w:val="标题 4 Char"/>
    <w:autoRedefine/>
    <w:qFormat/>
    <w:uiPriority w:val="0"/>
    <w:rPr>
      <w:rFonts w:ascii="Arial" w:hAnsi="Arial" w:eastAsia="宋体" w:cs="Times New Roman"/>
      <w:b/>
      <w:bCs/>
      <w:szCs w:val="28"/>
    </w:rPr>
  </w:style>
  <w:style w:type="character" w:customStyle="1" w:styleId="158">
    <w:name w:val="Font Style115"/>
    <w:autoRedefine/>
    <w:unhideWhenUsed/>
    <w:qFormat/>
    <w:uiPriority w:val="0"/>
    <w:rPr>
      <w:rFonts w:hint="eastAsia" w:ascii="Times New Roman" w:hAnsi="Times New Roman" w:eastAsia="Times New Roman"/>
      <w:sz w:val="16"/>
    </w:rPr>
  </w:style>
  <w:style w:type="character" w:customStyle="1" w:styleId="159">
    <w:name w:val="标题 8 Char"/>
    <w:autoRedefine/>
    <w:qFormat/>
    <w:uiPriority w:val="0"/>
    <w:rPr>
      <w:rFonts w:ascii="Arial" w:hAnsi="Arial" w:eastAsia="黑体"/>
      <w:sz w:val="24"/>
      <w:szCs w:val="24"/>
    </w:rPr>
  </w:style>
  <w:style w:type="character" w:customStyle="1" w:styleId="160">
    <w:name w:val="Font Style128"/>
    <w:autoRedefine/>
    <w:unhideWhenUsed/>
    <w:qFormat/>
    <w:uiPriority w:val="0"/>
    <w:rPr>
      <w:rFonts w:hint="eastAsia" w:ascii="Times New Roman" w:hAnsi="Times New Roman" w:eastAsia="Times New Roman"/>
      <w:sz w:val="16"/>
    </w:rPr>
  </w:style>
  <w:style w:type="character" w:customStyle="1" w:styleId="161">
    <w:name w:val="Font Style116"/>
    <w:autoRedefine/>
    <w:unhideWhenUsed/>
    <w:qFormat/>
    <w:uiPriority w:val="0"/>
    <w:rPr>
      <w:rFonts w:hint="eastAsia" w:ascii="宋体" w:hAnsi="宋体" w:eastAsia="宋体"/>
      <w:spacing w:val="-20"/>
      <w:sz w:val="24"/>
    </w:rPr>
  </w:style>
  <w:style w:type="character" w:customStyle="1" w:styleId="162">
    <w:name w:val="标题 Char"/>
    <w:autoRedefine/>
    <w:qFormat/>
    <w:uiPriority w:val="0"/>
    <w:rPr>
      <w:rFonts w:ascii="Cambria" w:hAnsi="Cambria"/>
      <w:b/>
      <w:kern w:val="2"/>
      <w:sz w:val="32"/>
      <w:szCs w:val="24"/>
    </w:rPr>
  </w:style>
  <w:style w:type="character" w:customStyle="1" w:styleId="163">
    <w:name w:val="批注主题 Char"/>
    <w:autoRedefine/>
    <w:qFormat/>
    <w:uiPriority w:val="0"/>
    <w:rPr>
      <w:b/>
      <w:bCs/>
      <w:kern w:val="2"/>
      <w:sz w:val="21"/>
      <w:szCs w:val="24"/>
    </w:rPr>
  </w:style>
  <w:style w:type="character" w:customStyle="1" w:styleId="164">
    <w:name w:val="bds_nopic1"/>
    <w:autoRedefine/>
    <w:qFormat/>
    <w:uiPriority w:val="0"/>
    <w:rPr>
      <w:rFonts w:ascii="Times New Roman" w:hAnsi="Times New Roman" w:eastAsia="宋体"/>
    </w:rPr>
  </w:style>
  <w:style w:type="character" w:customStyle="1" w:styleId="165">
    <w:name w:val="Font Style117"/>
    <w:autoRedefine/>
    <w:unhideWhenUsed/>
    <w:qFormat/>
    <w:uiPriority w:val="0"/>
    <w:rPr>
      <w:rFonts w:hint="eastAsia" w:ascii="宋体" w:hAnsi="宋体" w:eastAsia="宋体"/>
      <w:spacing w:val="20"/>
      <w:sz w:val="24"/>
    </w:rPr>
  </w:style>
  <w:style w:type="character" w:customStyle="1" w:styleId="166">
    <w:name w:val="title_3"/>
    <w:autoRedefine/>
    <w:qFormat/>
    <w:uiPriority w:val="0"/>
    <w:rPr>
      <w:b/>
      <w:sz w:val="15"/>
      <w:szCs w:val="15"/>
    </w:rPr>
  </w:style>
  <w:style w:type="character" w:customStyle="1" w:styleId="167">
    <w:name w:val="批注文字 Char Char"/>
    <w:autoRedefine/>
    <w:qFormat/>
    <w:uiPriority w:val="0"/>
    <w:rPr>
      <w:kern w:val="2"/>
      <w:sz w:val="21"/>
      <w:szCs w:val="24"/>
      <w:lang w:bidi="ar-SA"/>
    </w:rPr>
  </w:style>
  <w:style w:type="character" w:customStyle="1" w:styleId="168">
    <w:name w:val="Font Style131"/>
    <w:autoRedefine/>
    <w:unhideWhenUsed/>
    <w:qFormat/>
    <w:uiPriority w:val="0"/>
    <w:rPr>
      <w:rFonts w:hint="eastAsia" w:ascii="Times New Roman" w:hAnsi="Times New Roman" w:eastAsia="Times New Roman"/>
      <w:sz w:val="18"/>
    </w:rPr>
  </w:style>
  <w:style w:type="character" w:customStyle="1" w:styleId="169">
    <w:name w:val="Char Char17"/>
    <w:autoRedefine/>
    <w:qFormat/>
    <w:uiPriority w:val="0"/>
    <w:rPr>
      <w:rFonts w:ascii="宋体" w:hAnsi="Times New Roman" w:eastAsia="宋体"/>
      <w:b/>
      <w:sz w:val="28"/>
      <w:lang w:val="en-US" w:eastAsia="zh-CN" w:bidi="ar-SA"/>
    </w:rPr>
  </w:style>
  <w:style w:type="character" w:customStyle="1" w:styleId="170">
    <w:name w:val="bds_more10"/>
    <w:autoRedefine/>
    <w:qFormat/>
    <w:uiPriority w:val="0"/>
    <w:rPr>
      <w:rFonts w:ascii="Times New Roman" w:hAnsi="Times New Roman" w:eastAsia="宋体"/>
    </w:rPr>
  </w:style>
  <w:style w:type="character" w:customStyle="1" w:styleId="171">
    <w:name w:val="Font Style119"/>
    <w:autoRedefine/>
    <w:unhideWhenUsed/>
    <w:qFormat/>
    <w:uiPriority w:val="0"/>
    <w:rPr>
      <w:rFonts w:hint="eastAsia" w:ascii="宋体" w:hAnsi="宋体" w:eastAsia="宋体"/>
      <w:sz w:val="24"/>
    </w:rPr>
  </w:style>
  <w:style w:type="character" w:customStyle="1" w:styleId="172">
    <w:name w:val="批注框文本 Char"/>
    <w:autoRedefine/>
    <w:qFormat/>
    <w:uiPriority w:val="0"/>
    <w:rPr>
      <w:kern w:val="2"/>
      <w:sz w:val="18"/>
      <w:szCs w:val="18"/>
    </w:rPr>
  </w:style>
  <w:style w:type="paragraph" w:customStyle="1" w:styleId="173">
    <w:name w:val="标题2"/>
    <w:basedOn w:val="43"/>
    <w:autoRedefine/>
    <w:qFormat/>
    <w:uiPriority w:val="0"/>
    <w:pPr>
      <w:spacing w:after="240"/>
      <w:jc w:val="left"/>
    </w:pPr>
    <w:rPr>
      <w:sz w:val="30"/>
    </w:rPr>
  </w:style>
  <w:style w:type="paragraph" w:customStyle="1" w:styleId="174">
    <w:name w:val="报告正文S"/>
    <w:basedOn w:val="1"/>
    <w:autoRedefine/>
    <w:qFormat/>
    <w:uiPriority w:val="0"/>
    <w:pPr>
      <w:widowControl/>
      <w:topLinePunct/>
      <w:spacing w:line="520" w:lineRule="exact"/>
      <w:ind w:firstLine="510"/>
      <w:jc w:val="left"/>
    </w:pPr>
    <w:rPr>
      <w:snapToGrid w:val="0"/>
      <w:kern w:val="0"/>
      <w:sz w:val="24"/>
    </w:rPr>
  </w:style>
  <w:style w:type="paragraph" w:customStyle="1" w:styleId="175">
    <w:name w:val="Style76"/>
    <w:basedOn w:val="1"/>
    <w:autoRedefine/>
    <w:unhideWhenUsed/>
    <w:qFormat/>
    <w:uiPriority w:val="0"/>
  </w:style>
  <w:style w:type="paragraph" w:customStyle="1" w:styleId="176">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7">
    <w:name w:val="Style53"/>
    <w:basedOn w:val="1"/>
    <w:autoRedefine/>
    <w:unhideWhenUsed/>
    <w:qFormat/>
    <w:uiPriority w:val="0"/>
    <w:pPr>
      <w:spacing w:line="533" w:lineRule="exact"/>
      <w:ind w:firstLine="581"/>
    </w:pPr>
  </w:style>
  <w:style w:type="paragraph" w:customStyle="1" w:styleId="178">
    <w:name w:val="Style44"/>
    <w:basedOn w:val="1"/>
    <w:autoRedefine/>
    <w:unhideWhenUsed/>
    <w:qFormat/>
    <w:uiPriority w:val="0"/>
  </w:style>
  <w:style w:type="paragraph" w:customStyle="1" w:styleId="179">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80">
    <w:name w:val="Style70"/>
    <w:basedOn w:val="1"/>
    <w:autoRedefine/>
    <w:unhideWhenUsed/>
    <w:qFormat/>
    <w:uiPriority w:val="0"/>
    <w:pPr>
      <w:spacing w:line="549" w:lineRule="exact"/>
      <w:ind w:firstLine="686"/>
    </w:pPr>
  </w:style>
  <w:style w:type="paragraph" w:customStyle="1" w:styleId="181">
    <w:name w:val="Style48"/>
    <w:basedOn w:val="1"/>
    <w:autoRedefine/>
    <w:unhideWhenUsed/>
    <w:qFormat/>
    <w:uiPriority w:val="0"/>
    <w:pPr>
      <w:spacing w:line="542" w:lineRule="exact"/>
      <w:jc w:val="right"/>
    </w:pPr>
  </w:style>
  <w:style w:type="paragraph" w:customStyle="1" w:styleId="182">
    <w:name w:val="NO3"/>
    <w:basedOn w:val="1"/>
    <w:autoRedefine/>
    <w:qFormat/>
    <w:uiPriority w:val="0"/>
    <w:pPr>
      <w:tabs>
        <w:tab w:val="left" w:pos="907"/>
      </w:tabs>
      <w:spacing w:line="360" w:lineRule="auto"/>
    </w:pPr>
    <w:rPr>
      <w:rFonts w:ascii="宋体" w:hAnsi="宋体"/>
      <w:sz w:val="24"/>
    </w:rPr>
  </w:style>
  <w:style w:type="paragraph" w:customStyle="1" w:styleId="183">
    <w:name w:val="Style47"/>
    <w:basedOn w:val="1"/>
    <w:autoRedefine/>
    <w:unhideWhenUsed/>
    <w:qFormat/>
    <w:uiPriority w:val="0"/>
  </w:style>
  <w:style w:type="paragraph" w:customStyle="1" w:styleId="184">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85">
    <w:name w:val="Style81"/>
    <w:basedOn w:val="1"/>
    <w:autoRedefine/>
    <w:unhideWhenUsed/>
    <w:qFormat/>
    <w:uiPriority w:val="0"/>
    <w:pPr>
      <w:spacing w:line="547" w:lineRule="exact"/>
    </w:pPr>
  </w:style>
  <w:style w:type="paragraph" w:customStyle="1" w:styleId="186">
    <w:name w:val="p16"/>
    <w:basedOn w:val="1"/>
    <w:autoRedefine/>
    <w:qFormat/>
    <w:uiPriority w:val="0"/>
    <w:pPr>
      <w:widowControl/>
      <w:jc w:val="left"/>
    </w:pPr>
    <w:rPr>
      <w:kern w:val="0"/>
      <w:szCs w:val="21"/>
    </w:rPr>
  </w:style>
  <w:style w:type="paragraph" w:customStyle="1" w:styleId="187">
    <w:name w:val="Style42"/>
    <w:basedOn w:val="1"/>
    <w:autoRedefine/>
    <w:unhideWhenUsed/>
    <w:qFormat/>
    <w:uiPriority w:val="0"/>
    <w:pPr>
      <w:spacing w:line="542" w:lineRule="exact"/>
      <w:ind w:firstLine="547"/>
    </w:pPr>
  </w:style>
  <w:style w:type="paragraph" w:customStyle="1" w:styleId="188">
    <w:name w:val="Char Char Char"/>
    <w:basedOn w:val="1"/>
    <w:autoRedefine/>
    <w:qFormat/>
    <w:uiPriority w:val="0"/>
    <w:rPr>
      <w:rFonts w:ascii="宋体" w:hAnsi="宋体"/>
      <w:b/>
      <w:sz w:val="28"/>
      <w:szCs w:val="28"/>
    </w:rPr>
  </w:style>
  <w:style w:type="paragraph" w:customStyle="1" w:styleId="189">
    <w:name w:val="Style60"/>
    <w:basedOn w:val="1"/>
    <w:autoRedefine/>
    <w:unhideWhenUsed/>
    <w:qFormat/>
    <w:uiPriority w:val="0"/>
    <w:pPr>
      <w:spacing w:line="566" w:lineRule="exact"/>
    </w:pPr>
  </w:style>
  <w:style w:type="paragraph" w:customStyle="1" w:styleId="190">
    <w:name w:val="默认段落字体 Para Char Char Char Char Char Char Char Char Char Char Char Char Char Char Char Char Char Char Char"/>
    <w:basedOn w:val="1"/>
    <w:autoRedefine/>
    <w:qFormat/>
    <w:uiPriority w:val="0"/>
  </w:style>
  <w:style w:type="paragraph" w:customStyle="1" w:styleId="191">
    <w:name w:val="Style74"/>
    <w:basedOn w:val="1"/>
    <w:autoRedefine/>
    <w:unhideWhenUsed/>
    <w:qFormat/>
    <w:uiPriority w:val="0"/>
    <w:pPr>
      <w:spacing w:line="437" w:lineRule="exact"/>
    </w:pPr>
  </w:style>
  <w:style w:type="paragraph" w:customStyle="1" w:styleId="192">
    <w:name w:val="Char1 Char Char Char"/>
    <w:basedOn w:val="1"/>
    <w:autoRedefine/>
    <w:qFormat/>
    <w:uiPriority w:val="0"/>
    <w:pPr>
      <w:widowControl/>
      <w:spacing w:after="160" w:line="240" w:lineRule="exact"/>
      <w:jc w:val="left"/>
    </w:pPr>
    <w:rPr>
      <w:kern w:val="0"/>
      <w:sz w:val="24"/>
      <w:szCs w:val="20"/>
    </w:rPr>
  </w:style>
  <w:style w:type="paragraph" w:customStyle="1" w:styleId="193">
    <w:name w:val="Style15"/>
    <w:basedOn w:val="1"/>
    <w:autoRedefine/>
    <w:unhideWhenUsed/>
    <w:qFormat/>
    <w:uiPriority w:val="0"/>
    <w:pPr>
      <w:spacing w:line="557" w:lineRule="exact"/>
      <w:ind w:firstLine="672"/>
    </w:pPr>
  </w:style>
  <w:style w:type="paragraph" w:customStyle="1" w:styleId="194">
    <w:name w:val="Body Text First Indent 21"/>
    <w:basedOn w:val="195"/>
    <w:autoRedefine/>
    <w:qFormat/>
    <w:uiPriority w:val="0"/>
    <w:pPr>
      <w:ind w:firstLine="420" w:firstLineChars="200"/>
    </w:pPr>
  </w:style>
  <w:style w:type="paragraph" w:customStyle="1" w:styleId="195">
    <w:name w:val="Body Text Indent1"/>
    <w:basedOn w:val="1"/>
    <w:next w:val="196"/>
    <w:autoRedefine/>
    <w:qFormat/>
    <w:uiPriority w:val="0"/>
    <w:pPr>
      <w:spacing w:after="120"/>
      <w:ind w:left="420" w:leftChars="200"/>
    </w:pPr>
  </w:style>
  <w:style w:type="paragraph" w:customStyle="1" w:styleId="196">
    <w:name w:val="Body Text Indent 21"/>
    <w:basedOn w:val="1"/>
    <w:autoRedefine/>
    <w:qFormat/>
    <w:uiPriority w:val="0"/>
    <w:pPr>
      <w:spacing w:after="120" w:line="480" w:lineRule="auto"/>
      <w:ind w:left="420" w:leftChars="200"/>
    </w:pPr>
    <w:rPr>
      <w:kern w:val="0"/>
      <w:sz w:val="20"/>
    </w:rPr>
  </w:style>
  <w:style w:type="paragraph" w:customStyle="1" w:styleId="197">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styleId="198">
    <w:name w:val="List Paragraph"/>
    <w:basedOn w:val="1"/>
    <w:autoRedefine/>
    <w:qFormat/>
    <w:uiPriority w:val="0"/>
    <w:pPr>
      <w:ind w:firstLine="420" w:firstLineChars="200"/>
    </w:pPr>
    <w:rPr>
      <w:rFonts w:ascii="Calibri" w:hAnsi="Calibri"/>
      <w:szCs w:val="22"/>
    </w:rPr>
  </w:style>
  <w:style w:type="paragraph" w:customStyle="1" w:styleId="199">
    <w:name w:val="Style62"/>
    <w:basedOn w:val="1"/>
    <w:autoRedefine/>
    <w:unhideWhenUsed/>
    <w:qFormat/>
    <w:uiPriority w:val="0"/>
  </w:style>
  <w:style w:type="paragraph" w:customStyle="1" w:styleId="200">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01">
    <w:name w:val="Style8"/>
    <w:basedOn w:val="1"/>
    <w:autoRedefine/>
    <w:unhideWhenUsed/>
    <w:qFormat/>
    <w:uiPriority w:val="0"/>
    <w:pPr>
      <w:spacing w:line="566" w:lineRule="exact"/>
      <w:jc w:val="center"/>
    </w:pPr>
  </w:style>
  <w:style w:type="paragraph" w:customStyle="1" w:styleId="202">
    <w:name w:val="我的正文"/>
    <w:basedOn w:val="1"/>
    <w:next w:val="1"/>
    <w:autoRedefine/>
    <w:qFormat/>
    <w:uiPriority w:val="0"/>
    <w:pPr>
      <w:spacing w:line="440" w:lineRule="exact"/>
      <w:ind w:firstLine="420" w:firstLineChars="200"/>
      <w:jc w:val="left"/>
    </w:pPr>
    <w:rPr>
      <w:rFonts w:ascii="宋体" w:hAnsi="宋体"/>
      <w:szCs w:val="21"/>
    </w:rPr>
  </w:style>
  <w:style w:type="paragraph" w:customStyle="1" w:styleId="203">
    <w:name w:val="Style26"/>
    <w:basedOn w:val="1"/>
    <w:autoRedefine/>
    <w:unhideWhenUsed/>
    <w:qFormat/>
    <w:uiPriority w:val="0"/>
  </w:style>
  <w:style w:type="paragraph" w:customStyle="1" w:styleId="204">
    <w:name w:val="Style65"/>
    <w:basedOn w:val="1"/>
    <w:autoRedefine/>
    <w:unhideWhenUsed/>
    <w:qFormat/>
    <w:uiPriority w:val="0"/>
  </w:style>
  <w:style w:type="paragraph" w:customStyle="1" w:styleId="205">
    <w:name w:val="Style71"/>
    <w:basedOn w:val="1"/>
    <w:autoRedefine/>
    <w:unhideWhenUsed/>
    <w:qFormat/>
    <w:uiPriority w:val="0"/>
    <w:pPr>
      <w:spacing w:line="538" w:lineRule="exact"/>
      <w:ind w:firstLine="101"/>
    </w:pPr>
  </w:style>
  <w:style w:type="paragraph" w:customStyle="1" w:styleId="206">
    <w:name w:val="Style46"/>
    <w:basedOn w:val="1"/>
    <w:autoRedefine/>
    <w:unhideWhenUsed/>
    <w:qFormat/>
    <w:uiPriority w:val="0"/>
    <w:pPr>
      <w:spacing w:line="672" w:lineRule="exact"/>
    </w:pPr>
  </w:style>
  <w:style w:type="paragraph" w:customStyle="1" w:styleId="207">
    <w:name w:val="WPSOffice手动目录 1"/>
    <w:autoRedefine/>
    <w:qFormat/>
    <w:uiPriority w:val="0"/>
    <w:rPr>
      <w:rFonts w:ascii="Times New Roman" w:hAnsi="Times New Roman" w:eastAsia="宋体" w:cs="Times New Roman"/>
      <w:lang w:val="en-US" w:eastAsia="zh-CN" w:bidi="ar-SA"/>
    </w:rPr>
  </w:style>
  <w:style w:type="paragraph" w:customStyle="1" w:styleId="208">
    <w:name w:val="Style73"/>
    <w:basedOn w:val="1"/>
    <w:autoRedefine/>
    <w:unhideWhenUsed/>
    <w:qFormat/>
    <w:uiPriority w:val="0"/>
    <w:pPr>
      <w:spacing w:line="538" w:lineRule="exact"/>
      <w:ind w:firstLine="533"/>
    </w:pPr>
  </w:style>
  <w:style w:type="paragraph" w:customStyle="1" w:styleId="209">
    <w:name w:val="1"/>
    <w:basedOn w:val="1"/>
    <w:autoRedefine/>
    <w:qFormat/>
    <w:uiPriority w:val="0"/>
    <w:pPr>
      <w:spacing w:afterLines="50" w:line="360" w:lineRule="auto"/>
    </w:pPr>
    <w:rPr>
      <w:rFonts w:ascii="宋体" w:hAnsi="宋体"/>
      <w:b/>
      <w:sz w:val="30"/>
      <w:szCs w:val="21"/>
    </w:rPr>
  </w:style>
  <w:style w:type="paragraph" w:customStyle="1" w:styleId="210">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11">
    <w:name w:val="Style27"/>
    <w:basedOn w:val="1"/>
    <w:autoRedefine/>
    <w:unhideWhenUsed/>
    <w:qFormat/>
    <w:uiPriority w:val="0"/>
  </w:style>
  <w:style w:type="paragraph" w:customStyle="1" w:styleId="212">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13">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14">
    <w:name w:val="Style64"/>
    <w:basedOn w:val="1"/>
    <w:autoRedefine/>
    <w:unhideWhenUsed/>
    <w:qFormat/>
    <w:uiPriority w:val="0"/>
  </w:style>
  <w:style w:type="paragraph" w:customStyle="1" w:styleId="215">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6">
    <w:name w:val="Style36"/>
    <w:basedOn w:val="1"/>
    <w:autoRedefine/>
    <w:unhideWhenUsed/>
    <w:qFormat/>
    <w:uiPriority w:val="0"/>
  </w:style>
  <w:style w:type="paragraph" w:customStyle="1" w:styleId="217">
    <w:name w:val="附录标识"/>
    <w:basedOn w:val="212"/>
    <w:autoRedefine/>
    <w:qFormat/>
    <w:uiPriority w:val="0"/>
    <w:pPr>
      <w:tabs>
        <w:tab w:val="left" w:pos="6405"/>
        <w:tab w:val="clear" w:pos="360"/>
      </w:tabs>
      <w:spacing w:after="200"/>
    </w:pPr>
    <w:rPr>
      <w:sz w:val="21"/>
    </w:rPr>
  </w:style>
  <w:style w:type="paragraph" w:customStyle="1" w:styleId="218">
    <w:name w:val="Style80"/>
    <w:basedOn w:val="1"/>
    <w:autoRedefine/>
    <w:unhideWhenUsed/>
    <w:qFormat/>
    <w:uiPriority w:val="0"/>
  </w:style>
  <w:style w:type="paragraph" w:customStyle="1" w:styleId="219">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Style28"/>
    <w:basedOn w:val="1"/>
    <w:autoRedefine/>
    <w:unhideWhenUsed/>
    <w:qFormat/>
    <w:uiPriority w:val="0"/>
    <w:pPr>
      <w:spacing w:line="552" w:lineRule="exact"/>
      <w:ind w:firstLine="547"/>
    </w:pPr>
  </w:style>
  <w:style w:type="paragraph" w:customStyle="1" w:styleId="221">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22">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Cs w:val="20"/>
    </w:rPr>
  </w:style>
  <w:style w:type="paragraph" w:customStyle="1" w:styleId="223">
    <w:name w:val="Style12"/>
    <w:basedOn w:val="1"/>
    <w:autoRedefine/>
    <w:unhideWhenUsed/>
    <w:qFormat/>
    <w:uiPriority w:val="0"/>
    <w:pPr>
      <w:spacing w:line="564" w:lineRule="exact"/>
      <w:ind w:hanging="115"/>
    </w:pPr>
  </w:style>
  <w:style w:type="paragraph" w:customStyle="1" w:styleId="224">
    <w:name w:val="Style78"/>
    <w:basedOn w:val="1"/>
    <w:autoRedefine/>
    <w:unhideWhenUsed/>
    <w:qFormat/>
    <w:uiPriority w:val="0"/>
  </w:style>
  <w:style w:type="paragraph" w:customStyle="1" w:styleId="225">
    <w:name w:val="Style4"/>
    <w:basedOn w:val="1"/>
    <w:autoRedefine/>
    <w:unhideWhenUsed/>
    <w:qFormat/>
    <w:uiPriority w:val="0"/>
  </w:style>
  <w:style w:type="paragraph" w:customStyle="1" w:styleId="226">
    <w:name w:val="Style45"/>
    <w:basedOn w:val="1"/>
    <w:autoRedefine/>
    <w:unhideWhenUsed/>
    <w:qFormat/>
    <w:uiPriority w:val="0"/>
  </w:style>
  <w:style w:type="paragraph" w:customStyle="1" w:styleId="227">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28">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29">
    <w:name w:val="Style63"/>
    <w:basedOn w:val="1"/>
    <w:autoRedefine/>
    <w:unhideWhenUsed/>
    <w:qFormat/>
    <w:uiPriority w:val="0"/>
    <w:pPr>
      <w:spacing w:line="564" w:lineRule="exact"/>
      <w:ind w:firstLine="682"/>
    </w:pPr>
  </w:style>
  <w:style w:type="paragraph" w:customStyle="1" w:styleId="230">
    <w:name w:val="List Paragraph1"/>
    <w:basedOn w:val="1"/>
    <w:autoRedefine/>
    <w:qFormat/>
    <w:uiPriority w:val="0"/>
    <w:pPr>
      <w:ind w:firstLine="420" w:firstLineChars="200"/>
    </w:pPr>
    <w:rPr>
      <w:rFonts w:ascii="Calibri" w:hAnsi="Calibri" w:cs="Calibri"/>
      <w:szCs w:val="21"/>
    </w:rPr>
  </w:style>
  <w:style w:type="paragraph" w:customStyle="1" w:styleId="231">
    <w:name w:val="Style13"/>
    <w:basedOn w:val="1"/>
    <w:autoRedefine/>
    <w:unhideWhenUsed/>
    <w:qFormat/>
    <w:uiPriority w:val="0"/>
  </w:style>
  <w:style w:type="paragraph" w:customStyle="1" w:styleId="232">
    <w:name w:val="Char Char1 Char Char Char Char Char1 Char Char Char Char"/>
    <w:basedOn w:val="14"/>
    <w:autoRedefine/>
    <w:qFormat/>
    <w:uiPriority w:val="0"/>
    <w:rPr>
      <w:rFonts w:ascii="Tahoma" w:hAnsi="Tahoma"/>
    </w:rPr>
  </w:style>
  <w:style w:type="paragraph" w:customStyle="1" w:styleId="233">
    <w:name w:val="Char1 Char Char Char 字元 Char Char 字元 Char 字元 Char1 Char Char Char"/>
    <w:basedOn w:val="1"/>
    <w:autoRedefine/>
    <w:qFormat/>
    <w:uiPriority w:val="0"/>
    <w:rPr>
      <w:szCs w:val="20"/>
    </w:rPr>
  </w:style>
  <w:style w:type="paragraph" w:customStyle="1" w:styleId="234">
    <w:name w:val="Style11"/>
    <w:basedOn w:val="1"/>
    <w:autoRedefine/>
    <w:unhideWhenUsed/>
    <w:qFormat/>
    <w:uiPriority w:val="0"/>
    <w:pPr>
      <w:spacing w:line="559" w:lineRule="exact"/>
      <w:ind w:firstLine="590"/>
    </w:pPr>
  </w:style>
  <w:style w:type="paragraph" w:customStyle="1" w:styleId="235">
    <w:name w:val="Style50"/>
    <w:basedOn w:val="1"/>
    <w:autoRedefine/>
    <w:unhideWhenUsed/>
    <w:qFormat/>
    <w:uiPriority w:val="0"/>
  </w:style>
  <w:style w:type="paragraph" w:customStyle="1" w:styleId="236">
    <w:name w:val="Style56"/>
    <w:basedOn w:val="1"/>
    <w:autoRedefine/>
    <w:unhideWhenUsed/>
    <w:qFormat/>
    <w:uiPriority w:val="0"/>
  </w:style>
  <w:style w:type="paragraph" w:customStyle="1" w:styleId="237">
    <w:name w:val="Style23"/>
    <w:basedOn w:val="1"/>
    <w:autoRedefine/>
    <w:unhideWhenUsed/>
    <w:qFormat/>
    <w:uiPriority w:val="0"/>
  </w:style>
  <w:style w:type="paragraph" w:customStyle="1" w:styleId="238">
    <w:name w:val="Char Char1 Char Char Char Char Char Char Char"/>
    <w:basedOn w:val="1"/>
    <w:autoRedefine/>
    <w:qFormat/>
    <w:uiPriority w:val="0"/>
    <w:pPr>
      <w:widowControl/>
      <w:spacing w:after="160" w:line="240" w:lineRule="exact"/>
      <w:jc w:val="left"/>
    </w:pPr>
  </w:style>
  <w:style w:type="paragraph" w:customStyle="1" w:styleId="239">
    <w:name w:val="标题 1 +"/>
    <w:basedOn w:val="2"/>
    <w:next w:val="1"/>
    <w:autoRedefine/>
    <w:qFormat/>
    <w:uiPriority w:val="0"/>
    <w:pPr>
      <w:keepLines/>
      <w:spacing w:line="600" w:lineRule="auto"/>
    </w:pPr>
    <w:rPr>
      <w:rFonts w:eastAsia="黑体"/>
      <w:kern w:val="0"/>
    </w:rPr>
  </w:style>
  <w:style w:type="paragraph" w:customStyle="1" w:styleId="240">
    <w:name w:val="S表格文字"/>
    <w:basedOn w:val="1"/>
    <w:autoRedefine/>
    <w:qFormat/>
    <w:uiPriority w:val="0"/>
    <w:pPr>
      <w:widowControl/>
      <w:spacing w:before="20" w:after="20"/>
      <w:jc w:val="center"/>
    </w:pPr>
    <w:rPr>
      <w:rFonts w:ascii="宋体" w:hAnsi="宋体" w:cs="宋体"/>
      <w:kern w:val="0"/>
      <w:szCs w:val="21"/>
    </w:rPr>
  </w:style>
  <w:style w:type="paragraph" w:customStyle="1" w:styleId="241">
    <w:name w:val="Char Char1 Char Char Char"/>
    <w:basedOn w:val="1"/>
    <w:autoRedefine/>
    <w:qFormat/>
    <w:uiPriority w:val="0"/>
    <w:rPr>
      <w:kern w:val="0"/>
      <w:sz w:val="20"/>
      <w:szCs w:val="20"/>
    </w:rPr>
  </w:style>
  <w:style w:type="paragraph" w:customStyle="1" w:styleId="242">
    <w:name w:val="Style29"/>
    <w:basedOn w:val="1"/>
    <w:autoRedefine/>
    <w:unhideWhenUsed/>
    <w:qFormat/>
    <w:uiPriority w:val="0"/>
    <w:pPr>
      <w:spacing w:line="547" w:lineRule="exact"/>
      <w:ind w:firstLine="547"/>
    </w:pPr>
  </w:style>
  <w:style w:type="paragraph" w:customStyle="1" w:styleId="243">
    <w:name w:val="1 Char Char Char Char"/>
    <w:basedOn w:val="1"/>
    <w:autoRedefine/>
    <w:qFormat/>
    <w:uiPriority w:val="0"/>
  </w:style>
  <w:style w:type="paragraph" w:customStyle="1" w:styleId="244">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45">
    <w:name w:val="S表题图名"/>
    <w:basedOn w:val="5"/>
    <w:autoRedefine/>
    <w:qFormat/>
    <w:uiPriority w:val="0"/>
    <w:pPr>
      <w:widowControl/>
      <w:tabs>
        <w:tab w:val="left" w:pos="3412"/>
      </w:tabs>
      <w:spacing w:before="120" w:after="120" w:line="372" w:lineRule="auto"/>
      <w:ind w:right="40"/>
      <w:jc w:val="center"/>
      <w:outlineLvl w:val="9"/>
    </w:pPr>
    <w:rPr>
      <w:bCs w:val="0"/>
      <w:szCs w:val="20"/>
    </w:rPr>
  </w:style>
  <w:style w:type="paragraph" w:customStyle="1" w:styleId="246">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47">
    <w:name w:val="Style10"/>
    <w:basedOn w:val="1"/>
    <w:autoRedefine/>
    <w:unhideWhenUsed/>
    <w:qFormat/>
    <w:uiPriority w:val="0"/>
    <w:pPr>
      <w:spacing w:line="538" w:lineRule="exact"/>
    </w:pPr>
  </w:style>
  <w:style w:type="paragraph" w:customStyle="1" w:styleId="248">
    <w:name w:val="Style68"/>
    <w:basedOn w:val="1"/>
    <w:autoRedefine/>
    <w:unhideWhenUsed/>
    <w:qFormat/>
    <w:uiPriority w:val="0"/>
    <w:pPr>
      <w:spacing w:line="547" w:lineRule="exact"/>
    </w:pPr>
  </w:style>
  <w:style w:type="paragraph" w:customStyle="1" w:styleId="249">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0">
    <w:name w:val="Style61"/>
    <w:basedOn w:val="1"/>
    <w:autoRedefine/>
    <w:unhideWhenUsed/>
    <w:qFormat/>
    <w:uiPriority w:val="0"/>
  </w:style>
  <w:style w:type="paragraph" w:customStyle="1" w:styleId="251">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52">
    <w:name w:val="Style58"/>
    <w:basedOn w:val="1"/>
    <w:autoRedefine/>
    <w:unhideWhenUsed/>
    <w:qFormat/>
    <w:uiPriority w:val="0"/>
    <w:pPr>
      <w:spacing w:line="413" w:lineRule="exact"/>
    </w:pPr>
  </w:style>
  <w:style w:type="paragraph" w:customStyle="1" w:styleId="253">
    <w:name w:val="Style24"/>
    <w:basedOn w:val="1"/>
    <w:autoRedefine/>
    <w:unhideWhenUsed/>
    <w:qFormat/>
    <w:uiPriority w:val="0"/>
  </w:style>
  <w:style w:type="paragraph" w:customStyle="1" w:styleId="254">
    <w:name w:val="_Style 39"/>
    <w:basedOn w:val="219"/>
    <w:autoRedefine/>
    <w:qFormat/>
    <w:uiPriority w:val="0"/>
  </w:style>
  <w:style w:type="paragraph" w:customStyle="1" w:styleId="255">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56">
    <w:name w:val="Style59"/>
    <w:basedOn w:val="1"/>
    <w:autoRedefine/>
    <w:unhideWhenUsed/>
    <w:qFormat/>
    <w:uiPriority w:val="0"/>
  </w:style>
  <w:style w:type="paragraph" w:customStyle="1" w:styleId="257">
    <w:name w:val="Style77"/>
    <w:basedOn w:val="1"/>
    <w:autoRedefine/>
    <w:unhideWhenUsed/>
    <w:qFormat/>
    <w:uiPriority w:val="0"/>
  </w:style>
  <w:style w:type="paragraph" w:customStyle="1" w:styleId="258">
    <w:name w:val="Style5"/>
    <w:basedOn w:val="1"/>
    <w:autoRedefine/>
    <w:unhideWhenUsed/>
    <w:qFormat/>
    <w:uiPriority w:val="0"/>
  </w:style>
  <w:style w:type="paragraph" w:customStyle="1" w:styleId="259">
    <w:name w:val="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0">
    <w:name w:val="表格样式"/>
    <w:basedOn w:val="1"/>
    <w:autoRedefine/>
    <w:qFormat/>
    <w:uiPriority w:val="0"/>
    <w:pPr>
      <w:jc w:val="left"/>
    </w:pPr>
    <w:rPr>
      <w:sz w:val="22"/>
    </w:rPr>
  </w:style>
  <w:style w:type="paragraph" w:customStyle="1" w:styleId="261">
    <w:name w:val="Style72"/>
    <w:basedOn w:val="1"/>
    <w:autoRedefine/>
    <w:unhideWhenUsed/>
    <w:qFormat/>
    <w:uiPriority w:val="0"/>
  </w:style>
  <w:style w:type="paragraph" w:customStyle="1" w:styleId="262">
    <w:name w:val="Style52"/>
    <w:basedOn w:val="1"/>
    <w:autoRedefine/>
    <w:unhideWhenUsed/>
    <w:qFormat/>
    <w:uiPriority w:val="0"/>
    <w:pPr>
      <w:spacing w:line="682" w:lineRule="exact"/>
      <w:ind w:firstLine="557"/>
    </w:pPr>
  </w:style>
  <w:style w:type="paragraph" w:customStyle="1" w:styleId="263">
    <w:name w:val="Style9"/>
    <w:basedOn w:val="1"/>
    <w:autoRedefine/>
    <w:unhideWhenUsed/>
    <w:qFormat/>
    <w:uiPriority w:val="0"/>
  </w:style>
  <w:style w:type="paragraph" w:customStyle="1" w:styleId="264">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265">
    <w:name w:val="Char2"/>
    <w:basedOn w:val="1"/>
    <w:autoRedefine/>
    <w:qFormat/>
    <w:uiPriority w:val="0"/>
    <w:pPr>
      <w:tabs>
        <w:tab w:val="left" w:pos="360"/>
      </w:tabs>
      <w:ind w:left="360" w:hanging="360" w:hangingChars="200"/>
    </w:pPr>
    <w:rPr>
      <w:sz w:val="24"/>
    </w:rPr>
  </w:style>
  <w:style w:type="paragraph" w:customStyle="1" w:styleId="266">
    <w:name w:val="Style67"/>
    <w:basedOn w:val="1"/>
    <w:autoRedefine/>
    <w:unhideWhenUsed/>
    <w:qFormat/>
    <w:uiPriority w:val="0"/>
    <w:pPr>
      <w:spacing w:line="566" w:lineRule="exact"/>
      <w:ind w:firstLine="552"/>
    </w:pPr>
  </w:style>
  <w:style w:type="paragraph" w:customStyle="1" w:styleId="267">
    <w:name w:val="Char1 Char Char Char Char Char Char Char Char Char"/>
    <w:basedOn w:val="1"/>
    <w:autoRedefine/>
    <w:qFormat/>
    <w:uiPriority w:val="0"/>
    <w:rPr>
      <w:szCs w:val="20"/>
    </w:rPr>
  </w:style>
  <w:style w:type="paragraph" w:customStyle="1" w:styleId="268">
    <w:name w:val="S标题4"/>
    <w:basedOn w:val="5"/>
    <w:autoRedefine/>
    <w:qFormat/>
    <w:uiPriority w:val="0"/>
    <w:pPr>
      <w:keepNext w:val="0"/>
      <w:keepLines w:val="0"/>
      <w:widowControl/>
      <w:spacing w:before="0" w:after="0" w:line="520" w:lineRule="exact"/>
      <w:ind w:firstLine="510"/>
    </w:pPr>
    <w:rPr>
      <w:rFonts w:ascii="Times New Roman" w:hAnsi="Times New Roman" w:eastAsia="Times New Roman"/>
      <w:bCs w:val="0"/>
      <w:kern w:val="0"/>
      <w:sz w:val="24"/>
      <w:szCs w:val="24"/>
    </w:rPr>
  </w:style>
  <w:style w:type="paragraph" w:customStyle="1" w:styleId="269">
    <w:name w:val="Style34"/>
    <w:basedOn w:val="1"/>
    <w:autoRedefine/>
    <w:unhideWhenUsed/>
    <w:qFormat/>
    <w:uiPriority w:val="0"/>
    <w:pPr>
      <w:spacing w:line="375" w:lineRule="exact"/>
    </w:pPr>
  </w:style>
  <w:style w:type="paragraph" w:customStyle="1" w:styleId="270">
    <w:name w:val="Style21"/>
    <w:basedOn w:val="1"/>
    <w:autoRedefine/>
    <w:unhideWhenUsed/>
    <w:qFormat/>
    <w:uiPriority w:val="0"/>
    <w:pPr>
      <w:spacing w:line="566" w:lineRule="exact"/>
      <w:ind w:firstLine="682"/>
    </w:pPr>
  </w:style>
  <w:style w:type="paragraph" w:customStyle="1" w:styleId="271">
    <w:name w:val="_Style 258"/>
    <w:autoRedefine/>
    <w:qFormat/>
    <w:uiPriority w:val="0"/>
    <w:rPr>
      <w:rFonts w:ascii="Times New Roman" w:hAnsi="Times New Roman" w:eastAsia="宋体" w:cs="Times New Roman"/>
      <w:kern w:val="2"/>
      <w:sz w:val="21"/>
      <w:szCs w:val="24"/>
      <w:lang w:val="en-US" w:eastAsia="zh-CN" w:bidi="ar-SA"/>
    </w:rPr>
  </w:style>
  <w:style w:type="paragraph" w:customStyle="1" w:styleId="272">
    <w:name w:val="ty-xq-title"/>
    <w:basedOn w:val="1"/>
    <w:autoRedefine/>
    <w:qFormat/>
    <w:uiPriority w:val="0"/>
    <w:pPr>
      <w:spacing w:before="450" w:after="300"/>
      <w:jc w:val="center"/>
    </w:pPr>
    <w:rPr>
      <w:b/>
      <w:color w:val="333333"/>
      <w:kern w:val="0"/>
      <w:sz w:val="30"/>
      <w:szCs w:val="30"/>
    </w:rPr>
  </w:style>
  <w:style w:type="paragraph" w:customStyle="1" w:styleId="273">
    <w:name w:val="Style41"/>
    <w:basedOn w:val="1"/>
    <w:autoRedefine/>
    <w:unhideWhenUsed/>
    <w:qFormat/>
    <w:uiPriority w:val="0"/>
    <w:pPr>
      <w:spacing w:line="542" w:lineRule="exact"/>
      <w:ind w:firstLine="125"/>
    </w:pPr>
  </w:style>
  <w:style w:type="paragraph" w:customStyle="1" w:styleId="274">
    <w:name w:val="Table Paragraph"/>
    <w:basedOn w:val="1"/>
    <w:autoRedefine/>
    <w:qFormat/>
    <w:uiPriority w:val="1"/>
    <w:rPr>
      <w:rFonts w:ascii="宋体" w:hAnsi="宋体" w:cs="宋体"/>
      <w:lang w:val="zh-CN" w:bidi="zh-CN"/>
    </w:rPr>
  </w:style>
  <w:style w:type="paragraph" w:customStyle="1" w:styleId="275">
    <w:name w:val="Style16"/>
    <w:basedOn w:val="1"/>
    <w:autoRedefine/>
    <w:unhideWhenUsed/>
    <w:qFormat/>
    <w:uiPriority w:val="0"/>
    <w:pPr>
      <w:jc w:val="right"/>
    </w:pPr>
  </w:style>
  <w:style w:type="paragraph" w:customStyle="1" w:styleId="276">
    <w:name w:val="表格内容"/>
    <w:basedOn w:val="18"/>
    <w:autoRedefine/>
    <w:qFormat/>
    <w:uiPriority w:val="0"/>
    <w:pPr>
      <w:suppressLineNumbers/>
      <w:suppressAutoHyphens/>
      <w:jc w:val="left"/>
    </w:pPr>
    <w:rPr>
      <w:rFonts w:cs="Tahoma"/>
      <w:kern w:val="0"/>
      <w:sz w:val="24"/>
    </w:rPr>
  </w:style>
  <w:style w:type="paragraph" w:customStyle="1" w:styleId="277">
    <w:name w:val="Style54"/>
    <w:basedOn w:val="1"/>
    <w:autoRedefine/>
    <w:unhideWhenUsed/>
    <w:qFormat/>
    <w:uiPriority w:val="0"/>
  </w:style>
  <w:style w:type="paragraph" w:customStyle="1" w:styleId="278">
    <w:name w:val="Style69"/>
    <w:basedOn w:val="1"/>
    <w:autoRedefine/>
    <w:unhideWhenUsed/>
    <w:qFormat/>
    <w:uiPriority w:val="0"/>
    <w:pPr>
      <w:spacing w:line="557" w:lineRule="exact"/>
      <w:ind w:firstLine="1666"/>
    </w:pPr>
  </w:style>
  <w:style w:type="paragraph" w:customStyle="1" w:styleId="279">
    <w:name w:val="标题3"/>
    <w:basedOn w:val="2"/>
    <w:autoRedefine/>
    <w:qFormat/>
    <w:uiPriority w:val="0"/>
    <w:pPr>
      <w:spacing w:beforeLines="50" w:afterLines="50" w:line="400" w:lineRule="exact"/>
      <w:jc w:val="both"/>
    </w:pPr>
    <w:rPr>
      <w:rFonts w:ascii="宋体" w:hAnsi="宋体"/>
      <w:kern w:val="32"/>
    </w:rPr>
  </w:style>
  <w:style w:type="paragraph" w:customStyle="1" w:styleId="280">
    <w:name w:val="段"/>
    <w:autoRedefine/>
    <w:qFormat/>
    <w:uiPriority w:val="0"/>
    <w:pPr>
      <w:autoSpaceDE w:val="0"/>
      <w:autoSpaceDN w:val="0"/>
      <w:ind w:firstLine="200" w:firstLineChars="200"/>
      <w:jc w:val="both"/>
    </w:pPr>
    <w:rPr>
      <w:rFonts w:ascii="宋体" w:hAnsi="Times New Roman" w:eastAsia="Times New Roman" w:cs="Times New Roman"/>
      <w:sz w:val="24"/>
      <w:szCs w:val="22"/>
      <w:lang w:val="en-US" w:eastAsia="zh-CN" w:bidi="ar-SA"/>
    </w:rPr>
  </w:style>
  <w:style w:type="table" w:customStyle="1" w:styleId="281">
    <w:name w:val="网格型1"/>
    <w:basedOn w:val="4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2">
    <w:name w:val="Heading1"/>
    <w:basedOn w:val="1"/>
    <w:next w:val="1"/>
    <w:autoRedefine/>
    <w:qFormat/>
    <w:uiPriority w:val="0"/>
    <w:pPr>
      <w:keepNext/>
      <w:jc w:val="center"/>
      <w:textAlignment w:val="baseline"/>
    </w:pPr>
    <w:rPr>
      <w:rFonts w:ascii="Calibri" w:hAnsi="Calibri"/>
      <w:b/>
      <w:bCs/>
      <w:sz w:val="28"/>
      <w:szCs w:val="20"/>
    </w:rPr>
  </w:style>
  <w:style w:type="character" w:customStyle="1" w:styleId="283">
    <w:name w:val="_37aak"/>
    <w:basedOn w:val="49"/>
    <w:autoRedefine/>
    <w:qFormat/>
    <w:uiPriority w:val="0"/>
  </w:style>
  <w:style w:type="character" w:customStyle="1" w:styleId="284">
    <w:name w:val="hover7"/>
    <w:basedOn w:val="49"/>
    <w:autoRedefine/>
    <w:qFormat/>
    <w:uiPriority w:val="0"/>
    <w:rPr>
      <w:color w:val="315EFB"/>
    </w:rPr>
  </w:style>
  <w:style w:type="character" w:customStyle="1" w:styleId="285">
    <w:name w:val="hover6"/>
    <w:basedOn w:val="49"/>
    <w:autoRedefine/>
    <w:qFormat/>
    <w:uiPriority w:val="0"/>
    <w:rPr>
      <w:color w:val="315EFB"/>
    </w:rPr>
  </w:style>
  <w:style w:type="character" w:customStyle="1" w:styleId="286">
    <w:name w:val="hover"/>
    <w:basedOn w:val="49"/>
    <w:autoRedefine/>
    <w:qFormat/>
    <w:uiPriority w:val="0"/>
    <w:rPr>
      <w:color w:val="315EFB"/>
    </w:rPr>
  </w:style>
  <w:style w:type="paragraph" w:customStyle="1" w:styleId="287">
    <w:name w:val="正文缩进1"/>
    <w:basedOn w:val="1"/>
    <w:autoRedefine/>
    <w:qFormat/>
    <w:uiPriority w:val="99"/>
    <w:pPr>
      <w:widowControl/>
      <w:ind w:firstLine="420"/>
      <w:jc w:val="left"/>
    </w:pPr>
    <w:rPr>
      <w:kern w:val="0"/>
    </w:rPr>
  </w:style>
  <w:style w:type="paragraph" w:customStyle="1" w:styleId="288">
    <w:name w:val="Normal_1"/>
    <w:basedOn w:val="1"/>
    <w:autoRedefine/>
    <w:qFormat/>
    <w:uiPriority w:val="0"/>
    <w:pPr>
      <w:widowControl/>
      <w:jc w:val="left"/>
    </w:pPr>
    <w:rPr>
      <w:rFonts w:ascii="Calibri" w:hAnsi="Calibri"/>
      <w:kern w:val="0"/>
      <w:sz w:val="24"/>
    </w:rPr>
  </w:style>
  <w:style w:type="character" w:customStyle="1" w:styleId="289">
    <w:name w:val="10"/>
    <w:basedOn w:val="49"/>
    <w:autoRedefine/>
    <w:qFormat/>
    <w:uiPriority w:val="0"/>
    <w:rPr>
      <w:rFonts w:hint="default" w:ascii="Times New Roman" w:hAnsi="Times New Roman" w:cs="Times New Roman"/>
      <w:color w:val="000000"/>
      <w:sz w:val="20"/>
      <w:szCs w:val="20"/>
    </w:rPr>
  </w:style>
  <w:style w:type="paragraph" w:customStyle="1" w:styleId="290">
    <w:name w:val="样式 行距: 1.5 倍行距 首行缩进:  2 字符"/>
    <w:basedOn w:val="1"/>
    <w:autoRedefine/>
    <w:qFormat/>
    <w:uiPriority w:val="0"/>
    <w:pPr>
      <w:adjustRightInd w:val="0"/>
      <w:snapToGrid w:val="0"/>
      <w:spacing w:line="460" w:lineRule="exact"/>
    </w:pPr>
    <w:rPr>
      <w:sz w:val="24"/>
    </w:rPr>
  </w:style>
  <w:style w:type="character" w:customStyle="1" w:styleId="291">
    <w:name w:val="font41"/>
    <w:basedOn w:val="49"/>
    <w:autoRedefine/>
    <w:qFormat/>
    <w:uiPriority w:val="0"/>
    <w:rPr>
      <w:rFonts w:hint="eastAsia" w:ascii="宋体" w:hAnsi="宋体" w:eastAsia="宋体" w:cs="宋体"/>
      <w:color w:val="000000"/>
      <w:sz w:val="20"/>
      <w:szCs w:val="20"/>
      <w:u w:val="none"/>
    </w:rPr>
  </w:style>
  <w:style w:type="character" w:customStyle="1" w:styleId="292">
    <w:name w:val="font101"/>
    <w:basedOn w:val="49"/>
    <w:autoRedefine/>
    <w:qFormat/>
    <w:uiPriority w:val="0"/>
    <w:rPr>
      <w:rFonts w:ascii="Arial" w:hAnsi="Arial" w:cs="Arial"/>
      <w:color w:val="000000"/>
      <w:sz w:val="20"/>
      <w:szCs w:val="20"/>
      <w:u w:val="none"/>
    </w:rPr>
  </w:style>
  <w:style w:type="character" w:customStyle="1" w:styleId="293">
    <w:name w:val="l-btn-left2"/>
    <w:basedOn w:val="49"/>
    <w:autoRedefine/>
    <w:qFormat/>
    <w:uiPriority w:val="0"/>
  </w:style>
  <w:style w:type="character" w:customStyle="1" w:styleId="294">
    <w:name w:val="l-btn-left3"/>
    <w:basedOn w:val="49"/>
    <w:autoRedefine/>
    <w:qFormat/>
    <w:uiPriority w:val="0"/>
  </w:style>
  <w:style w:type="character" w:customStyle="1" w:styleId="295">
    <w:name w:val="l-btn-left4"/>
    <w:basedOn w:val="49"/>
    <w:autoRedefine/>
    <w:qFormat/>
    <w:uiPriority w:val="0"/>
  </w:style>
  <w:style w:type="character" w:customStyle="1" w:styleId="296">
    <w:name w:val="l-btn-left5"/>
    <w:basedOn w:val="49"/>
    <w:autoRedefine/>
    <w:qFormat/>
    <w:uiPriority w:val="0"/>
  </w:style>
  <w:style w:type="character" w:customStyle="1" w:styleId="297">
    <w:name w:val="l-btn-text"/>
    <w:basedOn w:val="49"/>
    <w:autoRedefine/>
    <w:qFormat/>
    <w:uiPriority w:val="0"/>
    <w:rPr>
      <w:sz w:val="18"/>
      <w:szCs w:val="18"/>
      <w:vertAlign w:val="baseline"/>
    </w:rPr>
  </w:style>
  <w:style w:type="character" w:customStyle="1" w:styleId="298">
    <w:name w:val="l-btn-icon-left"/>
    <w:basedOn w:val="49"/>
    <w:autoRedefine/>
    <w:qFormat/>
    <w:uiPriority w:val="0"/>
  </w:style>
  <w:style w:type="character" w:customStyle="1" w:styleId="299">
    <w:name w:val="l-btn-icon-right"/>
    <w:basedOn w:val="49"/>
    <w:autoRedefine/>
    <w:qFormat/>
    <w:uiPriority w:val="0"/>
  </w:style>
  <w:style w:type="character" w:customStyle="1" w:styleId="300">
    <w:name w:val="l-btn-empty"/>
    <w:basedOn w:val="49"/>
    <w:autoRedefine/>
    <w:qFormat/>
    <w:uiPriority w:val="0"/>
  </w:style>
  <w:style w:type="character" w:customStyle="1" w:styleId="301">
    <w:name w:val="l-btn-left"/>
    <w:basedOn w:val="49"/>
    <w:autoRedefine/>
    <w:qFormat/>
    <w:uiPriority w:val="0"/>
  </w:style>
  <w:style w:type="character" w:customStyle="1" w:styleId="302">
    <w:name w:val="l-btn-left1"/>
    <w:basedOn w:val="49"/>
    <w:autoRedefine/>
    <w:qFormat/>
    <w:uiPriority w:val="0"/>
  </w:style>
  <w:style w:type="paragraph" w:customStyle="1" w:styleId="303">
    <w:name w:val="正文_0"/>
    <w:next w:val="3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4">
    <w:name w:val="样式 首行缩进:  2 字符"/>
    <w:basedOn w:val="303"/>
    <w:qFormat/>
    <w:uiPriority w:val="0"/>
    <w:pPr>
      <w:spacing w:line="360" w:lineRule="auto"/>
      <w:ind w:firstLine="480" w:firstLineChars="200"/>
    </w:pPr>
    <w:rPr>
      <w:rFonts w:ascii="Times New Roman" w:hAnsi="Times New Roman" w:cs="宋体"/>
      <w:sz w:val="24"/>
      <w:szCs w:val="20"/>
    </w:rPr>
  </w:style>
  <w:style w:type="paragraph" w:customStyle="1" w:styleId="305">
    <w:name w:val="目录 51"/>
    <w:basedOn w:val="1"/>
    <w:next w:val="1"/>
    <w:qFormat/>
    <w:uiPriority w:val="0"/>
    <w:pPr>
      <w:ind w:left="1680"/>
    </w:pPr>
    <w:rPr>
      <w:rFonts w:ascii="Calibri" w:hAnsi="宋体" w:cs="宋体"/>
      <w:kern w:val="0"/>
      <w:szCs w:val="20"/>
    </w:rPr>
  </w:style>
  <w:style w:type="character" w:customStyle="1" w:styleId="306">
    <w:name w:val="副标题 Char"/>
    <w:basedOn w:val="49"/>
    <w:link w:val="34"/>
    <w:qFormat/>
    <w:uiPriority w:val="0"/>
    <w:rPr>
      <w:rFonts w:ascii="Cambria" w:hAnsi="Cambria"/>
      <w:b/>
      <w:bCs/>
      <w:kern w:val="28"/>
      <w:sz w:val="32"/>
      <w:szCs w:val="32"/>
      <w:lang w:val="zh-CN"/>
    </w:rPr>
  </w:style>
  <w:style w:type="paragraph" w:styleId="307">
    <w:name w:val="No Spacing"/>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08">
    <w:name w:val="Quote"/>
    <w:basedOn w:val="1"/>
    <w:next w:val="1"/>
    <w:link w:val="309"/>
    <w:autoRedefine/>
    <w:qFormat/>
    <w:uiPriority w:val="0"/>
    <w:rPr>
      <w:i/>
      <w:iCs/>
      <w:color w:val="000000"/>
      <w:szCs w:val="22"/>
    </w:rPr>
  </w:style>
  <w:style w:type="character" w:customStyle="1" w:styleId="309">
    <w:name w:val="引用 Char"/>
    <w:basedOn w:val="49"/>
    <w:link w:val="308"/>
    <w:qFormat/>
    <w:uiPriority w:val="0"/>
    <w:rPr>
      <w:i/>
      <w:iCs/>
      <w:color w:val="000000"/>
      <w:kern w:val="2"/>
      <w:sz w:val="21"/>
      <w:szCs w:val="22"/>
    </w:rPr>
  </w:style>
  <w:style w:type="paragraph" w:styleId="310">
    <w:name w:val="Intense Quote"/>
    <w:basedOn w:val="1"/>
    <w:next w:val="1"/>
    <w:link w:val="311"/>
    <w:autoRedefine/>
    <w:qFormat/>
    <w:uiPriority w:val="0"/>
    <w:pPr>
      <w:pBdr>
        <w:bottom w:val="single" w:color="4F81BD" w:sz="4" w:space="4"/>
      </w:pBdr>
      <w:spacing w:before="200" w:after="280"/>
      <w:ind w:left="936" w:right="936"/>
    </w:pPr>
    <w:rPr>
      <w:b/>
      <w:bCs/>
      <w:i/>
      <w:iCs/>
      <w:color w:val="4F81BD"/>
      <w:szCs w:val="22"/>
    </w:rPr>
  </w:style>
  <w:style w:type="character" w:customStyle="1" w:styleId="311">
    <w:name w:val="明显引用 Char"/>
    <w:basedOn w:val="49"/>
    <w:link w:val="310"/>
    <w:qFormat/>
    <w:uiPriority w:val="0"/>
    <w:rPr>
      <w:b/>
      <w:bCs/>
      <w:i/>
      <w:iCs/>
      <w:color w:val="4F81BD"/>
      <w:kern w:val="2"/>
      <w:sz w:val="21"/>
      <w:szCs w:val="22"/>
    </w:rPr>
  </w:style>
  <w:style w:type="character" w:customStyle="1" w:styleId="312">
    <w:name w:val="标题4 Char Char"/>
    <w:link w:val="313"/>
    <w:qFormat/>
    <w:locked/>
    <w:uiPriority w:val="0"/>
    <w:rPr>
      <w:rFonts w:ascii="Arial" w:hAnsi="Arial" w:cs="Arial"/>
      <w:b/>
      <w:bCs/>
      <w:sz w:val="24"/>
      <w:szCs w:val="32"/>
    </w:rPr>
  </w:style>
  <w:style w:type="paragraph" w:customStyle="1" w:styleId="313">
    <w:name w:val="标题4"/>
    <w:basedOn w:val="3"/>
    <w:next w:val="22"/>
    <w:link w:val="312"/>
    <w:autoRedefine/>
    <w:qFormat/>
    <w:uiPriority w:val="0"/>
    <w:pPr>
      <w:spacing w:before="260" w:after="260" w:line="412" w:lineRule="auto"/>
    </w:pPr>
    <w:rPr>
      <w:rFonts w:cs="Arial"/>
      <w:kern w:val="0"/>
      <w:sz w:val="24"/>
    </w:rPr>
  </w:style>
  <w:style w:type="character" w:customStyle="1" w:styleId="314">
    <w:name w:val="标题5 Char Char"/>
    <w:link w:val="315"/>
    <w:qFormat/>
    <w:locked/>
    <w:uiPriority w:val="0"/>
    <w:rPr>
      <w:rFonts w:ascii="Arial" w:hAnsi="Arial" w:cs="Arial"/>
      <w:b/>
      <w:bCs/>
      <w:sz w:val="24"/>
      <w:szCs w:val="32"/>
    </w:rPr>
  </w:style>
  <w:style w:type="paragraph" w:customStyle="1" w:styleId="315">
    <w:name w:val="标题5"/>
    <w:basedOn w:val="4"/>
    <w:link w:val="314"/>
    <w:autoRedefine/>
    <w:qFormat/>
    <w:uiPriority w:val="0"/>
    <w:pPr>
      <w:spacing w:line="412" w:lineRule="auto"/>
    </w:pPr>
    <w:rPr>
      <w:rFonts w:ascii="Arial" w:hAnsi="Arial" w:cs="Arial"/>
      <w:kern w:val="0"/>
      <w:sz w:val="24"/>
    </w:rPr>
  </w:style>
  <w:style w:type="paragraph" w:customStyle="1" w:styleId="316">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17">
    <w:name w:val="TOC 标题1"/>
    <w:basedOn w:val="2"/>
    <w:next w:val="1"/>
    <w:autoRedefine/>
    <w:qFormat/>
    <w:uiPriority w:val="0"/>
    <w:pPr>
      <w:keepLines/>
      <w:spacing w:before="340" w:after="330" w:line="576" w:lineRule="auto"/>
      <w:jc w:val="both"/>
      <w:outlineLvl w:val="9"/>
    </w:pPr>
    <w:rPr>
      <w:rFonts w:ascii="Times New Roman" w:hAnsi="Times New Roman" w:eastAsia="宋体" w:cs="Times New Roman"/>
      <w:kern w:val="44"/>
      <w:sz w:val="44"/>
      <w:szCs w:val="44"/>
      <w:lang w:val="zh-CN"/>
    </w:rPr>
  </w:style>
  <w:style w:type="paragraph" w:customStyle="1" w:styleId="318">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4"/>
      <w:szCs w:val="20"/>
    </w:rPr>
  </w:style>
  <w:style w:type="paragraph" w:customStyle="1" w:styleId="319">
    <w:name w:val="空半行"/>
    <w:basedOn w:val="1"/>
    <w:autoRedefine/>
    <w:qFormat/>
    <w:uiPriority w:val="0"/>
    <w:pPr>
      <w:adjustRightInd w:val="0"/>
      <w:spacing w:line="120" w:lineRule="exact"/>
    </w:pPr>
    <w:rPr>
      <w:rFonts w:eastAsia="仿宋_GB2312"/>
      <w:color w:val="FFFFFF"/>
      <w:kern w:val="0"/>
      <w:sz w:val="30"/>
      <w:szCs w:val="20"/>
    </w:rPr>
  </w:style>
  <w:style w:type="paragraph" w:customStyle="1" w:styleId="320">
    <w:name w:val="flNote"/>
    <w:basedOn w:val="1"/>
    <w:autoRedefine/>
    <w:qFormat/>
    <w:uiPriority w:val="0"/>
    <w:pPr>
      <w:adjustRightInd w:val="0"/>
      <w:spacing w:before="320" w:after="160" w:line="360" w:lineRule="atLeast"/>
      <w:jc w:val="center"/>
    </w:pPr>
    <w:rPr>
      <w:rFonts w:ascii="Arial" w:eastAsia="黑体"/>
      <w:kern w:val="0"/>
      <w:sz w:val="30"/>
      <w:szCs w:val="20"/>
    </w:rPr>
  </w:style>
  <w:style w:type="character" w:customStyle="1" w:styleId="321">
    <w:name w:val="正文文本 Char1"/>
    <w:qFormat/>
    <w:uiPriority w:val="0"/>
    <w:rPr>
      <w:kern w:val="2"/>
      <w:sz w:val="21"/>
      <w:szCs w:val="22"/>
    </w:rPr>
  </w:style>
  <w:style w:type="character" w:customStyle="1" w:styleId="322">
    <w:name w:val="明显引用 Char1"/>
    <w:basedOn w:val="49"/>
    <w:qFormat/>
    <w:uiPriority w:val="99"/>
    <w:rPr>
      <w:i/>
      <w:iCs/>
      <w:color w:val="4F81BD" w:themeColor="accent1"/>
      <w:kern w:val="2"/>
      <w:sz w:val="21"/>
      <w:szCs w:val="24"/>
      <w14:textFill>
        <w14:solidFill>
          <w14:schemeClr w14:val="accent1"/>
        </w14:solidFill>
      </w14:textFill>
    </w:rPr>
  </w:style>
  <w:style w:type="character" w:customStyle="1" w:styleId="323">
    <w:name w:val="不明显强调1"/>
    <w:qFormat/>
    <w:uiPriority w:val="0"/>
    <w:rPr>
      <w:i/>
      <w:iCs/>
      <w:color w:val="808080"/>
    </w:rPr>
  </w:style>
  <w:style w:type="character" w:customStyle="1" w:styleId="324">
    <w:name w:val="明显参考1"/>
    <w:qFormat/>
    <w:uiPriority w:val="0"/>
    <w:rPr>
      <w:b/>
      <w:bCs/>
      <w:smallCaps/>
      <w:color w:val="C0504D"/>
      <w:spacing w:val="5"/>
      <w:u w:val="single"/>
    </w:rPr>
  </w:style>
  <w:style w:type="character" w:customStyle="1" w:styleId="325">
    <w:name w:val="书籍标题1"/>
    <w:qFormat/>
    <w:uiPriority w:val="0"/>
    <w:rPr>
      <w:b/>
      <w:bCs/>
      <w:smallCaps/>
      <w:spacing w:val="5"/>
    </w:rPr>
  </w:style>
  <w:style w:type="character" w:customStyle="1" w:styleId="326">
    <w:name w:val="引用 Char1"/>
    <w:basedOn w:val="49"/>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character" w:customStyle="1" w:styleId="327">
    <w:name w:val="明显强调1"/>
    <w:qFormat/>
    <w:uiPriority w:val="0"/>
    <w:rPr>
      <w:b/>
      <w:bCs/>
      <w:i/>
      <w:iCs/>
      <w:color w:val="4F81BD"/>
    </w:rPr>
  </w:style>
  <w:style w:type="character" w:customStyle="1" w:styleId="328">
    <w:name w:val="textcontents"/>
    <w:qFormat/>
    <w:uiPriority w:val="0"/>
    <w:rPr>
      <w:rFonts w:hint="default" w:ascii="Times New Roman" w:hAnsi="Times New Roman" w:cs="Times New Roman"/>
    </w:rPr>
  </w:style>
  <w:style w:type="character" w:customStyle="1" w:styleId="329">
    <w:name w:val="不明显参考1"/>
    <w:qFormat/>
    <w:uiPriority w:val="0"/>
    <w:rPr>
      <w:smallCaps/>
      <w:color w:val="C0504D"/>
      <w:u w:val="single"/>
    </w:rPr>
  </w:style>
  <w:style w:type="character" w:customStyle="1" w:styleId="330">
    <w:name w:val="文档结构图 Char1"/>
    <w:qFormat/>
    <w:uiPriority w:val="0"/>
    <w:rPr>
      <w:rFonts w:hint="eastAsia" w:ascii="宋体" w:hAnsi="宋体" w:eastAsia="宋体"/>
      <w:kern w:val="2"/>
      <w:sz w:val="18"/>
      <w:szCs w:val="18"/>
    </w:rPr>
  </w:style>
  <w:style w:type="character" w:customStyle="1" w:styleId="331">
    <w:name w:val="rgroup"/>
    <w:basedOn w:val="4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9BA10E-1EF5-4498-BC1F-B77E27312B7F}">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100</Pages>
  <Words>7189</Words>
  <Characters>7593</Characters>
  <Lines>467</Lines>
  <Paragraphs>131</Paragraphs>
  <TotalTime>5</TotalTime>
  <ScaleCrop>false</ScaleCrop>
  <LinksUpToDate>false</LinksUpToDate>
  <CharactersWithSpaces>8067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2025-03-28T08:43:00Z</dcterms:created>
  <dc:creator>admin</dc:creator>
  <cp:lastModifiedBy>MRTAN</cp:lastModifiedBy>
  <cp:lastPrinted>2026-08-26T08:35:00Z</cp:lastPrinted>
  <dcterms:modified xsi:type="dcterms:W3CDTF">2026-10-16T03:11:29Z</dcterms:modified>
  <dc:title>附件十一</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DA1441A61F064BD7B0A1FF5085939AC5_13</vt:lpwstr>
  </property>
  <property fmtid="{D5CDD505-2E9C-101B-9397-08002B2CF9AE}" pid="4" name="KSOTemplateDocerSaveRecord">
    <vt:lpwstr>eyJoZGlkIjoiMmI0OGY3NjYxNTgxNWRiZmQyMDA0Nzc4MTlmMzk1N2UiLCJ1c2VySWQiOiIzODQ4NzQxMTMifQ==</vt:lpwstr>
  </property>
</Properties>
</file>