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7AA59">
      <w:pPr>
        <w:pStyle w:val="12"/>
        <w:spacing w:line="380" w:lineRule="exact"/>
        <w:jc w:val="center"/>
        <w:rPr>
          <w:rFonts w:ascii="隶书" w:hAnsi="华文中宋" w:eastAsia="隶书"/>
          <w:color w:val="auto"/>
          <w:sz w:val="84"/>
          <w:szCs w:val="84"/>
        </w:rPr>
      </w:pPr>
    </w:p>
    <w:p w14:paraId="7E51C9A0">
      <w:pPr>
        <w:pStyle w:val="12"/>
        <w:spacing w:line="380" w:lineRule="exact"/>
        <w:jc w:val="center"/>
        <w:rPr>
          <w:rFonts w:ascii="隶书" w:hAnsi="华文中宋" w:eastAsia="隶书"/>
          <w:color w:val="auto"/>
          <w:sz w:val="84"/>
          <w:szCs w:val="84"/>
        </w:rPr>
      </w:pPr>
    </w:p>
    <w:p w14:paraId="70B6DC3F">
      <w:pPr>
        <w:pStyle w:val="12"/>
        <w:jc w:val="center"/>
        <w:rPr>
          <w:rFonts w:ascii="隶书" w:hAnsi="华文中宋" w:eastAsia="隶书"/>
          <w:bCs/>
          <w:color w:val="auto"/>
          <w:sz w:val="84"/>
          <w:szCs w:val="84"/>
        </w:rPr>
      </w:pPr>
      <w:r>
        <w:rPr>
          <w:rFonts w:hint="eastAsia" w:ascii="隶书" w:hAnsi="华文中宋" w:eastAsia="隶书"/>
          <w:color w:val="auto"/>
          <w:sz w:val="84"/>
          <w:szCs w:val="84"/>
        </w:rPr>
        <w:t>政府采购</w:t>
      </w:r>
    </w:p>
    <w:p w14:paraId="068B2C2E">
      <w:pPr>
        <w:pStyle w:val="12"/>
        <w:adjustRightInd w:val="0"/>
        <w:snapToGrid w:val="0"/>
        <w:spacing w:line="360" w:lineRule="auto"/>
        <w:jc w:val="center"/>
        <w:rPr>
          <w:rFonts w:ascii="隶书" w:hAnsi="华文中宋" w:eastAsia="隶书"/>
          <w:color w:val="auto"/>
          <w:sz w:val="84"/>
          <w:szCs w:val="84"/>
        </w:rPr>
      </w:pPr>
      <w:r>
        <w:rPr>
          <w:rFonts w:hint="eastAsia" w:ascii="隶书" w:hAnsi="华文中宋" w:eastAsia="隶书"/>
          <w:color w:val="auto"/>
          <w:sz w:val="84"/>
          <w:szCs w:val="84"/>
        </w:rPr>
        <w:t>竞争性磋商文件</w:t>
      </w:r>
    </w:p>
    <w:p w14:paraId="4C9F5F4C">
      <w:pPr>
        <w:pStyle w:val="12"/>
        <w:adjustRightInd w:val="0"/>
        <w:snapToGrid w:val="0"/>
        <w:spacing w:line="360" w:lineRule="auto"/>
        <w:ind w:left="2563" w:leftChars="554" w:hanging="1400" w:hangingChars="700"/>
        <w:rPr>
          <w:rFonts w:ascii="Tahoma" w:hAnsi="Tahoma" w:cs="Tahoma"/>
          <w:color w:val="auto"/>
          <w:sz w:val="20"/>
          <w:szCs w:val="20"/>
        </w:rPr>
      </w:pPr>
    </w:p>
    <w:p w14:paraId="6D5F8E11">
      <w:pPr>
        <w:pStyle w:val="12"/>
        <w:adjustRightInd w:val="0"/>
        <w:snapToGrid w:val="0"/>
        <w:spacing w:line="360" w:lineRule="auto"/>
        <w:ind w:left="2563" w:leftChars="554" w:hanging="1400" w:hangingChars="700"/>
        <w:rPr>
          <w:rFonts w:ascii="Tahoma" w:hAnsi="Tahoma" w:cs="Tahoma"/>
          <w:color w:val="auto"/>
          <w:sz w:val="20"/>
          <w:szCs w:val="20"/>
        </w:rPr>
      </w:pPr>
    </w:p>
    <w:p w14:paraId="4C5C0842">
      <w:pPr>
        <w:pStyle w:val="12"/>
        <w:adjustRightInd w:val="0"/>
        <w:snapToGrid w:val="0"/>
        <w:spacing w:line="360" w:lineRule="auto"/>
        <w:ind w:left="2563" w:leftChars="554" w:hanging="1400" w:hangingChars="700"/>
        <w:rPr>
          <w:rFonts w:ascii="Tahoma" w:hAnsi="Tahoma" w:cs="Tahoma"/>
          <w:color w:val="auto"/>
          <w:sz w:val="20"/>
          <w:szCs w:val="20"/>
        </w:rPr>
      </w:pPr>
    </w:p>
    <w:p w14:paraId="0FFB0979">
      <w:pPr>
        <w:pStyle w:val="12"/>
        <w:adjustRightInd w:val="0"/>
        <w:snapToGrid w:val="0"/>
        <w:spacing w:line="360" w:lineRule="auto"/>
        <w:ind w:left="2563" w:leftChars="554" w:hanging="1400" w:hangingChars="700"/>
        <w:rPr>
          <w:rFonts w:ascii="Tahoma" w:hAnsi="Tahoma" w:cs="Tahoma"/>
          <w:color w:val="auto"/>
          <w:sz w:val="20"/>
          <w:szCs w:val="20"/>
        </w:rPr>
      </w:pPr>
    </w:p>
    <w:p w14:paraId="77E9BB47">
      <w:pPr>
        <w:pStyle w:val="12"/>
        <w:adjustRightInd w:val="0"/>
        <w:snapToGrid w:val="0"/>
        <w:spacing w:line="360" w:lineRule="auto"/>
        <w:ind w:left="2563" w:leftChars="554" w:hanging="1400" w:hangingChars="700"/>
        <w:rPr>
          <w:rFonts w:ascii="Tahoma" w:hAnsi="Tahoma" w:cs="Tahoma"/>
          <w:color w:val="auto"/>
          <w:sz w:val="20"/>
          <w:szCs w:val="20"/>
        </w:rPr>
      </w:pPr>
    </w:p>
    <w:p w14:paraId="1EFAB78D">
      <w:pPr>
        <w:pStyle w:val="12"/>
        <w:adjustRightInd w:val="0"/>
        <w:snapToGrid w:val="0"/>
        <w:spacing w:line="360" w:lineRule="auto"/>
        <w:ind w:left="2563" w:leftChars="554" w:hanging="1400" w:hangingChars="700"/>
        <w:rPr>
          <w:rFonts w:ascii="Tahoma" w:hAnsi="Tahoma" w:cs="Tahoma"/>
          <w:color w:val="auto"/>
          <w:sz w:val="20"/>
          <w:szCs w:val="20"/>
        </w:rPr>
      </w:pPr>
    </w:p>
    <w:p w14:paraId="734F7DF1">
      <w:pPr>
        <w:adjustRightInd w:val="0"/>
        <w:snapToGrid w:val="0"/>
        <w:spacing w:line="360" w:lineRule="auto"/>
        <w:ind w:left="2956" w:leftChars="349" w:hanging="2224" w:hangingChars="695"/>
        <w:rPr>
          <w:rFonts w:hint="default" w:ascii="宋体" w:hAnsi="宋体" w:eastAsia="宋体"/>
          <w:color w:val="auto"/>
          <w:spacing w:val="-4"/>
          <w:sz w:val="32"/>
          <w:szCs w:val="32"/>
          <w:lang w:val="en-US" w:eastAsia="zh-CN"/>
        </w:rPr>
      </w:pPr>
      <w:r>
        <w:rPr>
          <w:rFonts w:hint="eastAsia" w:ascii="宋体" w:hAnsi="宋体"/>
          <w:color w:val="auto"/>
          <w:sz w:val="32"/>
          <w:szCs w:val="32"/>
        </w:rPr>
        <w:t>采购项目名称：</w:t>
      </w:r>
      <w:r>
        <w:rPr>
          <w:rFonts w:hint="eastAsia" w:ascii="宋体" w:hAnsi="宋体"/>
          <w:color w:val="auto"/>
          <w:sz w:val="32"/>
          <w:szCs w:val="32"/>
          <w:lang w:eastAsia="zh-CN"/>
        </w:rPr>
        <w:t>湖南国防工业职业技术学院围墙道路等改造工程项目</w:t>
      </w:r>
    </w:p>
    <w:p w14:paraId="1B36AB6E">
      <w:pPr>
        <w:adjustRightInd w:val="0"/>
        <w:snapToGrid w:val="0"/>
        <w:spacing w:line="360" w:lineRule="auto"/>
        <w:ind w:firstLine="793" w:firstLineChars="248"/>
        <w:rPr>
          <w:rFonts w:hint="eastAsia" w:ascii="宋体" w:hAnsi="宋体"/>
          <w:color w:val="auto"/>
          <w:sz w:val="32"/>
          <w:szCs w:val="32"/>
          <w:lang w:val="en-US" w:eastAsia="zh-CN"/>
        </w:rPr>
      </w:pPr>
      <w:r>
        <w:rPr>
          <w:rFonts w:hint="eastAsia" w:ascii="宋体" w:hAnsi="宋体"/>
          <w:color w:val="auto"/>
          <w:sz w:val="32"/>
          <w:szCs w:val="32"/>
          <w:lang w:val="en-US" w:eastAsia="zh-CN"/>
        </w:rPr>
        <w:t>政府采购编号：</w:t>
      </w:r>
      <w:r>
        <w:rPr>
          <w:rFonts w:hint="default" w:ascii="宋体" w:hAnsi="宋体"/>
          <w:color w:val="auto"/>
          <w:sz w:val="32"/>
          <w:szCs w:val="32"/>
          <w:lang w:val="en-US" w:eastAsia="zh-CN"/>
        </w:rPr>
        <w:t>(2026)430000000186-1</w:t>
      </w:r>
    </w:p>
    <w:p w14:paraId="6D2F7976">
      <w:pPr>
        <w:adjustRightInd w:val="0"/>
        <w:snapToGrid w:val="0"/>
        <w:spacing w:line="360" w:lineRule="auto"/>
        <w:ind w:firstLine="793" w:firstLineChars="248"/>
        <w:rPr>
          <w:rFonts w:hint="default" w:ascii="宋体" w:hAnsi="宋体"/>
          <w:color w:val="auto"/>
          <w:sz w:val="32"/>
          <w:szCs w:val="32"/>
          <w:lang w:val="en-US" w:eastAsia="zh-CN"/>
        </w:rPr>
      </w:pPr>
      <w:r>
        <w:rPr>
          <w:rFonts w:hint="eastAsia" w:ascii="宋体" w:hAnsi="宋体"/>
          <w:color w:val="auto"/>
          <w:sz w:val="32"/>
          <w:szCs w:val="32"/>
        </w:rPr>
        <w:t>委托代理编号：</w:t>
      </w:r>
      <w:r>
        <w:rPr>
          <w:rFonts w:hint="eastAsia" w:ascii="宋体" w:hAnsi="宋体"/>
          <w:color w:val="auto"/>
          <w:sz w:val="32"/>
          <w:szCs w:val="32"/>
          <w:lang w:eastAsia="zh-CN"/>
        </w:rPr>
        <w:t>MXZB-2026-0040</w:t>
      </w:r>
      <w:r>
        <w:rPr>
          <w:rFonts w:hint="eastAsia" w:ascii="宋体" w:hAnsi="宋体"/>
          <w:color w:val="auto"/>
          <w:sz w:val="32"/>
          <w:szCs w:val="32"/>
          <w:lang w:val="en-US" w:eastAsia="zh-CN"/>
        </w:rPr>
        <w:t xml:space="preserve">  </w:t>
      </w:r>
    </w:p>
    <w:p w14:paraId="4FC07CAD">
      <w:pPr>
        <w:adjustRightInd w:val="0"/>
        <w:snapToGrid w:val="0"/>
        <w:spacing w:line="360" w:lineRule="auto"/>
        <w:ind w:firstLine="793" w:firstLineChars="248"/>
        <w:rPr>
          <w:rFonts w:hint="eastAsia" w:ascii="宋体" w:hAnsi="宋体" w:eastAsia="宋体"/>
          <w:color w:val="auto"/>
          <w:sz w:val="32"/>
          <w:szCs w:val="32"/>
          <w:lang w:eastAsia="zh-CN"/>
        </w:rPr>
      </w:pPr>
      <w:r>
        <w:rPr>
          <w:rFonts w:hint="eastAsia" w:ascii="宋体" w:hAnsi="宋体"/>
          <w:color w:val="auto"/>
          <w:sz w:val="32"/>
          <w:szCs w:val="32"/>
        </w:rPr>
        <w:t>采   购   人：</w:t>
      </w:r>
      <w:r>
        <w:rPr>
          <w:rFonts w:hint="eastAsia" w:ascii="宋体" w:hAnsi="宋体"/>
          <w:color w:val="auto"/>
          <w:sz w:val="32"/>
          <w:szCs w:val="32"/>
          <w:lang w:eastAsia="zh-CN"/>
        </w:rPr>
        <w:t>湖南国防工业职业技术学院</w:t>
      </w:r>
    </w:p>
    <w:p w14:paraId="1A0D3CE4">
      <w:pPr>
        <w:adjustRightInd w:val="0"/>
        <w:snapToGrid w:val="0"/>
        <w:spacing w:line="360" w:lineRule="auto"/>
        <w:ind w:firstLine="313" w:firstLineChars="98"/>
        <w:rPr>
          <w:rFonts w:ascii="仿宋_GB2312" w:hAnsi="宋体" w:eastAsia="仿宋_GB2312"/>
          <w:b/>
          <w:color w:val="auto"/>
          <w:sz w:val="32"/>
        </w:rPr>
      </w:pPr>
      <w:r>
        <w:rPr>
          <w:rFonts w:hint="eastAsia" w:ascii="宋体" w:hAnsi="宋体"/>
          <w:color w:val="auto"/>
          <w:sz w:val="32"/>
          <w:szCs w:val="32"/>
        </w:rPr>
        <w:t xml:space="preserve">   采购代理机构：湖南明信招标代理有限公司</w:t>
      </w:r>
    </w:p>
    <w:p w14:paraId="16D215F6">
      <w:pPr>
        <w:adjustRightInd w:val="0"/>
        <w:snapToGrid w:val="0"/>
        <w:spacing w:line="360" w:lineRule="auto"/>
        <w:ind w:firstLine="313" w:firstLineChars="98"/>
        <w:rPr>
          <w:rFonts w:ascii="仿宋_GB2312" w:hAnsi="宋体" w:eastAsia="仿宋_GB2312"/>
          <w:b/>
          <w:color w:val="auto"/>
          <w:sz w:val="32"/>
        </w:rPr>
      </w:pPr>
    </w:p>
    <w:p w14:paraId="3DEB0F87">
      <w:pPr>
        <w:adjustRightInd w:val="0"/>
        <w:snapToGrid w:val="0"/>
        <w:spacing w:line="360" w:lineRule="auto"/>
        <w:ind w:firstLine="313" w:firstLineChars="98"/>
        <w:rPr>
          <w:rFonts w:hint="eastAsia" w:ascii="仿宋_GB2312" w:hAnsi="宋体" w:eastAsia="宋体"/>
          <w:b/>
          <w:color w:val="auto"/>
          <w:sz w:val="32"/>
          <w:lang w:eastAsia="zh-CN"/>
        </w:rPr>
      </w:pPr>
    </w:p>
    <w:p w14:paraId="1F10BC82">
      <w:pPr>
        <w:pStyle w:val="12"/>
        <w:adjustRightInd w:val="0"/>
        <w:snapToGrid w:val="0"/>
        <w:spacing w:line="360" w:lineRule="auto"/>
        <w:jc w:val="center"/>
        <w:rPr>
          <w:rFonts w:ascii="仿宋_GB2312" w:hAnsi="宋体" w:eastAsia="仿宋_GB2312"/>
          <w:b/>
          <w:color w:val="auto"/>
          <w:sz w:val="32"/>
        </w:rPr>
      </w:pPr>
    </w:p>
    <w:p w14:paraId="06C3ED55">
      <w:pPr>
        <w:pStyle w:val="12"/>
        <w:adjustRightInd w:val="0"/>
        <w:snapToGrid w:val="0"/>
        <w:spacing w:line="360" w:lineRule="auto"/>
        <w:jc w:val="center"/>
        <w:rPr>
          <w:rFonts w:ascii="仿宋_GB2312" w:hAnsi="宋体" w:eastAsia="仿宋_GB2312"/>
          <w:b/>
          <w:color w:val="auto"/>
          <w:sz w:val="32"/>
        </w:rPr>
      </w:pPr>
    </w:p>
    <w:p w14:paraId="5BA28E8B">
      <w:pPr>
        <w:pStyle w:val="12"/>
        <w:adjustRightInd w:val="0"/>
        <w:snapToGrid w:val="0"/>
        <w:spacing w:line="360" w:lineRule="auto"/>
        <w:rPr>
          <w:rFonts w:ascii="仿宋_GB2312" w:hAnsi="宋体" w:eastAsia="仿宋_GB2312"/>
          <w:b/>
          <w:color w:val="auto"/>
          <w:sz w:val="32"/>
        </w:rPr>
      </w:pPr>
    </w:p>
    <w:p w14:paraId="5F8F4A5A">
      <w:pPr>
        <w:adjustRightInd w:val="0"/>
        <w:snapToGrid w:val="0"/>
        <w:spacing w:line="360" w:lineRule="auto"/>
        <w:ind w:firstLine="313" w:firstLineChars="98"/>
        <w:jc w:val="center"/>
        <w:rPr>
          <w:rFonts w:ascii="宋体" w:hAnsi="宋体"/>
          <w:color w:val="auto"/>
          <w:sz w:val="32"/>
          <w:szCs w:val="32"/>
        </w:rPr>
      </w:pPr>
      <w:r>
        <w:rPr>
          <w:rFonts w:hint="eastAsia" w:ascii="宋体" w:hAnsi="宋体"/>
          <w:color w:val="auto"/>
          <w:sz w:val="32"/>
          <w:szCs w:val="32"/>
        </w:rPr>
        <w:t>202</w:t>
      </w:r>
      <w:r>
        <w:rPr>
          <w:rFonts w:hint="eastAsia" w:ascii="宋体" w:hAnsi="宋体"/>
          <w:color w:val="auto"/>
          <w:sz w:val="32"/>
          <w:szCs w:val="32"/>
          <w:lang w:val="en-US" w:eastAsia="zh-CN"/>
        </w:rPr>
        <w:t>6</w:t>
      </w:r>
      <w:r>
        <w:rPr>
          <w:rFonts w:hint="eastAsia" w:ascii="宋体" w:hAnsi="宋体"/>
          <w:color w:val="auto"/>
          <w:sz w:val="32"/>
          <w:szCs w:val="32"/>
        </w:rPr>
        <w:t>年</w:t>
      </w:r>
      <w:r>
        <w:rPr>
          <w:rFonts w:hint="eastAsia" w:ascii="宋体" w:hAnsi="宋体"/>
          <w:color w:val="auto"/>
          <w:sz w:val="32"/>
          <w:szCs w:val="32"/>
          <w:lang w:val="en-US" w:eastAsia="zh-CN"/>
        </w:rPr>
        <w:t>07</w:t>
      </w:r>
      <w:r>
        <w:rPr>
          <w:rFonts w:hint="eastAsia" w:ascii="宋体" w:hAnsi="宋体"/>
          <w:color w:val="auto"/>
          <w:sz w:val="32"/>
          <w:szCs w:val="32"/>
        </w:rPr>
        <w:t>月</w:t>
      </w:r>
    </w:p>
    <w:p w14:paraId="7E2F4AF2">
      <w:pPr>
        <w:rPr>
          <w:rFonts w:hint="eastAsia" w:ascii="黑体" w:hAnsi="宋体" w:eastAsia="黑体"/>
          <w:b/>
          <w:color w:val="auto"/>
          <w:spacing w:val="160"/>
          <w:sz w:val="32"/>
          <w:szCs w:val="32"/>
        </w:rPr>
      </w:pPr>
      <w:r>
        <w:rPr>
          <w:rFonts w:hint="eastAsia" w:ascii="黑体" w:hAnsi="宋体" w:eastAsia="黑体"/>
          <w:b/>
          <w:color w:val="auto"/>
          <w:spacing w:val="160"/>
          <w:sz w:val="32"/>
          <w:szCs w:val="32"/>
        </w:rPr>
        <w:br w:type="page"/>
      </w:r>
    </w:p>
    <w:p w14:paraId="6C5400DF">
      <w:pPr>
        <w:pStyle w:val="12"/>
        <w:adjustRightInd w:val="0"/>
        <w:snapToGrid w:val="0"/>
        <w:spacing w:line="360" w:lineRule="auto"/>
        <w:jc w:val="center"/>
        <w:rPr>
          <w:rFonts w:ascii="黑体" w:hAnsi="宋体" w:eastAsia="黑体"/>
          <w:b/>
          <w:color w:val="auto"/>
          <w:spacing w:val="160"/>
          <w:sz w:val="32"/>
          <w:szCs w:val="32"/>
        </w:rPr>
      </w:pPr>
      <w:r>
        <w:rPr>
          <w:rFonts w:hint="eastAsia" w:ascii="黑体" w:hAnsi="宋体" w:eastAsia="黑体"/>
          <w:b/>
          <w:color w:val="auto"/>
          <w:spacing w:val="160"/>
          <w:sz w:val="32"/>
          <w:szCs w:val="32"/>
        </w:rPr>
        <w:t>目录</w:t>
      </w:r>
    </w:p>
    <w:p w14:paraId="1E614EE1">
      <w:pPr>
        <w:pStyle w:val="15"/>
        <w:keepNext w:val="0"/>
        <w:keepLines w:val="0"/>
        <w:pageBreakBefore w:val="0"/>
        <w:widowControl w:val="0"/>
        <w:tabs>
          <w:tab w:val="right" w:leader="dot" w:pos="9070"/>
        </w:tabs>
        <w:kinsoku/>
        <w:wordWrap/>
        <w:overflowPunct/>
        <w:topLinePunct w:val="0"/>
        <w:autoSpaceDE/>
        <w:autoSpaceDN/>
        <w:bidi w:val="0"/>
        <w:spacing w:before="0" w:after="0"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 w:val="0"/>
          <w:i w:val="0"/>
          <w:iCs w:val="0"/>
          <w:color w:val="auto"/>
          <w:spacing w:val="160"/>
          <w:sz w:val="21"/>
          <w:szCs w:val="21"/>
        </w:rPr>
        <w:fldChar w:fldCharType="begin"/>
      </w:r>
      <w:r>
        <w:rPr>
          <w:rFonts w:hint="eastAsia" w:ascii="宋体" w:hAnsi="宋体" w:eastAsia="宋体" w:cs="宋体"/>
          <w:b w:val="0"/>
          <w:i w:val="0"/>
          <w:iCs w:val="0"/>
          <w:color w:val="auto"/>
          <w:spacing w:val="160"/>
          <w:sz w:val="21"/>
          <w:szCs w:val="21"/>
        </w:rPr>
        <w:instrText xml:space="preserve"> TOC \o "1-3" \h \z \u </w:instrText>
      </w:r>
      <w:r>
        <w:rPr>
          <w:rFonts w:hint="eastAsia" w:ascii="宋体" w:hAnsi="宋体" w:eastAsia="宋体" w:cs="宋体"/>
          <w:b w:val="0"/>
          <w:i w:val="0"/>
          <w:iCs w:val="0"/>
          <w:color w:val="auto"/>
          <w:spacing w:val="160"/>
          <w:sz w:val="21"/>
          <w:szCs w:val="21"/>
        </w:rPr>
        <w:fldChar w:fldCharType="separate"/>
      </w:r>
      <w:r>
        <w:rPr>
          <w:rFonts w:hint="eastAsia" w:ascii="宋体" w:hAnsi="宋体" w:eastAsia="宋体" w:cs="宋体"/>
          <w:i w:val="0"/>
          <w:iCs w:val="0"/>
          <w:color w:val="auto"/>
          <w:spacing w:val="160"/>
          <w:sz w:val="21"/>
          <w:szCs w:val="21"/>
        </w:rPr>
        <w:fldChar w:fldCharType="begin"/>
      </w:r>
      <w:r>
        <w:rPr>
          <w:rFonts w:hint="eastAsia" w:ascii="宋体" w:hAnsi="宋体" w:eastAsia="宋体" w:cs="宋体"/>
          <w:i w:val="0"/>
          <w:iCs w:val="0"/>
          <w:color w:val="auto"/>
          <w:spacing w:val="160"/>
          <w:sz w:val="21"/>
          <w:szCs w:val="21"/>
        </w:rPr>
        <w:instrText xml:space="preserve"> HYPERLINK \l _Toc14857 </w:instrText>
      </w:r>
      <w:r>
        <w:rPr>
          <w:rFonts w:hint="eastAsia" w:ascii="宋体" w:hAnsi="宋体" w:eastAsia="宋体" w:cs="宋体"/>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第一章 磋商邀请</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_Toc14857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w:t>
      </w:r>
      <w:r>
        <w:rPr>
          <w:rFonts w:hint="eastAsia" w:ascii="宋体" w:hAnsi="宋体" w:eastAsia="宋体" w:cs="宋体"/>
          <w:i w:val="0"/>
          <w:iCs w:val="0"/>
          <w:color w:val="auto"/>
          <w:sz w:val="21"/>
          <w:szCs w:val="21"/>
        </w:rPr>
        <w:fldChar w:fldCharType="end"/>
      </w:r>
      <w:r>
        <w:rPr>
          <w:rFonts w:hint="eastAsia" w:ascii="宋体" w:hAnsi="宋体" w:eastAsia="宋体" w:cs="宋体"/>
          <w:i w:val="0"/>
          <w:iCs w:val="0"/>
          <w:color w:val="auto"/>
          <w:spacing w:val="160"/>
          <w:sz w:val="21"/>
          <w:szCs w:val="21"/>
        </w:rPr>
        <w:fldChar w:fldCharType="end"/>
      </w:r>
    </w:p>
    <w:p w14:paraId="21540987">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_Toc27570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一、项目基本情况</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_Toc27570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812E4B2">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_Toc8557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二、采购需求</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_Toc8557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97AC553">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_Toc16068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三、采购项目需落实的政府采购政策</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_Toc16068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094AED3">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_Toc3863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四、供应商的资格要求</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_Toc3863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81A251F">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_Toc14664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五、获取采购文件</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_Toc14664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01744E5">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_Toc27816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六、响应文件提交的截止时间、开启时间及地点</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_Toc27816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279A19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_Toc29283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七、询问及质疑</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_Toc29283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716E792">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_Toc8336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八、投标说明</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_Toc8336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5C4BFB5">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_Toc15132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lang w:val="en-US" w:eastAsia="zh-CN"/>
        </w:rPr>
        <w:t>九</w:t>
      </w:r>
      <w:r>
        <w:rPr>
          <w:rFonts w:hint="eastAsia" w:ascii="宋体" w:hAnsi="宋体" w:eastAsia="宋体" w:cs="宋体"/>
          <w:i w:val="0"/>
          <w:iCs w:val="0"/>
          <w:color w:val="auto"/>
          <w:sz w:val="21"/>
          <w:szCs w:val="21"/>
        </w:rPr>
        <w:t>、联系方式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_Toc15132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00C1F341">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_Toc4784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第一节 磋商须知前附表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_Toc4784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067E6E4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_Toc4861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第二节 磋商须知正文</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_Toc4861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11AEA36">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_Toc18154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一、说明</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_Toc18154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DAE4FB7">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_Toc28378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二、磋商文件</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_Toc28378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2F09B04">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_Toc19137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三、响应文件</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_Toc19137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2557D2D">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_Toc1252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四、响应文件的递交</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_Toc1252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0D20B8B">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_Toc2133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五、响应文件的评审与磋商</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_Toc2133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451E52F">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_Toc29929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六、成交结果信息公布与授予合同</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_Toc29929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19</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5553220">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_Toc25895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七、政府采购政策</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_Toc25895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20</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7419573">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_Toc25195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八、其他规定</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_Toc25195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C37E440">
      <w:pPr>
        <w:pStyle w:val="15"/>
        <w:keepNext w:val="0"/>
        <w:keepLines w:val="0"/>
        <w:pageBreakBefore w:val="0"/>
        <w:widowControl w:val="0"/>
        <w:tabs>
          <w:tab w:val="right" w:leader="dot" w:pos="9070"/>
        </w:tabs>
        <w:kinsoku/>
        <w:wordWrap/>
        <w:overflowPunct/>
        <w:topLinePunct w:val="0"/>
        <w:autoSpaceDE/>
        <w:autoSpaceDN/>
        <w:bidi w:val="0"/>
        <w:spacing w:before="0" w:after="0"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_Toc28883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第三章 资格审查及评审方法及标准</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_Toc28883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15FCDC1">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_Toc8813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第一节资格审查</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_Toc8813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94C370A">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_Toc26846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第二节评审方法及标准</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_Toc26846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90371BE">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_Toc28351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附表1资格审查表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_Toc28351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39B448E">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_Toc20651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附表2符合性审查表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_Toc20651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28</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4789981">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_Toc4780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附表3评审方法及标准表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_Toc4780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29</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7299767">
      <w:pPr>
        <w:pStyle w:val="15"/>
        <w:keepNext w:val="0"/>
        <w:keepLines w:val="0"/>
        <w:pageBreakBefore w:val="0"/>
        <w:widowControl w:val="0"/>
        <w:tabs>
          <w:tab w:val="right" w:leader="dot" w:pos="9070"/>
        </w:tabs>
        <w:kinsoku/>
        <w:wordWrap/>
        <w:overflowPunct/>
        <w:topLinePunct w:val="0"/>
        <w:autoSpaceDE/>
        <w:autoSpaceDN/>
        <w:bidi w:val="0"/>
        <w:spacing w:before="0" w:after="0"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_Toc3590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lang w:eastAsia="zh-CN"/>
        </w:rPr>
        <w:t>第四章</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bCs w:val="0"/>
          <w:i w:val="0"/>
          <w:iCs w:val="0"/>
          <w:color w:val="auto"/>
          <w:kern w:val="2"/>
          <w:sz w:val="21"/>
          <w:szCs w:val="21"/>
          <w:lang w:val="en-US" w:eastAsia="zh-CN" w:bidi="ar-SA"/>
        </w:rPr>
        <w:t>采购需求</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_Toc3590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A9539C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_Toc11730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kern w:val="0"/>
          <w:sz w:val="21"/>
          <w:szCs w:val="21"/>
          <w:highlight w:val="none"/>
          <w:lang w:val="en-US" w:eastAsia="zh-CN" w:bidi="ar-SA"/>
        </w:rPr>
        <w:t>一、项目名称</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_Toc11730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9161947">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_Toc22291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kern w:val="0"/>
          <w:sz w:val="21"/>
          <w:szCs w:val="21"/>
          <w:highlight w:val="none"/>
          <w:lang w:val="en-US" w:eastAsia="zh-CN" w:bidi="ar-SA"/>
        </w:rPr>
        <w:t>二、项目范围</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_Toc22291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BBCC37B">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_Toc18136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kern w:val="0"/>
          <w:sz w:val="21"/>
          <w:szCs w:val="21"/>
          <w:highlight w:val="none"/>
          <w:lang w:val="en-US" w:eastAsia="zh-CN" w:bidi="ar-SA"/>
        </w:rPr>
        <w:t>三、项目实施要求</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_Toc18136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28D3653">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_Toc25760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kern w:val="0"/>
          <w:sz w:val="21"/>
          <w:szCs w:val="21"/>
          <w:highlight w:val="none"/>
          <w:lang w:val="en-US" w:eastAsia="zh-CN" w:bidi="ar-SA"/>
        </w:rPr>
        <w:t>四、项目工期及付款</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_Toc25760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ED5D90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_Toc29937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kern w:val="0"/>
          <w:sz w:val="21"/>
          <w:szCs w:val="21"/>
          <w:highlight w:val="none"/>
          <w:lang w:val="en-US" w:eastAsia="zh-CN" w:bidi="ar-SA"/>
        </w:rPr>
        <w:t>五、其他要求</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_Toc29937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37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1CBDC7F">
      <w:pPr>
        <w:pStyle w:val="15"/>
        <w:keepNext w:val="0"/>
        <w:keepLines w:val="0"/>
        <w:pageBreakBefore w:val="0"/>
        <w:widowControl w:val="0"/>
        <w:tabs>
          <w:tab w:val="right" w:leader="dot" w:pos="9070"/>
        </w:tabs>
        <w:kinsoku/>
        <w:wordWrap/>
        <w:overflowPunct/>
        <w:topLinePunct w:val="0"/>
        <w:autoSpaceDE/>
        <w:autoSpaceDN/>
        <w:bidi w:val="0"/>
        <w:spacing w:before="0" w:after="0"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_Toc13363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rPr>
        <w:t>第五章 政府采购合同格式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_Toc13363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02852701">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_Toc24130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highlight w:val="none"/>
        </w:rPr>
        <w:t>一</w:t>
      </w:r>
      <w:r>
        <w:rPr>
          <w:rFonts w:hint="eastAsia" w:ascii="宋体" w:hAnsi="宋体" w:eastAsia="宋体" w:cs="宋体"/>
          <w:bCs w:val="0"/>
          <w:i w:val="0"/>
          <w:iCs w:val="0"/>
          <w:color w:val="auto"/>
          <w:sz w:val="21"/>
          <w:szCs w:val="21"/>
          <w:highlight w:val="none"/>
          <w:lang w:eastAsia="zh-CN"/>
        </w:rPr>
        <w:t>、</w:t>
      </w:r>
      <w:r>
        <w:rPr>
          <w:rFonts w:hint="eastAsia" w:ascii="宋体" w:hAnsi="宋体" w:eastAsia="宋体" w:cs="宋体"/>
          <w:bCs w:val="0"/>
          <w:i w:val="0"/>
          <w:iCs w:val="0"/>
          <w:color w:val="auto"/>
          <w:sz w:val="21"/>
          <w:szCs w:val="21"/>
          <w:highlight w:val="none"/>
        </w:rPr>
        <w:t>政府采购合同协议书</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_Toc24130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E782A8A">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_Toc16195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val="0"/>
          <w:i w:val="0"/>
          <w:iCs w:val="0"/>
          <w:color w:val="auto"/>
          <w:sz w:val="21"/>
          <w:szCs w:val="21"/>
          <w:highlight w:val="none"/>
        </w:rPr>
        <w:t>二、通用合同条款</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_Toc16195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46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F3D4DE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_Toc31397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sz w:val="21"/>
          <w:szCs w:val="21"/>
          <w:highlight w:val="none"/>
        </w:rPr>
        <w:t>三、专用合同条款</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_Toc31397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91</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BD0CEF7">
      <w:pPr>
        <w:pStyle w:val="15"/>
        <w:keepNext w:val="0"/>
        <w:keepLines w:val="0"/>
        <w:pageBreakBefore w:val="0"/>
        <w:widowControl w:val="0"/>
        <w:tabs>
          <w:tab w:val="right" w:leader="dot" w:pos="9070"/>
        </w:tabs>
        <w:kinsoku/>
        <w:wordWrap/>
        <w:overflowPunct/>
        <w:topLinePunct w:val="0"/>
        <w:autoSpaceDE/>
        <w:autoSpaceDN/>
        <w:bidi w:val="0"/>
        <w:spacing w:before="0" w:after="0"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_Toc31102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第六章 响应文件组成</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_Toc31102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7AC1C94">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_Toc17765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一、磋商响应声明(格式)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_Toc17765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02A5FEEC">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_Toc13840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二、法定代表人（单位负责人）身份证明(格式)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_Toc13840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D314D95">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_Toc7644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三、授权委托书(格式)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_Toc7644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F112E2F">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_Toc21569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四、保证金</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_Toc21569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108</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66E2388">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_Toc22054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五、报价表及报价文件(格式)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_Toc22054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109</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3AA2520">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_Toc21992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附件5-1 报价表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_Toc21992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109</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1AA243B">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_Toc10308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bCs/>
          <w:i w:val="0"/>
          <w:iCs w:val="0"/>
          <w:color w:val="auto"/>
          <w:spacing w:val="-2"/>
          <w:position w:val="-3"/>
          <w:sz w:val="21"/>
          <w:szCs w:val="21"/>
        </w:rPr>
        <w:t>附件5-2 分项报价表（已标价工程量清单）</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_Toc10308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110</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0C4D832">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_Toc22140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六、施工方案说明</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_Toc22140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111</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94C05C7">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_Toc19802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七、合同条款偏离表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_Toc19802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C2BDA19">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_Toc20444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八、采购需求偏离表</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_Toc20444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113</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7B58B3E">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_Toc4088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九、享受政府采购政策的证明资料</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_Toc4088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44F3921">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_Toc16882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附件9-1 中小企业声明函</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_Toc16882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86FDE23">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_Toc14729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pacing w:val="6"/>
          <w:kern w:val="0"/>
          <w:sz w:val="21"/>
          <w:szCs w:val="21"/>
        </w:rPr>
        <w:t xml:space="preserve">附件9-2 </w:t>
      </w:r>
      <w:r>
        <w:rPr>
          <w:rFonts w:hint="eastAsia" w:ascii="宋体" w:hAnsi="宋体" w:eastAsia="宋体" w:cs="宋体"/>
          <w:i w:val="0"/>
          <w:iCs w:val="0"/>
          <w:color w:val="auto"/>
          <w:spacing w:val="6"/>
          <w:sz w:val="21"/>
          <w:szCs w:val="21"/>
        </w:rPr>
        <w:t>残疾人福利性单位声明函</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_Toc14729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DDCD745">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_Toc15588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kern w:val="0"/>
          <w:sz w:val="21"/>
          <w:szCs w:val="21"/>
        </w:rPr>
        <w:t xml:space="preserve">附件9-3 </w:t>
      </w:r>
      <w:r>
        <w:rPr>
          <w:rFonts w:hint="eastAsia" w:ascii="宋体" w:hAnsi="宋体" w:eastAsia="宋体" w:cs="宋体"/>
          <w:i w:val="0"/>
          <w:iCs w:val="0"/>
          <w:color w:val="auto"/>
          <w:sz w:val="21"/>
          <w:szCs w:val="21"/>
        </w:rPr>
        <w:t>监狱企业证明资料</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_Toc15588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C50FB8A">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_Toc31838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pacing w:val="6"/>
          <w:kern w:val="0"/>
          <w:sz w:val="21"/>
          <w:szCs w:val="21"/>
        </w:rPr>
        <w:t xml:space="preserve">附件9-4 </w:t>
      </w:r>
      <w:r>
        <w:rPr>
          <w:rFonts w:hint="eastAsia" w:ascii="宋体" w:hAnsi="宋体" w:eastAsia="宋体" w:cs="宋体"/>
          <w:i w:val="0"/>
          <w:iCs w:val="0"/>
          <w:color w:val="auto"/>
          <w:sz w:val="21"/>
          <w:szCs w:val="21"/>
        </w:rPr>
        <w:t>强制采购或者优先采购产品的证明材料</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_Toc31838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117</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7FAADBED">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_Toc2428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pacing w:val="6"/>
          <w:kern w:val="0"/>
          <w:sz w:val="21"/>
          <w:szCs w:val="21"/>
        </w:rPr>
        <w:t xml:space="preserve">附件9-5 </w:t>
      </w:r>
      <w:r>
        <w:rPr>
          <w:rFonts w:hint="eastAsia" w:ascii="宋体" w:hAnsi="宋体" w:eastAsia="宋体" w:cs="宋体"/>
          <w:i w:val="0"/>
          <w:iCs w:val="0"/>
          <w:color w:val="auto"/>
          <w:sz w:val="21"/>
          <w:szCs w:val="21"/>
        </w:rPr>
        <w:t>联合体协议书（格式）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_Toc2428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119</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EB0B757">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_Toc18161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十、供应商提供的资格证明材料</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_Toc18161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120</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265DF6BF">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_Toc18900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附件10-1 法人或者其他组织的营业执照等主体资格证明文件，自然人的身份证明</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_Toc18900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121</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525EA791">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_Toc4687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附件10-2 供应商资格声明(格式)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_Toc4687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122</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2287E0C">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_Toc31906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附件10-3 湖南省政府采购供应商资格承诺函(格式)</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_Toc31906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124</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72C511B">
      <w:pPr>
        <w:pStyle w:val="11"/>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_Toc3278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附件10-4 特定资格条件证明材料复印件或者情况说明</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_Toc3278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1123AEAD">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_Toc24461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十一、响应标的符合磋商文件规定的证明文件</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_Toc24461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125</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684124F1">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_Toc19321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十二、供应商认为需提供的其他资料</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_Toc19321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4D922300">
      <w:pPr>
        <w:pStyle w:val="16"/>
        <w:keepNext w:val="0"/>
        <w:keepLines w:val="0"/>
        <w:pageBreakBefore w:val="0"/>
        <w:widowControl w:val="0"/>
        <w:tabs>
          <w:tab w:val="right" w:leader="dot" w:pos="9070"/>
        </w:tabs>
        <w:kinsoku/>
        <w:wordWrap/>
        <w:overflowPunct/>
        <w:topLinePunct w:val="0"/>
        <w:autoSpaceDE/>
        <w:autoSpaceDN/>
        <w:bidi w:val="0"/>
        <w:spacing w:line="420" w:lineRule="exact"/>
        <w:textAlignment w:val="auto"/>
        <w:rPr>
          <w:rFonts w:hint="eastAsia" w:ascii="宋体" w:hAnsi="宋体" w:eastAsia="宋体" w:cs="宋体"/>
          <w:i w:val="0"/>
          <w:iCs w:val="0"/>
          <w:color w:val="auto"/>
          <w:sz w:val="21"/>
          <w:szCs w:val="21"/>
        </w:rPr>
      </w:pPr>
      <w:r>
        <w:rPr>
          <w:rFonts w:hint="eastAsia" w:ascii="宋体" w:hAnsi="宋体" w:eastAsia="宋体" w:cs="宋体"/>
          <w:bCs/>
          <w:i w:val="0"/>
          <w:iCs w:val="0"/>
          <w:color w:val="auto"/>
          <w:spacing w:val="160"/>
          <w:sz w:val="21"/>
          <w:szCs w:val="21"/>
        </w:rPr>
        <w:fldChar w:fldCharType="begin"/>
      </w:r>
      <w:r>
        <w:rPr>
          <w:rFonts w:hint="eastAsia" w:ascii="宋体" w:hAnsi="宋体" w:eastAsia="宋体" w:cs="宋体"/>
          <w:bCs/>
          <w:i w:val="0"/>
          <w:iCs w:val="0"/>
          <w:color w:val="auto"/>
          <w:spacing w:val="160"/>
          <w:sz w:val="21"/>
          <w:szCs w:val="21"/>
        </w:rPr>
        <w:instrText xml:space="preserve"> HYPERLINK \l _Toc20844 </w:instrText>
      </w:r>
      <w:r>
        <w:rPr>
          <w:rFonts w:hint="eastAsia" w:ascii="宋体" w:hAnsi="宋体" w:eastAsia="宋体" w:cs="宋体"/>
          <w:bCs/>
          <w:i w:val="0"/>
          <w:iCs w:val="0"/>
          <w:color w:val="auto"/>
          <w:spacing w:val="160"/>
          <w:sz w:val="21"/>
          <w:szCs w:val="21"/>
        </w:rPr>
        <w:fldChar w:fldCharType="separate"/>
      </w:r>
      <w:r>
        <w:rPr>
          <w:rFonts w:hint="eastAsia" w:ascii="宋体" w:hAnsi="宋体" w:eastAsia="宋体" w:cs="宋体"/>
          <w:i w:val="0"/>
          <w:iCs w:val="0"/>
          <w:color w:val="auto"/>
          <w:sz w:val="21"/>
          <w:szCs w:val="21"/>
        </w:rPr>
        <w:t>十三、最终报价</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fldChar w:fldCharType="begin"/>
      </w:r>
      <w:r>
        <w:rPr>
          <w:rFonts w:hint="eastAsia" w:ascii="宋体" w:hAnsi="宋体" w:eastAsia="宋体" w:cs="宋体"/>
          <w:i w:val="0"/>
          <w:iCs w:val="0"/>
          <w:color w:val="auto"/>
          <w:sz w:val="21"/>
          <w:szCs w:val="21"/>
        </w:rPr>
        <w:instrText xml:space="preserve"> PAGEREF _Toc20844 \h </w:instrText>
      </w:r>
      <w:r>
        <w:rPr>
          <w:rFonts w:hint="eastAsia" w:ascii="宋体" w:hAnsi="宋体" w:eastAsia="宋体" w:cs="宋体"/>
          <w:i w:val="0"/>
          <w:iCs w:val="0"/>
          <w:color w:val="auto"/>
          <w:sz w:val="21"/>
          <w:szCs w:val="21"/>
        </w:rPr>
        <w:fldChar w:fldCharType="separate"/>
      </w:r>
      <w:r>
        <w:rPr>
          <w:rFonts w:hint="eastAsia" w:ascii="宋体" w:hAnsi="宋体" w:eastAsia="宋体" w:cs="宋体"/>
          <w:i w:val="0"/>
          <w:iCs w:val="0"/>
          <w:color w:val="auto"/>
          <w:sz w:val="21"/>
          <w:szCs w:val="21"/>
        </w:rPr>
        <w:t>126</w:t>
      </w:r>
      <w:r>
        <w:rPr>
          <w:rFonts w:hint="eastAsia" w:ascii="宋体" w:hAnsi="宋体" w:eastAsia="宋体" w:cs="宋体"/>
          <w:i w:val="0"/>
          <w:iCs w:val="0"/>
          <w:color w:val="auto"/>
          <w:sz w:val="21"/>
          <w:szCs w:val="21"/>
        </w:rPr>
        <w:fldChar w:fldCharType="end"/>
      </w:r>
      <w:r>
        <w:rPr>
          <w:rFonts w:hint="eastAsia" w:ascii="宋体" w:hAnsi="宋体" w:eastAsia="宋体" w:cs="宋体"/>
          <w:bCs/>
          <w:i w:val="0"/>
          <w:iCs w:val="0"/>
          <w:color w:val="auto"/>
          <w:spacing w:val="160"/>
          <w:sz w:val="21"/>
          <w:szCs w:val="21"/>
        </w:rPr>
        <w:fldChar w:fldCharType="end"/>
      </w:r>
    </w:p>
    <w:p w14:paraId="3104E74D">
      <w:pPr>
        <w:pStyle w:val="12"/>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宋体" w:eastAsia="黑体"/>
          <w:bCs/>
          <w:i w:val="0"/>
          <w:iCs w:val="0"/>
          <w:color w:val="auto"/>
          <w:spacing w:val="160"/>
          <w:sz w:val="18"/>
          <w:szCs w:val="18"/>
        </w:rPr>
      </w:pPr>
      <w:r>
        <w:rPr>
          <w:rFonts w:hint="eastAsia" w:ascii="宋体" w:hAnsi="宋体" w:eastAsia="宋体" w:cs="宋体"/>
          <w:bCs/>
          <w:i w:val="0"/>
          <w:iCs w:val="0"/>
          <w:color w:val="auto"/>
          <w:spacing w:val="160"/>
          <w:sz w:val="21"/>
          <w:szCs w:val="21"/>
        </w:rPr>
        <w:fldChar w:fldCharType="end"/>
      </w:r>
    </w:p>
    <w:p w14:paraId="7E2B26C8">
      <w:pPr>
        <w:rPr>
          <w:rFonts w:ascii="黑体" w:hAnsi="宋体" w:eastAsia="黑体"/>
          <w:b/>
          <w:color w:val="auto"/>
          <w:spacing w:val="160"/>
          <w:sz w:val="32"/>
          <w:szCs w:val="32"/>
        </w:rPr>
      </w:pPr>
      <w:r>
        <w:rPr>
          <w:rFonts w:ascii="黑体" w:hAnsi="宋体" w:eastAsia="黑体"/>
          <w:b/>
          <w:color w:val="auto"/>
          <w:spacing w:val="160"/>
          <w:sz w:val="32"/>
          <w:szCs w:val="32"/>
        </w:rPr>
        <w:br w:type="page"/>
      </w:r>
    </w:p>
    <w:p w14:paraId="3C6258AA">
      <w:pPr>
        <w:pStyle w:val="2"/>
        <w:spacing w:line="440" w:lineRule="exact"/>
        <w:rPr>
          <w:rFonts w:ascii="黑体" w:hAnsi="黑体" w:eastAsia="黑体"/>
          <w:b w:val="0"/>
          <w:bCs w:val="0"/>
          <w:color w:val="auto"/>
          <w:sz w:val="32"/>
          <w:szCs w:val="32"/>
        </w:rPr>
      </w:pPr>
      <w:bookmarkStart w:id="0" w:name="_Toc14857"/>
      <w:bookmarkStart w:id="1" w:name="_Toc69831367"/>
      <w:r>
        <w:rPr>
          <w:rFonts w:hint="eastAsia" w:ascii="黑体" w:hAnsi="黑体" w:eastAsia="黑体"/>
          <w:b w:val="0"/>
          <w:bCs w:val="0"/>
          <w:color w:val="auto"/>
          <w:sz w:val="32"/>
          <w:szCs w:val="32"/>
        </w:rPr>
        <w:t>第一章 磋商邀请</w:t>
      </w:r>
      <w:bookmarkEnd w:id="0"/>
      <w:bookmarkEnd w:id="1"/>
    </w:p>
    <w:p w14:paraId="7C1DB7E2">
      <w:pPr>
        <w:adjustRightInd w:val="0"/>
        <w:snapToGrid w:val="0"/>
        <w:spacing w:line="360" w:lineRule="auto"/>
        <w:rPr>
          <w:color w:val="auto"/>
        </w:rPr>
      </w:pPr>
      <w:bookmarkStart w:id="2" w:name="_Toc28359089"/>
      <w:bookmarkStart w:id="3" w:name="_Toc35393798"/>
      <w:bookmarkStart w:id="4" w:name="_Toc28359012"/>
      <w:bookmarkStart w:id="5" w:name="_Toc35393629"/>
      <w:bookmarkStart w:id="6" w:name="_Toc22201055"/>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(被邀请供应商名称)：</w:t>
      </w:r>
    </w:p>
    <w:p w14:paraId="328AB7B9">
      <w:pPr>
        <w:adjustRightInd w:val="0"/>
        <w:snapToGrid w:val="0"/>
        <w:spacing w:line="360" w:lineRule="auto"/>
        <w:ind w:firstLine="420" w:firstLineChars="200"/>
        <w:rPr>
          <w:rFonts w:hint="eastAsia" w:ascii="宋体" w:hAnsi="宋体" w:eastAsia="宋体" w:cs="Times New Roman"/>
          <w:color w:val="auto"/>
          <w:szCs w:val="21"/>
        </w:rPr>
      </w:pPr>
      <w:bookmarkStart w:id="7" w:name="_Toc69831368"/>
      <w:r>
        <w:rPr>
          <w:rFonts w:hint="eastAsia" w:ascii="宋体" w:hAnsi="宋体" w:eastAsia="宋体" w:cs="Times New Roman"/>
          <w:color w:val="auto"/>
          <w:szCs w:val="21"/>
          <w:lang w:eastAsia="zh-CN"/>
        </w:rPr>
        <w:t>湖南国防工业职业技术学院围墙道路等改造工程项目</w:t>
      </w:r>
      <w:r>
        <w:rPr>
          <w:rFonts w:hint="eastAsia" w:ascii="宋体" w:hAnsi="宋体" w:eastAsia="宋体" w:cs="Times New Roman"/>
          <w:color w:val="auto"/>
          <w:szCs w:val="21"/>
        </w:rPr>
        <w:t>(项目名称)进行竞争性磋商采购，现采用发布公告的方式，邀请符合资格条件的供应商参与竞争性磋商采购活动。</w:t>
      </w:r>
    </w:p>
    <w:p w14:paraId="65ED3B54">
      <w:pPr>
        <w:pStyle w:val="3"/>
        <w:adjustRightInd w:val="0"/>
        <w:snapToGrid w:val="0"/>
        <w:rPr>
          <w:color w:val="auto"/>
        </w:rPr>
      </w:pPr>
      <w:bookmarkStart w:id="8" w:name="_Toc27570"/>
      <w:r>
        <w:rPr>
          <w:rFonts w:hint="eastAsia"/>
          <w:color w:val="auto"/>
        </w:rPr>
        <w:t>一、项目基本情况</w:t>
      </w:r>
      <w:bookmarkEnd w:id="2"/>
      <w:bookmarkEnd w:id="3"/>
      <w:bookmarkEnd w:id="4"/>
      <w:bookmarkEnd w:id="5"/>
      <w:bookmarkEnd w:id="7"/>
      <w:bookmarkEnd w:id="8"/>
    </w:p>
    <w:p w14:paraId="1CC25C54">
      <w:pPr>
        <w:keepNext w:val="0"/>
        <w:keepLines w:val="0"/>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1、项</w:t>
      </w:r>
      <w:r>
        <w:rPr>
          <w:rFonts w:hint="eastAsia" w:ascii="宋体" w:hAnsi="宋体" w:eastAsia="宋体" w:cs="Times New Roman"/>
          <w:color w:val="auto"/>
          <w:szCs w:val="21"/>
          <w:lang w:eastAsia="zh-CN"/>
        </w:rPr>
        <w:t>目名称：湖南国防工业职业技术学院围墙道路等改造工程项目</w:t>
      </w:r>
    </w:p>
    <w:p w14:paraId="182BAEA4">
      <w:pPr>
        <w:keepNext w:val="0"/>
        <w:keepLines w:val="0"/>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2、政府采购编号：</w:t>
      </w:r>
      <w:r>
        <w:rPr>
          <w:rFonts w:hint="default" w:ascii="宋体" w:hAnsi="宋体" w:eastAsia="宋体" w:cs="Times New Roman"/>
          <w:color w:val="auto"/>
          <w:szCs w:val="21"/>
          <w:lang w:eastAsia="zh-CN"/>
        </w:rPr>
        <w:t>(2026)430000000186-1</w:t>
      </w:r>
    </w:p>
    <w:p w14:paraId="2E67AF5E">
      <w:pPr>
        <w:keepNext w:val="0"/>
        <w:keepLines w:val="0"/>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3、委托代理编号：MXZB-2026-0040</w:t>
      </w:r>
      <w:r>
        <w:rPr>
          <w:rFonts w:hint="eastAsia" w:ascii="宋体" w:hAnsi="宋体" w:eastAsia="宋体" w:cs="Times New Roman"/>
          <w:color w:val="auto"/>
          <w:szCs w:val="21"/>
          <w:lang w:val="en-US" w:eastAsia="zh-CN"/>
        </w:rPr>
        <w:t xml:space="preserve">  </w:t>
      </w:r>
    </w:p>
    <w:p w14:paraId="7C83D817">
      <w:pPr>
        <w:keepNext w:val="0"/>
        <w:keepLines w:val="0"/>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4、预算金额：</w:t>
      </w:r>
      <w:r>
        <w:rPr>
          <w:rFonts w:hint="eastAsia" w:ascii="宋体" w:hAnsi="宋体" w:cs="Times New Roman"/>
          <w:color w:val="auto"/>
          <w:szCs w:val="21"/>
          <w:lang w:val="en-US" w:eastAsia="zh-CN"/>
        </w:rPr>
        <w:t>2949674.47元</w:t>
      </w:r>
    </w:p>
    <w:p w14:paraId="68289247">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支持预付款，预付比例：合同金额的</w:t>
      </w:r>
      <w:r>
        <w:rPr>
          <w:rFonts w:hint="eastAsia" w:ascii="宋体" w:hAnsi="宋体" w:eastAsia="宋体" w:cs="Times New Roman"/>
          <w:color w:val="auto"/>
          <w:szCs w:val="21"/>
          <w:u w:val="single"/>
          <w:lang w:val="en-US" w:eastAsia="zh-CN"/>
        </w:rPr>
        <w:t xml:space="preserve"> / </w:t>
      </w:r>
      <w:r>
        <w:rPr>
          <w:rFonts w:hint="eastAsia" w:ascii="宋体" w:hAnsi="宋体" w:eastAsia="宋体" w:cs="Times New Roman"/>
          <w:color w:val="auto"/>
          <w:szCs w:val="21"/>
          <w:lang w:val="en-US" w:eastAsia="zh-CN"/>
        </w:rPr>
        <w:t>。</w:t>
      </w:r>
      <w:bookmarkStart w:id="254" w:name="_GoBack"/>
      <w:bookmarkEnd w:id="254"/>
    </w:p>
    <w:p w14:paraId="4AA5D82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u w:val="single"/>
          <w:lang w:val="en-US" w:eastAsia="zh-CN"/>
        </w:rPr>
      </w:pPr>
      <w:bookmarkStart w:id="9" w:name="_Toc69831369"/>
      <w:bookmarkStart w:id="10" w:name="_Toc28359090"/>
      <w:bookmarkStart w:id="11" w:name="_Toc35393630"/>
      <w:bookmarkStart w:id="12" w:name="_Toc28359013"/>
      <w:bookmarkStart w:id="13" w:name="_Toc35393799"/>
      <w:r>
        <w:rPr>
          <w:rFonts w:hint="eastAsia" w:ascii="宋体" w:hAnsi="宋体" w:cs="宋体"/>
          <w:color w:val="auto"/>
          <w:szCs w:val="21"/>
        </w:rPr>
        <w:t>本项目对应的中小企业划分标准所属行业：</w:t>
      </w:r>
      <w:r>
        <w:rPr>
          <w:rFonts w:hint="eastAsia" w:ascii="宋体" w:hAnsi="宋体" w:cs="宋体"/>
          <w:color w:val="auto"/>
          <w:szCs w:val="21"/>
          <w:u w:val="single"/>
          <w:lang w:val="en-US" w:eastAsia="zh-CN"/>
        </w:rPr>
        <w:t>建筑业</w:t>
      </w:r>
    </w:p>
    <w:p w14:paraId="2367A7B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评标方法： </w:t>
      </w:r>
      <w:r>
        <w:rPr>
          <w:rFonts w:hint="eastAsia" w:ascii="宋体" w:hAnsi="宋体" w:eastAsia="宋体" w:cs="宋体"/>
          <w:color w:val="auto"/>
          <w:szCs w:val="21"/>
        </w:rPr>
        <w:sym w:font="Wingdings 2" w:char="00A3"/>
      </w:r>
      <w:r>
        <w:rPr>
          <w:rFonts w:hint="eastAsia" w:ascii="宋体" w:hAnsi="宋体" w:eastAsia="宋体" w:cs="宋体"/>
          <w:color w:val="auto"/>
          <w:szCs w:val="21"/>
        </w:rPr>
        <w:t xml:space="preserve">最低价法 </w:t>
      </w:r>
      <w:r>
        <w:rPr>
          <w:rFonts w:hint="eastAsia" w:ascii="宋体" w:hAnsi="宋体" w:eastAsia="宋体" w:cs="宋体"/>
          <w:color w:val="auto"/>
          <w:szCs w:val="21"/>
        </w:rPr>
        <w:sym w:font="Wingdings 2" w:char="0052"/>
      </w:r>
      <w:r>
        <w:rPr>
          <w:rFonts w:hint="eastAsia" w:ascii="宋体" w:hAnsi="宋体" w:eastAsia="宋体" w:cs="宋体"/>
          <w:color w:val="auto"/>
          <w:szCs w:val="21"/>
        </w:rPr>
        <w:t xml:space="preserve">综合评分法 </w:t>
      </w:r>
    </w:p>
    <w:p w14:paraId="5040DA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、合同定价方式：</w:t>
      </w: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 xml:space="preserve">固定总价 </w:t>
      </w:r>
      <w:r>
        <w:rPr>
          <w:rFonts w:hint="eastAsia" w:ascii="宋体" w:hAnsi="宋体" w:eastAsia="宋体" w:cs="Times New Roman"/>
          <w:b/>
          <w:bCs/>
          <w:color w:val="auto"/>
          <w:szCs w:val="21"/>
          <w:lang w:val="en-US" w:eastAsia="zh-CN"/>
        </w:rPr>
        <w:sym w:font="Wingdings" w:char="00FE"/>
      </w:r>
      <w:r>
        <w:rPr>
          <w:rFonts w:hint="eastAsia" w:ascii="宋体" w:hAnsi="宋体" w:eastAsia="宋体" w:cs="Times New Roman"/>
          <w:b/>
          <w:bCs/>
          <w:color w:val="auto"/>
          <w:szCs w:val="21"/>
          <w:lang w:val="en-US" w:eastAsia="zh-CN"/>
        </w:rPr>
        <w:t>固定单价</w:t>
      </w: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 xml:space="preserve">成本补偿 </w:t>
      </w:r>
      <w:r>
        <w:rPr>
          <w:rFonts w:hint="eastAsia" w:ascii="宋体" w:hAnsi="宋体"/>
          <w:color w:val="auto"/>
          <w:szCs w:val="21"/>
        </w:rPr>
        <w:sym w:font="Wingdings" w:char="00A8"/>
      </w:r>
      <w:r>
        <w:rPr>
          <w:rFonts w:hint="eastAsia" w:ascii="宋体" w:hAnsi="宋体"/>
          <w:color w:val="auto"/>
          <w:szCs w:val="21"/>
        </w:rPr>
        <w:t>绩效激励</w:t>
      </w:r>
    </w:p>
    <w:p w14:paraId="3C8B33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b/>
          <w:bCs/>
          <w:color w:val="auto"/>
          <w:szCs w:val="21"/>
          <w:lang w:val="en-US" w:eastAsia="zh-CN"/>
        </w:rPr>
      </w:pPr>
      <w:r>
        <w:rPr>
          <w:rFonts w:hint="eastAsia" w:ascii="宋体" w:hAnsi="宋体"/>
          <w:b/>
          <w:bCs/>
          <w:color w:val="auto"/>
          <w:szCs w:val="21"/>
          <w:lang w:val="en-US" w:eastAsia="zh-CN"/>
        </w:rPr>
        <w:t>8</w:t>
      </w:r>
      <w:r>
        <w:rPr>
          <w:rFonts w:hint="eastAsia" w:ascii="宋体" w:hAnsi="宋体"/>
          <w:b/>
          <w:bCs/>
          <w:color w:val="auto"/>
          <w:szCs w:val="21"/>
        </w:rPr>
        <w:t>、合同履行期限：</w:t>
      </w:r>
      <w:r>
        <w:rPr>
          <w:rFonts w:hint="eastAsia" w:ascii="宋体" w:hAnsi="宋体" w:eastAsia="宋体" w:cs="Times New Roman"/>
          <w:b/>
          <w:bCs/>
          <w:color w:val="auto"/>
          <w:szCs w:val="21"/>
          <w:lang w:val="en-US" w:eastAsia="zh-CN"/>
        </w:rPr>
        <w:t>40天</w:t>
      </w:r>
    </w:p>
    <w:p w14:paraId="095E80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、本项目分阶段要求供应商提供以下保证： </w:t>
      </w:r>
    </w:p>
    <w:p w14:paraId="2826CAE1">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磋商保证金：采购项目预算的</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204625E8">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履约保证金：中标金额的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B0E6264">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预付款保证金：预付款的</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40C8790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质量保证金：合同金额的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w:t>
      </w:r>
      <w:r>
        <w:rPr>
          <w:rFonts w:hint="eastAsia" w:ascii="宋体" w:hAnsi="宋体" w:cs="宋体"/>
          <w:color w:val="auto"/>
          <w:szCs w:val="21"/>
          <w:u w:val="single"/>
        </w:rPr>
        <w:t xml:space="preserve"> </w:t>
      </w:r>
      <w:r>
        <w:rPr>
          <w:rFonts w:hint="eastAsia" w:ascii="宋体" w:hAnsi="宋体" w:cs="宋体"/>
          <w:color w:val="auto"/>
          <w:szCs w:val="21"/>
        </w:rPr>
        <w:t>%。</w:t>
      </w:r>
    </w:p>
    <w:p w14:paraId="6EBCDFFF">
      <w:pPr>
        <w:pStyle w:val="3"/>
        <w:adjustRightInd w:val="0"/>
        <w:snapToGrid w:val="0"/>
        <w:rPr>
          <w:color w:val="auto"/>
        </w:rPr>
      </w:pPr>
      <w:bookmarkStart w:id="14" w:name="_Toc29971"/>
      <w:bookmarkStart w:id="15" w:name="_Toc6630"/>
      <w:bookmarkStart w:id="16" w:name="_Toc8557"/>
      <w:bookmarkStart w:id="17" w:name="_Toc110606589"/>
      <w:r>
        <w:rPr>
          <w:rFonts w:hint="eastAsia"/>
          <w:color w:val="auto"/>
        </w:rPr>
        <w:t>二、采购需求</w:t>
      </w:r>
      <w:bookmarkEnd w:id="14"/>
      <w:bookmarkEnd w:id="15"/>
      <w:bookmarkEnd w:id="16"/>
      <w:bookmarkEnd w:id="17"/>
    </w:p>
    <w:tbl>
      <w:tblPr>
        <w:tblStyle w:val="19"/>
        <w:tblW w:w="920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1"/>
        <w:gridCol w:w="1228"/>
        <w:gridCol w:w="3088"/>
        <w:gridCol w:w="697"/>
        <w:gridCol w:w="1633"/>
        <w:gridCol w:w="1687"/>
      </w:tblGrid>
      <w:tr w14:paraId="1393F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871" w:type="dxa"/>
            <w:noWrap w:val="0"/>
            <w:vAlign w:val="center"/>
          </w:tcPr>
          <w:p w14:paraId="51520E88">
            <w:pPr>
              <w:adjustRightInd w:val="0"/>
              <w:snapToGrid w:val="0"/>
              <w:spacing w:line="360" w:lineRule="auto"/>
              <w:jc w:val="center"/>
              <w:rPr>
                <w:rFonts w:ascii="宋体" w:hAnsi="宋体"/>
                <w:color w:val="auto"/>
                <w:szCs w:val="21"/>
              </w:rPr>
            </w:pPr>
            <w:r>
              <w:rPr>
                <w:rFonts w:hint="eastAsia" w:ascii="宋体" w:hAnsi="宋体"/>
                <w:color w:val="auto"/>
                <w:szCs w:val="21"/>
              </w:rPr>
              <w:t>包名称</w:t>
            </w:r>
          </w:p>
        </w:tc>
        <w:tc>
          <w:tcPr>
            <w:tcW w:w="1228" w:type="dxa"/>
            <w:noWrap w:val="0"/>
            <w:vAlign w:val="center"/>
          </w:tcPr>
          <w:p w14:paraId="2846E1BB">
            <w:pPr>
              <w:adjustRightInd w:val="0"/>
              <w:snapToGrid w:val="0"/>
              <w:spacing w:line="360" w:lineRule="auto"/>
              <w:jc w:val="center"/>
              <w:rPr>
                <w:rFonts w:ascii="宋体" w:hAnsi="宋体"/>
                <w:color w:val="auto"/>
                <w:szCs w:val="21"/>
              </w:rPr>
            </w:pPr>
            <w:r>
              <w:rPr>
                <w:rFonts w:hint="eastAsia" w:ascii="宋体" w:hAnsi="宋体"/>
                <w:color w:val="auto"/>
                <w:szCs w:val="21"/>
              </w:rPr>
              <w:t>标的名称</w:t>
            </w:r>
          </w:p>
        </w:tc>
        <w:tc>
          <w:tcPr>
            <w:tcW w:w="3088" w:type="dxa"/>
            <w:tcBorders>
              <w:left w:val="single" w:color="auto" w:sz="4" w:space="0"/>
            </w:tcBorders>
            <w:noWrap w:val="0"/>
            <w:vAlign w:val="center"/>
          </w:tcPr>
          <w:p w14:paraId="41AB231A">
            <w:pPr>
              <w:adjustRightInd w:val="0"/>
              <w:snapToGrid w:val="0"/>
              <w:spacing w:line="360" w:lineRule="auto"/>
              <w:jc w:val="center"/>
              <w:rPr>
                <w:rFonts w:ascii="宋体" w:hAnsi="宋体"/>
                <w:color w:val="auto"/>
                <w:szCs w:val="21"/>
              </w:rPr>
            </w:pPr>
            <w:r>
              <w:rPr>
                <w:rFonts w:hint="eastAsia" w:ascii="宋体" w:hAnsi="宋体"/>
                <w:color w:val="auto"/>
                <w:szCs w:val="21"/>
              </w:rPr>
              <w:t>简要技术要求</w:t>
            </w:r>
          </w:p>
        </w:tc>
        <w:tc>
          <w:tcPr>
            <w:tcW w:w="697" w:type="dxa"/>
            <w:tcBorders>
              <w:left w:val="single" w:color="auto" w:sz="4" w:space="0"/>
            </w:tcBorders>
            <w:noWrap w:val="0"/>
            <w:vAlign w:val="center"/>
          </w:tcPr>
          <w:p w14:paraId="4F46F657">
            <w:pPr>
              <w:adjustRightInd w:val="0"/>
              <w:snapToGrid w:val="0"/>
              <w:spacing w:line="360" w:lineRule="auto"/>
              <w:jc w:val="center"/>
              <w:rPr>
                <w:rFonts w:ascii="宋体" w:hAnsi="宋体"/>
                <w:color w:val="auto"/>
                <w:szCs w:val="21"/>
              </w:rPr>
            </w:pPr>
            <w:r>
              <w:rPr>
                <w:rFonts w:hint="eastAsia" w:ascii="宋体" w:hAnsi="宋体"/>
                <w:color w:val="auto"/>
                <w:szCs w:val="21"/>
              </w:rPr>
              <w:t>数量</w:t>
            </w:r>
          </w:p>
        </w:tc>
        <w:tc>
          <w:tcPr>
            <w:tcW w:w="1633" w:type="dxa"/>
            <w:noWrap w:val="0"/>
            <w:vAlign w:val="center"/>
          </w:tcPr>
          <w:p w14:paraId="53722380">
            <w:pPr>
              <w:adjustRightInd w:val="0"/>
              <w:snapToGrid w:val="0"/>
              <w:spacing w:line="360" w:lineRule="auto"/>
              <w:jc w:val="center"/>
              <w:rPr>
                <w:rFonts w:ascii="宋体" w:hAnsi="宋体"/>
                <w:color w:val="auto"/>
                <w:szCs w:val="21"/>
              </w:rPr>
            </w:pPr>
            <w:r>
              <w:rPr>
                <w:rFonts w:hint="eastAsia" w:ascii="宋体" w:hAnsi="宋体"/>
                <w:color w:val="auto"/>
                <w:szCs w:val="21"/>
              </w:rPr>
              <w:t>标的预算</w:t>
            </w:r>
          </w:p>
        </w:tc>
        <w:tc>
          <w:tcPr>
            <w:tcW w:w="1687" w:type="dxa"/>
            <w:noWrap w:val="0"/>
            <w:vAlign w:val="center"/>
          </w:tcPr>
          <w:p w14:paraId="4441BE70">
            <w:pPr>
              <w:adjustRightInd w:val="0"/>
              <w:snapToGrid w:val="0"/>
              <w:spacing w:line="360" w:lineRule="auto"/>
              <w:jc w:val="center"/>
              <w:rPr>
                <w:rFonts w:ascii="宋体" w:hAnsi="宋体"/>
                <w:color w:val="auto"/>
                <w:szCs w:val="21"/>
              </w:rPr>
            </w:pPr>
            <w:r>
              <w:rPr>
                <w:rFonts w:hint="eastAsia" w:ascii="宋体" w:hAnsi="宋体"/>
                <w:color w:val="auto"/>
                <w:szCs w:val="21"/>
              </w:rPr>
              <w:t>最高限价</w:t>
            </w:r>
          </w:p>
        </w:tc>
      </w:tr>
      <w:tr w14:paraId="129132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rPr>
        <w:tc>
          <w:tcPr>
            <w:tcW w:w="871" w:type="dxa"/>
            <w:noWrap w:val="0"/>
            <w:vAlign w:val="center"/>
          </w:tcPr>
          <w:p w14:paraId="03890ECA">
            <w:pPr>
              <w:adjustRightInd w:val="0"/>
              <w:snapToGrid w:val="0"/>
              <w:spacing w:line="360" w:lineRule="auto"/>
              <w:jc w:val="center"/>
              <w:rPr>
                <w:rFonts w:ascii="宋体" w:hAnsi="宋体"/>
                <w:color w:val="auto"/>
                <w:szCs w:val="21"/>
              </w:rPr>
            </w:pPr>
            <w:r>
              <w:rPr>
                <w:rFonts w:hint="eastAsia" w:ascii="宋体" w:hAnsi="宋体"/>
                <w:color w:val="auto"/>
                <w:szCs w:val="21"/>
              </w:rPr>
              <w:t>01</w:t>
            </w:r>
          </w:p>
        </w:tc>
        <w:tc>
          <w:tcPr>
            <w:tcW w:w="1228" w:type="dxa"/>
            <w:noWrap w:val="0"/>
            <w:vAlign w:val="center"/>
          </w:tcPr>
          <w:p w14:paraId="16817BAC">
            <w:pPr>
              <w:adjustRightInd w:val="0"/>
              <w:snapToGrid w:val="0"/>
              <w:spacing w:line="36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湖南国防工业职业技术学院围墙道路等改造工程项目</w:t>
            </w:r>
          </w:p>
        </w:tc>
        <w:tc>
          <w:tcPr>
            <w:tcW w:w="3088" w:type="dxa"/>
            <w:tcBorders>
              <w:left w:val="single" w:color="auto" w:sz="4" w:space="0"/>
            </w:tcBorders>
            <w:noWrap w:val="0"/>
            <w:vAlign w:val="center"/>
          </w:tcPr>
          <w:p w14:paraId="62E9797D">
            <w:pPr>
              <w:adjustRightInd w:val="0"/>
              <w:snapToGrid w:val="0"/>
              <w:spacing w:line="36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项目改造总面积11590㎡，包含敬贤路道路改造、围墙改造、水体改造及配套工程，针对原有围墙破损失稳、道路通行承载力不足、人行道缺失、水体驳岸变形、排水系统老化、照明缺失、景观设施移位破损等病害进行系统性修缮升级。（具体详见工程量清单及图纸）</w:t>
            </w:r>
          </w:p>
        </w:tc>
        <w:tc>
          <w:tcPr>
            <w:tcW w:w="697" w:type="dxa"/>
            <w:tcBorders>
              <w:left w:val="single" w:color="auto" w:sz="4" w:space="0"/>
            </w:tcBorders>
            <w:noWrap w:val="0"/>
            <w:vAlign w:val="center"/>
          </w:tcPr>
          <w:p w14:paraId="19D13945">
            <w:pPr>
              <w:adjustRightInd w:val="0"/>
              <w:snapToGrid w:val="0"/>
              <w:spacing w:line="36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w:t>
            </w:r>
          </w:p>
        </w:tc>
        <w:tc>
          <w:tcPr>
            <w:tcW w:w="1633" w:type="dxa"/>
            <w:noWrap w:val="0"/>
            <w:vAlign w:val="center"/>
          </w:tcPr>
          <w:p w14:paraId="22D08D2F">
            <w:pPr>
              <w:adjustRightInd w:val="0"/>
              <w:snapToGrid w:val="0"/>
              <w:spacing w:line="360" w:lineRule="exact"/>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2949674.47元</w:t>
            </w:r>
          </w:p>
        </w:tc>
        <w:tc>
          <w:tcPr>
            <w:tcW w:w="1687" w:type="dxa"/>
            <w:noWrap w:val="0"/>
            <w:vAlign w:val="center"/>
          </w:tcPr>
          <w:p w14:paraId="51057A2E">
            <w:pPr>
              <w:adjustRightInd w:val="0"/>
              <w:snapToGrid w:val="0"/>
              <w:spacing w:line="360" w:lineRule="exact"/>
              <w:jc w:val="center"/>
              <w:rPr>
                <w:rFonts w:hint="eastAsia" w:ascii="宋体" w:hAnsi="宋体" w:eastAsia="宋体" w:cs="Times New Roman"/>
                <w:color w:val="auto"/>
                <w:szCs w:val="21"/>
                <w:lang w:val="en-US" w:eastAsia="zh-CN"/>
              </w:rPr>
            </w:pPr>
            <w:r>
              <w:rPr>
                <w:rFonts w:hint="eastAsia" w:ascii="宋体" w:hAnsi="宋体"/>
                <w:color w:val="auto"/>
                <w:szCs w:val="21"/>
                <w:lang w:val="en-US" w:eastAsia="zh-CN"/>
              </w:rPr>
              <w:t>2949674.47元</w:t>
            </w:r>
          </w:p>
        </w:tc>
      </w:tr>
    </w:tbl>
    <w:p w14:paraId="2275112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bookmarkStart w:id="18" w:name="_Toc25307"/>
      <w:bookmarkStart w:id="19" w:name="_Toc110606590"/>
      <w:bookmarkStart w:id="20" w:name="_Toc27798"/>
      <w:r>
        <w:rPr>
          <w:rFonts w:hint="eastAsia" w:ascii="宋体" w:hAnsi="宋体" w:cs="宋体"/>
          <w:color w:val="auto"/>
          <w:szCs w:val="21"/>
        </w:rPr>
        <w:t xml:space="preserve">说明： </w:t>
      </w:r>
    </w:p>
    <w:p w14:paraId="0D7BB0A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1.节能产品实行强制采购的，需提供国家认证机构出具的、处于有效期内的节能产品证书。 </w:t>
      </w:r>
    </w:p>
    <w:p w14:paraId="2A3AEB1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2.同意购买进口产品的，不限制满足采购需求的国内产品参与投标。</w:t>
      </w:r>
    </w:p>
    <w:p w14:paraId="61F62FB2">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Times New Roman"/>
          <w:color w:val="auto"/>
        </w:rPr>
      </w:pPr>
      <w:bookmarkStart w:id="21" w:name="_Toc16068"/>
      <w:bookmarkStart w:id="22" w:name="_Toc15429"/>
      <w:bookmarkStart w:id="23" w:name="_Toc7401"/>
      <w:r>
        <w:rPr>
          <w:rFonts w:hint="eastAsia" w:ascii="Arial" w:hAnsi="Arial" w:eastAsia="宋体" w:cs="Times New Roman"/>
          <w:color w:val="auto"/>
        </w:rPr>
        <w:t>三、采购项目需落实的政府采购政策</w:t>
      </w:r>
      <w:bookmarkEnd w:id="18"/>
      <w:bookmarkEnd w:id="19"/>
      <w:bookmarkEnd w:id="20"/>
      <w:bookmarkEnd w:id="21"/>
      <w:bookmarkEnd w:id="22"/>
      <w:bookmarkEnd w:id="23"/>
    </w:p>
    <w:p w14:paraId="409353B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1、优先采购：节能产品、环境标志产品享受加分或价格折扣。</w:t>
      </w:r>
    </w:p>
    <w:p w14:paraId="2474CEA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2、支持中小企业：中小企业享受预留采购份额或价格折扣。</w:t>
      </w:r>
    </w:p>
    <w:p w14:paraId="29E079D4">
      <w:pPr>
        <w:pStyle w:val="3"/>
        <w:pageBreakBefore w:val="0"/>
        <w:widowControl w:val="0"/>
        <w:kinsoku/>
        <w:wordWrap/>
        <w:overflowPunct/>
        <w:topLinePunct w:val="0"/>
        <w:autoSpaceDE/>
        <w:autoSpaceDN/>
        <w:bidi w:val="0"/>
        <w:adjustRightInd w:val="0"/>
        <w:snapToGrid w:val="0"/>
        <w:spacing w:line="360" w:lineRule="auto"/>
        <w:textAlignment w:val="auto"/>
        <w:rPr>
          <w:color w:val="auto"/>
        </w:rPr>
      </w:pPr>
      <w:bookmarkStart w:id="24" w:name="_Toc3863"/>
      <w:r>
        <w:rPr>
          <w:rFonts w:hint="eastAsia"/>
          <w:color w:val="auto"/>
        </w:rPr>
        <w:t>四、供应商的资格要求</w:t>
      </w:r>
      <w:bookmarkEnd w:id="9"/>
      <w:bookmarkEnd w:id="10"/>
      <w:bookmarkEnd w:id="11"/>
      <w:bookmarkEnd w:id="12"/>
      <w:bookmarkEnd w:id="13"/>
      <w:bookmarkEnd w:id="24"/>
    </w:p>
    <w:p w14:paraId="67470C8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bookmarkStart w:id="25" w:name="_Toc28359091"/>
      <w:bookmarkStart w:id="26" w:name="_Toc28359014"/>
      <w:r>
        <w:rPr>
          <w:rFonts w:hint="eastAsia" w:ascii="宋体" w:hAnsi="宋体" w:cs="宋体"/>
          <w:color w:val="auto"/>
          <w:szCs w:val="21"/>
        </w:rPr>
        <w:t>1、投标人的基本资格条件：投标人必须是在中华人民共和国境内注册登记的法人、其他组织或者自然人，且应当符合《政府采购法》第二十二条第一款的规定。</w:t>
      </w:r>
    </w:p>
    <w:p w14:paraId="05CD6AA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2、落实政府采购政策需满足的资格要求：</w:t>
      </w:r>
      <w:r>
        <w:rPr>
          <w:rFonts w:hint="eastAsia"/>
          <w:color w:val="auto"/>
        </w:rPr>
        <w:t>否</w:t>
      </w:r>
    </w:p>
    <w:p w14:paraId="65E3050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专门面向：</w:t>
      </w:r>
      <w:r>
        <w:rPr>
          <w:rFonts w:hint="eastAsia" w:ascii="宋体" w:hAnsi="宋体" w:cs="宋体"/>
          <w:color w:val="auto"/>
          <w:szCs w:val="21"/>
        </w:rPr>
        <w:sym w:font="Wingdings" w:char="00FE"/>
      </w:r>
      <w:r>
        <w:rPr>
          <w:rFonts w:hint="eastAsia" w:ascii="宋体" w:hAnsi="宋体" w:cs="宋体"/>
          <w:color w:val="auto"/>
          <w:szCs w:val="21"/>
        </w:rPr>
        <w:t>中小企业 </w:t>
      </w:r>
      <w:r>
        <w:rPr>
          <w:rFonts w:hint="eastAsia" w:ascii="宋体" w:hAnsi="宋体" w:cs="宋体"/>
          <w:color w:val="auto"/>
          <w:szCs w:val="21"/>
        </w:rPr>
        <w:sym w:font="Wingdings" w:char="00A8"/>
      </w:r>
      <w:r>
        <w:rPr>
          <w:rFonts w:hint="eastAsia" w:ascii="宋体" w:hAnsi="宋体" w:cs="宋体"/>
          <w:color w:val="auto"/>
          <w:szCs w:val="21"/>
        </w:rPr>
        <w:t>小微企业 </w:t>
      </w:r>
      <w:r>
        <w:rPr>
          <w:rFonts w:hint="eastAsia" w:ascii="宋体" w:hAnsi="宋体" w:cs="宋体"/>
          <w:color w:val="auto"/>
          <w:szCs w:val="21"/>
        </w:rPr>
        <w:sym w:font="Wingdings" w:char="00A8"/>
      </w:r>
      <w:r>
        <w:rPr>
          <w:rFonts w:hint="eastAsia" w:ascii="宋体" w:hAnsi="宋体" w:cs="宋体"/>
          <w:color w:val="auto"/>
          <w:szCs w:val="21"/>
        </w:rPr>
        <w:t>监狱企业 </w:t>
      </w:r>
      <w:r>
        <w:rPr>
          <w:rFonts w:hint="eastAsia" w:ascii="宋体" w:hAnsi="宋体" w:cs="宋体"/>
          <w:color w:val="auto"/>
          <w:szCs w:val="21"/>
        </w:rPr>
        <w:sym w:font="Wingdings" w:char="00A8"/>
      </w:r>
      <w:r>
        <w:rPr>
          <w:rFonts w:hint="eastAsia" w:ascii="宋体" w:hAnsi="宋体" w:cs="宋体"/>
          <w:color w:val="auto"/>
          <w:szCs w:val="21"/>
        </w:rPr>
        <w:t>福利性单位</w:t>
      </w:r>
    </w:p>
    <w:p w14:paraId="27249EE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强制分包：大型企业应将采购份额的</w:t>
      </w:r>
      <w:r>
        <w:rPr>
          <w:rFonts w:hint="eastAsia" w:ascii="宋体" w:hAnsi="宋体" w:cs="宋体"/>
          <w:color w:val="auto"/>
          <w:szCs w:val="21"/>
          <w:u w:val="single"/>
        </w:rPr>
        <w:t xml:space="preserve"> / </w:t>
      </w:r>
      <w:r>
        <w:rPr>
          <w:rFonts w:hint="eastAsia" w:ascii="宋体" w:hAnsi="宋体" w:cs="宋体"/>
          <w:color w:val="auto"/>
          <w:szCs w:val="21"/>
        </w:rPr>
        <w:t>%分包给中小企业。</w:t>
      </w:r>
    </w:p>
    <w:p w14:paraId="72984EC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、本项目的特定资格要求：</w:t>
      </w:r>
    </w:p>
    <w:p w14:paraId="00F68AD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cs="宋体"/>
          <w:color w:val="auto"/>
          <w:lang w:val="en-US" w:eastAsia="zh-CN"/>
        </w:rPr>
        <w:t>供应</w:t>
      </w:r>
      <w:r>
        <w:rPr>
          <w:rFonts w:hint="eastAsia" w:ascii="宋体" w:hAnsi="宋体" w:eastAsia="宋体" w:cs="宋体"/>
          <w:color w:val="auto"/>
          <w:lang w:val="en-US" w:eastAsia="zh-CN"/>
        </w:rPr>
        <w:t>商具备建设行政主管部门颁发的建筑工程施工总承包叁级及以上等级资质，且安全生产许可证处于有效期；</w:t>
      </w:r>
    </w:p>
    <w:p w14:paraId="5319C64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供应商拟任项目负责人具备建筑工程二级及以上注册建造师执业资格证书，具有安全生产考核合格证书（B证），且无在建工程。【提供相应证书复印件、无在建工程承诺书和供应商为其缴纳社保的证明材料复印件（2026年4月以来任意1个月）】。</w:t>
      </w:r>
    </w:p>
    <w:p w14:paraId="7D811F7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（3）供应商拟任项目技术负责人具有相关专业中级及以上职称，且无在建工程。【提供相应证书复印件、无在建工程承诺书和供应商为其缴纳社保的证明材料复印件（2026年4月以来任意1个月）】。</w:t>
      </w:r>
    </w:p>
    <w:p w14:paraId="5EFD06F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（4）供应商须提供关键岗位人员配备和无在建工程承诺书，同时安全员须具有有效的C类安全考核合格证书。【提供对应承诺书、证书和供应商为其缴纳社保的证明材料（2026年4月以来任意1个月）】。</w:t>
      </w:r>
    </w:p>
    <w:p w14:paraId="7C85942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本项目专门面向中小企业采购，供应商必须为中型企业或小型企业或微型企业（残疾人福利性单位、监狱企业视同小微企业），中、小、微企业按照《政府采购促进中小企业发展管理办法》（财库﹝2020﹞46号）的规定提供《中小企业声明函》，残疾人福利性单位提供《残疾人福利性单位声明函》，监狱企业按《财政部 司法部关于政府采购支持监狱企业发展有关问题的通知》(财库〔2014〕68号)文件规定提供证明文件复印件（格式详见磋商文件第六章）。</w:t>
      </w:r>
    </w:p>
    <w:p w14:paraId="02503C0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auto"/>
        </w:rPr>
      </w:pPr>
      <w:r>
        <w:rPr>
          <w:rFonts w:hint="eastAsia" w:ascii="宋体" w:hAnsi="宋体" w:cs="宋体"/>
          <w:color w:val="auto"/>
          <w:lang w:val="en-US" w:eastAsia="zh-CN"/>
        </w:rPr>
        <w:t>4</w:t>
      </w:r>
      <w:r>
        <w:rPr>
          <w:rFonts w:hint="eastAsia" w:ascii="宋体" w:hAnsi="宋体" w:cs="宋体"/>
          <w:color w:val="auto"/>
        </w:rPr>
        <w:t>、单位负责人为同一人或者存在直接控股、管理关系的不同供应商，不得参加同一合同项下的政府采购活动。</w:t>
      </w:r>
    </w:p>
    <w:p w14:paraId="0083F65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、为本采购项目提供整体设计、规范编制或者项目管理、监理、检测等服务的，不得再参加此项目的其他采购活动。</w:t>
      </w:r>
    </w:p>
    <w:p w14:paraId="0AB6783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auto"/>
        </w:rPr>
      </w:pPr>
      <w:r>
        <w:rPr>
          <w:rFonts w:hint="eastAsia" w:ascii="宋体" w:hAnsi="宋体" w:cs="宋体"/>
          <w:color w:val="auto"/>
          <w:lang w:val="en-US" w:eastAsia="zh-CN"/>
        </w:rPr>
        <w:t>6</w:t>
      </w:r>
      <w:r>
        <w:rPr>
          <w:rFonts w:hint="eastAsia" w:ascii="宋体" w:hAnsi="宋体" w:cs="宋体"/>
          <w:color w:val="auto"/>
        </w:rPr>
        <w:t>、列入失信被执行人、重大税收违法案件当事人名单，列入政府采购严重违法失信行为记录名单的，拒绝其参与政府采购活动。</w:t>
      </w:r>
    </w:p>
    <w:p w14:paraId="3974300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auto"/>
        </w:rPr>
      </w:pPr>
      <w:r>
        <w:rPr>
          <w:rFonts w:hint="eastAsia" w:ascii="宋体" w:hAnsi="宋体" w:cs="宋体"/>
          <w:color w:val="auto"/>
        </w:rPr>
        <w:t>7、本次采购不接受联合体响应。</w:t>
      </w:r>
    </w:p>
    <w:p w14:paraId="44961BD0">
      <w:pPr>
        <w:pStyle w:val="3"/>
        <w:pageBreakBefore w:val="0"/>
        <w:widowControl w:val="0"/>
        <w:kinsoku/>
        <w:wordWrap/>
        <w:overflowPunct/>
        <w:topLinePunct w:val="0"/>
        <w:autoSpaceDE/>
        <w:autoSpaceDN/>
        <w:bidi w:val="0"/>
        <w:adjustRightInd w:val="0"/>
        <w:snapToGrid w:val="0"/>
        <w:spacing w:line="360" w:lineRule="auto"/>
        <w:textAlignment w:val="auto"/>
        <w:rPr>
          <w:color w:val="auto"/>
        </w:rPr>
      </w:pPr>
      <w:bookmarkStart w:id="27" w:name="_Toc35393631"/>
      <w:bookmarkStart w:id="28" w:name="_Toc35393800"/>
      <w:bookmarkStart w:id="29" w:name="_Toc69831370"/>
      <w:bookmarkStart w:id="30" w:name="_Toc14664"/>
      <w:r>
        <w:rPr>
          <w:rFonts w:hint="eastAsia"/>
          <w:color w:val="auto"/>
        </w:rPr>
        <w:t>五、获取采购文件</w:t>
      </w:r>
      <w:bookmarkEnd w:id="25"/>
      <w:bookmarkEnd w:id="26"/>
      <w:bookmarkEnd w:id="27"/>
      <w:bookmarkEnd w:id="28"/>
      <w:bookmarkEnd w:id="29"/>
      <w:bookmarkEnd w:id="30"/>
    </w:p>
    <w:p w14:paraId="7FF974DB">
      <w:pPr>
        <w:pageBreakBefore w:val="0"/>
        <w:widowControl w:val="0"/>
        <w:kinsoku/>
        <w:wordWrap/>
        <w:overflowPunct/>
        <w:topLinePunct w:val="0"/>
        <w:autoSpaceDE/>
        <w:autoSpaceDN/>
        <w:bidi w:val="0"/>
        <w:spacing w:line="360" w:lineRule="auto"/>
        <w:ind w:firstLine="315" w:firstLineChars="150"/>
        <w:textAlignment w:val="auto"/>
        <w:rPr>
          <w:rFonts w:ascii="宋体" w:hAnsi="宋体"/>
          <w:color w:val="auto"/>
          <w:szCs w:val="21"/>
        </w:rPr>
      </w:pPr>
      <w:bookmarkStart w:id="31" w:name="_Toc69831371"/>
      <w:bookmarkStart w:id="32" w:name="_Toc35393801"/>
      <w:bookmarkStart w:id="33" w:name="_Toc28359015"/>
      <w:bookmarkStart w:id="34" w:name="_Toc28359092"/>
      <w:bookmarkStart w:id="35" w:name="_Toc35393632"/>
      <w:r>
        <w:rPr>
          <w:rFonts w:hint="eastAsia" w:ascii="宋体" w:hAnsi="宋体"/>
          <w:color w:val="auto"/>
          <w:szCs w:val="21"/>
        </w:rPr>
        <w:t>凡有意参加磋商采购活动的，请于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7 </w:t>
      </w:r>
      <w:r>
        <w:rPr>
          <w:rFonts w:hint="eastAsia" w:ascii="宋体" w:hAnsi="宋体"/>
          <w:color w:val="auto"/>
          <w:szCs w:val="21"/>
        </w:rPr>
        <w:t>月</w:t>
      </w:r>
      <w:r>
        <w:rPr>
          <w:rFonts w:hint="eastAsia" w:ascii="宋体" w:hAnsi="宋体"/>
          <w:color w:val="auto"/>
          <w:szCs w:val="21"/>
          <w:u w:val="single"/>
          <w:lang w:val="en-US" w:eastAsia="zh-CN"/>
        </w:rPr>
        <w:t xml:space="preserve"> 10 </w:t>
      </w:r>
      <w:r>
        <w:rPr>
          <w:rFonts w:hint="eastAsia" w:ascii="宋体" w:hAnsi="宋体"/>
          <w:color w:val="auto"/>
          <w:szCs w:val="21"/>
        </w:rPr>
        <w:t>日起至</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7 </w:t>
      </w:r>
      <w:r>
        <w:rPr>
          <w:rFonts w:hint="eastAsia" w:ascii="宋体" w:hAnsi="宋体"/>
          <w:color w:val="auto"/>
          <w:szCs w:val="21"/>
        </w:rPr>
        <w:t>月</w:t>
      </w:r>
      <w:r>
        <w:rPr>
          <w:rFonts w:hint="eastAsia" w:ascii="宋体" w:hAnsi="宋体"/>
          <w:color w:val="auto"/>
          <w:szCs w:val="21"/>
          <w:u w:val="single"/>
          <w:lang w:val="en-US" w:eastAsia="zh-CN"/>
        </w:rPr>
        <w:t xml:space="preserve"> 17 </w:t>
      </w:r>
      <w:r>
        <w:rPr>
          <w:rFonts w:hint="eastAsia" w:ascii="宋体" w:hAnsi="宋体"/>
          <w:color w:val="auto"/>
          <w:szCs w:val="21"/>
        </w:rPr>
        <w:t>日（节假日除外），每日8:30至12:00，14:30至17:00（北京时间），持本人身份证原件、供应商法人委托授权书（委托</w:t>
      </w:r>
      <w:r>
        <w:rPr>
          <w:rFonts w:hint="eastAsia" w:ascii="宋体" w:hAnsi="宋体"/>
          <w:color w:val="auto"/>
          <w:szCs w:val="21"/>
          <w:lang w:val="en-US" w:eastAsia="zh-CN"/>
        </w:rPr>
        <w:t>领取</w:t>
      </w:r>
      <w:r>
        <w:rPr>
          <w:rFonts w:hint="eastAsia" w:ascii="宋体" w:hAnsi="宋体"/>
          <w:color w:val="auto"/>
          <w:szCs w:val="21"/>
        </w:rPr>
        <w:t>）、供应商营业执照副本复印件</w:t>
      </w:r>
      <w:r>
        <w:rPr>
          <w:rFonts w:hint="eastAsia" w:ascii="宋体" w:hAnsi="宋体" w:eastAsia="宋体" w:cs="Times New Roman"/>
          <w:color w:val="auto"/>
          <w:szCs w:val="21"/>
        </w:rPr>
        <w:t>到湖南明信招标代理有限公司（</w:t>
      </w:r>
      <w:r>
        <w:rPr>
          <w:rFonts w:hint="eastAsia" w:ascii="宋体" w:hAnsi="宋体" w:eastAsia="宋体" w:cs="Times New Roman"/>
          <w:color w:val="auto"/>
          <w:szCs w:val="21"/>
          <w:lang w:val="en-US" w:eastAsia="zh-CN"/>
        </w:rPr>
        <w:t>长沙市雨花区湘府中路恒大金融广场3栋10楼1005-1007房</w:t>
      </w:r>
      <w:r>
        <w:rPr>
          <w:rFonts w:hint="eastAsia" w:ascii="宋体" w:hAnsi="宋体" w:eastAsia="宋体" w:cs="Times New Roman"/>
          <w:color w:val="auto"/>
          <w:szCs w:val="21"/>
        </w:rPr>
        <w:t>）领取磋商文件。</w:t>
      </w:r>
    </w:p>
    <w:p w14:paraId="1C7D7E68">
      <w:pPr>
        <w:pStyle w:val="3"/>
        <w:pageBreakBefore w:val="0"/>
        <w:widowControl w:val="0"/>
        <w:kinsoku/>
        <w:wordWrap/>
        <w:overflowPunct/>
        <w:topLinePunct w:val="0"/>
        <w:autoSpaceDE/>
        <w:autoSpaceDN/>
        <w:bidi w:val="0"/>
        <w:adjustRightInd w:val="0"/>
        <w:snapToGrid w:val="0"/>
        <w:spacing w:line="360" w:lineRule="auto"/>
        <w:textAlignment w:val="auto"/>
        <w:rPr>
          <w:color w:val="auto"/>
        </w:rPr>
      </w:pPr>
      <w:bookmarkStart w:id="36" w:name="_Toc27816"/>
      <w:r>
        <w:rPr>
          <w:rFonts w:hint="eastAsia"/>
          <w:color w:val="auto"/>
        </w:rPr>
        <w:t>六、</w:t>
      </w:r>
      <w:bookmarkEnd w:id="31"/>
      <w:bookmarkEnd w:id="32"/>
      <w:bookmarkEnd w:id="33"/>
      <w:bookmarkEnd w:id="34"/>
      <w:bookmarkEnd w:id="35"/>
      <w:r>
        <w:rPr>
          <w:rFonts w:hint="eastAsia"/>
          <w:color w:val="auto"/>
        </w:rPr>
        <w:t>响应文件提交的截止时间、开启时间及地点</w:t>
      </w:r>
      <w:bookmarkEnd w:id="36"/>
    </w:p>
    <w:p w14:paraId="3D6C6F62">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bookmarkStart w:id="37" w:name="_Toc28359094"/>
      <w:bookmarkStart w:id="38" w:name="_Toc35393634"/>
      <w:bookmarkStart w:id="39" w:name="_Toc69831373"/>
      <w:bookmarkStart w:id="40" w:name="_Toc28359017"/>
      <w:bookmarkStart w:id="41" w:name="_Toc35393803"/>
      <w:r>
        <w:rPr>
          <w:rFonts w:hint="eastAsia" w:ascii="宋体" w:hAnsi="宋体" w:cs="宋体"/>
          <w:color w:val="auto"/>
          <w:szCs w:val="21"/>
        </w:rPr>
        <w:t>1、提交首次响应文件的截止时间为</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rPr>
        <w:t>月</w:t>
      </w:r>
      <w:r>
        <w:rPr>
          <w:rFonts w:hint="eastAsia" w:ascii="宋体" w:hAnsi="宋体"/>
          <w:color w:val="auto"/>
          <w:szCs w:val="21"/>
          <w:u w:val="single"/>
          <w:lang w:val="en-US" w:eastAsia="zh-CN"/>
        </w:rPr>
        <w:t xml:space="preserve">  22  </w:t>
      </w:r>
      <w:r>
        <w:rPr>
          <w:rFonts w:hint="eastAsia" w:ascii="宋体" w:hAnsi="宋体"/>
          <w:color w:val="auto"/>
          <w:szCs w:val="21"/>
        </w:rPr>
        <w:t>日</w:t>
      </w:r>
      <w:r>
        <w:rPr>
          <w:rFonts w:hint="eastAsia" w:ascii="宋体" w:hAnsi="宋体"/>
          <w:color w:val="auto"/>
          <w:szCs w:val="21"/>
          <w:u w:val="single"/>
          <w:lang w:val="en-US" w:eastAsia="zh-CN"/>
        </w:rPr>
        <w:t>9:3</w:t>
      </w:r>
      <w:r>
        <w:rPr>
          <w:rFonts w:hint="eastAsia" w:ascii="宋体" w:hAnsi="宋体"/>
          <w:color w:val="auto"/>
          <w:szCs w:val="21"/>
          <w:u w:val="single"/>
        </w:rPr>
        <w:t>0整</w:t>
      </w:r>
      <w:r>
        <w:rPr>
          <w:rFonts w:hint="eastAsia" w:ascii="宋体" w:hAnsi="宋体" w:cs="宋体"/>
          <w:color w:val="auto"/>
          <w:szCs w:val="21"/>
        </w:rPr>
        <w:t>（北京时间），地点为</w:t>
      </w:r>
      <w:r>
        <w:rPr>
          <w:rFonts w:hint="eastAsia" w:ascii="宋体" w:hAnsi="宋体"/>
          <w:color w:val="auto"/>
          <w:szCs w:val="21"/>
        </w:rPr>
        <w:t>湖南明信招标代理有限公司开标室（</w:t>
      </w:r>
      <w:r>
        <w:rPr>
          <w:rFonts w:hint="eastAsia" w:ascii="宋体" w:hAnsi="宋体"/>
          <w:color w:val="auto"/>
          <w:szCs w:val="21"/>
          <w:lang w:eastAsia="zh-CN"/>
        </w:rPr>
        <w:t>长沙市雨花区湘府中路恒大金融广场3栋10楼1005-1007房</w:t>
      </w:r>
      <w:r>
        <w:rPr>
          <w:rFonts w:hint="eastAsia" w:ascii="宋体" w:hAnsi="宋体"/>
          <w:color w:val="auto"/>
          <w:szCs w:val="21"/>
        </w:rPr>
        <w:t>）</w:t>
      </w:r>
      <w:r>
        <w:rPr>
          <w:rFonts w:hint="eastAsia" w:ascii="宋体" w:hAnsi="宋体" w:cs="宋体"/>
          <w:color w:val="auto"/>
          <w:szCs w:val="21"/>
        </w:rPr>
        <w:t>。在截止时间后送达的响应文件为无效文件，采购人、采购代理机构或者磋商小组将拒收。</w:t>
      </w:r>
    </w:p>
    <w:p w14:paraId="6D591EF9">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2、首次响应文件的开启时间及地点与提交首次响应文件的截止时间及地点为同一时间及地点。</w:t>
      </w:r>
    </w:p>
    <w:bookmarkEnd w:id="37"/>
    <w:bookmarkEnd w:id="38"/>
    <w:bookmarkEnd w:id="39"/>
    <w:bookmarkEnd w:id="40"/>
    <w:bookmarkEnd w:id="41"/>
    <w:p w14:paraId="09565BB2">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Times New Roman"/>
          <w:color w:val="auto"/>
        </w:rPr>
      </w:pPr>
      <w:bookmarkStart w:id="42" w:name="_Toc28207"/>
      <w:bookmarkStart w:id="43" w:name="_Toc29283"/>
      <w:bookmarkStart w:id="44" w:name="_Toc69831375"/>
      <w:bookmarkStart w:id="45" w:name="_Toc28359095"/>
      <w:bookmarkStart w:id="46" w:name="_Toc35393636"/>
      <w:bookmarkStart w:id="47" w:name="_Toc28359018"/>
      <w:bookmarkStart w:id="48" w:name="_Toc35393805"/>
      <w:r>
        <w:rPr>
          <w:rFonts w:hint="eastAsia" w:ascii="Arial" w:hAnsi="Arial" w:eastAsia="宋体" w:cs="Times New Roman"/>
          <w:color w:val="auto"/>
        </w:rPr>
        <w:t>七、询问及质疑</w:t>
      </w:r>
      <w:bookmarkEnd w:id="42"/>
      <w:bookmarkEnd w:id="43"/>
    </w:p>
    <w:p w14:paraId="0864855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1、供应商对政府采购活动事项如有疑问的，可以向采购人、采购代理机构提出询问。采购人、采购代理机构将在3个工作日内作出答复。</w:t>
      </w:r>
    </w:p>
    <w:p w14:paraId="612A183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供应商认为谈判文件使自己的合法权益受到损害的，可以在收到谈判文件之日起7个工作日内，按《湖南省财政厅关于印发＜政府采购质疑答复和投诉处理操作规程＞的通知》(湘财购〔2019〕20号)规定，以纸质书面形式向采购人、采购代理机构提出质疑。</w:t>
      </w:r>
    </w:p>
    <w:p w14:paraId="36631CDC">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Times New Roman"/>
          <w:color w:val="auto"/>
        </w:rPr>
      </w:pPr>
      <w:bookmarkStart w:id="49" w:name="_Toc8336"/>
      <w:bookmarkStart w:id="50" w:name="_Toc30517"/>
      <w:r>
        <w:rPr>
          <w:rFonts w:hint="eastAsia" w:ascii="Arial" w:hAnsi="Arial" w:eastAsia="宋体" w:cs="Times New Roman"/>
          <w:color w:val="auto"/>
        </w:rPr>
        <w:t>八、投标说明</w:t>
      </w:r>
      <w:bookmarkEnd w:id="49"/>
      <w:bookmarkEnd w:id="50"/>
    </w:p>
    <w:p w14:paraId="7C64630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1、本公告选项：</w:t>
      </w:r>
      <w:r>
        <w:rPr>
          <w:rFonts w:hint="eastAsia" w:ascii="宋体" w:hAnsi="宋体" w:cs="宋体"/>
          <w:color w:val="auto"/>
          <w:szCs w:val="21"/>
        </w:rPr>
        <w:sym w:font="Wingdings" w:char="00FE"/>
      </w:r>
      <w:r>
        <w:rPr>
          <w:rFonts w:hint="eastAsia" w:ascii="宋体" w:hAnsi="宋体" w:cs="宋体"/>
          <w:color w:val="auto"/>
          <w:szCs w:val="21"/>
        </w:rPr>
        <w:t>表示选择，</w:t>
      </w:r>
      <w:r>
        <w:rPr>
          <w:rFonts w:hint="eastAsia" w:ascii="宋体" w:hAnsi="宋体" w:cs="宋体"/>
          <w:color w:val="auto"/>
          <w:szCs w:val="21"/>
        </w:rPr>
        <w:sym w:font="Wingdings" w:char="00A8"/>
      </w:r>
      <w:r>
        <w:rPr>
          <w:rFonts w:hint="eastAsia" w:ascii="宋体" w:hAnsi="宋体" w:cs="宋体"/>
          <w:color w:val="auto"/>
          <w:szCs w:val="21"/>
        </w:rPr>
        <w:t>表示未选择。</w:t>
      </w:r>
    </w:p>
    <w:p w14:paraId="2D38D8F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2、投标人参与政府采购活动，无需向采购人、代理机构、交易平台缴纳任何费用。</w:t>
      </w:r>
    </w:p>
    <w:p w14:paraId="37B7E966">
      <w:pPr>
        <w:pStyle w:val="3"/>
        <w:pageBreakBefore w:val="0"/>
        <w:widowControl w:val="0"/>
        <w:kinsoku/>
        <w:wordWrap/>
        <w:overflowPunct/>
        <w:topLinePunct w:val="0"/>
        <w:autoSpaceDE/>
        <w:autoSpaceDN/>
        <w:bidi w:val="0"/>
        <w:adjustRightInd w:val="0"/>
        <w:snapToGrid w:val="0"/>
        <w:spacing w:line="360" w:lineRule="auto"/>
        <w:textAlignment w:val="auto"/>
        <w:rPr>
          <w:color w:val="auto"/>
        </w:rPr>
      </w:pPr>
      <w:bookmarkStart w:id="51" w:name="_Toc15132"/>
      <w:r>
        <w:rPr>
          <w:rFonts w:hint="eastAsia"/>
          <w:color w:val="auto"/>
          <w:lang w:val="en-US" w:eastAsia="zh-CN"/>
        </w:rPr>
        <w:t>九</w:t>
      </w:r>
      <w:r>
        <w:rPr>
          <w:rFonts w:hint="eastAsia"/>
          <w:color w:val="auto"/>
        </w:rPr>
        <w:t>、联系方式</w:t>
      </w:r>
      <w:bookmarkEnd w:id="44"/>
      <w:bookmarkEnd w:id="45"/>
      <w:bookmarkEnd w:id="46"/>
      <w:bookmarkEnd w:id="47"/>
      <w:bookmarkEnd w:id="48"/>
      <w:bookmarkEnd w:id="51"/>
    </w:p>
    <w:p w14:paraId="5E6A5EB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rPr>
      </w:pPr>
      <w:bookmarkStart w:id="52" w:name="_Toc35393806"/>
      <w:bookmarkStart w:id="53" w:name="_Toc35393637"/>
      <w:bookmarkStart w:id="54" w:name="_Toc28359019"/>
      <w:bookmarkStart w:id="55" w:name="_Toc28359096"/>
      <w:r>
        <w:rPr>
          <w:rFonts w:hint="eastAsia" w:ascii="宋体" w:hAnsi="宋体" w:cs="宋体"/>
          <w:color w:val="auto"/>
          <w:szCs w:val="21"/>
        </w:rPr>
        <w:t>1.采购人信息</w:t>
      </w:r>
      <w:bookmarkEnd w:id="52"/>
      <w:bookmarkEnd w:id="53"/>
      <w:bookmarkEnd w:id="54"/>
      <w:bookmarkEnd w:id="55"/>
    </w:p>
    <w:p w14:paraId="29654AB4">
      <w:pPr>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eastAsia" w:ascii="宋体" w:hAnsi="宋体" w:eastAsia="宋体" w:cs="Times New Roman"/>
          <w:b/>
          <w:bCs w:val="0"/>
          <w:color w:val="auto"/>
          <w:szCs w:val="21"/>
          <w:lang w:eastAsia="zh-CN"/>
        </w:rPr>
      </w:pPr>
      <w:bookmarkStart w:id="56" w:name="_Toc28359097"/>
      <w:bookmarkStart w:id="57" w:name="_Toc35393638"/>
      <w:bookmarkStart w:id="58" w:name="_Toc28359020"/>
      <w:bookmarkStart w:id="59" w:name="_Toc35393807"/>
      <w:r>
        <w:rPr>
          <w:rFonts w:hint="eastAsia" w:ascii="宋体" w:hAnsi="宋体"/>
          <w:b/>
          <w:bCs w:val="0"/>
          <w:color w:val="auto"/>
          <w:szCs w:val="21"/>
        </w:rPr>
        <w:t>名</w:t>
      </w:r>
      <w:r>
        <w:rPr>
          <w:rFonts w:hint="eastAsia" w:ascii="宋体" w:hAnsi="宋体" w:eastAsia="宋体" w:cs="Times New Roman"/>
          <w:b/>
          <w:bCs w:val="0"/>
          <w:color w:val="auto"/>
          <w:szCs w:val="21"/>
          <w:lang w:eastAsia="zh-CN"/>
        </w:rPr>
        <w:t>称：湖南国防工业职业技术学院</w:t>
      </w:r>
    </w:p>
    <w:p w14:paraId="41420A01">
      <w:pPr>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地址：湘潭市雨湖区楠竹山</w:t>
      </w:r>
      <w:r>
        <w:rPr>
          <w:rFonts w:hint="eastAsia" w:ascii="宋体" w:hAnsi="宋体" w:eastAsia="宋体" w:cs="Times New Roman"/>
          <w:color w:val="auto"/>
          <w:szCs w:val="21"/>
          <w:lang w:val="en-US" w:eastAsia="zh-CN"/>
        </w:rPr>
        <w:t>镇学院路1号</w:t>
      </w:r>
    </w:p>
    <w:p w14:paraId="7BCE7468">
      <w:pPr>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联系人：龙老师</w:t>
      </w:r>
    </w:p>
    <w:p w14:paraId="18D82E2F">
      <w:pPr>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电  话：13667428337</w:t>
      </w:r>
    </w:p>
    <w:p w14:paraId="3CE0FE7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rPr>
      </w:pPr>
      <w:r>
        <w:rPr>
          <w:rFonts w:hint="eastAsia" w:ascii="宋体" w:hAnsi="宋体" w:cs="宋体"/>
          <w:color w:val="auto"/>
          <w:szCs w:val="21"/>
        </w:rPr>
        <w:t>2.采购代理机构信息</w:t>
      </w:r>
      <w:bookmarkEnd w:id="56"/>
      <w:bookmarkEnd w:id="57"/>
      <w:bookmarkEnd w:id="58"/>
      <w:bookmarkEnd w:id="59"/>
    </w:p>
    <w:bookmarkEnd w:id="6"/>
    <w:p w14:paraId="0D9B8EFE">
      <w:pPr>
        <w:pageBreakBefore w:val="0"/>
        <w:widowControl w:val="0"/>
        <w:kinsoku/>
        <w:wordWrap/>
        <w:overflowPunct/>
        <w:topLinePunct w:val="0"/>
        <w:autoSpaceDE/>
        <w:autoSpaceDN/>
        <w:bidi w:val="0"/>
        <w:spacing w:line="360" w:lineRule="auto"/>
        <w:ind w:firstLine="420" w:firstLineChars="200"/>
        <w:textAlignment w:val="auto"/>
        <w:rPr>
          <w:rFonts w:ascii="宋体" w:hAnsi="宋体" w:eastAsia="等线"/>
          <w:b/>
          <w:color w:val="auto"/>
          <w:szCs w:val="21"/>
        </w:rPr>
      </w:pPr>
      <w:bookmarkStart w:id="60" w:name="_Toc22201065"/>
      <w:r>
        <w:rPr>
          <w:rFonts w:hint="eastAsia" w:ascii="宋体" w:hAnsi="宋体"/>
          <w:b/>
          <w:color w:val="auto"/>
          <w:szCs w:val="21"/>
        </w:rPr>
        <w:t>采购代理机构：湖南明信招标代理有限公司</w:t>
      </w:r>
    </w:p>
    <w:p w14:paraId="1E18D65C">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长沙市雨花区湘府中路恒大金融广场3栋10楼1005-1007房</w:t>
      </w:r>
    </w:p>
    <w:p w14:paraId="13BDA99F">
      <w:pPr>
        <w:pageBreakBefore w:val="0"/>
        <w:widowControl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联系人：蔡伟、周琳</w:t>
      </w:r>
      <w:r>
        <w:rPr>
          <w:rFonts w:hint="eastAsia" w:ascii="宋体" w:hAnsi="宋体"/>
          <w:color w:val="auto"/>
          <w:szCs w:val="21"/>
          <w:lang w:eastAsia="zh-CN"/>
        </w:rPr>
        <w:t>、</w:t>
      </w:r>
      <w:r>
        <w:rPr>
          <w:rFonts w:hint="eastAsia" w:ascii="宋体" w:hAnsi="宋体"/>
          <w:color w:val="auto"/>
          <w:szCs w:val="21"/>
          <w:lang w:val="en-US" w:eastAsia="zh-CN"/>
        </w:rPr>
        <w:t>黄敏</w:t>
      </w:r>
      <w:r>
        <w:rPr>
          <w:rFonts w:hint="eastAsia" w:ascii="宋体" w:hAnsi="宋体"/>
          <w:color w:val="auto"/>
          <w:szCs w:val="21"/>
        </w:rPr>
        <w:t xml:space="preserve">        邮 编：410000</w:t>
      </w:r>
    </w:p>
    <w:p w14:paraId="66A6B089">
      <w:pPr>
        <w:pageBreakBefore w:val="0"/>
        <w:widowControl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电话：0731-82587018</w:t>
      </w:r>
    </w:p>
    <w:p w14:paraId="5047E700">
      <w:pPr>
        <w:pageBreakBefore w:val="0"/>
        <w:widowControl w:val="0"/>
        <w:kinsoku/>
        <w:wordWrap/>
        <w:overflowPunct/>
        <w:topLinePunct w:val="0"/>
        <w:autoSpaceDE/>
        <w:autoSpaceDN/>
        <w:bidi w:val="0"/>
        <w:spacing w:line="360" w:lineRule="auto"/>
        <w:textAlignment w:val="auto"/>
        <w:rPr>
          <w:rFonts w:ascii="宋体" w:hAnsi="宋体"/>
          <w:color w:val="auto"/>
          <w:szCs w:val="21"/>
        </w:rPr>
      </w:pPr>
    </w:p>
    <w:p w14:paraId="3254D655">
      <w:pPr>
        <w:pStyle w:val="12"/>
        <w:keepNext w:val="0"/>
        <w:keepLines w:val="0"/>
        <w:pageBreakBefore w:val="0"/>
        <w:widowControl w:val="0"/>
        <w:kinsoku/>
        <w:wordWrap/>
        <w:overflowPunct/>
        <w:topLinePunct w:val="0"/>
        <w:autoSpaceDE/>
        <w:autoSpaceDN/>
        <w:bidi w:val="0"/>
        <w:spacing w:line="360" w:lineRule="auto"/>
        <w:jc w:val="center"/>
        <w:textAlignment w:val="auto"/>
        <w:rPr>
          <w:rFonts w:ascii="黑体" w:hAnsi="黑体" w:eastAsia="黑体"/>
          <w:color w:val="auto"/>
          <w:sz w:val="32"/>
          <w:szCs w:val="32"/>
        </w:rPr>
      </w:pPr>
      <w:r>
        <w:rPr>
          <w:color w:val="auto"/>
        </w:rPr>
        <w:br w:type="page"/>
      </w:r>
      <w:bookmarkEnd w:id="60"/>
      <w:bookmarkStart w:id="61" w:name="_Toc69831376"/>
      <w:r>
        <w:rPr>
          <w:rFonts w:hint="eastAsia" w:ascii="黑体" w:hAnsi="黑体" w:eastAsia="黑体"/>
          <w:color w:val="auto"/>
          <w:sz w:val="32"/>
          <w:szCs w:val="32"/>
        </w:rPr>
        <w:t>第二章 磋商须知</w:t>
      </w:r>
      <w:bookmarkEnd w:id="61"/>
    </w:p>
    <w:p w14:paraId="2E6F4F03">
      <w:pPr>
        <w:pStyle w:val="3"/>
        <w:adjustRightInd w:val="0"/>
        <w:snapToGrid w:val="0"/>
        <w:spacing w:beforeLines="50"/>
        <w:jc w:val="center"/>
        <w:rPr>
          <w:rFonts w:ascii="黑体" w:hAnsi="黑体" w:eastAsia="黑体"/>
          <w:b w:val="0"/>
          <w:bCs w:val="0"/>
          <w:color w:val="auto"/>
          <w:sz w:val="28"/>
          <w:szCs w:val="28"/>
        </w:rPr>
      </w:pPr>
      <w:bookmarkStart w:id="62" w:name="_Toc69831377"/>
      <w:bookmarkStart w:id="63" w:name="_Toc4784"/>
      <w:r>
        <w:rPr>
          <w:rFonts w:hint="eastAsia" w:ascii="黑体" w:hAnsi="黑体" w:eastAsia="黑体"/>
          <w:b w:val="0"/>
          <w:bCs w:val="0"/>
          <w:color w:val="auto"/>
          <w:sz w:val="28"/>
          <w:szCs w:val="28"/>
        </w:rPr>
        <w:t>第一节 磋商须知前附表</w:t>
      </w:r>
      <w:bookmarkEnd w:id="62"/>
      <w:bookmarkEnd w:id="63"/>
    </w:p>
    <w:tbl>
      <w:tblPr>
        <w:tblStyle w:val="19"/>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97"/>
        <w:gridCol w:w="2322"/>
        <w:gridCol w:w="5760"/>
      </w:tblGrid>
      <w:tr w14:paraId="4FCDD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tblHeader/>
          <w:jc w:val="center"/>
        </w:trPr>
        <w:tc>
          <w:tcPr>
            <w:tcW w:w="645" w:type="pct"/>
            <w:noWrap w:val="0"/>
            <w:vAlign w:val="center"/>
          </w:tcPr>
          <w:p w14:paraId="6447DB2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b/>
                <w:color w:val="auto"/>
                <w:szCs w:val="21"/>
              </w:rPr>
            </w:pPr>
            <w:r>
              <w:rPr>
                <w:rFonts w:hint="eastAsia" w:ascii="宋体" w:hAnsi="宋体"/>
                <w:b/>
                <w:color w:val="auto"/>
                <w:szCs w:val="21"/>
              </w:rPr>
              <w:t>条款号</w:t>
            </w:r>
          </w:p>
        </w:tc>
        <w:tc>
          <w:tcPr>
            <w:tcW w:w="1251" w:type="pct"/>
            <w:noWrap w:val="0"/>
            <w:vAlign w:val="center"/>
          </w:tcPr>
          <w:p w14:paraId="40766BE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b/>
                <w:color w:val="auto"/>
                <w:szCs w:val="21"/>
              </w:rPr>
            </w:pPr>
            <w:r>
              <w:rPr>
                <w:rFonts w:hint="eastAsia" w:ascii="宋体" w:hAnsi="宋体"/>
                <w:b/>
                <w:color w:val="auto"/>
                <w:szCs w:val="21"/>
              </w:rPr>
              <w:t>条款名称</w:t>
            </w:r>
          </w:p>
        </w:tc>
        <w:tc>
          <w:tcPr>
            <w:tcW w:w="3103" w:type="pct"/>
            <w:noWrap w:val="0"/>
            <w:vAlign w:val="center"/>
          </w:tcPr>
          <w:p w14:paraId="553273E5">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b/>
                <w:color w:val="auto"/>
                <w:szCs w:val="21"/>
              </w:rPr>
            </w:pPr>
            <w:r>
              <w:rPr>
                <w:rFonts w:hint="eastAsia" w:ascii="宋体" w:hAnsi="宋体"/>
                <w:b/>
                <w:color w:val="auto"/>
                <w:szCs w:val="21"/>
              </w:rPr>
              <w:t>编列内容规定</w:t>
            </w:r>
          </w:p>
        </w:tc>
      </w:tr>
      <w:tr w14:paraId="36B16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5000" w:type="pct"/>
            <w:gridSpan w:val="3"/>
            <w:noWrap w:val="0"/>
            <w:vAlign w:val="center"/>
          </w:tcPr>
          <w:p w14:paraId="2265A06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
                <w:color w:val="auto"/>
                <w:szCs w:val="21"/>
              </w:rPr>
              <w:t>一、说明</w:t>
            </w:r>
          </w:p>
        </w:tc>
      </w:tr>
      <w:tr w14:paraId="49A46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645" w:type="pct"/>
            <w:noWrap w:val="0"/>
            <w:vAlign w:val="center"/>
          </w:tcPr>
          <w:p w14:paraId="4CF74914">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第1.1款</w:t>
            </w:r>
          </w:p>
        </w:tc>
        <w:tc>
          <w:tcPr>
            <w:tcW w:w="1251" w:type="pct"/>
            <w:noWrap w:val="0"/>
            <w:vAlign w:val="center"/>
          </w:tcPr>
          <w:p w14:paraId="2FC40C8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采购项目</w:t>
            </w:r>
          </w:p>
        </w:tc>
        <w:tc>
          <w:tcPr>
            <w:tcW w:w="3103" w:type="pct"/>
            <w:noWrap w:val="0"/>
            <w:vAlign w:val="center"/>
          </w:tcPr>
          <w:p w14:paraId="2BE5D6E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宋体" w:hAnsi="宋体" w:eastAsia="宋体"/>
                <w:color w:val="auto"/>
                <w:szCs w:val="21"/>
                <w:lang w:val="en-US" w:eastAsia="zh-CN"/>
              </w:rPr>
            </w:pPr>
            <w:r>
              <w:rPr>
                <w:rFonts w:hint="eastAsia" w:ascii="宋体" w:hAnsi="宋体" w:eastAsia="宋体" w:cs="Times New Roman"/>
                <w:color w:val="auto"/>
                <w:szCs w:val="21"/>
                <w:lang w:eastAsia="zh-CN"/>
              </w:rPr>
              <w:t>湖南国防工业职业技术学院围墙道路等改造工程项目</w:t>
            </w:r>
          </w:p>
        </w:tc>
      </w:tr>
      <w:tr w14:paraId="3E4C2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40B52C9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第1.2款</w:t>
            </w:r>
          </w:p>
        </w:tc>
        <w:tc>
          <w:tcPr>
            <w:tcW w:w="1251" w:type="pct"/>
            <w:noWrap w:val="0"/>
            <w:vAlign w:val="center"/>
          </w:tcPr>
          <w:p w14:paraId="5685521E">
            <w:pPr>
              <w:keepNext w:val="0"/>
              <w:keepLines w:val="0"/>
              <w:pageBreakBefore w:val="0"/>
              <w:widowControl w:val="0"/>
              <w:kinsoku/>
              <w:wordWrap/>
              <w:overflowPunct/>
              <w:topLinePunct w:val="0"/>
              <w:autoSpaceDE/>
              <w:autoSpaceDN/>
              <w:bidi w:val="0"/>
              <w:spacing w:line="400" w:lineRule="exact"/>
              <w:ind w:left="0" w:leftChars="0"/>
              <w:textAlignment w:val="auto"/>
              <w:rPr>
                <w:color w:val="auto"/>
              </w:rPr>
            </w:pPr>
            <w:r>
              <w:rPr>
                <w:rFonts w:hint="eastAsia" w:ascii="宋体" w:hAnsi="宋体"/>
                <w:color w:val="auto"/>
                <w:szCs w:val="21"/>
              </w:rPr>
              <w:t>预留采购份额</w:t>
            </w:r>
          </w:p>
        </w:tc>
        <w:tc>
          <w:tcPr>
            <w:tcW w:w="3103" w:type="pct"/>
            <w:noWrap w:val="0"/>
            <w:vAlign w:val="center"/>
          </w:tcPr>
          <w:p w14:paraId="048A51D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■预留采购份额</w:t>
            </w:r>
          </w:p>
          <w:p w14:paraId="2D92662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□非预留采购份额</w:t>
            </w:r>
          </w:p>
        </w:tc>
      </w:tr>
      <w:tr w14:paraId="50A841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3" w:hRule="atLeast"/>
          <w:jc w:val="center"/>
        </w:trPr>
        <w:tc>
          <w:tcPr>
            <w:tcW w:w="645" w:type="pct"/>
            <w:noWrap w:val="0"/>
            <w:vAlign w:val="center"/>
          </w:tcPr>
          <w:p w14:paraId="47B6FC1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第2.1款</w:t>
            </w:r>
          </w:p>
        </w:tc>
        <w:tc>
          <w:tcPr>
            <w:tcW w:w="1251" w:type="pct"/>
            <w:noWrap w:val="0"/>
            <w:vAlign w:val="center"/>
          </w:tcPr>
          <w:p w14:paraId="0321311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color w:val="auto"/>
              </w:rPr>
            </w:pPr>
            <w:r>
              <w:rPr>
                <w:rFonts w:hint="eastAsia"/>
                <w:color w:val="auto"/>
              </w:rPr>
              <w:t>采购人名称、地址、电话、联系人</w:t>
            </w:r>
          </w:p>
        </w:tc>
        <w:tc>
          <w:tcPr>
            <w:tcW w:w="3103" w:type="pct"/>
            <w:noWrap w:val="0"/>
            <w:vAlign w:val="center"/>
          </w:tcPr>
          <w:p w14:paraId="57820A5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eastAsia="宋体" w:cs="Times New Roman"/>
                <w:color w:val="auto"/>
                <w:szCs w:val="21"/>
                <w:lang w:val="en-US" w:eastAsia="zh-CN"/>
              </w:rPr>
            </w:pPr>
            <w:r>
              <w:rPr>
                <w:rFonts w:hint="eastAsia" w:ascii="宋体" w:hAnsi="宋体"/>
                <w:color w:val="auto"/>
                <w:szCs w:val="21"/>
                <w:lang w:val="en-US" w:eastAsia="zh-CN"/>
              </w:rPr>
              <w:t>名称：湖南国防工</w:t>
            </w:r>
            <w:r>
              <w:rPr>
                <w:rFonts w:hint="eastAsia" w:ascii="宋体" w:hAnsi="宋体" w:eastAsia="宋体" w:cs="Times New Roman"/>
                <w:color w:val="auto"/>
                <w:szCs w:val="21"/>
                <w:lang w:val="en-US" w:eastAsia="zh-CN"/>
              </w:rPr>
              <w:t>业职业技术学院</w:t>
            </w:r>
          </w:p>
          <w:p w14:paraId="21DAF72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地址：湘潭市雨湖区楠竹山镇学院路1号</w:t>
            </w:r>
          </w:p>
          <w:p w14:paraId="3113129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联系人：龙老师</w:t>
            </w:r>
          </w:p>
          <w:p w14:paraId="4670408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eastAsia="宋体" w:cs="Times New Roman"/>
                <w:color w:val="auto"/>
                <w:szCs w:val="21"/>
                <w:lang w:val="en-US" w:eastAsia="zh-CN"/>
              </w:rPr>
              <w:t>电  话：13667428337</w:t>
            </w:r>
          </w:p>
        </w:tc>
      </w:tr>
      <w:tr w14:paraId="7961C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2891217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第2.2款</w:t>
            </w:r>
          </w:p>
        </w:tc>
        <w:tc>
          <w:tcPr>
            <w:tcW w:w="2322" w:type="dxa"/>
            <w:noWrap w:val="0"/>
            <w:vAlign w:val="center"/>
          </w:tcPr>
          <w:p w14:paraId="0850494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color w:val="auto"/>
              </w:rPr>
            </w:pPr>
            <w:r>
              <w:rPr>
                <w:rFonts w:hint="eastAsia"/>
                <w:color w:val="auto"/>
              </w:rPr>
              <w:t>采购代理机构名称、地址、电话、联系人</w:t>
            </w:r>
          </w:p>
        </w:tc>
        <w:tc>
          <w:tcPr>
            <w:tcW w:w="5760" w:type="dxa"/>
            <w:noWrap w:val="0"/>
            <w:vAlign w:val="center"/>
          </w:tcPr>
          <w:p w14:paraId="4564CD9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名称：湖南明信招标代理有限公司</w:t>
            </w:r>
          </w:p>
          <w:p w14:paraId="7975689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地址：长沙市雨花区湘府中路恒大金融广场3栋10楼1005-1007房</w:t>
            </w:r>
          </w:p>
          <w:p w14:paraId="0E963FC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 xml:space="preserve">联系人：蔡伟、周琳、黄敏     </w:t>
            </w:r>
          </w:p>
          <w:p w14:paraId="5CC78EC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宋体" w:hAnsi="宋体"/>
                <w:color w:val="auto"/>
                <w:szCs w:val="21"/>
                <w:lang w:val="en-US" w:eastAsia="zh-CN"/>
              </w:rPr>
            </w:pPr>
            <w:r>
              <w:rPr>
                <w:rFonts w:hint="eastAsia" w:ascii="宋体" w:hAnsi="宋体"/>
                <w:color w:val="auto"/>
                <w:szCs w:val="21"/>
                <w:lang w:val="en-US" w:eastAsia="zh-CN"/>
              </w:rPr>
              <w:t xml:space="preserve">电话：0731-82587018  </w:t>
            </w:r>
          </w:p>
        </w:tc>
      </w:tr>
      <w:tr w14:paraId="47D2C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5" w:type="pct"/>
            <w:tcBorders>
              <w:bottom w:val="single" w:color="auto" w:sz="4" w:space="0"/>
            </w:tcBorders>
            <w:noWrap w:val="0"/>
            <w:vAlign w:val="center"/>
          </w:tcPr>
          <w:p w14:paraId="7388D89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第3.1款</w:t>
            </w:r>
          </w:p>
        </w:tc>
        <w:tc>
          <w:tcPr>
            <w:tcW w:w="1251" w:type="pct"/>
            <w:noWrap w:val="0"/>
            <w:vAlign w:val="center"/>
          </w:tcPr>
          <w:p w14:paraId="1BCF5373">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3103" w:type="pct"/>
            <w:noWrap w:val="0"/>
            <w:vAlign w:val="center"/>
          </w:tcPr>
          <w:p w14:paraId="0B3AE84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1、基本资格条件：符合《中华人民共和国政府采购法》第二十二条规定的供应商条件。</w:t>
            </w:r>
          </w:p>
          <w:p w14:paraId="56B6320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color w:val="auto"/>
                <w:lang w:val="en-US"/>
              </w:rPr>
            </w:pPr>
            <w:r>
              <w:rPr>
                <w:rFonts w:hint="eastAsia" w:ascii="宋体" w:hAnsi="宋体"/>
                <w:color w:val="auto"/>
                <w:szCs w:val="21"/>
              </w:rPr>
              <w:t>2、特定资格条件：</w:t>
            </w:r>
            <w:r>
              <w:rPr>
                <w:rFonts w:hint="eastAsia" w:ascii="宋体" w:hAnsi="宋体" w:cs="宋体"/>
                <w:b/>
                <w:bCs/>
                <w:color w:val="auto"/>
                <w:lang w:val="en-US" w:eastAsia="zh-CN"/>
              </w:rPr>
              <w:t>详见第一章磋商邀请</w:t>
            </w:r>
          </w:p>
        </w:tc>
      </w:tr>
      <w:tr w14:paraId="6B7E7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645" w:type="pct"/>
            <w:tcBorders>
              <w:bottom w:val="single" w:color="auto" w:sz="4" w:space="0"/>
            </w:tcBorders>
            <w:noWrap w:val="0"/>
            <w:vAlign w:val="center"/>
          </w:tcPr>
          <w:p w14:paraId="483CCC0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第3.2款</w:t>
            </w:r>
          </w:p>
        </w:tc>
        <w:tc>
          <w:tcPr>
            <w:tcW w:w="1251" w:type="pct"/>
            <w:noWrap w:val="0"/>
            <w:vAlign w:val="center"/>
          </w:tcPr>
          <w:p w14:paraId="58C8883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是否接受联合体形式</w:t>
            </w:r>
          </w:p>
        </w:tc>
        <w:tc>
          <w:tcPr>
            <w:tcW w:w="3103" w:type="pct"/>
            <w:noWrap w:val="0"/>
            <w:vAlign w:val="center"/>
          </w:tcPr>
          <w:p w14:paraId="581F408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r>
              <w:rPr>
                <w:rFonts w:hint="eastAsia" w:ascii="宋体" w:hAnsi="宋体" w:eastAsia="宋体" w:cs="宋体"/>
                <w:color w:val="auto"/>
                <w:lang w:val="en-US" w:eastAsia="zh-CN"/>
              </w:rPr>
              <w:t>不接受</w:t>
            </w:r>
          </w:p>
          <w:p w14:paraId="313EF40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□接受</w:t>
            </w:r>
          </w:p>
        </w:tc>
      </w:tr>
      <w:tr w14:paraId="7A56A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645" w:type="pct"/>
            <w:noWrap w:val="0"/>
            <w:vAlign w:val="center"/>
          </w:tcPr>
          <w:p w14:paraId="193BCD3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第5.1款</w:t>
            </w:r>
          </w:p>
        </w:tc>
        <w:tc>
          <w:tcPr>
            <w:tcW w:w="1251" w:type="pct"/>
            <w:noWrap w:val="0"/>
            <w:vAlign w:val="center"/>
          </w:tcPr>
          <w:p w14:paraId="4375140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现场勘察</w:t>
            </w:r>
          </w:p>
        </w:tc>
        <w:tc>
          <w:tcPr>
            <w:tcW w:w="3103" w:type="pct"/>
            <w:noWrap w:val="0"/>
            <w:vAlign w:val="center"/>
          </w:tcPr>
          <w:p w14:paraId="276BB2F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■采购人不组织，供应商应自行与采购人联系勘察现场。</w:t>
            </w:r>
          </w:p>
          <w:p w14:paraId="0EC055A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□采购人组织，时间：地点：联系人：</w:t>
            </w:r>
          </w:p>
        </w:tc>
      </w:tr>
      <w:tr w14:paraId="7B8AD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5000" w:type="pct"/>
            <w:gridSpan w:val="3"/>
            <w:noWrap w:val="0"/>
            <w:vAlign w:val="center"/>
          </w:tcPr>
          <w:p w14:paraId="186816C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color w:val="auto"/>
                <w:szCs w:val="21"/>
              </w:rPr>
            </w:pPr>
            <w:r>
              <w:rPr>
                <w:rFonts w:hint="eastAsia" w:ascii="宋体" w:hAnsi="宋体"/>
                <w:b/>
                <w:color w:val="auto"/>
                <w:szCs w:val="21"/>
              </w:rPr>
              <w:t>二、磋商文件</w:t>
            </w:r>
          </w:p>
        </w:tc>
      </w:tr>
      <w:tr w14:paraId="70ADB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645" w:type="pct"/>
            <w:noWrap w:val="0"/>
            <w:vAlign w:val="center"/>
          </w:tcPr>
          <w:p w14:paraId="789FBBE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第6.3款</w:t>
            </w:r>
          </w:p>
        </w:tc>
        <w:tc>
          <w:tcPr>
            <w:tcW w:w="1251" w:type="pct"/>
            <w:noWrap w:val="0"/>
            <w:vAlign w:val="center"/>
          </w:tcPr>
          <w:p w14:paraId="529649F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Cs/>
                <w:color w:val="auto"/>
                <w:szCs w:val="21"/>
              </w:rPr>
              <w:t>磋商文件的实质性变动内容</w:t>
            </w:r>
          </w:p>
        </w:tc>
        <w:tc>
          <w:tcPr>
            <w:tcW w:w="3103" w:type="pct"/>
            <w:noWrap w:val="0"/>
            <w:vAlign w:val="center"/>
          </w:tcPr>
          <w:p w14:paraId="714D3503">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第四章采购需求及第五章合同条款</w:t>
            </w:r>
          </w:p>
        </w:tc>
      </w:tr>
      <w:tr w14:paraId="0E2761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5000" w:type="pct"/>
            <w:gridSpan w:val="3"/>
            <w:noWrap w:val="0"/>
            <w:vAlign w:val="center"/>
          </w:tcPr>
          <w:p w14:paraId="11F768F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
                <w:color w:val="auto"/>
                <w:szCs w:val="21"/>
              </w:rPr>
              <w:t>三、响应文件</w:t>
            </w:r>
          </w:p>
        </w:tc>
      </w:tr>
      <w:tr w14:paraId="3CCD6A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645" w:type="pct"/>
            <w:noWrap w:val="0"/>
            <w:vAlign w:val="center"/>
          </w:tcPr>
          <w:p w14:paraId="088E8E2A">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第10.1款</w:t>
            </w:r>
          </w:p>
        </w:tc>
        <w:tc>
          <w:tcPr>
            <w:tcW w:w="1251" w:type="pct"/>
            <w:noWrap w:val="0"/>
            <w:vAlign w:val="center"/>
          </w:tcPr>
          <w:p w14:paraId="2746DA3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资格证明文件</w:t>
            </w:r>
          </w:p>
        </w:tc>
        <w:tc>
          <w:tcPr>
            <w:tcW w:w="5760" w:type="dxa"/>
            <w:noWrap w:val="0"/>
            <w:vAlign w:val="center"/>
          </w:tcPr>
          <w:p w14:paraId="5D742F3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1、提供以下资格证明文件：</w:t>
            </w:r>
          </w:p>
          <w:p w14:paraId="2C6CA3F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default" w:ascii="宋体" w:hAnsi="宋体" w:eastAsia="宋体" w:cs="Times New Roman"/>
                <w:color w:val="auto"/>
                <w:spacing w:val="-2"/>
                <w:szCs w:val="21"/>
                <w:lang w:val="en-US" w:eastAsia="zh-CN"/>
              </w:rPr>
            </w:pPr>
            <w:r>
              <w:rPr>
                <w:rFonts w:hint="eastAsia" w:ascii="宋体" w:hAnsi="宋体"/>
                <w:color w:val="auto"/>
                <w:szCs w:val="21"/>
              </w:rPr>
              <w:t>（</w:t>
            </w:r>
            <w:r>
              <w:rPr>
                <w:rFonts w:hint="eastAsia" w:ascii="宋体" w:hAnsi="宋体" w:eastAsia="宋体" w:cs="Times New Roman"/>
                <w:color w:val="auto"/>
                <w:spacing w:val="-2"/>
                <w:szCs w:val="21"/>
              </w:rPr>
              <w:t>1）</w:t>
            </w:r>
            <w:r>
              <w:rPr>
                <w:rFonts w:hint="eastAsia" w:ascii="宋体" w:hAnsi="宋体" w:eastAsia="宋体" w:cs="Times New Roman"/>
                <w:color w:val="auto"/>
                <w:spacing w:val="-2"/>
                <w:szCs w:val="21"/>
                <w:lang w:val="en-US" w:eastAsia="zh-CN"/>
              </w:rPr>
              <w:t>法人或者其他组织的营业执照等主体资格证明文件，自然人的身份证明：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并在有效期内。</w:t>
            </w:r>
          </w:p>
          <w:p w14:paraId="27898192">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default" w:ascii="宋体" w:hAnsi="宋体" w:eastAsia="宋体" w:cs="Times New Roman"/>
                <w:color w:val="auto"/>
                <w:spacing w:val="-2"/>
                <w:szCs w:val="21"/>
                <w:lang w:val="en-US" w:eastAsia="zh-CN"/>
              </w:rPr>
            </w:pPr>
            <w:r>
              <w:rPr>
                <w:rFonts w:hint="eastAsia" w:ascii="宋体" w:hAnsi="宋体" w:eastAsia="宋体" w:cs="Times New Roman"/>
                <w:color w:val="auto"/>
                <w:spacing w:val="-2"/>
                <w:szCs w:val="21"/>
              </w:rPr>
              <w:t>（2）法人提交法定代表人身份证明原件或者法定代表人授权委托书原件并附法定代表人身份证明原件，自然人提交身份证复印件</w:t>
            </w:r>
            <w:r>
              <w:rPr>
                <w:rFonts w:hint="eastAsia" w:ascii="宋体" w:hAnsi="宋体" w:eastAsia="宋体" w:cs="Times New Roman"/>
                <w:color w:val="auto"/>
                <w:spacing w:val="-2"/>
                <w:szCs w:val="21"/>
                <w:lang w:eastAsia="zh-CN"/>
              </w:rPr>
              <w:t>，</w:t>
            </w:r>
            <w:r>
              <w:rPr>
                <w:rFonts w:hint="eastAsia" w:ascii="宋体" w:hAnsi="宋体" w:eastAsia="宋体" w:cs="Times New Roman"/>
                <w:color w:val="auto"/>
                <w:spacing w:val="-2"/>
                <w:szCs w:val="21"/>
                <w:lang w:val="en-US" w:eastAsia="zh-CN"/>
              </w:rPr>
              <w:t>格式见第六章响应文件组成；</w:t>
            </w:r>
          </w:p>
          <w:p w14:paraId="61D795D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w:t>
            </w:r>
            <w:r>
              <w:rPr>
                <w:rFonts w:hint="eastAsia" w:ascii="宋体" w:hAnsi="宋体"/>
                <w:color w:val="auto"/>
                <w:szCs w:val="21"/>
                <w:lang w:val="en-US" w:eastAsia="zh-CN"/>
              </w:rPr>
              <w:t>提供《</w:t>
            </w:r>
            <w:r>
              <w:rPr>
                <w:rFonts w:hint="eastAsia" w:ascii="宋体" w:hAnsi="宋体"/>
                <w:color w:val="auto"/>
                <w:szCs w:val="21"/>
              </w:rPr>
              <w:t>供应商资格声明</w:t>
            </w:r>
            <w:r>
              <w:rPr>
                <w:rFonts w:hint="eastAsia" w:ascii="宋体" w:hAnsi="宋体"/>
                <w:color w:val="auto"/>
                <w:szCs w:val="21"/>
                <w:lang w:val="en-US" w:eastAsia="zh-CN"/>
              </w:rPr>
              <w:t>》，格式见</w:t>
            </w:r>
            <w:r>
              <w:rPr>
                <w:rFonts w:hint="eastAsia" w:ascii="宋体" w:hAnsi="宋体"/>
                <w:color w:val="auto"/>
                <w:szCs w:val="21"/>
                <w:highlight w:val="white"/>
                <w:lang w:val="en-US" w:eastAsia="zh-CN"/>
              </w:rPr>
              <w:t>六章响应文件组成</w:t>
            </w:r>
            <w:r>
              <w:rPr>
                <w:rFonts w:hint="eastAsia" w:ascii="宋体" w:hAnsi="宋体"/>
                <w:color w:val="auto"/>
                <w:szCs w:val="21"/>
                <w:lang w:val="en-US" w:eastAsia="zh-CN"/>
              </w:rPr>
              <w:t>；</w:t>
            </w:r>
          </w:p>
          <w:p w14:paraId="5C3B03D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default"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lang w:val="en-US" w:eastAsia="zh-CN"/>
              </w:rPr>
              <w:t>根据</w:t>
            </w:r>
            <w:r>
              <w:rPr>
                <w:rFonts w:hint="eastAsia" w:ascii="宋体" w:hAnsi="宋体"/>
                <w:color w:val="auto"/>
                <w:szCs w:val="21"/>
              </w:rPr>
              <w:t>《湖南省财政厅关于政府采购促进中小企业发展有关措施的通知》，</w:t>
            </w:r>
            <w:r>
              <w:rPr>
                <w:rFonts w:hint="eastAsia" w:ascii="宋体" w:hAnsi="宋体"/>
                <w:color w:val="auto"/>
                <w:szCs w:val="21"/>
                <w:lang w:val="en-US" w:eastAsia="zh-CN"/>
              </w:rPr>
              <w:t>供应商</w:t>
            </w:r>
            <w:r>
              <w:rPr>
                <w:rFonts w:hint="eastAsia" w:ascii="宋体" w:hAnsi="宋体"/>
                <w:color w:val="auto"/>
                <w:szCs w:val="21"/>
              </w:rPr>
              <w:t>按</w:t>
            </w:r>
            <w:r>
              <w:rPr>
                <w:rFonts w:hint="eastAsia" w:ascii="宋体" w:hAnsi="宋体"/>
                <w:color w:val="auto"/>
                <w:szCs w:val="21"/>
                <w:lang w:val="en-US" w:eastAsia="zh-CN"/>
              </w:rPr>
              <w:t>磋商文件</w:t>
            </w:r>
            <w:r>
              <w:rPr>
                <w:rFonts w:hint="eastAsia" w:ascii="宋体" w:hAnsi="宋体"/>
                <w:color w:val="auto"/>
                <w:szCs w:val="21"/>
              </w:rPr>
              <w:t>内格式提供《湖南省政府采购供应商资格承诺函》参与投标，无需再提供财务报告、依法缴纳税收和社会保险费的证明材料、参加政府采购活动前3年内在经营活动中没有重大违法记录的书面声明。</w:t>
            </w:r>
            <w:r>
              <w:rPr>
                <w:rFonts w:hint="eastAsia" w:ascii="宋体" w:hAnsi="宋体"/>
                <w:color w:val="auto"/>
                <w:szCs w:val="21"/>
                <w:lang w:val="en-US" w:eastAsia="zh-CN"/>
              </w:rPr>
              <w:t>格式见</w:t>
            </w:r>
            <w:r>
              <w:rPr>
                <w:rFonts w:hint="eastAsia" w:ascii="宋体" w:hAnsi="宋体"/>
                <w:color w:val="auto"/>
                <w:szCs w:val="21"/>
                <w:highlight w:val="white"/>
                <w:lang w:val="en-US" w:eastAsia="zh-CN"/>
              </w:rPr>
              <w:t>六章响应文件组成</w:t>
            </w:r>
            <w:r>
              <w:rPr>
                <w:rFonts w:hint="eastAsia" w:ascii="宋体" w:hAnsi="宋体"/>
                <w:color w:val="auto"/>
                <w:szCs w:val="21"/>
                <w:lang w:val="en-US" w:eastAsia="zh-CN"/>
              </w:rPr>
              <w:t>；</w:t>
            </w:r>
          </w:p>
          <w:p w14:paraId="7844CBA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2、其他说明：</w:t>
            </w:r>
          </w:p>
          <w:p w14:paraId="6B3FA94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除不具备独立承担民事责任能力的机构、组织、个人外供应商为其他组织、自然人参与本项目磋商的，凡竞争性磋商文件格式中要求为“法定代表人”签署的，由组织负责人、自然人签署，视同有效，满足竞争性磋商文件要求。</w:t>
            </w:r>
          </w:p>
        </w:tc>
      </w:tr>
      <w:tr w14:paraId="63CD8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645" w:type="pct"/>
            <w:noWrap w:val="0"/>
            <w:vAlign w:val="center"/>
          </w:tcPr>
          <w:p w14:paraId="1D9F84E4">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color w:val="auto"/>
                <w:szCs w:val="21"/>
              </w:rPr>
            </w:pPr>
            <w:r>
              <w:rPr>
                <w:rFonts w:hint="eastAsia" w:ascii="宋体" w:hAnsi="宋体"/>
                <w:color w:val="auto"/>
                <w:szCs w:val="21"/>
              </w:rPr>
              <w:t>第10.1（3）项</w:t>
            </w:r>
          </w:p>
        </w:tc>
        <w:tc>
          <w:tcPr>
            <w:tcW w:w="1251" w:type="pct"/>
            <w:noWrap w:val="0"/>
            <w:vAlign w:val="center"/>
          </w:tcPr>
          <w:p w14:paraId="7CB942EE">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color w:val="auto"/>
                <w:szCs w:val="21"/>
              </w:rPr>
            </w:pPr>
            <w:r>
              <w:rPr>
                <w:rFonts w:hint="eastAsia" w:ascii="宋体" w:hAnsi="宋体"/>
                <w:color w:val="auto"/>
                <w:szCs w:val="21"/>
              </w:rPr>
              <w:t>特定资格条件证明材料</w:t>
            </w:r>
          </w:p>
        </w:tc>
        <w:tc>
          <w:tcPr>
            <w:tcW w:w="5760" w:type="dxa"/>
            <w:noWrap w:val="0"/>
            <w:vAlign w:val="center"/>
          </w:tcPr>
          <w:p w14:paraId="0DD7A17A">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供应商具备建设行政主管部门颁发的建筑工程施工总承包叁级及以上等级资质，且安全生产许可证处于有效期；</w:t>
            </w:r>
          </w:p>
          <w:p w14:paraId="58667D50">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lang w:val="en-US" w:eastAsia="zh-CN"/>
              </w:rPr>
            </w:pPr>
            <w:r>
              <w:rPr>
                <w:rFonts w:hint="eastAsia" w:ascii="宋体" w:hAnsi="宋体"/>
                <w:color w:val="auto"/>
                <w:szCs w:val="21"/>
                <w:lang w:val="en-US" w:eastAsia="zh-CN"/>
              </w:rPr>
              <w:t>（2）供应商拟任项目负责人具备建筑工程二级及以上注册建造师执业资格证书，具有安全生产考核合格证书（B证），且无在建工程。【提供相应证书复印件、无在建工程承诺书和供应商为其缴纳社保的证明材料复印件（2026年4月以来任意1个月）】。</w:t>
            </w:r>
          </w:p>
          <w:p w14:paraId="7322B88D">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lang w:val="en-US" w:eastAsia="zh-CN"/>
              </w:rPr>
            </w:pPr>
            <w:r>
              <w:rPr>
                <w:rFonts w:hint="eastAsia" w:ascii="宋体" w:hAnsi="宋体"/>
                <w:color w:val="auto"/>
                <w:szCs w:val="21"/>
                <w:lang w:val="en-US" w:eastAsia="zh-CN"/>
              </w:rPr>
              <w:t>（3）供应商拟任项目技术负责人具有相关专业中级及以上职称，且无在建工程。【提供相应证书复印件、无在建工程承诺书和供应商为其缴纳社保的证明材料复印件（2026年4月以来任意1个月）】。</w:t>
            </w:r>
          </w:p>
          <w:p w14:paraId="3E5F83E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lang w:val="en-US" w:eastAsia="zh-CN"/>
              </w:rPr>
            </w:pPr>
            <w:r>
              <w:rPr>
                <w:rFonts w:hint="eastAsia" w:ascii="宋体" w:hAnsi="宋体"/>
                <w:color w:val="auto"/>
                <w:szCs w:val="21"/>
                <w:lang w:val="en-US" w:eastAsia="zh-CN"/>
              </w:rPr>
              <w:t>（4）供应商须提供关键岗位人员配备和无在建工程承诺书，同时安全员须具有有效的C类安全考核合格证书。【提供对应承诺书、证书和供应商为其缴纳社保的证明材料（2026年4月以来任意1个月）】。</w:t>
            </w:r>
          </w:p>
          <w:p w14:paraId="485D95D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rPr>
            </w:pPr>
            <w:r>
              <w:rPr>
                <w:rFonts w:hint="eastAsia" w:ascii="宋体" w:hAnsi="宋体"/>
                <w:color w:val="auto"/>
                <w:szCs w:val="21"/>
                <w:lang w:val="en-US" w:eastAsia="zh-CN"/>
              </w:rPr>
              <w:t>（5）本项目专门面向中小企业采购，供应商必须为中型企业或小型企业或微型企业（残疾人福利性单位、监狱企业视同小微企业），中、小、微企业按照《政府采购促进中小企业发展管理办法》（财库﹝2020﹞46号）的规定提供《中小企业声明函》，残疾人福利性单位提供《残疾人福利性单位声明函》，监狱企业按《财政部 司法部关于政府采购支持监狱企业发展有关问题的通知》(财库〔2014〕68号)文件规定提供证明文件复印件（格式详见磋商文件第六章）。</w:t>
            </w:r>
          </w:p>
        </w:tc>
      </w:tr>
      <w:tr w14:paraId="0318E3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645" w:type="pct"/>
            <w:noWrap w:val="0"/>
            <w:vAlign w:val="center"/>
          </w:tcPr>
          <w:p w14:paraId="3B3FFEA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第10.3款</w:t>
            </w:r>
          </w:p>
        </w:tc>
        <w:tc>
          <w:tcPr>
            <w:tcW w:w="1251" w:type="pct"/>
            <w:noWrap w:val="0"/>
            <w:vAlign w:val="center"/>
          </w:tcPr>
          <w:p w14:paraId="32E328C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预留采购份额的证明文件</w:t>
            </w:r>
          </w:p>
        </w:tc>
        <w:tc>
          <w:tcPr>
            <w:tcW w:w="3103" w:type="pct"/>
            <w:noWrap w:val="0"/>
            <w:vAlign w:val="center"/>
          </w:tcPr>
          <w:p w14:paraId="7350CCB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非预留</w:t>
            </w:r>
          </w:p>
          <w:p w14:paraId="69ABC78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olor w:val="auto"/>
                <w:szCs w:val="21"/>
                <w:lang w:eastAsia="zh-CN"/>
              </w:rPr>
            </w:pPr>
            <w:r>
              <w:rPr>
                <w:rFonts w:hint="eastAsia" w:ascii="宋体" w:hAnsi="宋体"/>
                <w:color w:val="auto"/>
                <w:szCs w:val="21"/>
              </w:rPr>
              <w:t>■预留；应提供以下资料：</w:t>
            </w:r>
            <w:r>
              <w:rPr>
                <w:rFonts w:hint="eastAsia" w:ascii="宋体" w:hAnsi="宋体" w:eastAsia="宋体" w:cs="宋体"/>
                <w:color w:val="auto"/>
                <w:lang w:val="en-US" w:eastAsia="zh-CN"/>
              </w:rPr>
              <w:t>各供应商应按政府采购促进中小企业发展相关规定及采购文件的响应文件组成中的“《中小企业声明函》”格式填写并在响应文件中提供《中小企业声明函》，否则视为无效响应。</w:t>
            </w:r>
          </w:p>
        </w:tc>
      </w:tr>
      <w:tr w14:paraId="48CE4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645" w:type="pct"/>
            <w:noWrap w:val="0"/>
            <w:vAlign w:val="center"/>
          </w:tcPr>
          <w:p w14:paraId="2802624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第11.3款</w:t>
            </w:r>
          </w:p>
        </w:tc>
        <w:tc>
          <w:tcPr>
            <w:tcW w:w="1251" w:type="pct"/>
            <w:noWrap w:val="0"/>
            <w:vAlign w:val="center"/>
          </w:tcPr>
          <w:p w14:paraId="3C4C112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采购项目预算</w:t>
            </w:r>
          </w:p>
        </w:tc>
        <w:tc>
          <w:tcPr>
            <w:tcW w:w="3103" w:type="pct"/>
            <w:noWrap w:val="0"/>
            <w:vAlign w:val="center"/>
          </w:tcPr>
          <w:p w14:paraId="44900D9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color w:val="auto"/>
                <w:lang w:val="en-US" w:eastAsia="zh-CN"/>
              </w:rPr>
            </w:pPr>
            <w:r>
              <w:rPr>
                <w:rFonts w:hint="eastAsia" w:ascii="宋体" w:hAnsi="宋体"/>
                <w:color w:val="auto"/>
                <w:szCs w:val="21"/>
                <w:lang w:val="en-US" w:eastAsia="zh-CN"/>
              </w:rPr>
              <w:t>采购预算：2949674.47元，最高限价：2949674.47元</w:t>
            </w:r>
          </w:p>
        </w:tc>
      </w:tr>
      <w:tr w14:paraId="612B7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645" w:type="pct"/>
            <w:noWrap w:val="0"/>
            <w:vAlign w:val="center"/>
          </w:tcPr>
          <w:p w14:paraId="02D0A9C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第11.6款</w:t>
            </w:r>
          </w:p>
        </w:tc>
        <w:tc>
          <w:tcPr>
            <w:tcW w:w="1251" w:type="pct"/>
            <w:noWrap w:val="0"/>
            <w:vAlign w:val="center"/>
          </w:tcPr>
          <w:p w14:paraId="3F64570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r>
              <w:rPr>
                <w:rFonts w:hint="eastAsia" w:ascii="宋体" w:hAnsi="宋体"/>
                <w:color w:val="auto"/>
                <w:szCs w:val="21"/>
              </w:rPr>
              <w:t>报价的其他要求</w:t>
            </w:r>
          </w:p>
        </w:tc>
        <w:tc>
          <w:tcPr>
            <w:tcW w:w="3103" w:type="pct"/>
            <w:noWrap w:val="0"/>
            <w:vAlign w:val="center"/>
          </w:tcPr>
          <w:p w14:paraId="626BCE6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ascii="宋体" w:hAnsi="宋体"/>
                <w:color w:val="auto"/>
                <w:szCs w:val="21"/>
              </w:rPr>
            </w:pPr>
            <w:bookmarkStart w:id="64" w:name="EB5a7b8228157c475c95485462c298c0f7"/>
            <w:r>
              <w:rPr>
                <w:rFonts w:hint="eastAsia" w:ascii="宋体" w:hAnsi="宋体"/>
                <w:color w:val="auto"/>
                <w:szCs w:val="21"/>
              </w:rPr>
              <w:t>1、投标报价不得超过预算或者最高限价。</w:t>
            </w:r>
          </w:p>
          <w:p w14:paraId="03A57E0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、一律用人民币报价</w:t>
            </w:r>
            <w:bookmarkEnd w:id="64"/>
            <w:r>
              <w:rPr>
                <w:rFonts w:hint="eastAsia" w:ascii="宋体" w:hAnsi="宋体"/>
                <w:color w:val="auto"/>
                <w:szCs w:val="21"/>
              </w:rPr>
              <w:t>。</w:t>
            </w:r>
          </w:p>
          <w:p w14:paraId="69CA53A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、工程量清单中的每一项目须填入综合单价或价格，且只允许有一个报价。</w:t>
            </w:r>
          </w:p>
          <w:p w14:paraId="2CF72F0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、工程量清单中标价的综合单价或金额，应包括所需直接费、各项费用和利润、税金（销项税额或应纳税额）和附加税额，以及一定范围内的风险费用。所谓“一定范围内的风险”是指合同约定的风险。</w:t>
            </w:r>
          </w:p>
          <w:p w14:paraId="7BB842B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、已标价工程量清单中供应商没有填入单价或价格的项目，其价格视为已分摊在工程量清单中其他已标价的相关项目的综合单价或价格之中。</w:t>
            </w:r>
          </w:p>
          <w:p w14:paraId="69B12165">
            <w:pPr>
              <w:keepNext w:val="0"/>
              <w:keepLines w:val="0"/>
              <w:pageBreakBefore w:val="0"/>
              <w:widowControl w:val="0"/>
              <w:kinsoku/>
              <w:wordWrap/>
              <w:overflowPunct/>
              <w:topLinePunct w:val="0"/>
              <w:autoSpaceDE/>
              <w:autoSpaceDN/>
              <w:bidi w:val="0"/>
              <w:adjustRightInd w:val="0"/>
              <w:snapToGrid w:val="0"/>
              <w:spacing w:line="400" w:lineRule="exact"/>
              <w:ind w:left="0" w:leftChars="0"/>
              <w:jc w:val="left"/>
              <w:textAlignment w:val="auto"/>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、本工程采用一般计税法相关规定进行。</w:t>
            </w:r>
          </w:p>
          <w:p w14:paraId="3CA9FE16">
            <w:pPr>
              <w:spacing w:line="360" w:lineRule="auto"/>
              <w:rPr>
                <w:color w:val="auto"/>
              </w:rPr>
            </w:pPr>
            <w:r>
              <w:rPr>
                <w:rFonts w:hint="eastAsia" w:ascii="宋体" w:hAnsi="宋体" w:eastAsia="宋体" w:cs="宋体"/>
                <w:color w:val="auto"/>
                <w:lang w:val="en-US" w:eastAsia="zh-CN"/>
              </w:rPr>
              <w:t>7、本工程为固定单价合同。</w:t>
            </w:r>
          </w:p>
        </w:tc>
      </w:tr>
      <w:tr w14:paraId="2FAD8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645" w:type="pct"/>
            <w:noWrap w:val="0"/>
            <w:vAlign w:val="center"/>
          </w:tcPr>
          <w:p w14:paraId="6CEC9AA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第12.1款</w:t>
            </w:r>
          </w:p>
        </w:tc>
        <w:tc>
          <w:tcPr>
            <w:tcW w:w="1251" w:type="pct"/>
            <w:noWrap w:val="0"/>
            <w:vAlign w:val="center"/>
          </w:tcPr>
          <w:p w14:paraId="3BADCD0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33" w:firstLineChars="254"/>
              <w:textAlignment w:val="auto"/>
              <w:rPr>
                <w:rFonts w:ascii="宋体" w:hAnsi="宋体"/>
                <w:color w:val="auto"/>
                <w:szCs w:val="21"/>
              </w:rPr>
            </w:pPr>
            <w:r>
              <w:rPr>
                <w:rFonts w:hint="eastAsia" w:ascii="宋体" w:hAnsi="宋体"/>
                <w:color w:val="auto"/>
                <w:szCs w:val="21"/>
              </w:rPr>
              <w:t>保证金</w:t>
            </w:r>
          </w:p>
        </w:tc>
        <w:tc>
          <w:tcPr>
            <w:tcW w:w="3103" w:type="pct"/>
            <w:noWrap w:val="0"/>
            <w:vAlign w:val="center"/>
          </w:tcPr>
          <w:p w14:paraId="6C14400F">
            <w:pPr>
              <w:pStyle w:val="8"/>
              <w:keepNext w:val="0"/>
              <w:keepLines w:val="0"/>
              <w:pageBreakBefore w:val="0"/>
              <w:widowControl w:val="0"/>
              <w:kinsoku/>
              <w:wordWrap/>
              <w:overflowPunct/>
              <w:topLinePunct w:val="0"/>
              <w:autoSpaceDE/>
              <w:autoSpaceDN/>
              <w:bidi w:val="0"/>
              <w:spacing w:after="0" w:line="400" w:lineRule="exact"/>
              <w:ind w:left="0" w:leftChars="0"/>
              <w:textAlignment w:val="auto"/>
              <w:rPr>
                <w:rFonts w:hint="default" w:eastAsia="宋体"/>
                <w:color w:val="auto"/>
                <w:lang w:val="en-US" w:eastAsia="zh-CN"/>
              </w:rPr>
            </w:pPr>
            <w:r>
              <w:rPr>
                <w:rFonts w:hint="eastAsia" w:ascii="宋体" w:hAnsi="宋体"/>
                <w:color w:val="auto"/>
                <w:szCs w:val="21"/>
                <w:highlight w:val="white"/>
              </w:rPr>
              <w:t>本项目不收取保证金，供应商需提供免交投标保证金承诺书。未按照招标文件要求提交免交投标保证金承诺书的，将视为无效投标。</w:t>
            </w:r>
            <w:r>
              <w:rPr>
                <w:rFonts w:hint="eastAsia" w:ascii="宋体" w:hAnsi="宋体"/>
                <w:color w:val="auto"/>
                <w:szCs w:val="21"/>
                <w:highlight w:val="white"/>
                <w:lang w:val="en-US" w:eastAsia="zh-CN"/>
              </w:rPr>
              <w:t>格式见第六章响应文件组成。</w:t>
            </w:r>
          </w:p>
        </w:tc>
      </w:tr>
      <w:tr w14:paraId="28A5B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48F19715">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第13.1款</w:t>
            </w:r>
          </w:p>
        </w:tc>
        <w:tc>
          <w:tcPr>
            <w:tcW w:w="1251" w:type="pct"/>
            <w:noWrap w:val="0"/>
            <w:vAlign w:val="center"/>
          </w:tcPr>
          <w:p w14:paraId="3F56D29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Cs/>
                <w:color w:val="auto"/>
                <w:szCs w:val="21"/>
              </w:rPr>
            </w:pPr>
            <w:r>
              <w:rPr>
                <w:rFonts w:hint="eastAsia" w:ascii="宋体" w:hAnsi="宋体"/>
                <w:bCs/>
                <w:color w:val="auto"/>
                <w:szCs w:val="21"/>
              </w:rPr>
              <w:t>响应文件有效期</w:t>
            </w:r>
          </w:p>
        </w:tc>
        <w:tc>
          <w:tcPr>
            <w:tcW w:w="3103" w:type="pct"/>
            <w:noWrap w:val="0"/>
            <w:vAlign w:val="center"/>
          </w:tcPr>
          <w:p w14:paraId="2696FB9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Cs/>
                <w:color w:val="auto"/>
                <w:szCs w:val="21"/>
              </w:rPr>
            </w:pPr>
            <w:r>
              <w:rPr>
                <w:rFonts w:hint="eastAsia" w:ascii="宋体" w:hAnsi="宋体"/>
                <w:color w:val="auto"/>
                <w:szCs w:val="21"/>
                <w:u w:val="single"/>
              </w:rPr>
              <w:t>90</w:t>
            </w:r>
            <w:r>
              <w:rPr>
                <w:rFonts w:hint="eastAsia" w:ascii="宋体" w:hAnsi="宋体"/>
                <w:color w:val="auto"/>
                <w:szCs w:val="21"/>
              </w:rPr>
              <w:t>日（日历日）</w:t>
            </w:r>
          </w:p>
        </w:tc>
      </w:tr>
      <w:tr w14:paraId="4B660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1ABB1A2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第14.1款</w:t>
            </w:r>
          </w:p>
        </w:tc>
        <w:tc>
          <w:tcPr>
            <w:tcW w:w="1251" w:type="pct"/>
            <w:noWrap w:val="0"/>
            <w:vAlign w:val="center"/>
          </w:tcPr>
          <w:p w14:paraId="4BE74A3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Cs/>
                <w:color w:val="auto"/>
                <w:szCs w:val="21"/>
              </w:rPr>
            </w:pPr>
            <w:r>
              <w:rPr>
                <w:rFonts w:hint="eastAsia" w:ascii="宋体" w:hAnsi="宋体"/>
                <w:bCs/>
                <w:color w:val="auto"/>
                <w:szCs w:val="21"/>
              </w:rPr>
              <w:t>分包</w:t>
            </w:r>
          </w:p>
        </w:tc>
        <w:tc>
          <w:tcPr>
            <w:tcW w:w="3103" w:type="pct"/>
            <w:noWrap w:val="0"/>
            <w:vAlign w:val="center"/>
          </w:tcPr>
          <w:p w14:paraId="6381B93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Cs/>
                <w:color w:val="auto"/>
                <w:szCs w:val="21"/>
              </w:rPr>
            </w:pPr>
            <w:r>
              <w:rPr>
                <w:rFonts w:hint="eastAsia" w:ascii="宋体" w:hAnsi="宋体"/>
                <w:color w:val="auto"/>
                <w:szCs w:val="21"/>
              </w:rPr>
              <w:t>□采购项目允许分包。</w:t>
            </w:r>
            <w:r>
              <w:rPr>
                <w:rFonts w:hint="eastAsia" w:ascii="宋体" w:hAnsi="宋体"/>
                <w:bCs/>
                <w:color w:val="auto"/>
                <w:szCs w:val="21"/>
              </w:rPr>
              <w:t>分包履行的具体内容、金额或者比例。</w:t>
            </w:r>
          </w:p>
          <w:p w14:paraId="1F97A58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Cs/>
                <w:color w:val="auto"/>
                <w:szCs w:val="21"/>
              </w:rPr>
            </w:pPr>
            <w:r>
              <w:rPr>
                <w:rFonts w:hint="eastAsia" w:ascii="宋体" w:hAnsi="宋体"/>
                <w:color w:val="auto"/>
                <w:szCs w:val="21"/>
              </w:rPr>
              <w:t>■采购项目不允许分包。</w:t>
            </w:r>
          </w:p>
        </w:tc>
      </w:tr>
      <w:tr w14:paraId="7230E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5510EE0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第15.2款</w:t>
            </w:r>
          </w:p>
        </w:tc>
        <w:tc>
          <w:tcPr>
            <w:tcW w:w="1251" w:type="pct"/>
            <w:noWrap w:val="0"/>
            <w:vAlign w:val="center"/>
          </w:tcPr>
          <w:p w14:paraId="75D2D25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Cs/>
                <w:color w:val="auto"/>
                <w:szCs w:val="21"/>
              </w:rPr>
              <w:t>响应</w:t>
            </w:r>
            <w:r>
              <w:rPr>
                <w:rFonts w:hint="eastAsia" w:ascii="宋体" w:hAnsi="宋体"/>
                <w:color w:val="auto"/>
                <w:szCs w:val="21"/>
              </w:rPr>
              <w:t>文件副本份数</w:t>
            </w:r>
          </w:p>
        </w:tc>
        <w:tc>
          <w:tcPr>
            <w:tcW w:w="3103" w:type="pct"/>
            <w:noWrap w:val="0"/>
            <w:vAlign w:val="center"/>
          </w:tcPr>
          <w:p w14:paraId="2AC6C48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u w:val="single"/>
              </w:rPr>
            </w:pPr>
            <w:r>
              <w:rPr>
                <w:rFonts w:hint="eastAsia" w:ascii="宋体" w:hAnsi="宋体"/>
                <w:color w:val="auto"/>
                <w:szCs w:val="21"/>
              </w:rPr>
              <w:t>正本一份，副本二份，另提供投标文件电子版一份（为正本扫描件，工程量清单</w:t>
            </w:r>
            <w:r>
              <w:rPr>
                <w:rFonts w:hint="eastAsia" w:ascii="宋体" w:hAnsi="宋体"/>
                <w:color w:val="auto"/>
                <w:szCs w:val="21"/>
                <w:lang w:val="en-US" w:eastAsia="zh-CN"/>
              </w:rPr>
              <w:t>报价</w:t>
            </w:r>
            <w:r>
              <w:rPr>
                <w:rFonts w:hint="eastAsia" w:ascii="宋体" w:hAnsi="宋体"/>
                <w:color w:val="auto"/>
                <w:szCs w:val="21"/>
              </w:rPr>
              <w:t>为Excel版本，用U盘拷贝并注明公司名称）随纸质文件一并密封递交。</w:t>
            </w:r>
          </w:p>
        </w:tc>
      </w:tr>
      <w:tr w14:paraId="580F63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5000" w:type="pct"/>
            <w:gridSpan w:val="3"/>
            <w:noWrap w:val="0"/>
            <w:vAlign w:val="center"/>
          </w:tcPr>
          <w:p w14:paraId="0198A78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bCs/>
                <w:color w:val="auto"/>
                <w:szCs w:val="21"/>
              </w:rPr>
            </w:pPr>
            <w:r>
              <w:rPr>
                <w:rFonts w:hint="eastAsia" w:ascii="宋体" w:hAnsi="宋体"/>
                <w:b/>
                <w:color w:val="auto"/>
                <w:szCs w:val="21"/>
              </w:rPr>
              <w:t>四、响应文件的递交</w:t>
            </w:r>
          </w:p>
        </w:tc>
      </w:tr>
      <w:tr w14:paraId="1FFF5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 w:hRule="atLeast"/>
          <w:jc w:val="center"/>
        </w:trPr>
        <w:tc>
          <w:tcPr>
            <w:tcW w:w="645" w:type="pct"/>
            <w:noWrap w:val="0"/>
            <w:vAlign w:val="center"/>
          </w:tcPr>
          <w:p w14:paraId="054BDFD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第16.2款</w:t>
            </w:r>
          </w:p>
        </w:tc>
        <w:tc>
          <w:tcPr>
            <w:tcW w:w="1251" w:type="pct"/>
            <w:noWrap w:val="0"/>
            <w:vAlign w:val="center"/>
          </w:tcPr>
          <w:p w14:paraId="0285606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封套上应载明的信息</w:t>
            </w:r>
          </w:p>
        </w:tc>
        <w:tc>
          <w:tcPr>
            <w:tcW w:w="3103" w:type="pct"/>
            <w:noWrap w:val="0"/>
            <w:vAlign w:val="center"/>
          </w:tcPr>
          <w:p w14:paraId="0D334A0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u w:val="single"/>
                <w:lang w:val="en-US" w:eastAsia="zh-CN"/>
              </w:rPr>
              <w:t xml:space="preserve">                         （项目名称）</w:t>
            </w:r>
            <w:r>
              <w:rPr>
                <w:rFonts w:hint="eastAsia" w:ascii="宋体" w:hAnsi="宋体"/>
                <w:color w:val="auto"/>
                <w:szCs w:val="21"/>
              </w:rPr>
              <w:t>响应文件</w:t>
            </w:r>
          </w:p>
          <w:p w14:paraId="4C636EC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政府采购编号</w:t>
            </w:r>
            <w:r>
              <w:rPr>
                <w:rFonts w:ascii="宋体" w:hAnsi="宋体"/>
                <w:color w:val="auto"/>
                <w:szCs w:val="21"/>
              </w:rPr>
              <w:t>：</w:t>
            </w:r>
            <w:r>
              <w:rPr>
                <w:rFonts w:hint="eastAsia" w:ascii="宋体" w:hAnsi="宋体"/>
                <w:color w:val="auto"/>
                <w:szCs w:val="21"/>
                <w:u w:val="single"/>
                <w:lang w:val="en-US" w:eastAsia="zh-CN"/>
              </w:rPr>
              <w:t xml:space="preserve">              </w:t>
            </w:r>
          </w:p>
          <w:p w14:paraId="59266D7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供应商名称：</w:t>
            </w:r>
            <w:r>
              <w:rPr>
                <w:rFonts w:hint="eastAsia" w:ascii="宋体" w:hAnsi="宋体"/>
                <w:color w:val="auto"/>
                <w:szCs w:val="21"/>
                <w:u w:val="single"/>
                <w:lang w:val="en-US" w:eastAsia="zh-CN"/>
              </w:rPr>
              <w:t xml:space="preserve">              </w:t>
            </w:r>
          </w:p>
          <w:p w14:paraId="5C438A9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在</w:t>
            </w:r>
            <w:r>
              <w:rPr>
                <w:rFonts w:hint="eastAsia" w:ascii="宋体" w:hAnsi="宋体"/>
                <w:color w:val="auto"/>
                <w:szCs w:val="21"/>
                <w:u w:val="single"/>
              </w:rPr>
              <w:t xml:space="preserve">     </w:t>
            </w:r>
            <w:r>
              <w:rPr>
                <w:rFonts w:hint="eastAsia" w:ascii="宋体" w:hAnsi="宋体"/>
                <w:color w:val="auto"/>
                <w:szCs w:val="21"/>
                <w:u w:val="none"/>
              </w:rPr>
              <w:t>年</w:t>
            </w:r>
            <w:r>
              <w:rPr>
                <w:rFonts w:hint="eastAsia" w:ascii="宋体" w:hAnsi="宋体"/>
                <w:color w:val="auto"/>
                <w:szCs w:val="21"/>
                <w:u w:val="single"/>
                <w:lang w:val="en-US" w:eastAsia="zh-CN"/>
              </w:rPr>
              <w:t xml:space="preserve">   </w:t>
            </w:r>
            <w:r>
              <w:rPr>
                <w:rFonts w:hint="eastAsia" w:ascii="宋体" w:hAnsi="宋体"/>
                <w:color w:val="auto"/>
                <w:szCs w:val="21"/>
                <w:u w:val="none"/>
              </w:rPr>
              <w:t>月</w:t>
            </w:r>
            <w:r>
              <w:rPr>
                <w:rFonts w:hint="eastAsia" w:ascii="宋体" w:hAnsi="宋体"/>
                <w:color w:val="auto"/>
                <w:szCs w:val="21"/>
                <w:u w:val="single"/>
                <w:lang w:val="en-US" w:eastAsia="zh-CN"/>
              </w:rPr>
              <w:t xml:space="preserve">   </w:t>
            </w:r>
            <w:r>
              <w:rPr>
                <w:rFonts w:hint="eastAsia" w:ascii="宋体" w:hAnsi="宋体"/>
                <w:color w:val="auto"/>
                <w:szCs w:val="21"/>
              </w:rPr>
              <w:t>日</w:t>
            </w:r>
            <w:r>
              <w:rPr>
                <w:rFonts w:hint="eastAsia" w:ascii="宋体" w:hAnsi="宋体"/>
                <w:color w:val="auto"/>
                <w:szCs w:val="21"/>
                <w:u w:val="single"/>
                <w:lang w:val="en-US" w:eastAsia="zh-CN"/>
              </w:rPr>
              <w:t xml:space="preserve">   </w:t>
            </w:r>
            <w:r>
              <w:rPr>
                <w:rFonts w:hint="eastAsia" w:ascii="宋体" w:hAnsi="宋体"/>
                <w:color w:val="auto"/>
                <w:szCs w:val="21"/>
              </w:rPr>
              <w:t>时</w:t>
            </w:r>
            <w:r>
              <w:rPr>
                <w:rFonts w:hint="eastAsia" w:ascii="宋体" w:hAnsi="宋体"/>
                <w:color w:val="auto"/>
                <w:szCs w:val="21"/>
                <w:u w:val="single"/>
                <w:lang w:val="en-US" w:eastAsia="zh-CN"/>
              </w:rPr>
              <w:t xml:space="preserve">   </w:t>
            </w:r>
            <w:r>
              <w:rPr>
                <w:rFonts w:hint="eastAsia" w:ascii="宋体" w:hAnsi="宋体"/>
                <w:color w:val="auto"/>
                <w:szCs w:val="21"/>
              </w:rPr>
              <w:t>分之前不得启封</w:t>
            </w:r>
          </w:p>
        </w:tc>
      </w:tr>
      <w:tr w14:paraId="473B9C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4A66AC94">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第18.1款</w:t>
            </w:r>
          </w:p>
        </w:tc>
        <w:tc>
          <w:tcPr>
            <w:tcW w:w="1251" w:type="pct"/>
            <w:noWrap w:val="0"/>
            <w:vAlign w:val="center"/>
          </w:tcPr>
          <w:p w14:paraId="54832A4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响应文件的递交</w:t>
            </w:r>
            <w:r>
              <w:rPr>
                <w:rFonts w:hint="eastAsia" w:ascii="宋体" w:hAnsi="宋体"/>
                <w:bCs/>
                <w:color w:val="auto"/>
                <w:szCs w:val="21"/>
              </w:rPr>
              <w:t>时间和</w:t>
            </w:r>
            <w:r>
              <w:rPr>
                <w:rFonts w:hint="eastAsia" w:ascii="宋体" w:hAnsi="宋体"/>
                <w:color w:val="auto"/>
                <w:szCs w:val="21"/>
              </w:rPr>
              <w:t>地点</w:t>
            </w:r>
          </w:p>
        </w:tc>
        <w:tc>
          <w:tcPr>
            <w:tcW w:w="3103" w:type="pct"/>
            <w:noWrap w:val="0"/>
            <w:vAlign w:val="center"/>
          </w:tcPr>
          <w:p w14:paraId="37188BFD">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bCs/>
                <w:color w:val="auto"/>
                <w:szCs w:val="21"/>
              </w:rPr>
            </w:pPr>
            <w:r>
              <w:rPr>
                <w:rFonts w:hint="eastAsia" w:ascii="宋体" w:hAnsi="宋体"/>
                <w:color w:val="auto"/>
                <w:szCs w:val="21"/>
              </w:rPr>
              <w:t>详见第一章磋商邀请</w:t>
            </w:r>
          </w:p>
        </w:tc>
      </w:tr>
      <w:tr w14:paraId="05083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5000" w:type="pct"/>
            <w:gridSpan w:val="3"/>
            <w:noWrap w:val="0"/>
            <w:vAlign w:val="center"/>
          </w:tcPr>
          <w:p w14:paraId="278928E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bCs/>
                <w:color w:val="auto"/>
                <w:szCs w:val="21"/>
              </w:rPr>
            </w:pPr>
            <w:r>
              <w:rPr>
                <w:rFonts w:hint="eastAsia" w:ascii="宋体" w:hAnsi="宋体"/>
                <w:b/>
                <w:bCs/>
                <w:color w:val="auto"/>
                <w:szCs w:val="21"/>
              </w:rPr>
              <w:t>五、响应文件的评审与磋商</w:t>
            </w:r>
          </w:p>
        </w:tc>
      </w:tr>
      <w:tr w14:paraId="62531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197" w:type="dxa"/>
            <w:noWrap w:val="0"/>
            <w:vAlign w:val="center"/>
          </w:tcPr>
          <w:p w14:paraId="40B8046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第22.3款</w:t>
            </w:r>
          </w:p>
        </w:tc>
        <w:tc>
          <w:tcPr>
            <w:tcW w:w="2322" w:type="dxa"/>
            <w:noWrap w:val="0"/>
            <w:vAlign w:val="center"/>
          </w:tcPr>
          <w:p w14:paraId="4CA27E2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磋商文件规定的实质性要求和条件</w:t>
            </w:r>
          </w:p>
        </w:tc>
        <w:tc>
          <w:tcPr>
            <w:tcW w:w="5760" w:type="dxa"/>
            <w:noWrap w:val="0"/>
            <w:vAlign w:val="center"/>
          </w:tcPr>
          <w:p w14:paraId="7925F21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bCs/>
                <w:color w:val="auto"/>
                <w:szCs w:val="21"/>
              </w:rPr>
            </w:pPr>
            <w:r>
              <w:rPr>
                <w:rFonts w:hint="eastAsia" w:ascii="宋体" w:hAnsi="宋体" w:cs="Arial"/>
                <w:color w:val="auto"/>
                <w:kern w:val="0"/>
                <w:szCs w:val="21"/>
              </w:rPr>
              <w:t>磋商文件第四章“采购需求”</w:t>
            </w:r>
          </w:p>
        </w:tc>
      </w:tr>
      <w:tr w14:paraId="050B9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0108C060">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第23.2款</w:t>
            </w:r>
          </w:p>
        </w:tc>
        <w:tc>
          <w:tcPr>
            <w:tcW w:w="1251" w:type="pct"/>
            <w:noWrap w:val="0"/>
            <w:vAlign w:val="center"/>
          </w:tcPr>
          <w:p w14:paraId="180CE59D">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最后报价的算术修正</w:t>
            </w:r>
          </w:p>
        </w:tc>
        <w:tc>
          <w:tcPr>
            <w:tcW w:w="3103" w:type="pct"/>
            <w:noWrap w:val="0"/>
            <w:vAlign w:val="center"/>
          </w:tcPr>
          <w:p w14:paraId="1D2C925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s="宋体"/>
                <w:color w:val="auto"/>
                <w:kern w:val="0"/>
                <w:szCs w:val="21"/>
              </w:rPr>
              <w:t>最后报价</w:t>
            </w:r>
            <w:r>
              <w:rPr>
                <w:rFonts w:hint="eastAsia" w:ascii="宋体" w:hAnsi="宋体" w:cs="Arial"/>
                <w:color w:val="auto"/>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tc>
      </w:tr>
      <w:tr w14:paraId="4D87D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5000" w:type="pct"/>
            <w:gridSpan w:val="3"/>
            <w:noWrap w:val="0"/>
            <w:vAlign w:val="center"/>
          </w:tcPr>
          <w:p w14:paraId="1484ADC3">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b/>
                <w:color w:val="auto"/>
                <w:szCs w:val="21"/>
              </w:rPr>
              <w:t>六、成交结果信息公布与供应商质疑</w:t>
            </w:r>
          </w:p>
        </w:tc>
      </w:tr>
      <w:tr w14:paraId="04977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711FC64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第32.1款</w:t>
            </w:r>
          </w:p>
        </w:tc>
        <w:tc>
          <w:tcPr>
            <w:tcW w:w="1251" w:type="pct"/>
            <w:noWrap w:val="0"/>
            <w:vAlign w:val="center"/>
          </w:tcPr>
          <w:p w14:paraId="6A469F5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lang w:val="en-US" w:eastAsia="zh-CN"/>
              </w:rPr>
              <w:t>发布</w:t>
            </w:r>
            <w:r>
              <w:rPr>
                <w:rFonts w:hint="eastAsia" w:ascii="宋体" w:hAnsi="宋体"/>
                <w:color w:val="auto"/>
                <w:szCs w:val="21"/>
              </w:rPr>
              <w:t>的媒体</w:t>
            </w:r>
          </w:p>
        </w:tc>
        <w:tc>
          <w:tcPr>
            <w:tcW w:w="3103" w:type="pct"/>
            <w:noWrap w:val="0"/>
            <w:vAlign w:val="center"/>
          </w:tcPr>
          <w:p w14:paraId="652EFE5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rPr>
            </w:pPr>
            <w:r>
              <w:rPr>
                <w:rFonts w:hint="eastAsia" w:ascii="宋体" w:hAnsi="宋体"/>
                <w:color w:val="auto"/>
                <w:szCs w:val="21"/>
                <w:lang w:val="en-US" w:eastAsia="zh-CN"/>
              </w:rPr>
              <w:t>湖南省</w:t>
            </w:r>
            <w:r>
              <w:rPr>
                <w:rFonts w:hint="eastAsia" w:ascii="宋体" w:hAnsi="宋体"/>
                <w:color w:val="auto"/>
                <w:szCs w:val="21"/>
              </w:rPr>
              <w:t>政府采购网（</w:t>
            </w:r>
            <w:r>
              <w:rPr>
                <w:rFonts w:hint="eastAsia" w:ascii="宋体" w:hAnsi="宋体"/>
                <w:color w:val="auto"/>
                <w:szCs w:val="21"/>
              </w:rPr>
              <w:fldChar w:fldCharType="begin"/>
            </w:r>
            <w:r>
              <w:rPr>
                <w:rFonts w:hint="eastAsia" w:ascii="宋体" w:hAnsi="宋体"/>
                <w:color w:val="auto"/>
                <w:szCs w:val="21"/>
              </w:rPr>
              <w:instrText xml:space="preserve"> HYPERLINK "http://www.ccgp-hunan.gov.cn" </w:instrText>
            </w:r>
            <w:r>
              <w:rPr>
                <w:rFonts w:hint="eastAsia" w:ascii="宋体" w:hAnsi="宋体"/>
                <w:color w:val="auto"/>
                <w:szCs w:val="21"/>
              </w:rPr>
              <w:fldChar w:fldCharType="separate"/>
            </w:r>
            <w:r>
              <w:rPr>
                <w:rFonts w:hint="eastAsia" w:ascii="宋体" w:hAnsi="宋体"/>
                <w:color w:val="auto"/>
                <w:szCs w:val="21"/>
              </w:rPr>
              <w:t>www.ccgp-hunan.gov.cn</w:t>
            </w:r>
            <w:r>
              <w:rPr>
                <w:rFonts w:hint="eastAsia" w:ascii="宋体" w:hAnsi="宋体"/>
                <w:color w:val="auto"/>
                <w:szCs w:val="21"/>
              </w:rPr>
              <w:fldChar w:fldCharType="end"/>
            </w:r>
            <w:r>
              <w:rPr>
                <w:rFonts w:hint="eastAsia" w:ascii="宋体" w:hAnsi="宋体"/>
                <w:color w:val="auto"/>
                <w:szCs w:val="21"/>
              </w:rPr>
              <w:t>）</w:t>
            </w:r>
          </w:p>
        </w:tc>
      </w:tr>
      <w:tr w14:paraId="158C2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73B4153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第34.3款</w:t>
            </w:r>
          </w:p>
        </w:tc>
        <w:tc>
          <w:tcPr>
            <w:tcW w:w="1251" w:type="pct"/>
            <w:noWrap w:val="0"/>
            <w:vAlign w:val="center"/>
          </w:tcPr>
          <w:p w14:paraId="5D4EC2B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履约担保</w:t>
            </w:r>
          </w:p>
        </w:tc>
        <w:tc>
          <w:tcPr>
            <w:tcW w:w="3103" w:type="pct"/>
            <w:noWrap w:val="0"/>
            <w:vAlign w:val="center"/>
          </w:tcPr>
          <w:p w14:paraId="1F35452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color w:val="auto"/>
                <w:szCs w:val="21"/>
                <w:lang w:val="en-US" w:eastAsia="zh-CN"/>
              </w:rPr>
            </w:pPr>
            <w:r>
              <w:rPr>
                <w:rFonts w:hint="eastAsia" w:ascii="宋体" w:hAnsi="宋体"/>
                <w:color w:val="auto"/>
                <w:szCs w:val="21"/>
              </w:rPr>
              <w:t>■</w:t>
            </w:r>
            <w:r>
              <w:rPr>
                <w:rFonts w:hint="eastAsia" w:ascii="宋体" w:hAnsi="宋体"/>
                <w:color w:val="auto"/>
                <w:szCs w:val="21"/>
                <w:lang w:val="en-US" w:eastAsia="zh-CN"/>
              </w:rPr>
              <w:t>需要提供，成交后需向采购人缴纳合同金额</w:t>
            </w:r>
            <w:r>
              <w:rPr>
                <w:rFonts w:hint="eastAsia" w:ascii="宋体" w:hAnsi="宋体"/>
                <w:color w:val="auto"/>
                <w:szCs w:val="21"/>
                <w:u w:val="single"/>
                <w:lang w:val="en-US" w:eastAsia="zh-CN"/>
              </w:rPr>
              <w:t>3%</w:t>
            </w:r>
            <w:r>
              <w:rPr>
                <w:rFonts w:hint="eastAsia" w:ascii="宋体" w:hAnsi="宋体"/>
                <w:color w:val="auto"/>
                <w:szCs w:val="21"/>
                <w:lang w:val="en-US" w:eastAsia="zh-CN"/>
              </w:rPr>
              <w:t>履约担保金，履约保证金退还方式、时间、条件和不予退还情形详见第四章采购需求。</w:t>
            </w:r>
          </w:p>
          <w:p w14:paraId="37562B3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无需提供</w:t>
            </w:r>
          </w:p>
        </w:tc>
      </w:tr>
      <w:tr w14:paraId="60184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5000" w:type="pct"/>
            <w:gridSpan w:val="3"/>
            <w:noWrap w:val="0"/>
            <w:vAlign w:val="center"/>
          </w:tcPr>
          <w:p w14:paraId="3D8D108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color w:val="auto"/>
                <w:szCs w:val="21"/>
              </w:rPr>
            </w:pPr>
            <w:r>
              <w:rPr>
                <w:rFonts w:hint="eastAsia" w:ascii="宋体" w:hAnsi="宋体"/>
                <w:b/>
                <w:color w:val="auto"/>
                <w:szCs w:val="21"/>
              </w:rPr>
              <w:t>七、政府采购政策</w:t>
            </w:r>
          </w:p>
        </w:tc>
      </w:tr>
      <w:tr w14:paraId="6F23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5505C382">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第37.1款</w:t>
            </w:r>
          </w:p>
        </w:tc>
        <w:tc>
          <w:tcPr>
            <w:tcW w:w="1251" w:type="pct"/>
            <w:noWrap w:val="0"/>
            <w:vAlign w:val="center"/>
          </w:tcPr>
          <w:p w14:paraId="68BDB95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预留份额的实施措施及相关要求</w:t>
            </w:r>
          </w:p>
        </w:tc>
        <w:tc>
          <w:tcPr>
            <w:tcW w:w="3103" w:type="pct"/>
            <w:noWrap w:val="0"/>
            <w:vAlign w:val="center"/>
          </w:tcPr>
          <w:p w14:paraId="61AB933D">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color w:val="auto"/>
                <w:szCs w:val="21"/>
              </w:rPr>
            </w:pPr>
            <w:r>
              <w:rPr>
                <w:rFonts w:hint="eastAsia" w:ascii="宋体" w:hAnsi="宋体"/>
                <w:color w:val="auto"/>
                <w:szCs w:val="21"/>
              </w:rPr>
              <w:t>■专门面向中小企业采购；</w:t>
            </w:r>
          </w:p>
          <w:p w14:paraId="6A6A0A5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color w:val="auto"/>
                <w:szCs w:val="21"/>
              </w:rPr>
            </w:pPr>
            <w:r>
              <w:rPr>
                <w:rFonts w:hint="eastAsia" w:ascii="宋体" w:hAnsi="宋体"/>
                <w:color w:val="auto"/>
                <w:szCs w:val="21"/>
              </w:rPr>
              <w:t>□专门面向小型、微型企业采购；</w:t>
            </w:r>
          </w:p>
          <w:p w14:paraId="0BEDBE7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color w:val="auto"/>
                <w:szCs w:val="21"/>
              </w:rPr>
            </w:pPr>
            <w:r>
              <w:rPr>
                <w:rFonts w:hint="eastAsia" w:ascii="宋体" w:hAnsi="宋体"/>
                <w:color w:val="auto"/>
                <w:szCs w:val="21"/>
              </w:rPr>
              <w:t>□要求供应商以联合体形式参加采购活动，且联合体中中小企业承担的部分达到一定比例，比例为；</w:t>
            </w:r>
          </w:p>
          <w:p w14:paraId="2C7ED7B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color w:val="auto"/>
                <w:szCs w:val="21"/>
              </w:rPr>
            </w:pPr>
            <w:r>
              <w:rPr>
                <w:rFonts w:hint="eastAsia" w:ascii="宋体" w:hAnsi="宋体"/>
                <w:color w:val="auto"/>
                <w:szCs w:val="21"/>
              </w:rPr>
              <w:t>□要求获得采购合同的供应商将采购项目中的一定比例分包给一家或者多家中小企业，比例为。</w:t>
            </w:r>
          </w:p>
          <w:p w14:paraId="1033E70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（组成联合体或者接受分包合同的中小企业与联合体内其他企业、分包企业之间不得存在直接控股、管理关系。）</w:t>
            </w:r>
          </w:p>
        </w:tc>
      </w:tr>
      <w:tr w14:paraId="2CD65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6DFA3DA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第40.1（3）项</w:t>
            </w:r>
          </w:p>
        </w:tc>
        <w:tc>
          <w:tcPr>
            <w:tcW w:w="1251" w:type="pct"/>
            <w:noWrap w:val="0"/>
            <w:vAlign w:val="center"/>
          </w:tcPr>
          <w:p w14:paraId="0F6E756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采购标的对应的中小企业划分标准所属行业</w:t>
            </w:r>
          </w:p>
        </w:tc>
        <w:tc>
          <w:tcPr>
            <w:tcW w:w="3103" w:type="pct"/>
            <w:noWrap w:val="0"/>
            <w:vAlign w:val="center"/>
          </w:tcPr>
          <w:p w14:paraId="71AE322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建筑业</w:t>
            </w:r>
          </w:p>
        </w:tc>
      </w:tr>
      <w:tr w14:paraId="04ECA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141AF2B0">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第41.1款</w:t>
            </w:r>
          </w:p>
        </w:tc>
        <w:tc>
          <w:tcPr>
            <w:tcW w:w="1251" w:type="pct"/>
            <w:noWrap w:val="0"/>
            <w:vAlign w:val="center"/>
          </w:tcPr>
          <w:p w14:paraId="5FDF439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进口产品（本项目不适用）</w:t>
            </w:r>
          </w:p>
        </w:tc>
        <w:tc>
          <w:tcPr>
            <w:tcW w:w="3103" w:type="pct"/>
            <w:noWrap w:val="0"/>
            <w:vAlign w:val="center"/>
          </w:tcPr>
          <w:p w14:paraId="4330E58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ascii="宋体" w:hAnsi="宋体" w:cs="宋体"/>
                <w:color w:val="auto"/>
              </w:rPr>
              <w:t>■</w:t>
            </w:r>
            <w:r>
              <w:rPr>
                <w:rFonts w:hint="eastAsia" w:ascii="宋体" w:hAnsi="宋体"/>
                <w:color w:val="auto"/>
                <w:szCs w:val="21"/>
              </w:rPr>
              <w:t>本项目拒绝采购进口产品</w:t>
            </w:r>
          </w:p>
          <w:p w14:paraId="1E968D2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□本项目已经财政部门审核同意购买进口产品</w:t>
            </w:r>
          </w:p>
        </w:tc>
      </w:tr>
      <w:tr w14:paraId="6FE13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5000" w:type="pct"/>
            <w:gridSpan w:val="3"/>
            <w:noWrap w:val="0"/>
            <w:vAlign w:val="center"/>
          </w:tcPr>
          <w:p w14:paraId="7EE82A5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b/>
                <w:color w:val="auto"/>
                <w:szCs w:val="21"/>
              </w:rPr>
            </w:pPr>
            <w:r>
              <w:rPr>
                <w:rFonts w:hint="eastAsia" w:ascii="宋体" w:hAnsi="宋体"/>
                <w:b/>
                <w:color w:val="auto"/>
                <w:szCs w:val="21"/>
              </w:rPr>
              <w:t>八、其他规定</w:t>
            </w:r>
          </w:p>
        </w:tc>
      </w:tr>
      <w:tr w14:paraId="24DD5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125CF32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第43.1款</w:t>
            </w:r>
          </w:p>
        </w:tc>
        <w:tc>
          <w:tcPr>
            <w:tcW w:w="1251" w:type="pct"/>
            <w:noWrap w:val="0"/>
            <w:vAlign w:val="center"/>
          </w:tcPr>
          <w:p w14:paraId="57D21F8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代理服务费</w:t>
            </w:r>
          </w:p>
        </w:tc>
        <w:tc>
          <w:tcPr>
            <w:tcW w:w="3103" w:type="pct"/>
            <w:noWrap w:val="0"/>
            <w:vAlign w:val="center"/>
          </w:tcPr>
          <w:p w14:paraId="3555D25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eastAsia="宋体" w:cs="宋体"/>
                <w:color w:val="auto"/>
                <w:lang w:val="en-US" w:eastAsia="zh-CN"/>
              </w:rPr>
            </w:pPr>
            <w:r>
              <w:rPr>
                <w:rFonts w:hint="eastAsia" w:ascii="宋体" w:hAnsi="宋体" w:cs="宋体"/>
                <w:color w:val="auto"/>
              </w:rPr>
              <w:t>代</w:t>
            </w:r>
            <w:bookmarkStart w:id="65" w:name="OLE_LINK1"/>
            <w:r>
              <w:rPr>
                <w:rFonts w:hint="eastAsia" w:ascii="宋体" w:hAnsi="宋体" w:cs="宋体"/>
                <w:color w:val="auto"/>
              </w:rPr>
              <w:t>理服务费</w:t>
            </w:r>
            <w:r>
              <w:rPr>
                <w:rFonts w:hint="eastAsia" w:ascii="宋体" w:hAnsi="宋体" w:cs="宋体"/>
                <w:color w:val="auto"/>
                <w:lang w:val="en-US" w:eastAsia="zh-CN"/>
              </w:rPr>
              <w:t>参</w:t>
            </w:r>
            <w:r>
              <w:rPr>
                <w:rFonts w:hint="eastAsia" w:ascii="宋体" w:hAnsi="宋体" w:cs="宋体"/>
                <w:color w:val="auto"/>
              </w:rPr>
              <w:t>照</w:t>
            </w:r>
            <w:r>
              <w:rPr>
                <w:rFonts w:hint="eastAsia" w:ascii="宋体" w:hAnsi="宋体" w:cs="宋体"/>
                <w:color w:val="auto"/>
                <w:lang w:val="en-US" w:eastAsia="zh-CN"/>
              </w:rPr>
              <w:t>国家计委计价格[2002]1980号工程类计费标准，按计费标准的90%核算，</w:t>
            </w:r>
            <w:r>
              <w:rPr>
                <w:rFonts w:hint="eastAsia" w:ascii="宋体" w:hAnsi="宋体" w:cs="宋体"/>
                <w:color w:val="auto"/>
              </w:rPr>
              <w:t>由采购人支付给采购代理机构</w:t>
            </w:r>
            <w:r>
              <w:rPr>
                <w:rFonts w:hint="eastAsia" w:ascii="宋体" w:hAnsi="宋体" w:cs="宋体"/>
                <w:color w:val="auto"/>
                <w:lang w:eastAsia="zh-CN"/>
              </w:rPr>
              <w:t>，</w:t>
            </w:r>
            <w:r>
              <w:rPr>
                <w:rFonts w:hint="eastAsia" w:ascii="宋体" w:hAnsi="宋体" w:cs="宋体"/>
                <w:color w:val="auto"/>
                <w:lang w:val="en-US" w:eastAsia="zh-CN"/>
              </w:rPr>
              <w:t>金额不超过</w:t>
            </w:r>
            <w:r>
              <w:rPr>
                <w:rFonts w:hint="eastAsia" w:ascii="宋体" w:hAnsi="宋体" w:eastAsia="宋体" w:cs="宋体"/>
                <w:color w:val="auto"/>
                <w:lang w:val="en-US" w:eastAsia="zh-CN"/>
              </w:rPr>
              <w:t>21282</w:t>
            </w:r>
            <w:r>
              <w:rPr>
                <w:rFonts w:hint="eastAsia" w:ascii="宋体" w:hAnsi="宋体" w:cs="宋体"/>
                <w:color w:val="auto"/>
                <w:lang w:val="en-US" w:eastAsia="zh-CN"/>
              </w:rPr>
              <w:t>元。</w:t>
            </w:r>
            <w:bookmarkEnd w:id="65"/>
          </w:p>
        </w:tc>
      </w:tr>
      <w:tr w14:paraId="1ADE7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645" w:type="pct"/>
            <w:noWrap w:val="0"/>
            <w:vAlign w:val="center"/>
          </w:tcPr>
          <w:p w14:paraId="1ED52AE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ascii="宋体" w:hAnsi="宋体"/>
                <w:color w:val="auto"/>
                <w:szCs w:val="21"/>
              </w:rPr>
            </w:pPr>
            <w:r>
              <w:rPr>
                <w:rFonts w:hint="eastAsia" w:ascii="宋体" w:hAnsi="宋体"/>
                <w:color w:val="auto"/>
                <w:szCs w:val="21"/>
              </w:rPr>
              <w:t>第44.1款</w:t>
            </w:r>
          </w:p>
        </w:tc>
        <w:tc>
          <w:tcPr>
            <w:tcW w:w="1251" w:type="pct"/>
            <w:noWrap w:val="0"/>
            <w:vAlign w:val="center"/>
          </w:tcPr>
          <w:p w14:paraId="75122F3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其他规定</w:t>
            </w:r>
          </w:p>
        </w:tc>
        <w:tc>
          <w:tcPr>
            <w:tcW w:w="3103" w:type="pct"/>
            <w:noWrap w:val="0"/>
            <w:vAlign w:val="center"/>
          </w:tcPr>
          <w:p w14:paraId="7C67B4EA">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宋体" w:hAnsi="宋体"/>
                <w:color w:val="auto"/>
                <w:szCs w:val="21"/>
              </w:rPr>
            </w:pPr>
            <w:r>
              <w:rPr>
                <w:rFonts w:hint="eastAsia" w:ascii="宋体" w:hAnsi="宋体"/>
                <w:color w:val="auto"/>
                <w:szCs w:val="21"/>
              </w:rPr>
              <w:t>无</w:t>
            </w:r>
          </w:p>
        </w:tc>
      </w:tr>
    </w:tbl>
    <w:p w14:paraId="0855BC7E">
      <w:pPr>
        <w:jc w:val="center"/>
        <w:outlineLvl w:val="1"/>
        <w:rPr>
          <w:rFonts w:ascii="黑体" w:hAnsi="黑体" w:eastAsia="黑体"/>
          <w:color w:val="auto"/>
          <w:sz w:val="28"/>
          <w:szCs w:val="28"/>
        </w:rPr>
      </w:pPr>
      <w:bookmarkStart w:id="66" w:name="_Toc69831378"/>
      <w:r>
        <w:rPr>
          <w:rFonts w:hint="eastAsia" w:ascii="黑体" w:hAnsi="黑体" w:eastAsia="黑体"/>
          <w:color w:val="auto"/>
          <w:sz w:val="28"/>
          <w:szCs w:val="28"/>
        </w:rPr>
        <w:br w:type="page"/>
      </w:r>
      <w:bookmarkStart w:id="67" w:name="_Toc4861"/>
      <w:r>
        <w:rPr>
          <w:rFonts w:hint="eastAsia" w:ascii="黑体" w:hAnsi="黑体" w:eastAsia="黑体"/>
          <w:color w:val="auto"/>
          <w:sz w:val="28"/>
          <w:szCs w:val="28"/>
        </w:rPr>
        <w:t>第二节 磋商须知正文</w:t>
      </w:r>
      <w:bookmarkEnd w:id="66"/>
      <w:bookmarkEnd w:id="67"/>
    </w:p>
    <w:p w14:paraId="4605BCEC">
      <w:pPr>
        <w:pStyle w:val="5"/>
        <w:keepNext w:val="0"/>
        <w:keepLines w:val="0"/>
        <w:adjustRightInd w:val="0"/>
        <w:snapToGrid w:val="0"/>
        <w:spacing w:beforeLines="50" w:after="0" w:line="360" w:lineRule="auto"/>
        <w:jc w:val="center"/>
        <w:rPr>
          <w:rFonts w:ascii="黑体" w:hAnsi="黑体" w:eastAsia="黑体"/>
          <w:b w:val="0"/>
          <w:bCs w:val="0"/>
          <w:color w:val="auto"/>
          <w:sz w:val="28"/>
          <w:szCs w:val="28"/>
        </w:rPr>
      </w:pPr>
      <w:bookmarkStart w:id="68" w:name="_Toc69831379"/>
      <w:bookmarkStart w:id="69" w:name="_Toc18154"/>
      <w:r>
        <w:rPr>
          <w:rFonts w:hint="eastAsia" w:ascii="黑体" w:hAnsi="黑体" w:eastAsia="黑体"/>
          <w:b w:val="0"/>
          <w:bCs w:val="0"/>
          <w:color w:val="auto"/>
          <w:sz w:val="28"/>
          <w:szCs w:val="28"/>
        </w:rPr>
        <w:t>一、说明</w:t>
      </w:r>
      <w:bookmarkEnd w:id="68"/>
      <w:bookmarkEnd w:id="69"/>
    </w:p>
    <w:p w14:paraId="2775D6BF">
      <w:pPr>
        <w:pStyle w:val="6"/>
        <w:keepNext w:val="0"/>
        <w:keepLines w:val="0"/>
        <w:adjustRightInd w:val="0"/>
        <w:snapToGrid w:val="0"/>
        <w:spacing w:before="0" w:after="0" w:line="360" w:lineRule="auto"/>
        <w:rPr>
          <w:rFonts w:ascii="宋体" w:hAnsi="宋体" w:eastAsia="宋体" w:cs="宋体"/>
          <w:color w:val="auto"/>
          <w:sz w:val="24"/>
          <w:szCs w:val="24"/>
        </w:rPr>
      </w:pPr>
      <w:bookmarkStart w:id="70" w:name="_Toc69831380"/>
      <w:r>
        <w:rPr>
          <w:rFonts w:hint="eastAsia" w:ascii="宋体" w:hAnsi="宋体" w:eastAsia="宋体" w:cs="宋体"/>
          <w:color w:val="auto"/>
          <w:sz w:val="24"/>
          <w:szCs w:val="24"/>
        </w:rPr>
        <w:t>1.适用范围</w:t>
      </w:r>
      <w:bookmarkEnd w:id="70"/>
    </w:p>
    <w:p w14:paraId="7A779248">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1.1本竞争性磋商文件仅适用于本章第一节“磋商须知前附表”（以下简称</w:t>
      </w:r>
      <w:r>
        <w:rPr>
          <w:rFonts w:hint="eastAsia" w:ascii="宋体" w:hAnsi="宋体" w:cs="宋体"/>
          <w:b/>
          <w:color w:val="auto"/>
          <w:szCs w:val="21"/>
        </w:rPr>
        <w:t>【磋商须知前附表】</w:t>
      </w:r>
      <w:r>
        <w:rPr>
          <w:rFonts w:hint="eastAsia" w:ascii="宋体" w:hAnsi="宋体" w:cs="宋体"/>
          <w:color w:val="auto"/>
          <w:szCs w:val="21"/>
        </w:rPr>
        <w:t>）中所叙述的采购项目。</w:t>
      </w:r>
    </w:p>
    <w:p w14:paraId="17B4BDF2">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1.2</w:t>
      </w:r>
      <w:r>
        <w:rPr>
          <w:rFonts w:hint="eastAsia" w:ascii="宋体" w:hAnsi="宋体" w:cs="宋体"/>
          <w:b/>
          <w:color w:val="auto"/>
          <w:szCs w:val="21"/>
        </w:rPr>
        <w:t>【磋商须知前附表】</w:t>
      </w:r>
      <w:r>
        <w:rPr>
          <w:rFonts w:hint="eastAsia" w:ascii="宋体" w:hAnsi="宋体" w:cs="宋体"/>
          <w:color w:val="auto"/>
          <w:szCs w:val="21"/>
        </w:rPr>
        <w:t>规定采购项目或者采购包属于“预留采购份额”的，供应商应当符合本章第37.1款规定，否则将被拒绝。</w:t>
      </w:r>
    </w:p>
    <w:p w14:paraId="50833352">
      <w:pPr>
        <w:pStyle w:val="6"/>
        <w:keepNext w:val="0"/>
        <w:keepLines w:val="0"/>
        <w:adjustRightInd w:val="0"/>
        <w:snapToGrid w:val="0"/>
        <w:spacing w:before="0" w:after="0" w:line="360" w:lineRule="auto"/>
        <w:rPr>
          <w:rFonts w:ascii="宋体" w:hAnsi="宋体" w:eastAsia="宋体" w:cs="宋体"/>
          <w:color w:val="auto"/>
          <w:sz w:val="24"/>
          <w:szCs w:val="24"/>
        </w:rPr>
      </w:pPr>
      <w:bookmarkStart w:id="71" w:name="_Toc69831381"/>
      <w:r>
        <w:rPr>
          <w:rFonts w:hint="eastAsia" w:ascii="宋体" w:hAnsi="宋体" w:eastAsia="宋体" w:cs="宋体"/>
          <w:color w:val="auto"/>
          <w:sz w:val="24"/>
          <w:szCs w:val="24"/>
        </w:rPr>
        <w:t>2.定义</w:t>
      </w:r>
      <w:bookmarkEnd w:id="71"/>
    </w:p>
    <w:p w14:paraId="07AA8568">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2.1采购人名称、地址、电话、联系人见</w:t>
      </w:r>
      <w:r>
        <w:rPr>
          <w:rFonts w:hint="eastAsia" w:ascii="宋体" w:hAnsi="宋体" w:cs="宋体"/>
          <w:b/>
          <w:color w:val="auto"/>
          <w:szCs w:val="21"/>
        </w:rPr>
        <w:t>【磋商须知前附表】</w:t>
      </w:r>
      <w:r>
        <w:rPr>
          <w:rFonts w:hint="eastAsia" w:ascii="宋体" w:hAnsi="宋体" w:cs="宋体"/>
          <w:color w:val="auto"/>
          <w:szCs w:val="21"/>
        </w:rPr>
        <w:t>。</w:t>
      </w:r>
    </w:p>
    <w:p w14:paraId="3E37F916">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2.2采购代理机构名称、地址、电话、联系人见</w:t>
      </w:r>
      <w:r>
        <w:rPr>
          <w:rFonts w:hint="eastAsia" w:ascii="宋体" w:hAnsi="宋体" w:cs="宋体"/>
          <w:b/>
          <w:color w:val="auto"/>
          <w:szCs w:val="21"/>
        </w:rPr>
        <w:t>【磋商须知前附表】。</w:t>
      </w:r>
    </w:p>
    <w:p w14:paraId="22E955DF">
      <w:pPr>
        <w:adjustRightInd w:val="0"/>
        <w:snapToGrid w:val="0"/>
        <w:spacing w:line="360" w:lineRule="auto"/>
        <w:ind w:firstLine="420" w:firstLineChars="200"/>
        <w:jc w:val="left"/>
        <w:rPr>
          <w:rFonts w:ascii="宋体" w:hAnsi="宋体" w:cs="宋体"/>
          <w:color w:val="auto"/>
          <w:kern w:val="0"/>
          <w:szCs w:val="21"/>
          <w:lang w:val="zh-CN"/>
        </w:rPr>
      </w:pPr>
      <w:r>
        <w:rPr>
          <w:rFonts w:hint="eastAsia" w:ascii="宋体" w:hAnsi="宋体" w:cs="宋体"/>
          <w:color w:val="auto"/>
          <w:szCs w:val="21"/>
        </w:rPr>
        <w:t>2.3供应商是指响应磋商文件要求、参加竞争性磋商采购的法人、其他组织或者自然人</w:t>
      </w:r>
      <w:r>
        <w:rPr>
          <w:rFonts w:hint="eastAsia" w:ascii="宋体" w:hAnsi="宋体" w:cs="宋体"/>
          <w:b/>
          <w:color w:val="auto"/>
          <w:szCs w:val="21"/>
        </w:rPr>
        <w:t>。</w:t>
      </w:r>
    </w:p>
    <w:p w14:paraId="011DFA3C">
      <w:pPr>
        <w:pStyle w:val="6"/>
        <w:keepNext w:val="0"/>
        <w:keepLines w:val="0"/>
        <w:adjustRightInd w:val="0"/>
        <w:snapToGrid w:val="0"/>
        <w:spacing w:before="0" w:after="0" w:line="360" w:lineRule="auto"/>
        <w:rPr>
          <w:rFonts w:ascii="宋体" w:hAnsi="宋体" w:eastAsia="宋体" w:cs="宋体"/>
          <w:color w:val="auto"/>
          <w:sz w:val="24"/>
          <w:szCs w:val="24"/>
        </w:rPr>
      </w:pPr>
      <w:bookmarkStart w:id="72" w:name="_Toc69831382"/>
      <w:r>
        <w:rPr>
          <w:rFonts w:hint="eastAsia" w:ascii="宋体" w:hAnsi="宋体" w:eastAsia="宋体" w:cs="宋体"/>
          <w:color w:val="auto"/>
          <w:sz w:val="24"/>
          <w:szCs w:val="24"/>
        </w:rPr>
        <w:t>3.供应商的资格要求</w:t>
      </w:r>
      <w:bookmarkEnd w:id="72"/>
    </w:p>
    <w:p w14:paraId="560020CD">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3.1供应商应当符合</w:t>
      </w:r>
      <w:r>
        <w:rPr>
          <w:rFonts w:hint="eastAsia" w:ascii="宋体" w:hAnsi="宋体" w:cs="宋体"/>
          <w:b/>
          <w:color w:val="auto"/>
          <w:szCs w:val="21"/>
        </w:rPr>
        <w:t>【磋商须知前附表】</w:t>
      </w:r>
      <w:r>
        <w:rPr>
          <w:rFonts w:hint="eastAsia" w:ascii="宋体" w:hAnsi="宋体" w:cs="宋体"/>
          <w:color w:val="auto"/>
          <w:szCs w:val="21"/>
        </w:rPr>
        <w:t>规定的供应商资格条件。</w:t>
      </w:r>
    </w:p>
    <w:p w14:paraId="5AA8EC8D">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3.2</w:t>
      </w:r>
      <w:r>
        <w:rPr>
          <w:rFonts w:hint="eastAsia" w:ascii="宋体" w:hAnsi="宋体" w:cs="宋体"/>
          <w:b/>
          <w:color w:val="auto"/>
          <w:szCs w:val="21"/>
        </w:rPr>
        <w:t>【磋商须知前附表】</w:t>
      </w:r>
      <w:r>
        <w:rPr>
          <w:rFonts w:hint="eastAsia" w:ascii="宋体" w:hAnsi="宋体" w:cs="宋体"/>
          <w:color w:val="auto"/>
          <w:szCs w:val="21"/>
        </w:rPr>
        <w:t>规定接受联合体形式的，供应商除应符合本章第3.1</w:t>
      </w:r>
      <w:r>
        <w:rPr>
          <w:rFonts w:hint="eastAsia" w:ascii="宋体" w:hAnsi="宋体" w:cs="宋体"/>
          <w:color w:val="auto"/>
          <w:kern w:val="0"/>
          <w:szCs w:val="21"/>
          <w:lang w:val="zh-CN"/>
        </w:rPr>
        <w:t>款</w:t>
      </w:r>
      <w:r>
        <w:rPr>
          <w:rFonts w:hint="eastAsia" w:ascii="宋体" w:hAnsi="宋体" w:cs="宋体"/>
          <w:color w:val="auto"/>
          <w:szCs w:val="21"/>
        </w:rPr>
        <w:t xml:space="preserve">规定外，还应遵守以下规定： </w:t>
      </w:r>
    </w:p>
    <w:p w14:paraId="34E5DD30">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（l）联合体中有同类资质的供应商按照联合体分工承担相同工作的，应当按照资质等级较低的供应商确定资质等级。</w:t>
      </w:r>
    </w:p>
    <w:p w14:paraId="2AD7BBB6">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（2）联合体各方应按磋商文件提供的格式签订联合体协议书，明确联合体牵头人和各方的权利义务、合同工作量比例；</w:t>
      </w:r>
    </w:p>
    <w:p w14:paraId="0F383D94">
      <w:pPr>
        <w:adjustRightInd w:val="0"/>
        <w:snapToGrid w:val="0"/>
        <w:spacing w:line="360" w:lineRule="auto"/>
        <w:ind w:firstLine="420" w:firstLineChars="200"/>
        <w:jc w:val="left"/>
        <w:rPr>
          <w:rFonts w:ascii="宋体" w:hAnsi="宋体" w:cs="宋体"/>
          <w:color w:val="auto"/>
          <w:kern w:val="0"/>
          <w:szCs w:val="21"/>
          <w:lang w:val="zh-CN"/>
        </w:rPr>
      </w:pPr>
      <w:r>
        <w:rPr>
          <w:rFonts w:hint="eastAsia" w:ascii="宋体" w:hAnsi="宋体" w:cs="宋体"/>
          <w:color w:val="auto"/>
          <w:szCs w:val="21"/>
        </w:rPr>
        <w:t>（3）联合体各方签订联合体协议书后，</w:t>
      </w:r>
      <w:r>
        <w:rPr>
          <w:rFonts w:hint="eastAsia" w:ascii="宋体" w:hAnsi="宋体" w:cs="宋体"/>
          <w:color w:val="auto"/>
          <w:kern w:val="0"/>
          <w:szCs w:val="21"/>
          <w:lang w:val="zh-CN"/>
        </w:rPr>
        <w:t>不得再单独参加或者与其他供应商组成新的联合体参加同一合同项下的采购活动。</w:t>
      </w:r>
    </w:p>
    <w:p w14:paraId="77B8F4A0">
      <w:pPr>
        <w:pStyle w:val="6"/>
        <w:keepNext w:val="0"/>
        <w:keepLines w:val="0"/>
        <w:adjustRightInd w:val="0"/>
        <w:snapToGrid w:val="0"/>
        <w:spacing w:before="0" w:after="0" w:line="360" w:lineRule="auto"/>
        <w:rPr>
          <w:rFonts w:ascii="宋体" w:hAnsi="宋体" w:eastAsia="宋体" w:cs="宋体"/>
          <w:color w:val="auto"/>
          <w:sz w:val="24"/>
          <w:szCs w:val="24"/>
        </w:rPr>
      </w:pPr>
      <w:bookmarkStart w:id="73" w:name="_Toc69831383"/>
      <w:r>
        <w:rPr>
          <w:rFonts w:hint="eastAsia" w:ascii="宋体" w:hAnsi="宋体" w:eastAsia="宋体" w:cs="宋体"/>
          <w:color w:val="auto"/>
          <w:sz w:val="24"/>
          <w:szCs w:val="24"/>
        </w:rPr>
        <w:t>4.参与磋商的费用</w:t>
      </w:r>
      <w:bookmarkEnd w:id="73"/>
    </w:p>
    <w:p w14:paraId="1F0CE1F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4.1无论磋商的结果如何，供应商应自行承担所有与竞争性磋商采购活动有关的全部费用。</w:t>
      </w:r>
    </w:p>
    <w:p w14:paraId="648CA62D">
      <w:pPr>
        <w:pStyle w:val="6"/>
        <w:keepNext w:val="0"/>
        <w:keepLines w:val="0"/>
        <w:adjustRightInd w:val="0"/>
        <w:snapToGrid w:val="0"/>
        <w:spacing w:before="0" w:after="0" w:line="360" w:lineRule="auto"/>
        <w:rPr>
          <w:rFonts w:ascii="宋体" w:hAnsi="宋体" w:eastAsia="宋体" w:cs="宋体"/>
          <w:color w:val="auto"/>
          <w:sz w:val="24"/>
          <w:szCs w:val="24"/>
        </w:rPr>
      </w:pPr>
      <w:bookmarkStart w:id="74" w:name="_Toc69831384"/>
      <w:r>
        <w:rPr>
          <w:rFonts w:hint="eastAsia" w:ascii="宋体" w:hAnsi="宋体" w:eastAsia="宋体" w:cs="宋体"/>
          <w:color w:val="auto"/>
          <w:sz w:val="24"/>
          <w:szCs w:val="24"/>
        </w:rPr>
        <w:t>5.现场勘察</w:t>
      </w:r>
      <w:bookmarkEnd w:id="74"/>
    </w:p>
    <w:p w14:paraId="372570D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5.1供应商应按</w:t>
      </w:r>
      <w:r>
        <w:rPr>
          <w:rFonts w:hint="eastAsia" w:ascii="宋体" w:hAnsi="宋体" w:cs="宋体"/>
          <w:b/>
          <w:color w:val="auto"/>
          <w:szCs w:val="21"/>
        </w:rPr>
        <w:t>【磋商须知前附表】</w:t>
      </w:r>
      <w:r>
        <w:rPr>
          <w:rFonts w:hint="eastAsia" w:ascii="宋体" w:hAnsi="宋体" w:cs="宋体"/>
          <w:color w:val="auto"/>
        </w:rPr>
        <w:t>中规定</w:t>
      </w:r>
      <w:r>
        <w:rPr>
          <w:rFonts w:hint="eastAsia" w:ascii="宋体" w:hAnsi="宋体" w:cs="宋体"/>
          <w:color w:val="auto"/>
          <w:szCs w:val="21"/>
        </w:rPr>
        <w:t>对采购项目现场和周围环境的现场考察。</w:t>
      </w:r>
    </w:p>
    <w:p w14:paraId="3ADFBB67">
      <w:pPr>
        <w:adjustRightInd w:val="0"/>
        <w:snapToGrid w:val="0"/>
        <w:spacing w:line="360" w:lineRule="auto"/>
        <w:ind w:firstLine="404" w:firstLineChars="200"/>
        <w:rPr>
          <w:rFonts w:ascii="宋体" w:hAnsi="宋体" w:cs="宋体"/>
          <w:color w:val="auto"/>
          <w:spacing w:val="-4"/>
          <w:szCs w:val="21"/>
        </w:rPr>
      </w:pPr>
      <w:r>
        <w:rPr>
          <w:rFonts w:hint="eastAsia" w:ascii="宋体" w:hAnsi="宋体" w:cs="宋体"/>
          <w:color w:val="auto"/>
          <w:spacing w:val="-4"/>
          <w:szCs w:val="21"/>
        </w:rPr>
        <w:t>5.2勘察现场的费用由供应商自己承担，勘察期间所发生的人身伤害及财产损失由供应商自己负责。</w:t>
      </w:r>
    </w:p>
    <w:p w14:paraId="65EC7376">
      <w:pPr>
        <w:adjustRightInd w:val="0"/>
        <w:snapToGrid w:val="0"/>
        <w:spacing w:line="360" w:lineRule="auto"/>
        <w:ind w:firstLine="420" w:firstLineChars="200"/>
        <w:jc w:val="left"/>
        <w:rPr>
          <w:rFonts w:ascii="宋体" w:hAnsi="宋体" w:cs="宋体"/>
          <w:b/>
          <w:color w:val="auto"/>
          <w:szCs w:val="21"/>
        </w:rPr>
      </w:pPr>
      <w:r>
        <w:rPr>
          <w:rFonts w:hint="eastAsia" w:ascii="宋体" w:hAnsi="宋体" w:cs="宋体"/>
          <w:color w:val="auto"/>
          <w:szCs w:val="21"/>
        </w:rPr>
        <w:t>5.3采购人不对供应商据此而做出的推论、理解和结论负责。一旦成交，供应商不得以任何借口，而提出额外补偿，或者延长合同期限的要求。</w:t>
      </w:r>
    </w:p>
    <w:p w14:paraId="23F513B9">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75" w:name="_Toc69831385"/>
      <w:bookmarkStart w:id="76" w:name="_Toc28378"/>
      <w:r>
        <w:rPr>
          <w:rFonts w:hint="eastAsia" w:ascii="黑体" w:hAnsi="黑体" w:eastAsia="黑体" w:cs="Times New Roman"/>
          <w:b w:val="0"/>
          <w:bCs w:val="0"/>
          <w:color w:val="auto"/>
          <w:sz w:val="28"/>
          <w:szCs w:val="28"/>
        </w:rPr>
        <w:t>二、磋商文件</w:t>
      </w:r>
      <w:bookmarkEnd w:id="75"/>
      <w:bookmarkEnd w:id="76"/>
    </w:p>
    <w:p w14:paraId="0850D776">
      <w:pPr>
        <w:pStyle w:val="6"/>
        <w:keepNext w:val="0"/>
        <w:keepLines w:val="0"/>
        <w:adjustRightInd w:val="0"/>
        <w:snapToGrid w:val="0"/>
        <w:spacing w:before="0" w:after="0" w:line="360" w:lineRule="auto"/>
        <w:rPr>
          <w:rFonts w:ascii="宋体" w:hAnsi="宋体" w:eastAsia="宋体" w:cs="宋体"/>
          <w:color w:val="auto"/>
          <w:sz w:val="24"/>
          <w:szCs w:val="24"/>
        </w:rPr>
      </w:pPr>
      <w:bookmarkStart w:id="77" w:name="_Toc69831386"/>
      <w:r>
        <w:rPr>
          <w:rFonts w:hint="eastAsia" w:ascii="宋体" w:hAnsi="宋体" w:eastAsia="宋体" w:cs="宋体"/>
          <w:color w:val="auto"/>
          <w:sz w:val="24"/>
          <w:szCs w:val="24"/>
        </w:rPr>
        <w:t>6.磋商文件的组成</w:t>
      </w:r>
      <w:bookmarkEnd w:id="77"/>
    </w:p>
    <w:p w14:paraId="25CFA404">
      <w:pPr>
        <w:pStyle w:val="12"/>
        <w:adjustRightInd w:val="0"/>
        <w:snapToGrid w:val="0"/>
        <w:spacing w:line="360" w:lineRule="auto"/>
        <w:ind w:firstLine="420" w:firstLineChars="200"/>
        <w:rPr>
          <w:rFonts w:hAnsi="宋体" w:cs="宋体"/>
          <w:color w:val="auto"/>
        </w:rPr>
      </w:pPr>
      <w:r>
        <w:rPr>
          <w:rFonts w:hint="eastAsia" w:hAnsi="宋体" w:cs="宋体"/>
          <w:color w:val="auto"/>
        </w:rPr>
        <w:t>6.1磋商文件由下列文件组成：</w:t>
      </w:r>
    </w:p>
    <w:p w14:paraId="1A529187">
      <w:pPr>
        <w:pStyle w:val="12"/>
        <w:adjustRightInd w:val="0"/>
        <w:snapToGrid w:val="0"/>
        <w:spacing w:line="360" w:lineRule="auto"/>
        <w:ind w:firstLine="420" w:firstLineChars="200"/>
        <w:rPr>
          <w:rFonts w:hAnsi="宋体" w:cs="宋体"/>
          <w:color w:val="auto"/>
        </w:rPr>
      </w:pPr>
      <w:r>
        <w:rPr>
          <w:rFonts w:hint="eastAsia" w:hAnsi="宋体" w:cs="宋体"/>
          <w:color w:val="auto"/>
        </w:rPr>
        <w:t>第一章</w:t>
      </w:r>
      <w:r>
        <w:rPr>
          <w:rFonts w:hint="eastAsia" w:hAnsi="宋体" w:cs="宋体"/>
          <w:color w:val="auto"/>
          <w:lang w:val="en-US" w:eastAsia="zh-CN"/>
        </w:rPr>
        <w:t xml:space="preserve"> </w:t>
      </w:r>
      <w:r>
        <w:rPr>
          <w:rFonts w:hint="eastAsia" w:hAnsi="宋体" w:cs="宋体"/>
          <w:color w:val="auto"/>
        </w:rPr>
        <w:t>采购邀请</w:t>
      </w:r>
    </w:p>
    <w:p w14:paraId="5FE81A36">
      <w:pPr>
        <w:pStyle w:val="12"/>
        <w:adjustRightInd w:val="0"/>
        <w:snapToGrid w:val="0"/>
        <w:spacing w:line="360" w:lineRule="auto"/>
        <w:ind w:firstLine="420" w:firstLineChars="200"/>
        <w:rPr>
          <w:rFonts w:hAnsi="宋体" w:cs="宋体"/>
          <w:color w:val="auto"/>
        </w:rPr>
      </w:pPr>
      <w:r>
        <w:rPr>
          <w:rFonts w:hint="eastAsia" w:hAnsi="宋体" w:cs="宋体"/>
          <w:color w:val="auto"/>
        </w:rPr>
        <w:t>第二章 磋商须知</w:t>
      </w:r>
    </w:p>
    <w:p w14:paraId="755B2CD6">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第三章 资格审查及评审方法及标准</w:t>
      </w:r>
    </w:p>
    <w:p w14:paraId="7372067D">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第四章</w:t>
      </w:r>
      <w:r>
        <w:rPr>
          <w:rFonts w:hint="eastAsia" w:ascii="宋体" w:hAnsi="宋体" w:cs="宋体"/>
          <w:color w:val="auto"/>
          <w:szCs w:val="21"/>
          <w:lang w:val="en-US" w:eastAsia="zh-CN"/>
        </w:rPr>
        <w:t xml:space="preserve"> </w:t>
      </w:r>
      <w:r>
        <w:rPr>
          <w:rFonts w:hint="eastAsia" w:ascii="宋体" w:hAnsi="宋体" w:cs="宋体"/>
          <w:color w:val="auto"/>
        </w:rPr>
        <w:t>采购需求</w:t>
      </w:r>
    </w:p>
    <w:p w14:paraId="2D48D403">
      <w:pPr>
        <w:pStyle w:val="12"/>
        <w:adjustRightInd w:val="0"/>
        <w:snapToGrid w:val="0"/>
        <w:spacing w:line="360" w:lineRule="auto"/>
        <w:ind w:firstLine="420" w:firstLineChars="200"/>
        <w:rPr>
          <w:rFonts w:hint="default" w:hAnsi="宋体" w:eastAsia="宋体" w:cs="宋体"/>
          <w:color w:val="auto"/>
          <w:lang w:val="en-US" w:eastAsia="zh-CN"/>
        </w:rPr>
      </w:pPr>
      <w:r>
        <w:rPr>
          <w:rFonts w:hint="eastAsia" w:hAnsi="宋体" w:cs="宋体"/>
          <w:color w:val="auto"/>
        </w:rPr>
        <w:t>第五章</w:t>
      </w:r>
      <w:r>
        <w:rPr>
          <w:rFonts w:hint="eastAsia" w:hAnsi="宋体" w:cs="宋体"/>
          <w:color w:val="auto"/>
          <w:lang w:val="en-US" w:eastAsia="zh-CN"/>
        </w:rPr>
        <w:t xml:space="preserve"> 政府采购合同格式</w:t>
      </w:r>
    </w:p>
    <w:p w14:paraId="1B96CE57">
      <w:pPr>
        <w:pStyle w:val="12"/>
        <w:adjustRightInd w:val="0"/>
        <w:snapToGrid w:val="0"/>
        <w:spacing w:line="360" w:lineRule="auto"/>
        <w:ind w:firstLine="420" w:firstLineChars="200"/>
        <w:rPr>
          <w:rFonts w:hAnsi="宋体" w:cs="宋体"/>
          <w:color w:val="auto"/>
        </w:rPr>
      </w:pPr>
      <w:r>
        <w:rPr>
          <w:rFonts w:hint="eastAsia" w:hAnsi="宋体" w:cs="宋体"/>
          <w:color w:val="auto"/>
        </w:rPr>
        <w:t>第六章</w:t>
      </w:r>
      <w:r>
        <w:rPr>
          <w:rFonts w:hint="eastAsia" w:hAnsi="宋体" w:cs="宋体"/>
          <w:color w:val="auto"/>
          <w:lang w:val="en-US" w:eastAsia="zh-CN"/>
        </w:rPr>
        <w:t xml:space="preserve"> </w:t>
      </w:r>
      <w:r>
        <w:rPr>
          <w:rFonts w:hint="eastAsia" w:hAnsi="宋体" w:cs="宋体"/>
          <w:color w:val="auto"/>
        </w:rPr>
        <w:t>响应文件组成</w:t>
      </w:r>
    </w:p>
    <w:p w14:paraId="507E0AB2">
      <w:pPr>
        <w:pStyle w:val="12"/>
        <w:adjustRightInd w:val="0"/>
        <w:snapToGrid w:val="0"/>
        <w:spacing w:line="360" w:lineRule="auto"/>
        <w:ind w:firstLine="420" w:firstLineChars="200"/>
        <w:rPr>
          <w:rFonts w:hAnsi="宋体" w:cs="宋体"/>
          <w:color w:val="auto"/>
          <w:kern w:val="0"/>
        </w:rPr>
      </w:pPr>
      <w:r>
        <w:rPr>
          <w:rFonts w:hint="eastAsia" w:hAnsi="宋体" w:cs="宋体"/>
          <w:color w:val="auto"/>
        </w:rPr>
        <w:t>6.2</w:t>
      </w:r>
      <w:r>
        <w:rPr>
          <w:rFonts w:hint="eastAsia" w:hAnsi="宋体" w:cs="宋体"/>
          <w:color w:val="auto"/>
          <w:kern w:val="0"/>
        </w:rPr>
        <w:t>采购人、采购代理机构或者磋商小组在提交首次响应文件截止之日前对已发出的磋商文件进行的澄清或者修改，构成磋商文件的组成部分。</w:t>
      </w:r>
    </w:p>
    <w:p w14:paraId="3FF91364">
      <w:pPr>
        <w:pStyle w:val="12"/>
        <w:adjustRightInd w:val="0"/>
        <w:snapToGrid w:val="0"/>
        <w:spacing w:line="360" w:lineRule="auto"/>
        <w:ind w:firstLine="420" w:firstLineChars="200"/>
        <w:rPr>
          <w:rFonts w:hAnsi="宋体" w:cs="宋体"/>
          <w:color w:val="auto"/>
        </w:rPr>
      </w:pPr>
      <w:r>
        <w:rPr>
          <w:rFonts w:hint="eastAsia" w:hAnsi="宋体" w:cs="宋体"/>
          <w:color w:val="auto"/>
          <w:kern w:val="0"/>
        </w:rPr>
        <w:t>6.3磋商过程中可能实质性变动的内容见</w:t>
      </w:r>
      <w:r>
        <w:rPr>
          <w:rFonts w:hint="eastAsia" w:hAnsi="宋体" w:cs="宋体"/>
          <w:b/>
          <w:color w:val="auto"/>
        </w:rPr>
        <w:t>【磋商须知前附表】</w:t>
      </w:r>
      <w:r>
        <w:rPr>
          <w:rFonts w:hint="eastAsia" w:hAnsi="宋体" w:cs="宋体"/>
          <w:color w:val="auto"/>
          <w:kern w:val="0"/>
        </w:rPr>
        <w:t>。对磋商文件作出的实质性变动是磋商文件的有效组成部分。</w:t>
      </w:r>
    </w:p>
    <w:p w14:paraId="6ABE70DC">
      <w:pPr>
        <w:pStyle w:val="12"/>
        <w:adjustRightInd w:val="0"/>
        <w:snapToGrid w:val="0"/>
        <w:spacing w:line="360" w:lineRule="auto"/>
        <w:ind w:firstLine="420" w:firstLineChars="200"/>
        <w:rPr>
          <w:rFonts w:hAnsi="宋体" w:cs="宋体"/>
          <w:color w:val="auto"/>
        </w:rPr>
      </w:pPr>
      <w:r>
        <w:rPr>
          <w:rFonts w:hint="eastAsia" w:hAnsi="宋体" w:cs="宋体"/>
          <w:color w:val="auto"/>
        </w:rPr>
        <w:t>6.4供应商应仔细阅读</w:t>
      </w:r>
      <w:r>
        <w:rPr>
          <w:rFonts w:hint="eastAsia" w:hAnsi="宋体" w:cs="宋体"/>
          <w:bCs/>
          <w:color w:val="auto"/>
        </w:rPr>
        <w:t>磋商</w:t>
      </w:r>
      <w:r>
        <w:rPr>
          <w:rFonts w:hint="eastAsia" w:hAnsi="宋体" w:cs="宋体"/>
          <w:color w:val="auto"/>
        </w:rPr>
        <w:t>文件的全部内容，按照</w:t>
      </w:r>
      <w:r>
        <w:rPr>
          <w:rFonts w:hint="eastAsia" w:hAnsi="宋体" w:cs="宋体"/>
          <w:bCs/>
          <w:color w:val="auto"/>
        </w:rPr>
        <w:t>磋商</w:t>
      </w:r>
      <w:r>
        <w:rPr>
          <w:rFonts w:hint="eastAsia" w:hAnsi="宋体" w:cs="宋体"/>
          <w:color w:val="auto"/>
        </w:rPr>
        <w:t>文件要求编制响应文件。任何对</w:t>
      </w:r>
      <w:r>
        <w:rPr>
          <w:rFonts w:hint="eastAsia" w:hAnsi="宋体" w:cs="宋体"/>
          <w:bCs/>
          <w:color w:val="auto"/>
        </w:rPr>
        <w:t>磋商</w:t>
      </w:r>
      <w:r>
        <w:rPr>
          <w:rFonts w:hint="eastAsia" w:hAnsi="宋体" w:cs="宋体"/>
          <w:color w:val="auto"/>
        </w:rPr>
        <w:t>文件的忽略或者误解不能作为响应文件存在缺陷或者瑕疵的理由，其风险由供应商承担。</w:t>
      </w:r>
    </w:p>
    <w:p w14:paraId="2E22AB66">
      <w:pPr>
        <w:pStyle w:val="6"/>
        <w:keepNext w:val="0"/>
        <w:keepLines w:val="0"/>
        <w:adjustRightInd w:val="0"/>
        <w:snapToGrid w:val="0"/>
        <w:spacing w:before="0" w:after="0" w:line="360" w:lineRule="auto"/>
        <w:rPr>
          <w:rFonts w:ascii="宋体" w:hAnsi="宋体" w:eastAsia="宋体" w:cs="宋体"/>
          <w:color w:val="auto"/>
          <w:sz w:val="24"/>
          <w:szCs w:val="24"/>
        </w:rPr>
      </w:pPr>
      <w:bookmarkStart w:id="78" w:name="_Toc69831387"/>
      <w:r>
        <w:rPr>
          <w:rFonts w:hint="eastAsia" w:ascii="宋体" w:hAnsi="宋体" w:eastAsia="宋体" w:cs="宋体"/>
          <w:color w:val="auto"/>
          <w:sz w:val="24"/>
          <w:szCs w:val="24"/>
        </w:rPr>
        <w:t>7.磋商文件的澄清</w:t>
      </w:r>
      <w:r>
        <w:rPr>
          <w:rFonts w:hint="eastAsia" w:ascii="宋体" w:hAnsi="宋体" w:eastAsia="宋体" w:cs="宋体"/>
          <w:color w:val="auto"/>
          <w:kern w:val="0"/>
          <w:sz w:val="24"/>
          <w:szCs w:val="24"/>
          <w:lang w:val="zh-CN"/>
        </w:rPr>
        <w:t>或者</w:t>
      </w:r>
      <w:r>
        <w:rPr>
          <w:rFonts w:hint="eastAsia" w:ascii="宋体" w:hAnsi="宋体" w:eastAsia="宋体" w:cs="宋体"/>
          <w:color w:val="auto"/>
          <w:sz w:val="24"/>
          <w:szCs w:val="24"/>
        </w:rPr>
        <w:t>修改</w:t>
      </w:r>
      <w:bookmarkEnd w:id="78"/>
    </w:p>
    <w:p w14:paraId="09AE6689">
      <w:pPr>
        <w:adjustRightInd w:val="0"/>
        <w:snapToGrid w:val="0"/>
        <w:spacing w:line="360" w:lineRule="auto"/>
        <w:ind w:right="-105" w:rightChars="-50" w:firstLine="420" w:firstLineChars="200"/>
        <w:rPr>
          <w:rFonts w:ascii="宋体" w:hAnsi="宋体" w:cs="宋体"/>
          <w:color w:val="auto"/>
          <w:kern w:val="0"/>
          <w:szCs w:val="21"/>
        </w:rPr>
      </w:pPr>
      <w:r>
        <w:rPr>
          <w:rFonts w:hint="eastAsia" w:ascii="宋体" w:hAnsi="宋体" w:cs="宋体"/>
          <w:color w:val="auto"/>
          <w:szCs w:val="21"/>
        </w:rPr>
        <w:t>7.1在</w:t>
      </w:r>
      <w:r>
        <w:rPr>
          <w:rFonts w:hint="eastAsia" w:ascii="宋体" w:hAnsi="宋体" w:cs="宋体"/>
          <w:color w:val="auto"/>
          <w:kern w:val="0"/>
          <w:szCs w:val="21"/>
        </w:rPr>
        <w:t>提交首次响应文件截止之日前，采购人、采购代理机构可以对已发出的磋商文件进行必要的澄清或者修改。</w:t>
      </w:r>
    </w:p>
    <w:p w14:paraId="57FA6E4E">
      <w:pPr>
        <w:adjustRightInd w:val="0"/>
        <w:snapToGrid w:val="0"/>
        <w:spacing w:line="360" w:lineRule="auto"/>
        <w:ind w:right="-105" w:rightChars="-50" w:firstLine="420" w:firstLineChars="200"/>
        <w:rPr>
          <w:rFonts w:ascii="宋体" w:hAnsi="宋体" w:cs="宋体"/>
          <w:color w:val="auto"/>
          <w:kern w:val="0"/>
          <w:szCs w:val="21"/>
        </w:rPr>
      </w:pPr>
      <w:r>
        <w:rPr>
          <w:rFonts w:hint="eastAsia" w:ascii="宋体" w:hAnsi="宋体" w:cs="宋体"/>
          <w:color w:val="auto"/>
          <w:szCs w:val="21"/>
        </w:rPr>
        <w:t>7.2</w:t>
      </w:r>
      <w:r>
        <w:rPr>
          <w:rFonts w:hint="eastAsia" w:ascii="宋体" w:hAnsi="宋体" w:cs="宋体"/>
          <w:color w:val="auto"/>
          <w:kern w:val="0"/>
          <w:szCs w:val="21"/>
        </w:rPr>
        <w:t>澄清或者修改的内容可能影响响应文件编制的，采购人、采购代理机构应当在提交首次响应文件截止之日5日前，以书面形式通知所有获取磋商文件的供应商，不足5日的，顺延供应商提交首次响应文件截止时间。</w:t>
      </w:r>
    </w:p>
    <w:p w14:paraId="0780AE65">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79" w:name="_Toc69831388"/>
      <w:bookmarkStart w:id="80" w:name="_Toc19137"/>
      <w:r>
        <w:rPr>
          <w:rFonts w:hint="eastAsia" w:ascii="黑体" w:hAnsi="黑体" w:eastAsia="黑体" w:cs="Times New Roman"/>
          <w:b w:val="0"/>
          <w:bCs w:val="0"/>
          <w:color w:val="auto"/>
          <w:sz w:val="28"/>
          <w:szCs w:val="28"/>
        </w:rPr>
        <w:t>三、响应文件</w:t>
      </w:r>
      <w:bookmarkEnd w:id="79"/>
      <w:bookmarkEnd w:id="80"/>
    </w:p>
    <w:p w14:paraId="12925962">
      <w:pPr>
        <w:pStyle w:val="6"/>
        <w:keepNext w:val="0"/>
        <w:keepLines w:val="0"/>
        <w:adjustRightInd w:val="0"/>
        <w:snapToGrid w:val="0"/>
        <w:spacing w:before="0" w:after="0" w:line="360" w:lineRule="auto"/>
        <w:rPr>
          <w:rFonts w:ascii="宋体" w:hAnsi="宋体" w:eastAsia="宋体" w:cs="宋体"/>
          <w:color w:val="auto"/>
          <w:sz w:val="24"/>
          <w:szCs w:val="24"/>
        </w:rPr>
      </w:pPr>
      <w:bookmarkStart w:id="81" w:name="_Toc69831389"/>
      <w:r>
        <w:rPr>
          <w:rFonts w:hint="eastAsia" w:ascii="宋体" w:hAnsi="宋体" w:eastAsia="宋体" w:cs="宋体"/>
          <w:color w:val="auto"/>
          <w:sz w:val="24"/>
          <w:szCs w:val="24"/>
        </w:rPr>
        <w:t>8.一般要求</w:t>
      </w:r>
      <w:bookmarkEnd w:id="81"/>
    </w:p>
    <w:p w14:paraId="022C6F50">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8.1供应商应仔细阅读磋商文件的所有内容，按磋商文件的要求编制响应文件，并保证所提供的全部资料的真实性，以使其响应文件对磋商文件做出实质性的响应。</w:t>
      </w:r>
    </w:p>
    <w:p w14:paraId="53505399">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8.2</w:t>
      </w:r>
      <w:r>
        <w:rPr>
          <w:rFonts w:hint="eastAsia" w:ascii="宋体" w:hAnsi="宋体" w:cs="宋体"/>
          <w:color w:val="auto"/>
          <w:szCs w:val="21"/>
        </w:rPr>
        <w:t>供应商提交的响应文件及供应商与采购人或者采购代理机构、磋商小组就有关磋商的所有来往函电均使用中文。供应商可以提交其它语言的资料，但应附中文注释，在有差异时以中文为准。</w:t>
      </w:r>
    </w:p>
    <w:p w14:paraId="7785FE00">
      <w:pPr>
        <w:pStyle w:val="12"/>
        <w:adjustRightInd w:val="0"/>
        <w:snapToGrid w:val="0"/>
        <w:spacing w:line="360" w:lineRule="auto"/>
        <w:ind w:firstLine="420" w:firstLineChars="200"/>
        <w:rPr>
          <w:rFonts w:hAnsi="宋体" w:cs="宋体"/>
          <w:color w:val="auto"/>
        </w:rPr>
      </w:pPr>
      <w:r>
        <w:rPr>
          <w:rFonts w:hint="eastAsia" w:hAnsi="宋体" w:cs="宋体"/>
          <w:bCs/>
          <w:color w:val="auto"/>
        </w:rPr>
        <w:t>8.3</w:t>
      </w:r>
      <w:r>
        <w:rPr>
          <w:rFonts w:hint="eastAsia" w:hAnsi="宋体" w:cs="宋体"/>
          <w:color w:val="auto"/>
        </w:rPr>
        <w:t>计量单位应使用我国法定计量单位，未列明时应默认为我国法定计量单位。</w:t>
      </w:r>
    </w:p>
    <w:p w14:paraId="5FCE97C2">
      <w:pPr>
        <w:pStyle w:val="12"/>
        <w:adjustRightInd w:val="0"/>
        <w:snapToGrid w:val="0"/>
        <w:spacing w:line="360" w:lineRule="auto"/>
        <w:ind w:firstLine="420" w:firstLineChars="200"/>
        <w:rPr>
          <w:rFonts w:hAnsi="宋体" w:cs="宋体"/>
          <w:color w:val="auto"/>
        </w:rPr>
      </w:pPr>
      <w:r>
        <w:rPr>
          <w:rFonts w:hint="eastAsia" w:hAnsi="宋体" w:cs="宋体"/>
          <w:color w:val="auto"/>
        </w:rPr>
        <w:t>8.4响应文件应采用书面形式，电报、传真、电子邮件形式的响应文件概不接受。</w:t>
      </w:r>
    </w:p>
    <w:p w14:paraId="292DCA0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8.5供应商应按磋商文件中提供的响应文件格式填写。</w:t>
      </w:r>
    </w:p>
    <w:p w14:paraId="0A291310">
      <w:pPr>
        <w:pStyle w:val="6"/>
        <w:keepNext w:val="0"/>
        <w:keepLines w:val="0"/>
        <w:adjustRightInd w:val="0"/>
        <w:snapToGrid w:val="0"/>
        <w:spacing w:before="0" w:after="0" w:line="360" w:lineRule="auto"/>
        <w:rPr>
          <w:rFonts w:ascii="宋体" w:hAnsi="宋体" w:eastAsia="宋体" w:cs="宋体"/>
          <w:color w:val="auto"/>
          <w:sz w:val="24"/>
          <w:szCs w:val="24"/>
        </w:rPr>
      </w:pPr>
      <w:bookmarkStart w:id="82" w:name="_Toc69831390"/>
      <w:r>
        <w:rPr>
          <w:rFonts w:hint="eastAsia" w:ascii="宋体" w:hAnsi="宋体" w:eastAsia="宋体" w:cs="宋体"/>
          <w:color w:val="auto"/>
          <w:sz w:val="24"/>
          <w:szCs w:val="24"/>
        </w:rPr>
        <w:t>9.响应文件的组成</w:t>
      </w:r>
      <w:bookmarkEnd w:id="82"/>
    </w:p>
    <w:p w14:paraId="2D2C09AD">
      <w:pPr>
        <w:pStyle w:val="23"/>
        <w:ind w:firstLine="480"/>
        <w:rPr>
          <w:rFonts w:ascii="宋体" w:hAnsi="宋体" w:cs="宋体"/>
          <w:color w:val="auto"/>
          <w:szCs w:val="21"/>
        </w:rPr>
      </w:pPr>
      <w:r>
        <w:rPr>
          <w:rFonts w:hint="eastAsia" w:ascii="宋体" w:hAnsi="宋体" w:cs="宋体"/>
          <w:color w:val="auto"/>
        </w:rPr>
        <w:t>9.1响应文件包括下列内容：</w:t>
      </w:r>
    </w:p>
    <w:p w14:paraId="224F2DCD">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（1）磋商响应声明(格式)</w:t>
      </w:r>
    </w:p>
    <w:p w14:paraId="2C3001D6">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（2）法定代表人（单位负责人）身份证明(格式)</w:t>
      </w:r>
    </w:p>
    <w:p w14:paraId="02A20052">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（3）授权委托书(格式)</w:t>
      </w:r>
    </w:p>
    <w:p w14:paraId="1CDD3E98">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（4）保证金</w:t>
      </w:r>
    </w:p>
    <w:p w14:paraId="3F48865C">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（5）报价表及报价文件(格式)</w:t>
      </w:r>
    </w:p>
    <w:p w14:paraId="09A6CBF7">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（6）采购需求的响应</w:t>
      </w:r>
    </w:p>
    <w:p w14:paraId="5EDE6EE2">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（7）合同条款偏离表</w:t>
      </w:r>
    </w:p>
    <w:p w14:paraId="5D573AE0">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（8）采购需求偏离表</w:t>
      </w:r>
    </w:p>
    <w:p w14:paraId="73130034">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（9）享受政府采购政策的证明资料</w:t>
      </w:r>
    </w:p>
    <w:p w14:paraId="0B33816D">
      <w:pPr>
        <w:tabs>
          <w:tab w:val="left" w:pos="753"/>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kern w:val="32"/>
          <w:szCs w:val="21"/>
        </w:rPr>
        <w:t>关于资格的声明(格式)</w:t>
      </w:r>
    </w:p>
    <w:p w14:paraId="75D11D5C">
      <w:pPr>
        <w:tabs>
          <w:tab w:val="left" w:pos="753"/>
        </w:tabs>
        <w:adjustRightInd w:val="0"/>
        <w:snapToGrid w:val="0"/>
        <w:spacing w:line="360" w:lineRule="auto"/>
        <w:ind w:firstLine="420" w:firstLineChars="200"/>
        <w:rPr>
          <w:rFonts w:ascii="宋体" w:hAnsi="宋体" w:cs="宋体"/>
          <w:color w:val="auto"/>
          <w:kern w:val="32"/>
          <w:szCs w:val="21"/>
        </w:rPr>
      </w:pPr>
      <w:r>
        <w:rPr>
          <w:rFonts w:hint="eastAsia" w:ascii="宋体" w:hAnsi="宋体" w:cs="宋体"/>
          <w:color w:val="auto"/>
          <w:szCs w:val="21"/>
        </w:rPr>
        <w:t>（11）响应标的符合磋商文件规定的证明文件</w:t>
      </w:r>
    </w:p>
    <w:p w14:paraId="392AFF24">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9.2在磋商过程中，</w:t>
      </w:r>
      <w:r>
        <w:rPr>
          <w:rFonts w:hint="eastAsia" w:ascii="宋体" w:hAnsi="宋体" w:cs="宋体"/>
          <w:color w:val="auto"/>
          <w:szCs w:val="21"/>
        </w:rPr>
        <w:t>供应商</w:t>
      </w:r>
      <w:r>
        <w:rPr>
          <w:rFonts w:hint="eastAsia" w:ascii="宋体" w:hAnsi="宋体" w:cs="宋体"/>
          <w:color w:val="auto"/>
        </w:rPr>
        <w:t>根据</w:t>
      </w:r>
      <w:r>
        <w:rPr>
          <w:rFonts w:hint="eastAsia" w:ascii="宋体" w:hAnsi="宋体" w:cs="宋体"/>
          <w:color w:val="auto"/>
          <w:kern w:val="0"/>
          <w:szCs w:val="21"/>
        </w:rPr>
        <w:t>磋商小组</w:t>
      </w:r>
      <w:r>
        <w:rPr>
          <w:rFonts w:hint="eastAsia" w:ascii="宋体" w:hAnsi="宋体" w:cs="宋体"/>
          <w:bCs/>
          <w:color w:val="auto"/>
          <w:szCs w:val="21"/>
        </w:rPr>
        <w:t>书面形式要求</w:t>
      </w:r>
      <w:r>
        <w:rPr>
          <w:rFonts w:hint="eastAsia" w:ascii="宋体" w:hAnsi="宋体" w:cs="宋体"/>
          <w:color w:val="auto"/>
          <w:kern w:val="0"/>
          <w:szCs w:val="21"/>
        </w:rPr>
        <w:t>提交的</w:t>
      </w:r>
      <w:r>
        <w:rPr>
          <w:rFonts w:hint="eastAsia" w:ascii="宋体" w:hAnsi="宋体" w:cs="宋体"/>
          <w:color w:val="auto"/>
        </w:rPr>
        <w:t>最后报价(或者</w:t>
      </w:r>
      <w:r>
        <w:rPr>
          <w:rFonts w:hint="eastAsia" w:ascii="宋体" w:hAnsi="宋体" w:cs="宋体"/>
          <w:bCs/>
          <w:color w:val="auto"/>
          <w:szCs w:val="21"/>
        </w:rPr>
        <w:t>重</w:t>
      </w:r>
      <w:r>
        <w:rPr>
          <w:rFonts w:hint="eastAsia" w:ascii="宋体" w:hAnsi="宋体" w:cs="宋体"/>
          <w:color w:val="auto"/>
          <w:kern w:val="0"/>
          <w:szCs w:val="21"/>
        </w:rPr>
        <w:t>新提交的响应文件和</w:t>
      </w:r>
      <w:r>
        <w:rPr>
          <w:rFonts w:hint="eastAsia" w:ascii="宋体" w:hAnsi="宋体" w:cs="宋体"/>
          <w:color w:val="auto"/>
        </w:rPr>
        <w:t>最后报价)是</w:t>
      </w:r>
      <w:r>
        <w:rPr>
          <w:rFonts w:hint="eastAsia" w:ascii="宋体" w:hAnsi="宋体" w:cs="宋体"/>
          <w:color w:val="auto"/>
          <w:szCs w:val="21"/>
        </w:rPr>
        <w:t>响应文件</w:t>
      </w:r>
      <w:r>
        <w:rPr>
          <w:rFonts w:hint="eastAsia" w:ascii="宋体" w:hAnsi="宋体" w:cs="宋体"/>
          <w:color w:val="auto"/>
        </w:rPr>
        <w:t>的有效组成部分。</w:t>
      </w:r>
    </w:p>
    <w:p w14:paraId="372F182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rPr>
        <w:t>9.3</w:t>
      </w:r>
      <w:r>
        <w:rPr>
          <w:rFonts w:hint="eastAsia" w:ascii="宋体" w:hAnsi="宋体" w:cs="宋体"/>
          <w:color w:val="auto"/>
          <w:szCs w:val="21"/>
        </w:rPr>
        <w:t>根据《政府采购法》第四十二条的规定，供应商无论成交与否，其响应文件不予退还。</w:t>
      </w:r>
    </w:p>
    <w:p w14:paraId="5DD1632C">
      <w:pPr>
        <w:pStyle w:val="6"/>
        <w:spacing w:before="0" w:after="0" w:line="360" w:lineRule="auto"/>
        <w:rPr>
          <w:rFonts w:ascii="宋体" w:hAnsi="宋体" w:eastAsia="宋体" w:cs="宋体"/>
          <w:color w:val="auto"/>
          <w:sz w:val="24"/>
          <w:szCs w:val="24"/>
        </w:rPr>
      </w:pPr>
      <w:bookmarkStart w:id="83" w:name="_Toc69831391"/>
      <w:r>
        <w:rPr>
          <w:rFonts w:hint="eastAsia" w:ascii="宋体" w:hAnsi="宋体" w:eastAsia="宋体" w:cs="宋体"/>
          <w:color w:val="auto"/>
          <w:sz w:val="24"/>
          <w:szCs w:val="24"/>
        </w:rPr>
        <w:t>10.供应商的资格证明文件</w:t>
      </w:r>
      <w:bookmarkEnd w:id="83"/>
    </w:p>
    <w:p w14:paraId="107FEF96">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10.1</w:t>
      </w:r>
      <w:r>
        <w:rPr>
          <w:rFonts w:hint="eastAsia" w:ascii="宋体" w:hAnsi="宋体" w:cs="宋体"/>
          <w:color w:val="auto"/>
          <w:szCs w:val="21"/>
        </w:rPr>
        <w:t>除</w:t>
      </w:r>
      <w:r>
        <w:rPr>
          <w:rFonts w:hint="eastAsia" w:ascii="宋体" w:hAnsi="宋体" w:cs="宋体"/>
          <w:b/>
          <w:color w:val="auto"/>
          <w:szCs w:val="21"/>
        </w:rPr>
        <w:t>【磋商须知前附表】</w:t>
      </w:r>
      <w:r>
        <w:rPr>
          <w:rFonts w:hint="eastAsia" w:ascii="宋体" w:hAnsi="宋体" w:cs="宋体"/>
          <w:color w:val="auto"/>
          <w:szCs w:val="21"/>
        </w:rPr>
        <w:t>另有规</w:t>
      </w:r>
      <w:r>
        <w:rPr>
          <w:rFonts w:hint="eastAsia" w:ascii="宋体" w:hAnsi="宋体" w:cs="宋体"/>
          <w:color w:val="auto"/>
        </w:rPr>
        <w:t>定外，供应商应按下列规定提供资格证明文件。</w:t>
      </w:r>
    </w:p>
    <w:p w14:paraId="1687062F">
      <w:pPr>
        <w:adjustRightInd w:val="0"/>
        <w:snapToGrid w:val="0"/>
        <w:spacing w:line="360" w:lineRule="auto"/>
        <w:ind w:firstLine="420" w:firstLineChars="200"/>
        <w:rPr>
          <w:rFonts w:ascii="宋体" w:hAnsi="宋体" w:cs="宋体"/>
          <w:b/>
          <w:color w:val="auto"/>
        </w:rPr>
      </w:pPr>
      <w:r>
        <w:rPr>
          <w:rFonts w:hint="eastAsia" w:ascii="宋体" w:hAnsi="宋体" w:cs="宋体"/>
          <w:color w:val="auto"/>
        </w:rPr>
        <w:t>（1）</w:t>
      </w:r>
      <w:r>
        <w:rPr>
          <w:rFonts w:hint="eastAsia" w:ascii="宋体" w:hAnsi="宋体" w:cs="宋体"/>
          <w:b/>
          <w:color w:val="auto"/>
        </w:rPr>
        <w:t>供应商资格声明(格式)</w:t>
      </w:r>
    </w:p>
    <w:p w14:paraId="00D8D58E">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b/>
          <w:color w:val="auto"/>
        </w:rPr>
        <w:t>法人或者其他组织的营业执照等主体资格证明文件，自然人的身份证明</w:t>
      </w:r>
      <w:r>
        <w:rPr>
          <w:rFonts w:hint="eastAsia" w:ascii="宋体" w:hAnsi="宋体" w:cs="宋体"/>
          <w:color w:val="auto"/>
        </w:rPr>
        <w:t>：供应商为法人的，应提交营业执照的复印件；供应商为非法人组织的，应提交依法登记证书复印件；</w:t>
      </w:r>
      <w:r>
        <w:rPr>
          <w:rFonts w:hint="eastAsia" w:ascii="宋体" w:hAnsi="宋体" w:cs="宋体"/>
          <w:color w:val="auto"/>
          <w:szCs w:val="21"/>
        </w:rPr>
        <w:t>供应商为个体工商户的，应提交个体工商户营业执照复印件；</w:t>
      </w:r>
      <w:r>
        <w:rPr>
          <w:rFonts w:hint="eastAsia" w:ascii="宋体" w:hAnsi="宋体" w:cs="宋体"/>
          <w:color w:val="auto"/>
        </w:rPr>
        <w:t>供应商为自然人的，应提交自然人的身份证明复印件。</w:t>
      </w:r>
    </w:p>
    <w:p w14:paraId="6130620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rPr>
        <w:t>（3）</w:t>
      </w:r>
      <w:r>
        <w:rPr>
          <w:rFonts w:hint="eastAsia" w:ascii="宋体" w:hAnsi="宋体" w:cs="宋体"/>
          <w:b/>
          <w:color w:val="auto"/>
        </w:rPr>
        <w:t>符合特定资格条件证明材料复印件或者情况说明原件</w:t>
      </w:r>
      <w:r>
        <w:rPr>
          <w:rFonts w:hint="eastAsia" w:ascii="宋体" w:hAnsi="宋体" w:cs="宋体"/>
          <w:color w:val="auto"/>
        </w:rPr>
        <w:t>。</w:t>
      </w:r>
      <w:r>
        <w:rPr>
          <w:rFonts w:hint="eastAsia" w:ascii="宋体" w:hAnsi="宋体" w:cs="宋体"/>
          <w:color w:val="auto"/>
          <w:szCs w:val="21"/>
        </w:rPr>
        <w:t>详见</w:t>
      </w:r>
      <w:r>
        <w:rPr>
          <w:rFonts w:hint="eastAsia" w:ascii="宋体" w:hAnsi="宋体" w:cs="宋体"/>
          <w:b/>
          <w:color w:val="auto"/>
          <w:szCs w:val="21"/>
        </w:rPr>
        <w:t>【磋商须知前附表】</w:t>
      </w:r>
      <w:r>
        <w:rPr>
          <w:rFonts w:hint="eastAsia" w:ascii="宋体" w:hAnsi="宋体" w:cs="宋体"/>
          <w:color w:val="auto"/>
          <w:szCs w:val="21"/>
        </w:rPr>
        <w:t>。</w:t>
      </w:r>
    </w:p>
    <w:p w14:paraId="3B59DA7D">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10.2供应商为联合体形式的，除应提交联合协议(格式)外，参加联合体的各方均应提交上款资格证明材料。</w:t>
      </w:r>
    </w:p>
    <w:p w14:paraId="256BED62">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10.3本章第1.2款规定采购项目或者采购包属于“预留采购份额”的，供应商应提供与本章第37.1款规定对应的证明文件。详见</w:t>
      </w:r>
      <w:r>
        <w:rPr>
          <w:rFonts w:hint="eastAsia" w:ascii="宋体" w:hAnsi="宋体" w:cs="宋体"/>
          <w:b/>
          <w:color w:val="auto"/>
        </w:rPr>
        <w:t>【磋商须知前附表】。</w:t>
      </w:r>
    </w:p>
    <w:p w14:paraId="3278BE54">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10.4上述供应商的资格证明文件均应为有效文件并加盖供应商单位章，并按磋商文件规定签署。</w:t>
      </w:r>
    </w:p>
    <w:p w14:paraId="19431F6E">
      <w:pPr>
        <w:pStyle w:val="6"/>
        <w:keepNext w:val="0"/>
        <w:keepLines w:val="0"/>
        <w:adjustRightInd w:val="0"/>
        <w:snapToGrid w:val="0"/>
        <w:spacing w:before="0" w:after="0" w:line="360" w:lineRule="auto"/>
        <w:rPr>
          <w:rFonts w:ascii="宋体" w:hAnsi="宋体" w:eastAsia="宋体" w:cs="宋体"/>
          <w:color w:val="auto"/>
          <w:sz w:val="24"/>
          <w:szCs w:val="24"/>
        </w:rPr>
      </w:pPr>
      <w:bookmarkStart w:id="84" w:name="_Toc69831393"/>
      <w:r>
        <w:rPr>
          <w:rFonts w:hint="eastAsia" w:ascii="宋体" w:hAnsi="宋体" w:eastAsia="宋体" w:cs="宋体"/>
          <w:color w:val="auto"/>
          <w:sz w:val="24"/>
          <w:szCs w:val="24"/>
        </w:rPr>
        <w:t>11.报价要求</w:t>
      </w:r>
      <w:bookmarkEnd w:id="84"/>
    </w:p>
    <w:p w14:paraId="6894DFE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11.1供应商应当根据磋商文件第四章第一节“采购清单一览表”逐一报价；磋商文件第四章提供第三节“工程量清单”的，供应商应按其要求填写相应表格。</w:t>
      </w:r>
    </w:p>
    <w:p w14:paraId="340995B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11.2在报价表、分项报价表填写报价时应注意下列要求：</w:t>
      </w:r>
    </w:p>
    <w:p w14:paraId="4BE5F578">
      <w:pPr>
        <w:pStyle w:val="12"/>
        <w:adjustRightInd w:val="0"/>
        <w:snapToGrid w:val="0"/>
        <w:spacing w:line="360" w:lineRule="auto"/>
        <w:ind w:firstLine="420" w:firstLineChars="200"/>
        <w:rPr>
          <w:rFonts w:hAnsi="宋体" w:cs="宋体"/>
          <w:color w:val="auto"/>
        </w:rPr>
      </w:pPr>
      <w:r>
        <w:rPr>
          <w:rFonts w:hint="eastAsia" w:hAnsi="宋体" w:cs="宋体"/>
          <w:color w:val="auto"/>
        </w:rPr>
        <w:t>（1）采购需求要求的安装、调试、培训、售后服务及其它附加服务的费用。</w:t>
      </w:r>
    </w:p>
    <w:p w14:paraId="7CC20FCE">
      <w:pPr>
        <w:pStyle w:val="12"/>
        <w:adjustRightInd w:val="0"/>
        <w:snapToGrid w:val="0"/>
        <w:spacing w:line="360" w:lineRule="auto"/>
        <w:ind w:firstLine="420" w:firstLineChars="200"/>
        <w:rPr>
          <w:rFonts w:hAnsi="宋体" w:cs="宋体"/>
          <w:color w:val="auto"/>
        </w:rPr>
      </w:pPr>
      <w:r>
        <w:rPr>
          <w:rFonts w:hint="eastAsia" w:hAnsi="宋体" w:cs="宋体"/>
          <w:color w:val="auto"/>
        </w:rPr>
        <w:t>（2）所有根据合同或者其它原因应由供应商交纳和支付的税款和费用。</w:t>
      </w:r>
    </w:p>
    <w:p w14:paraId="107353EA">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（3）磋商文件指定交货地点的运输、保险、装卸费。</w:t>
      </w:r>
    </w:p>
    <w:p w14:paraId="79785FD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rPr>
        <w:t>（4）实行工程量清单报价的，供应商提交最后报价应与已标价工程量清单总报价一致。</w:t>
      </w:r>
    </w:p>
    <w:p w14:paraId="2C39E80D">
      <w:pPr>
        <w:pStyle w:val="24"/>
        <w:widowControl w:val="0"/>
        <w:adjustRightInd w:val="0"/>
        <w:snapToGrid w:val="0"/>
        <w:spacing w:line="360" w:lineRule="auto"/>
        <w:ind w:firstLine="420" w:firstLineChars="200"/>
        <w:rPr>
          <w:rFonts w:ascii="宋体" w:hAnsi="宋体" w:cs="宋体"/>
          <w:color w:val="auto"/>
        </w:rPr>
      </w:pPr>
      <w:r>
        <w:rPr>
          <w:rFonts w:hint="eastAsia" w:ascii="宋体" w:hAnsi="宋体" w:cs="宋体"/>
          <w:color w:val="auto"/>
        </w:rPr>
        <w:t>11.3</w:t>
      </w:r>
      <w:r>
        <w:rPr>
          <w:rFonts w:hint="eastAsia" w:ascii="宋体" w:hAnsi="宋体" w:cs="宋体"/>
          <w:color w:val="auto"/>
          <w:lang w:val="zh-CN"/>
        </w:rPr>
        <w:t>供应商</w:t>
      </w:r>
      <w:r>
        <w:rPr>
          <w:rFonts w:hint="eastAsia" w:ascii="宋体" w:hAnsi="宋体" w:cs="宋体"/>
          <w:color w:val="auto"/>
        </w:rPr>
        <w:t>的最后报价不得超过采购项目预算，采购项目预算见</w:t>
      </w:r>
      <w:r>
        <w:rPr>
          <w:rFonts w:hint="eastAsia" w:ascii="宋体" w:hAnsi="宋体" w:cs="宋体"/>
          <w:b/>
          <w:color w:val="auto"/>
        </w:rPr>
        <w:t>【磋商须知前附表】</w:t>
      </w:r>
      <w:r>
        <w:rPr>
          <w:rFonts w:hint="eastAsia" w:ascii="宋体" w:hAnsi="宋体" w:cs="宋体"/>
          <w:color w:val="auto"/>
        </w:rPr>
        <w:t>。</w:t>
      </w:r>
    </w:p>
    <w:p w14:paraId="50946030">
      <w:pPr>
        <w:pStyle w:val="12"/>
        <w:adjustRightInd w:val="0"/>
        <w:snapToGrid w:val="0"/>
        <w:spacing w:line="360" w:lineRule="auto"/>
        <w:ind w:firstLine="420" w:firstLineChars="200"/>
        <w:rPr>
          <w:rFonts w:hAnsi="宋体" w:cs="宋体"/>
          <w:color w:val="auto"/>
        </w:rPr>
      </w:pPr>
      <w:r>
        <w:rPr>
          <w:rFonts w:hint="eastAsia" w:hAnsi="宋体" w:cs="宋体"/>
          <w:color w:val="auto"/>
        </w:rPr>
        <w:t>11.4供应商提交的最后报价在合同执行过程中是固定不变的，不得以任何理由予以变更。以可变动价格提交的报价将被认为是非实质响应而被拒绝。</w:t>
      </w:r>
    </w:p>
    <w:p w14:paraId="6BACA3EF">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11.5采购人不接受供应商给予的赠品、回扣或者与采购无关的其他商品、服务。</w:t>
      </w:r>
    </w:p>
    <w:p w14:paraId="07C37313">
      <w:pPr>
        <w:pStyle w:val="12"/>
        <w:adjustRightInd w:val="0"/>
        <w:snapToGrid w:val="0"/>
        <w:spacing w:line="360" w:lineRule="auto"/>
        <w:ind w:firstLine="420" w:firstLineChars="200"/>
        <w:rPr>
          <w:rFonts w:hAnsi="宋体" w:cs="宋体"/>
          <w:color w:val="auto"/>
        </w:rPr>
      </w:pPr>
      <w:r>
        <w:rPr>
          <w:rFonts w:hint="eastAsia" w:hAnsi="宋体" w:cs="宋体"/>
          <w:color w:val="auto"/>
        </w:rPr>
        <w:t>11.6报价的其他要求见</w:t>
      </w:r>
      <w:r>
        <w:rPr>
          <w:rFonts w:hint="eastAsia" w:hAnsi="宋体" w:cs="宋体"/>
          <w:b/>
          <w:color w:val="auto"/>
        </w:rPr>
        <w:t>【磋商须知前附表】</w:t>
      </w:r>
      <w:r>
        <w:rPr>
          <w:rFonts w:hint="eastAsia" w:hAnsi="宋体" w:cs="宋体"/>
          <w:color w:val="auto"/>
        </w:rPr>
        <w:t>。</w:t>
      </w:r>
    </w:p>
    <w:p w14:paraId="5D380E4E">
      <w:pPr>
        <w:pStyle w:val="6"/>
        <w:keepNext w:val="0"/>
        <w:keepLines w:val="0"/>
        <w:adjustRightInd w:val="0"/>
        <w:snapToGrid w:val="0"/>
        <w:spacing w:before="0" w:after="0" w:line="360" w:lineRule="auto"/>
        <w:rPr>
          <w:rFonts w:ascii="宋体" w:hAnsi="宋体" w:eastAsia="宋体" w:cs="宋体"/>
          <w:color w:val="auto"/>
          <w:sz w:val="24"/>
          <w:szCs w:val="24"/>
        </w:rPr>
      </w:pPr>
      <w:bookmarkStart w:id="85" w:name="_Toc69831394"/>
      <w:r>
        <w:rPr>
          <w:rFonts w:hint="eastAsia" w:ascii="宋体" w:hAnsi="宋体" w:eastAsia="宋体" w:cs="宋体"/>
          <w:color w:val="auto"/>
          <w:sz w:val="24"/>
          <w:szCs w:val="24"/>
        </w:rPr>
        <w:t>12.保证金</w:t>
      </w:r>
      <w:bookmarkEnd w:id="85"/>
    </w:p>
    <w:p w14:paraId="678E84A3">
      <w:pPr>
        <w:pStyle w:val="12"/>
        <w:adjustRightInd w:val="0"/>
        <w:snapToGrid w:val="0"/>
        <w:spacing w:line="360" w:lineRule="auto"/>
        <w:ind w:firstLine="420" w:firstLineChars="200"/>
        <w:rPr>
          <w:rFonts w:hAnsi="宋体" w:cs="宋体"/>
          <w:bCs/>
          <w:color w:val="auto"/>
        </w:rPr>
      </w:pPr>
      <w:r>
        <w:rPr>
          <w:rFonts w:hint="eastAsia" w:hAnsi="宋体" w:cs="宋体"/>
          <w:color w:val="auto"/>
        </w:rPr>
        <w:t>12.1</w:t>
      </w:r>
      <w:r>
        <w:rPr>
          <w:rFonts w:hint="eastAsia" w:hAnsi="宋体" w:cs="宋体"/>
          <w:bCs/>
          <w:color w:val="auto"/>
        </w:rPr>
        <w:t>磋商文件要求供应商提交保证金的，供应商应按</w:t>
      </w:r>
      <w:r>
        <w:rPr>
          <w:rFonts w:hint="eastAsia" w:hAnsi="宋体" w:cs="宋体"/>
          <w:b/>
          <w:bCs/>
          <w:color w:val="auto"/>
        </w:rPr>
        <w:t>【磋商须知前附表】</w:t>
      </w:r>
      <w:r>
        <w:rPr>
          <w:rFonts w:hint="eastAsia" w:hAnsi="宋体" w:cs="宋体"/>
          <w:bCs/>
          <w:color w:val="auto"/>
        </w:rPr>
        <w:t>规定，在提交响应文件的截止时间前提交保证金。保证金有效期应当与响应文件有效期一致。</w:t>
      </w:r>
    </w:p>
    <w:p w14:paraId="46578DDB">
      <w:pPr>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12.2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14:paraId="2893B789">
      <w:pPr>
        <w:pStyle w:val="12"/>
        <w:tabs>
          <w:tab w:val="left" w:pos="6300"/>
        </w:tabs>
        <w:adjustRightInd w:val="0"/>
        <w:snapToGrid w:val="0"/>
        <w:spacing w:line="360" w:lineRule="auto"/>
        <w:ind w:firstLine="420" w:firstLineChars="200"/>
        <w:rPr>
          <w:rFonts w:hAnsi="宋体" w:cs="宋体"/>
          <w:color w:val="auto"/>
        </w:rPr>
      </w:pPr>
      <w:r>
        <w:rPr>
          <w:rFonts w:hint="eastAsia" w:hAnsi="宋体" w:cs="宋体"/>
          <w:color w:val="auto"/>
        </w:rPr>
        <w:t>12.3采购人、采购代理机构在成交通知书发出后5个工作日内退还未成交供应商的保证金；在采购合同签定后5个工作日内退还成交供应商的保证金，但因供应商自身原因导致无法及时退还的除外。</w:t>
      </w:r>
    </w:p>
    <w:p w14:paraId="718AA4A3">
      <w:pPr>
        <w:pStyle w:val="12"/>
        <w:adjustRightInd w:val="0"/>
        <w:snapToGrid w:val="0"/>
        <w:spacing w:line="360" w:lineRule="auto"/>
        <w:ind w:firstLine="420" w:firstLineChars="200"/>
        <w:rPr>
          <w:rFonts w:hAnsi="宋体" w:cs="宋体"/>
          <w:color w:val="auto"/>
          <w:kern w:val="0"/>
        </w:rPr>
      </w:pPr>
      <w:r>
        <w:rPr>
          <w:rFonts w:hint="eastAsia" w:hAnsi="宋体" w:cs="宋体"/>
          <w:color w:val="auto"/>
        </w:rPr>
        <w:t>12.4</w:t>
      </w:r>
      <w:r>
        <w:rPr>
          <w:rFonts w:hint="eastAsia" w:hAnsi="宋体" w:cs="宋体"/>
          <w:color w:val="auto"/>
          <w:kern w:val="0"/>
        </w:rPr>
        <w:t>有下列情形之一的，保证金不予退还，并上缴本级财政国库：</w:t>
      </w:r>
    </w:p>
    <w:p w14:paraId="33877880">
      <w:pPr>
        <w:pStyle w:val="12"/>
        <w:adjustRightInd w:val="0"/>
        <w:snapToGrid w:val="0"/>
        <w:spacing w:line="360" w:lineRule="auto"/>
        <w:ind w:firstLine="420" w:firstLineChars="200"/>
        <w:rPr>
          <w:rFonts w:hAnsi="宋体" w:cs="宋体"/>
          <w:color w:val="auto"/>
        </w:rPr>
      </w:pPr>
      <w:r>
        <w:rPr>
          <w:rFonts w:hint="eastAsia" w:hAnsi="宋体" w:cs="宋体"/>
          <w:color w:val="auto"/>
        </w:rPr>
        <w:t>（1）供应商在提交响应文件截止时间后撤回响应文件的；</w:t>
      </w:r>
    </w:p>
    <w:p w14:paraId="7908B009">
      <w:pPr>
        <w:pStyle w:val="12"/>
        <w:adjustRightInd w:val="0"/>
        <w:snapToGrid w:val="0"/>
        <w:spacing w:line="360" w:lineRule="auto"/>
        <w:ind w:firstLine="420" w:firstLineChars="200"/>
        <w:rPr>
          <w:rFonts w:hAnsi="宋体" w:cs="宋体"/>
          <w:color w:val="auto"/>
        </w:rPr>
      </w:pPr>
      <w:r>
        <w:rPr>
          <w:rFonts w:hint="eastAsia" w:hAnsi="宋体" w:cs="宋体"/>
          <w:color w:val="auto"/>
        </w:rPr>
        <w:t>（2）供应商在响应文件中提供虚假材料的；</w:t>
      </w:r>
    </w:p>
    <w:p w14:paraId="1DF84219">
      <w:pPr>
        <w:pStyle w:val="12"/>
        <w:adjustRightInd w:val="0"/>
        <w:snapToGrid w:val="0"/>
        <w:spacing w:line="360" w:lineRule="auto"/>
        <w:ind w:firstLine="420" w:firstLineChars="200"/>
        <w:rPr>
          <w:rFonts w:hAnsi="宋体" w:cs="宋体"/>
          <w:color w:val="auto"/>
        </w:rPr>
      </w:pPr>
      <w:r>
        <w:rPr>
          <w:rFonts w:hint="eastAsia" w:hAnsi="宋体" w:cs="宋体"/>
          <w:color w:val="auto"/>
        </w:rPr>
        <w:t>（3）除因不可抗力或者磋商文件认可的情形以外，成交供应商不与采购人签订合同的；</w:t>
      </w:r>
    </w:p>
    <w:p w14:paraId="6EFADB39">
      <w:pPr>
        <w:pStyle w:val="12"/>
        <w:adjustRightInd w:val="0"/>
        <w:snapToGrid w:val="0"/>
        <w:spacing w:line="360" w:lineRule="auto"/>
        <w:ind w:firstLine="420" w:firstLineChars="200"/>
        <w:rPr>
          <w:rFonts w:hAnsi="宋体" w:cs="宋体"/>
          <w:color w:val="auto"/>
        </w:rPr>
      </w:pPr>
      <w:r>
        <w:rPr>
          <w:rFonts w:hint="eastAsia" w:hAnsi="宋体" w:cs="宋体"/>
          <w:color w:val="auto"/>
        </w:rPr>
        <w:t>（4）供应商与采购人、其他供应商或者采购代理机构恶意串通的；</w:t>
      </w:r>
    </w:p>
    <w:p w14:paraId="04737CC2">
      <w:pPr>
        <w:pStyle w:val="12"/>
        <w:adjustRightInd w:val="0"/>
        <w:snapToGrid w:val="0"/>
        <w:spacing w:line="360" w:lineRule="auto"/>
        <w:ind w:firstLine="420" w:firstLineChars="200"/>
        <w:rPr>
          <w:rFonts w:hAnsi="宋体" w:cs="宋体"/>
          <w:color w:val="auto"/>
        </w:rPr>
      </w:pPr>
      <w:r>
        <w:rPr>
          <w:rFonts w:hint="eastAsia" w:hAnsi="宋体" w:cs="宋体"/>
          <w:color w:val="auto"/>
        </w:rPr>
        <w:t>（5）磋商文件规定的其他情形。</w:t>
      </w:r>
    </w:p>
    <w:p w14:paraId="3F9AEEB1">
      <w:pPr>
        <w:pStyle w:val="6"/>
        <w:keepNext w:val="0"/>
        <w:keepLines w:val="0"/>
        <w:adjustRightInd w:val="0"/>
        <w:snapToGrid w:val="0"/>
        <w:spacing w:before="0" w:after="0" w:line="360" w:lineRule="auto"/>
        <w:rPr>
          <w:rFonts w:ascii="宋体" w:hAnsi="宋体" w:eastAsia="宋体" w:cs="宋体"/>
          <w:color w:val="auto"/>
          <w:sz w:val="24"/>
          <w:szCs w:val="24"/>
        </w:rPr>
      </w:pPr>
      <w:bookmarkStart w:id="86" w:name="_Toc69831395"/>
      <w:r>
        <w:rPr>
          <w:rFonts w:hint="eastAsia" w:ascii="宋体" w:hAnsi="宋体" w:eastAsia="宋体" w:cs="宋体"/>
          <w:color w:val="auto"/>
          <w:sz w:val="24"/>
          <w:szCs w:val="24"/>
        </w:rPr>
        <w:t>13.响应文件有效期</w:t>
      </w:r>
      <w:bookmarkEnd w:id="86"/>
    </w:p>
    <w:p w14:paraId="6AB743EF">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13.1响应文件</w:t>
      </w:r>
      <w:r>
        <w:rPr>
          <w:rFonts w:hint="eastAsia" w:ascii="宋体" w:hAnsi="宋体" w:cs="宋体"/>
          <w:color w:val="auto"/>
          <w:szCs w:val="21"/>
        </w:rPr>
        <w:t>有效期见</w:t>
      </w:r>
      <w:r>
        <w:rPr>
          <w:rFonts w:hint="eastAsia" w:ascii="宋体" w:hAnsi="宋体" w:cs="宋体"/>
          <w:b/>
          <w:bCs/>
          <w:color w:val="auto"/>
        </w:rPr>
        <w:t>【磋商须知前附表】</w:t>
      </w:r>
      <w:r>
        <w:rPr>
          <w:rFonts w:hint="eastAsia" w:ascii="宋体" w:hAnsi="宋体" w:cs="宋体"/>
          <w:color w:val="auto"/>
          <w:szCs w:val="21"/>
        </w:rPr>
        <w:t>，在此期间</w:t>
      </w:r>
      <w:r>
        <w:rPr>
          <w:rFonts w:hint="eastAsia" w:ascii="宋体" w:hAnsi="宋体" w:cs="宋体"/>
          <w:color w:val="auto"/>
        </w:rPr>
        <w:t>响应</w:t>
      </w:r>
      <w:r>
        <w:rPr>
          <w:rFonts w:hint="eastAsia" w:ascii="宋体" w:hAnsi="宋体" w:cs="宋体"/>
          <w:color w:val="auto"/>
          <w:szCs w:val="21"/>
        </w:rPr>
        <w:t>文件对供应商具有法律约束力，</w:t>
      </w:r>
      <w:r>
        <w:rPr>
          <w:rFonts w:hint="eastAsia" w:ascii="宋体" w:hAnsi="宋体" w:cs="宋体"/>
          <w:color w:val="auto"/>
        </w:rPr>
        <w:t>从</w:t>
      </w:r>
      <w:r>
        <w:rPr>
          <w:rFonts w:hint="eastAsia" w:ascii="宋体" w:hAnsi="宋体" w:cs="宋体"/>
          <w:color w:val="auto"/>
          <w:kern w:val="0"/>
          <w:szCs w:val="21"/>
        </w:rPr>
        <w:t>提交首次响应文件截止时间</w:t>
      </w:r>
      <w:r>
        <w:rPr>
          <w:rFonts w:hint="eastAsia" w:ascii="宋体" w:hAnsi="宋体" w:cs="宋体"/>
          <w:color w:val="auto"/>
        </w:rPr>
        <w:t>之日起计算。响应文件有效期不足的将被视为</w:t>
      </w:r>
      <w:r>
        <w:rPr>
          <w:rFonts w:hint="eastAsia" w:ascii="宋体" w:hAnsi="宋体" w:cs="宋体"/>
          <w:b/>
          <w:color w:val="auto"/>
        </w:rPr>
        <w:t>无效响应</w:t>
      </w:r>
      <w:r>
        <w:rPr>
          <w:rFonts w:hint="eastAsia" w:ascii="宋体" w:hAnsi="宋体" w:cs="宋体"/>
          <w:color w:val="auto"/>
        </w:rPr>
        <w:t>。</w:t>
      </w:r>
    </w:p>
    <w:p w14:paraId="6974118A">
      <w:pPr>
        <w:pStyle w:val="6"/>
        <w:keepNext w:val="0"/>
        <w:keepLines w:val="0"/>
        <w:adjustRightInd w:val="0"/>
        <w:snapToGrid w:val="0"/>
        <w:spacing w:before="0" w:after="0" w:line="360" w:lineRule="auto"/>
        <w:rPr>
          <w:rFonts w:ascii="宋体" w:hAnsi="宋体" w:eastAsia="宋体" w:cs="宋体"/>
          <w:color w:val="auto"/>
          <w:sz w:val="24"/>
          <w:szCs w:val="24"/>
        </w:rPr>
      </w:pPr>
      <w:bookmarkStart w:id="87" w:name="_Toc69831396"/>
      <w:r>
        <w:rPr>
          <w:rFonts w:hint="eastAsia" w:ascii="宋体" w:hAnsi="宋体" w:eastAsia="宋体" w:cs="宋体"/>
          <w:color w:val="auto"/>
          <w:sz w:val="24"/>
          <w:szCs w:val="24"/>
        </w:rPr>
        <w:t>14.分包</w:t>
      </w:r>
      <w:bookmarkEnd w:id="87"/>
    </w:p>
    <w:p w14:paraId="59F4C619">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14.1</w:t>
      </w:r>
      <w:r>
        <w:rPr>
          <w:rFonts w:hint="eastAsia" w:ascii="宋体" w:hAnsi="宋体" w:cs="宋体"/>
          <w:b/>
          <w:bCs/>
          <w:color w:val="auto"/>
        </w:rPr>
        <w:t>【磋商须知前附表】</w:t>
      </w:r>
      <w:r>
        <w:rPr>
          <w:rFonts w:hint="eastAsia" w:ascii="宋体" w:hAnsi="宋体" w:cs="宋体"/>
          <w:color w:val="auto"/>
        </w:rPr>
        <w:t>规定供应商可以采用分包方式履行合同的，成交供应商可以依法采取分包方式履行合同，并在响应文件中提供分包方案，且分包供应商不得再次分包。</w:t>
      </w:r>
    </w:p>
    <w:p w14:paraId="524EF1E9">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14.2政府采购合同分包履行的，成交</w:t>
      </w:r>
      <w:r>
        <w:rPr>
          <w:rFonts w:hint="eastAsia" w:ascii="宋体" w:hAnsi="宋体" w:cs="宋体"/>
          <w:color w:val="auto"/>
          <w:szCs w:val="21"/>
        </w:rPr>
        <w:t>供应商</w:t>
      </w:r>
      <w:r>
        <w:rPr>
          <w:rFonts w:hint="eastAsia" w:ascii="宋体" w:hAnsi="宋体" w:cs="宋体"/>
          <w:color w:val="auto"/>
        </w:rPr>
        <w:t>应当就采购项目和分包项目向采购人负责，分包供应商就分包项目承担责任。</w:t>
      </w:r>
    </w:p>
    <w:p w14:paraId="24EB3CB6">
      <w:pPr>
        <w:adjustRightInd w:val="0"/>
        <w:snapToGrid w:val="0"/>
        <w:spacing w:line="360" w:lineRule="auto"/>
        <w:ind w:firstLine="420" w:firstLineChars="200"/>
        <w:jc w:val="left"/>
        <w:rPr>
          <w:rFonts w:ascii="宋体" w:hAnsi="宋体" w:cs="宋体"/>
          <w:strike/>
          <w:color w:val="auto"/>
        </w:rPr>
      </w:pPr>
      <w:r>
        <w:rPr>
          <w:rFonts w:hint="eastAsia" w:ascii="宋体" w:hAnsi="宋体" w:cs="宋体"/>
          <w:color w:val="auto"/>
        </w:rPr>
        <w:t>14.3成交供应商享受扶持政策获得政府采购合同的，小型、微型企业不得将合同分包给大型、中型企业，中型企业不得将合同分包给大型企业。</w:t>
      </w:r>
    </w:p>
    <w:p w14:paraId="1DFEDFE1">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14.4不符合磋商文件中有关分包规定的，其</w:t>
      </w:r>
      <w:r>
        <w:rPr>
          <w:rFonts w:hint="eastAsia" w:ascii="宋体" w:hAnsi="宋体" w:cs="宋体"/>
          <w:b/>
          <w:color w:val="auto"/>
        </w:rPr>
        <w:t>响应无效</w:t>
      </w:r>
      <w:r>
        <w:rPr>
          <w:rFonts w:hint="eastAsia" w:ascii="宋体" w:hAnsi="宋体" w:cs="宋体"/>
          <w:color w:val="auto"/>
        </w:rPr>
        <w:t>。</w:t>
      </w:r>
    </w:p>
    <w:p w14:paraId="62208A46">
      <w:pPr>
        <w:pStyle w:val="6"/>
        <w:keepNext w:val="0"/>
        <w:keepLines w:val="0"/>
        <w:adjustRightInd w:val="0"/>
        <w:snapToGrid w:val="0"/>
        <w:spacing w:before="0" w:after="0" w:line="360" w:lineRule="auto"/>
        <w:rPr>
          <w:rFonts w:ascii="宋体" w:hAnsi="宋体" w:eastAsia="宋体" w:cs="宋体"/>
          <w:color w:val="auto"/>
          <w:sz w:val="24"/>
          <w:szCs w:val="24"/>
        </w:rPr>
      </w:pPr>
      <w:bookmarkStart w:id="88" w:name="_Toc69831397"/>
      <w:r>
        <w:rPr>
          <w:rFonts w:hint="eastAsia" w:ascii="宋体" w:hAnsi="宋体" w:eastAsia="宋体" w:cs="宋体"/>
          <w:color w:val="auto"/>
          <w:sz w:val="24"/>
          <w:szCs w:val="24"/>
        </w:rPr>
        <w:t>15.响应文件的签署及规定</w:t>
      </w:r>
      <w:bookmarkEnd w:id="88"/>
    </w:p>
    <w:p w14:paraId="1A3C915C">
      <w:pPr>
        <w:pStyle w:val="12"/>
        <w:adjustRightInd w:val="0"/>
        <w:snapToGrid w:val="0"/>
        <w:spacing w:line="360" w:lineRule="auto"/>
        <w:ind w:firstLine="420" w:firstLineChars="200"/>
        <w:rPr>
          <w:rFonts w:hAnsi="宋体" w:cs="宋体"/>
          <w:color w:val="auto"/>
        </w:rPr>
      </w:pPr>
      <w:r>
        <w:rPr>
          <w:rFonts w:hint="eastAsia" w:hAnsi="宋体" w:cs="宋体"/>
          <w:color w:val="auto"/>
        </w:rPr>
        <w:t>15.1响应文件正本应打印或者用不褪色的材料书写，并由供应商和供应商代表按照磋商文件规定在响应文件规定签署的位置签署、盖章。供应商代表可为供应商的法定代表人(非法人组织为负责人、个体工商户为负责人，以下统称单位负责人)；供应商代表不是供应商的法定代表人（单位负责人）的，应提供法定代表人（单位负责人）授权委托书。供应商为自然人的，应当由本人签字并附身份证明。响应文件的副本可以是正本文件的复印件。响应文件的正本与副本应分别装订成册，并编制目录。</w:t>
      </w:r>
    </w:p>
    <w:p w14:paraId="74874EAD">
      <w:pPr>
        <w:pStyle w:val="12"/>
        <w:adjustRightInd w:val="0"/>
        <w:snapToGrid w:val="0"/>
        <w:spacing w:line="360" w:lineRule="auto"/>
        <w:ind w:firstLine="420" w:firstLineChars="200"/>
        <w:rPr>
          <w:rFonts w:hAnsi="宋体" w:cs="宋体"/>
          <w:color w:val="auto"/>
        </w:rPr>
      </w:pPr>
      <w:r>
        <w:rPr>
          <w:rFonts w:hint="eastAsia" w:hAnsi="宋体" w:cs="宋体"/>
          <w:color w:val="auto"/>
        </w:rPr>
        <w:t>15.2响应文件正本一份，副本份数见</w:t>
      </w:r>
      <w:r>
        <w:rPr>
          <w:rFonts w:hint="eastAsia" w:hAnsi="宋体" w:cs="宋体"/>
          <w:b/>
          <w:color w:val="auto"/>
        </w:rPr>
        <w:t>【磋商须知前附表】</w:t>
      </w:r>
      <w:r>
        <w:rPr>
          <w:rFonts w:hint="eastAsia" w:hAnsi="宋体" w:cs="宋体"/>
          <w:color w:val="auto"/>
        </w:rPr>
        <w:t>；响应文件电子文档（U盘形式）：1份</w:t>
      </w:r>
      <w:r>
        <w:rPr>
          <w:rFonts w:hint="eastAsia" w:hAnsi="宋体" w:cs="宋体"/>
          <w:b/>
          <w:color w:val="auto"/>
        </w:rPr>
        <w:t>。</w:t>
      </w:r>
      <w:r>
        <w:rPr>
          <w:rFonts w:hint="eastAsia" w:hAnsi="宋体" w:cs="宋体"/>
          <w:color w:val="auto"/>
        </w:rPr>
        <w:t>纸质响应文件须清楚地注明“正本”或者“副本”的字样。若副本和正本不一致或者电子版文件和纸质正本文件不一致时，以纸质正本文件为准。响应文件的正本与副本应分别装订成册，并编制目录。响应文件的副本可为正本的复印件。</w:t>
      </w:r>
    </w:p>
    <w:p w14:paraId="7A320EB4">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15.3</w:t>
      </w:r>
      <w:r>
        <w:rPr>
          <w:rFonts w:hint="eastAsia" w:ascii="宋体" w:hAnsi="宋体" w:cs="宋体"/>
          <w:color w:val="auto"/>
        </w:rPr>
        <w:t>响应文件任何加行、涂改、增删等改动，改动之处应加盖供应商单位公章或者由供应商代表签字。否则，将导致</w:t>
      </w:r>
      <w:r>
        <w:rPr>
          <w:rFonts w:hint="eastAsia" w:ascii="宋体" w:hAnsi="宋体" w:cs="宋体"/>
          <w:b/>
          <w:color w:val="auto"/>
        </w:rPr>
        <w:t>响应文件无效。</w:t>
      </w:r>
    </w:p>
    <w:p w14:paraId="589BF7CF">
      <w:pPr>
        <w:pStyle w:val="12"/>
        <w:adjustRightInd w:val="0"/>
        <w:snapToGrid w:val="0"/>
        <w:spacing w:line="360" w:lineRule="auto"/>
        <w:ind w:firstLine="420" w:firstLineChars="200"/>
        <w:rPr>
          <w:rFonts w:hAnsi="宋体" w:cs="宋体"/>
          <w:color w:val="auto"/>
        </w:rPr>
      </w:pPr>
      <w:r>
        <w:rPr>
          <w:rFonts w:hint="eastAsia" w:hAnsi="宋体" w:cs="宋体"/>
          <w:color w:val="auto"/>
        </w:rPr>
        <w:t>15.4在磋商过程中，供应商按磋商文件规定和磋商小组要求重新提交的响应文件或者</w:t>
      </w:r>
      <w:r>
        <w:rPr>
          <w:rFonts w:hint="eastAsia" w:hAnsi="宋体" w:cs="宋体"/>
          <w:color w:val="auto"/>
          <w:kern w:val="0"/>
        </w:rPr>
        <w:t>提交的</w:t>
      </w:r>
      <w:r>
        <w:rPr>
          <w:rFonts w:hint="eastAsia" w:hAnsi="宋体" w:cs="宋体"/>
          <w:color w:val="auto"/>
        </w:rPr>
        <w:t>最后报价，可打印或者用不褪色材料书写，并经供应商代表签字</w:t>
      </w:r>
      <w:r>
        <w:rPr>
          <w:rFonts w:hint="eastAsia" w:hAnsi="宋体" w:cs="宋体"/>
          <w:color w:val="auto"/>
          <w:kern w:val="0"/>
        </w:rPr>
        <w:t>或者加盖供应商单位公章</w:t>
      </w:r>
      <w:r>
        <w:rPr>
          <w:rFonts w:hint="eastAsia" w:hAnsi="宋体" w:cs="宋体"/>
          <w:color w:val="auto"/>
        </w:rPr>
        <w:t>。否则，将导致</w:t>
      </w:r>
      <w:r>
        <w:rPr>
          <w:rFonts w:hint="eastAsia" w:hAnsi="宋体" w:cs="宋体"/>
          <w:b/>
          <w:color w:val="auto"/>
        </w:rPr>
        <w:t>响应文件无效</w:t>
      </w:r>
      <w:r>
        <w:rPr>
          <w:rFonts w:hint="eastAsia" w:hAnsi="宋体" w:cs="宋体"/>
          <w:color w:val="auto"/>
        </w:rPr>
        <w:t>。</w:t>
      </w:r>
    </w:p>
    <w:p w14:paraId="7C3D8DE1">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15.5为便于采购文件保存，</w:t>
      </w:r>
      <w:r>
        <w:rPr>
          <w:rFonts w:hint="eastAsia" w:ascii="宋体" w:hAnsi="宋体" w:cs="宋体"/>
          <w:color w:val="auto"/>
        </w:rPr>
        <w:t>响应文件</w:t>
      </w:r>
      <w:r>
        <w:rPr>
          <w:rFonts w:hint="eastAsia" w:ascii="宋体" w:hAnsi="宋体" w:cs="宋体"/>
          <w:color w:val="auto"/>
          <w:szCs w:val="21"/>
        </w:rPr>
        <w:t>电子文档建议为PDF格式，内容与纸质</w:t>
      </w:r>
      <w:r>
        <w:rPr>
          <w:rFonts w:hint="eastAsia" w:ascii="宋体" w:hAnsi="宋体" w:cs="宋体"/>
          <w:color w:val="auto"/>
        </w:rPr>
        <w:t>响应文件</w:t>
      </w:r>
      <w:r>
        <w:rPr>
          <w:rFonts w:hint="eastAsia" w:ascii="宋体" w:hAnsi="宋体" w:cs="宋体"/>
          <w:color w:val="auto"/>
          <w:szCs w:val="21"/>
        </w:rPr>
        <w:t>正本一致。</w:t>
      </w:r>
    </w:p>
    <w:p w14:paraId="61355668">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89" w:name="_Toc1252"/>
      <w:bookmarkStart w:id="90" w:name="_Toc69831398"/>
      <w:r>
        <w:rPr>
          <w:rFonts w:hint="eastAsia" w:ascii="黑体" w:hAnsi="黑体" w:eastAsia="黑体" w:cs="Times New Roman"/>
          <w:b w:val="0"/>
          <w:bCs w:val="0"/>
          <w:color w:val="auto"/>
          <w:sz w:val="28"/>
          <w:szCs w:val="28"/>
        </w:rPr>
        <w:t>四、响应文件的递交</w:t>
      </w:r>
      <w:bookmarkEnd w:id="89"/>
      <w:bookmarkEnd w:id="90"/>
    </w:p>
    <w:p w14:paraId="13D6EA38">
      <w:pPr>
        <w:pStyle w:val="6"/>
        <w:keepNext w:val="0"/>
        <w:keepLines w:val="0"/>
        <w:adjustRightInd w:val="0"/>
        <w:snapToGrid w:val="0"/>
        <w:spacing w:before="0" w:after="0" w:line="360" w:lineRule="auto"/>
        <w:rPr>
          <w:rFonts w:ascii="宋体" w:hAnsi="宋体" w:eastAsia="宋体" w:cs="宋体"/>
          <w:color w:val="auto"/>
          <w:sz w:val="24"/>
          <w:szCs w:val="24"/>
        </w:rPr>
      </w:pPr>
      <w:bookmarkStart w:id="91" w:name="_Toc69831399"/>
      <w:r>
        <w:rPr>
          <w:rFonts w:hint="eastAsia" w:ascii="宋体" w:hAnsi="宋体" w:eastAsia="宋体" w:cs="宋体"/>
          <w:color w:val="auto"/>
          <w:sz w:val="24"/>
          <w:szCs w:val="24"/>
        </w:rPr>
        <w:t>16.响应文件的密封和标记</w:t>
      </w:r>
      <w:bookmarkEnd w:id="91"/>
    </w:p>
    <w:p w14:paraId="64F77083">
      <w:pPr>
        <w:pStyle w:val="12"/>
        <w:adjustRightInd w:val="0"/>
        <w:snapToGrid w:val="0"/>
        <w:spacing w:line="360" w:lineRule="auto"/>
        <w:ind w:firstLine="420" w:firstLineChars="200"/>
        <w:rPr>
          <w:rFonts w:hAnsi="宋体" w:cs="宋体"/>
          <w:color w:val="auto"/>
        </w:rPr>
      </w:pPr>
      <w:r>
        <w:rPr>
          <w:rFonts w:hint="eastAsia" w:hAnsi="宋体" w:cs="宋体"/>
          <w:color w:val="auto"/>
        </w:rPr>
        <w:t>16.1响应文件应密封包装，以保证其响应文件信息在提交首次响应文件截止时间前不被透露。</w:t>
      </w:r>
    </w:p>
    <w:p w14:paraId="70988470">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16.2响应文件封套上应写明的内容见</w:t>
      </w:r>
      <w:r>
        <w:rPr>
          <w:rFonts w:hint="eastAsia" w:ascii="宋体" w:hAnsi="宋体" w:cs="宋体"/>
          <w:b/>
          <w:color w:val="auto"/>
          <w:szCs w:val="21"/>
        </w:rPr>
        <w:t>【</w:t>
      </w:r>
      <w:r>
        <w:rPr>
          <w:rFonts w:hint="eastAsia" w:ascii="宋体" w:hAnsi="宋体" w:cs="宋体"/>
          <w:b/>
          <w:color w:val="auto"/>
        </w:rPr>
        <w:t>磋商</w:t>
      </w:r>
      <w:r>
        <w:rPr>
          <w:rFonts w:hint="eastAsia" w:ascii="宋体" w:hAnsi="宋体" w:cs="宋体"/>
          <w:b/>
          <w:color w:val="auto"/>
          <w:szCs w:val="21"/>
        </w:rPr>
        <w:t>须知前附表】。</w:t>
      </w:r>
    </w:p>
    <w:p w14:paraId="01F67915">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16.3响应文件如果未按本章第</w:t>
      </w:r>
      <w:r>
        <w:rPr>
          <w:rFonts w:hint="eastAsia" w:ascii="宋体" w:hAnsi="宋体" w:cs="宋体"/>
          <w:color w:val="auto"/>
        </w:rPr>
        <w:t>16.1款</w:t>
      </w:r>
      <w:r>
        <w:rPr>
          <w:rFonts w:hint="eastAsia" w:ascii="宋体" w:hAnsi="宋体" w:cs="宋体"/>
          <w:color w:val="auto"/>
          <w:szCs w:val="21"/>
        </w:rPr>
        <w:t>规定密封，采购人、采购代理机构将拒绝接收。</w:t>
      </w:r>
    </w:p>
    <w:p w14:paraId="232DB340">
      <w:pPr>
        <w:pStyle w:val="6"/>
        <w:keepNext w:val="0"/>
        <w:keepLines w:val="0"/>
        <w:adjustRightInd w:val="0"/>
        <w:snapToGrid w:val="0"/>
        <w:spacing w:before="0" w:after="0" w:line="360" w:lineRule="auto"/>
        <w:rPr>
          <w:rFonts w:ascii="宋体" w:hAnsi="宋体" w:eastAsia="宋体" w:cs="宋体"/>
          <w:color w:val="auto"/>
          <w:sz w:val="24"/>
          <w:szCs w:val="24"/>
        </w:rPr>
      </w:pPr>
      <w:bookmarkStart w:id="92" w:name="_Toc69831400"/>
      <w:r>
        <w:rPr>
          <w:rFonts w:hint="eastAsia" w:ascii="宋体" w:hAnsi="宋体" w:eastAsia="宋体" w:cs="宋体"/>
          <w:color w:val="auto"/>
          <w:sz w:val="24"/>
          <w:szCs w:val="24"/>
        </w:rPr>
        <w:t>17.响应文件的</w:t>
      </w:r>
      <w:r>
        <w:rPr>
          <w:rFonts w:hint="eastAsia" w:ascii="宋体" w:hAnsi="宋体" w:eastAsia="宋体" w:cs="宋体"/>
          <w:color w:val="auto"/>
          <w:kern w:val="0"/>
          <w:sz w:val="24"/>
          <w:szCs w:val="24"/>
          <w:lang w:val="zh-CN"/>
        </w:rPr>
        <w:t>补充、修改或者撤回</w:t>
      </w:r>
      <w:bookmarkEnd w:id="92"/>
    </w:p>
    <w:p w14:paraId="1DF8DDAE">
      <w:pPr>
        <w:pStyle w:val="12"/>
        <w:adjustRightInd w:val="0"/>
        <w:snapToGrid w:val="0"/>
        <w:spacing w:line="360" w:lineRule="auto"/>
        <w:ind w:firstLine="420" w:firstLineChars="200"/>
        <w:rPr>
          <w:rFonts w:hAnsi="宋体" w:cs="宋体"/>
          <w:color w:val="auto"/>
        </w:rPr>
      </w:pPr>
      <w:r>
        <w:rPr>
          <w:rFonts w:hint="eastAsia" w:hAnsi="宋体" w:cs="宋体"/>
          <w:color w:val="auto"/>
        </w:rPr>
        <w:t>17.1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s="宋体"/>
          <w:color w:val="auto"/>
        </w:rPr>
        <w:t>该通知应加盖供应商单位公章或者由供应商代表签字。</w:t>
      </w:r>
    </w:p>
    <w:p w14:paraId="13206E31">
      <w:pPr>
        <w:pStyle w:val="12"/>
        <w:adjustRightInd w:val="0"/>
        <w:snapToGrid w:val="0"/>
        <w:spacing w:line="360" w:lineRule="auto"/>
        <w:ind w:firstLine="420" w:firstLineChars="200"/>
        <w:rPr>
          <w:rFonts w:hAnsi="宋体" w:cs="宋体"/>
          <w:color w:val="auto"/>
        </w:rPr>
      </w:pPr>
      <w:r>
        <w:rPr>
          <w:rFonts w:hint="eastAsia" w:hAnsi="宋体" w:cs="宋体"/>
          <w:color w:val="auto"/>
        </w:rPr>
        <w:t>17.2</w:t>
      </w:r>
      <w:r>
        <w:rPr>
          <w:rFonts w:hint="eastAsia" w:hAnsi="宋体" w:cs="宋体"/>
          <w:color w:val="auto"/>
          <w:kern w:val="0"/>
          <w:lang w:val="zh-CN"/>
        </w:rPr>
        <w:t>补充、修改的内容与响应文件不一致时，以补充、修改的内容为准。</w:t>
      </w:r>
    </w:p>
    <w:p w14:paraId="1FB9C24B">
      <w:pPr>
        <w:pStyle w:val="6"/>
        <w:keepNext w:val="0"/>
        <w:keepLines w:val="0"/>
        <w:adjustRightInd w:val="0"/>
        <w:snapToGrid w:val="0"/>
        <w:spacing w:before="0" w:after="0" w:line="360" w:lineRule="auto"/>
        <w:rPr>
          <w:rFonts w:ascii="宋体" w:hAnsi="宋体" w:eastAsia="宋体" w:cs="宋体"/>
          <w:color w:val="auto"/>
          <w:sz w:val="24"/>
          <w:szCs w:val="24"/>
        </w:rPr>
      </w:pPr>
      <w:bookmarkStart w:id="93" w:name="_Toc69831401"/>
      <w:r>
        <w:rPr>
          <w:rFonts w:hint="eastAsia" w:ascii="宋体" w:hAnsi="宋体" w:eastAsia="宋体" w:cs="宋体"/>
          <w:color w:val="auto"/>
          <w:sz w:val="24"/>
          <w:szCs w:val="24"/>
        </w:rPr>
        <w:t>18.响应文件的递交与接收</w:t>
      </w:r>
      <w:bookmarkEnd w:id="93"/>
    </w:p>
    <w:p w14:paraId="5DB6BBD0">
      <w:pPr>
        <w:adjustRightInd w:val="0"/>
        <w:snapToGrid w:val="0"/>
        <w:spacing w:line="360" w:lineRule="auto"/>
        <w:ind w:firstLine="420" w:firstLineChars="200"/>
        <w:rPr>
          <w:rFonts w:ascii="宋体" w:hAnsi="宋体" w:cs="宋体"/>
          <w:color w:val="auto"/>
          <w:kern w:val="0"/>
        </w:rPr>
      </w:pPr>
      <w:r>
        <w:rPr>
          <w:rFonts w:hint="eastAsia" w:ascii="宋体" w:hAnsi="宋体" w:cs="宋体"/>
          <w:color w:val="auto"/>
          <w:szCs w:val="21"/>
        </w:rPr>
        <w:t>18.1供应商应在</w:t>
      </w:r>
      <w:r>
        <w:rPr>
          <w:rFonts w:hint="eastAsia" w:ascii="宋体" w:hAnsi="宋体" w:cs="宋体"/>
          <w:b/>
          <w:color w:val="auto"/>
          <w:szCs w:val="21"/>
        </w:rPr>
        <w:t>【</w:t>
      </w:r>
      <w:r>
        <w:rPr>
          <w:rFonts w:hint="eastAsia" w:ascii="宋体" w:hAnsi="宋体" w:cs="宋体"/>
          <w:b/>
          <w:color w:val="auto"/>
        </w:rPr>
        <w:t>磋商</w:t>
      </w:r>
      <w:r>
        <w:rPr>
          <w:rFonts w:hint="eastAsia" w:ascii="宋体" w:hAnsi="宋体" w:cs="宋体"/>
          <w:b/>
          <w:color w:val="auto"/>
          <w:szCs w:val="21"/>
        </w:rPr>
        <w:t>须知前附表】</w:t>
      </w:r>
      <w:r>
        <w:rPr>
          <w:rFonts w:hint="eastAsia" w:ascii="宋体" w:hAnsi="宋体" w:cs="宋体"/>
          <w:color w:val="auto"/>
        </w:rPr>
        <w:t>规定的</w:t>
      </w:r>
      <w:r>
        <w:rPr>
          <w:rFonts w:hint="eastAsia" w:ascii="宋体" w:hAnsi="宋体" w:cs="宋体"/>
          <w:color w:val="auto"/>
          <w:kern w:val="0"/>
          <w:szCs w:val="21"/>
        </w:rPr>
        <w:t>时间和</w:t>
      </w:r>
      <w:r>
        <w:rPr>
          <w:rFonts w:hint="eastAsia" w:ascii="宋体" w:hAnsi="宋体" w:cs="宋体"/>
          <w:color w:val="auto"/>
          <w:szCs w:val="21"/>
        </w:rPr>
        <w:t>地点提交响应文件。</w:t>
      </w:r>
      <w:r>
        <w:rPr>
          <w:rFonts w:hint="eastAsia" w:ascii="宋体" w:hAnsi="宋体" w:cs="宋体"/>
          <w:color w:val="auto"/>
          <w:kern w:val="0"/>
        </w:rPr>
        <w:t>采购人、采购代理机构拒收逾期送达的响应文件。</w:t>
      </w:r>
    </w:p>
    <w:p w14:paraId="7B6E821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18.2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6896510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（1）项目名称、</w:t>
      </w:r>
      <w:r>
        <w:rPr>
          <w:rFonts w:hint="eastAsia" w:ascii="宋体" w:hAnsi="宋体" w:cs="宋体"/>
          <w:color w:val="auto"/>
          <w:szCs w:val="21"/>
          <w:lang w:val="en-US" w:eastAsia="zh-CN"/>
        </w:rPr>
        <w:t>政府采购</w:t>
      </w:r>
      <w:r>
        <w:rPr>
          <w:rFonts w:hint="eastAsia" w:ascii="宋体" w:hAnsi="宋体" w:cs="宋体"/>
          <w:color w:val="auto"/>
          <w:szCs w:val="21"/>
        </w:rPr>
        <w:t>编号；</w:t>
      </w:r>
    </w:p>
    <w:p w14:paraId="3DF72A5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（2）供应商名称；</w:t>
      </w:r>
    </w:p>
    <w:p w14:paraId="17A22D7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（3）响应文件送达时间、地址；</w:t>
      </w:r>
    </w:p>
    <w:p w14:paraId="1D02A06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（4）响应文件密封情况；</w:t>
      </w:r>
    </w:p>
    <w:p w14:paraId="340BC2A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（5）采购人、采购代理机构名称；</w:t>
      </w:r>
    </w:p>
    <w:p w14:paraId="6957050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（6）采购人、采购代理机构接收人签字。</w:t>
      </w:r>
    </w:p>
    <w:p w14:paraId="47A3E09C">
      <w:pPr>
        <w:pStyle w:val="12"/>
        <w:adjustRightInd w:val="0"/>
        <w:snapToGrid w:val="0"/>
        <w:spacing w:line="360" w:lineRule="auto"/>
        <w:ind w:firstLine="420" w:firstLineChars="200"/>
        <w:rPr>
          <w:rFonts w:hAnsi="宋体" w:cs="宋体"/>
          <w:color w:val="auto"/>
        </w:rPr>
      </w:pPr>
      <w:r>
        <w:rPr>
          <w:rFonts w:hint="eastAsia" w:hAnsi="宋体" w:cs="宋体"/>
          <w:color w:val="auto"/>
        </w:rPr>
        <w:t>18.3采购人、</w:t>
      </w:r>
      <w:r>
        <w:rPr>
          <w:rFonts w:hint="eastAsia" w:hAnsi="宋体" w:cs="宋体"/>
          <w:bCs/>
          <w:color w:val="auto"/>
        </w:rPr>
        <w:t>采购代理机构</w:t>
      </w:r>
      <w:r>
        <w:rPr>
          <w:rFonts w:hint="eastAsia" w:hAnsi="宋体" w:cs="宋体"/>
          <w:color w:val="auto"/>
        </w:rPr>
        <w:t>在按本章第25.3款规定公布供应商的最后报价前，不公开供应商的技术资料、价格和其他信息。</w:t>
      </w:r>
    </w:p>
    <w:p w14:paraId="057FDA86">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94" w:name="_Toc2133"/>
      <w:bookmarkStart w:id="95" w:name="_Toc69831402"/>
      <w:r>
        <w:rPr>
          <w:rFonts w:hint="eastAsia" w:ascii="黑体" w:hAnsi="黑体" w:eastAsia="黑体" w:cs="Times New Roman"/>
          <w:b w:val="0"/>
          <w:bCs w:val="0"/>
          <w:color w:val="auto"/>
          <w:sz w:val="28"/>
          <w:szCs w:val="28"/>
        </w:rPr>
        <w:t>五、响应文件的评审与磋商</w:t>
      </w:r>
      <w:bookmarkEnd w:id="94"/>
      <w:bookmarkEnd w:id="95"/>
    </w:p>
    <w:p w14:paraId="279FC8CA">
      <w:pPr>
        <w:pStyle w:val="6"/>
        <w:adjustRightInd w:val="0"/>
        <w:snapToGrid w:val="0"/>
        <w:spacing w:before="0" w:after="0" w:line="360" w:lineRule="auto"/>
        <w:rPr>
          <w:rFonts w:ascii="宋体" w:hAnsi="宋体" w:eastAsia="宋体" w:cs="宋体"/>
          <w:color w:val="auto"/>
          <w:sz w:val="24"/>
          <w:szCs w:val="24"/>
        </w:rPr>
      </w:pPr>
      <w:bookmarkStart w:id="96" w:name="_Toc69831403"/>
      <w:r>
        <w:rPr>
          <w:rStyle w:val="21"/>
          <w:rFonts w:hint="eastAsia" w:ascii="宋体" w:hAnsi="宋体" w:eastAsia="宋体" w:cs="宋体"/>
          <w:b/>
          <w:bCs w:val="0"/>
          <w:color w:val="auto"/>
          <w:sz w:val="24"/>
          <w:szCs w:val="24"/>
        </w:rPr>
        <w:t>19.</w:t>
      </w:r>
      <w:r>
        <w:rPr>
          <w:rFonts w:hint="eastAsia" w:ascii="宋体" w:hAnsi="宋体" w:eastAsia="宋体" w:cs="宋体"/>
          <w:color w:val="auto"/>
          <w:sz w:val="24"/>
          <w:szCs w:val="24"/>
        </w:rPr>
        <w:t>资格审查</w:t>
      </w:r>
      <w:bookmarkEnd w:id="96"/>
    </w:p>
    <w:p w14:paraId="3FA0DD61">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 xml:space="preserve">19.1 </w:t>
      </w:r>
      <w:r>
        <w:rPr>
          <w:rFonts w:hint="eastAsia" w:ascii="宋体" w:hAnsi="宋体" w:cs="宋体"/>
          <w:color w:val="auto"/>
          <w:lang w:val="en-US" w:eastAsia="zh-CN"/>
        </w:rPr>
        <w:t>磋商小组</w:t>
      </w:r>
      <w:r>
        <w:rPr>
          <w:rFonts w:hint="eastAsia" w:ascii="宋体" w:hAnsi="宋体" w:cs="宋体"/>
          <w:color w:val="auto"/>
        </w:rPr>
        <w:t>依法按照第三章“资格审查及评审方法及标准”规定组织资格审查。</w:t>
      </w:r>
    </w:p>
    <w:p w14:paraId="4E731F41">
      <w:pPr>
        <w:pStyle w:val="6"/>
        <w:adjustRightInd w:val="0"/>
        <w:snapToGrid w:val="0"/>
        <w:spacing w:before="0" w:after="0" w:line="360" w:lineRule="auto"/>
        <w:rPr>
          <w:rFonts w:ascii="宋体" w:hAnsi="宋体" w:eastAsia="宋体" w:cs="宋体"/>
          <w:color w:val="auto"/>
          <w:sz w:val="24"/>
          <w:szCs w:val="24"/>
        </w:rPr>
      </w:pPr>
      <w:bookmarkStart w:id="97" w:name="_Toc69831404"/>
      <w:r>
        <w:rPr>
          <w:rFonts w:hint="eastAsia" w:ascii="宋体" w:hAnsi="宋体" w:eastAsia="宋体" w:cs="宋体"/>
          <w:color w:val="auto"/>
          <w:sz w:val="24"/>
          <w:szCs w:val="24"/>
        </w:rPr>
        <w:t>20.磋商小组</w:t>
      </w:r>
      <w:bookmarkEnd w:id="97"/>
    </w:p>
    <w:p w14:paraId="0A11F669">
      <w:pPr>
        <w:adjustRightInd w:val="0"/>
        <w:snapToGrid w:val="0"/>
        <w:spacing w:line="360" w:lineRule="auto"/>
        <w:ind w:firstLine="420"/>
        <w:jc w:val="left"/>
        <w:rPr>
          <w:rFonts w:ascii="宋体" w:hAnsi="宋体" w:cs="宋体"/>
          <w:bCs/>
          <w:color w:val="auto"/>
          <w:szCs w:val="21"/>
        </w:rPr>
      </w:pPr>
      <w:r>
        <w:rPr>
          <w:rFonts w:hint="eastAsia" w:ascii="宋体" w:hAnsi="宋体" w:cs="宋体"/>
          <w:bCs/>
          <w:color w:val="auto"/>
          <w:szCs w:val="21"/>
        </w:rPr>
        <w:t>20.1磋商小组由采购人代表和评审专家组成。</w:t>
      </w:r>
    </w:p>
    <w:p w14:paraId="632A3724">
      <w:pPr>
        <w:adjustRightInd w:val="0"/>
        <w:snapToGrid w:val="0"/>
        <w:spacing w:line="360" w:lineRule="auto"/>
        <w:ind w:firstLine="420"/>
        <w:jc w:val="left"/>
        <w:rPr>
          <w:rFonts w:ascii="宋体" w:hAnsi="宋体" w:cs="宋体"/>
          <w:color w:val="auto"/>
          <w:szCs w:val="21"/>
        </w:rPr>
      </w:pPr>
      <w:r>
        <w:rPr>
          <w:rFonts w:hint="eastAsia" w:ascii="宋体" w:hAnsi="宋体" w:cs="宋体"/>
          <w:bCs/>
          <w:color w:val="auto"/>
          <w:szCs w:val="21"/>
        </w:rPr>
        <w:t>20.2磋商小组</w:t>
      </w:r>
      <w:r>
        <w:rPr>
          <w:rFonts w:hint="eastAsia" w:ascii="宋体" w:hAnsi="宋体" w:cs="宋体"/>
          <w:color w:val="auto"/>
          <w:szCs w:val="21"/>
        </w:rPr>
        <w:t>成员有下列情形之一的，应当回避：</w:t>
      </w:r>
    </w:p>
    <w:p w14:paraId="2784CC6F">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（1）参加采购活动前 3 年内与供应商存在劳动关系；</w:t>
      </w:r>
    </w:p>
    <w:p w14:paraId="5E5D3D3C">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（2）参加采购活动前 3 年内担任供应商的董事、监事；</w:t>
      </w:r>
    </w:p>
    <w:p w14:paraId="137535F2">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（3）参加采购活动前 3 年内是供应商的控股股东或者实际控制人；</w:t>
      </w:r>
    </w:p>
    <w:p w14:paraId="5838F371">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6413EB5E">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427CFC86">
      <w:pPr>
        <w:adjustRightInd w:val="0"/>
        <w:snapToGrid w:val="0"/>
        <w:spacing w:line="360" w:lineRule="auto"/>
        <w:ind w:firstLine="420"/>
        <w:jc w:val="left"/>
        <w:rPr>
          <w:rFonts w:ascii="宋体" w:hAnsi="宋体" w:cs="宋体"/>
          <w:color w:val="auto"/>
          <w:szCs w:val="21"/>
        </w:rPr>
      </w:pPr>
      <w:r>
        <w:rPr>
          <w:rFonts w:hint="eastAsia" w:ascii="宋体" w:hAnsi="宋体" w:cs="宋体"/>
          <w:color w:val="auto"/>
          <w:szCs w:val="21"/>
        </w:rPr>
        <w:t>20.3磋商小组成员应当按照客观、公正、审慎的原则，根据磋商文件规定的评审程序、评审方法和评审标准进行独立评审。</w:t>
      </w:r>
    </w:p>
    <w:p w14:paraId="12D29F9E">
      <w:pPr>
        <w:pStyle w:val="6"/>
        <w:keepNext w:val="0"/>
        <w:keepLines w:val="0"/>
        <w:adjustRightInd w:val="0"/>
        <w:snapToGrid w:val="0"/>
        <w:spacing w:before="0" w:after="0" w:line="360" w:lineRule="auto"/>
        <w:rPr>
          <w:rFonts w:ascii="宋体" w:hAnsi="宋体" w:eastAsia="宋体" w:cs="宋体"/>
          <w:color w:val="auto"/>
          <w:sz w:val="24"/>
          <w:szCs w:val="24"/>
        </w:rPr>
      </w:pPr>
      <w:bookmarkStart w:id="98" w:name="_Toc69831405"/>
      <w:r>
        <w:rPr>
          <w:rFonts w:hint="eastAsia" w:ascii="宋体" w:hAnsi="宋体" w:eastAsia="宋体" w:cs="宋体"/>
          <w:color w:val="auto"/>
          <w:sz w:val="24"/>
          <w:szCs w:val="24"/>
        </w:rPr>
        <w:t>21.磋商程序</w:t>
      </w:r>
      <w:bookmarkEnd w:id="98"/>
    </w:p>
    <w:p w14:paraId="0B91919C">
      <w:pPr>
        <w:adjustRightInd w:val="0"/>
        <w:snapToGrid w:val="0"/>
        <w:spacing w:line="360" w:lineRule="auto"/>
        <w:ind w:firstLine="420"/>
        <w:jc w:val="left"/>
        <w:rPr>
          <w:rFonts w:ascii="宋体" w:hAnsi="宋体" w:cs="宋体"/>
          <w:bCs/>
          <w:color w:val="auto"/>
          <w:szCs w:val="21"/>
        </w:rPr>
      </w:pPr>
      <w:r>
        <w:rPr>
          <w:rFonts w:hint="eastAsia" w:ascii="宋体" w:hAnsi="宋体" w:cs="宋体"/>
          <w:color w:val="auto"/>
          <w:kern w:val="0"/>
          <w:szCs w:val="21"/>
        </w:rPr>
        <w:t>21.1</w:t>
      </w:r>
      <w:r>
        <w:rPr>
          <w:rFonts w:hint="eastAsia" w:ascii="宋体" w:hAnsi="宋体" w:cs="宋体"/>
          <w:bCs/>
          <w:color w:val="auto"/>
          <w:szCs w:val="21"/>
        </w:rPr>
        <w:t>磋商程序：响应文件初步审查、澄清、磋商、最后报价、综合评审。</w:t>
      </w:r>
    </w:p>
    <w:p w14:paraId="0624607D">
      <w:pPr>
        <w:pStyle w:val="6"/>
        <w:keepNext w:val="0"/>
        <w:keepLines w:val="0"/>
        <w:adjustRightInd w:val="0"/>
        <w:snapToGrid w:val="0"/>
        <w:spacing w:before="0" w:after="0" w:line="360" w:lineRule="auto"/>
        <w:rPr>
          <w:rFonts w:ascii="宋体" w:hAnsi="宋体" w:eastAsia="宋体" w:cs="宋体"/>
          <w:color w:val="auto"/>
          <w:sz w:val="24"/>
          <w:szCs w:val="24"/>
        </w:rPr>
      </w:pPr>
      <w:bookmarkStart w:id="99" w:name="_Toc69831406"/>
      <w:r>
        <w:rPr>
          <w:rFonts w:hint="eastAsia" w:ascii="宋体" w:hAnsi="宋体" w:eastAsia="宋体" w:cs="宋体"/>
          <w:color w:val="auto"/>
          <w:sz w:val="24"/>
          <w:szCs w:val="24"/>
        </w:rPr>
        <w:t>22.响应文件初步审查</w:t>
      </w:r>
      <w:bookmarkEnd w:id="99"/>
    </w:p>
    <w:p w14:paraId="788FB4F5">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22.1磋商小组应当对供应商提交的首次响应文件进行初步审查，包括响应文件的有效性、完整性和响应程度。除磋商文件规定的在磋商过程中可能实质性变动的技术、服务要求以及合同条款外，首次提交的响应文件有下列情况之一，按无效响应处理，磋商小组应当告知有关供应商。</w:t>
      </w:r>
    </w:p>
    <w:p w14:paraId="2D785858">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（1）未按照磋商文件规定要求签署、盖章的；</w:t>
      </w:r>
    </w:p>
    <w:p w14:paraId="031E62E6">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（2）响应有效期不足的；</w:t>
      </w:r>
    </w:p>
    <w:p w14:paraId="31BBABC5">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（3）磋商报价（首次报价、最后报价）超过磋商文件中规定的预算金额或者最高限价的；</w:t>
      </w:r>
    </w:p>
    <w:p w14:paraId="1E703DFF">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（4）不满足磋商文件规定的实质性要求和条件的；</w:t>
      </w:r>
    </w:p>
    <w:p w14:paraId="0208F224">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（5）法律、法规和磋商文件规定的其他响应无效情形。</w:t>
      </w:r>
    </w:p>
    <w:p w14:paraId="41451B97">
      <w:pPr>
        <w:tabs>
          <w:tab w:val="left" w:pos="735"/>
          <w:tab w:val="left" w:pos="7560"/>
          <w:tab w:val="left" w:pos="7740"/>
          <w:tab w:val="left" w:pos="7920"/>
        </w:tabs>
        <w:adjustRightInd w:val="0"/>
        <w:snapToGrid w:val="0"/>
        <w:spacing w:line="360" w:lineRule="auto"/>
        <w:ind w:right="300" w:rightChars="143" w:firstLine="420" w:firstLineChars="200"/>
        <w:rPr>
          <w:rFonts w:ascii="宋体" w:hAnsi="宋体" w:cs="宋体"/>
          <w:color w:val="auto"/>
          <w:szCs w:val="21"/>
        </w:rPr>
      </w:pPr>
      <w:r>
        <w:rPr>
          <w:rFonts w:hint="eastAsia" w:ascii="宋体" w:hAnsi="宋体" w:cs="宋体"/>
          <w:color w:val="auto"/>
          <w:kern w:val="0"/>
          <w:szCs w:val="21"/>
        </w:rPr>
        <w:t>22.2响应文件按无效处理的，磋商小组应拒绝其参与磋商，但属于磋商文件规定的在磋商过程中可能实质性变动的技术、服务要求以及合同条款除外。</w:t>
      </w:r>
    </w:p>
    <w:p w14:paraId="328C8CC6">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22.</w:t>
      </w:r>
      <w:r>
        <w:rPr>
          <w:rFonts w:hint="eastAsia" w:ascii="宋体" w:hAnsi="宋体" w:cs="宋体"/>
          <w:color w:val="auto"/>
          <w:kern w:val="0"/>
          <w:szCs w:val="21"/>
          <w:lang w:val="en-US" w:eastAsia="zh-CN"/>
        </w:rPr>
        <w:t>3</w:t>
      </w:r>
      <w:r>
        <w:rPr>
          <w:rFonts w:hint="eastAsia" w:ascii="宋体" w:hAnsi="宋体" w:cs="宋体"/>
          <w:color w:val="auto"/>
          <w:kern w:val="0"/>
          <w:szCs w:val="21"/>
        </w:rPr>
        <w:t>磋商文件规定的实质性要求和条件见【</w:t>
      </w:r>
      <w:r>
        <w:rPr>
          <w:rFonts w:hint="eastAsia" w:ascii="宋体" w:hAnsi="宋体" w:cs="宋体"/>
          <w:b/>
          <w:color w:val="auto"/>
          <w:kern w:val="0"/>
          <w:szCs w:val="21"/>
        </w:rPr>
        <w:t>磋商须知前附表</w:t>
      </w:r>
      <w:r>
        <w:rPr>
          <w:rFonts w:hint="eastAsia" w:ascii="宋体" w:hAnsi="宋体" w:cs="宋体"/>
          <w:color w:val="auto"/>
          <w:kern w:val="0"/>
          <w:szCs w:val="21"/>
        </w:rPr>
        <w:t>】。</w:t>
      </w:r>
    </w:p>
    <w:p w14:paraId="29C478A9">
      <w:pPr>
        <w:pStyle w:val="6"/>
        <w:keepNext w:val="0"/>
        <w:keepLines w:val="0"/>
        <w:adjustRightInd w:val="0"/>
        <w:snapToGrid w:val="0"/>
        <w:spacing w:before="0" w:after="0" w:line="360" w:lineRule="auto"/>
        <w:rPr>
          <w:rFonts w:ascii="宋体" w:hAnsi="宋体" w:eastAsia="宋体" w:cs="宋体"/>
          <w:color w:val="auto"/>
          <w:sz w:val="24"/>
          <w:szCs w:val="24"/>
        </w:rPr>
      </w:pPr>
      <w:bookmarkStart w:id="100" w:name="_Toc69831407"/>
      <w:r>
        <w:rPr>
          <w:rFonts w:hint="eastAsia" w:ascii="宋体" w:hAnsi="宋体" w:eastAsia="宋体" w:cs="宋体"/>
          <w:color w:val="auto"/>
          <w:sz w:val="24"/>
          <w:szCs w:val="24"/>
        </w:rPr>
        <w:t>23.澄清</w:t>
      </w:r>
      <w:bookmarkEnd w:id="100"/>
    </w:p>
    <w:p w14:paraId="19599934">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23.1磋商小组在对响应文件(包括</w:t>
      </w:r>
      <w:r>
        <w:rPr>
          <w:rFonts w:hint="eastAsia" w:ascii="宋体" w:hAnsi="宋体" w:cs="宋体"/>
          <w:color w:val="auto"/>
          <w:kern w:val="0"/>
        </w:rPr>
        <w:t>首次提交的</w:t>
      </w:r>
      <w:r>
        <w:rPr>
          <w:rFonts w:hint="eastAsia" w:ascii="宋体" w:hAnsi="宋体" w:cs="宋体"/>
          <w:color w:val="auto"/>
          <w:kern w:val="0"/>
          <w:szCs w:val="21"/>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14:paraId="08DFFCDF">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23.2最后报价如有算术错误的，磋商小组按</w:t>
      </w:r>
      <w:r>
        <w:rPr>
          <w:rFonts w:hint="eastAsia" w:ascii="宋体" w:hAnsi="宋体" w:cs="宋体"/>
          <w:b/>
          <w:color w:val="auto"/>
          <w:kern w:val="0"/>
          <w:szCs w:val="21"/>
        </w:rPr>
        <w:t>【磋商须知前附表】</w:t>
      </w:r>
      <w:r>
        <w:rPr>
          <w:rFonts w:hint="eastAsia" w:ascii="宋体" w:hAnsi="宋体" w:cs="宋体"/>
          <w:color w:val="auto"/>
          <w:kern w:val="0"/>
          <w:szCs w:val="21"/>
        </w:rPr>
        <w:t>规定对报价进行修正，修正的价格经供应商书面确认，并由供应商代表签字或者加盖单位章确认后产生约束力，供应商不接受修正价格的，按响应文件无效处理。</w:t>
      </w:r>
    </w:p>
    <w:p w14:paraId="5FCBAA89">
      <w:pPr>
        <w:pStyle w:val="6"/>
        <w:keepNext w:val="0"/>
        <w:keepLines w:val="0"/>
        <w:adjustRightInd w:val="0"/>
        <w:snapToGrid w:val="0"/>
        <w:spacing w:before="0" w:after="0" w:line="360" w:lineRule="auto"/>
        <w:rPr>
          <w:rFonts w:ascii="宋体" w:hAnsi="宋体" w:eastAsia="宋体" w:cs="宋体"/>
          <w:color w:val="auto"/>
          <w:sz w:val="24"/>
          <w:szCs w:val="24"/>
        </w:rPr>
      </w:pPr>
      <w:bookmarkStart w:id="101" w:name="_Toc69831408"/>
      <w:r>
        <w:rPr>
          <w:rFonts w:hint="eastAsia" w:ascii="宋体" w:hAnsi="宋体" w:eastAsia="宋体" w:cs="宋体"/>
          <w:color w:val="auto"/>
          <w:sz w:val="24"/>
          <w:szCs w:val="24"/>
        </w:rPr>
        <w:t>24.磋商</w:t>
      </w:r>
      <w:bookmarkEnd w:id="101"/>
    </w:p>
    <w:p w14:paraId="10E10646">
      <w:pPr>
        <w:adjustRightInd w:val="0"/>
        <w:snapToGrid w:val="0"/>
        <w:spacing w:line="360" w:lineRule="auto"/>
        <w:ind w:firstLine="420"/>
        <w:jc w:val="left"/>
        <w:rPr>
          <w:rFonts w:ascii="宋体" w:hAnsi="宋体" w:cs="宋体"/>
          <w:color w:val="auto"/>
          <w:kern w:val="0"/>
          <w:szCs w:val="21"/>
        </w:rPr>
      </w:pPr>
      <w:r>
        <w:rPr>
          <w:rFonts w:hint="eastAsia" w:ascii="宋体" w:hAnsi="宋体" w:cs="宋体"/>
          <w:bCs/>
          <w:color w:val="auto"/>
          <w:szCs w:val="21"/>
        </w:rPr>
        <w:t>24.1初步审查结束后，</w:t>
      </w:r>
      <w:r>
        <w:rPr>
          <w:rFonts w:hint="eastAsia" w:ascii="宋体" w:hAnsi="宋体" w:cs="宋体"/>
          <w:color w:val="auto"/>
          <w:kern w:val="0"/>
          <w:szCs w:val="21"/>
        </w:rPr>
        <w:t>磋商小组所有成员集中与单一供应商分别进行磋商，并给予所有参加磋商的供应商平等的磋商机会。供应商应派其代表参加磋商。</w:t>
      </w:r>
    </w:p>
    <w:p w14:paraId="34F94E65">
      <w:pPr>
        <w:adjustRightInd w:val="0"/>
        <w:snapToGrid w:val="0"/>
        <w:spacing w:line="360" w:lineRule="auto"/>
        <w:ind w:firstLine="420"/>
        <w:jc w:val="left"/>
        <w:rPr>
          <w:rFonts w:ascii="宋体" w:hAnsi="宋体" w:cs="宋体"/>
          <w:color w:val="auto"/>
          <w:kern w:val="0"/>
          <w:szCs w:val="21"/>
        </w:rPr>
      </w:pPr>
      <w:r>
        <w:rPr>
          <w:rFonts w:hint="eastAsia" w:ascii="宋体" w:hAnsi="宋体" w:cs="宋体"/>
          <w:bCs/>
          <w:color w:val="auto"/>
          <w:szCs w:val="21"/>
        </w:rPr>
        <w:t>24.2</w:t>
      </w:r>
      <w:r>
        <w:rPr>
          <w:rFonts w:hint="eastAsia" w:ascii="宋体" w:hAnsi="宋体" w:cs="宋体"/>
          <w:color w:val="auto"/>
          <w:kern w:val="0"/>
          <w:szCs w:val="21"/>
        </w:rPr>
        <w:t>在磋商过程中，磋商小组可以根据磋商文件规定和磋商情况实质性变动技术、服务要求以及合同条款，但不得变动磋商文件中的其他内容。实质性变动的内容，须经采购人代表确认。</w:t>
      </w:r>
    </w:p>
    <w:p w14:paraId="0C863453">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24.3对磋商文件作出的实质性变动是磋商文件的有效组成部分，磋商小组应当及时以书面形式同时通知所有参加磋商的供应商。</w:t>
      </w:r>
    </w:p>
    <w:p w14:paraId="0C8027EE">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24.4供应商应当按照磋商文件的变动情况和磋商小组的要求重新提交响应文件，重新提交的响应文件应当对磋商小组书面通知提出的要求和条件作出明确响应，并由供应商代表签字或者加盖供应商单位公章。</w:t>
      </w:r>
    </w:p>
    <w:p w14:paraId="0953C304">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24.5磋商结束后，供应商按磋商小组要求重新提交的响应文件，不满足磋商文件实质性要求（包括实质性变动的技术、服务要求以及合同条款）的，按无效响应处理。</w:t>
      </w:r>
    </w:p>
    <w:p w14:paraId="3F6B7185">
      <w:pPr>
        <w:pStyle w:val="6"/>
        <w:keepNext w:val="0"/>
        <w:keepLines w:val="0"/>
        <w:adjustRightInd w:val="0"/>
        <w:snapToGrid w:val="0"/>
        <w:spacing w:before="0" w:after="0" w:line="360" w:lineRule="auto"/>
        <w:rPr>
          <w:rFonts w:ascii="宋体" w:hAnsi="宋体" w:eastAsia="宋体" w:cs="宋体"/>
          <w:color w:val="auto"/>
          <w:kern w:val="0"/>
          <w:sz w:val="24"/>
          <w:szCs w:val="24"/>
        </w:rPr>
      </w:pPr>
      <w:bookmarkStart w:id="102" w:name="_Toc69831409"/>
      <w:r>
        <w:rPr>
          <w:rFonts w:hint="eastAsia" w:ascii="宋体" w:hAnsi="宋体" w:eastAsia="宋体" w:cs="宋体"/>
          <w:color w:val="auto"/>
          <w:sz w:val="24"/>
          <w:szCs w:val="24"/>
        </w:rPr>
        <w:t>25.退出磋商</w:t>
      </w:r>
      <w:bookmarkEnd w:id="102"/>
    </w:p>
    <w:p w14:paraId="08C9AF26">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25.1供应商在提交最后报价之前，可以根据磋商情况退出磋商，</w:t>
      </w:r>
      <w:r>
        <w:rPr>
          <w:rFonts w:hint="eastAsia" w:ascii="宋体" w:hAnsi="宋体" w:cs="宋体"/>
          <w:color w:val="auto"/>
          <w:kern w:val="0"/>
        </w:rPr>
        <w:t>并书面通知采购人、采购代理机构或者磋商小组。</w:t>
      </w:r>
      <w:r>
        <w:rPr>
          <w:rFonts w:hint="eastAsia" w:ascii="宋体" w:hAnsi="宋体" w:cs="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s="宋体"/>
          <w:color w:val="auto"/>
        </w:rPr>
        <w:t>11.4</w:t>
      </w:r>
      <w:r>
        <w:rPr>
          <w:rFonts w:hint="eastAsia" w:ascii="宋体" w:hAnsi="宋体" w:cs="宋体"/>
          <w:color w:val="auto"/>
          <w:kern w:val="0"/>
          <w:szCs w:val="21"/>
          <w:lang w:val="zh-CN"/>
        </w:rPr>
        <w:t>款</w:t>
      </w:r>
      <w:r>
        <w:rPr>
          <w:rFonts w:hint="eastAsia" w:ascii="宋体" w:hAnsi="宋体" w:cs="宋体"/>
          <w:color w:val="auto"/>
        </w:rPr>
        <w:t>规定</w:t>
      </w:r>
      <w:r>
        <w:rPr>
          <w:rFonts w:hint="eastAsia" w:ascii="宋体" w:hAnsi="宋体" w:cs="宋体"/>
          <w:color w:val="auto"/>
          <w:kern w:val="0"/>
          <w:szCs w:val="21"/>
        </w:rPr>
        <w:t>退还退出磋商的供应商的保证金。</w:t>
      </w:r>
    </w:p>
    <w:p w14:paraId="6324520D">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25.2供应商参与磋商，但未提交最后报价又未按前款规定退出磋商的，保证金不予退还。</w:t>
      </w:r>
    </w:p>
    <w:p w14:paraId="19B17810">
      <w:pPr>
        <w:pStyle w:val="6"/>
        <w:keepNext w:val="0"/>
        <w:keepLines w:val="0"/>
        <w:adjustRightInd w:val="0"/>
        <w:snapToGrid w:val="0"/>
        <w:spacing w:before="0" w:after="0" w:line="360" w:lineRule="auto"/>
        <w:rPr>
          <w:rFonts w:ascii="宋体" w:hAnsi="宋体" w:eastAsia="宋体" w:cs="宋体"/>
          <w:color w:val="auto"/>
          <w:sz w:val="24"/>
          <w:szCs w:val="24"/>
        </w:rPr>
      </w:pPr>
      <w:bookmarkStart w:id="103" w:name="_Toc69831410"/>
      <w:r>
        <w:rPr>
          <w:rFonts w:hint="eastAsia" w:ascii="宋体" w:hAnsi="宋体" w:eastAsia="宋体" w:cs="宋体"/>
          <w:color w:val="auto"/>
          <w:sz w:val="24"/>
          <w:szCs w:val="24"/>
        </w:rPr>
        <w:t>26.最后报价</w:t>
      </w:r>
      <w:bookmarkEnd w:id="103"/>
    </w:p>
    <w:p w14:paraId="601727E9">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26.1响应文件（包括重新提交的响应文件）按无效处理的，磋商小组不得要求其提交最后报价，也不得接受其提交的最后报价。</w:t>
      </w:r>
    </w:p>
    <w:p w14:paraId="79FAE2D6">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26.2磋商文件能够详细列明采购需求的技术、服务要求的，磋商结束后，磋商小组应当要求所有供应商在规定时间内提交最后报价。</w:t>
      </w:r>
    </w:p>
    <w:p w14:paraId="59983CAA">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26.3磋商文件不能详细列明采购需求的技术、服务要求，需经磋商由供应商提供最终设计方案或者解决方案的，磋商结束后，磋商小组应当按照少数服从多数的原则投票推荐3家以上供应商的设计方案或者解决方案，并要求其在规定时间内提交最后报价。</w:t>
      </w:r>
    </w:p>
    <w:p w14:paraId="62081987">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26.4最后报价是供应商响应文件的有效组成部分，由供应商代表签字或者加盖供应商单位公章。</w:t>
      </w:r>
    </w:p>
    <w:p w14:paraId="453FDD17">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26.5符合下列情形的项目，提交最后报价的供应商可以为2家。</w:t>
      </w:r>
    </w:p>
    <w:p w14:paraId="7EA6FE9F">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（1）市场竞争不充分的科研项目，以及需要扶持的科技成果转化项目；</w:t>
      </w:r>
    </w:p>
    <w:p w14:paraId="08C61DA5">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（2）政府购买服务项目（含政府和社会资本合作项目）。</w:t>
      </w:r>
    </w:p>
    <w:p w14:paraId="0350E453">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26.6下列情形，磋商小组可以直接要求响应文件满足磋商文件全部实质性要求的供应商提交最后报价。</w:t>
      </w:r>
    </w:p>
    <w:p w14:paraId="4BD7D108">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（1）磋商文件未明确可能实质性变动的；</w:t>
      </w:r>
    </w:p>
    <w:p w14:paraId="584A328A">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（2）磋商文件明确可能实质性变动，但磋商小组对供应商提交的首次响应文件的有效性、完整性和响应程度进行审查后，认为磋商文件不需发生实质性变动的。</w:t>
      </w:r>
    </w:p>
    <w:p w14:paraId="7B207A27">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26.7磋商小组应召集所有提交最后报价的供应商，逐一</w:t>
      </w:r>
      <w:r>
        <w:rPr>
          <w:rFonts w:hint="eastAsia" w:ascii="宋体" w:hAnsi="宋体" w:cs="宋体"/>
          <w:bCs/>
          <w:color w:val="auto"/>
          <w:szCs w:val="21"/>
        </w:rPr>
        <w:t>公布</w:t>
      </w:r>
      <w:r>
        <w:rPr>
          <w:rFonts w:hint="eastAsia" w:ascii="宋体" w:hAnsi="宋体" w:cs="宋体"/>
          <w:color w:val="auto"/>
          <w:kern w:val="0"/>
          <w:szCs w:val="21"/>
          <w:lang w:val="zh-CN"/>
        </w:rPr>
        <w:t>供应商的</w:t>
      </w:r>
      <w:r>
        <w:rPr>
          <w:rFonts w:hint="eastAsia" w:ascii="宋体" w:hAnsi="宋体" w:cs="宋体"/>
          <w:bCs/>
          <w:color w:val="auto"/>
          <w:szCs w:val="21"/>
        </w:rPr>
        <w:t>最</w:t>
      </w:r>
      <w:r>
        <w:rPr>
          <w:rFonts w:hint="eastAsia" w:ascii="宋体" w:hAnsi="宋体" w:cs="宋体"/>
          <w:color w:val="auto"/>
          <w:kern w:val="0"/>
          <w:szCs w:val="21"/>
          <w:lang w:val="zh-CN"/>
        </w:rPr>
        <w:t>后</w:t>
      </w:r>
      <w:r>
        <w:rPr>
          <w:rFonts w:hint="eastAsia" w:ascii="宋体" w:hAnsi="宋体" w:cs="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14:paraId="79352D7E">
      <w:pPr>
        <w:pStyle w:val="6"/>
        <w:keepNext w:val="0"/>
        <w:keepLines w:val="0"/>
        <w:adjustRightInd w:val="0"/>
        <w:snapToGrid w:val="0"/>
        <w:spacing w:before="0" w:after="0" w:line="360" w:lineRule="auto"/>
        <w:rPr>
          <w:rFonts w:ascii="宋体" w:hAnsi="宋体" w:eastAsia="宋体" w:cs="宋体"/>
          <w:color w:val="auto"/>
          <w:kern w:val="0"/>
          <w:sz w:val="24"/>
          <w:szCs w:val="24"/>
        </w:rPr>
      </w:pPr>
      <w:bookmarkStart w:id="104" w:name="_Toc69831411"/>
      <w:r>
        <w:rPr>
          <w:rFonts w:hint="eastAsia" w:ascii="宋体" w:hAnsi="宋体" w:eastAsia="宋体" w:cs="宋体"/>
          <w:color w:val="auto"/>
          <w:sz w:val="24"/>
          <w:szCs w:val="24"/>
        </w:rPr>
        <w:t>27.综合评审</w:t>
      </w:r>
      <w:bookmarkEnd w:id="104"/>
    </w:p>
    <w:p w14:paraId="2B982023">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bCs/>
          <w:color w:val="auto"/>
          <w:szCs w:val="21"/>
        </w:rPr>
        <w:t>27．1</w:t>
      </w:r>
      <w:r>
        <w:rPr>
          <w:rFonts w:hint="eastAsia" w:ascii="宋体" w:hAnsi="宋体" w:cs="宋体"/>
          <w:color w:val="auto"/>
          <w:kern w:val="0"/>
          <w:szCs w:val="21"/>
        </w:rPr>
        <w:t>经磋商确定最终采购需求和提交最后报价的供应商后，由磋商小组采用综合评分法对提交最后报价的供应商响应文件和最后报价进行综合评分。</w:t>
      </w:r>
    </w:p>
    <w:p w14:paraId="23D9AAC8">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27.2 评审办法及标准见第三章“资格审查及评审方法及标准”。</w:t>
      </w:r>
    </w:p>
    <w:p w14:paraId="314FE5CC">
      <w:pPr>
        <w:pStyle w:val="6"/>
        <w:keepNext w:val="0"/>
        <w:keepLines w:val="0"/>
        <w:adjustRightInd w:val="0"/>
        <w:snapToGrid w:val="0"/>
        <w:spacing w:before="0" w:after="0" w:line="360" w:lineRule="auto"/>
        <w:rPr>
          <w:rFonts w:ascii="宋体" w:hAnsi="宋体" w:eastAsia="宋体" w:cs="宋体"/>
          <w:color w:val="auto"/>
          <w:sz w:val="24"/>
          <w:szCs w:val="24"/>
        </w:rPr>
      </w:pPr>
      <w:bookmarkStart w:id="105" w:name="_Toc38115948"/>
      <w:bookmarkStart w:id="106" w:name="_Toc69831412"/>
      <w:r>
        <w:rPr>
          <w:rFonts w:hint="eastAsia" w:ascii="宋体" w:hAnsi="宋体" w:eastAsia="宋体" w:cs="宋体"/>
          <w:color w:val="auto"/>
          <w:sz w:val="24"/>
          <w:szCs w:val="24"/>
        </w:rPr>
        <w:t>28.</w:t>
      </w:r>
      <w:bookmarkEnd w:id="105"/>
      <w:r>
        <w:rPr>
          <w:rFonts w:hint="eastAsia" w:ascii="宋体" w:hAnsi="宋体" w:eastAsia="宋体" w:cs="宋体"/>
          <w:color w:val="auto"/>
          <w:sz w:val="24"/>
          <w:szCs w:val="24"/>
        </w:rPr>
        <w:t>推荐成交候选供应商</w:t>
      </w:r>
      <w:bookmarkEnd w:id="106"/>
    </w:p>
    <w:p w14:paraId="5A265BC5">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28.1磋商小组应当按照综合评分由高到低的顺序推荐3名以上成交候选供应商，并编写评审报告。市场竞争不充分的科研项目、需要扶持的科技成果转化项目，以及政府购买服务项目(含政府和社会资本合作项目)，成交候选供应商可以为2家。</w:t>
      </w:r>
    </w:p>
    <w:p w14:paraId="59599A20">
      <w:pPr>
        <w:pStyle w:val="6"/>
        <w:keepNext w:val="0"/>
        <w:keepLines w:val="0"/>
        <w:adjustRightInd w:val="0"/>
        <w:snapToGrid w:val="0"/>
        <w:spacing w:before="0" w:after="0" w:line="360" w:lineRule="auto"/>
        <w:rPr>
          <w:rFonts w:ascii="宋体" w:hAnsi="宋体" w:eastAsia="宋体" w:cs="宋体"/>
          <w:color w:val="auto"/>
          <w:sz w:val="24"/>
          <w:szCs w:val="24"/>
        </w:rPr>
      </w:pPr>
      <w:bookmarkStart w:id="107" w:name="_Toc69831413"/>
      <w:r>
        <w:rPr>
          <w:rFonts w:hint="eastAsia" w:ascii="宋体" w:hAnsi="宋体" w:eastAsia="宋体" w:cs="宋体"/>
          <w:color w:val="auto"/>
          <w:sz w:val="24"/>
          <w:szCs w:val="24"/>
        </w:rPr>
        <w:t>29.确定成交供应商</w:t>
      </w:r>
      <w:bookmarkEnd w:id="107"/>
    </w:p>
    <w:p w14:paraId="645264F5">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29.1采购代理机构应当在评审结束后2个工作日内将评审报告送采购人确认。</w:t>
      </w:r>
    </w:p>
    <w:p w14:paraId="1DD60060">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29.2采购人应当在收到评审报告后5个工作日内，从评审报告提出的成交候选供应商中，按照排序由高到低的原则确定成交供应商，也可以书面授权磋商小组直接确定成交供应商。</w:t>
      </w:r>
    </w:p>
    <w:p w14:paraId="6ECA743F">
      <w:pPr>
        <w:pStyle w:val="6"/>
        <w:keepNext w:val="0"/>
        <w:keepLines w:val="0"/>
        <w:adjustRightInd w:val="0"/>
        <w:snapToGrid w:val="0"/>
        <w:spacing w:before="0" w:after="0" w:line="360" w:lineRule="auto"/>
        <w:rPr>
          <w:rFonts w:ascii="宋体" w:hAnsi="宋体" w:eastAsia="宋体" w:cs="宋体"/>
          <w:color w:val="auto"/>
          <w:sz w:val="24"/>
          <w:szCs w:val="24"/>
        </w:rPr>
      </w:pPr>
      <w:bookmarkStart w:id="108" w:name="_Toc69831414"/>
      <w:r>
        <w:rPr>
          <w:rFonts w:hint="eastAsia" w:ascii="宋体" w:hAnsi="宋体" w:eastAsia="宋体" w:cs="宋体"/>
          <w:color w:val="auto"/>
          <w:sz w:val="24"/>
          <w:szCs w:val="24"/>
        </w:rPr>
        <w:t>30.保密</w:t>
      </w:r>
      <w:bookmarkEnd w:id="108"/>
    </w:p>
    <w:p w14:paraId="5BDA1438">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30.1磋商小组成员以及与评审工作有关的人员不得泄露评审情况以及评审过程中获悉的国家秘密、商业秘密。</w:t>
      </w:r>
    </w:p>
    <w:p w14:paraId="54F0E279">
      <w:pPr>
        <w:pStyle w:val="6"/>
        <w:keepNext w:val="0"/>
        <w:keepLines w:val="0"/>
        <w:spacing w:before="0" w:after="0" w:line="360" w:lineRule="auto"/>
        <w:rPr>
          <w:rFonts w:ascii="宋体" w:hAnsi="宋体" w:eastAsia="宋体" w:cs="宋体"/>
          <w:color w:val="auto"/>
          <w:sz w:val="24"/>
          <w:szCs w:val="24"/>
        </w:rPr>
      </w:pPr>
      <w:bookmarkStart w:id="109" w:name="_Toc69831415"/>
      <w:r>
        <w:rPr>
          <w:rFonts w:hint="eastAsia" w:ascii="宋体" w:hAnsi="宋体" w:eastAsia="宋体" w:cs="宋体"/>
          <w:color w:val="auto"/>
          <w:sz w:val="24"/>
          <w:szCs w:val="24"/>
        </w:rPr>
        <w:t>31.公平竞争</w:t>
      </w:r>
      <w:bookmarkEnd w:id="109"/>
    </w:p>
    <w:p w14:paraId="7512B157">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31.1在磋商过程中发现供应商有不遵循公平竞争的原则，恶意串通，妨碍其他供应商的竞争行为，损害采购人或者其他供应商的合法权益的，磋商小组应当认定其响应无效，并书面报告本级财政部门。</w:t>
      </w:r>
      <w:bookmarkStart w:id="110" w:name="_Toc69831416"/>
    </w:p>
    <w:p w14:paraId="1A1207E3">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111" w:name="_Toc29929"/>
      <w:r>
        <w:rPr>
          <w:rFonts w:hint="eastAsia" w:ascii="黑体" w:hAnsi="黑体" w:eastAsia="黑体" w:cs="Times New Roman"/>
          <w:b w:val="0"/>
          <w:bCs w:val="0"/>
          <w:color w:val="auto"/>
          <w:sz w:val="28"/>
          <w:szCs w:val="28"/>
        </w:rPr>
        <w:t>六、成交结果信息公布与授予合同</w:t>
      </w:r>
      <w:bookmarkEnd w:id="110"/>
      <w:bookmarkEnd w:id="111"/>
    </w:p>
    <w:p w14:paraId="7F5A63BD">
      <w:pPr>
        <w:pStyle w:val="6"/>
        <w:keepNext w:val="0"/>
        <w:keepLines w:val="0"/>
        <w:adjustRightInd w:val="0"/>
        <w:snapToGrid w:val="0"/>
        <w:spacing w:before="0" w:after="0" w:line="360" w:lineRule="auto"/>
        <w:rPr>
          <w:rFonts w:ascii="宋体" w:hAnsi="宋体" w:eastAsia="宋体" w:cs="宋体"/>
          <w:color w:val="auto"/>
          <w:sz w:val="24"/>
          <w:szCs w:val="24"/>
        </w:rPr>
      </w:pPr>
      <w:bookmarkStart w:id="112" w:name="_Toc69831417"/>
      <w:r>
        <w:rPr>
          <w:rFonts w:hint="eastAsia" w:ascii="宋体" w:hAnsi="宋体" w:eastAsia="宋体" w:cs="宋体"/>
          <w:color w:val="auto"/>
          <w:sz w:val="24"/>
          <w:szCs w:val="24"/>
        </w:rPr>
        <w:t>32.成交信息的公布与成交通知书</w:t>
      </w:r>
      <w:bookmarkEnd w:id="112"/>
    </w:p>
    <w:p w14:paraId="0072F4E9">
      <w:pPr>
        <w:pStyle w:val="12"/>
        <w:adjustRightInd w:val="0"/>
        <w:snapToGrid w:val="0"/>
        <w:spacing w:line="360" w:lineRule="auto"/>
        <w:ind w:firstLine="420" w:firstLineChars="200"/>
        <w:rPr>
          <w:rFonts w:hAnsi="宋体" w:cs="宋体"/>
          <w:color w:val="auto"/>
        </w:rPr>
      </w:pPr>
      <w:r>
        <w:rPr>
          <w:rFonts w:hint="eastAsia" w:hAnsi="宋体" w:cs="宋体"/>
          <w:color w:val="auto"/>
        </w:rPr>
        <w:t>32.1采购人、采购代理机构应当自采购人确定成交供应商之日起2个工作日内，发出成交通知书，并在</w:t>
      </w:r>
      <w:r>
        <w:rPr>
          <w:rFonts w:hint="eastAsia" w:hAnsi="宋体" w:cs="宋体"/>
          <w:b/>
          <w:color w:val="auto"/>
        </w:rPr>
        <w:t>【磋商须知前附表】</w:t>
      </w:r>
      <w:r>
        <w:rPr>
          <w:rFonts w:hint="eastAsia" w:hAnsi="宋体" w:cs="宋体"/>
          <w:color w:val="auto"/>
        </w:rPr>
        <w:t>指定媒体上公告成交结果，成交供应商的《中小企业声明函》随成交结果同时公告，成交结果公告期限为１个工作日。</w:t>
      </w:r>
    </w:p>
    <w:p w14:paraId="59E5EFB1">
      <w:pPr>
        <w:pStyle w:val="12"/>
        <w:adjustRightInd w:val="0"/>
        <w:snapToGrid w:val="0"/>
        <w:spacing w:line="360" w:lineRule="auto"/>
        <w:ind w:firstLine="420" w:firstLineChars="200"/>
        <w:rPr>
          <w:rFonts w:hAnsi="宋体" w:cs="宋体"/>
          <w:color w:val="auto"/>
        </w:rPr>
      </w:pPr>
      <w:r>
        <w:rPr>
          <w:rFonts w:hint="eastAsia" w:hAnsi="宋体" w:cs="宋体"/>
          <w:color w:val="auto"/>
        </w:rPr>
        <w:t>32.2成交供应商确定后，采购人、采购代理机构将以书面形式向成交供应商发出成交通知书。成交通知书对采购人和成交供应商具有同等法律效力。</w:t>
      </w:r>
    </w:p>
    <w:p w14:paraId="534DA37F">
      <w:pPr>
        <w:pStyle w:val="12"/>
        <w:adjustRightInd w:val="0"/>
        <w:snapToGrid w:val="0"/>
        <w:spacing w:line="360" w:lineRule="auto"/>
        <w:ind w:firstLine="420" w:firstLineChars="200"/>
        <w:rPr>
          <w:rFonts w:hAnsi="宋体" w:cs="宋体"/>
          <w:color w:val="auto"/>
        </w:rPr>
      </w:pPr>
      <w:r>
        <w:rPr>
          <w:rFonts w:hint="eastAsia" w:hAnsi="宋体" w:cs="宋体"/>
          <w:color w:val="auto"/>
        </w:rPr>
        <w:t>32.3成交通知书是合同文件的组成部分。</w:t>
      </w:r>
    </w:p>
    <w:p w14:paraId="7F61D43E">
      <w:pPr>
        <w:pStyle w:val="6"/>
        <w:keepNext w:val="0"/>
        <w:keepLines w:val="0"/>
        <w:adjustRightInd w:val="0"/>
        <w:snapToGrid w:val="0"/>
        <w:spacing w:before="0" w:after="0" w:line="360" w:lineRule="auto"/>
        <w:rPr>
          <w:rFonts w:ascii="宋体" w:hAnsi="宋体" w:eastAsia="宋体" w:cs="宋体"/>
          <w:color w:val="auto"/>
          <w:sz w:val="24"/>
          <w:szCs w:val="24"/>
        </w:rPr>
      </w:pPr>
      <w:bookmarkStart w:id="113" w:name="_Toc69831418"/>
      <w:r>
        <w:rPr>
          <w:rFonts w:hint="eastAsia" w:ascii="宋体" w:hAnsi="宋体" w:eastAsia="宋体" w:cs="宋体"/>
          <w:color w:val="auto"/>
          <w:sz w:val="24"/>
          <w:szCs w:val="24"/>
        </w:rPr>
        <w:t>33.询问及质疑</w:t>
      </w:r>
      <w:bookmarkEnd w:id="113"/>
    </w:p>
    <w:p w14:paraId="50A2FD52">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33.1供应商对政府采购活动事项有疑问的，可以向采购人、采购代理机构提出询问。</w:t>
      </w:r>
    </w:p>
    <w:p w14:paraId="572501C5">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szCs w:val="21"/>
        </w:rPr>
        <w:t>33.2供应商若认为磋商文件、采购过程和成交结果使自己的权益受到损害，可以按法律、规章及《湖南省财政厅关于印发＜政府采购质疑答复和投诉处理操作规程＞的通知》(湘财购〔2019〕20号)文件规定向采购人、采购代理机构提出质疑。</w:t>
      </w:r>
    </w:p>
    <w:p w14:paraId="23113342">
      <w:pPr>
        <w:pStyle w:val="6"/>
        <w:keepNext w:val="0"/>
        <w:keepLines w:val="0"/>
        <w:adjustRightInd w:val="0"/>
        <w:snapToGrid w:val="0"/>
        <w:spacing w:before="0" w:after="0" w:line="360" w:lineRule="auto"/>
        <w:rPr>
          <w:rFonts w:ascii="宋体" w:hAnsi="宋体" w:eastAsia="宋体" w:cs="宋体"/>
          <w:color w:val="auto"/>
          <w:sz w:val="24"/>
          <w:szCs w:val="24"/>
        </w:rPr>
      </w:pPr>
      <w:bookmarkStart w:id="114" w:name="_Toc69831419"/>
      <w:r>
        <w:rPr>
          <w:rFonts w:hint="eastAsia" w:ascii="宋体" w:hAnsi="宋体" w:eastAsia="宋体" w:cs="宋体"/>
          <w:color w:val="auto"/>
          <w:sz w:val="24"/>
          <w:szCs w:val="24"/>
        </w:rPr>
        <w:t>34.履约担保</w:t>
      </w:r>
      <w:bookmarkEnd w:id="114"/>
    </w:p>
    <w:p w14:paraId="18ABE4F4">
      <w:pPr>
        <w:tabs>
          <w:tab w:val="left" w:pos="7560"/>
          <w:tab w:val="left" w:pos="7740"/>
          <w:tab w:val="left" w:pos="7920"/>
        </w:tabs>
        <w:autoSpaceDN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kern w:val="0"/>
          <w:szCs w:val="21"/>
        </w:rPr>
        <w:t>34.1</w:t>
      </w:r>
      <w:r>
        <w:rPr>
          <w:rFonts w:hint="eastAsia" w:ascii="宋体" w:hAnsi="宋体" w:cs="宋体"/>
          <w:color w:val="auto"/>
          <w:szCs w:val="21"/>
        </w:rPr>
        <w:t>磋商文件要求成交供应商向采购人提交履约担保的，成交供应商应按照</w:t>
      </w:r>
      <w:r>
        <w:rPr>
          <w:rFonts w:hint="eastAsia" w:ascii="宋体" w:hAnsi="宋体" w:cs="宋体"/>
          <w:b/>
          <w:color w:val="auto"/>
          <w:szCs w:val="21"/>
        </w:rPr>
        <w:t>【磋商须知前附表】</w:t>
      </w:r>
      <w:r>
        <w:rPr>
          <w:rFonts w:hint="eastAsia" w:ascii="宋体" w:hAnsi="宋体" w:cs="宋体"/>
          <w:color w:val="auto"/>
          <w:szCs w:val="21"/>
        </w:rPr>
        <w:t>的规定提交。联合体成交的，履约担保由联合体各方或者联合体中牵头人的名义提交。</w:t>
      </w:r>
    </w:p>
    <w:p w14:paraId="0E94F73C">
      <w:pPr>
        <w:pStyle w:val="12"/>
        <w:adjustRightInd w:val="0"/>
        <w:snapToGrid w:val="0"/>
        <w:spacing w:line="360" w:lineRule="auto"/>
        <w:ind w:firstLine="420" w:firstLineChars="200"/>
        <w:rPr>
          <w:rFonts w:hAnsi="宋体" w:cs="宋体"/>
          <w:color w:val="auto"/>
        </w:rPr>
      </w:pPr>
      <w:r>
        <w:rPr>
          <w:rFonts w:hint="eastAsia" w:hAnsi="宋体" w:cs="宋体"/>
          <w:color w:val="auto"/>
        </w:rPr>
        <w:t>34.2成交供应商</w:t>
      </w:r>
      <w:r>
        <w:rPr>
          <w:rFonts w:hint="eastAsia" w:hAnsi="宋体" w:cs="宋体"/>
          <w:color w:val="auto"/>
          <w:spacing w:val="4"/>
        </w:rPr>
        <w:t>没有按照本章第34.1</w:t>
      </w:r>
      <w:r>
        <w:rPr>
          <w:rFonts w:hint="eastAsia" w:hAnsi="宋体" w:cs="宋体"/>
          <w:color w:val="auto"/>
          <w:kern w:val="0"/>
          <w:lang w:val="zh-CN"/>
        </w:rPr>
        <w:t>款</w:t>
      </w:r>
      <w:r>
        <w:rPr>
          <w:rFonts w:hint="eastAsia" w:hAnsi="宋体" w:cs="宋体"/>
          <w:color w:val="auto"/>
          <w:spacing w:val="4"/>
        </w:rPr>
        <w:t>规定</w:t>
      </w:r>
      <w:r>
        <w:rPr>
          <w:rFonts w:hint="eastAsia" w:hAnsi="宋体" w:cs="宋体"/>
          <w:color w:val="auto"/>
        </w:rPr>
        <w:t>提交履约担保的</w:t>
      </w:r>
      <w:r>
        <w:rPr>
          <w:rFonts w:hint="eastAsia" w:hAnsi="宋体" w:cs="宋体"/>
          <w:color w:val="auto"/>
          <w:spacing w:val="4"/>
        </w:rPr>
        <w:t>，视为放弃</w:t>
      </w:r>
      <w:r>
        <w:rPr>
          <w:rFonts w:hint="eastAsia" w:hAnsi="宋体" w:cs="宋体"/>
          <w:color w:val="auto"/>
        </w:rPr>
        <w:t>成交资格</w:t>
      </w:r>
      <w:r>
        <w:rPr>
          <w:rFonts w:hint="eastAsia" w:hAnsi="宋体" w:cs="宋体"/>
          <w:color w:val="auto"/>
          <w:spacing w:val="4"/>
        </w:rPr>
        <w:t>，</w:t>
      </w:r>
      <w:r>
        <w:rPr>
          <w:rFonts w:hint="eastAsia" w:hAnsi="宋体" w:cs="宋体"/>
          <w:color w:val="auto"/>
          <w:spacing w:val="2"/>
        </w:rPr>
        <w:t>其保证金不予退还。</w:t>
      </w:r>
    </w:p>
    <w:p w14:paraId="58A23EFC">
      <w:pPr>
        <w:pStyle w:val="6"/>
        <w:keepNext w:val="0"/>
        <w:keepLines w:val="0"/>
        <w:adjustRightInd w:val="0"/>
        <w:snapToGrid w:val="0"/>
        <w:spacing w:before="0" w:after="0" w:line="360" w:lineRule="auto"/>
        <w:rPr>
          <w:rFonts w:ascii="宋体" w:hAnsi="宋体" w:eastAsia="宋体" w:cs="宋体"/>
          <w:color w:val="auto"/>
          <w:sz w:val="24"/>
          <w:szCs w:val="24"/>
        </w:rPr>
      </w:pPr>
      <w:bookmarkStart w:id="115" w:name="_Toc69831420"/>
      <w:r>
        <w:rPr>
          <w:rFonts w:hint="eastAsia" w:ascii="宋体" w:hAnsi="宋体" w:eastAsia="宋体" w:cs="宋体"/>
          <w:color w:val="auto"/>
          <w:sz w:val="24"/>
          <w:szCs w:val="24"/>
        </w:rPr>
        <w:t>35.签订合同</w:t>
      </w:r>
      <w:bookmarkEnd w:id="115"/>
    </w:p>
    <w:p w14:paraId="668C4D66">
      <w:pPr>
        <w:pStyle w:val="12"/>
        <w:adjustRightInd w:val="0"/>
        <w:snapToGrid w:val="0"/>
        <w:spacing w:line="360" w:lineRule="auto"/>
        <w:ind w:firstLine="420" w:firstLineChars="200"/>
        <w:rPr>
          <w:rFonts w:hAnsi="宋体" w:cs="宋体"/>
          <w:color w:val="auto"/>
        </w:rPr>
      </w:pPr>
      <w:r>
        <w:rPr>
          <w:rFonts w:hint="eastAsia" w:hAnsi="宋体" w:cs="宋体"/>
          <w:color w:val="auto"/>
        </w:rPr>
        <w:t>35.1磋商文件、成交供应商的响应文件及其补充的响应文件等均为签订政府采购合同的依据。</w:t>
      </w:r>
    </w:p>
    <w:p w14:paraId="589DC161">
      <w:pPr>
        <w:pStyle w:val="12"/>
        <w:adjustRightInd w:val="0"/>
        <w:snapToGrid w:val="0"/>
        <w:spacing w:line="360" w:lineRule="auto"/>
        <w:ind w:firstLine="420" w:firstLineChars="200"/>
        <w:rPr>
          <w:rFonts w:hAnsi="宋体" w:cs="宋体"/>
          <w:color w:val="auto"/>
        </w:rPr>
      </w:pPr>
      <w:r>
        <w:rPr>
          <w:rFonts w:hint="eastAsia" w:hAnsi="宋体" w:cs="宋体"/>
          <w:color w:val="auto"/>
        </w:rPr>
        <w:t>35.2成交供应商应当在成交通知书发出之日起30日内与采购人签订政府采购合同。</w:t>
      </w:r>
    </w:p>
    <w:p w14:paraId="23C8FA19">
      <w:pPr>
        <w:pStyle w:val="12"/>
        <w:adjustRightInd w:val="0"/>
        <w:snapToGrid w:val="0"/>
        <w:spacing w:line="360" w:lineRule="auto"/>
        <w:ind w:firstLine="420" w:firstLineChars="200"/>
        <w:rPr>
          <w:rFonts w:hAnsi="宋体" w:cs="宋体"/>
          <w:color w:val="auto"/>
        </w:rPr>
      </w:pPr>
      <w:r>
        <w:rPr>
          <w:rFonts w:hint="eastAsia" w:hAnsi="宋体" w:cs="宋体"/>
          <w:color w:val="auto"/>
        </w:rPr>
        <w:t>35.3成交供应商应当按照合同约定履行义务。成交供应商不得向他人转让成交项目，也不得将成交项目分包后分别向他人转让。</w:t>
      </w:r>
    </w:p>
    <w:p w14:paraId="232BBD7D">
      <w:pPr>
        <w:pStyle w:val="6"/>
        <w:spacing w:before="0" w:after="0" w:line="360" w:lineRule="auto"/>
        <w:rPr>
          <w:rFonts w:ascii="宋体" w:hAnsi="宋体" w:eastAsia="宋体" w:cs="宋体"/>
          <w:color w:val="auto"/>
          <w:sz w:val="24"/>
          <w:szCs w:val="24"/>
        </w:rPr>
      </w:pPr>
      <w:bookmarkStart w:id="116" w:name="_Toc69831421"/>
      <w:r>
        <w:rPr>
          <w:rFonts w:hint="eastAsia" w:ascii="宋体" w:hAnsi="宋体" w:eastAsia="宋体" w:cs="宋体"/>
          <w:color w:val="auto"/>
          <w:sz w:val="24"/>
          <w:szCs w:val="24"/>
        </w:rPr>
        <w:t>36.禁止行为</w:t>
      </w:r>
      <w:bookmarkEnd w:id="116"/>
    </w:p>
    <w:p w14:paraId="71B4BA79">
      <w:pPr>
        <w:pStyle w:val="12"/>
        <w:adjustRightInd w:val="0"/>
        <w:snapToGrid w:val="0"/>
        <w:spacing w:line="360" w:lineRule="auto"/>
        <w:ind w:firstLine="420" w:firstLineChars="200"/>
        <w:rPr>
          <w:rFonts w:hAnsi="宋体" w:cs="宋体"/>
          <w:color w:val="auto"/>
        </w:rPr>
      </w:pPr>
      <w:r>
        <w:rPr>
          <w:rFonts w:hint="eastAsia" w:hAnsi="宋体" w:cs="宋体"/>
          <w:color w:val="auto"/>
        </w:rPr>
        <w:t>36.1 供应商不得与采购人、采购代理机构、其他供应商恶意串通；不得向采购人、采购代理机构或者磋商小组成员行贿或者提供其他不正当利益；不得提供虚假材料谋取成交；不得以任何方式干扰、影响采购工作。</w:t>
      </w:r>
    </w:p>
    <w:p w14:paraId="362F1B03">
      <w:pPr>
        <w:pStyle w:val="12"/>
        <w:adjustRightInd w:val="0"/>
        <w:snapToGrid w:val="0"/>
        <w:spacing w:line="360" w:lineRule="auto"/>
        <w:ind w:firstLine="420" w:firstLineChars="200"/>
        <w:rPr>
          <w:rFonts w:hAnsi="宋体" w:cs="宋体"/>
          <w:color w:val="auto"/>
        </w:rPr>
      </w:pPr>
      <w:r>
        <w:rPr>
          <w:rFonts w:hint="eastAsia" w:hAnsi="宋体" w:cs="宋体"/>
          <w:color w:val="auto"/>
        </w:rPr>
        <w:t>36.2成交供应商有下列情形之一的，责令限期改正，情节严重的，列入不良行为记录名单，在1至3年内禁止参加政府采购活动，并予以通报：</w:t>
      </w:r>
    </w:p>
    <w:p w14:paraId="2CCCB8CF">
      <w:pPr>
        <w:pStyle w:val="12"/>
        <w:adjustRightInd w:val="0"/>
        <w:snapToGrid w:val="0"/>
        <w:spacing w:line="360" w:lineRule="auto"/>
        <w:ind w:firstLine="420" w:firstLineChars="200"/>
        <w:rPr>
          <w:rFonts w:hAnsi="宋体" w:cs="宋体"/>
          <w:color w:val="auto"/>
        </w:rPr>
      </w:pPr>
      <w:r>
        <w:rPr>
          <w:rFonts w:hint="eastAsia" w:hAnsi="宋体" w:cs="宋体"/>
          <w:color w:val="auto"/>
        </w:rPr>
        <w:t>（1）成交后无正当理由不与采购人签订合同的；</w:t>
      </w:r>
    </w:p>
    <w:p w14:paraId="1DD73722">
      <w:pPr>
        <w:pStyle w:val="12"/>
        <w:adjustRightInd w:val="0"/>
        <w:snapToGrid w:val="0"/>
        <w:spacing w:line="360" w:lineRule="auto"/>
        <w:ind w:firstLine="420" w:firstLineChars="200"/>
        <w:rPr>
          <w:rFonts w:hAnsi="宋体" w:cs="宋体"/>
          <w:color w:val="auto"/>
        </w:rPr>
      </w:pPr>
      <w:r>
        <w:rPr>
          <w:rFonts w:hint="eastAsia" w:hAnsi="宋体" w:cs="宋体"/>
          <w:color w:val="auto"/>
        </w:rPr>
        <w:t>（2）未按照磋商文件确定的事项签订政府采购合同，或者与采购人另行订立背离合同实质性内容的协议的；</w:t>
      </w:r>
    </w:p>
    <w:p w14:paraId="3259D6C5">
      <w:pPr>
        <w:pStyle w:val="12"/>
        <w:adjustRightInd w:val="0"/>
        <w:snapToGrid w:val="0"/>
        <w:spacing w:line="360" w:lineRule="auto"/>
        <w:ind w:firstLine="420" w:firstLineChars="200"/>
        <w:rPr>
          <w:rFonts w:hAnsi="宋体" w:cs="宋体"/>
          <w:color w:val="auto"/>
        </w:rPr>
      </w:pPr>
      <w:r>
        <w:rPr>
          <w:rFonts w:hint="eastAsia" w:hAnsi="宋体" w:cs="宋体"/>
          <w:color w:val="auto"/>
        </w:rPr>
        <w:t>（3）拒绝履行合同义务的；</w:t>
      </w:r>
    </w:p>
    <w:p w14:paraId="63780AEC">
      <w:pPr>
        <w:pStyle w:val="12"/>
        <w:adjustRightInd w:val="0"/>
        <w:snapToGrid w:val="0"/>
        <w:spacing w:line="360" w:lineRule="auto"/>
        <w:ind w:firstLine="420" w:firstLineChars="200"/>
        <w:rPr>
          <w:rFonts w:hAnsi="宋体" w:cs="宋体"/>
          <w:color w:val="auto"/>
          <w:kern w:val="0"/>
        </w:rPr>
      </w:pPr>
      <w:r>
        <w:rPr>
          <w:rFonts w:hint="eastAsia" w:hAnsi="宋体" w:cs="宋体"/>
          <w:color w:val="auto"/>
        </w:rPr>
        <w:t>（4）</w:t>
      </w:r>
      <w:r>
        <w:rPr>
          <w:rFonts w:hint="eastAsia" w:hAnsi="宋体" w:cs="宋体"/>
          <w:color w:val="auto"/>
          <w:kern w:val="0"/>
        </w:rPr>
        <w:t>违反法律、规章、规范性文件规定的。</w:t>
      </w:r>
    </w:p>
    <w:p w14:paraId="49BCFDA1">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117" w:name="_Toc25895"/>
      <w:bookmarkStart w:id="118" w:name="_Toc22201076"/>
      <w:bookmarkStart w:id="119" w:name="_Toc69831422"/>
      <w:r>
        <w:rPr>
          <w:rFonts w:hint="eastAsia" w:ascii="黑体" w:hAnsi="黑体" w:eastAsia="黑体" w:cs="Times New Roman"/>
          <w:b w:val="0"/>
          <w:bCs w:val="0"/>
          <w:color w:val="auto"/>
          <w:sz w:val="28"/>
          <w:szCs w:val="28"/>
        </w:rPr>
        <w:t>七、政府采购政策</w:t>
      </w:r>
      <w:bookmarkEnd w:id="117"/>
      <w:bookmarkEnd w:id="118"/>
      <w:bookmarkEnd w:id="119"/>
    </w:p>
    <w:p w14:paraId="4610D759">
      <w:pPr>
        <w:pStyle w:val="6"/>
        <w:keepNext w:val="0"/>
        <w:keepLines w:val="0"/>
        <w:adjustRightInd w:val="0"/>
        <w:snapToGrid w:val="0"/>
        <w:spacing w:before="0" w:after="0" w:line="360" w:lineRule="auto"/>
        <w:rPr>
          <w:rFonts w:ascii="宋体" w:hAnsi="宋体" w:eastAsia="宋体" w:cs="宋体"/>
          <w:color w:val="auto"/>
          <w:sz w:val="24"/>
          <w:szCs w:val="24"/>
        </w:rPr>
      </w:pPr>
      <w:bookmarkStart w:id="120" w:name="_Toc69831423"/>
      <w:r>
        <w:rPr>
          <w:rFonts w:hint="eastAsia" w:ascii="宋体" w:hAnsi="宋体" w:eastAsia="宋体" w:cs="宋体"/>
          <w:color w:val="auto"/>
          <w:sz w:val="24"/>
          <w:szCs w:val="24"/>
        </w:rPr>
        <w:t>37.预留采购份额</w:t>
      </w:r>
      <w:bookmarkEnd w:id="120"/>
    </w:p>
    <w:p w14:paraId="0A66A0FF">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37.1本章第1.2款规定采购项目或者采购包属于“预留采购份额”的，预留份额的实施措施及相关要求见</w:t>
      </w:r>
      <w:r>
        <w:rPr>
          <w:rFonts w:hint="eastAsia" w:ascii="宋体" w:hAnsi="宋体" w:cs="宋体"/>
          <w:b/>
          <w:color w:val="auto"/>
          <w:szCs w:val="21"/>
        </w:rPr>
        <w:t>【磋商须知前附表】</w:t>
      </w:r>
      <w:r>
        <w:rPr>
          <w:rFonts w:hint="eastAsia" w:ascii="宋体" w:hAnsi="宋体" w:cs="宋体"/>
          <w:color w:val="auto"/>
          <w:szCs w:val="21"/>
        </w:rPr>
        <w:t>。</w:t>
      </w:r>
    </w:p>
    <w:p w14:paraId="36CFC84D">
      <w:pPr>
        <w:pStyle w:val="6"/>
        <w:keepNext w:val="0"/>
        <w:keepLines w:val="0"/>
        <w:adjustRightInd w:val="0"/>
        <w:snapToGrid w:val="0"/>
        <w:spacing w:before="0" w:after="0" w:line="360" w:lineRule="auto"/>
        <w:rPr>
          <w:rFonts w:ascii="宋体" w:hAnsi="宋体" w:eastAsia="宋体" w:cs="宋体"/>
          <w:color w:val="auto"/>
          <w:sz w:val="24"/>
          <w:szCs w:val="24"/>
        </w:rPr>
      </w:pPr>
      <w:bookmarkStart w:id="121" w:name="_Toc69831424"/>
      <w:r>
        <w:rPr>
          <w:rFonts w:hint="eastAsia" w:ascii="宋体" w:hAnsi="宋体" w:eastAsia="宋体" w:cs="宋体"/>
          <w:color w:val="auto"/>
          <w:sz w:val="24"/>
          <w:szCs w:val="24"/>
        </w:rPr>
        <w:t>38.强制采购</w:t>
      </w:r>
      <w:bookmarkEnd w:id="121"/>
    </w:p>
    <w:p w14:paraId="0A529727">
      <w:pPr>
        <w:adjustRightInd w:val="0"/>
        <w:snapToGrid w:val="0"/>
        <w:spacing w:line="360" w:lineRule="auto"/>
        <w:ind w:firstLine="420" w:firstLineChars="200"/>
        <w:jc w:val="left"/>
        <w:rPr>
          <w:rFonts w:ascii="宋体" w:hAnsi="宋体" w:cs="宋体"/>
          <w:color w:val="auto"/>
          <w:kern w:val="0"/>
        </w:rPr>
      </w:pPr>
      <w:r>
        <w:rPr>
          <w:rFonts w:hint="eastAsia" w:ascii="宋体" w:hAnsi="宋体" w:cs="宋体"/>
          <w:color w:val="auto"/>
          <w:kern w:val="0"/>
        </w:rPr>
        <w:t>38.1纳入财政部会同国务院有关部门发布的节能产品政府采购品目清单（品目清单中标注</w:t>
      </w:r>
      <w:r>
        <w:rPr>
          <w:rFonts w:hint="eastAsia" w:ascii="宋体" w:hAnsi="宋体" w:cs="宋体"/>
          <w:color w:val="auto"/>
          <w:kern w:val="0"/>
        </w:rPr>
        <w:sym w:font="Wingdings" w:char="F0AB"/>
      </w:r>
      <w:r>
        <w:rPr>
          <w:rFonts w:hint="eastAsia" w:ascii="宋体" w:hAnsi="宋体" w:cs="宋体"/>
          <w:color w:val="auto"/>
          <w:kern w:val="0"/>
        </w:rPr>
        <w:t>符号产品），实施政府强制采购的，供应商提供的产品不符合强制采购规定，其</w:t>
      </w:r>
      <w:r>
        <w:rPr>
          <w:rFonts w:hint="eastAsia" w:ascii="宋体" w:hAnsi="宋体" w:cs="宋体"/>
          <w:b/>
          <w:color w:val="auto"/>
          <w:kern w:val="0"/>
        </w:rPr>
        <w:t>响应</w:t>
      </w:r>
      <w:r>
        <w:rPr>
          <w:rFonts w:hint="eastAsia" w:ascii="宋体" w:hAnsi="宋体" w:cs="宋体"/>
          <w:b/>
          <w:color w:val="auto"/>
          <w:kern w:val="0"/>
          <w:szCs w:val="21"/>
        </w:rPr>
        <w:t>无效</w:t>
      </w:r>
      <w:r>
        <w:rPr>
          <w:rFonts w:hint="eastAsia" w:ascii="宋体" w:hAnsi="宋体" w:cs="宋体"/>
          <w:color w:val="auto"/>
          <w:kern w:val="0"/>
        </w:rPr>
        <w:t>。</w:t>
      </w:r>
    </w:p>
    <w:p w14:paraId="7B2903DB">
      <w:pPr>
        <w:pStyle w:val="6"/>
        <w:keepNext w:val="0"/>
        <w:keepLines w:val="0"/>
        <w:adjustRightInd w:val="0"/>
        <w:snapToGrid w:val="0"/>
        <w:spacing w:before="0" w:after="0" w:line="360" w:lineRule="auto"/>
        <w:rPr>
          <w:rFonts w:ascii="宋体" w:hAnsi="宋体" w:eastAsia="宋体" w:cs="宋体"/>
          <w:color w:val="auto"/>
          <w:sz w:val="24"/>
          <w:szCs w:val="24"/>
        </w:rPr>
      </w:pPr>
      <w:bookmarkStart w:id="122" w:name="_Toc69831425"/>
      <w:r>
        <w:rPr>
          <w:rFonts w:hint="eastAsia" w:ascii="宋体" w:hAnsi="宋体" w:eastAsia="宋体" w:cs="宋体"/>
          <w:color w:val="auto"/>
          <w:sz w:val="24"/>
          <w:szCs w:val="24"/>
        </w:rPr>
        <w:t>39.优先采购</w:t>
      </w:r>
      <w:bookmarkEnd w:id="122"/>
    </w:p>
    <w:p w14:paraId="213E52CC">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39.1对</w:t>
      </w:r>
      <w:r>
        <w:rPr>
          <w:rFonts w:hint="eastAsia" w:ascii="宋体" w:hAnsi="宋体" w:cs="宋体"/>
          <w:color w:val="auto"/>
          <w:szCs w:val="21"/>
        </w:rPr>
        <w:t>纳入财政部会同国务院有关部门发布的节能产品(未</w:t>
      </w:r>
      <w:r>
        <w:rPr>
          <w:rFonts w:hint="eastAsia" w:ascii="宋体" w:hAnsi="宋体" w:cs="宋体"/>
          <w:color w:val="auto"/>
          <w:kern w:val="0"/>
        </w:rPr>
        <w:t>标注</w:t>
      </w:r>
      <w:r>
        <w:rPr>
          <w:rFonts w:hint="eastAsia" w:ascii="宋体" w:hAnsi="宋体" w:cs="宋体"/>
          <w:color w:val="auto"/>
          <w:kern w:val="0"/>
        </w:rPr>
        <w:sym w:font="Wingdings" w:char="F0AB"/>
      </w:r>
      <w:r>
        <w:rPr>
          <w:rFonts w:hint="eastAsia" w:ascii="宋体" w:hAnsi="宋体" w:cs="宋体"/>
          <w:color w:val="auto"/>
          <w:kern w:val="0"/>
        </w:rPr>
        <w:t>符号产品</w:t>
      </w:r>
      <w:r>
        <w:rPr>
          <w:rFonts w:hint="eastAsia" w:ascii="宋体" w:hAnsi="宋体" w:cs="宋体"/>
          <w:color w:val="auto"/>
          <w:szCs w:val="21"/>
        </w:rPr>
        <w:t>)、环境标志产品政府采购品目清单，实施政府优先采购的，评审时按“第三章 资格审查及评审方法及标准”规定给予价格折扣；</w:t>
      </w:r>
    </w:p>
    <w:p w14:paraId="568C4C99">
      <w:pPr>
        <w:pStyle w:val="6"/>
        <w:keepNext w:val="0"/>
        <w:keepLines w:val="0"/>
        <w:adjustRightInd w:val="0"/>
        <w:snapToGrid w:val="0"/>
        <w:spacing w:before="0" w:after="0" w:line="360" w:lineRule="auto"/>
        <w:rPr>
          <w:rFonts w:ascii="宋体" w:hAnsi="宋体" w:eastAsia="宋体" w:cs="宋体"/>
          <w:color w:val="auto"/>
          <w:sz w:val="24"/>
          <w:szCs w:val="24"/>
        </w:rPr>
      </w:pPr>
      <w:bookmarkStart w:id="123" w:name="_Toc69831426"/>
      <w:r>
        <w:rPr>
          <w:rFonts w:hint="eastAsia" w:ascii="宋体" w:hAnsi="宋体" w:eastAsia="宋体" w:cs="宋体"/>
          <w:color w:val="auto"/>
          <w:sz w:val="24"/>
          <w:szCs w:val="24"/>
        </w:rPr>
        <w:t>40.价格评审优惠</w:t>
      </w:r>
      <w:bookmarkEnd w:id="123"/>
    </w:p>
    <w:p w14:paraId="6FF8755C">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rPr>
        <w:t>40.1</w:t>
      </w:r>
      <w:r>
        <w:rPr>
          <w:rFonts w:hint="eastAsia" w:ascii="宋体" w:hAnsi="宋体" w:cs="宋体"/>
          <w:color w:val="auto"/>
          <w:szCs w:val="21"/>
        </w:rPr>
        <w:t>本章第1.2款规定采购项目或者采购包属于“非预留采购份额”的，价格评审优惠如下：</w:t>
      </w:r>
    </w:p>
    <w:p w14:paraId="5D33EFF5">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szCs w:val="21"/>
        </w:rPr>
        <w:t>（1）符合磋商文件规定的供应商（小型、微型企业），</w:t>
      </w:r>
      <w:r>
        <w:rPr>
          <w:rFonts w:hint="eastAsia" w:ascii="宋体" w:hAnsi="宋体" w:cs="宋体"/>
          <w:color w:val="auto"/>
        </w:rPr>
        <w:t>最后报价按“第三章 资格审查及评审方法及标准”规定给予价格折扣，用扣除后的价格参与评审；</w:t>
      </w:r>
    </w:p>
    <w:p w14:paraId="459147F3">
      <w:pPr>
        <w:adjustRightInd w:val="0"/>
        <w:snapToGrid w:val="0"/>
        <w:spacing w:line="360" w:lineRule="auto"/>
        <w:ind w:firstLine="420" w:firstLineChars="200"/>
        <w:jc w:val="left"/>
        <w:rPr>
          <w:rFonts w:ascii="宋体" w:hAnsi="宋体" w:cs="宋体"/>
          <w:bCs/>
          <w:color w:val="auto"/>
          <w:szCs w:val="21"/>
        </w:rPr>
      </w:pPr>
      <w:r>
        <w:rPr>
          <w:rFonts w:hint="eastAsia" w:ascii="宋体" w:hAnsi="宋体" w:cs="宋体"/>
          <w:color w:val="auto"/>
        </w:rPr>
        <w:t>（2）磋商文件接受大中型企业与小型、微型企业组成联合体或者允许大中型企业向一家或者多家小型、微型企业分包的采购项目或者采购包，对于联合协议或者分包意向协议约定小型、微型企业的合同份额占到合同总金额30%以上的，该联合体或大中型企业最后报价按“第三章 资格审查及评审方法及标准”规定给予价格折扣，用扣除后的价格参与评审。</w:t>
      </w:r>
      <w:r>
        <w:rPr>
          <w:rFonts w:hint="eastAsia" w:ascii="宋体" w:hAnsi="宋体" w:cs="宋体"/>
          <w:bCs/>
          <w:color w:val="auto"/>
          <w:szCs w:val="21"/>
        </w:rPr>
        <w:t>组成联合体或者接受分包的小微企业与联合体内其他企业、分包企业之间存在直接控股、管理关系的，不享受价格扣除优惠政策。</w:t>
      </w:r>
    </w:p>
    <w:p w14:paraId="458C418E">
      <w:pPr>
        <w:adjustRightInd w:val="0"/>
        <w:snapToGrid w:val="0"/>
        <w:spacing w:line="360" w:lineRule="auto"/>
        <w:ind w:firstLine="420" w:firstLineChars="200"/>
        <w:jc w:val="left"/>
        <w:rPr>
          <w:rFonts w:ascii="宋体" w:hAnsi="宋体" w:cs="宋体"/>
          <w:b/>
          <w:color w:val="auto"/>
        </w:rPr>
      </w:pPr>
      <w:r>
        <w:rPr>
          <w:rFonts w:hint="eastAsia" w:ascii="宋体" w:hAnsi="宋体" w:cs="宋体"/>
          <w:bCs/>
          <w:color w:val="auto"/>
          <w:szCs w:val="21"/>
        </w:rPr>
        <w:t>40.2本章第37.1款规定采购项目或者采购包属于“预留采购份额”，且专门面向中小企业采购的，小型、微型企业，或者接受中型企业与小型、微型企业组成联合体，或者允许中型企业向一家或者多家小型、微型企业分包的，其价格评审优惠按上款规定执行。</w:t>
      </w:r>
    </w:p>
    <w:p w14:paraId="26C8040D">
      <w:pPr>
        <w:pStyle w:val="6"/>
        <w:keepNext w:val="0"/>
        <w:keepLines w:val="0"/>
        <w:adjustRightInd w:val="0"/>
        <w:snapToGrid w:val="0"/>
        <w:spacing w:before="0" w:after="0" w:line="360" w:lineRule="auto"/>
        <w:rPr>
          <w:rFonts w:ascii="宋体" w:hAnsi="宋体" w:eastAsia="宋体" w:cs="宋体"/>
          <w:color w:val="auto"/>
          <w:sz w:val="24"/>
          <w:szCs w:val="24"/>
        </w:rPr>
      </w:pPr>
      <w:bookmarkStart w:id="124" w:name="_Toc69831427"/>
      <w:r>
        <w:rPr>
          <w:rFonts w:hint="eastAsia" w:ascii="宋体" w:hAnsi="宋体" w:eastAsia="宋体" w:cs="宋体"/>
          <w:color w:val="auto"/>
          <w:sz w:val="24"/>
          <w:szCs w:val="24"/>
        </w:rPr>
        <w:t>41.政府采购政策其他规定</w:t>
      </w:r>
      <w:bookmarkEnd w:id="124"/>
    </w:p>
    <w:p w14:paraId="4400181A">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41.1中型企业、小型企业和微型企业类型按照《关于印发＜政府采购促进中小企业发展办法＞的通知》(财库[2020]46号)和《关于印发中小企业划型标准规定的通知》（工信部联企业〔2011〕300号）规定认定。</w:t>
      </w:r>
    </w:p>
    <w:p w14:paraId="7B5E2625">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rPr>
        <w:t>41.2监狱企业、残</w:t>
      </w:r>
      <w:r>
        <w:rPr>
          <w:rFonts w:hint="eastAsia" w:ascii="宋体" w:hAnsi="宋体" w:cs="宋体"/>
          <w:color w:val="auto"/>
          <w:szCs w:val="21"/>
        </w:rPr>
        <w:t>疾人福利性单位以及个体工商户视同小型、微型企业，享受预留采购份额、价格扣除等促进中小企业发展的政府采购政策。监狱企业、残疾人福利性单位以及个体工商户属于小型、微型企业的，不重复享受扶持政策。</w:t>
      </w:r>
    </w:p>
    <w:p w14:paraId="30270B04">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41.3以联合体形式参加政府采购活动，联合体各方均为中小企业的，联合体视同中小企业。其中，联合体各方均为小微企业的，联合体视同小微企业。</w:t>
      </w:r>
    </w:p>
    <w:p w14:paraId="3EDB41B1">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41.4组成联合体或者接受分包合同的中小企业与联合体内其他企业、分包企业之间不得存在直接控股、管理关系。</w:t>
      </w:r>
    </w:p>
    <w:p w14:paraId="683C03D7">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41.5供应商提供的产品取得两个及以上优先采购产品认证的，评审时只有其中一项产品能够享受优先采购优惠（供应商自行选择，并在响应文件中并填报相关信息及数据）。</w:t>
      </w:r>
    </w:p>
    <w:p w14:paraId="5310894C">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41.6“价格评审优惠”可以与同时属于“节能产品”、“环境标志产品”中的一项“优先采购”累加计算。</w:t>
      </w:r>
    </w:p>
    <w:p w14:paraId="234BABEC">
      <w:pPr>
        <w:pStyle w:val="6"/>
        <w:keepNext w:val="0"/>
        <w:keepLines w:val="0"/>
        <w:adjustRightInd w:val="0"/>
        <w:snapToGrid w:val="0"/>
        <w:spacing w:before="0" w:after="0" w:line="360" w:lineRule="auto"/>
        <w:rPr>
          <w:rFonts w:ascii="宋体" w:hAnsi="宋体" w:eastAsia="宋体" w:cs="宋体"/>
          <w:color w:val="auto"/>
          <w:sz w:val="24"/>
          <w:szCs w:val="24"/>
        </w:rPr>
      </w:pPr>
      <w:bookmarkStart w:id="125" w:name="_Toc23243979"/>
      <w:bookmarkStart w:id="126" w:name="_Toc23255846"/>
      <w:bookmarkStart w:id="127" w:name="_Toc69831428"/>
      <w:r>
        <w:rPr>
          <w:rFonts w:hint="eastAsia" w:ascii="宋体" w:hAnsi="宋体" w:eastAsia="宋体" w:cs="宋体"/>
          <w:color w:val="auto"/>
          <w:sz w:val="24"/>
          <w:szCs w:val="24"/>
        </w:rPr>
        <w:t>42.供应商应提供的政府采购政策证明资料</w:t>
      </w:r>
      <w:bookmarkEnd w:id="125"/>
      <w:bookmarkEnd w:id="126"/>
      <w:bookmarkEnd w:id="127"/>
    </w:p>
    <w:p w14:paraId="7396ACBC">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42.1符合本章第37条、第38条、第39条、第40条规定的，供应商应在响应文件中提供相关证明资料。</w:t>
      </w:r>
    </w:p>
    <w:p w14:paraId="02212832">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（1）节能产品、环境标志产品：提供国家确定的认证机构出具的、处于有效期之内的节能产品、环境标志产品认证证书（复印件）。</w:t>
      </w:r>
    </w:p>
    <w:p w14:paraId="610AFE37">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2</w:t>
      </w:r>
      <w:r>
        <w:rPr>
          <w:rFonts w:hint="eastAsia" w:ascii="宋体" w:hAnsi="宋体" w:cs="宋体"/>
          <w:color w:val="auto"/>
        </w:rPr>
        <w:t>）中小企业：按《关于印发＜政府采购促进中小企业发展办法＞的通知》(财库[2020]46号) 文件规定，提供《中小企业声明函》（格式）。磋商文件要求或接受联合体形式，或者要求或允许分包的，还应当提供联合协议或者分包意向协议。《中小企业声明函》（格式）中采购标的对应的中小企业划分标准所属行业见</w:t>
      </w:r>
      <w:r>
        <w:rPr>
          <w:rFonts w:hint="eastAsia" w:ascii="宋体" w:hAnsi="宋体" w:cs="宋体"/>
          <w:b/>
          <w:color w:val="auto"/>
        </w:rPr>
        <w:t>【磋商须知前附表】</w:t>
      </w:r>
      <w:r>
        <w:rPr>
          <w:rFonts w:hint="eastAsia" w:ascii="宋体" w:hAnsi="宋体" w:cs="宋体"/>
          <w:color w:val="auto"/>
        </w:rPr>
        <w:t>。</w:t>
      </w:r>
    </w:p>
    <w:p w14:paraId="39E78F0D">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3</w:t>
      </w:r>
      <w:r>
        <w:rPr>
          <w:rFonts w:hint="eastAsia" w:ascii="宋体" w:hAnsi="宋体" w:cs="宋体"/>
          <w:color w:val="auto"/>
        </w:rPr>
        <w:t>）监狱企业：按《关于政府采购支持监狱企业发展有关问题的通知》(财库〔2014〕68号)文件规定提供证明文件（复印件）。</w:t>
      </w:r>
    </w:p>
    <w:p w14:paraId="55F1434E">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4</w:t>
      </w:r>
      <w:r>
        <w:rPr>
          <w:rFonts w:hint="eastAsia" w:ascii="宋体" w:hAnsi="宋体" w:cs="宋体"/>
          <w:color w:val="auto"/>
        </w:rPr>
        <w:t>）残疾人福利性单位：按《关于促进残疾人就业政府采购政策的通知》(财库〔2017〕141号)文件规定提供《残疾人福利性单位声明函》（格式）。</w:t>
      </w:r>
    </w:p>
    <w:p w14:paraId="39CDC675">
      <w:pPr>
        <w:pStyle w:val="6"/>
        <w:keepNext w:val="0"/>
        <w:keepLines w:val="0"/>
        <w:adjustRightInd w:val="0"/>
        <w:snapToGrid w:val="0"/>
        <w:spacing w:before="0" w:after="0" w:line="360" w:lineRule="auto"/>
        <w:rPr>
          <w:rFonts w:ascii="宋体" w:hAnsi="宋体" w:eastAsia="宋体" w:cs="宋体"/>
          <w:color w:val="auto"/>
          <w:sz w:val="24"/>
          <w:szCs w:val="24"/>
        </w:rPr>
      </w:pPr>
      <w:bookmarkStart w:id="128" w:name="_Toc69831429"/>
      <w:r>
        <w:rPr>
          <w:rFonts w:hint="eastAsia" w:ascii="宋体" w:hAnsi="宋体" w:eastAsia="宋体" w:cs="宋体"/>
          <w:color w:val="auto"/>
          <w:sz w:val="24"/>
          <w:szCs w:val="24"/>
        </w:rPr>
        <w:t>43.进口产品</w:t>
      </w:r>
      <w:bookmarkEnd w:id="128"/>
    </w:p>
    <w:p w14:paraId="3601B781">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43.1进口产品是指符合《政府采购进口产品管理办法》（财库〔2007〕119号）和《关于政府采购进口产品管理有关问题的通知》（财办库〔2008〕248号）文件规定的产品。除</w:t>
      </w:r>
      <w:r>
        <w:rPr>
          <w:rFonts w:hint="eastAsia" w:ascii="宋体" w:hAnsi="宋体" w:cs="宋体"/>
          <w:b/>
          <w:color w:val="auto"/>
        </w:rPr>
        <w:t>【磋商须知前附表】</w:t>
      </w:r>
      <w:r>
        <w:rPr>
          <w:rFonts w:hint="eastAsia" w:ascii="宋体" w:hAnsi="宋体" w:cs="宋体"/>
          <w:color w:val="auto"/>
        </w:rPr>
        <w:t>另有规定外，采购项目拒绝进口产品参加磋商。本款规定同意购买进口产品的，不限制满足磋商文件要求的国内产品参与磋商竞争。</w:t>
      </w:r>
    </w:p>
    <w:p w14:paraId="2CADF86F">
      <w:pPr>
        <w:pStyle w:val="6"/>
        <w:keepNext w:val="0"/>
        <w:keepLines w:val="0"/>
        <w:adjustRightInd w:val="0"/>
        <w:snapToGrid w:val="0"/>
        <w:spacing w:before="0" w:after="0" w:line="360" w:lineRule="auto"/>
        <w:rPr>
          <w:rFonts w:hint="eastAsia" w:ascii="宋体" w:hAnsi="宋体" w:eastAsia="宋体" w:cs="宋体"/>
          <w:color w:val="auto"/>
          <w:sz w:val="24"/>
          <w:szCs w:val="24"/>
        </w:rPr>
      </w:pPr>
      <w:bookmarkStart w:id="129" w:name="_Toc69831430"/>
      <w:r>
        <w:rPr>
          <w:rFonts w:hint="eastAsia" w:ascii="宋体" w:hAnsi="宋体" w:eastAsia="宋体" w:cs="宋体"/>
          <w:color w:val="auto"/>
          <w:sz w:val="24"/>
          <w:szCs w:val="24"/>
        </w:rPr>
        <w:t>44.融资、担保</w:t>
      </w:r>
      <w:bookmarkEnd w:id="129"/>
    </w:p>
    <w:p w14:paraId="5B5750AC">
      <w:pPr>
        <w:adjustRightInd w:val="0"/>
        <w:snapToGrid w:val="0"/>
        <w:spacing w:line="360" w:lineRule="auto"/>
        <w:ind w:firstLine="420" w:firstLineChars="200"/>
        <w:jc w:val="left"/>
        <w:rPr>
          <w:rFonts w:ascii="宋体" w:hAnsi="宋体" w:cs="宋体"/>
          <w:color w:val="auto"/>
          <w:sz w:val="24"/>
        </w:rPr>
      </w:pPr>
      <w:r>
        <w:rPr>
          <w:rFonts w:hint="eastAsia" w:ascii="宋体" w:hAnsi="宋体" w:cs="宋体"/>
          <w:color w:val="auto"/>
        </w:rPr>
        <w:t>44.1供应商有融资、担保需求的，可登陆中国湖南政府采购网查询相关银行、担保机构业务。</w:t>
      </w:r>
    </w:p>
    <w:p w14:paraId="4E89F8D0">
      <w:pPr>
        <w:pStyle w:val="5"/>
        <w:keepNext w:val="0"/>
        <w:keepLines w:val="0"/>
        <w:adjustRightInd w:val="0"/>
        <w:snapToGrid w:val="0"/>
        <w:spacing w:beforeLines="50" w:after="0" w:line="360" w:lineRule="auto"/>
        <w:jc w:val="center"/>
        <w:rPr>
          <w:rFonts w:hint="eastAsia" w:ascii="黑体" w:hAnsi="黑体" w:eastAsia="黑体" w:cs="Times New Roman"/>
          <w:b w:val="0"/>
          <w:bCs w:val="0"/>
          <w:color w:val="auto"/>
          <w:sz w:val="28"/>
          <w:szCs w:val="28"/>
        </w:rPr>
      </w:pPr>
      <w:bookmarkStart w:id="130" w:name="_Toc69831431"/>
      <w:bookmarkStart w:id="131" w:name="_Toc25195"/>
      <w:r>
        <w:rPr>
          <w:rFonts w:hint="eastAsia" w:ascii="黑体" w:hAnsi="黑体" w:eastAsia="黑体" w:cs="Times New Roman"/>
          <w:b w:val="0"/>
          <w:bCs w:val="0"/>
          <w:color w:val="auto"/>
          <w:sz w:val="28"/>
          <w:szCs w:val="28"/>
        </w:rPr>
        <w:t>八、其他规定</w:t>
      </w:r>
      <w:bookmarkEnd w:id="130"/>
      <w:bookmarkEnd w:id="131"/>
    </w:p>
    <w:p w14:paraId="25A0A532">
      <w:pPr>
        <w:pStyle w:val="6"/>
        <w:keepNext w:val="0"/>
        <w:keepLines w:val="0"/>
        <w:adjustRightInd w:val="0"/>
        <w:snapToGrid w:val="0"/>
        <w:spacing w:before="0" w:after="0" w:line="360" w:lineRule="auto"/>
        <w:rPr>
          <w:rFonts w:ascii="宋体" w:hAnsi="宋体" w:eastAsia="宋体" w:cs="宋体"/>
          <w:color w:val="auto"/>
          <w:sz w:val="24"/>
          <w:szCs w:val="24"/>
        </w:rPr>
      </w:pPr>
      <w:bookmarkStart w:id="132" w:name="_Toc69831432"/>
      <w:r>
        <w:rPr>
          <w:rFonts w:hint="eastAsia" w:ascii="宋体" w:hAnsi="宋体" w:eastAsia="宋体" w:cs="宋体"/>
          <w:color w:val="auto"/>
          <w:sz w:val="24"/>
          <w:szCs w:val="24"/>
        </w:rPr>
        <w:t>45.代理服务费</w:t>
      </w:r>
      <w:bookmarkEnd w:id="132"/>
    </w:p>
    <w:p w14:paraId="713ABD8F">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45.1本项目代理费用由采购人支付。</w:t>
      </w:r>
    </w:p>
    <w:p w14:paraId="399AE7AB">
      <w:pPr>
        <w:pStyle w:val="6"/>
        <w:keepNext w:val="0"/>
        <w:keepLines w:val="0"/>
        <w:adjustRightInd w:val="0"/>
        <w:snapToGrid w:val="0"/>
        <w:spacing w:before="0" w:after="0" w:line="360" w:lineRule="auto"/>
        <w:rPr>
          <w:rFonts w:ascii="宋体" w:hAnsi="宋体" w:eastAsia="宋体" w:cs="宋体"/>
          <w:color w:val="auto"/>
          <w:sz w:val="24"/>
          <w:szCs w:val="24"/>
        </w:rPr>
      </w:pPr>
      <w:bookmarkStart w:id="133" w:name="_Toc69831433"/>
      <w:r>
        <w:rPr>
          <w:rFonts w:hint="eastAsia" w:ascii="宋体" w:hAnsi="宋体" w:eastAsia="宋体" w:cs="宋体"/>
          <w:color w:val="auto"/>
          <w:sz w:val="24"/>
          <w:szCs w:val="24"/>
        </w:rPr>
        <w:t>46.其他规定</w:t>
      </w:r>
      <w:bookmarkEnd w:id="133"/>
    </w:p>
    <w:p w14:paraId="13605BAC">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46.1磋商文件的其他规定见【磋商须知前附表】。</w:t>
      </w:r>
    </w:p>
    <w:p w14:paraId="7D4D27C3">
      <w:pPr>
        <w:pStyle w:val="2"/>
        <w:rPr>
          <w:rFonts w:ascii="黑体" w:hAnsi="黑体" w:eastAsia="黑体"/>
          <w:b w:val="0"/>
          <w:bCs w:val="0"/>
          <w:color w:val="auto"/>
          <w:sz w:val="32"/>
          <w:szCs w:val="32"/>
        </w:rPr>
      </w:pPr>
      <w:r>
        <w:rPr>
          <w:rFonts w:ascii="宋体" w:hAnsi="宋体"/>
          <w:color w:val="auto"/>
          <w:szCs w:val="21"/>
        </w:rPr>
        <w:br w:type="page"/>
      </w:r>
      <w:bookmarkStart w:id="134" w:name="_Toc69831434"/>
      <w:bookmarkStart w:id="135" w:name="_Toc28883"/>
      <w:r>
        <w:rPr>
          <w:rFonts w:hint="eastAsia" w:ascii="黑体" w:hAnsi="黑体" w:eastAsia="黑体"/>
          <w:b w:val="0"/>
          <w:bCs w:val="0"/>
          <w:color w:val="auto"/>
          <w:sz w:val="32"/>
          <w:szCs w:val="32"/>
        </w:rPr>
        <w:t>第三章 资格审查及评审方法及标准</w:t>
      </w:r>
      <w:bookmarkEnd w:id="134"/>
      <w:bookmarkEnd w:id="135"/>
    </w:p>
    <w:p w14:paraId="708057D1">
      <w:pPr>
        <w:pStyle w:val="3"/>
        <w:adjustRightInd w:val="0"/>
        <w:snapToGrid w:val="0"/>
        <w:spacing w:beforeLines="50"/>
        <w:jc w:val="center"/>
        <w:rPr>
          <w:rFonts w:ascii="黑体" w:hAnsi="黑体" w:eastAsia="黑体"/>
          <w:b w:val="0"/>
          <w:bCs w:val="0"/>
          <w:color w:val="auto"/>
          <w:sz w:val="28"/>
          <w:szCs w:val="28"/>
        </w:rPr>
      </w:pPr>
      <w:bookmarkStart w:id="136" w:name="_Toc8813"/>
      <w:bookmarkStart w:id="137" w:name="_Toc69831435"/>
      <w:r>
        <w:rPr>
          <w:rFonts w:hint="eastAsia" w:ascii="黑体" w:hAnsi="黑体" w:eastAsia="黑体"/>
          <w:b w:val="0"/>
          <w:bCs w:val="0"/>
          <w:color w:val="auto"/>
          <w:sz w:val="28"/>
          <w:szCs w:val="28"/>
        </w:rPr>
        <w:t>第一节资格审查</w:t>
      </w:r>
      <w:bookmarkEnd w:id="136"/>
      <w:bookmarkEnd w:id="137"/>
    </w:p>
    <w:p w14:paraId="69E6A324">
      <w:pPr>
        <w:pStyle w:val="6"/>
        <w:keepNext w:val="0"/>
        <w:keepLines w:val="0"/>
        <w:adjustRightInd w:val="0"/>
        <w:snapToGrid w:val="0"/>
        <w:spacing w:before="0" w:after="0" w:line="360" w:lineRule="auto"/>
        <w:rPr>
          <w:rFonts w:ascii="黑体" w:hAnsi="黑体"/>
          <w:b w:val="0"/>
          <w:bCs w:val="0"/>
          <w:color w:val="auto"/>
          <w:sz w:val="24"/>
          <w:szCs w:val="24"/>
        </w:rPr>
      </w:pPr>
      <w:bookmarkStart w:id="138" w:name="_Toc27580183"/>
      <w:bookmarkStart w:id="139" w:name="_Toc69831436"/>
      <w:bookmarkStart w:id="140" w:name="_Toc22201079"/>
      <w:r>
        <w:rPr>
          <w:rFonts w:hint="eastAsia" w:ascii="黑体" w:hAnsi="黑体"/>
          <w:b w:val="0"/>
          <w:bCs w:val="0"/>
          <w:color w:val="auto"/>
          <w:sz w:val="24"/>
          <w:szCs w:val="24"/>
        </w:rPr>
        <w:t>1.资格审查主体</w:t>
      </w:r>
      <w:bookmarkEnd w:id="138"/>
      <w:bookmarkEnd w:id="139"/>
      <w:bookmarkEnd w:id="140"/>
    </w:p>
    <w:p w14:paraId="1C94B86C">
      <w:pPr>
        <w:adjustRightInd w:val="0"/>
        <w:snapToGrid w:val="0"/>
        <w:spacing w:line="360" w:lineRule="auto"/>
        <w:ind w:firstLine="417" w:firstLineChars="199"/>
        <w:jc w:val="left"/>
        <w:rPr>
          <w:rFonts w:ascii="宋体" w:hAnsi="宋体"/>
          <w:color w:val="auto"/>
          <w:szCs w:val="21"/>
        </w:rPr>
      </w:pPr>
      <w:r>
        <w:rPr>
          <w:rFonts w:hint="eastAsia" w:ascii="宋体" w:hAnsi="宋体"/>
          <w:color w:val="auto"/>
          <w:szCs w:val="21"/>
        </w:rPr>
        <w:t>1.1</w:t>
      </w:r>
      <w:r>
        <w:rPr>
          <w:rFonts w:hint="eastAsia" w:ascii="宋体" w:hAnsi="宋体"/>
          <w:color w:val="auto"/>
          <w:szCs w:val="21"/>
          <w:lang w:val="en-US" w:eastAsia="zh-CN"/>
        </w:rPr>
        <w:t>磋商小组</w:t>
      </w:r>
      <w:r>
        <w:rPr>
          <w:rFonts w:hint="eastAsia" w:ascii="宋体" w:hAnsi="宋体"/>
          <w:color w:val="auto"/>
          <w:szCs w:val="21"/>
        </w:rPr>
        <w:t>负责资格审查。</w:t>
      </w:r>
    </w:p>
    <w:p w14:paraId="065CDDB3">
      <w:pPr>
        <w:pStyle w:val="6"/>
        <w:keepNext w:val="0"/>
        <w:keepLines w:val="0"/>
        <w:adjustRightInd w:val="0"/>
        <w:snapToGrid w:val="0"/>
        <w:spacing w:before="0" w:after="0" w:line="360" w:lineRule="auto"/>
        <w:rPr>
          <w:rFonts w:ascii="黑体" w:hAnsi="黑体"/>
          <w:b w:val="0"/>
          <w:bCs w:val="0"/>
          <w:color w:val="auto"/>
          <w:sz w:val="24"/>
          <w:szCs w:val="24"/>
        </w:rPr>
      </w:pPr>
      <w:bookmarkStart w:id="141" w:name="_Toc69831437"/>
      <w:bookmarkStart w:id="142" w:name="_Toc27580184"/>
      <w:bookmarkStart w:id="143" w:name="_Toc22201080"/>
      <w:r>
        <w:rPr>
          <w:rFonts w:hint="eastAsia" w:ascii="黑体" w:hAnsi="黑体"/>
          <w:b w:val="0"/>
          <w:bCs w:val="0"/>
          <w:color w:val="auto"/>
          <w:sz w:val="24"/>
          <w:szCs w:val="24"/>
        </w:rPr>
        <w:t>2.供应商资格审查</w:t>
      </w:r>
      <w:bookmarkEnd w:id="141"/>
    </w:p>
    <w:p w14:paraId="28D03301">
      <w:pPr>
        <w:adjustRightInd w:val="0"/>
        <w:snapToGrid w:val="0"/>
        <w:spacing w:line="360" w:lineRule="auto"/>
        <w:ind w:firstLine="420" w:firstLineChars="200"/>
        <w:jc w:val="left"/>
        <w:rPr>
          <w:rFonts w:ascii="宋体" w:hAnsi="宋体"/>
          <w:color w:val="auto"/>
          <w:szCs w:val="21"/>
        </w:rPr>
      </w:pPr>
      <w:r>
        <w:rPr>
          <w:rFonts w:hint="eastAsia" w:ascii="宋体" w:hAnsi="宋体"/>
          <w:bCs/>
          <w:color w:val="auto"/>
          <w:szCs w:val="21"/>
        </w:rPr>
        <w:t>2.1</w:t>
      </w:r>
      <w:r>
        <w:rPr>
          <w:rFonts w:hint="eastAsia" w:ascii="宋体" w:hAnsi="宋体"/>
          <w:color w:val="auto"/>
          <w:szCs w:val="21"/>
        </w:rPr>
        <w:t>提交首次响应文件截止时间后</w:t>
      </w:r>
      <w:r>
        <w:rPr>
          <w:rFonts w:hint="eastAsia" w:ascii="宋体" w:hAnsi="宋体"/>
          <w:color w:val="auto"/>
          <w:szCs w:val="21"/>
          <w:lang w:val="en-US" w:eastAsia="zh-CN"/>
        </w:rPr>
        <w:t>磋商小组</w:t>
      </w:r>
      <w:r>
        <w:rPr>
          <w:rFonts w:hint="eastAsia" w:ascii="宋体" w:hAnsi="宋体"/>
          <w:color w:val="auto"/>
          <w:szCs w:val="21"/>
        </w:rPr>
        <w:t>依法按照本章</w:t>
      </w:r>
      <w:r>
        <w:rPr>
          <w:rFonts w:hint="eastAsia" w:ascii="华文宋体" w:hAnsi="华文宋体" w:eastAsia="华文宋体"/>
          <w:color w:val="auto"/>
          <w:szCs w:val="21"/>
        </w:rPr>
        <w:t>“</w:t>
      </w:r>
      <w:r>
        <w:rPr>
          <w:rFonts w:hint="eastAsia" w:ascii="宋体" w:hAnsi="宋体"/>
          <w:color w:val="auto"/>
          <w:szCs w:val="21"/>
        </w:rPr>
        <w:t>资格审查表</w:t>
      </w:r>
      <w:r>
        <w:rPr>
          <w:rFonts w:hint="eastAsia" w:ascii="华文宋体" w:hAnsi="华文宋体" w:eastAsia="华文宋体"/>
          <w:color w:val="auto"/>
          <w:szCs w:val="21"/>
        </w:rPr>
        <w:t>”所列</w:t>
      </w:r>
      <w:r>
        <w:rPr>
          <w:rFonts w:hint="eastAsia" w:ascii="宋体" w:hAnsi="宋体"/>
          <w:color w:val="auto"/>
        </w:rPr>
        <w:t>审查项目及</w:t>
      </w:r>
      <w:r>
        <w:rPr>
          <w:rFonts w:hint="eastAsia" w:ascii="华文宋体" w:hAnsi="华文宋体" w:eastAsia="华文宋体"/>
          <w:color w:val="auto"/>
          <w:szCs w:val="21"/>
        </w:rPr>
        <w:t>审查标准，对供应商</w:t>
      </w:r>
      <w:r>
        <w:rPr>
          <w:rFonts w:hint="eastAsia" w:ascii="宋体" w:hAnsi="宋体"/>
          <w:color w:val="auto"/>
          <w:szCs w:val="21"/>
        </w:rPr>
        <w:t>进行资格审查，以确定供应商是否具备参加磋商资格。</w:t>
      </w:r>
    </w:p>
    <w:p w14:paraId="4330A724">
      <w:pPr>
        <w:adjustRightInd w:val="0"/>
        <w:snapToGrid w:val="0"/>
        <w:spacing w:line="360" w:lineRule="auto"/>
        <w:ind w:firstLine="420" w:firstLineChars="200"/>
        <w:jc w:val="left"/>
        <w:rPr>
          <w:rFonts w:ascii="宋体" w:hAnsi="宋体"/>
          <w:b/>
          <w:color w:val="auto"/>
          <w:sz w:val="32"/>
          <w:szCs w:val="32"/>
        </w:rPr>
      </w:pPr>
      <w:r>
        <w:rPr>
          <w:rFonts w:hint="eastAsia" w:ascii="宋体" w:hAnsi="宋体"/>
          <w:color w:val="auto"/>
          <w:szCs w:val="21"/>
        </w:rPr>
        <w:t>2.2</w:t>
      </w:r>
      <w:r>
        <w:rPr>
          <w:rFonts w:hint="eastAsia" w:ascii="宋体" w:hAnsi="宋体"/>
          <w:color w:val="auto"/>
        </w:rPr>
        <w:t>信用记录。</w:t>
      </w:r>
      <w:r>
        <w:rPr>
          <w:rFonts w:hint="eastAsia" w:ascii="宋体" w:hAnsi="宋体"/>
          <w:color w:val="auto"/>
          <w:szCs w:val="21"/>
        </w:rPr>
        <w:t>资格审查时，采购人、采购代理机构将对供应商信用记录进行甄别。</w:t>
      </w:r>
    </w:p>
    <w:p w14:paraId="1D5781E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（1）信用信息查询的查询渠道：信用中国网（www.creditchina.gov.cn）、中国政府采购网（www.ccgp.gov.cn）；</w:t>
      </w:r>
    </w:p>
    <w:p w14:paraId="5DC0BDA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不良信用记录是指：供应商在“信用中国”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250734D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（3）供应商为联合体形式的，联合体成员存在不良信用记录的，视同联合体存在不良信用记录。</w:t>
      </w:r>
    </w:p>
    <w:p w14:paraId="77F67DE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（4）信用信息查询记录和证据留存具体方式：采购人、采购代理机构</w:t>
      </w:r>
      <w:r>
        <w:rPr>
          <w:rFonts w:ascii="宋体" w:hAnsi="宋体"/>
          <w:color w:val="auto"/>
          <w:szCs w:val="21"/>
        </w:rPr>
        <w:t>经办人将查询网页</w:t>
      </w:r>
      <w:r>
        <w:rPr>
          <w:rFonts w:hint="eastAsia" w:ascii="宋体" w:hAnsi="宋体"/>
          <w:color w:val="auto"/>
          <w:szCs w:val="21"/>
        </w:rPr>
        <w:t>截图、</w:t>
      </w:r>
      <w:r>
        <w:rPr>
          <w:rFonts w:ascii="宋体" w:hAnsi="宋体"/>
          <w:color w:val="auto"/>
          <w:szCs w:val="21"/>
        </w:rPr>
        <w:t>打印、签字</w:t>
      </w:r>
      <w:r>
        <w:rPr>
          <w:rFonts w:hint="eastAsia" w:ascii="宋体" w:hAnsi="宋体"/>
          <w:color w:val="auto"/>
          <w:szCs w:val="21"/>
        </w:rPr>
        <w:t>，作为查询记录和证据，与其他采购文件一并保存。供应商</w:t>
      </w:r>
      <w:r>
        <w:rPr>
          <w:rFonts w:ascii="宋体" w:hAnsi="宋体"/>
          <w:color w:val="auto"/>
          <w:szCs w:val="21"/>
        </w:rPr>
        <w:t>不良信用记录以</w:t>
      </w:r>
      <w:r>
        <w:rPr>
          <w:rFonts w:hint="eastAsia" w:ascii="宋体" w:hAnsi="宋体"/>
          <w:color w:val="auto"/>
          <w:szCs w:val="21"/>
        </w:rPr>
        <w:t>采购人、采购代理机构</w:t>
      </w:r>
      <w:r>
        <w:rPr>
          <w:rFonts w:ascii="宋体" w:hAnsi="宋体"/>
          <w:color w:val="auto"/>
          <w:szCs w:val="21"/>
        </w:rPr>
        <w:t>查询结果为准</w:t>
      </w:r>
      <w:r>
        <w:rPr>
          <w:rFonts w:hint="eastAsia" w:ascii="宋体" w:hAnsi="宋体"/>
          <w:color w:val="auto"/>
          <w:szCs w:val="21"/>
        </w:rPr>
        <w:t>。</w:t>
      </w:r>
    </w:p>
    <w:bookmarkEnd w:id="142"/>
    <w:bookmarkEnd w:id="143"/>
    <w:p w14:paraId="59EF1A32">
      <w:pPr>
        <w:pStyle w:val="6"/>
        <w:keepNext w:val="0"/>
        <w:keepLines w:val="0"/>
        <w:adjustRightInd w:val="0"/>
        <w:snapToGrid w:val="0"/>
        <w:spacing w:before="0" w:after="0" w:line="360" w:lineRule="auto"/>
        <w:rPr>
          <w:rFonts w:ascii="黑体" w:hAnsi="黑体"/>
          <w:b w:val="0"/>
          <w:bCs w:val="0"/>
          <w:color w:val="auto"/>
          <w:sz w:val="24"/>
          <w:szCs w:val="24"/>
        </w:rPr>
      </w:pPr>
      <w:bookmarkStart w:id="144" w:name="_Toc27580185"/>
      <w:bookmarkStart w:id="145" w:name="_Toc69831439"/>
      <w:bookmarkStart w:id="146" w:name="_Toc22201081"/>
      <w:r>
        <w:rPr>
          <w:rFonts w:hint="eastAsia" w:ascii="黑体" w:hAnsi="黑体"/>
          <w:b w:val="0"/>
          <w:bCs w:val="0"/>
          <w:color w:val="auto"/>
          <w:sz w:val="24"/>
          <w:szCs w:val="24"/>
        </w:rPr>
        <w:t>3.资格审查结果</w:t>
      </w:r>
      <w:bookmarkEnd w:id="144"/>
      <w:bookmarkEnd w:id="145"/>
      <w:bookmarkEnd w:id="146"/>
    </w:p>
    <w:p w14:paraId="4048CA8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3.1未通过资格审查的供应商，应当告知其未通过的原因。</w:t>
      </w:r>
    </w:p>
    <w:p w14:paraId="6679D60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3.2资格审查结束后，采购人、采购代理机构应将</w:t>
      </w:r>
      <w:r>
        <w:rPr>
          <w:rFonts w:hint="eastAsia" w:ascii="宋体" w:hAnsi="宋体"/>
          <w:color w:val="auto"/>
          <w:szCs w:val="21"/>
          <w:lang w:val="en-US" w:eastAsia="zh-CN"/>
        </w:rPr>
        <w:t>信用查询情况</w:t>
      </w:r>
      <w:r>
        <w:rPr>
          <w:rFonts w:hint="eastAsia" w:ascii="宋体" w:hAnsi="宋体"/>
          <w:color w:val="auto"/>
          <w:szCs w:val="21"/>
        </w:rPr>
        <w:t>告知磋商小组。</w:t>
      </w:r>
    </w:p>
    <w:p w14:paraId="46DB9726">
      <w:pPr>
        <w:pStyle w:val="3"/>
        <w:adjustRightInd w:val="0"/>
        <w:snapToGrid w:val="0"/>
        <w:jc w:val="center"/>
        <w:rPr>
          <w:rFonts w:ascii="黑体" w:hAnsi="黑体" w:eastAsia="黑体"/>
          <w:b w:val="0"/>
          <w:bCs w:val="0"/>
          <w:color w:val="auto"/>
          <w:sz w:val="28"/>
          <w:szCs w:val="28"/>
        </w:rPr>
      </w:pPr>
      <w:bookmarkStart w:id="147" w:name="_Toc69831440"/>
      <w:bookmarkStart w:id="148" w:name="_Toc26846"/>
      <w:r>
        <w:rPr>
          <w:rFonts w:hint="eastAsia" w:ascii="黑体" w:hAnsi="黑体" w:eastAsia="黑体"/>
          <w:b w:val="0"/>
          <w:bCs w:val="0"/>
          <w:color w:val="auto"/>
          <w:sz w:val="28"/>
          <w:szCs w:val="28"/>
        </w:rPr>
        <w:t>第二节评审方法及标准</w:t>
      </w:r>
      <w:bookmarkEnd w:id="147"/>
      <w:bookmarkEnd w:id="148"/>
    </w:p>
    <w:p w14:paraId="30E17745">
      <w:pPr>
        <w:pStyle w:val="6"/>
        <w:keepNext w:val="0"/>
        <w:keepLines w:val="0"/>
        <w:adjustRightInd w:val="0"/>
        <w:snapToGrid w:val="0"/>
        <w:spacing w:before="0" w:after="0" w:line="360" w:lineRule="auto"/>
        <w:rPr>
          <w:rFonts w:ascii="黑体" w:hAnsi="黑体"/>
          <w:b w:val="0"/>
          <w:bCs w:val="0"/>
          <w:color w:val="auto"/>
          <w:sz w:val="24"/>
          <w:szCs w:val="24"/>
        </w:rPr>
      </w:pPr>
      <w:bookmarkStart w:id="149" w:name="_Toc27580187"/>
      <w:bookmarkStart w:id="150" w:name="_Toc69831441"/>
      <w:bookmarkStart w:id="151" w:name="_Toc23255863"/>
      <w:r>
        <w:rPr>
          <w:rFonts w:hint="eastAsia" w:ascii="黑体" w:hAnsi="黑体"/>
          <w:b w:val="0"/>
          <w:bCs w:val="0"/>
          <w:color w:val="auto"/>
          <w:sz w:val="24"/>
          <w:szCs w:val="24"/>
        </w:rPr>
        <w:t>4.评审方法</w:t>
      </w:r>
      <w:bookmarkEnd w:id="149"/>
      <w:bookmarkEnd w:id="150"/>
    </w:p>
    <w:p w14:paraId="26AC272C">
      <w:pPr>
        <w:adjustRightInd w:val="0"/>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4.1经磋商确定最终采购需求和供应商提交最后报价后，由磋商小组采用综合评分法对提交最后报价的供应商的响应文件和最后报价进行综合评分。</w:t>
      </w:r>
    </w:p>
    <w:p w14:paraId="1D25F982">
      <w:pPr>
        <w:adjustRightInd w:val="0"/>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4.2综合评分法，是指响应文件满足磋商文件全部实质性要求且按评审因素的量化指标评审得分最高的供应商为成交候选供应商的评审方法。</w:t>
      </w:r>
    </w:p>
    <w:p w14:paraId="7038685F">
      <w:pPr>
        <w:pStyle w:val="6"/>
        <w:keepNext w:val="0"/>
        <w:keepLines w:val="0"/>
        <w:adjustRightInd w:val="0"/>
        <w:snapToGrid w:val="0"/>
        <w:spacing w:before="0" w:after="0" w:line="360" w:lineRule="auto"/>
        <w:rPr>
          <w:rFonts w:ascii="黑体" w:hAnsi="黑体"/>
          <w:b w:val="0"/>
          <w:bCs w:val="0"/>
          <w:color w:val="auto"/>
          <w:sz w:val="24"/>
          <w:szCs w:val="24"/>
        </w:rPr>
      </w:pPr>
      <w:bookmarkStart w:id="152" w:name="_Toc69831442"/>
      <w:bookmarkStart w:id="153" w:name="_Toc27580188"/>
      <w:r>
        <w:rPr>
          <w:rFonts w:hint="eastAsia" w:ascii="黑体" w:hAnsi="黑体"/>
          <w:b w:val="0"/>
          <w:bCs w:val="0"/>
          <w:color w:val="auto"/>
          <w:sz w:val="24"/>
          <w:szCs w:val="24"/>
        </w:rPr>
        <w:t>5.符合性评审</w:t>
      </w:r>
      <w:bookmarkEnd w:id="152"/>
    </w:p>
    <w:p w14:paraId="1A6E640E">
      <w:pPr>
        <w:adjustRightInd w:val="0"/>
        <w:snapToGrid w:val="0"/>
        <w:spacing w:line="360" w:lineRule="auto"/>
        <w:ind w:firstLine="420" w:firstLineChars="200"/>
        <w:rPr>
          <w:rFonts w:ascii="宋体" w:hAnsi="宋体"/>
          <w:color w:val="auto"/>
        </w:rPr>
      </w:pPr>
      <w:r>
        <w:rPr>
          <w:rFonts w:hint="eastAsia" w:ascii="宋体" w:hAnsi="宋体"/>
          <w:color w:val="auto"/>
        </w:rPr>
        <w:t>5.1响应文件审查。审查标准：本章附表2“符合性审查表”。响应文件的实质性变动内容，根据第二章第23.5款规定，在磋商结束后，对供应商重新提交的响应文件进行审查。</w:t>
      </w:r>
    </w:p>
    <w:p w14:paraId="4706E9C9">
      <w:pPr>
        <w:adjustRightInd w:val="0"/>
        <w:snapToGrid w:val="0"/>
        <w:spacing w:line="360" w:lineRule="auto"/>
        <w:ind w:firstLine="420" w:firstLineChars="200"/>
        <w:rPr>
          <w:rFonts w:ascii="宋体" w:hAnsi="宋体"/>
          <w:color w:val="auto"/>
        </w:rPr>
      </w:pPr>
      <w:r>
        <w:rPr>
          <w:rFonts w:hint="eastAsia" w:ascii="宋体" w:hAnsi="宋体"/>
          <w:color w:val="auto"/>
        </w:rPr>
        <w:t>5.2在磋商过程中发现供应商有不遵循公平竞争的原则，恶意串通，妨碍其他供应商的竞争行为，损害采购人或者其他供应商的合法权益的，磋商小组应当认定其响应无效，并书面报告本级财政部门。</w:t>
      </w:r>
    </w:p>
    <w:p w14:paraId="3B79ADDE">
      <w:pPr>
        <w:pStyle w:val="6"/>
        <w:adjustRightInd w:val="0"/>
        <w:snapToGrid w:val="0"/>
        <w:spacing w:before="0" w:after="0" w:line="360" w:lineRule="auto"/>
        <w:rPr>
          <w:rFonts w:ascii="黑体" w:hAnsi="黑体"/>
          <w:b w:val="0"/>
          <w:bCs w:val="0"/>
          <w:color w:val="auto"/>
          <w:sz w:val="24"/>
          <w:szCs w:val="24"/>
        </w:rPr>
      </w:pPr>
      <w:bookmarkStart w:id="154" w:name="_Toc69831443"/>
      <w:r>
        <w:rPr>
          <w:rFonts w:hint="eastAsia" w:ascii="黑体" w:hAnsi="黑体"/>
          <w:b w:val="0"/>
          <w:bCs w:val="0"/>
          <w:color w:val="auto"/>
          <w:sz w:val="24"/>
          <w:szCs w:val="24"/>
        </w:rPr>
        <w:t>6.比较与评价</w:t>
      </w:r>
      <w:bookmarkEnd w:id="154"/>
    </w:p>
    <w:p w14:paraId="57847A4E">
      <w:pPr>
        <w:adjustRightInd w:val="0"/>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6.1 评审标准：评审因素和标准：本章附表3“评审方法及标准表”。</w:t>
      </w:r>
    </w:p>
    <w:p w14:paraId="52EB927C">
      <w:pPr>
        <w:pStyle w:val="6"/>
        <w:keepNext w:val="0"/>
        <w:keepLines w:val="0"/>
        <w:adjustRightInd w:val="0"/>
        <w:snapToGrid w:val="0"/>
        <w:spacing w:before="0" w:after="0" w:line="360" w:lineRule="auto"/>
        <w:rPr>
          <w:rFonts w:ascii="黑体" w:hAnsi="黑体"/>
          <w:b w:val="0"/>
          <w:bCs w:val="0"/>
          <w:color w:val="auto"/>
          <w:sz w:val="24"/>
          <w:szCs w:val="24"/>
        </w:rPr>
      </w:pPr>
      <w:bookmarkStart w:id="155" w:name="_Toc69831444"/>
      <w:r>
        <w:rPr>
          <w:rFonts w:hint="eastAsia" w:ascii="黑体" w:hAnsi="黑体"/>
          <w:b w:val="0"/>
          <w:bCs w:val="0"/>
          <w:color w:val="auto"/>
          <w:sz w:val="24"/>
          <w:szCs w:val="24"/>
        </w:rPr>
        <w:t>7.磋商报价评价</w:t>
      </w:r>
      <w:bookmarkEnd w:id="155"/>
    </w:p>
    <w:p w14:paraId="100DC3D2">
      <w:pPr>
        <w:adjustRightInd w:val="0"/>
        <w:snapToGrid w:val="0"/>
        <w:spacing w:line="360" w:lineRule="auto"/>
        <w:ind w:firstLine="420" w:firstLineChars="200"/>
        <w:rPr>
          <w:rFonts w:ascii="宋体" w:hAnsi="宋体"/>
          <w:color w:val="auto"/>
        </w:rPr>
      </w:pPr>
      <w:r>
        <w:rPr>
          <w:rFonts w:hint="eastAsia" w:ascii="宋体" w:hAnsi="宋体"/>
          <w:color w:val="auto"/>
        </w:rPr>
        <w:t>7.1报价评价：价格分应当采用低价优先法计算，即满足磋商文件要求且最后报价最低的报价为磋商基准价，其价格分为满分（报价权重分）。其他供应商的价格分统一按照下列公式计算：</w:t>
      </w:r>
    </w:p>
    <w:p w14:paraId="2AEF3D19">
      <w:pPr>
        <w:adjustRightInd w:val="0"/>
        <w:snapToGrid w:val="0"/>
        <w:spacing w:line="360" w:lineRule="auto"/>
        <w:ind w:firstLine="420" w:firstLineChars="200"/>
        <w:rPr>
          <w:rFonts w:ascii="宋体" w:hAnsi="宋体"/>
          <w:color w:val="auto"/>
        </w:rPr>
      </w:pPr>
      <w:r>
        <w:rPr>
          <w:rFonts w:hint="eastAsia" w:ascii="宋体" w:hAnsi="宋体"/>
          <w:color w:val="auto"/>
        </w:rPr>
        <w:t>磋商报价得分=（磋商基准价／最后磋商报价）× 报价权重分</w:t>
      </w:r>
    </w:p>
    <w:p w14:paraId="148DA7C5">
      <w:pPr>
        <w:adjustRightInd w:val="0"/>
        <w:snapToGrid w:val="0"/>
        <w:spacing w:line="360" w:lineRule="auto"/>
        <w:ind w:firstLine="420" w:firstLineChars="200"/>
        <w:rPr>
          <w:rFonts w:ascii="宋体" w:hAnsi="宋体"/>
          <w:color w:val="auto"/>
        </w:rPr>
      </w:pPr>
      <w:r>
        <w:rPr>
          <w:rFonts w:hint="eastAsia" w:ascii="宋体" w:hAnsi="宋体"/>
          <w:color w:val="auto"/>
        </w:rPr>
        <w:t>7.2因算术修正及落实政府采购政策(价格评审优惠)进行价格调整的，以调整后的价格计算磋商基准价和磋商最后报价。</w:t>
      </w:r>
    </w:p>
    <w:p w14:paraId="6E13489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（1）如果有算术错误，最后报价将按第二章第二节第22.2款规定进行算术修正。</w:t>
      </w:r>
    </w:p>
    <w:p w14:paraId="5A6FBCA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（2）需落实政府采购政策（价格评审优惠）的，按第二章第二节第38条的相关规定进行价格调整。</w:t>
      </w:r>
    </w:p>
    <w:p w14:paraId="74B81207">
      <w:pPr>
        <w:adjustRightInd w:val="0"/>
        <w:snapToGrid w:val="0"/>
        <w:spacing w:line="360" w:lineRule="auto"/>
        <w:ind w:firstLine="420" w:firstLineChars="200"/>
        <w:rPr>
          <w:rFonts w:ascii="宋体" w:hAnsi="宋体"/>
          <w:color w:val="auto"/>
        </w:rPr>
      </w:pPr>
      <w:r>
        <w:rPr>
          <w:rFonts w:hint="eastAsia" w:ascii="宋体" w:hAnsi="宋体"/>
          <w:color w:val="auto"/>
        </w:rPr>
        <w:t>7.3磋商小组认为供应商的最后报价明显低于其他通过符合性审查供应商的最后报价，有可能影响产品质量或者不能诚信履约的，应当要求其在磋商现场合理的时间内提供书面说明，必要时提交相关证明材料；供应商不能证明其报价合理性的，磋商小组应当将其作为</w:t>
      </w:r>
      <w:r>
        <w:rPr>
          <w:rFonts w:hint="eastAsia" w:ascii="宋体" w:hAnsi="宋体"/>
          <w:b/>
          <w:color w:val="auto"/>
        </w:rPr>
        <w:t>响应无效处理</w:t>
      </w:r>
      <w:r>
        <w:rPr>
          <w:rFonts w:hint="eastAsia" w:ascii="宋体" w:hAnsi="宋体"/>
          <w:color w:val="auto"/>
        </w:rPr>
        <w:t>。</w:t>
      </w:r>
    </w:p>
    <w:bookmarkEnd w:id="153"/>
    <w:p w14:paraId="672460D1">
      <w:pPr>
        <w:pStyle w:val="6"/>
        <w:keepNext w:val="0"/>
        <w:keepLines w:val="0"/>
        <w:adjustRightInd w:val="0"/>
        <w:snapToGrid w:val="0"/>
        <w:spacing w:before="0" w:after="0" w:line="360" w:lineRule="auto"/>
        <w:rPr>
          <w:rFonts w:ascii="黑体" w:hAnsi="黑体"/>
          <w:b w:val="0"/>
          <w:bCs w:val="0"/>
          <w:color w:val="auto"/>
          <w:sz w:val="24"/>
          <w:szCs w:val="24"/>
        </w:rPr>
      </w:pPr>
      <w:bookmarkStart w:id="156" w:name="_Toc27580190"/>
      <w:bookmarkStart w:id="157" w:name="_Toc69831445"/>
      <w:r>
        <w:rPr>
          <w:rFonts w:hint="eastAsia" w:ascii="黑体" w:hAnsi="黑体"/>
          <w:b w:val="0"/>
          <w:bCs w:val="0"/>
          <w:color w:val="auto"/>
          <w:sz w:val="24"/>
          <w:szCs w:val="24"/>
        </w:rPr>
        <w:t>8.技术、商务评价</w:t>
      </w:r>
      <w:bookmarkEnd w:id="156"/>
      <w:bookmarkEnd w:id="157"/>
    </w:p>
    <w:p w14:paraId="6812CFD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8.1技术、商务等评分项响应评分。按</w:t>
      </w:r>
      <w:r>
        <w:rPr>
          <w:rFonts w:hint="eastAsia" w:ascii="宋体" w:hAnsi="宋体"/>
          <w:bCs/>
          <w:color w:val="auto"/>
          <w:szCs w:val="21"/>
        </w:rPr>
        <w:t>本章</w:t>
      </w:r>
      <w:r>
        <w:rPr>
          <w:rFonts w:hint="eastAsia" w:ascii="宋体" w:hAnsi="宋体"/>
          <w:color w:val="auto"/>
          <w:szCs w:val="21"/>
        </w:rPr>
        <w:t>附表3“评审方法及标准表”规定的评审因素和标准，对技术、商务等评分项计算得分。</w:t>
      </w:r>
    </w:p>
    <w:p w14:paraId="74A73BD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8.2需落实政府采购政策（优先采购）的，按第二章第二节第37条以及本章附表3“评审方法及标准表”的相关规定进行技术、价格、商务项得分(加分)计算。</w:t>
      </w:r>
    </w:p>
    <w:p w14:paraId="0E63D556">
      <w:pPr>
        <w:pStyle w:val="6"/>
        <w:adjustRightInd w:val="0"/>
        <w:snapToGrid w:val="0"/>
        <w:spacing w:before="0" w:after="0" w:line="360" w:lineRule="auto"/>
        <w:rPr>
          <w:rFonts w:ascii="黑体" w:hAnsi="黑体"/>
          <w:b w:val="0"/>
          <w:bCs w:val="0"/>
          <w:color w:val="auto"/>
          <w:sz w:val="24"/>
          <w:szCs w:val="24"/>
        </w:rPr>
      </w:pPr>
      <w:bookmarkStart w:id="158" w:name="_Toc69831446"/>
      <w:r>
        <w:rPr>
          <w:rFonts w:hint="eastAsia" w:ascii="黑体" w:hAnsi="黑体"/>
          <w:b w:val="0"/>
          <w:bCs w:val="0"/>
          <w:color w:val="auto"/>
          <w:sz w:val="24"/>
          <w:szCs w:val="24"/>
        </w:rPr>
        <w:t>9.评价总得分</w:t>
      </w:r>
      <w:bookmarkEnd w:id="158"/>
    </w:p>
    <w:p w14:paraId="4756745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9.1评价总得分为磋商报价、技术、商务等评分项得分(含优先采购政策加分)之和。</w:t>
      </w:r>
    </w:p>
    <w:p w14:paraId="20AFBF4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评价总得分＝A</w:t>
      </w:r>
      <w:r>
        <w:rPr>
          <w:rFonts w:hint="eastAsia" w:ascii="宋体" w:hAnsi="宋体"/>
          <w:color w:val="auto"/>
          <w:szCs w:val="21"/>
          <w:vertAlign w:val="subscript"/>
        </w:rPr>
        <w:t>磋商报价得分</w:t>
      </w:r>
      <w:r>
        <w:rPr>
          <w:rFonts w:hint="eastAsia" w:ascii="宋体" w:hAnsi="宋体"/>
          <w:color w:val="auto"/>
          <w:szCs w:val="21"/>
        </w:rPr>
        <w:t>＋A</w:t>
      </w:r>
      <w:r>
        <w:rPr>
          <w:rFonts w:hint="eastAsia" w:ascii="宋体" w:hAnsi="宋体"/>
          <w:color w:val="auto"/>
          <w:szCs w:val="21"/>
          <w:vertAlign w:val="subscript"/>
        </w:rPr>
        <w:t>技术项得分</w:t>
      </w:r>
      <w:r>
        <w:rPr>
          <w:rFonts w:hint="eastAsia" w:ascii="宋体" w:hAnsi="宋体"/>
          <w:color w:val="auto"/>
          <w:szCs w:val="21"/>
        </w:rPr>
        <w:t>＋A</w:t>
      </w:r>
      <w:r>
        <w:rPr>
          <w:rFonts w:hint="eastAsia" w:ascii="宋体" w:hAnsi="宋体"/>
          <w:color w:val="auto"/>
          <w:szCs w:val="21"/>
          <w:vertAlign w:val="subscript"/>
        </w:rPr>
        <w:t>商务项得分</w:t>
      </w:r>
      <w:r>
        <w:rPr>
          <w:rFonts w:hint="eastAsia" w:ascii="宋体" w:hAnsi="宋体"/>
          <w:color w:val="auto"/>
          <w:szCs w:val="21"/>
        </w:rPr>
        <w:t>＋A</w:t>
      </w:r>
      <w:r>
        <w:rPr>
          <w:rFonts w:hint="eastAsia" w:ascii="宋体" w:hAnsi="宋体"/>
          <w:color w:val="auto"/>
          <w:szCs w:val="21"/>
          <w:vertAlign w:val="subscript"/>
        </w:rPr>
        <w:t>优先采购加分</w:t>
      </w:r>
    </w:p>
    <w:p w14:paraId="55427C6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9.2评分分值计算保留小数点后两位，小数点后第三位“四舍五入”。</w:t>
      </w:r>
    </w:p>
    <w:p w14:paraId="078A24B0">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kern w:val="0"/>
          <w:szCs w:val="21"/>
        </w:rPr>
        <w:t>9.3</w:t>
      </w:r>
      <w:r>
        <w:rPr>
          <w:rFonts w:hint="eastAsia" w:ascii="宋体" w:hAnsi="宋体"/>
          <w:color w:val="auto"/>
          <w:szCs w:val="21"/>
        </w:rPr>
        <w:t>评审时，磋商小组成员应当独立对满足磋商文件全部实质性要求供应商的响应</w:t>
      </w:r>
      <w:r>
        <w:rPr>
          <w:rFonts w:hint="eastAsia" w:ascii="宋体" w:hAnsi="宋体"/>
          <w:bCs/>
          <w:color w:val="auto"/>
          <w:szCs w:val="21"/>
        </w:rPr>
        <w:t>文件</w:t>
      </w:r>
      <w:r>
        <w:rPr>
          <w:rFonts w:hint="eastAsia" w:ascii="宋体" w:hAnsi="宋体"/>
          <w:color w:val="auto"/>
          <w:szCs w:val="21"/>
        </w:rPr>
        <w:t>进行评价、评分，然后汇总每个供应商每项评分因素的得分。每个供应商的最终得分为所有磋商小组成员评分的算术平均值。</w:t>
      </w:r>
    </w:p>
    <w:p w14:paraId="4EB8CB1C">
      <w:pPr>
        <w:pStyle w:val="6"/>
        <w:keepNext w:val="0"/>
        <w:keepLines w:val="0"/>
        <w:adjustRightInd w:val="0"/>
        <w:snapToGrid w:val="0"/>
        <w:spacing w:before="0" w:after="0" w:line="360" w:lineRule="auto"/>
        <w:rPr>
          <w:rFonts w:ascii="黑体" w:hAnsi="黑体"/>
          <w:b w:val="0"/>
          <w:bCs w:val="0"/>
          <w:color w:val="auto"/>
          <w:sz w:val="24"/>
          <w:szCs w:val="24"/>
        </w:rPr>
      </w:pPr>
      <w:bookmarkStart w:id="159" w:name="_Toc69831447"/>
      <w:bookmarkStart w:id="160" w:name="_Toc27580191"/>
      <w:r>
        <w:rPr>
          <w:rFonts w:hint="eastAsia" w:ascii="黑体" w:hAnsi="黑体"/>
          <w:b w:val="0"/>
          <w:bCs w:val="0"/>
          <w:color w:val="auto"/>
          <w:sz w:val="24"/>
          <w:szCs w:val="24"/>
        </w:rPr>
        <w:t>10.推荐成交候选供应商</w:t>
      </w:r>
      <w:bookmarkEnd w:id="159"/>
      <w:bookmarkEnd w:id="160"/>
    </w:p>
    <w:p w14:paraId="77377241">
      <w:pPr>
        <w:adjustRightInd w:val="0"/>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10.1磋商小组应当根据综合评分情况，按照评审得分由高到低顺序推荐3名以上成交候选供应商，并编写评审报告。符合第二章第二节第</w:t>
      </w:r>
      <w:r>
        <w:rPr>
          <w:rFonts w:ascii="宋体" w:hAnsi="宋体"/>
          <w:bCs/>
          <w:color w:val="auto"/>
          <w:szCs w:val="21"/>
        </w:rPr>
        <w:t>2</w:t>
      </w: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5款情形的，可以推荐2家成交候选供应商。评审得分相同的，按照最后报价由低到高的顺序推荐。评审得分且最后报价相同的，按照技术指标优劣顺序推荐。</w:t>
      </w:r>
    </w:p>
    <w:p w14:paraId="048EAF4E">
      <w:pPr>
        <w:pStyle w:val="6"/>
        <w:adjustRightInd w:val="0"/>
        <w:snapToGrid w:val="0"/>
        <w:spacing w:before="0" w:after="0" w:line="360" w:lineRule="auto"/>
        <w:rPr>
          <w:rFonts w:ascii="黑体" w:hAnsi="黑体"/>
          <w:b w:val="0"/>
          <w:bCs w:val="0"/>
          <w:color w:val="auto"/>
          <w:sz w:val="24"/>
          <w:szCs w:val="24"/>
        </w:rPr>
      </w:pPr>
      <w:bookmarkStart w:id="161" w:name="_Toc69831448"/>
      <w:r>
        <w:rPr>
          <w:rFonts w:hint="eastAsia" w:ascii="黑体" w:hAnsi="黑体"/>
          <w:b w:val="0"/>
          <w:bCs w:val="0"/>
          <w:color w:val="auto"/>
          <w:sz w:val="24"/>
          <w:szCs w:val="24"/>
        </w:rPr>
        <w:t>11.编写评标报告</w:t>
      </w:r>
      <w:bookmarkEnd w:id="161"/>
    </w:p>
    <w:p w14:paraId="6A28F42E">
      <w:pPr>
        <w:adjustRightInd w:val="0"/>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11.1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98E704">
      <w:pPr>
        <w:pStyle w:val="6"/>
        <w:adjustRightInd w:val="0"/>
        <w:snapToGrid w:val="0"/>
        <w:spacing w:before="0" w:after="0" w:line="360" w:lineRule="auto"/>
        <w:rPr>
          <w:rFonts w:ascii="黑体" w:hAnsi="黑体"/>
          <w:b w:val="0"/>
          <w:bCs w:val="0"/>
          <w:color w:val="auto"/>
          <w:sz w:val="24"/>
          <w:szCs w:val="24"/>
        </w:rPr>
      </w:pPr>
      <w:bookmarkStart w:id="162" w:name="_Toc69831449"/>
      <w:r>
        <w:rPr>
          <w:rFonts w:hint="eastAsia" w:ascii="黑体" w:hAnsi="黑体"/>
          <w:b w:val="0"/>
          <w:bCs w:val="0"/>
          <w:color w:val="auto"/>
          <w:sz w:val="24"/>
          <w:szCs w:val="24"/>
        </w:rPr>
        <w:t>12.停止评审</w:t>
      </w:r>
      <w:bookmarkEnd w:id="162"/>
    </w:p>
    <w:p w14:paraId="496537C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12.1磋商文件内容违反国家有关强制性规定的，磋商小组应当停止评审并向采购人、采购代理机构说明情况。</w:t>
      </w:r>
    </w:p>
    <w:p w14:paraId="094D63B6">
      <w:pPr>
        <w:pStyle w:val="6"/>
        <w:adjustRightInd w:val="0"/>
        <w:snapToGrid w:val="0"/>
        <w:spacing w:before="0" w:after="0" w:line="360" w:lineRule="auto"/>
        <w:rPr>
          <w:rFonts w:ascii="黑体" w:hAnsi="黑体"/>
          <w:b w:val="0"/>
          <w:bCs w:val="0"/>
          <w:color w:val="auto"/>
          <w:sz w:val="24"/>
          <w:szCs w:val="24"/>
        </w:rPr>
      </w:pPr>
      <w:bookmarkStart w:id="163" w:name="_Toc69831450"/>
      <w:r>
        <w:rPr>
          <w:rFonts w:hint="eastAsia" w:ascii="黑体" w:hAnsi="黑体"/>
          <w:b w:val="0"/>
          <w:bCs w:val="0"/>
          <w:color w:val="auto"/>
          <w:sz w:val="24"/>
          <w:szCs w:val="24"/>
        </w:rPr>
        <w:t>13.磋商终止</w:t>
      </w:r>
      <w:bookmarkEnd w:id="163"/>
    </w:p>
    <w:p w14:paraId="0B15243D">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13.1 出现下列情形之一的，采购人或者采购代理机构应当终止竞争性磋商采购活动，在财政部指定的媒体上发布项目终止公告并说明原因，重新开展采购活动：</w:t>
      </w:r>
    </w:p>
    <w:p w14:paraId="007BD87C">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14:paraId="29B2CD46">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14:paraId="3D76CCDC">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除市场竞争不充分的科研项目、需要扶持的科技成果转化项目，以及政府购买服务项目(含政府和社会资本合作项目)外，在采购过程中符合竞争要求的供应商或者报价未超过采购预算的供应商不足3家的，或者提交最后报价的供应商少于3家的；</w:t>
      </w:r>
    </w:p>
    <w:p w14:paraId="402DB44B">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（4）因重大变故，采购任务取消的。</w:t>
      </w:r>
    </w:p>
    <w:p w14:paraId="56A53E8A">
      <w:pPr>
        <w:pStyle w:val="6"/>
        <w:adjustRightInd w:val="0"/>
        <w:snapToGrid w:val="0"/>
        <w:spacing w:before="0" w:after="0" w:line="360" w:lineRule="auto"/>
        <w:rPr>
          <w:rFonts w:ascii="黑体" w:hAnsi="黑体"/>
          <w:b w:val="0"/>
          <w:bCs w:val="0"/>
          <w:color w:val="auto"/>
          <w:sz w:val="24"/>
          <w:szCs w:val="24"/>
        </w:rPr>
      </w:pPr>
      <w:bookmarkStart w:id="164" w:name="_Toc69831451"/>
      <w:r>
        <w:rPr>
          <w:rFonts w:hint="eastAsia" w:ascii="黑体" w:hAnsi="黑体"/>
          <w:b w:val="0"/>
          <w:bCs w:val="0"/>
          <w:color w:val="auto"/>
          <w:sz w:val="24"/>
          <w:szCs w:val="24"/>
        </w:rPr>
        <w:t>14.重新评审</w:t>
      </w:r>
      <w:bookmarkEnd w:id="164"/>
    </w:p>
    <w:p w14:paraId="3B8309B0">
      <w:pPr>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14.1 除资格性检查认定错误、分值汇总计算错误、分项评分超出评分标准范围、客观分评分不一致、经磋商小组一致认定评分畸高、畸低的情形外，采购人或者采购代理机构不得以任何理由组织重新评审。</w:t>
      </w:r>
    </w:p>
    <w:p w14:paraId="4DD2396C">
      <w:pPr>
        <w:adjustRightInd w:val="0"/>
        <w:snapToGrid w:val="0"/>
        <w:spacing w:beforeLines="50" w:line="360" w:lineRule="auto"/>
        <w:ind w:firstLine="420" w:firstLineChars="200"/>
        <w:jc w:val="left"/>
        <w:rPr>
          <w:rFonts w:ascii="宋体" w:hAnsi="宋体"/>
          <w:color w:val="auto"/>
          <w:szCs w:val="21"/>
        </w:rPr>
      </w:pPr>
    </w:p>
    <w:bookmarkEnd w:id="151"/>
    <w:p w14:paraId="55A3EE3C">
      <w:pPr>
        <w:widowControl/>
        <w:jc w:val="left"/>
        <w:rPr>
          <w:rFonts w:ascii="Arial" w:hAnsi="Arial"/>
          <w:b/>
          <w:bCs/>
          <w:color w:val="auto"/>
          <w:sz w:val="24"/>
          <w:szCs w:val="32"/>
        </w:rPr>
      </w:pPr>
      <w:r>
        <w:rPr>
          <w:color w:val="auto"/>
        </w:rPr>
        <w:br w:type="page"/>
      </w:r>
    </w:p>
    <w:p w14:paraId="6A7BEB51">
      <w:pPr>
        <w:pStyle w:val="3"/>
        <w:rPr>
          <w:color w:val="auto"/>
        </w:rPr>
      </w:pPr>
      <w:bookmarkStart w:id="165" w:name="_Toc69831452"/>
      <w:bookmarkStart w:id="166" w:name="_Toc28351"/>
      <w:r>
        <w:rPr>
          <w:rFonts w:hint="eastAsia"/>
          <w:color w:val="auto"/>
        </w:rPr>
        <w:t>附表1资格审查表</w:t>
      </w:r>
      <w:bookmarkEnd w:id="165"/>
      <w:bookmarkEnd w:id="166"/>
    </w:p>
    <w:p w14:paraId="15F79F29">
      <w:pPr>
        <w:adjustRightInd w:val="0"/>
        <w:snapToGrid w:val="0"/>
        <w:spacing w:line="360" w:lineRule="auto"/>
        <w:jc w:val="center"/>
        <w:rPr>
          <w:rFonts w:ascii="黑体" w:hAnsi="黑体" w:eastAsia="黑体"/>
          <w:b w:val="0"/>
          <w:bCs/>
          <w:color w:val="auto"/>
          <w:sz w:val="28"/>
          <w:szCs w:val="28"/>
        </w:rPr>
      </w:pPr>
      <w:r>
        <w:rPr>
          <w:rFonts w:ascii="黑体" w:hAnsi="黑体" w:eastAsia="黑体"/>
          <w:b w:val="0"/>
          <w:bCs/>
          <w:color w:val="auto"/>
          <w:sz w:val="28"/>
          <w:szCs w:val="28"/>
        </w:rPr>
        <w:t>资格审查表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977"/>
        <w:gridCol w:w="5266"/>
      </w:tblGrid>
      <w:tr w14:paraId="40682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817" w:type="dxa"/>
            <w:noWrap w:val="0"/>
            <w:vAlign w:val="center"/>
          </w:tcPr>
          <w:p w14:paraId="3C56FF54">
            <w:pPr>
              <w:adjustRightInd w:val="0"/>
              <w:snapToGrid w:val="0"/>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2977" w:type="dxa"/>
            <w:noWrap w:val="0"/>
            <w:vAlign w:val="center"/>
          </w:tcPr>
          <w:p w14:paraId="11CBC06E">
            <w:pPr>
              <w:adjustRightInd w:val="0"/>
              <w:snapToGrid w:val="0"/>
              <w:spacing w:line="400" w:lineRule="exact"/>
              <w:jc w:val="center"/>
              <w:rPr>
                <w:rFonts w:ascii="宋体" w:hAnsi="宋体" w:cs="宋体"/>
                <w:b/>
                <w:color w:val="auto"/>
                <w:kern w:val="0"/>
                <w:szCs w:val="21"/>
              </w:rPr>
            </w:pPr>
            <w:r>
              <w:rPr>
                <w:rFonts w:hint="eastAsia" w:ascii="宋体" w:hAnsi="宋体" w:cs="宋体"/>
                <w:b/>
                <w:color w:val="auto"/>
                <w:kern w:val="0"/>
                <w:szCs w:val="21"/>
              </w:rPr>
              <w:t>审查项目</w:t>
            </w:r>
          </w:p>
        </w:tc>
        <w:tc>
          <w:tcPr>
            <w:tcW w:w="5266" w:type="dxa"/>
            <w:noWrap w:val="0"/>
            <w:vAlign w:val="center"/>
          </w:tcPr>
          <w:p w14:paraId="7CD06AFD">
            <w:pPr>
              <w:adjustRightInd w:val="0"/>
              <w:snapToGrid w:val="0"/>
              <w:spacing w:line="400" w:lineRule="exact"/>
              <w:jc w:val="center"/>
              <w:rPr>
                <w:rFonts w:ascii="宋体" w:hAnsi="宋体" w:cs="宋体"/>
                <w:b/>
                <w:color w:val="auto"/>
                <w:kern w:val="0"/>
                <w:szCs w:val="21"/>
              </w:rPr>
            </w:pPr>
            <w:r>
              <w:rPr>
                <w:rFonts w:hint="eastAsia" w:ascii="宋体" w:hAnsi="宋体" w:cs="宋体"/>
                <w:b/>
                <w:color w:val="auto"/>
                <w:kern w:val="0"/>
                <w:szCs w:val="21"/>
              </w:rPr>
              <w:t>审查标准</w:t>
            </w:r>
          </w:p>
        </w:tc>
      </w:tr>
      <w:tr w14:paraId="551D7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3173E437">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2977" w:type="dxa"/>
            <w:noWrap w:val="0"/>
            <w:vAlign w:val="center"/>
          </w:tcPr>
          <w:p w14:paraId="0FA33814">
            <w:pPr>
              <w:adjustRightInd w:val="0"/>
              <w:snapToGrid w:val="0"/>
              <w:spacing w:line="400" w:lineRule="exact"/>
              <w:rPr>
                <w:rFonts w:ascii="宋体" w:hAnsi="宋体"/>
                <w:color w:val="auto"/>
                <w:szCs w:val="21"/>
              </w:rPr>
            </w:pPr>
            <w:r>
              <w:rPr>
                <w:rFonts w:hint="eastAsia" w:ascii="宋体" w:hAnsi="宋体"/>
                <w:color w:val="auto"/>
                <w:szCs w:val="21"/>
              </w:rPr>
              <w:t>法人或者其他组织的营业执照等主体资格证明文件，自然人的身份证明</w:t>
            </w:r>
          </w:p>
        </w:tc>
        <w:tc>
          <w:tcPr>
            <w:tcW w:w="5266" w:type="dxa"/>
            <w:noWrap w:val="0"/>
            <w:vAlign w:val="center"/>
          </w:tcPr>
          <w:p w14:paraId="08D35C3E">
            <w:pPr>
              <w:adjustRightInd w:val="0"/>
              <w:snapToGrid w:val="0"/>
              <w:spacing w:line="400" w:lineRule="exact"/>
              <w:rPr>
                <w:rFonts w:hint="eastAsia" w:ascii="宋体" w:hAnsi="宋体" w:eastAsia="宋体"/>
                <w:color w:val="auto"/>
                <w:szCs w:val="21"/>
                <w:lang w:eastAsia="zh-CN"/>
              </w:rPr>
            </w:pPr>
            <w:r>
              <w:rPr>
                <w:rFonts w:hint="eastAsia" w:ascii="宋体" w:hAnsi="宋体"/>
                <w:color w:val="auto"/>
                <w:szCs w:val="21"/>
              </w:rPr>
              <w:t>应提交营业执照的复印件</w:t>
            </w:r>
            <w:r>
              <w:rPr>
                <w:rFonts w:hint="eastAsia" w:ascii="宋体" w:hAnsi="宋体"/>
                <w:color w:val="auto"/>
                <w:szCs w:val="21"/>
                <w:lang w:eastAsia="zh-CN"/>
              </w:rPr>
              <w:t>。</w:t>
            </w:r>
          </w:p>
        </w:tc>
      </w:tr>
      <w:tr w14:paraId="05A52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290C8AC6">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2</w:t>
            </w:r>
          </w:p>
        </w:tc>
        <w:tc>
          <w:tcPr>
            <w:tcW w:w="2977" w:type="dxa"/>
            <w:noWrap w:val="0"/>
            <w:vAlign w:val="center"/>
          </w:tcPr>
          <w:p w14:paraId="3C324914">
            <w:pPr>
              <w:adjustRightInd w:val="0"/>
              <w:snapToGrid w:val="0"/>
              <w:spacing w:line="400" w:lineRule="exact"/>
              <w:rPr>
                <w:rFonts w:ascii="宋体" w:hAnsi="宋体"/>
                <w:color w:val="auto"/>
                <w:szCs w:val="21"/>
              </w:rPr>
            </w:pPr>
            <w:r>
              <w:rPr>
                <w:rFonts w:hint="eastAsia" w:ascii="宋体" w:hAnsi="宋体"/>
                <w:color w:val="auto"/>
                <w:szCs w:val="21"/>
              </w:rPr>
              <w:t>财务状况报告，依法缴纳税收和社会保障资金的相关材料</w:t>
            </w:r>
          </w:p>
        </w:tc>
        <w:tc>
          <w:tcPr>
            <w:tcW w:w="5266" w:type="dxa"/>
            <w:vMerge w:val="restart"/>
            <w:noWrap w:val="0"/>
            <w:vAlign w:val="center"/>
          </w:tcPr>
          <w:p w14:paraId="0DD8FEC0">
            <w:pPr>
              <w:adjustRightInd w:val="0"/>
              <w:snapToGrid w:val="0"/>
              <w:spacing w:line="400" w:lineRule="exact"/>
              <w:rPr>
                <w:rFonts w:hint="eastAsia" w:ascii="宋体" w:hAnsi="宋体" w:eastAsia="宋体"/>
                <w:color w:val="auto"/>
                <w:szCs w:val="21"/>
                <w:lang w:eastAsia="zh-CN"/>
              </w:rPr>
            </w:pPr>
            <w:r>
              <w:rPr>
                <w:rFonts w:hint="eastAsia" w:ascii="宋体" w:hAnsi="宋体"/>
                <w:color w:val="auto"/>
                <w:szCs w:val="21"/>
              </w:rPr>
              <w:t>按磋商文件规定提供供应商资格声明</w:t>
            </w:r>
            <w:r>
              <w:rPr>
                <w:rFonts w:hint="eastAsia" w:ascii="宋体" w:hAnsi="宋体"/>
                <w:color w:val="auto"/>
                <w:szCs w:val="21"/>
                <w:lang w:eastAsia="zh-CN"/>
              </w:rPr>
              <w:t>、</w:t>
            </w:r>
            <w:r>
              <w:rPr>
                <w:rFonts w:hint="eastAsia" w:ascii="宋体" w:hAnsi="宋体"/>
                <w:color w:val="auto"/>
                <w:kern w:val="2"/>
                <w:sz w:val="21"/>
                <w:szCs w:val="21"/>
                <w:highlight w:val="white"/>
                <w:lang w:val="en-US" w:eastAsia="zh-CN" w:bidi="ar-SA"/>
              </w:rPr>
              <w:t>《湖南省政府采购供应商资格承诺函》</w:t>
            </w:r>
          </w:p>
        </w:tc>
      </w:tr>
      <w:tr w14:paraId="27BB5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46C91481">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3</w:t>
            </w:r>
          </w:p>
        </w:tc>
        <w:tc>
          <w:tcPr>
            <w:tcW w:w="2977" w:type="dxa"/>
            <w:noWrap w:val="0"/>
            <w:vAlign w:val="center"/>
          </w:tcPr>
          <w:p w14:paraId="76BBCF1F">
            <w:pPr>
              <w:adjustRightInd w:val="0"/>
              <w:snapToGrid w:val="0"/>
              <w:spacing w:line="400" w:lineRule="exact"/>
              <w:rPr>
                <w:rFonts w:ascii="宋体" w:hAnsi="宋体"/>
                <w:color w:val="auto"/>
                <w:szCs w:val="21"/>
              </w:rPr>
            </w:pPr>
            <w:r>
              <w:rPr>
                <w:rFonts w:hint="eastAsia" w:ascii="宋体" w:hAnsi="宋体"/>
                <w:color w:val="auto"/>
                <w:szCs w:val="21"/>
              </w:rPr>
              <w:t>具备履行合同所必需的设备和专业技术能力的证明材料</w:t>
            </w:r>
          </w:p>
        </w:tc>
        <w:tc>
          <w:tcPr>
            <w:tcW w:w="5266" w:type="dxa"/>
            <w:vMerge w:val="continue"/>
            <w:noWrap w:val="0"/>
            <w:vAlign w:val="center"/>
          </w:tcPr>
          <w:p w14:paraId="067DF2B8">
            <w:pPr>
              <w:adjustRightInd w:val="0"/>
              <w:snapToGrid w:val="0"/>
              <w:spacing w:line="400" w:lineRule="exact"/>
              <w:rPr>
                <w:rFonts w:ascii="宋体" w:hAnsi="宋体"/>
                <w:color w:val="auto"/>
                <w:szCs w:val="21"/>
              </w:rPr>
            </w:pPr>
          </w:p>
        </w:tc>
      </w:tr>
      <w:tr w14:paraId="2053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0DF7887B">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4</w:t>
            </w:r>
          </w:p>
        </w:tc>
        <w:tc>
          <w:tcPr>
            <w:tcW w:w="2977" w:type="dxa"/>
            <w:noWrap w:val="0"/>
            <w:vAlign w:val="center"/>
          </w:tcPr>
          <w:p w14:paraId="32E4A003">
            <w:pPr>
              <w:adjustRightInd w:val="0"/>
              <w:snapToGrid w:val="0"/>
              <w:spacing w:line="400" w:lineRule="exact"/>
              <w:rPr>
                <w:rFonts w:ascii="宋体" w:hAnsi="宋体"/>
                <w:color w:val="auto"/>
                <w:szCs w:val="21"/>
              </w:rPr>
            </w:pPr>
            <w:r>
              <w:rPr>
                <w:rFonts w:hint="eastAsia" w:ascii="宋体" w:hAnsi="宋体"/>
                <w:color w:val="auto"/>
                <w:szCs w:val="21"/>
              </w:rPr>
              <w:t>参加政府采购活动前3年内在经营活动中没有重大违法记录的书面声明</w:t>
            </w:r>
          </w:p>
        </w:tc>
        <w:tc>
          <w:tcPr>
            <w:tcW w:w="5266" w:type="dxa"/>
            <w:vMerge w:val="continue"/>
            <w:noWrap w:val="0"/>
            <w:vAlign w:val="center"/>
          </w:tcPr>
          <w:p w14:paraId="692FAC98">
            <w:pPr>
              <w:adjustRightInd w:val="0"/>
              <w:snapToGrid w:val="0"/>
              <w:spacing w:line="400" w:lineRule="exact"/>
              <w:rPr>
                <w:rFonts w:ascii="宋体" w:hAnsi="宋体"/>
                <w:color w:val="auto"/>
                <w:szCs w:val="21"/>
              </w:rPr>
            </w:pPr>
          </w:p>
        </w:tc>
      </w:tr>
      <w:tr w14:paraId="477AE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0413AE5D">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5</w:t>
            </w:r>
          </w:p>
        </w:tc>
        <w:tc>
          <w:tcPr>
            <w:tcW w:w="2977" w:type="dxa"/>
            <w:noWrap w:val="0"/>
            <w:vAlign w:val="center"/>
          </w:tcPr>
          <w:p w14:paraId="18E66BA5">
            <w:pPr>
              <w:adjustRightInd w:val="0"/>
              <w:snapToGrid w:val="0"/>
              <w:spacing w:line="400" w:lineRule="exact"/>
              <w:rPr>
                <w:rFonts w:ascii="宋体" w:hAnsi="宋体"/>
                <w:color w:val="auto"/>
                <w:szCs w:val="21"/>
              </w:rPr>
            </w:pPr>
            <w:r>
              <w:rPr>
                <w:rFonts w:hint="eastAsia" w:ascii="宋体" w:hAnsi="宋体"/>
                <w:color w:val="auto"/>
                <w:szCs w:val="21"/>
              </w:rPr>
              <w:t>具备法律、行政法规规定的其他条件的证明材料</w:t>
            </w:r>
          </w:p>
        </w:tc>
        <w:tc>
          <w:tcPr>
            <w:tcW w:w="5266" w:type="dxa"/>
            <w:vMerge w:val="continue"/>
            <w:noWrap w:val="0"/>
            <w:vAlign w:val="center"/>
          </w:tcPr>
          <w:p w14:paraId="651C2EDF">
            <w:pPr>
              <w:adjustRightInd w:val="0"/>
              <w:snapToGrid w:val="0"/>
              <w:spacing w:line="400" w:lineRule="exact"/>
              <w:rPr>
                <w:rFonts w:ascii="宋体" w:hAnsi="宋体"/>
                <w:color w:val="auto"/>
                <w:szCs w:val="21"/>
              </w:rPr>
            </w:pPr>
          </w:p>
        </w:tc>
      </w:tr>
      <w:tr w14:paraId="78085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17" w:type="dxa"/>
            <w:noWrap w:val="0"/>
            <w:vAlign w:val="center"/>
          </w:tcPr>
          <w:p w14:paraId="7341DF79">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6</w:t>
            </w:r>
          </w:p>
        </w:tc>
        <w:tc>
          <w:tcPr>
            <w:tcW w:w="2977" w:type="dxa"/>
            <w:noWrap w:val="0"/>
            <w:vAlign w:val="center"/>
          </w:tcPr>
          <w:p w14:paraId="6AFBCAA8">
            <w:pPr>
              <w:adjustRightInd w:val="0"/>
              <w:snapToGrid w:val="0"/>
              <w:spacing w:line="400" w:lineRule="exact"/>
              <w:rPr>
                <w:rFonts w:ascii="宋体" w:hAnsi="宋体"/>
                <w:color w:val="auto"/>
                <w:szCs w:val="21"/>
              </w:rPr>
            </w:pPr>
            <w:r>
              <w:rPr>
                <w:rFonts w:hint="eastAsia" w:ascii="宋体" w:hAnsi="宋体"/>
                <w:color w:val="auto"/>
                <w:szCs w:val="21"/>
              </w:rPr>
              <w:t>符合特定资格条件证明材料复印件或者情况说明</w:t>
            </w:r>
          </w:p>
        </w:tc>
        <w:tc>
          <w:tcPr>
            <w:tcW w:w="5266" w:type="dxa"/>
            <w:noWrap w:val="0"/>
            <w:vAlign w:val="center"/>
          </w:tcPr>
          <w:p w14:paraId="069BDEF1">
            <w:pPr>
              <w:adjustRightInd w:val="0"/>
              <w:snapToGrid w:val="0"/>
              <w:spacing w:line="400" w:lineRule="exact"/>
              <w:rPr>
                <w:rFonts w:hint="default" w:ascii="宋体" w:hAnsi="宋体" w:eastAsia="宋体"/>
                <w:color w:val="auto"/>
                <w:szCs w:val="21"/>
                <w:lang w:val="en-US" w:eastAsia="zh-CN"/>
              </w:rPr>
            </w:pPr>
            <w:r>
              <w:rPr>
                <w:rFonts w:hint="eastAsia" w:ascii="宋体" w:hAnsi="宋体" w:eastAsia="宋体"/>
                <w:color w:val="auto"/>
                <w:szCs w:val="21"/>
              </w:rPr>
              <w:t>提供符合磋商文件规定的特定资格条件的证明材料。</w:t>
            </w:r>
          </w:p>
        </w:tc>
      </w:tr>
      <w:tr w14:paraId="1E9F29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32D4C558">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7</w:t>
            </w:r>
          </w:p>
        </w:tc>
        <w:tc>
          <w:tcPr>
            <w:tcW w:w="2977" w:type="dxa"/>
            <w:noWrap w:val="0"/>
            <w:vAlign w:val="center"/>
          </w:tcPr>
          <w:p w14:paraId="310E4CBC">
            <w:pPr>
              <w:adjustRightInd w:val="0"/>
              <w:snapToGrid w:val="0"/>
              <w:spacing w:line="400" w:lineRule="exact"/>
              <w:rPr>
                <w:rFonts w:ascii="宋体" w:hAnsi="宋体"/>
                <w:color w:val="auto"/>
                <w:szCs w:val="21"/>
              </w:rPr>
            </w:pPr>
            <w:r>
              <w:rPr>
                <w:rFonts w:hint="eastAsia" w:ascii="宋体" w:hAnsi="宋体"/>
                <w:color w:val="auto"/>
                <w:szCs w:val="21"/>
              </w:rPr>
              <w:t>政府采购政策</w:t>
            </w:r>
          </w:p>
        </w:tc>
        <w:tc>
          <w:tcPr>
            <w:tcW w:w="5266" w:type="dxa"/>
            <w:noWrap w:val="0"/>
            <w:vAlign w:val="center"/>
          </w:tcPr>
          <w:p w14:paraId="40EDA4F5">
            <w:pPr>
              <w:adjustRightInd w:val="0"/>
              <w:snapToGrid w:val="0"/>
              <w:spacing w:line="400" w:lineRule="exact"/>
              <w:rPr>
                <w:rFonts w:ascii="宋体" w:hAnsi="宋体"/>
                <w:color w:val="auto"/>
                <w:szCs w:val="21"/>
              </w:rPr>
            </w:pPr>
            <w:r>
              <w:rPr>
                <w:rFonts w:hint="eastAsia" w:ascii="宋体" w:hAnsi="宋体" w:eastAsia="宋体"/>
                <w:color w:val="auto"/>
                <w:szCs w:val="21"/>
              </w:rPr>
              <w:t>属于预留采购份额的，提供磋商文件规定的《中小企业声明函》，要求以联合体形式参加或者合同分包的，还应提供磋商文件规定的联合协议或者分包意向协议。</w:t>
            </w:r>
          </w:p>
        </w:tc>
      </w:tr>
      <w:tr w14:paraId="3F76D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6D615644">
            <w:pPr>
              <w:adjustRightInd w:val="0"/>
              <w:snapToGrid w:val="0"/>
              <w:spacing w:line="400" w:lineRule="exact"/>
              <w:jc w:val="center"/>
              <w:rPr>
                <w:rFonts w:ascii="宋体" w:hAnsi="宋体"/>
                <w:color w:val="auto"/>
                <w:kern w:val="0"/>
                <w:szCs w:val="21"/>
              </w:rPr>
            </w:pPr>
            <w:r>
              <w:rPr>
                <w:rFonts w:hint="eastAsia" w:ascii="宋体" w:hAnsi="宋体"/>
                <w:color w:val="auto"/>
                <w:kern w:val="0"/>
                <w:szCs w:val="21"/>
              </w:rPr>
              <w:t>8</w:t>
            </w:r>
          </w:p>
        </w:tc>
        <w:tc>
          <w:tcPr>
            <w:tcW w:w="2977" w:type="dxa"/>
            <w:noWrap w:val="0"/>
            <w:vAlign w:val="center"/>
          </w:tcPr>
          <w:p w14:paraId="48159F01">
            <w:pPr>
              <w:adjustRightInd w:val="0"/>
              <w:snapToGrid w:val="0"/>
              <w:spacing w:line="400" w:lineRule="exact"/>
              <w:rPr>
                <w:rFonts w:ascii="宋体" w:hAnsi="宋体"/>
                <w:color w:val="auto"/>
                <w:szCs w:val="21"/>
              </w:rPr>
            </w:pPr>
            <w:r>
              <w:rPr>
                <w:rFonts w:hint="eastAsia" w:ascii="宋体" w:hAnsi="宋体"/>
                <w:color w:val="auto"/>
                <w:szCs w:val="21"/>
              </w:rPr>
              <w:t>限制资格条件</w:t>
            </w:r>
          </w:p>
        </w:tc>
        <w:tc>
          <w:tcPr>
            <w:tcW w:w="5266" w:type="dxa"/>
            <w:noWrap w:val="0"/>
            <w:vAlign w:val="center"/>
          </w:tcPr>
          <w:p w14:paraId="3F2CB45B">
            <w:pPr>
              <w:adjustRightInd w:val="0"/>
              <w:snapToGrid w:val="0"/>
              <w:spacing w:line="400" w:lineRule="exact"/>
              <w:rPr>
                <w:rFonts w:ascii="宋体" w:hAnsi="宋体"/>
                <w:color w:val="auto"/>
                <w:szCs w:val="21"/>
              </w:rPr>
            </w:pPr>
            <w:r>
              <w:rPr>
                <w:rFonts w:hint="eastAsia" w:ascii="宋体" w:hAnsi="宋体"/>
                <w:color w:val="auto"/>
                <w:szCs w:val="21"/>
              </w:rPr>
              <w:t>提供供应商资格声明(格式) 。供应商之间不存在单位负责人为同一人或者存在直接控股、管理关系情形。未为本项目提供整体设计、规范编制或者项目管理、监理、检测等服务。</w:t>
            </w:r>
          </w:p>
        </w:tc>
      </w:tr>
      <w:tr w14:paraId="6BF5D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78003AEE">
            <w:pPr>
              <w:adjustRightInd w:val="0"/>
              <w:snapToGrid w:val="0"/>
              <w:spacing w:line="400" w:lineRule="exact"/>
              <w:jc w:val="center"/>
              <w:rPr>
                <w:rFonts w:ascii="宋体" w:hAnsi="宋体"/>
                <w:color w:val="auto"/>
                <w:kern w:val="0"/>
                <w:szCs w:val="21"/>
              </w:rPr>
            </w:pPr>
            <w:r>
              <w:rPr>
                <w:rFonts w:hint="eastAsia" w:ascii="宋体" w:hAnsi="宋体"/>
                <w:color w:val="auto"/>
                <w:kern w:val="0"/>
                <w:szCs w:val="21"/>
              </w:rPr>
              <w:t>9</w:t>
            </w:r>
          </w:p>
        </w:tc>
        <w:tc>
          <w:tcPr>
            <w:tcW w:w="2977" w:type="dxa"/>
            <w:noWrap w:val="0"/>
            <w:vAlign w:val="center"/>
          </w:tcPr>
          <w:p w14:paraId="495BA6DA">
            <w:pPr>
              <w:adjustRightInd w:val="0"/>
              <w:snapToGrid w:val="0"/>
              <w:spacing w:line="400" w:lineRule="exact"/>
              <w:rPr>
                <w:rFonts w:ascii="宋体" w:hAnsi="宋体"/>
                <w:color w:val="auto"/>
                <w:szCs w:val="21"/>
              </w:rPr>
            </w:pPr>
            <w:r>
              <w:rPr>
                <w:rFonts w:hint="eastAsia" w:ascii="宋体" w:hAnsi="宋体"/>
                <w:color w:val="auto"/>
                <w:szCs w:val="21"/>
              </w:rPr>
              <w:t>联合体协议书</w:t>
            </w:r>
          </w:p>
        </w:tc>
        <w:tc>
          <w:tcPr>
            <w:tcW w:w="5266" w:type="dxa"/>
            <w:noWrap w:val="0"/>
            <w:vAlign w:val="top"/>
          </w:tcPr>
          <w:p w14:paraId="25162CC9">
            <w:pPr>
              <w:adjustRightInd w:val="0"/>
              <w:snapToGrid w:val="0"/>
              <w:spacing w:line="400" w:lineRule="exact"/>
              <w:rPr>
                <w:rFonts w:ascii="宋体" w:hAnsi="宋体"/>
                <w:color w:val="auto"/>
                <w:szCs w:val="21"/>
              </w:rPr>
            </w:pPr>
            <w:r>
              <w:rPr>
                <w:rFonts w:hint="eastAsia" w:ascii="宋体" w:hAnsi="宋体"/>
                <w:color w:val="auto"/>
                <w:szCs w:val="21"/>
              </w:rPr>
              <w:t>磋商文件接受联合体形式的，提供符合磋商文件规定的联合体协议书及参加联合体的各方资格证明材料。</w:t>
            </w:r>
          </w:p>
        </w:tc>
      </w:tr>
      <w:tr w14:paraId="6A5E5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1221C681">
            <w:pPr>
              <w:adjustRightInd w:val="0"/>
              <w:snapToGrid w:val="0"/>
              <w:spacing w:line="400" w:lineRule="exact"/>
              <w:jc w:val="center"/>
              <w:rPr>
                <w:rFonts w:ascii="宋体" w:hAnsi="宋体"/>
                <w:color w:val="auto"/>
                <w:kern w:val="0"/>
                <w:szCs w:val="21"/>
              </w:rPr>
            </w:pPr>
            <w:r>
              <w:rPr>
                <w:rFonts w:hint="eastAsia" w:ascii="宋体" w:hAnsi="宋体"/>
                <w:color w:val="auto"/>
                <w:kern w:val="0"/>
                <w:szCs w:val="21"/>
              </w:rPr>
              <w:t>10</w:t>
            </w:r>
          </w:p>
        </w:tc>
        <w:tc>
          <w:tcPr>
            <w:tcW w:w="2977" w:type="dxa"/>
            <w:noWrap w:val="0"/>
            <w:vAlign w:val="center"/>
          </w:tcPr>
          <w:p w14:paraId="67628D74">
            <w:pPr>
              <w:adjustRightInd w:val="0"/>
              <w:snapToGrid w:val="0"/>
              <w:spacing w:line="400" w:lineRule="exact"/>
              <w:rPr>
                <w:rFonts w:ascii="宋体" w:hAnsi="宋体" w:cs="宋体"/>
                <w:color w:val="auto"/>
                <w:szCs w:val="21"/>
              </w:rPr>
            </w:pPr>
            <w:r>
              <w:rPr>
                <w:rStyle w:val="25"/>
                <w:rFonts w:hint="default"/>
                <w:color w:val="auto"/>
                <w:sz w:val="21"/>
                <w:szCs w:val="21"/>
              </w:rPr>
              <w:t>“信用中国”网站和中国政府采购网查询记录</w:t>
            </w:r>
          </w:p>
        </w:tc>
        <w:tc>
          <w:tcPr>
            <w:tcW w:w="5266" w:type="dxa"/>
            <w:noWrap w:val="0"/>
            <w:vAlign w:val="center"/>
          </w:tcPr>
          <w:p w14:paraId="635A94B6">
            <w:pPr>
              <w:adjustRightInd w:val="0"/>
              <w:snapToGrid w:val="0"/>
              <w:spacing w:line="400" w:lineRule="exact"/>
              <w:rPr>
                <w:rFonts w:ascii="宋体" w:hAnsi="宋体" w:cs="宋体"/>
                <w:color w:val="auto"/>
                <w:szCs w:val="21"/>
              </w:rPr>
            </w:pPr>
            <w:r>
              <w:rPr>
                <w:rStyle w:val="25"/>
                <w:rFonts w:hint="default"/>
                <w:color w:val="auto"/>
                <w:sz w:val="21"/>
                <w:szCs w:val="21"/>
              </w:rPr>
              <w:t>供应商未被“信用中国”网站中列入失信被执行人和/或重大税收违法案件当事人名单、未被中国政府采购网列入政府采购严重违法失信行为记录名单。</w:t>
            </w:r>
          </w:p>
        </w:tc>
      </w:tr>
      <w:tr w14:paraId="30F28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63AD6B02">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11</w:t>
            </w:r>
          </w:p>
        </w:tc>
        <w:tc>
          <w:tcPr>
            <w:tcW w:w="2977" w:type="dxa"/>
            <w:noWrap w:val="0"/>
            <w:vAlign w:val="center"/>
          </w:tcPr>
          <w:p w14:paraId="050DBC48">
            <w:pPr>
              <w:adjustRightInd w:val="0"/>
              <w:snapToGrid w:val="0"/>
              <w:spacing w:line="400" w:lineRule="exact"/>
              <w:rPr>
                <w:rFonts w:ascii="宋体" w:hAnsi="宋体"/>
                <w:color w:val="auto"/>
                <w:szCs w:val="21"/>
              </w:rPr>
            </w:pPr>
            <w:r>
              <w:rPr>
                <w:rFonts w:hint="eastAsia" w:ascii="宋体" w:hAnsi="宋体"/>
                <w:color w:val="auto"/>
                <w:szCs w:val="21"/>
              </w:rPr>
              <w:t>公平竞争</w:t>
            </w:r>
          </w:p>
        </w:tc>
        <w:tc>
          <w:tcPr>
            <w:tcW w:w="5266" w:type="dxa"/>
            <w:noWrap w:val="0"/>
            <w:vAlign w:val="center"/>
          </w:tcPr>
          <w:p w14:paraId="4A74E3A0">
            <w:pPr>
              <w:adjustRightInd w:val="0"/>
              <w:snapToGrid w:val="0"/>
              <w:spacing w:line="400" w:lineRule="exact"/>
              <w:rPr>
                <w:rFonts w:ascii="宋体" w:hAnsi="宋体"/>
                <w:color w:val="auto"/>
                <w:szCs w:val="21"/>
              </w:rPr>
            </w:pPr>
            <w:r>
              <w:rPr>
                <w:rFonts w:hint="eastAsia" w:ascii="宋体" w:hAnsi="宋体"/>
                <w:color w:val="auto"/>
                <w:szCs w:val="21"/>
              </w:rPr>
              <w:t>遵循公平竞争的原则，没有弄虚作假、恶意串通或妨碍其他供应商的竞争行为，损害采购人或者其他供应商的合法权益。</w:t>
            </w:r>
          </w:p>
        </w:tc>
      </w:tr>
      <w:tr w14:paraId="57E0E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2A1384E0">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12</w:t>
            </w:r>
          </w:p>
        </w:tc>
        <w:tc>
          <w:tcPr>
            <w:tcW w:w="2977" w:type="dxa"/>
            <w:noWrap w:val="0"/>
            <w:vAlign w:val="center"/>
          </w:tcPr>
          <w:p w14:paraId="459C6D50">
            <w:pPr>
              <w:adjustRightInd w:val="0"/>
              <w:snapToGrid w:val="0"/>
              <w:spacing w:line="400" w:lineRule="exact"/>
              <w:rPr>
                <w:rFonts w:ascii="宋体" w:hAnsi="宋体"/>
                <w:color w:val="auto"/>
                <w:szCs w:val="21"/>
              </w:rPr>
            </w:pPr>
            <w:r>
              <w:rPr>
                <w:rFonts w:hint="eastAsia" w:ascii="宋体" w:hAnsi="宋体"/>
                <w:color w:val="auto"/>
                <w:szCs w:val="21"/>
              </w:rPr>
              <w:t>保证金</w:t>
            </w:r>
          </w:p>
        </w:tc>
        <w:tc>
          <w:tcPr>
            <w:tcW w:w="5266" w:type="dxa"/>
            <w:noWrap w:val="0"/>
            <w:vAlign w:val="center"/>
          </w:tcPr>
          <w:p w14:paraId="1440D52F">
            <w:pPr>
              <w:adjustRightInd w:val="0"/>
              <w:snapToGrid w:val="0"/>
              <w:spacing w:line="400" w:lineRule="exact"/>
              <w:rPr>
                <w:rFonts w:hint="default" w:ascii="宋体" w:hAnsi="宋体" w:eastAsia="宋体"/>
                <w:color w:val="auto"/>
                <w:szCs w:val="21"/>
                <w:lang w:val="en-US" w:eastAsia="zh-CN"/>
              </w:rPr>
            </w:pPr>
            <w:r>
              <w:rPr>
                <w:rFonts w:hint="eastAsia" w:ascii="宋体" w:hAnsi="宋体"/>
                <w:color w:val="auto"/>
                <w:szCs w:val="21"/>
                <w:lang w:val="en-US" w:eastAsia="zh-CN"/>
              </w:rPr>
              <w:t>未提供免交保证金承诺书的投标无效。</w:t>
            </w:r>
          </w:p>
        </w:tc>
      </w:tr>
      <w:tr w14:paraId="5F466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5A575F58">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13</w:t>
            </w:r>
          </w:p>
        </w:tc>
        <w:tc>
          <w:tcPr>
            <w:tcW w:w="2977" w:type="dxa"/>
            <w:noWrap w:val="0"/>
            <w:vAlign w:val="center"/>
          </w:tcPr>
          <w:p w14:paraId="1B010D04">
            <w:pPr>
              <w:adjustRightInd w:val="0"/>
              <w:snapToGrid w:val="0"/>
              <w:spacing w:line="400" w:lineRule="exact"/>
              <w:rPr>
                <w:rFonts w:ascii="宋体" w:hAnsi="宋体"/>
                <w:color w:val="auto"/>
                <w:szCs w:val="21"/>
              </w:rPr>
            </w:pPr>
            <w:r>
              <w:rPr>
                <w:rFonts w:hint="eastAsia" w:ascii="宋体" w:hAnsi="宋体"/>
                <w:color w:val="auto"/>
                <w:szCs w:val="21"/>
              </w:rPr>
              <w:t>资格证明文件的签署、盖章。</w:t>
            </w:r>
          </w:p>
        </w:tc>
        <w:tc>
          <w:tcPr>
            <w:tcW w:w="5266" w:type="dxa"/>
            <w:noWrap w:val="0"/>
            <w:vAlign w:val="center"/>
          </w:tcPr>
          <w:p w14:paraId="446F59C9">
            <w:pPr>
              <w:adjustRightInd w:val="0"/>
              <w:snapToGrid w:val="0"/>
              <w:spacing w:line="400" w:lineRule="exact"/>
              <w:rPr>
                <w:rFonts w:ascii="宋体" w:hAnsi="宋体"/>
                <w:color w:val="auto"/>
                <w:szCs w:val="21"/>
              </w:rPr>
            </w:pPr>
            <w:r>
              <w:rPr>
                <w:rFonts w:hint="eastAsia" w:ascii="宋体" w:hAnsi="宋体"/>
                <w:color w:val="auto"/>
                <w:szCs w:val="21"/>
              </w:rPr>
              <w:t>符合磋商文件签署、盖章要求。</w:t>
            </w:r>
          </w:p>
        </w:tc>
      </w:tr>
      <w:tr w14:paraId="2FEF5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56702C5E">
            <w:pPr>
              <w:adjustRightInd w:val="0"/>
              <w:snapToGrid w:val="0"/>
              <w:spacing w:line="400" w:lineRule="exact"/>
              <w:jc w:val="center"/>
              <w:rPr>
                <w:rFonts w:ascii="宋体" w:hAnsi="宋体" w:cs="宋体"/>
                <w:color w:val="auto"/>
                <w:kern w:val="0"/>
                <w:szCs w:val="21"/>
              </w:rPr>
            </w:pPr>
            <w:r>
              <w:rPr>
                <w:rFonts w:hint="eastAsia" w:ascii="宋体" w:hAnsi="宋体" w:cs="宋体"/>
                <w:color w:val="auto"/>
                <w:kern w:val="0"/>
                <w:szCs w:val="21"/>
              </w:rPr>
              <w:t>14</w:t>
            </w:r>
          </w:p>
        </w:tc>
        <w:tc>
          <w:tcPr>
            <w:tcW w:w="2977" w:type="dxa"/>
            <w:noWrap w:val="0"/>
            <w:vAlign w:val="center"/>
          </w:tcPr>
          <w:p w14:paraId="68812952">
            <w:pPr>
              <w:adjustRightInd w:val="0"/>
              <w:snapToGrid w:val="0"/>
              <w:spacing w:line="400" w:lineRule="exact"/>
              <w:rPr>
                <w:rFonts w:ascii="宋体" w:hAnsi="宋体"/>
                <w:color w:val="auto"/>
                <w:szCs w:val="21"/>
              </w:rPr>
            </w:pPr>
            <w:r>
              <w:rPr>
                <w:rFonts w:hint="eastAsia" w:ascii="宋体" w:hAnsi="宋体"/>
                <w:color w:val="auto"/>
                <w:szCs w:val="21"/>
              </w:rPr>
              <w:t>授权代表委托书（授权代表参加）</w:t>
            </w:r>
          </w:p>
        </w:tc>
        <w:tc>
          <w:tcPr>
            <w:tcW w:w="5266" w:type="dxa"/>
            <w:noWrap w:val="0"/>
            <w:vAlign w:val="center"/>
          </w:tcPr>
          <w:p w14:paraId="2DFFFE83">
            <w:pPr>
              <w:adjustRightInd w:val="0"/>
              <w:snapToGrid w:val="0"/>
              <w:spacing w:line="400" w:lineRule="exact"/>
              <w:rPr>
                <w:rFonts w:ascii="宋体" w:hAnsi="宋体"/>
                <w:color w:val="auto"/>
                <w:szCs w:val="21"/>
              </w:rPr>
            </w:pPr>
            <w:r>
              <w:rPr>
                <w:rFonts w:hint="eastAsia" w:ascii="宋体" w:hAnsi="宋体"/>
                <w:color w:val="auto"/>
                <w:szCs w:val="21"/>
              </w:rPr>
              <w:t>符合磋商文件签署、盖章要求。</w:t>
            </w:r>
          </w:p>
        </w:tc>
      </w:tr>
      <w:tr w14:paraId="6DAFD4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17" w:type="dxa"/>
            <w:noWrap w:val="0"/>
            <w:vAlign w:val="center"/>
          </w:tcPr>
          <w:p w14:paraId="3F0DB680">
            <w:pPr>
              <w:adjustRightInd w:val="0"/>
              <w:snapToGrid w:val="0"/>
              <w:spacing w:line="400" w:lineRule="exact"/>
              <w:jc w:val="center"/>
              <w:rPr>
                <w:rFonts w:ascii="宋体" w:hAnsi="宋体" w:cs="宋体"/>
                <w:color w:val="auto"/>
                <w:kern w:val="0"/>
                <w:szCs w:val="21"/>
              </w:rPr>
            </w:pPr>
            <w:r>
              <w:rPr>
                <w:rFonts w:ascii="宋体" w:hAnsi="宋体" w:cs="宋体"/>
                <w:color w:val="auto"/>
                <w:kern w:val="0"/>
                <w:szCs w:val="21"/>
              </w:rPr>
              <w:t>…</w:t>
            </w:r>
          </w:p>
        </w:tc>
        <w:tc>
          <w:tcPr>
            <w:tcW w:w="2977" w:type="dxa"/>
            <w:noWrap w:val="0"/>
            <w:vAlign w:val="center"/>
          </w:tcPr>
          <w:p w14:paraId="597D9BB6">
            <w:pPr>
              <w:adjustRightInd w:val="0"/>
              <w:snapToGrid w:val="0"/>
              <w:spacing w:line="400" w:lineRule="exact"/>
              <w:rPr>
                <w:rFonts w:ascii="宋体" w:hAnsi="宋体"/>
                <w:color w:val="auto"/>
                <w:szCs w:val="21"/>
              </w:rPr>
            </w:pPr>
            <w:r>
              <w:rPr>
                <w:rFonts w:ascii="宋体" w:hAnsi="宋体"/>
                <w:color w:val="auto"/>
                <w:szCs w:val="21"/>
              </w:rPr>
              <w:t>…</w:t>
            </w:r>
          </w:p>
        </w:tc>
        <w:tc>
          <w:tcPr>
            <w:tcW w:w="5266" w:type="dxa"/>
            <w:noWrap w:val="0"/>
            <w:vAlign w:val="center"/>
          </w:tcPr>
          <w:p w14:paraId="582F111C">
            <w:pPr>
              <w:adjustRightInd w:val="0"/>
              <w:snapToGrid w:val="0"/>
              <w:spacing w:line="400" w:lineRule="exact"/>
              <w:rPr>
                <w:rFonts w:ascii="宋体" w:hAnsi="宋体"/>
                <w:color w:val="auto"/>
                <w:szCs w:val="21"/>
              </w:rPr>
            </w:pPr>
            <w:r>
              <w:rPr>
                <w:rFonts w:ascii="宋体" w:hAnsi="宋体"/>
                <w:color w:val="auto"/>
                <w:szCs w:val="21"/>
              </w:rPr>
              <w:t>…</w:t>
            </w:r>
          </w:p>
        </w:tc>
      </w:tr>
      <w:tr w14:paraId="62F30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17" w:type="dxa"/>
            <w:noWrap w:val="0"/>
            <w:vAlign w:val="center"/>
          </w:tcPr>
          <w:p w14:paraId="1C29D63A">
            <w:pPr>
              <w:adjustRightInd w:val="0"/>
              <w:snapToGrid w:val="0"/>
              <w:spacing w:line="400" w:lineRule="exact"/>
              <w:jc w:val="center"/>
              <w:rPr>
                <w:rFonts w:ascii="宋体" w:hAnsi="宋体" w:cs="宋体"/>
                <w:color w:val="auto"/>
                <w:kern w:val="0"/>
                <w:szCs w:val="21"/>
              </w:rPr>
            </w:pPr>
            <w:r>
              <w:rPr>
                <w:rFonts w:hint="eastAsia" w:ascii="宋体" w:hAnsi="宋体"/>
                <w:color w:val="auto"/>
                <w:kern w:val="0"/>
                <w:szCs w:val="21"/>
              </w:rPr>
              <w:t>结论</w:t>
            </w:r>
          </w:p>
        </w:tc>
        <w:tc>
          <w:tcPr>
            <w:tcW w:w="8243" w:type="dxa"/>
            <w:gridSpan w:val="2"/>
            <w:noWrap w:val="0"/>
            <w:vAlign w:val="center"/>
          </w:tcPr>
          <w:p w14:paraId="2B5FE4AA">
            <w:pPr>
              <w:adjustRightInd w:val="0"/>
              <w:snapToGrid w:val="0"/>
              <w:spacing w:line="400" w:lineRule="exact"/>
              <w:jc w:val="center"/>
              <w:rPr>
                <w:rFonts w:ascii="宋体" w:hAnsi="宋体" w:cs="宋体"/>
                <w:color w:val="auto"/>
                <w:kern w:val="0"/>
                <w:szCs w:val="21"/>
              </w:rPr>
            </w:pPr>
          </w:p>
        </w:tc>
      </w:tr>
    </w:tbl>
    <w:p w14:paraId="50953BEE">
      <w:pPr>
        <w:rPr>
          <w:color w:val="auto"/>
        </w:rPr>
      </w:pPr>
      <w:bookmarkStart w:id="167" w:name="_Toc69831453"/>
      <w:r>
        <w:rPr>
          <w:rFonts w:hint="eastAsia"/>
          <w:color w:val="auto"/>
        </w:rPr>
        <w:br w:type="page"/>
      </w:r>
    </w:p>
    <w:p w14:paraId="78BCE693">
      <w:pPr>
        <w:pStyle w:val="3"/>
        <w:rPr>
          <w:color w:val="auto"/>
        </w:rPr>
      </w:pPr>
      <w:bookmarkStart w:id="168" w:name="_Toc20651"/>
      <w:r>
        <w:rPr>
          <w:rFonts w:hint="eastAsia"/>
          <w:color w:val="auto"/>
        </w:rPr>
        <w:t>附表2符合性审查表</w:t>
      </w:r>
      <w:bookmarkEnd w:id="167"/>
      <w:bookmarkEnd w:id="168"/>
    </w:p>
    <w:p w14:paraId="71046940">
      <w:pPr>
        <w:adjustRightInd w:val="0"/>
        <w:snapToGrid w:val="0"/>
        <w:spacing w:beforeLines="50" w:line="360" w:lineRule="auto"/>
        <w:jc w:val="center"/>
        <w:rPr>
          <w:rFonts w:ascii="黑体" w:hAnsi="黑体" w:eastAsia="黑体"/>
          <w:b w:val="0"/>
          <w:bCs/>
          <w:color w:val="auto"/>
          <w:sz w:val="28"/>
          <w:szCs w:val="28"/>
        </w:rPr>
      </w:pPr>
      <w:r>
        <w:rPr>
          <w:rFonts w:hint="eastAsia" w:ascii="黑体" w:hAnsi="黑体" w:eastAsia="黑体"/>
          <w:b w:val="0"/>
          <w:bCs/>
          <w:color w:val="auto"/>
          <w:sz w:val="28"/>
          <w:szCs w:val="28"/>
        </w:rPr>
        <w:t>符合性审查表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2410"/>
        <w:gridCol w:w="2268"/>
        <w:gridCol w:w="3565"/>
      </w:tblGrid>
      <w:tr w14:paraId="100138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7608A0CE">
            <w:pPr>
              <w:adjustRightInd w:val="0"/>
              <w:snapToGrid w:val="0"/>
              <w:spacing w:line="400" w:lineRule="exact"/>
              <w:jc w:val="center"/>
              <w:rPr>
                <w:rFonts w:ascii="宋体" w:hAnsi="宋体"/>
                <w:b/>
                <w:color w:val="auto"/>
                <w:szCs w:val="21"/>
              </w:rPr>
            </w:pPr>
            <w:r>
              <w:rPr>
                <w:rFonts w:hint="eastAsia" w:ascii="宋体" w:hAnsi="宋体" w:cs="宋体"/>
                <w:b/>
                <w:color w:val="auto"/>
                <w:kern w:val="0"/>
                <w:szCs w:val="21"/>
              </w:rPr>
              <w:t>序号</w:t>
            </w:r>
          </w:p>
        </w:tc>
        <w:tc>
          <w:tcPr>
            <w:tcW w:w="4678" w:type="dxa"/>
            <w:gridSpan w:val="2"/>
            <w:noWrap w:val="0"/>
            <w:vAlign w:val="top"/>
          </w:tcPr>
          <w:p w14:paraId="2305065D">
            <w:pPr>
              <w:adjustRightInd w:val="0"/>
              <w:snapToGrid w:val="0"/>
              <w:spacing w:line="400" w:lineRule="exact"/>
              <w:jc w:val="center"/>
              <w:rPr>
                <w:rFonts w:ascii="宋体" w:hAnsi="宋体"/>
                <w:b/>
                <w:color w:val="auto"/>
                <w:szCs w:val="21"/>
              </w:rPr>
            </w:pPr>
            <w:r>
              <w:rPr>
                <w:rFonts w:hint="eastAsia" w:ascii="宋体" w:hAnsi="宋体"/>
                <w:b/>
                <w:color w:val="auto"/>
                <w:szCs w:val="21"/>
              </w:rPr>
              <w:t>审查项目</w:t>
            </w:r>
          </w:p>
        </w:tc>
        <w:tc>
          <w:tcPr>
            <w:tcW w:w="3565" w:type="dxa"/>
            <w:noWrap w:val="0"/>
            <w:vAlign w:val="top"/>
          </w:tcPr>
          <w:p w14:paraId="72165EC2">
            <w:pPr>
              <w:adjustRightInd w:val="0"/>
              <w:snapToGrid w:val="0"/>
              <w:spacing w:line="400" w:lineRule="exact"/>
              <w:jc w:val="center"/>
              <w:rPr>
                <w:rFonts w:ascii="宋体" w:hAnsi="宋体"/>
                <w:b/>
                <w:color w:val="auto"/>
                <w:szCs w:val="21"/>
              </w:rPr>
            </w:pPr>
            <w:r>
              <w:rPr>
                <w:rFonts w:hint="eastAsia" w:ascii="宋体" w:hAnsi="宋体"/>
                <w:b/>
                <w:color w:val="auto"/>
                <w:szCs w:val="21"/>
              </w:rPr>
              <w:t>审查标准</w:t>
            </w:r>
          </w:p>
        </w:tc>
      </w:tr>
      <w:tr w14:paraId="71928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5091F042">
            <w:pPr>
              <w:adjustRightInd w:val="0"/>
              <w:snapToGrid w:val="0"/>
              <w:spacing w:line="400" w:lineRule="exact"/>
              <w:jc w:val="center"/>
              <w:rPr>
                <w:rFonts w:ascii="宋体" w:hAnsi="宋体"/>
                <w:color w:val="auto"/>
                <w:szCs w:val="21"/>
              </w:rPr>
            </w:pPr>
            <w:r>
              <w:rPr>
                <w:rFonts w:hint="eastAsia" w:ascii="宋体" w:hAnsi="宋体"/>
                <w:color w:val="auto"/>
                <w:szCs w:val="21"/>
              </w:rPr>
              <w:t>1</w:t>
            </w:r>
          </w:p>
        </w:tc>
        <w:tc>
          <w:tcPr>
            <w:tcW w:w="4678" w:type="dxa"/>
            <w:gridSpan w:val="2"/>
            <w:noWrap w:val="0"/>
            <w:vAlign w:val="center"/>
          </w:tcPr>
          <w:p w14:paraId="106624DA">
            <w:pPr>
              <w:adjustRightInd w:val="0"/>
              <w:snapToGrid w:val="0"/>
              <w:spacing w:line="400" w:lineRule="exact"/>
              <w:rPr>
                <w:rFonts w:ascii="宋体" w:hAnsi="宋体"/>
                <w:color w:val="auto"/>
                <w:szCs w:val="21"/>
              </w:rPr>
            </w:pPr>
            <w:r>
              <w:rPr>
                <w:rFonts w:hint="eastAsia" w:ascii="宋体" w:hAnsi="宋体"/>
                <w:color w:val="auto"/>
                <w:szCs w:val="21"/>
              </w:rPr>
              <w:t>响应文件的签署、盖章。</w:t>
            </w:r>
          </w:p>
        </w:tc>
        <w:tc>
          <w:tcPr>
            <w:tcW w:w="3565" w:type="dxa"/>
            <w:noWrap w:val="0"/>
            <w:vAlign w:val="center"/>
          </w:tcPr>
          <w:p w14:paraId="5F47C3C1">
            <w:pPr>
              <w:adjustRightInd w:val="0"/>
              <w:snapToGrid w:val="0"/>
              <w:spacing w:line="400" w:lineRule="exact"/>
              <w:rPr>
                <w:rFonts w:ascii="宋体" w:hAnsi="宋体"/>
                <w:color w:val="auto"/>
                <w:szCs w:val="21"/>
              </w:rPr>
            </w:pPr>
          </w:p>
        </w:tc>
      </w:tr>
      <w:tr w14:paraId="7CFDB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1B63A2BA">
            <w:pPr>
              <w:adjustRightInd w:val="0"/>
              <w:snapToGrid w:val="0"/>
              <w:spacing w:line="400" w:lineRule="exact"/>
              <w:jc w:val="center"/>
              <w:rPr>
                <w:rFonts w:ascii="宋体" w:hAnsi="宋体"/>
                <w:color w:val="auto"/>
                <w:szCs w:val="21"/>
              </w:rPr>
            </w:pPr>
            <w:r>
              <w:rPr>
                <w:rFonts w:hint="eastAsia" w:ascii="宋体" w:hAnsi="宋体"/>
                <w:color w:val="auto"/>
                <w:szCs w:val="21"/>
              </w:rPr>
              <w:t>2</w:t>
            </w:r>
          </w:p>
        </w:tc>
        <w:tc>
          <w:tcPr>
            <w:tcW w:w="4678" w:type="dxa"/>
            <w:gridSpan w:val="2"/>
            <w:noWrap w:val="0"/>
            <w:vAlign w:val="center"/>
          </w:tcPr>
          <w:p w14:paraId="6E2CEAA8">
            <w:pPr>
              <w:adjustRightInd w:val="0"/>
              <w:snapToGrid w:val="0"/>
              <w:spacing w:line="400" w:lineRule="exact"/>
              <w:rPr>
                <w:rFonts w:ascii="Calibri" w:hAnsi="Calibri"/>
                <w:color w:val="auto"/>
              </w:rPr>
            </w:pPr>
            <w:r>
              <w:rPr>
                <w:rFonts w:hint="eastAsia" w:ascii="Calibri" w:hAnsi="Calibri"/>
                <w:color w:val="auto"/>
              </w:rPr>
              <w:t>响应文件有效期</w:t>
            </w:r>
          </w:p>
        </w:tc>
        <w:tc>
          <w:tcPr>
            <w:tcW w:w="3565" w:type="dxa"/>
            <w:noWrap w:val="0"/>
            <w:vAlign w:val="center"/>
          </w:tcPr>
          <w:p w14:paraId="1C4BDFED">
            <w:pPr>
              <w:adjustRightInd w:val="0"/>
              <w:snapToGrid w:val="0"/>
              <w:spacing w:line="400" w:lineRule="exact"/>
              <w:rPr>
                <w:rFonts w:ascii="Calibri" w:hAnsi="Calibri"/>
                <w:color w:val="auto"/>
              </w:rPr>
            </w:pPr>
            <w:r>
              <w:rPr>
                <w:rFonts w:hint="eastAsia" w:ascii="Calibri" w:hAnsi="Calibri"/>
                <w:color w:val="auto"/>
              </w:rPr>
              <w:t>响应文件有效期满足磋商文件要求。</w:t>
            </w:r>
          </w:p>
        </w:tc>
      </w:tr>
      <w:tr w14:paraId="31FEE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23864EB1">
            <w:pPr>
              <w:adjustRightInd w:val="0"/>
              <w:snapToGrid w:val="0"/>
              <w:spacing w:line="400" w:lineRule="exact"/>
              <w:jc w:val="center"/>
              <w:rPr>
                <w:rFonts w:ascii="宋体" w:hAnsi="宋体"/>
                <w:color w:val="auto"/>
                <w:szCs w:val="21"/>
              </w:rPr>
            </w:pPr>
            <w:r>
              <w:rPr>
                <w:rFonts w:hint="eastAsia" w:ascii="宋体" w:hAnsi="宋体"/>
                <w:color w:val="auto"/>
                <w:szCs w:val="21"/>
              </w:rPr>
              <w:t>3</w:t>
            </w:r>
          </w:p>
        </w:tc>
        <w:tc>
          <w:tcPr>
            <w:tcW w:w="4678" w:type="dxa"/>
            <w:gridSpan w:val="2"/>
            <w:noWrap w:val="0"/>
            <w:vAlign w:val="center"/>
          </w:tcPr>
          <w:p w14:paraId="06146322">
            <w:pPr>
              <w:adjustRightInd w:val="0"/>
              <w:snapToGrid w:val="0"/>
              <w:spacing w:line="400" w:lineRule="exact"/>
              <w:rPr>
                <w:rFonts w:ascii="宋体" w:hAnsi="宋体"/>
                <w:color w:val="auto"/>
                <w:szCs w:val="21"/>
              </w:rPr>
            </w:pPr>
            <w:r>
              <w:rPr>
                <w:rFonts w:hint="eastAsia" w:ascii="宋体" w:hAnsi="宋体"/>
                <w:color w:val="auto"/>
                <w:szCs w:val="21"/>
              </w:rPr>
              <w:t>磋商报价</w:t>
            </w:r>
          </w:p>
        </w:tc>
        <w:tc>
          <w:tcPr>
            <w:tcW w:w="3565" w:type="dxa"/>
            <w:noWrap w:val="0"/>
            <w:vAlign w:val="center"/>
          </w:tcPr>
          <w:p w14:paraId="3CC4D7E7">
            <w:pPr>
              <w:adjustRightInd w:val="0"/>
              <w:snapToGrid w:val="0"/>
              <w:spacing w:line="400" w:lineRule="exact"/>
              <w:rPr>
                <w:rFonts w:ascii="宋体" w:hAnsi="宋体"/>
                <w:color w:val="auto"/>
                <w:szCs w:val="21"/>
              </w:rPr>
            </w:pPr>
            <w:r>
              <w:rPr>
                <w:rFonts w:hint="eastAsia" w:ascii="宋体" w:hAnsi="宋体"/>
                <w:color w:val="auto"/>
                <w:szCs w:val="21"/>
              </w:rPr>
              <w:t>磋商报价未超过预算金额（磋商文件有最高限价的，报价未超过最高限价</w:t>
            </w:r>
            <w:r>
              <w:rPr>
                <w:rFonts w:ascii="宋体" w:hAnsi="宋体"/>
                <w:color w:val="auto"/>
                <w:szCs w:val="21"/>
              </w:rPr>
              <w:t>）</w:t>
            </w:r>
            <w:r>
              <w:rPr>
                <w:rFonts w:hint="eastAsia" w:ascii="宋体" w:hAnsi="宋体"/>
                <w:color w:val="auto"/>
                <w:szCs w:val="21"/>
              </w:rPr>
              <w:t>。</w:t>
            </w:r>
          </w:p>
        </w:tc>
      </w:tr>
      <w:tr w14:paraId="719AB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817" w:type="dxa"/>
            <w:vMerge w:val="restart"/>
            <w:noWrap w:val="0"/>
            <w:vAlign w:val="center"/>
          </w:tcPr>
          <w:p w14:paraId="1C026365">
            <w:pPr>
              <w:adjustRightInd w:val="0"/>
              <w:snapToGrid w:val="0"/>
              <w:spacing w:line="400" w:lineRule="exact"/>
              <w:jc w:val="center"/>
              <w:rPr>
                <w:rFonts w:ascii="宋体" w:hAnsi="宋体"/>
                <w:color w:val="auto"/>
                <w:szCs w:val="21"/>
              </w:rPr>
            </w:pPr>
            <w:r>
              <w:rPr>
                <w:rFonts w:hint="eastAsia" w:ascii="宋体" w:hAnsi="宋体"/>
                <w:color w:val="auto"/>
                <w:szCs w:val="21"/>
              </w:rPr>
              <w:t>4</w:t>
            </w:r>
          </w:p>
        </w:tc>
        <w:tc>
          <w:tcPr>
            <w:tcW w:w="2410" w:type="dxa"/>
            <w:vMerge w:val="restart"/>
            <w:tcBorders>
              <w:right w:val="single" w:color="auto" w:sz="4" w:space="0"/>
            </w:tcBorders>
            <w:noWrap w:val="0"/>
            <w:vAlign w:val="center"/>
          </w:tcPr>
          <w:p w14:paraId="1E4C2DAE">
            <w:pPr>
              <w:adjustRightInd w:val="0"/>
              <w:snapToGrid w:val="0"/>
              <w:spacing w:line="400" w:lineRule="exact"/>
              <w:rPr>
                <w:rFonts w:ascii="宋体" w:hAnsi="宋体"/>
                <w:color w:val="auto"/>
                <w:szCs w:val="21"/>
              </w:rPr>
            </w:pPr>
            <w:r>
              <w:rPr>
                <w:rFonts w:hint="eastAsia" w:ascii="宋体" w:hAnsi="宋体"/>
                <w:color w:val="auto"/>
                <w:szCs w:val="21"/>
              </w:rPr>
              <w:t>磋商文件的实质性要求</w:t>
            </w:r>
          </w:p>
        </w:tc>
        <w:tc>
          <w:tcPr>
            <w:tcW w:w="2268" w:type="dxa"/>
            <w:tcBorders>
              <w:left w:val="single" w:color="auto" w:sz="4" w:space="0"/>
              <w:bottom w:val="single" w:color="auto" w:sz="4" w:space="0"/>
            </w:tcBorders>
            <w:noWrap w:val="0"/>
            <w:vAlign w:val="center"/>
          </w:tcPr>
          <w:p w14:paraId="3237A135">
            <w:pPr>
              <w:adjustRightInd w:val="0"/>
              <w:snapToGrid w:val="0"/>
              <w:spacing w:line="400" w:lineRule="exact"/>
              <w:rPr>
                <w:rFonts w:ascii="宋体" w:hAnsi="宋体"/>
                <w:color w:val="auto"/>
                <w:szCs w:val="21"/>
              </w:rPr>
            </w:pPr>
            <w:r>
              <w:rPr>
                <w:rFonts w:hint="eastAsia" w:ascii="宋体" w:hAnsi="宋体"/>
                <w:color w:val="auto"/>
                <w:szCs w:val="21"/>
              </w:rPr>
              <w:t>首次响应文件</w:t>
            </w:r>
          </w:p>
        </w:tc>
        <w:tc>
          <w:tcPr>
            <w:tcW w:w="3565" w:type="dxa"/>
            <w:vMerge w:val="restart"/>
            <w:noWrap w:val="0"/>
            <w:vAlign w:val="center"/>
          </w:tcPr>
          <w:p w14:paraId="1A687115">
            <w:pPr>
              <w:adjustRightInd w:val="0"/>
              <w:snapToGrid w:val="0"/>
              <w:spacing w:line="400" w:lineRule="exact"/>
              <w:rPr>
                <w:rFonts w:ascii="宋体" w:hAnsi="宋体"/>
                <w:color w:val="auto"/>
                <w:szCs w:val="21"/>
              </w:rPr>
            </w:pPr>
            <w:r>
              <w:rPr>
                <w:rFonts w:hint="eastAsia" w:ascii="宋体" w:hAnsi="宋体"/>
                <w:color w:val="auto"/>
                <w:szCs w:val="21"/>
              </w:rPr>
              <w:t>满足磋商文件的全部实质性要求。</w:t>
            </w:r>
          </w:p>
        </w:tc>
      </w:tr>
      <w:tr w14:paraId="3F1F0E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817" w:type="dxa"/>
            <w:vMerge w:val="continue"/>
            <w:noWrap w:val="0"/>
            <w:vAlign w:val="center"/>
          </w:tcPr>
          <w:p w14:paraId="01397F88">
            <w:pPr>
              <w:adjustRightInd w:val="0"/>
              <w:snapToGrid w:val="0"/>
              <w:spacing w:line="400" w:lineRule="exact"/>
              <w:jc w:val="center"/>
              <w:rPr>
                <w:rFonts w:ascii="宋体" w:hAnsi="宋体"/>
                <w:color w:val="auto"/>
                <w:szCs w:val="21"/>
              </w:rPr>
            </w:pPr>
          </w:p>
        </w:tc>
        <w:tc>
          <w:tcPr>
            <w:tcW w:w="2410" w:type="dxa"/>
            <w:vMerge w:val="continue"/>
            <w:tcBorders>
              <w:right w:val="single" w:color="auto" w:sz="4" w:space="0"/>
            </w:tcBorders>
            <w:noWrap w:val="0"/>
            <w:vAlign w:val="center"/>
          </w:tcPr>
          <w:p w14:paraId="17046A4D">
            <w:pPr>
              <w:adjustRightInd w:val="0"/>
              <w:snapToGrid w:val="0"/>
              <w:spacing w:line="400" w:lineRule="exact"/>
              <w:rPr>
                <w:rFonts w:ascii="宋体" w:hAnsi="宋体"/>
                <w:color w:val="auto"/>
                <w:szCs w:val="21"/>
              </w:rPr>
            </w:pPr>
          </w:p>
        </w:tc>
        <w:tc>
          <w:tcPr>
            <w:tcW w:w="2268" w:type="dxa"/>
            <w:tcBorders>
              <w:top w:val="single" w:color="auto" w:sz="4" w:space="0"/>
              <w:left w:val="single" w:color="auto" w:sz="4" w:space="0"/>
            </w:tcBorders>
            <w:noWrap w:val="0"/>
            <w:vAlign w:val="center"/>
          </w:tcPr>
          <w:p w14:paraId="192F8F81">
            <w:pPr>
              <w:adjustRightInd w:val="0"/>
              <w:snapToGrid w:val="0"/>
              <w:spacing w:line="400" w:lineRule="exact"/>
              <w:rPr>
                <w:rFonts w:ascii="宋体" w:hAnsi="宋体"/>
                <w:color w:val="auto"/>
                <w:szCs w:val="21"/>
              </w:rPr>
            </w:pPr>
            <w:r>
              <w:rPr>
                <w:rFonts w:hint="eastAsia" w:ascii="宋体" w:hAnsi="宋体"/>
                <w:color w:val="auto"/>
                <w:szCs w:val="21"/>
              </w:rPr>
              <w:t>重新提交的响应文件</w:t>
            </w:r>
          </w:p>
        </w:tc>
        <w:tc>
          <w:tcPr>
            <w:tcW w:w="3565" w:type="dxa"/>
            <w:vMerge w:val="continue"/>
            <w:noWrap w:val="0"/>
            <w:vAlign w:val="center"/>
          </w:tcPr>
          <w:p w14:paraId="7E47BDFA">
            <w:pPr>
              <w:adjustRightInd w:val="0"/>
              <w:snapToGrid w:val="0"/>
              <w:spacing w:line="400" w:lineRule="exact"/>
              <w:rPr>
                <w:rFonts w:ascii="宋体" w:hAnsi="宋体"/>
                <w:color w:val="auto"/>
                <w:szCs w:val="21"/>
              </w:rPr>
            </w:pPr>
          </w:p>
        </w:tc>
      </w:tr>
      <w:tr w14:paraId="50DFC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45200A3F">
            <w:pPr>
              <w:adjustRightInd w:val="0"/>
              <w:snapToGrid w:val="0"/>
              <w:spacing w:line="400" w:lineRule="exact"/>
              <w:jc w:val="center"/>
              <w:rPr>
                <w:rFonts w:ascii="宋体" w:hAnsi="宋体"/>
                <w:color w:val="auto"/>
                <w:szCs w:val="21"/>
              </w:rPr>
            </w:pPr>
            <w:r>
              <w:rPr>
                <w:rFonts w:hint="eastAsia" w:ascii="宋体" w:hAnsi="宋体"/>
                <w:color w:val="auto"/>
                <w:szCs w:val="21"/>
              </w:rPr>
              <w:t>5</w:t>
            </w:r>
          </w:p>
        </w:tc>
        <w:tc>
          <w:tcPr>
            <w:tcW w:w="4678" w:type="dxa"/>
            <w:gridSpan w:val="2"/>
            <w:noWrap w:val="0"/>
            <w:vAlign w:val="center"/>
          </w:tcPr>
          <w:p w14:paraId="03E3F4DB">
            <w:pPr>
              <w:adjustRightInd w:val="0"/>
              <w:snapToGrid w:val="0"/>
              <w:spacing w:line="400" w:lineRule="exact"/>
              <w:rPr>
                <w:rFonts w:ascii="Calibri" w:hAnsi="Calibri"/>
                <w:color w:val="auto"/>
              </w:rPr>
            </w:pPr>
            <w:r>
              <w:rPr>
                <w:rFonts w:hint="eastAsia" w:ascii="Calibri" w:hAnsi="Calibri"/>
                <w:color w:val="auto"/>
              </w:rPr>
              <w:t>最后报价</w:t>
            </w:r>
          </w:p>
        </w:tc>
        <w:tc>
          <w:tcPr>
            <w:tcW w:w="3565" w:type="dxa"/>
            <w:noWrap w:val="0"/>
            <w:vAlign w:val="center"/>
          </w:tcPr>
          <w:p w14:paraId="397F89FC">
            <w:pPr>
              <w:adjustRightInd w:val="0"/>
              <w:snapToGrid w:val="0"/>
              <w:spacing w:line="400" w:lineRule="exact"/>
              <w:rPr>
                <w:rFonts w:ascii="Calibri" w:hAnsi="Calibri"/>
                <w:color w:val="auto"/>
              </w:rPr>
            </w:pPr>
            <w:r>
              <w:rPr>
                <w:rFonts w:hint="eastAsia" w:ascii="Calibri" w:hAnsi="Calibri"/>
                <w:color w:val="auto"/>
              </w:rPr>
              <w:t>按照磋商文件的规定提交最后报价。</w:t>
            </w:r>
          </w:p>
        </w:tc>
      </w:tr>
      <w:tr w14:paraId="6E9F58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1A63CE33">
            <w:pPr>
              <w:adjustRightInd w:val="0"/>
              <w:snapToGrid w:val="0"/>
              <w:spacing w:line="400" w:lineRule="exact"/>
              <w:jc w:val="center"/>
              <w:rPr>
                <w:rFonts w:ascii="宋体" w:hAnsi="宋体"/>
                <w:color w:val="auto"/>
                <w:szCs w:val="21"/>
              </w:rPr>
            </w:pPr>
            <w:r>
              <w:rPr>
                <w:rFonts w:hint="eastAsia" w:ascii="宋体" w:hAnsi="宋体"/>
                <w:color w:val="auto"/>
                <w:szCs w:val="21"/>
              </w:rPr>
              <w:t>6</w:t>
            </w:r>
          </w:p>
        </w:tc>
        <w:tc>
          <w:tcPr>
            <w:tcW w:w="4678" w:type="dxa"/>
            <w:gridSpan w:val="2"/>
            <w:noWrap w:val="0"/>
            <w:vAlign w:val="center"/>
          </w:tcPr>
          <w:p w14:paraId="19FADF19">
            <w:pPr>
              <w:adjustRightInd w:val="0"/>
              <w:snapToGrid w:val="0"/>
              <w:spacing w:line="400" w:lineRule="exact"/>
              <w:rPr>
                <w:rFonts w:ascii="Calibri" w:hAnsi="Calibri"/>
                <w:color w:val="auto"/>
              </w:rPr>
            </w:pPr>
            <w:r>
              <w:rPr>
                <w:rFonts w:hint="eastAsia" w:ascii="Calibri" w:hAnsi="Calibri"/>
                <w:color w:val="auto"/>
              </w:rPr>
              <w:t>其他无效情形</w:t>
            </w:r>
          </w:p>
        </w:tc>
        <w:tc>
          <w:tcPr>
            <w:tcW w:w="3565" w:type="dxa"/>
            <w:noWrap w:val="0"/>
            <w:vAlign w:val="top"/>
          </w:tcPr>
          <w:p w14:paraId="3A3F84AB">
            <w:pPr>
              <w:adjustRightInd w:val="0"/>
              <w:snapToGrid w:val="0"/>
              <w:spacing w:line="400" w:lineRule="exact"/>
              <w:rPr>
                <w:rFonts w:ascii="Calibri" w:hAnsi="Calibri"/>
                <w:color w:val="auto"/>
              </w:rPr>
            </w:pPr>
            <w:r>
              <w:rPr>
                <w:rFonts w:hint="eastAsia" w:ascii="Calibri" w:hAnsi="Calibri"/>
                <w:color w:val="auto"/>
              </w:rPr>
              <w:t>法律、法规和磋商文件规定的其他无效情形。</w:t>
            </w:r>
          </w:p>
        </w:tc>
      </w:tr>
      <w:tr w14:paraId="78FE2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center"/>
          </w:tcPr>
          <w:p w14:paraId="49EB12E5">
            <w:pPr>
              <w:adjustRightInd w:val="0"/>
              <w:snapToGrid w:val="0"/>
              <w:spacing w:line="400" w:lineRule="exact"/>
              <w:jc w:val="center"/>
              <w:rPr>
                <w:rFonts w:ascii="宋体" w:hAnsi="宋体"/>
                <w:color w:val="auto"/>
                <w:szCs w:val="21"/>
              </w:rPr>
            </w:pPr>
            <w:r>
              <w:rPr>
                <w:rFonts w:ascii="宋体" w:hAnsi="宋体"/>
                <w:color w:val="auto"/>
                <w:szCs w:val="21"/>
              </w:rPr>
              <w:t>…</w:t>
            </w:r>
          </w:p>
        </w:tc>
        <w:tc>
          <w:tcPr>
            <w:tcW w:w="4678" w:type="dxa"/>
            <w:gridSpan w:val="2"/>
            <w:noWrap w:val="0"/>
            <w:vAlign w:val="center"/>
          </w:tcPr>
          <w:p w14:paraId="4C275EA6">
            <w:pPr>
              <w:adjustRightInd w:val="0"/>
              <w:snapToGrid w:val="0"/>
              <w:spacing w:line="400" w:lineRule="exact"/>
              <w:jc w:val="center"/>
              <w:rPr>
                <w:rFonts w:ascii="宋体" w:hAnsi="宋体"/>
                <w:color w:val="auto"/>
                <w:szCs w:val="21"/>
              </w:rPr>
            </w:pPr>
            <w:r>
              <w:rPr>
                <w:rFonts w:ascii="宋体" w:hAnsi="宋体"/>
                <w:color w:val="auto"/>
                <w:szCs w:val="21"/>
              </w:rPr>
              <w:t>…</w:t>
            </w:r>
          </w:p>
        </w:tc>
        <w:tc>
          <w:tcPr>
            <w:tcW w:w="3565" w:type="dxa"/>
            <w:noWrap w:val="0"/>
            <w:vAlign w:val="center"/>
          </w:tcPr>
          <w:p w14:paraId="7DA18D70">
            <w:pPr>
              <w:adjustRightInd w:val="0"/>
              <w:snapToGrid w:val="0"/>
              <w:spacing w:line="400" w:lineRule="exact"/>
              <w:jc w:val="center"/>
              <w:rPr>
                <w:rFonts w:ascii="宋体" w:hAnsi="宋体"/>
                <w:color w:val="auto"/>
                <w:szCs w:val="21"/>
              </w:rPr>
            </w:pPr>
            <w:r>
              <w:rPr>
                <w:rFonts w:ascii="宋体" w:hAnsi="宋体"/>
                <w:color w:val="auto"/>
                <w:szCs w:val="21"/>
              </w:rPr>
              <w:t>…</w:t>
            </w:r>
          </w:p>
        </w:tc>
      </w:tr>
      <w:tr w14:paraId="00D44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615BF5A9">
            <w:pPr>
              <w:adjustRightInd w:val="0"/>
              <w:snapToGrid w:val="0"/>
              <w:spacing w:line="400" w:lineRule="exact"/>
              <w:jc w:val="center"/>
              <w:rPr>
                <w:rFonts w:ascii="宋体" w:hAnsi="宋体"/>
                <w:color w:val="auto"/>
                <w:szCs w:val="21"/>
              </w:rPr>
            </w:pPr>
            <w:r>
              <w:rPr>
                <w:rFonts w:hint="eastAsia" w:ascii="宋体" w:hAnsi="宋体"/>
                <w:color w:val="auto"/>
                <w:kern w:val="0"/>
                <w:szCs w:val="21"/>
              </w:rPr>
              <w:t>结论</w:t>
            </w:r>
          </w:p>
        </w:tc>
        <w:tc>
          <w:tcPr>
            <w:tcW w:w="4678" w:type="dxa"/>
            <w:gridSpan w:val="2"/>
            <w:noWrap w:val="0"/>
            <w:vAlign w:val="top"/>
          </w:tcPr>
          <w:p w14:paraId="62A6D180">
            <w:pPr>
              <w:adjustRightInd w:val="0"/>
              <w:snapToGrid w:val="0"/>
              <w:spacing w:line="400" w:lineRule="exact"/>
              <w:jc w:val="left"/>
              <w:rPr>
                <w:rFonts w:ascii="宋体" w:hAnsi="宋体"/>
                <w:color w:val="auto"/>
                <w:szCs w:val="21"/>
              </w:rPr>
            </w:pPr>
          </w:p>
        </w:tc>
        <w:tc>
          <w:tcPr>
            <w:tcW w:w="3565" w:type="dxa"/>
            <w:noWrap w:val="0"/>
            <w:vAlign w:val="top"/>
          </w:tcPr>
          <w:p w14:paraId="498B1777">
            <w:pPr>
              <w:adjustRightInd w:val="0"/>
              <w:snapToGrid w:val="0"/>
              <w:spacing w:line="400" w:lineRule="exact"/>
              <w:jc w:val="center"/>
              <w:rPr>
                <w:rFonts w:ascii="宋体" w:hAnsi="宋体"/>
                <w:color w:val="auto"/>
                <w:szCs w:val="21"/>
              </w:rPr>
            </w:pPr>
          </w:p>
        </w:tc>
      </w:tr>
    </w:tbl>
    <w:p w14:paraId="51BF7783">
      <w:pPr>
        <w:rPr>
          <w:color w:val="auto"/>
        </w:rPr>
      </w:pPr>
    </w:p>
    <w:p w14:paraId="5B634A3B">
      <w:pPr>
        <w:widowControl/>
        <w:jc w:val="left"/>
        <w:rPr>
          <w:rFonts w:ascii="Arial" w:hAnsi="Arial"/>
          <w:b/>
          <w:bCs/>
          <w:color w:val="auto"/>
          <w:sz w:val="24"/>
          <w:szCs w:val="32"/>
        </w:rPr>
      </w:pPr>
      <w:r>
        <w:rPr>
          <w:color w:val="auto"/>
        </w:rPr>
        <w:br w:type="page"/>
      </w:r>
    </w:p>
    <w:p w14:paraId="4D8DABE1">
      <w:pPr>
        <w:pStyle w:val="3"/>
        <w:rPr>
          <w:rFonts w:hint="eastAsia"/>
          <w:color w:val="auto"/>
        </w:rPr>
      </w:pPr>
      <w:bookmarkStart w:id="169" w:name="_Toc69831454"/>
      <w:bookmarkStart w:id="170" w:name="_Toc4780"/>
      <w:r>
        <w:rPr>
          <w:rFonts w:hint="eastAsia"/>
          <w:color w:val="auto"/>
        </w:rPr>
        <w:t>附表3评审方法及标准表</w:t>
      </w:r>
      <w:bookmarkEnd w:id="169"/>
      <w:bookmarkEnd w:id="170"/>
    </w:p>
    <w:p w14:paraId="2F240713">
      <w:pPr>
        <w:adjustRightInd w:val="0"/>
        <w:snapToGrid w:val="0"/>
        <w:spacing w:before="156" w:beforeLines="50" w:line="360" w:lineRule="auto"/>
        <w:jc w:val="center"/>
        <w:rPr>
          <w:rFonts w:ascii="黑体" w:hAnsi="黑体" w:eastAsia="黑体"/>
          <w:b w:val="0"/>
          <w:bCs/>
          <w:color w:val="auto"/>
          <w:sz w:val="28"/>
          <w:szCs w:val="28"/>
        </w:rPr>
      </w:pPr>
      <w:r>
        <w:rPr>
          <w:rFonts w:hint="eastAsia" w:ascii="黑体" w:hAnsi="黑体" w:eastAsia="黑体"/>
          <w:b w:val="0"/>
          <w:bCs/>
          <w:color w:val="auto"/>
          <w:sz w:val="28"/>
          <w:szCs w:val="28"/>
        </w:rPr>
        <w:t>分值表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584"/>
        <w:gridCol w:w="5267"/>
      </w:tblGrid>
      <w:tr w14:paraId="58C3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908" w:type="dxa"/>
            <w:gridSpan w:val="3"/>
            <w:noWrap w:val="0"/>
            <w:vAlign w:val="center"/>
          </w:tcPr>
          <w:p w14:paraId="4804B324">
            <w:pPr>
              <w:jc w:val="center"/>
              <w:rPr>
                <w:rFonts w:ascii="宋体" w:hAnsi="Calibri" w:cs="宋体"/>
                <w:b/>
                <w:color w:val="auto"/>
                <w:szCs w:val="20"/>
              </w:rPr>
            </w:pPr>
            <w:r>
              <w:rPr>
                <w:rFonts w:hint="eastAsia" w:ascii="宋体" w:hAnsi="宋体" w:cs="宋体"/>
                <w:b/>
                <w:color w:val="auto"/>
                <w:szCs w:val="20"/>
              </w:rPr>
              <w:t>评审因素及份值</w:t>
            </w:r>
          </w:p>
        </w:tc>
      </w:tr>
      <w:tr w14:paraId="02D6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36" w:type="dxa"/>
            <w:noWrap w:val="0"/>
            <w:vAlign w:val="center"/>
          </w:tcPr>
          <w:p w14:paraId="165FD558">
            <w:pPr>
              <w:jc w:val="center"/>
              <w:rPr>
                <w:rFonts w:ascii="宋体" w:hAnsi="Calibri" w:cs="宋体"/>
                <w:b/>
                <w:color w:val="auto"/>
                <w:szCs w:val="20"/>
              </w:rPr>
            </w:pPr>
            <w:r>
              <w:rPr>
                <w:rFonts w:hint="eastAsia" w:ascii="宋体" w:hAnsi="宋体" w:cs="宋体"/>
                <w:b/>
                <w:color w:val="auto"/>
                <w:szCs w:val="20"/>
              </w:rPr>
              <w:t>评审因素</w:t>
            </w:r>
          </w:p>
        </w:tc>
        <w:tc>
          <w:tcPr>
            <w:tcW w:w="6572" w:type="dxa"/>
            <w:gridSpan w:val="2"/>
            <w:noWrap w:val="0"/>
            <w:vAlign w:val="center"/>
          </w:tcPr>
          <w:p w14:paraId="7E9805F3">
            <w:pPr>
              <w:jc w:val="center"/>
              <w:rPr>
                <w:rFonts w:ascii="宋体" w:hAnsi="Calibri" w:cs="宋体"/>
                <w:b/>
                <w:color w:val="auto"/>
                <w:szCs w:val="20"/>
              </w:rPr>
            </w:pPr>
            <w:r>
              <w:rPr>
                <w:rFonts w:hint="eastAsia" w:ascii="宋体" w:hAnsi="宋体" w:cs="宋体"/>
                <w:b/>
                <w:color w:val="auto"/>
                <w:szCs w:val="20"/>
              </w:rPr>
              <w:t>分值</w:t>
            </w:r>
          </w:p>
        </w:tc>
      </w:tr>
      <w:tr w14:paraId="6E5B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36" w:type="dxa"/>
            <w:noWrap w:val="0"/>
            <w:vAlign w:val="center"/>
          </w:tcPr>
          <w:p w14:paraId="4BA328E2">
            <w:pPr>
              <w:jc w:val="center"/>
              <w:rPr>
                <w:rFonts w:ascii="宋体" w:hAnsi="Calibri" w:cs="宋体"/>
                <w:b/>
                <w:bCs/>
                <w:color w:val="auto"/>
                <w:szCs w:val="20"/>
              </w:rPr>
            </w:pPr>
            <w:r>
              <w:rPr>
                <w:rFonts w:hint="eastAsia" w:ascii="宋体" w:hAnsi="宋体" w:cs="宋体"/>
                <w:b/>
                <w:bCs/>
                <w:color w:val="auto"/>
                <w:szCs w:val="20"/>
              </w:rPr>
              <w:t>价格部分A1</w:t>
            </w:r>
          </w:p>
        </w:tc>
        <w:tc>
          <w:tcPr>
            <w:tcW w:w="6572" w:type="dxa"/>
            <w:gridSpan w:val="2"/>
            <w:noWrap w:val="0"/>
            <w:vAlign w:val="center"/>
          </w:tcPr>
          <w:p w14:paraId="7BBC25A3">
            <w:pPr>
              <w:jc w:val="center"/>
              <w:rPr>
                <w:rFonts w:hint="default" w:ascii="宋体" w:hAnsi="Calibri" w:eastAsia="宋体" w:cs="宋体"/>
                <w:b/>
                <w:bCs/>
                <w:color w:val="auto"/>
                <w:szCs w:val="20"/>
                <w:highlight w:val="none"/>
                <w:lang w:val="en-US" w:eastAsia="zh-CN"/>
              </w:rPr>
            </w:pPr>
            <w:r>
              <w:rPr>
                <w:rFonts w:hint="eastAsia" w:ascii="宋体" w:hAnsi="Calibri" w:cs="宋体"/>
                <w:b/>
                <w:bCs/>
                <w:color w:val="auto"/>
                <w:szCs w:val="20"/>
                <w:highlight w:val="none"/>
                <w:lang w:val="en-US" w:eastAsia="zh-CN"/>
              </w:rPr>
              <w:t>40</w:t>
            </w:r>
          </w:p>
        </w:tc>
      </w:tr>
      <w:tr w14:paraId="595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36" w:type="dxa"/>
            <w:noWrap w:val="0"/>
            <w:vAlign w:val="center"/>
          </w:tcPr>
          <w:p w14:paraId="12A4B6DF">
            <w:pPr>
              <w:jc w:val="center"/>
              <w:rPr>
                <w:rFonts w:ascii="宋体" w:hAnsi="Calibri" w:cs="宋体"/>
                <w:b/>
                <w:bCs/>
                <w:color w:val="auto"/>
                <w:szCs w:val="20"/>
              </w:rPr>
            </w:pPr>
            <w:r>
              <w:rPr>
                <w:rFonts w:hint="eastAsia" w:ascii="宋体" w:hAnsi="宋体" w:cs="宋体"/>
                <w:b/>
                <w:bCs/>
                <w:color w:val="auto"/>
                <w:szCs w:val="20"/>
              </w:rPr>
              <w:t>商务部分A3</w:t>
            </w:r>
          </w:p>
        </w:tc>
        <w:tc>
          <w:tcPr>
            <w:tcW w:w="6572" w:type="dxa"/>
            <w:gridSpan w:val="2"/>
            <w:noWrap w:val="0"/>
            <w:vAlign w:val="center"/>
          </w:tcPr>
          <w:p w14:paraId="700B41C4">
            <w:pPr>
              <w:jc w:val="center"/>
              <w:rPr>
                <w:rFonts w:hint="default" w:ascii="宋体" w:hAnsi="Calibri" w:eastAsia="宋体" w:cs="宋体"/>
                <w:b/>
                <w:bCs/>
                <w:color w:val="auto"/>
                <w:szCs w:val="20"/>
                <w:highlight w:val="none"/>
                <w:lang w:val="en-US" w:eastAsia="zh-CN"/>
              </w:rPr>
            </w:pPr>
            <w:r>
              <w:rPr>
                <w:rFonts w:hint="eastAsia" w:ascii="宋体" w:hAnsi="Calibri" w:cs="宋体"/>
                <w:b/>
                <w:bCs/>
                <w:color w:val="auto"/>
                <w:szCs w:val="20"/>
                <w:highlight w:val="none"/>
                <w:lang w:val="en-US" w:eastAsia="zh-CN"/>
              </w:rPr>
              <w:t>20</w:t>
            </w:r>
          </w:p>
        </w:tc>
      </w:tr>
      <w:tr w14:paraId="134B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36" w:type="dxa"/>
            <w:noWrap w:val="0"/>
            <w:vAlign w:val="center"/>
          </w:tcPr>
          <w:p w14:paraId="5E716B5B">
            <w:pPr>
              <w:jc w:val="center"/>
              <w:rPr>
                <w:rFonts w:ascii="宋体" w:hAnsi="Calibri" w:cs="宋体"/>
                <w:b/>
                <w:bCs/>
                <w:color w:val="auto"/>
                <w:szCs w:val="20"/>
              </w:rPr>
            </w:pPr>
            <w:r>
              <w:rPr>
                <w:rFonts w:hint="eastAsia" w:ascii="宋体" w:hAnsi="宋体" w:cs="宋体"/>
                <w:b/>
                <w:bCs/>
                <w:color w:val="auto"/>
                <w:szCs w:val="20"/>
              </w:rPr>
              <w:t>技术部分A2</w:t>
            </w:r>
          </w:p>
        </w:tc>
        <w:tc>
          <w:tcPr>
            <w:tcW w:w="6572" w:type="dxa"/>
            <w:gridSpan w:val="2"/>
            <w:noWrap w:val="0"/>
            <w:vAlign w:val="center"/>
          </w:tcPr>
          <w:p w14:paraId="380B45AF">
            <w:pPr>
              <w:jc w:val="center"/>
              <w:rPr>
                <w:rFonts w:hint="default" w:ascii="宋体" w:hAnsi="Calibri" w:eastAsia="宋体" w:cs="宋体"/>
                <w:b/>
                <w:bCs/>
                <w:color w:val="auto"/>
                <w:szCs w:val="20"/>
                <w:highlight w:val="none"/>
                <w:lang w:val="en-US" w:eastAsia="zh-CN"/>
              </w:rPr>
            </w:pPr>
            <w:r>
              <w:rPr>
                <w:rFonts w:hint="eastAsia" w:ascii="宋体" w:hAnsi="Calibri" w:cs="宋体"/>
                <w:b/>
                <w:bCs/>
                <w:color w:val="auto"/>
                <w:szCs w:val="20"/>
                <w:highlight w:val="none"/>
                <w:lang w:val="en-US" w:eastAsia="zh-CN"/>
              </w:rPr>
              <w:t>40</w:t>
            </w:r>
          </w:p>
        </w:tc>
      </w:tr>
      <w:tr w14:paraId="777C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36" w:type="dxa"/>
            <w:vMerge w:val="restart"/>
            <w:noWrap w:val="0"/>
            <w:vAlign w:val="center"/>
          </w:tcPr>
          <w:p w14:paraId="16F3C27E">
            <w:pPr>
              <w:rPr>
                <w:rFonts w:ascii="宋体" w:hAnsi="宋体" w:cs="宋体"/>
                <w:color w:val="auto"/>
                <w:szCs w:val="20"/>
              </w:rPr>
            </w:pPr>
            <w:r>
              <w:rPr>
                <w:rFonts w:hint="eastAsia" w:ascii="宋体" w:hAnsi="宋体" w:cs="宋体"/>
                <w:color w:val="auto"/>
                <w:szCs w:val="20"/>
              </w:rPr>
              <w:t>政府采购政策加分</w:t>
            </w:r>
          </w:p>
        </w:tc>
        <w:tc>
          <w:tcPr>
            <w:tcW w:w="1520" w:type="dxa"/>
            <w:noWrap w:val="0"/>
            <w:vAlign w:val="center"/>
          </w:tcPr>
          <w:p w14:paraId="7ED557D4">
            <w:pPr>
              <w:spacing w:line="360" w:lineRule="atLeast"/>
              <w:jc w:val="left"/>
              <w:rPr>
                <w:rFonts w:hint="default" w:ascii="宋体" w:hAnsi="宋体" w:eastAsia="宋体" w:cs="宋体"/>
                <w:color w:val="auto"/>
                <w:lang w:val="en-US" w:eastAsia="zh-CN"/>
              </w:rPr>
            </w:pPr>
            <w:r>
              <w:rPr>
                <w:rFonts w:hint="eastAsia" w:ascii="宋体" w:hAnsi="宋体" w:eastAsia="宋体" w:cs="宋体"/>
                <w:color w:val="auto"/>
                <w:szCs w:val="21"/>
              </w:rPr>
              <w:t>节能产品</w:t>
            </w:r>
          </w:p>
        </w:tc>
        <w:tc>
          <w:tcPr>
            <w:tcW w:w="5052" w:type="dxa"/>
            <w:noWrap w:val="0"/>
            <w:vAlign w:val="center"/>
          </w:tcPr>
          <w:p w14:paraId="4A1862AF">
            <w:pPr>
              <w:spacing w:line="360" w:lineRule="atLeast"/>
              <w:rPr>
                <w:rFonts w:hint="eastAsia" w:ascii="宋体" w:hAnsi="宋体" w:eastAsia="宋体" w:cs="宋体"/>
                <w:color w:val="auto"/>
                <w:lang w:val="en-US" w:eastAsia="zh-CN"/>
              </w:rPr>
            </w:pPr>
            <w:r>
              <w:rPr>
                <w:rFonts w:hint="eastAsia" w:ascii="宋体" w:hAnsi="宋体" w:eastAsia="宋体" w:cs="宋体"/>
                <w:bCs/>
                <w:iCs/>
                <w:color w:val="auto"/>
                <w:szCs w:val="21"/>
              </w:rPr>
              <w:t>本项目中强制采购《节能产品政府采购品目清单》（财库〔2019〕19号）中产品类别，具体产品详见第四章“采购需求”。</w:t>
            </w:r>
          </w:p>
        </w:tc>
      </w:tr>
      <w:tr w14:paraId="0646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36" w:type="dxa"/>
            <w:vMerge w:val="continue"/>
            <w:noWrap w:val="0"/>
            <w:vAlign w:val="center"/>
          </w:tcPr>
          <w:p w14:paraId="74684670">
            <w:pPr>
              <w:rPr>
                <w:rFonts w:hint="eastAsia" w:ascii="宋体" w:hAnsi="宋体" w:cs="宋体"/>
                <w:color w:val="auto"/>
                <w:szCs w:val="20"/>
              </w:rPr>
            </w:pPr>
          </w:p>
        </w:tc>
        <w:tc>
          <w:tcPr>
            <w:tcW w:w="1520" w:type="dxa"/>
            <w:noWrap w:val="0"/>
            <w:vAlign w:val="center"/>
          </w:tcPr>
          <w:p w14:paraId="0BA356D7">
            <w:pPr>
              <w:adjustRightInd w:val="0"/>
              <w:snapToGrid w:val="0"/>
              <w:spacing w:line="400" w:lineRule="exact"/>
              <w:rPr>
                <w:rFonts w:hint="default" w:ascii="宋体" w:hAnsi="宋体" w:eastAsia="宋体" w:cs="宋体"/>
                <w:color w:val="auto"/>
                <w:lang w:val="en-US" w:eastAsia="zh-CN"/>
              </w:rPr>
            </w:pPr>
            <w:r>
              <w:rPr>
                <w:rFonts w:hint="eastAsia" w:ascii="宋体" w:hAnsi="宋体" w:eastAsia="宋体" w:cs="宋体"/>
                <w:color w:val="auto"/>
                <w:szCs w:val="21"/>
              </w:rPr>
              <w:t>环境标志产品</w:t>
            </w:r>
          </w:p>
        </w:tc>
        <w:tc>
          <w:tcPr>
            <w:tcW w:w="5052" w:type="dxa"/>
            <w:noWrap w:val="0"/>
            <w:vAlign w:val="center"/>
          </w:tcPr>
          <w:p w14:paraId="52D72A83">
            <w:pPr>
              <w:adjustRightInd w:val="0"/>
              <w:snapToGrid w:val="0"/>
              <w:spacing w:line="360" w:lineRule="auto"/>
              <w:rPr>
                <w:rFonts w:hint="eastAsia" w:ascii="宋体" w:hAnsi="宋体" w:eastAsia="宋体" w:cs="宋体"/>
                <w:color w:val="auto"/>
                <w:lang w:val="en-US" w:eastAsia="zh-CN"/>
              </w:rPr>
            </w:pPr>
            <w:r>
              <w:rPr>
                <w:rFonts w:hint="eastAsia" w:ascii="宋体" w:hAnsi="宋体" w:eastAsia="宋体" w:cs="宋体"/>
                <w:color w:val="auto"/>
                <w:szCs w:val="21"/>
              </w:rPr>
              <w:t>采购产品属于《环境标志产品政府采购品目清单》（财库〔2019〕18号）中产品类别的（投标人必需提供有效的环境标志产品认证证书；不是清单中的产品类别，此评审时不予以考虑）： 采用综合评分法时，对于技术和价格分，应分别给予总分值4%-8%的加分。本项目具体加分比例分别为：技术部分</w:t>
            </w:r>
            <w:r>
              <w:rPr>
                <w:rFonts w:hint="eastAsia" w:ascii="宋体" w:hAnsi="宋体" w:eastAsia="宋体" w:cs="宋体"/>
                <w:color w:val="auto"/>
                <w:szCs w:val="21"/>
                <w:u w:val="single"/>
              </w:rPr>
              <w:t xml:space="preserve"> 4 </w:t>
            </w:r>
            <w:r>
              <w:rPr>
                <w:rFonts w:hint="eastAsia" w:ascii="宋体" w:hAnsi="宋体" w:eastAsia="宋体" w:cs="宋体"/>
                <w:color w:val="auto"/>
                <w:szCs w:val="21"/>
              </w:rPr>
              <w:t>%、价格部分</w:t>
            </w:r>
            <w:r>
              <w:rPr>
                <w:rFonts w:hint="eastAsia" w:ascii="宋体" w:hAnsi="宋体" w:eastAsia="宋体" w:cs="宋体"/>
                <w:color w:val="auto"/>
                <w:szCs w:val="21"/>
                <w:u w:val="single"/>
              </w:rPr>
              <w:t xml:space="preserve"> 4  </w:t>
            </w:r>
            <w:r>
              <w:rPr>
                <w:rFonts w:hint="eastAsia" w:ascii="宋体" w:hAnsi="宋体" w:eastAsia="宋体" w:cs="宋体"/>
                <w:color w:val="auto"/>
                <w:szCs w:val="21"/>
              </w:rPr>
              <w:t>%。</w:t>
            </w:r>
          </w:p>
        </w:tc>
      </w:tr>
      <w:tr w14:paraId="0270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36" w:type="dxa"/>
            <w:vMerge w:val="continue"/>
            <w:noWrap w:val="0"/>
            <w:vAlign w:val="center"/>
          </w:tcPr>
          <w:p w14:paraId="192765F7">
            <w:pPr>
              <w:rPr>
                <w:rFonts w:hint="eastAsia" w:ascii="宋体" w:hAnsi="宋体" w:cs="宋体"/>
                <w:color w:val="auto"/>
                <w:szCs w:val="20"/>
              </w:rPr>
            </w:pPr>
          </w:p>
        </w:tc>
        <w:tc>
          <w:tcPr>
            <w:tcW w:w="1520" w:type="dxa"/>
            <w:noWrap w:val="0"/>
            <w:vAlign w:val="top"/>
          </w:tcPr>
          <w:p w14:paraId="378A8F82">
            <w:pPr>
              <w:pStyle w:val="12"/>
              <w:adjustRightInd w:val="0"/>
              <w:snapToGrid w:val="0"/>
              <w:spacing w:line="360" w:lineRule="auto"/>
              <w:rPr>
                <w:rFonts w:hint="default" w:ascii="宋体" w:hAnsi="宋体" w:eastAsia="宋体" w:cs="宋体"/>
                <w:color w:val="auto"/>
                <w:lang w:val="en-US" w:eastAsia="zh-CN"/>
              </w:rPr>
            </w:pPr>
            <w:r>
              <w:rPr>
                <w:rFonts w:hint="eastAsia" w:ascii="宋体" w:hAnsi="宋体" w:eastAsia="宋体" w:cs="宋体"/>
                <w:color w:val="auto"/>
                <w:szCs w:val="21"/>
              </w:rPr>
              <w:t>扶持小型、微型企业</w:t>
            </w:r>
          </w:p>
        </w:tc>
        <w:tc>
          <w:tcPr>
            <w:tcW w:w="5052" w:type="dxa"/>
            <w:noWrap w:val="0"/>
            <w:vAlign w:val="top"/>
          </w:tcPr>
          <w:p w14:paraId="5DD85CF5">
            <w:pPr>
              <w:adjustRightInd w:val="0"/>
              <w:snapToGrid w:val="0"/>
              <w:spacing w:line="360" w:lineRule="auto"/>
              <w:jc w:val="both"/>
              <w:rPr>
                <w:rFonts w:hint="eastAsia"/>
                <w:color w:val="auto"/>
              </w:rPr>
            </w:pPr>
            <w:r>
              <w:rPr>
                <w:rFonts w:hint="eastAsia" w:ascii="宋体" w:hAnsi="宋体" w:cs="宋体"/>
                <w:b/>
                <w:bCs/>
                <w:color w:val="auto"/>
                <w:szCs w:val="21"/>
                <w:highlight w:val="white"/>
                <w:lang w:eastAsia="zh-CN"/>
              </w:rPr>
              <w:t>□</w:t>
            </w:r>
            <w:r>
              <w:rPr>
                <w:rFonts w:hint="eastAsia"/>
                <w:b/>
                <w:bCs/>
                <w:color w:val="auto"/>
              </w:rPr>
              <w:t>非专门面向中小企业采购：</w:t>
            </w:r>
            <w:r>
              <w:rPr>
                <w:rFonts w:hint="eastAsia"/>
                <w:b w:val="0"/>
                <w:bCs w:val="0"/>
                <w:color w:val="auto"/>
                <w:lang w:eastAsia="zh-CN"/>
              </w:rPr>
              <w:t>对</w:t>
            </w:r>
            <w:r>
              <w:rPr>
                <w:rFonts w:hint="eastAsia"/>
                <w:color w:val="auto"/>
                <w:lang w:eastAsia="zh-CN"/>
              </w:rPr>
              <w:t>符合《</w:t>
            </w:r>
            <w:r>
              <w:rPr>
                <w:rFonts w:hint="eastAsia"/>
                <w:color w:val="auto"/>
                <w:lang w:val="en-US" w:eastAsia="zh-CN"/>
              </w:rPr>
              <w:t>政府采购促进中小企业发展管理办法</w:t>
            </w:r>
            <w:r>
              <w:rPr>
                <w:rFonts w:hint="eastAsia"/>
                <w:color w:val="auto"/>
                <w:lang w:eastAsia="zh-CN"/>
              </w:rPr>
              <w:t>》规定的</w:t>
            </w:r>
            <w:r>
              <w:rPr>
                <w:rFonts w:hint="eastAsia"/>
                <w:color w:val="auto"/>
              </w:rPr>
              <w:t>小型、微型企业最后报价</w:t>
            </w:r>
            <w:r>
              <w:rPr>
                <w:rFonts w:hint="eastAsia"/>
                <w:color w:val="auto"/>
                <w:lang w:eastAsia="zh-CN"/>
              </w:rPr>
              <w:t>给予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color w:val="auto"/>
              </w:rPr>
              <w:t>的扣除</w:t>
            </w:r>
            <w:r>
              <w:rPr>
                <w:rFonts w:hint="eastAsia"/>
                <w:color w:val="auto"/>
                <w:lang w:eastAsia="zh-CN"/>
              </w:rPr>
              <w:t>，</w:t>
            </w:r>
            <w:r>
              <w:rPr>
                <w:rFonts w:hint="eastAsia"/>
                <w:color w:val="auto"/>
              </w:rPr>
              <w:t>用扣除后的价格参</w:t>
            </w:r>
            <w:r>
              <w:rPr>
                <w:rFonts w:hint="eastAsia"/>
                <w:color w:val="auto"/>
                <w:lang w:eastAsia="zh-CN"/>
              </w:rPr>
              <w:t>加</w:t>
            </w:r>
            <w:r>
              <w:rPr>
                <w:rFonts w:hint="eastAsia"/>
                <w:color w:val="auto"/>
              </w:rPr>
              <w:t>评审，本项目价格扣除比例：小型、微型企业为</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w:t>
            </w:r>
            <w:r>
              <w:rPr>
                <w:rFonts w:hint="eastAsia"/>
                <w:color w:val="auto"/>
              </w:rPr>
              <w:t>％。</w:t>
            </w:r>
          </w:p>
          <w:p w14:paraId="121CA0B2">
            <w:pPr>
              <w:pStyle w:val="12"/>
              <w:adjustRightInd w:val="0"/>
              <w:snapToGrid w:val="0"/>
              <w:spacing w:line="360" w:lineRule="auto"/>
              <w:rPr>
                <w:rFonts w:hint="eastAsia" w:ascii="宋体" w:hAnsi="宋体" w:eastAsia="宋体" w:cs="宋体"/>
                <w:color w:val="auto"/>
                <w:lang w:val="en-US" w:eastAsia="zh-CN"/>
              </w:rPr>
            </w:pPr>
            <w:r>
              <w:rPr>
                <w:rFonts w:hint="eastAsia" w:hAnsi="宋体" w:cs="宋体"/>
                <w:b w:val="0"/>
                <w:bCs w:val="0"/>
                <w:color w:val="auto"/>
                <w:szCs w:val="21"/>
                <w:highlight w:val="white"/>
                <w:lang w:eastAsia="zh-CN"/>
              </w:rPr>
              <w:t>☑</w:t>
            </w:r>
            <w:r>
              <w:rPr>
                <w:rFonts w:hint="eastAsia"/>
                <w:b w:val="0"/>
                <w:bCs w:val="0"/>
                <w:color w:val="auto"/>
                <w:lang w:eastAsia="zh-CN"/>
              </w:rPr>
              <w:t>专门面向中小企业采购：</w:t>
            </w:r>
            <w:r>
              <w:rPr>
                <w:rFonts w:hint="eastAsia"/>
                <w:color w:val="auto"/>
                <w:lang w:val="en-US" w:eastAsia="zh-CN"/>
              </w:rPr>
              <w:t>不再执行价格评审优惠的扶持政策。</w:t>
            </w:r>
          </w:p>
        </w:tc>
      </w:tr>
      <w:tr w14:paraId="0FA3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36" w:type="dxa"/>
            <w:vMerge w:val="continue"/>
            <w:noWrap w:val="0"/>
            <w:vAlign w:val="center"/>
          </w:tcPr>
          <w:p w14:paraId="6F708EFC">
            <w:pPr>
              <w:rPr>
                <w:rFonts w:hint="eastAsia" w:ascii="宋体" w:hAnsi="宋体" w:cs="宋体"/>
                <w:color w:val="auto"/>
                <w:szCs w:val="20"/>
              </w:rPr>
            </w:pPr>
          </w:p>
        </w:tc>
        <w:tc>
          <w:tcPr>
            <w:tcW w:w="1520" w:type="dxa"/>
            <w:noWrap w:val="0"/>
            <w:vAlign w:val="center"/>
          </w:tcPr>
          <w:p w14:paraId="08FFC6BD">
            <w:pPr>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残疾人福利性单位</w:t>
            </w:r>
          </w:p>
        </w:tc>
        <w:tc>
          <w:tcPr>
            <w:tcW w:w="5052" w:type="dxa"/>
            <w:noWrap w:val="0"/>
            <w:vAlign w:val="center"/>
          </w:tcPr>
          <w:p w14:paraId="7DCD4378">
            <w:pPr>
              <w:spacing w:line="360" w:lineRule="atLeast"/>
              <w:rPr>
                <w:rFonts w:hint="eastAsia" w:ascii="宋体" w:hAnsi="宋体" w:eastAsia="宋体" w:cs="宋体"/>
                <w:color w:val="auto"/>
                <w:szCs w:val="21"/>
              </w:rPr>
            </w:pPr>
            <w:r>
              <w:rPr>
                <w:rFonts w:hint="eastAsia" w:ascii="宋体" w:hAnsi="宋体" w:cs="宋体"/>
                <w:b/>
                <w:bCs/>
                <w:color w:val="auto"/>
                <w:szCs w:val="21"/>
                <w:highlight w:val="white"/>
                <w:lang w:eastAsia="zh-CN"/>
              </w:rPr>
              <w:t>□</w:t>
            </w:r>
            <w:r>
              <w:rPr>
                <w:rFonts w:hint="eastAsia" w:ascii="宋体" w:hAnsi="宋体" w:eastAsia="宋体" w:cs="宋体"/>
                <w:b/>
                <w:bCs/>
                <w:color w:val="auto"/>
                <w:szCs w:val="21"/>
              </w:rPr>
              <w:t>非专门面向残疾人福利单位采购：</w:t>
            </w:r>
            <w:r>
              <w:rPr>
                <w:rFonts w:hint="eastAsia" w:ascii="宋体" w:hAnsi="宋体" w:eastAsia="宋体" w:cs="宋体"/>
                <w:color w:val="auto"/>
                <w:szCs w:val="21"/>
              </w:rPr>
              <w:t>给予残疾人福利性单位</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Cs w:val="21"/>
              </w:rPr>
              <w:t>的扣除，用扣除后的价格参与评审，本项目具体扣除比例为：</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EE7BD9F">
            <w:pPr>
              <w:spacing w:line="360" w:lineRule="atLeast"/>
              <w:rPr>
                <w:rFonts w:hint="eastAsia" w:ascii="宋体" w:hAnsi="宋体" w:cs="宋体"/>
                <w:b w:val="0"/>
                <w:bCs w:val="0"/>
                <w:color w:val="auto"/>
                <w:szCs w:val="21"/>
                <w:highlight w:val="white"/>
                <w:lang w:eastAsia="zh-CN"/>
              </w:rPr>
            </w:pPr>
            <w:r>
              <w:rPr>
                <w:rFonts w:hint="eastAsia" w:ascii="宋体" w:hAnsi="宋体" w:cs="宋体"/>
                <w:b w:val="0"/>
                <w:bCs w:val="0"/>
                <w:color w:val="auto"/>
                <w:szCs w:val="21"/>
                <w:highlight w:val="white"/>
                <w:lang w:eastAsia="zh-CN"/>
              </w:rPr>
              <w:t>☑</w:t>
            </w:r>
            <w:r>
              <w:rPr>
                <w:rFonts w:hint="eastAsia"/>
                <w:b w:val="0"/>
                <w:bCs w:val="0"/>
                <w:color w:val="auto"/>
              </w:rPr>
              <w:t>专门面向残疾人福利单位采购或专门面向中小企业采购：不再执行价格评审优惠的扶持政策。</w:t>
            </w:r>
          </w:p>
        </w:tc>
      </w:tr>
      <w:tr w14:paraId="4C9E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36" w:type="dxa"/>
            <w:vMerge w:val="continue"/>
            <w:noWrap w:val="0"/>
            <w:vAlign w:val="center"/>
          </w:tcPr>
          <w:p w14:paraId="5F790B45">
            <w:pPr>
              <w:rPr>
                <w:rFonts w:hint="eastAsia" w:ascii="宋体" w:hAnsi="宋体" w:cs="宋体"/>
                <w:color w:val="auto"/>
                <w:szCs w:val="20"/>
              </w:rPr>
            </w:pPr>
          </w:p>
        </w:tc>
        <w:tc>
          <w:tcPr>
            <w:tcW w:w="1520" w:type="dxa"/>
            <w:noWrap w:val="0"/>
            <w:vAlign w:val="center"/>
          </w:tcPr>
          <w:p w14:paraId="2B67934A">
            <w:pPr>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监狱企业</w:t>
            </w:r>
          </w:p>
        </w:tc>
        <w:tc>
          <w:tcPr>
            <w:tcW w:w="5052" w:type="dxa"/>
            <w:noWrap w:val="0"/>
            <w:vAlign w:val="center"/>
          </w:tcPr>
          <w:p w14:paraId="7F124DF0">
            <w:pPr>
              <w:spacing w:line="360" w:lineRule="atLeast"/>
              <w:rPr>
                <w:rFonts w:hint="eastAsia" w:ascii="宋体" w:hAnsi="宋体" w:eastAsia="宋体" w:cs="宋体"/>
                <w:color w:val="auto"/>
                <w:szCs w:val="21"/>
              </w:rPr>
            </w:pPr>
            <w:r>
              <w:rPr>
                <w:rFonts w:hint="eastAsia" w:ascii="宋体" w:hAnsi="宋体" w:cs="宋体"/>
                <w:b/>
                <w:bCs/>
                <w:color w:val="auto"/>
                <w:szCs w:val="21"/>
                <w:highlight w:val="white"/>
                <w:lang w:eastAsia="zh-CN"/>
              </w:rPr>
              <w:t>□</w:t>
            </w:r>
            <w:r>
              <w:rPr>
                <w:rFonts w:hint="eastAsia" w:ascii="宋体" w:hAnsi="宋体" w:eastAsia="宋体" w:cs="宋体"/>
                <w:b/>
                <w:bCs/>
                <w:color w:val="auto"/>
                <w:szCs w:val="21"/>
              </w:rPr>
              <w:t>非专门面向监狱企业采购：</w:t>
            </w:r>
            <w:r>
              <w:rPr>
                <w:rFonts w:hint="eastAsia" w:ascii="宋体" w:hAnsi="宋体" w:eastAsia="宋体" w:cs="宋体"/>
                <w:b w:val="0"/>
                <w:bCs w:val="0"/>
                <w:color w:val="auto"/>
                <w:szCs w:val="21"/>
              </w:rPr>
              <w:t>给</w:t>
            </w:r>
            <w:r>
              <w:rPr>
                <w:rFonts w:hint="eastAsia" w:ascii="宋体" w:hAnsi="宋体" w:eastAsia="宋体" w:cs="宋体"/>
                <w:color w:val="auto"/>
                <w:szCs w:val="21"/>
              </w:rPr>
              <w:t>予监狱企业</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Cs w:val="21"/>
              </w:rPr>
              <w:t>的扣除，用扣除后的价格参与评审，本项目具体扣除比例为：</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A20EB93">
            <w:pPr>
              <w:spacing w:line="360" w:lineRule="atLeast"/>
              <w:rPr>
                <w:rFonts w:hint="eastAsia" w:ascii="宋体" w:hAnsi="宋体" w:cs="宋体"/>
                <w:b w:val="0"/>
                <w:bCs w:val="0"/>
                <w:color w:val="auto"/>
                <w:szCs w:val="21"/>
                <w:highlight w:val="white"/>
                <w:lang w:eastAsia="zh-CN"/>
              </w:rPr>
            </w:pPr>
            <w:r>
              <w:rPr>
                <w:rFonts w:hint="eastAsia" w:ascii="宋体" w:hAnsi="宋体" w:cs="宋体"/>
                <w:b w:val="0"/>
                <w:bCs w:val="0"/>
                <w:color w:val="auto"/>
                <w:szCs w:val="21"/>
                <w:highlight w:val="white"/>
                <w:lang w:eastAsia="zh-CN"/>
              </w:rPr>
              <w:t>☑</w:t>
            </w:r>
            <w:r>
              <w:rPr>
                <w:rFonts w:hint="eastAsia" w:ascii="宋体" w:hAnsi="宋体" w:cs="宋体"/>
                <w:b w:val="0"/>
                <w:bCs w:val="0"/>
                <w:color w:val="auto"/>
                <w:szCs w:val="21"/>
              </w:rPr>
              <w:t>专门面向</w:t>
            </w:r>
            <w:r>
              <w:rPr>
                <w:rFonts w:hint="eastAsia" w:ascii="宋体" w:hAnsi="宋体" w:cs="宋体"/>
                <w:b w:val="0"/>
                <w:bCs w:val="0"/>
                <w:color w:val="auto"/>
              </w:rPr>
              <w:t>监狱企业采购</w:t>
            </w:r>
            <w:r>
              <w:rPr>
                <w:rFonts w:hint="eastAsia"/>
                <w:b w:val="0"/>
                <w:bCs w:val="0"/>
                <w:color w:val="auto"/>
              </w:rPr>
              <w:t>或专门面向中小企业采购：不再执行价格评审优惠的扶持政策。</w:t>
            </w:r>
          </w:p>
        </w:tc>
      </w:tr>
    </w:tbl>
    <w:p w14:paraId="7F3A8D69">
      <w:pPr>
        <w:adjustRightInd w:val="0"/>
        <w:snapToGrid w:val="0"/>
        <w:spacing w:before="156" w:beforeLines="50" w:line="360" w:lineRule="auto"/>
        <w:jc w:val="center"/>
        <w:rPr>
          <w:rFonts w:hint="eastAsia" w:ascii="黑体" w:hAnsi="黑体" w:eastAsia="黑体"/>
          <w:b w:val="0"/>
          <w:bCs/>
          <w:color w:val="auto"/>
          <w:sz w:val="28"/>
          <w:szCs w:val="28"/>
        </w:rPr>
      </w:pPr>
      <w:r>
        <w:rPr>
          <w:rFonts w:hint="eastAsia" w:ascii="黑体" w:hAnsi="黑体" w:eastAsia="黑体"/>
          <w:b w:val="0"/>
          <w:bCs/>
          <w:color w:val="auto"/>
          <w:sz w:val="28"/>
          <w:szCs w:val="28"/>
        </w:rPr>
        <w:t>评审方法及标准表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069"/>
        <w:gridCol w:w="760"/>
        <w:gridCol w:w="669"/>
        <w:gridCol w:w="6788"/>
      </w:tblGrid>
      <w:tr w14:paraId="7FCD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57" w:hRule="atLeast"/>
        </w:trPr>
        <w:tc>
          <w:tcPr>
            <w:tcW w:w="576" w:type="pct"/>
            <w:tcBorders>
              <w:tl2br w:val="nil"/>
              <w:tr2bl w:val="nil"/>
            </w:tcBorders>
            <w:shd w:val="clear" w:color="000000" w:fill="FFFFFF"/>
            <w:noWrap w:val="0"/>
            <w:tcMar>
              <w:left w:w="108" w:type="dxa"/>
              <w:right w:w="108" w:type="dxa"/>
            </w:tcMar>
            <w:vAlign w:val="center"/>
          </w:tcPr>
          <w:p w14:paraId="7A5A1002">
            <w:pPr>
              <w:spacing w:line="400" w:lineRule="exact"/>
              <w:jc w:val="center"/>
              <w:rPr>
                <w:rFonts w:ascii="宋体" w:hAnsi="宋体" w:cs="宋体"/>
                <w:b/>
                <w:color w:val="auto"/>
                <w:szCs w:val="21"/>
              </w:rPr>
            </w:pPr>
            <w:r>
              <w:rPr>
                <w:rFonts w:ascii="宋体" w:hAnsi="宋体" w:cs="宋体"/>
                <w:b/>
                <w:color w:val="auto"/>
                <w:szCs w:val="21"/>
              </w:rPr>
              <w:t>评审</w:t>
            </w:r>
          </w:p>
          <w:p w14:paraId="6E9063E1">
            <w:pPr>
              <w:spacing w:line="400" w:lineRule="exact"/>
              <w:jc w:val="center"/>
              <w:rPr>
                <w:rFonts w:ascii="宋体" w:hAnsi="宋体" w:cs="宋体"/>
                <w:b/>
                <w:color w:val="auto"/>
                <w:szCs w:val="21"/>
              </w:rPr>
            </w:pPr>
            <w:r>
              <w:rPr>
                <w:rFonts w:ascii="宋体" w:hAnsi="宋体" w:cs="宋体"/>
                <w:b/>
                <w:color w:val="auto"/>
                <w:szCs w:val="21"/>
              </w:rPr>
              <w:t>因素</w:t>
            </w:r>
          </w:p>
        </w:tc>
        <w:tc>
          <w:tcPr>
            <w:tcW w:w="409" w:type="pct"/>
            <w:tcBorders>
              <w:tl2br w:val="nil"/>
              <w:tr2bl w:val="nil"/>
            </w:tcBorders>
            <w:shd w:val="clear" w:color="000000" w:fill="FFFFFF"/>
            <w:noWrap w:val="0"/>
            <w:tcMar>
              <w:left w:w="108" w:type="dxa"/>
              <w:right w:w="108" w:type="dxa"/>
            </w:tcMar>
            <w:vAlign w:val="center"/>
          </w:tcPr>
          <w:p w14:paraId="28E5CAA8">
            <w:pPr>
              <w:spacing w:line="400" w:lineRule="exact"/>
              <w:jc w:val="center"/>
              <w:rPr>
                <w:rFonts w:ascii="宋体" w:hAnsi="宋体" w:cs="宋体"/>
                <w:b/>
                <w:color w:val="auto"/>
                <w:szCs w:val="21"/>
              </w:rPr>
            </w:pPr>
            <w:r>
              <w:rPr>
                <w:rFonts w:ascii="宋体" w:hAnsi="宋体" w:cs="宋体"/>
                <w:b/>
                <w:color w:val="auto"/>
                <w:szCs w:val="21"/>
              </w:rPr>
              <w:t>计分</w:t>
            </w:r>
          </w:p>
          <w:p w14:paraId="79459F01">
            <w:pPr>
              <w:spacing w:line="400" w:lineRule="exact"/>
              <w:jc w:val="center"/>
              <w:rPr>
                <w:rFonts w:ascii="宋体" w:hAnsi="宋体" w:cs="宋体"/>
                <w:b/>
                <w:color w:val="auto"/>
                <w:szCs w:val="21"/>
              </w:rPr>
            </w:pPr>
            <w:r>
              <w:rPr>
                <w:rFonts w:ascii="宋体" w:hAnsi="宋体" w:cs="宋体"/>
                <w:b/>
                <w:color w:val="auto"/>
                <w:szCs w:val="21"/>
              </w:rPr>
              <w:t>因素</w:t>
            </w:r>
          </w:p>
        </w:tc>
        <w:tc>
          <w:tcPr>
            <w:tcW w:w="360" w:type="pct"/>
            <w:tcBorders>
              <w:tl2br w:val="nil"/>
              <w:tr2bl w:val="nil"/>
            </w:tcBorders>
            <w:shd w:val="clear" w:color="000000" w:fill="FFFFFF"/>
            <w:noWrap w:val="0"/>
            <w:tcMar>
              <w:left w:w="108" w:type="dxa"/>
              <w:right w:w="108" w:type="dxa"/>
            </w:tcMar>
            <w:vAlign w:val="center"/>
          </w:tcPr>
          <w:p w14:paraId="680BB062">
            <w:pPr>
              <w:spacing w:line="400" w:lineRule="exact"/>
              <w:jc w:val="center"/>
              <w:rPr>
                <w:rFonts w:ascii="宋体" w:hAnsi="宋体" w:cs="宋体"/>
                <w:b/>
                <w:color w:val="auto"/>
                <w:szCs w:val="21"/>
              </w:rPr>
            </w:pPr>
            <w:r>
              <w:rPr>
                <w:rFonts w:ascii="宋体" w:hAnsi="宋体" w:cs="宋体"/>
                <w:b/>
                <w:color w:val="auto"/>
                <w:szCs w:val="21"/>
              </w:rPr>
              <w:t>分值</w:t>
            </w:r>
          </w:p>
        </w:tc>
        <w:tc>
          <w:tcPr>
            <w:tcW w:w="3653" w:type="pct"/>
            <w:tcBorders>
              <w:tl2br w:val="nil"/>
              <w:tr2bl w:val="nil"/>
            </w:tcBorders>
            <w:shd w:val="clear" w:color="000000" w:fill="FFFFFF"/>
            <w:noWrap w:val="0"/>
            <w:tcMar>
              <w:left w:w="108" w:type="dxa"/>
              <w:right w:w="108" w:type="dxa"/>
            </w:tcMar>
            <w:vAlign w:val="center"/>
          </w:tcPr>
          <w:p w14:paraId="619E742D">
            <w:pPr>
              <w:spacing w:line="400" w:lineRule="exact"/>
              <w:jc w:val="center"/>
              <w:rPr>
                <w:rFonts w:ascii="宋体" w:hAnsi="宋体" w:cs="宋体"/>
                <w:b/>
                <w:color w:val="auto"/>
                <w:szCs w:val="21"/>
              </w:rPr>
            </w:pPr>
            <w:r>
              <w:rPr>
                <w:rFonts w:ascii="宋体" w:hAnsi="宋体" w:cs="宋体"/>
                <w:b/>
                <w:color w:val="auto"/>
                <w:szCs w:val="21"/>
              </w:rPr>
              <w:t>评分标准</w:t>
            </w:r>
          </w:p>
        </w:tc>
      </w:tr>
      <w:tr w14:paraId="7BEDE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02" w:hRule="atLeast"/>
        </w:trPr>
        <w:tc>
          <w:tcPr>
            <w:tcW w:w="576" w:type="pct"/>
            <w:tcBorders>
              <w:tl2br w:val="nil"/>
              <w:tr2bl w:val="nil"/>
            </w:tcBorders>
            <w:shd w:val="clear" w:color="000000" w:fill="FFFFFF"/>
            <w:noWrap w:val="0"/>
            <w:tcMar>
              <w:left w:w="108" w:type="dxa"/>
              <w:right w:w="108" w:type="dxa"/>
            </w:tcMar>
            <w:vAlign w:val="center"/>
          </w:tcPr>
          <w:p w14:paraId="0876744F">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报价部分（</w:t>
            </w:r>
            <w:r>
              <w:rPr>
                <w:rFonts w:hint="eastAsia" w:ascii="宋体" w:hAnsi="宋体" w:eastAsia="宋体" w:cs="Times New Roman"/>
                <w:color w:val="auto"/>
                <w:szCs w:val="21"/>
                <w:lang w:val="en-US" w:eastAsia="zh-CN"/>
              </w:rPr>
              <w:t>40分</w:t>
            </w:r>
            <w:r>
              <w:rPr>
                <w:rFonts w:hint="eastAsia" w:ascii="宋体" w:hAnsi="宋体" w:eastAsia="宋体" w:cs="Times New Roman"/>
                <w:color w:val="auto"/>
                <w:szCs w:val="21"/>
              </w:rPr>
              <w:t>）</w:t>
            </w:r>
          </w:p>
        </w:tc>
        <w:tc>
          <w:tcPr>
            <w:tcW w:w="409" w:type="pct"/>
            <w:tcBorders>
              <w:tl2br w:val="nil"/>
              <w:tr2bl w:val="nil"/>
            </w:tcBorders>
            <w:shd w:val="clear" w:color="000000" w:fill="FFFFFF"/>
            <w:noWrap w:val="0"/>
            <w:tcMar>
              <w:left w:w="108" w:type="dxa"/>
              <w:right w:w="108" w:type="dxa"/>
            </w:tcMar>
            <w:vAlign w:val="center"/>
          </w:tcPr>
          <w:p w14:paraId="1F7C325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磋商</w:t>
            </w:r>
          </w:p>
          <w:p w14:paraId="3038151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报价</w:t>
            </w:r>
          </w:p>
        </w:tc>
        <w:tc>
          <w:tcPr>
            <w:tcW w:w="360" w:type="pct"/>
            <w:tcBorders>
              <w:tl2br w:val="nil"/>
              <w:tr2bl w:val="nil"/>
            </w:tcBorders>
            <w:shd w:val="clear" w:color="000000" w:fill="FFFFFF"/>
            <w:noWrap w:val="0"/>
            <w:tcMar>
              <w:left w:w="108" w:type="dxa"/>
              <w:right w:w="108" w:type="dxa"/>
            </w:tcMar>
            <w:vAlign w:val="center"/>
          </w:tcPr>
          <w:p w14:paraId="025F861B">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40分</w:t>
            </w:r>
          </w:p>
        </w:tc>
        <w:tc>
          <w:tcPr>
            <w:tcW w:w="3653" w:type="pct"/>
            <w:tcBorders>
              <w:tl2br w:val="nil"/>
              <w:tr2bl w:val="nil"/>
            </w:tcBorders>
            <w:shd w:val="clear" w:color="000000" w:fill="FFFFFF"/>
            <w:noWrap w:val="0"/>
            <w:tcMar>
              <w:left w:w="108" w:type="dxa"/>
              <w:right w:w="108" w:type="dxa"/>
            </w:tcMar>
            <w:vAlign w:val="center"/>
          </w:tcPr>
          <w:p w14:paraId="2FC66E9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default" w:ascii="宋体" w:hAnsi="宋体" w:eastAsia="宋体" w:cs="Times New Roman"/>
                <w:color w:val="auto"/>
                <w:szCs w:val="21"/>
              </w:rPr>
              <w:t>满足磋商文件要求且最后报价最低的供应商的价格为磋商基准价，其价格分为满分。其他供应商的价格分统一按照下列公式计算:</w:t>
            </w:r>
          </w:p>
          <w:p w14:paraId="6070336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eastAsia="宋体" w:cs="Times New Roman"/>
                <w:color w:val="auto"/>
                <w:szCs w:val="21"/>
                <w:lang w:val="en-US" w:eastAsia="zh-CN"/>
              </w:rPr>
            </w:pPr>
            <w:r>
              <w:rPr>
                <w:rFonts w:hint="default" w:ascii="宋体" w:hAnsi="宋体" w:eastAsia="宋体" w:cs="Times New Roman"/>
                <w:color w:val="auto"/>
                <w:szCs w:val="21"/>
              </w:rPr>
              <w:t>磋商报价得分=(磋商基准价/最后磋商报价)×</w:t>
            </w:r>
            <w:r>
              <w:rPr>
                <w:rFonts w:hint="eastAsia" w:ascii="宋体" w:hAnsi="宋体" w:eastAsia="宋体" w:cs="宋体"/>
                <w:color w:val="auto"/>
                <w:sz w:val="21"/>
                <w:szCs w:val="21"/>
                <w:highlight w:val="none"/>
                <w:lang w:val="en-US" w:eastAsia="zh-CN"/>
              </w:rPr>
              <w:t>价格权值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w:t>
            </w:r>
          </w:p>
          <w:p w14:paraId="7ED8CEC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2、异常低价审查规定</w:t>
            </w:r>
          </w:p>
          <w:p w14:paraId="48A2FDD3">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2.1评审中出现下列情形之一的，磋商小组应当启动异常低价投标（响应）审查程序：</w:t>
            </w:r>
          </w:p>
          <w:p w14:paraId="7ECD2DE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（1）投标（响应）报价低于全部通过符合性审查供应商投标（响应）报价平均值65%的，即投标（响应）报价小于全部通过符合性审查供应商投标（响应）报价平均值×65%；</w:t>
            </w:r>
          </w:p>
          <w:p w14:paraId="23425A00">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（2）投标（响应）报价低于通过符合性审查的次低报价供应商投标（响应）报价65%的，即投标（响应）报价小于通过符合性审查的次低报价供应商投标（响应）报价×65%；</w:t>
            </w:r>
          </w:p>
          <w:p w14:paraId="7C54C1B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（3）投标（响应）报价低于采购项目最高限价65%的，即投标（响应）报价小于采购项目最高限价×65%；</w:t>
            </w:r>
          </w:p>
          <w:p w14:paraId="2053064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（4）磋商小组基于专业判断，认为供应商报价过低，有可能影响产品质量或者不能诚信履约的其他情形。</w:t>
            </w:r>
          </w:p>
          <w:p w14:paraId="5B9FD38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相关法律法规对供应商报价有规定的，从其规定。</w:t>
            </w:r>
          </w:p>
          <w:p w14:paraId="1D01267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时间为30分钟。其中，属于第3项情形，供应商已随投标（响应）文件一并提交相关书面说明及必要的证明材料的，在评审现场可不再重复提交。</w:t>
            </w:r>
          </w:p>
          <w:p w14:paraId="2C45388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tc>
      </w:tr>
      <w:tr w14:paraId="4713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337" w:hRule="atLeast"/>
        </w:trPr>
        <w:tc>
          <w:tcPr>
            <w:tcW w:w="576" w:type="pct"/>
            <w:vMerge w:val="restart"/>
            <w:tcBorders>
              <w:tl2br w:val="nil"/>
              <w:tr2bl w:val="nil"/>
            </w:tcBorders>
            <w:shd w:val="clear" w:color="000000" w:fill="FFFFFF"/>
            <w:noWrap w:val="0"/>
            <w:tcMar>
              <w:left w:w="108" w:type="dxa"/>
              <w:right w:w="108" w:type="dxa"/>
            </w:tcMar>
            <w:vAlign w:val="center"/>
          </w:tcPr>
          <w:p w14:paraId="436E01A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商务部分(</w:t>
            </w:r>
            <w:r>
              <w:rPr>
                <w:rFonts w:hint="eastAsia" w:ascii="宋体" w:hAnsi="宋体" w:eastAsia="宋体" w:cs="Times New Roman"/>
                <w:color w:val="auto"/>
                <w:szCs w:val="21"/>
                <w:lang w:val="en-US" w:eastAsia="zh-CN"/>
              </w:rPr>
              <w:t>20分</w:t>
            </w:r>
            <w:r>
              <w:rPr>
                <w:rFonts w:hint="eastAsia" w:ascii="宋体" w:hAnsi="宋体" w:eastAsia="宋体" w:cs="Times New Roman"/>
                <w:color w:val="auto"/>
                <w:szCs w:val="21"/>
              </w:rPr>
              <w:t>)</w:t>
            </w:r>
          </w:p>
        </w:tc>
        <w:tc>
          <w:tcPr>
            <w:tcW w:w="409" w:type="pct"/>
            <w:tcBorders>
              <w:tl2br w:val="nil"/>
              <w:tr2bl w:val="nil"/>
            </w:tcBorders>
            <w:shd w:val="clear" w:color="000000" w:fill="FFFFFF"/>
            <w:noWrap w:val="0"/>
            <w:tcMar>
              <w:left w:w="108" w:type="dxa"/>
              <w:right w:w="108" w:type="dxa"/>
            </w:tcMar>
            <w:vAlign w:val="center"/>
          </w:tcPr>
          <w:p w14:paraId="1F7A5F9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rPr>
            </w:pPr>
            <w:r>
              <w:rPr>
                <w:rFonts w:hint="eastAsia" w:ascii="宋体" w:hAnsi="宋体" w:eastAsia="宋体" w:cs="Times New Roman"/>
                <w:color w:val="auto"/>
                <w:szCs w:val="21"/>
                <w:lang w:val="en-US" w:eastAsia="zh-CN"/>
              </w:rPr>
              <w:t>类似</w:t>
            </w:r>
            <w:r>
              <w:rPr>
                <w:rFonts w:hint="eastAsia" w:ascii="宋体" w:hAnsi="宋体" w:eastAsia="宋体" w:cs="Times New Roman"/>
                <w:color w:val="auto"/>
                <w:szCs w:val="21"/>
                <w:lang w:val="en-US"/>
              </w:rPr>
              <w:t>业绩</w:t>
            </w:r>
          </w:p>
        </w:tc>
        <w:tc>
          <w:tcPr>
            <w:tcW w:w="360" w:type="pct"/>
            <w:tcBorders>
              <w:tl2br w:val="nil"/>
              <w:tr2bl w:val="nil"/>
            </w:tcBorders>
            <w:shd w:val="clear" w:color="000000" w:fill="FFFFFF"/>
            <w:noWrap w:val="0"/>
            <w:tcMar>
              <w:left w:w="108" w:type="dxa"/>
              <w:right w:w="108" w:type="dxa"/>
            </w:tcMar>
            <w:vAlign w:val="center"/>
          </w:tcPr>
          <w:p w14:paraId="444ACC6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rPr>
            </w:pPr>
            <w:r>
              <w:rPr>
                <w:rFonts w:hint="eastAsia" w:ascii="宋体" w:hAnsi="宋体" w:eastAsia="宋体" w:cs="Times New Roman"/>
                <w:color w:val="auto"/>
                <w:szCs w:val="21"/>
                <w:lang w:val="en-US" w:eastAsia="zh-CN"/>
              </w:rPr>
              <w:t>8分</w:t>
            </w:r>
          </w:p>
        </w:tc>
        <w:tc>
          <w:tcPr>
            <w:tcW w:w="3653" w:type="pct"/>
            <w:tcBorders>
              <w:tl2br w:val="nil"/>
              <w:tr2bl w:val="nil"/>
            </w:tcBorders>
            <w:shd w:val="clear" w:color="000000" w:fill="FFFFFF"/>
            <w:noWrap w:val="0"/>
            <w:tcMar>
              <w:left w:w="108" w:type="dxa"/>
              <w:right w:w="108" w:type="dxa"/>
            </w:tcMar>
            <w:vAlign w:val="center"/>
          </w:tcPr>
          <w:p w14:paraId="07151A00">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自</w:t>
            </w:r>
            <w:r>
              <w:rPr>
                <w:rFonts w:hint="eastAsia" w:ascii="宋体" w:hAnsi="宋体" w:eastAsia="宋体" w:cs="Times New Roman"/>
                <w:color w:val="auto"/>
                <w:szCs w:val="21"/>
                <w:lang w:val="en-US" w:eastAsia="zh-CN"/>
              </w:rPr>
              <w:t>2023</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1月1日</w:t>
            </w:r>
            <w:r>
              <w:rPr>
                <w:rFonts w:hint="eastAsia" w:ascii="宋体" w:hAnsi="宋体" w:eastAsia="宋体" w:cs="Times New Roman"/>
                <w:color w:val="auto"/>
                <w:szCs w:val="21"/>
              </w:rPr>
              <w:t>以来（以</w:t>
            </w:r>
            <w:r>
              <w:rPr>
                <w:rFonts w:hint="eastAsia" w:ascii="宋体" w:hAnsi="宋体" w:eastAsia="宋体" w:cs="Times New Roman"/>
                <w:color w:val="auto"/>
                <w:szCs w:val="21"/>
                <w:lang w:eastAsia="zh-CN"/>
              </w:rPr>
              <w:t>通过竣工验收的时间为准</w:t>
            </w:r>
            <w:r>
              <w:rPr>
                <w:rFonts w:hint="eastAsia" w:ascii="宋体" w:hAnsi="宋体" w:eastAsia="宋体" w:cs="Times New Roman"/>
                <w:color w:val="auto"/>
                <w:szCs w:val="21"/>
              </w:rPr>
              <w:t>），具有</w:t>
            </w:r>
            <w:r>
              <w:rPr>
                <w:rFonts w:hint="eastAsia" w:ascii="宋体" w:hAnsi="宋体" w:eastAsia="宋体" w:cs="Times New Roman"/>
                <w:color w:val="auto"/>
                <w:szCs w:val="21"/>
                <w:lang w:eastAsia="zh-CN"/>
              </w:rPr>
              <w:t>与本项目类似的工程</w:t>
            </w:r>
            <w:r>
              <w:rPr>
                <w:rFonts w:hint="eastAsia" w:ascii="宋体" w:hAnsi="宋体" w:eastAsia="宋体" w:cs="Times New Roman"/>
                <w:color w:val="auto"/>
                <w:szCs w:val="21"/>
              </w:rPr>
              <w:t>业绩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类似工程业绩需含道路工程</w:t>
            </w:r>
            <w:r>
              <w:rPr>
                <w:rFonts w:hint="eastAsia" w:ascii="宋体" w:hAnsi="宋体" w:eastAsia="宋体" w:cs="Times New Roman"/>
                <w:color w:val="auto"/>
                <w:szCs w:val="21"/>
                <w:lang w:eastAsia="zh-CN"/>
              </w:rPr>
              <w:t>）的</w:t>
            </w:r>
            <w:r>
              <w:rPr>
                <w:rFonts w:hint="eastAsia" w:ascii="宋体" w:hAnsi="宋体" w:eastAsia="宋体" w:cs="Times New Roman"/>
                <w:color w:val="auto"/>
                <w:szCs w:val="21"/>
              </w:rPr>
              <w:t>，每提供一个业绩计</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分，最多计</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分。</w:t>
            </w:r>
          </w:p>
          <w:p w14:paraId="5DB1819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注：须</w:t>
            </w:r>
            <w:r>
              <w:rPr>
                <w:rFonts w:hint="eastAsia" w:ascii="宋体" w:hAnsi="宋体" w:eastAsia="宋体" w:cs="Times New Roman"/>
                <w:color w:val="auto"/>
                <w:szCs w:val="21"/>
              </w:rPr>
              <w:t>提供合同复印件</w:t>
            </w:r>
            <w:r>
              <w:rPr>
                <w:rFonts w:hint="eastAsia" w:ascii="宋体" w:hAnsi="宋体" w:eastAsia="宋体" w:cs="Times New Roman"/>
                <w:color w:val="auto"/>
                <w:szCs w:val="21"/>
                <w:lang w:val="en-US" w:eastAsia="zh-CN"/>
              </w:rPr>
              <w:t>、竣工验收报告复印件或分部分项竣工验收资料</w:t>
            </w:r>
            <w:r>
              <w:rPr>
                <w:rFonts w:hint="eastAsia" w:ascii="宋体" w:hAnsi="宋体" w:eastAsia="宋体" w:cs="Times New Roman"/>
                <w:color w:val="auto"/>
                <w:szCs w:val="21"/>
              </w:rPr>
              <w:t>复印件，并加盖</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公章，否则不</w:t>
            </w:r>
            <w:r>
              <w:rPr>
                <w:rFonts w:hint="eastAsia" w:ascii="宋体" w:hAnsi="宋体" w:eastAsia="宋体" w:cs="Times New Roman"/>
                <w:color w:val="auto"/>
                <w:szCs w:val="21"/>
                <w:lang w:eastAsia="zh-CN"/>
              </w:rPr>
              <w:t>予相应</w:t>
            </w:r>
            <w:r>
              <w:rPr>
                <w:rFonts w:hint="eastAsia" w:ascii="宋体" w:hAnsi="宋体" w:eastAsia="宋体" w:cs="Times New Roman"/>
                <w:color w:val="auto"/>
                <w:szCs w:val="21"/>
              </w:rPr>
              <w:t>计分</w:t>
            </w:r>
            <w:r>
              <w:rPr>
                <w:rFonts w:hint="eastAsia" w:ascii="宋体" w:hAnsi="宋体" w:eastAsia="宋体" w:cs="Times New Roman"/>
                <w:color w:val="auto"/>
                <w:szCs w:val="21"/>
                <w:lang w:eastAsia="zh-CN"/>
              </w:rPr>
              <w:t>。</w:t>
            </w:r>
          </w:p>
        </w:tc>
      </w:tr>
      <w:tr w14:paraId="01849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341" w:hRule="atLeast"/>
        </w:trPr>
        <w:tc>
          <w:tcPr>
            <w:tcW w:w="576" w:type="pct"/>
            <w:vMerge w:val="continue"/>
            <w:tcBorders>
              <w:tl2br w:val="nil"/>
              <w:tr2bl w:val="nil"/>
            </w:tcBorders>
            <w:shd w:val="clear" w:color="000000" w:fill="FFFFFF"/>
            <w:noWrap w:val="0"/>
            <w:tcMar>
              <w:left w:w="108" w:type="dxa"/>
              <w:right w:w="108" w:type="dxa"/>
            </w:tcMar>
            <w:vAlign w:val="center"/>
          </w:tcPr>
          <w:p w14:paraId="552A401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000000" w:fill="FFFFFF"/>
            <w:noWrap w:val="0"/>
            <w:tcMar>
              <w:left w:w="108" w:type="dxa"/>
              <w:right w:w="108" w:type="dxa"/>
            </w:tcMar>
            <w:vAlign w:val="center"/>
          </w:tcPr>
          <w:p w14:paraId="2AE3A93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rPr>
            </w:pPr>
            <w:r>
              <w:rPr>
                <w:rFonts w:hint="eastAsia" w:ascii="宋体" w:hAnsi="宋体" w:eastAsia="宋体" w:cs="Times New Roman"/>
                <w:color w:val="auto"/>
                <w:szCs w:val="21"/>
                <w:lang w:val="en-US"/>
              </w:rPr>
              <w:t>综合</w:t>
            </w:r>
          </w:p>
          <w:p w14:paraId="765E156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rPr>
            </w:pPr>
            <w:r>
              <w:rPr>
                <w:rFonts w:hint="eastAsia" w:ascii="宋体" w:hAnsi="宋体" w:eastAsia="宋体" w:cs="Times New Roman"/>
                <w:color w:val="auto"/>
                <w:szCs w:val="21"/>
                <w:lang w:val="en-US"/>
              </w:rPr>
              <w:t>实力</w:t>
            </w:r>
          </w:p>
        </w:tc>
        <w:tc>
          <w:tcPr>
            <w:tcW w:w="360" w:type="pct"/>
            <w:tcBorders>
              <w:tl2br w:val="nil"/>
              <w:tr2bl w:val="nil"/>
            </w:tcBorders>
            <w:shd w:val="clear" w:color="000000" w:fill="FFFFFF"/>
            <w:noWrap w:val="0"/>
            <w:tcMar>
              <w:left w:w="108" w:type="dxa"/>
              <w:right w:w="108" w:type="dxa"/>
            </w:tcMar>
            <w:vAlign w:val="center"/>
          </w:tcPr>
          <w:p w14:paraId="5D06CDD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6分</w:t>
            </w:r>
          </w:p>
        </w:tc>
        <w:tc>
          <w:tcPr>
            <w:tcW w:w="3653" w:type="pct"/>
            <w:tcBorders>
              <w:tl2br w:val="nil"/>
              <w:tr2bl w:val="nil"/>
            </w:tcBorders>
            <w:shd w:val="clear" w:color="000000" w:fill="FFFFFF"/>
            <w:noWrap w:val="0"/>
            <w:tcMar>
              <w:left w:w="108" w:type="dxa"/>
              <w:right w:w="108" w:type="dxa"/>
            </w:tcMar>
            <w:vAlign w:val="center"/>
          </w:tcPr>
          <w:p w14:paraId="2B434BEE">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具备质量管理体系认证的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计</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 xml:space="preserve">分。 </w:t>
            </w:r>
          </w:p>
          <w:p w14:paraId="27CC6B8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具备环境管理体系认证的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计</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p w14:paraId="3D28D90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具备职业健康管理体系认证或职业健康安全管理体系认证的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计</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p w14:paraId="506B617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注：以上认证需</w:t>
            </w:r>
            <w:r>
              <w:rPr>
                <w:rFonts w:hint="eastAsia" w:ascii="宋体" w:hAnsi="宋体" w:eastAsia="宋体" w:cs="Times New Roman"/>
                <w:color w:val="auto"/>
                <w:szCs w:val="21"/>
              </w:rPr>
              <w:t>提供在有效期内的证书复印件及国家认证认可监督管理委员会官网查询截图并加盖</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公章，否则不计分。</w:t>
            </w:r>
          </w:p>
        </w:tc>
      </w:tr>
      <w:tr w14:paraId="41C42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56" w:hRule="atLeast"/>
        </w:trPr>
        <w:tc>
          <w:tcPr>
            <w:tcW w:w="576" w:type="pct"/>
            <w:vMerge w:val="continue"/>
            <w:tcBorders>
              <w:tl2br w:val="nil"/>
              <w:tr2bl w:val="nil"/>
            </w:tcBorders>
            <w:shd w:val="clear" w:color="000000" w:fill="FFFFFF"/>
            <w:noWrap w:val="0"/>
            <w:tcMar>
              <w:left w:w="108" w:type="dxa"/>
              <w:right w:w="108" w:type="dxa"/>
            </w:tcMar>
            <w:vAlign w:val="center"/>
          </w:tcPr>
          <w:p w14:paraId="3F5C80F3">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000000" w:fill="FFFFFF"/>
            <w:noWrap w:val="0"/>
            <w:tcMar>
              <w:left w:w="108" w:type="dxa"/>
              <w:right w:w="108" w:type="dxa"/>
            </w:tcMar>
            <w:vAlign w:val="center"/>
          </w:tcPr>
          <w:p w14:paraId="011599A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团队</w:t>
            </w:r>
            <w:r>
              <w:rPr>
                <w:rFonts w:hint="eastAsia" w:ascii="宋体" w:hAnsi="宋体" w:eastAsia="宋体" w:cs="Times New Roman"/>
                <w:color w:val="auto"/>
                <w:szCs w:val="21"/>
                <w:lang w:val="en-US" w:eastAsia="zh-CN"/>
              </w:rPr>
              <w:t>实力</w:t>
            </w:r>
          </w:p>
        </w:tc>
        <w:tc>
          <w:tcPr>
            <w:tcW w:w="360" w:type="pct"/>
            <w:tcBorders>
              <w:tl2br w:val="nil"/>
              <w:tr2bl w:val="nil"/>
            </w:tcBorders>
            <w:shd w:val="clear" w:color="000000" w:fill="FFFFFF"/>
            <w:noWrap w:val="0"/>
            <w:tcMar>
              <w:left w:w="108" w:type="dxa"/>
              <w:right w:w="108" w:type="dxa"/>
            </w:tcMar>
            <w:vAlign w:val="center"/>
          </w:tcPr>
          <w:p w14:paraId="45DAF10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6分</w:t>
            </w:r>
          </w:p>
        </w:tc>
        <w:tc>
          <w:tcPr>
            <w:tcW w:w="3653" w:type="pct"/>
            <w:tcBorders>
              <w:tl2br w:val="nil"/>
              <w:tr2bl w:val="nil"/>
            </w:tcBorders>
            <w:shd w:val="clear" w:color="000000" w:fill="FFFFFF"/>
            <w:noWrap w:val="0"/>
            <w:tcMar>
              <w:left w:w="108" w:type="dxa"/>
              <w:right w:w="108" w:type="dxa"/>
            </w:tcMar>
            <w:vAlign w:val="center"/>
          </w:tcPr>
          <w:p w14:paraId="0607750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1、拟派本项目</w:t>
            </w:r>
            <w:r>
              <w:rPr>
                <w:rFonts w:hint="eastAsia" w:ascii="宋体" w:hAnsi="宋体" w:eastAsia="宋体" w:cs="Times New Roman"/>
                <w:color w:val="auto"/>
                <w:szCs w:val="21"/>
                <w:lang w:val="en-US" w:eastAsia="zh-CN"/>
              </w:rPr>
              <w:t>项目负责人</w:t>
            </w:r>
            <w:r>
              <w:rPr>
                <w:rFonts w:hint="eastAsia" w:ascii="宋体" w:hAnsi="宋体" w:eastAsia="宋体" w:cs="Times New Roman"/>
                <w:color w:val="auto"/>
                <w:szCs w:val="21"/>
              </w:rPr>
              <w:t>自</w:t>
            </w:r>
            <w:r>
              <w:rPr>
                <w:rFonts w:hint="eastAsia" w:ascii="宋体" w:hAnsi="宋体" w:eastAsia="宋体" w:cs="Times New Roman"/>
                <w:color w:val="auto"/>
                <w:szCs w:val="21"/>
                <w:lang w:val="en-US" w:eastAsia="zh-CN"/>
              </w:rPr>
              <w:t>2023</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1月1日</w:t>
            </w:r>
            <w:r>
              <w:rPr>
                <w:rFonts w:hint="eastAsia" w:ascii="宋体" w:hAnsi="宋体" w:eastAsia="宋体" w:cs="Times New Roman"/>
                <w:color w:val="auto"/>
                <w:szCs w:val="21"/>
              </w:rPr>
              <w:t>以来（</w:t>
            </w:r>
            <w:r>
              <w:rPr>
                <w:rFonts w:hint="eastAsia" w:ascii="宋体" w:hAnsi="宋体" w:eastAsia="宋体" w:cs="Times New Roman"/>
                <w:color w:val="auto"/>
                <w:szCs w:val="21"/>
                <w:lang w:val="en-US" w:eastAsia="zh-CN"/>
              </w:rPr>
              <w:t>以竣工验收时间为准</w:t>
            </w:r>
            <w:r>
              <w:rPr>
                <w:rFonts w:hint="eastAsia" w:ascii="宋体" w:hAnsi="宋体" w:eastAsia="宋体" w:cs="Times New Roman"/>
                <w:color w:val="auto"/>
                <w:szCs w:val="21"/>
              </w:rPr>
              <w:t>）以来，具有类似工程业绩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类似工程业绩需含道路工程</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分。</w:t>
            </w:r>
          </w:p>
          <w:p w14:paraId="0975BD7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注：</w:t>
            </w:r>
            <w:r>
              <w:rPr>
                <w:rFonts w:hint="eastAsia" w:ascii="宋体" w:hAnsi="宋体" w:eastAsia="宋体" w:cs="Times New Roman"/>
                <w:color w:val="auto"/>
                <w:szCs w:val="21"/>
                <w:lang w:eastAsia="zh-CN"/>
              </w:rPr>
              <w:t>须</w:t>
            </w:r>
            <w:r>
              <w:rPr>
                <w:rFonts w:hint="eastAsia" w:ascii="宋体" w:hAnsi="宋体" w:eastAsia="宋体" w:cs="Times New Roman"/>
                <w:color w:val="auto"/>
                <w:szCs w:val="21"/>
              </w:rPr>
              <w:t>提供合同复印件</w:t>
            </w:r>
            <w:r>
              <w:rPr>
                <w:rFonts w:hint="eastAsia" w:ascii="宋体" w:hAnsi="宋体" w:eastAsia="宋体" w:cs="Times New Roman"/>
                <w:color w:val="auto"/>
                <w:szCs w:val="21"/>
                <w:lang w:val="en-US" w:eastAsia="zh-CN"/>
              </w:rPr>
              <w:t>、竣工验收报告复印件或分部分项竣工验收资料</w:t>
            </w:r>
            <w:r>
              <w:rPr>
                <w:rFonts w:hint="eastAsia" w:ascii="宋体" w:hAnsi="宋体" w:eastAsia="宋体" w:cs="Times New Roman"/>
                <w:color w:val="auto"/>
                <w:szCs w:val="21"/>
              </w:rPr>
              <w:t>复印件，并加盖</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公章，</w:t>
            </w:r>
            <w:r>
              <w:rPr>
                <w:rFonts w:hint="eastAsia" w:ascii="宋体" w:hAnsi="宋体" w:eastAsia="宋体" w:cs="Times New Roman"/>
                <w:color w:val="auto"/>
                <w:szCs w:val="21"/>
                <w:lang w:val="en-US" w:eastAsia="zh-CN"/>
              </w:rPr>
              <w:t>证明材料中须体现项目负责人姓名，未提供或未按要求提供不计分。</w:t>
            </w:r>
          </w:p>
          <w:p w14:paraId="629F18D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2、拟派本项目技术负责人自</w:t>
            </w:r>
            <w:r>
              <w:rPr>
                <w:rFonts w:hint="eastAsia" w:ascii="宋体" w:hAnsi="宋体" w:eastAsia="宋体" w:cs="Times New Roman"/>
                <w:color w:val="auto"/>
                <w:szCs w:val="21"/>
                <w:lang w:val="en-US" w:eastAsia="zh-CN"/>
              </w:rPr>
              <w:t>2023</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1月1日</w:t>
            </w:r>
            <w:r>
              <w:rPr>
                <w:rFonts w:hint="eastAsia" w:ascii="宋体" w:hAnsi="宋体" w:eastAsia="宋体" w:cs="Times New Roman"/>
                <w:color w:val="auto"/>
                <w:szCs w:val="21"/>
              </w:rPr>
              <w:t>以来（</w:t>
            </w:r>
            <w:r>
              <w:rPr>
                <w:rFonts w:hint="eastAsia" w:ascii="宋体" w:hAnsi="宋体" w:eastAsia="宋体" w:cs="Times New Roman"/>
                <w:color w:val="auto"/>
                <w:szCs w:val="21"/>
                <w:lang w:val="en-US" w:eastAsia="zh-CN"/>
              </w:rPr>
              <w:t>以竣工验收时间为准</w:t>
            </w:r>
            <w:r>
              <w:rPr>
                <w:rFonts w:hint="eastAsia" w:ascii="宋体" w:hAnsi="宋体" w:eastAsia="宋体" w:cs="Times New Roman"/>
                <w:color w:val="auto"/>
                <w:szCs w:val="21"/>
              </w:rPr>
              <w:t>）以来，具有类似工程业绩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类似工程业绩需含道路工程</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分。</w:t>
            </w:r>
          </w:p>
          <w:p w14:paraId="17675D7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注：</w:t>
            </w:r>
            <w:r>
              <w:rPr>
                <w:rFonts w:hint="eastAsia" w:ascii="宋体" w:hAnsi="宋体" w:eastAsia="宋体" w:cs="Times New Roman"/>
                <w:color w:val="auto"/>
                <w:szCs w:val="21"/>
                <w:lang w:eastAsia="zh-CN"/>
              </w:rPr>
              <w:t>须</w:t>
            </w:r>
            <w:r>
              <w:rPr>
                <w:rFonts w:hint="eastAsia" w:ascii="宋体" w:hAnsi="宋体" w:eastAsia="宋体" w:cs="Times New Roman"/>
                <w:color w:val="auto"/>
                <w:szCs w:val="21"/>
              </w:rPr>
              <w:t>提供合同复印件</w:t>
            </w:r>
            <w:r>
              <w:rPr>
                <w:rFonts w:hint="eastAsia" w:ascii="宋体" w:hAnsi="宋体" w:eastAsia="宋体" w:cs="Times New Roman"/>
                <w:color w:val="auto"/>
                <w:szCs w:val="21"/>
                <w:lang w:val="en-US" w:eastAsia="zh-CN"/>
              </w:rPr>
              <w:t>、竣工验收报告复印件或分部分项竣工验收资料</w:t>
            </w:r>
            <w:r>
              <w:rPr>
                <w:rFonts w:hint="eastAsia" w:ascii="宋体" w:hAnsi="宋体" w:eastAsia="宋体" w:cs="Times New Roman"/>
                <w:color w:val="auto"/>
                <w:szCs w:val="21"/>
              </w:rPr>
              <w:t>复印件，并加盖</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公章，</w:t>
            </w:r>
            <w:r>
              <w:rPr>
                <w:rFonts w:hint="eastAsia" w:ascii="宋体" w:hAnsi="宋体" w:eastAsia="宋体" w:cs="Times New Roman"/>
                <w:color w:val="auto"/>
                <w:szCs w:val="21"/>
                <w:lang w:val="en-US" w:eastAsia="zh-CN"/>
              </w:rPr>
              <w:t>证明材料中须体现项目技术负责人姓名，未提供或未按要求提供不计分。</w:t>
            </w:r>
          </w:p>
          <w:p w14:paraId="41E141D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注：项目负责人、技术负责人不可兼任。</w:t>
            </w:r>
          </w:p>
        </w:tc>
      </w:tr>
      <w:tr w14:paraId="5062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restart"/>
            <w:tcBorders>
              <w:tl2br w:val="nil"/>
              <w:tr2bl w:val="nil"/>
            </w:tcBorders>
            <w:shd w:val="clear" w:color="000000" w:fill="FFFFFF"/>
            <w:noWrap w:val="0"/>
            <w:tcMar>
              <w:left w:w="108" w:type="dxa"/>
              <w:right w:w="108" w:type="dxa"/>
            </w:tcMar>
            <w:vAlign w:val="center"/>
          </w:tcPr>
          <w:p w14:paraId="512CE5F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技术部分（</w:t>
            </w:r>
            <w:r>
              <w:rPr>
                <w:rFonts w:hint="eastAsia" w:ascii="宋体" w:hAnsi="宋体" w:eastAsia="宋体" w:cs="Times New Roman"/>
                <w:color w:val="auto"/>
                <w:szCs w:val="21"/>
                <w:lang w:val="en-US" w:eastAsia="zh-CN"/>
              </w:rPr>
              <w:t>40</w:t>
            </w:r>
            <w:r>
              <w:rPr>
                <w:rFonts w:hint="eastAsia" w:ascii="宋体" w:hAnsi="宋体" w:eastAsia="宋体" w:cs="Times New Roman"/>
                <w:color w:val="auto"/>
                <w:szCs w:val="21"/>
              </w:rPr>
              <w:t>分）</w:t>
            </w:r>
          </w:p>
        </w:tc>
        <w:tc>
          <w:tcPr>
            <w:tcW w:w="409" w:type="pct"/>
            <w:tcBorders>
              <w:tl2br w:val="nil"/>
              <w:tr2bl w:val="nil"/>
            </w:tcBorders>
            <w:shd w:val="clear" w:color="auto" w:fill="FFFFFF"/>
            <w:noWrap w:val="0"/>
            <w:tcMar>
              <w:left w:w="108" w:type="dxa"/>
              <w:right w:w="108" w:type="dxa"/>
            </w:tcMar>
            <w:vAlign w:val="center"/>
          </w:tcPr>
          <w:p w14:paraId="091CA2F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施工方案</w:t>
            </w:r>
            <w:r>
              <w:rPr>
                <w:rFonts w:hint="eastAsia" w:ascii="宋体" w:hAnsi="宋体" w:eastAsia="宋体" w:cs="Times New Roman"/>
                <w:color w:val="auto"/>
                <w:szCs w:val="21"/>
                <w:lang w:val="en-US" w:eastAsia="zh-CN"/>
              </w:rPr>
              <w:t>与技术措施</w:t>
            </w:r>
          </w:p>
        </w:tc>
        <w:tc>
          <w:tcPr>
            <w:tcW w:w="360" w:type="pct"/>
            <w:tcBorders>
              <w:tl2br w:val="nil"/>
              <w:tr2bl w:val="nil"/>
            </w:tcBorders>
            <w:shd w:val="clear" w:color="auto" w:fill="FFFFFF"/>
            <w:noWrap w:val="0"/>
            <w:tcMar>
              <w:left w:w="108" w:type="dxa"/>
              <w:right w:w="108" w:type="dxa"/>
            </w:tcMar>
            <w:vAlign w:val="center"/>
          </w:tcPr>
          <w:p w14:paraId="579974AA">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8分</w:t>
            </w:r>
          </w:p>
        </w:tc>
        <w:tc>
          <w:tcPr>
            <w:tcW w:w="3653" w:type="pct"/>
            <w:tcBorders>
              <w:tl2br w:val="nil"/>
              <w:tr2bl w:val="nil"/>
            </w:tcBorders>
            <w:shd w:val="clear" w:color="auto" w:fill="FFFFFF"/>
            <w:noWrap w:val="0"/>
            <w:tcMar>
              <w:left w:w="108" w:type="dxa"/>
              <w:right w:w="108" w:type="dxa"/>
            </w:tcMar>
            <w:vAlign w:val="center"/>
          </w:tcPr>
          <w:p w14:paraId="7A8F1DD8">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提供本项目的施工方案</w:t>
            </w:r>
            <w:r>
              <w:rPr>
                <w:rFonts w:hint="eastAsia" w:ascii="宋体" w:hAnsi="宋体" w:eastAsia="宋体" w:cs="Times New Roman"/>
                <w:color w:val="auto"/>
                <w:szCs w:val="21"/>
                <w:lang w:val="en-US" w:eastAsia="zh-CN"/>
              </w:rPr>
              <w:t>与技术措施</w:t>
            </w:r>
            <w:r>
              <w:rPr>
                <w:rFonts w:hint="eastAsia" w:ascii="宋体" w:hAnsi="宋体" w:eastAsia="宋体" w:cs="Times New Roman"/>
                <w:color w:val="auto"/>
                <w:szCs w:val="21"/>
                <w:lang w:eastAsia="zh-CN"/>
              </w:rPr>
              <w:t>，内容包括：（</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）施工重点难点分析及解决措施；（</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施工方案和技术保障措施；</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lang w:eastAsia="zh-CN"/>
              </w:rPr>
              <w:t>）施工作业流程；</w:t>
            </w:r>
            <w:r>
              <w:rPr>
                <w:rFonts w:hint="eastAsia" w:ascii="宋体" w:hAnsi="宋体" w:eastAsia="宋体" w:cs="Times New Roman"/>
                <w:color w:val="auto"/>
                <w:szCs w:val="21"/>
                <w:lang w:val="en-US" w:eastAsia="zh-CN"/>
              </w:rPr>
              <w:t>（4）现场施工整体平面分析图，</w:t>
            </w:r>
            <w:r>
              <w:rPr>
                <w:rFonts w:hint="eastAsia" w:ascii="宋体" w:hAnsi="宋体" w:eastAsia="宋体" w:cs="Times New Roman"/>
                <w:color w:val="auto"/>
                <w:szCs w:val="21"/>
                <w:lang w:eastAsia="zh-CN"/>
              </w:rPr>
              <w:t>磋商小组根据</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提供的方案内容按以下评分标准进行计分：</w:t>
            </w:r>
          </w:p>
          <w:p w14:paraId="262D531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无缺漏项、内容完善、施工重点和难点分析全面透彻、解决措施有针对性、施工准备与资源配置计划合理、施工作业流程规范可行、</w:t>
            </w:r>
            <w:r>
              <w:rPr>
                <w:rFonts w:hint="eastAsia" w:ascii="宋体" w:hAnsi="宋体" w:eastAsia="宋体" w:cs="Times New Roman"/>
                <w:color w:val="auto"/>
                <w:szCs w:val="21"/>
                <w:lang w:val="en-US" w:eastAsia="zh-CN"/>
              </w:rPr>
              <w:t>施工方案和技术保障措施科学合理、满足施工需要</w:t>
            </w:r>
            <w:r>
              <w:rPr>
                <w:rFonts w:hint="eastAsia" w:ascii="宋体" w:hAnsi="宋体" w:eastAsia="宋体" w:cs="Times New Roman"/>
                <w:color w:val="auto"/>
                <w:szCs w:val="21"/>
                <w:lang w:eastAsia="zh-CN"/>
              </w:rPr>
              <w:t>的，计</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lang w:eastAsia="zh-CN"/>
              </w:rPr>
              <w:t>分；</w:t>
            </w:r>
            <w:r>
              <w:rPr>
                <w:rFonts w:hint="eastAsia" w:ascii="宋体" w:hAnsi="宋体" w:eastAsia="宋体" w:cs="Times New Roman"/>
                <w:color w:val="auto"/>
                <w:szCs w:val="21"/>
                <w:lang w:val="en-US" w:eastAsia="zh-CN"/>
              </w:rPr>
              <w:t>内容有缺漏项的，每缺一项内容扣2分；</w:t>
            </w:r>
            <w:r>
              <w:rPr>
                <w:rFonts w:hint="eastAsia" w:ascii="宋体" w:hAnsi="宋体" w:eastAsia="宋体" w:cs="Times New Roman"/>
                <w:color w:val="auto"/>
                <w:szCs w:val="21"/>
                <w:lang w:eastAsia="zh-CN"/>
              </w:rPr>
              <w:t>有欠科学合理或</w:t>
            </w:r>
            <w:r>
              <w:rPr>
                <w:rFonts w:hint="eastAsia" w:ascii="宋体" w:hAnsi="宋体" w:eastAsia="宋体" w:cs="Times New Roman"/>
                <w:color w:val="auto"/>
                <w:szCs w:val="21"/>
                <w:lang w:val="en-US" w:eastAsia="zh-CN"/>
              </w:rPr>
              <w:t>欠</w:t>
            </w:r>
            <w:r>
              <w:rPr>
                <w:rFonts w:hint="eastAsia" w:ascii="宋体" w:hAnsi="宋体" w:eastAsia="宋体" w:cs="Times New Roman"/>
                <w:color w:val="auto"/>
                <w:szCs w:val="21"/>
                <w:lang w:eastAsia="zh-CN"/>
              </w:rPr>
              <w:t>完善或欠可行的，每处扣</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分，扣完为止。未提供施工方案</w:t>
            </w:r>
            <w:r>
              <w:rPr>
                <w:rFonts w:hint="eastAsia" w:ascii="宋体" w:hAnsi="宋体" w:eastAsia="宋体" w:cs="Times New Roman"/>
                <w:color w:val="auto"/>
                <w:szCs w:val="21"/>
                <w:lang w:val="en-US" w:eastAsia="zh-CN"/>
              </w:rPr>
              <w:t>与技术措施</w:t>
            </w:r>
            <w:r>
              <w:rPr>
                <w:rFonts w:hint="eastAsia" w:ascii="宋体" w:hAnsi="宋体" w:eastAsia="宋体" w:cs="Times New Roman"/>
                <w:color w:val="auto"/>
                <w:szCs w:val="21"/>
                <w:lang w:eastAsia="zh-CN"/>
              </w:rPr>
              <w:t>的计</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lang w:eastAsia="zh-CN"/>
              </w:rPr>
              <w:t>分。</w:t>
            </w:r>
          </w:p>
        </w:tc>
      </w:tr>
      <w:tr w14:paraId="382AD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continue"/>
            <w:tcBorders>
              <w:tl2br w:val="nil"/>
              <w:tr2bl w:val="nil"/>
            </w:tcBorders>
            <w:shd w:val="clear" w:color="000000" w:fill="FFFFFF"/>
            <w:noWrap w:val="0"/>
            <w:tcMar>
              <w:left w:w="108" w:type="dxa"/>
              <w:right w:w="108" w:type="dxa"/>
            </w:tcMar>
            <w:vAlign w:val="center"/>
          </w:tcPr>
          <w:p w14:paraId="67049E10">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15EDE31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质量保证措施</w:t>
            </w:r>
          </w:p>
        </w:tc>
        <w:tc>
          <w:tcPr>
            <w:tcW w:w="360" w:type="pct"/>
            <w:tcBorders>
              <w:tl2br w:val="nil"/>
              <w:tr2bl w:val="nil"/>
            </w:tcBorders>
            <w:shd w:val="clear" w:color="auto" w:fill="FFFFFF"/>
            <w:noWrap w:val="0"/>
            <w:tcMar>
              <w:left w:w="108" w:type="dxa"/>
              <w:right w:w="108" w:type="dxa"/>
            </w:tcMar>
            <w:vAlign w:val="center"/>
          </w:tcPr>
          <w:p w14:paraId="7C94946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8分</w:t>
            </w:r>
          </w:p>
        </w:tc>
        <w:tc>
          <w:tcPr>
            <w:tcW w:w="3653" w:type="pct"/>
            <w:tcBorders>
              <w:tl2br w:val="nil"/>
              <w:tr2bl w:val="nil"/>
            </w:tcBorders>
            <w:shd w:val="clear" w:color="auto" w:fill="FFFFFF"/>
            <w:noWrap w:val="0"/>
            <w:tcMar>
              <w:left w:w="108" w:type="dxa"/>
              <w:right w:w="108" w:type="dxa"/>
            </w:tcMar>
            <w:vAlign w:val="center"/>
          </w:tcPr>
          <w:p w14:paraId="2840C2B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供应商提供本项目的质量保证措施，内容包括：（1）工程质量目标；（2）质量控制责任体系；（3）工程质量的关键工序和重要部位的质量控制措施；（4）质量通病的预防纠正措施，</w:t>
            </w:r>
            <w:r>
              <w:rPr>
                <w:rFonts w:hint="eastAsia" w:ascii="宋体" w:hAnsi="宋体" w:eastAsia="宋体" w:cs="Times New Roman"/>
                <w:color w:val="auto"/>
                <w:szCs w:val="21"/>
                <w:lang w:eastAsia="zh-CN"/>
              </w:rPr>
              <w:t>磋商小组根据</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提供的方案内容按以下评分标准进行计分：</w:t>
            </w:r>
          </w:p>
          <w:p w14:paraId="093AAC4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无缺漏项、内容完善、工程质量目标明确、质量控制责任体系健全、工程质量的关键工序、重要部位的质量控制措施科学合理、质量通病的预防纠正措施有效、针对性强的，计8分；内容有缺漏项的，每缺一项内容扣2分；</w:t>
            </w:r>
            <w:r>
              <w:rPr>
                <w:rFonts w:hint="eastAsia" w:ascii="宋体" w:hAnsi="宋体" w:eastAsia="宋体" w:cs="Times New Roman"/>
                <w:color w:val="auto"/>
                <w:szCs w:val="21"/>
                <w:lang w:eastAsia="zh-CN"/>
              </w:rPr>
              <w:t>有欠科学合理或</w:t>
            </w:r>
            <w:r>
              <w:rPr>
                <w:rFonts w:hint="eastAsia" w:ascii="宋体" w:hAnsi="宋体" w:eastAsia="宋体" w:cs="Times New Roman"/>
                <w:color w:val="auto"/>
                <w:szCs w:val="21"/>
                <w:lang w:val="en-US" w:eastAsia="zh-CN"/>
              </w:rPr>
              <w:t>欠</w:t>
            </w:r>
            <w:r>
              <w:rPr>
                <w:rFonts w:hint="eastAsia" w:ascii="宋体" w:hAnsi="宋体" w:eastAsia="宋体" w:cs="Times New Roman"/>
                <w:color w:val="auto"/>
                <w:szCs w:val="21"/>
                <w:lang w:eastAsia="zh-CN"/>
              </w:rPr>
              <w:t>完善或欠可行的</w:t>
            </w:r>
            <w:r>
              <w:rPr>
                <w:rFonts w:hint="eastAsia" w:ascii="宋体" w:hAnsi="宋体" w:eastAsia="宋体" w:cs="Times New Roman"/>
                <w:color w:val="auto"/>
                <w:szCs w:val="21"/>
                <w:lang w:val="en-US" w:eastAsia="zh-CN"/>
              </w:rPr>
              <w:t>，每处扣1分；扣完为止。</w:t>
            </w:r>
            <w:r>
              <w:rPr>
                <w:rFonts w:hint="eastAsia" w:ascii="宋体" w:hAnsi="宋体" w:eastAsia="宋体" w:cs="Times New Roman"/>
                <w:color w:val="auto"/>
                <w:szCs w:val="21"/>
              </w:rPr>
              <w:t>未提供</w:t>
            </w:r>
            <w:r>
              <w:rPr>
                <w:rFonts w:hint="eastAsia" w:ascii="宋体" w:hAnsi="宋体" w:eastAsia="宋体" w:cs="Times New Roman"/>
                <w:color w:val="auto"/>
                <w:szCs w:val="21"/>
                <w:lang w:val="en-US" w:eastAsia="zh-CN"/>
              </w:rPr>
              <w:t>质量保证措施</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分。</w:t>
            </w:r>
          </w:p>
        </w:tc>
      </w:tr>
      <w:tr w14:paraId="421B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continue"/>
            <w:tcBorders>
              <w:tl2br w:val="nil"/>
              <w:tr2bl w:val="nil"/>
            </w:tcBorders>
            <w:shd w:val="clear" w:color="000000" w:fill="FFFFFF"/>
            <w:noWrap w:val="0"/>
            <w:tcMar>
              <w:left w:w="108" w:type="dxa"/>
              <w:right w:w="108" w:type="dxa"/>
            </w:tcMar>
            <w:vAlign w:val="center"/>
          </w:tcPr>
          <w:p w14:paraId="6BE83479">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4A45AA3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工期保障措施</w:t>
            </w:r>
          </w:p>
        </w:tc>
        <w:tc>
          <w:tcPr>
            <w:tcW w:w="360" w:type="pct"/>
            <w:tcBorders>
              <w:tl2br w:val="nil"/>
              <w:tr2bl w:val="nil"/>
            </w:tcBorders>
            <w:shd w:val="clear" w:color="auto" w:fill="FFFFFF"/>
            <w:noWrap w:val="0"/>
            <w:tcMar>
              <w:left w:w="108" w:type="dxa"/>
              <w:right w:w="108" w:type="dxa"/>
            </w:tcMar>
            <w:vAlign w:val="center"/>
          </w:tcPr>
          <w:p w14:paraId="6EB76DB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6分</w:t>
            </w:r>
          </w:p>
        </w:tc>
        <w:tc>
          <w:tcPr>
            <w:tcW w:w="3653" w:type="pct"/>
            <w:tcBorders>
              <w:tl2br w:val="nil"/>
              <w:tr2bl w:val="nil"/>
            </w:tcBorders>
            <w:shd w:val="clear" w:color="auto" w:fill="FFFFFF"/>
            <w:noWrap w:val="0"/>
            <w:tcMar>
              <w:left w:w="108" w:type="dxa"/>
              <w:right w:w="108" w:type="dxa"/>
            </w:tcMar>
            <w:vAlign w:val="center"/>
          </w:tcPr>
          <w:p w14:paraId="19189F85">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供应商提供本项目的工期保障措施，内容包括：（1）重要节点工期控制措施；（2）施工进度图表和确保工期的技术组织措施，</w:t>
            </w:r>
            <w:r>
              <w:rPr>
                <w:rFonts w:hint="eastAsia" w:ascii="宋体" w:hAnsi="宋体" w:eastAsia="宋体" w:cs="Times New Roman"/>
                <w:color w:val="auto"/>
                <w:szCs w:val="21"/>
                <w:lang w:eastAsia="zh-CN"/>
              </w:rPr>
              <w:t>磋商小组根据投标人提供的方案内容按以下评分标准进行计分：</w:t>
            </w:r>
          </w:p>
          <w:p w14:paraId="7014CB6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无缺漏项、内容完善、重要节点工期工期保障措施科学有效、施工进度图表对工期的描述清晰明了、确保工期的技术组织措施针对性强、可行性高、对工期把握度高的，计6分；内容有缺漏项的，每缺一项内容扣3分</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有欠科学合理或</w:t>
            </w:r>
            <w:r>
              <w:rPr>
                <w:rFonts w:hint="eastAsia" w:ascii="宋体" w:hAnsi="宋体" w:eastAsia="宋体" w:cs="Times New Roman"/>
                <w:color w:val="auto"/>
                <w:szCs w:val="21"/>
                <w:lang w:val="en-US" w:eastAsia="zh-CN"/>
              </w:rPr>
              <w:t>欠</w:t>
            </w:r>
            <w:r>
              <w:rPr>
                <w:rFonts w:hint="eastAsia" w:ascii="宋体" w:hAnsi="宋体" w:eastAsia="宋体" w:cs="Times New Roman"/>
                <w:color w:val="auto"/>
                <w:szCs w:val="21"/>
                <w:lang w:eastAsia="zh-CN"/>
              </w:rPr>
              <w:t>完善或欠可行的</w:t>
            </w:r>
            <w:r>
              <w:rPr>
                <w:rFonts w:hint="eastAsia" w:ascii="宋体" w:hAnsi="宋体" w:eastAsia="宋体" w:cs="Times New Roman"/>
                <w:color w:val="auto"/>
                <w:szCs w:val="21"/>
              </w:rPr>
              <w:t>，每处扣</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分；扣完为止。</w:t>
            </w:r>
            <w:r>
              <w:rPr>
                <w:rFonts w:hint="eastAsia" w:ascii="宋体" w:hAnsi="宋体" w:eastAsia="宋体" w:cs="Times New Roman"/>
                <w:color w:val="auto"/>
                <w:szCs w:val="21"/>
                <w:lang w:eastAsia="zh-CN"/>
              </w:rPr>
              <w:t>未提供</w:t>
            </w:r>
            <w:r>
              <w:rPr>
                <w:rFonts w:hint="eastAsia" w:ascii="宋体" w:hAnsi="宋体" w:eastAsia="宋体" w:cs="Times New Roman"/>
                <w:color w:val="auto"/>
                <w:szCs w:val="21"/>
                <w:lang w:val="en-US" w:eastAsia="zh-CN"/>
              </w:rPr>
              <w:t>工期保障措施</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分。</w:t>
            </w:r>
          </w:p>
        </w:tc>
      </w:tr>
      <w:tr w14:paraId="47B7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continue"/>
            <w:tcBorders>
              <w:tl2br w:val="nil"/>
              <w:tr2bl w:val="nil"/>
            </w:tcBorders>
            <w:shd w:val="clear" w:color="000000" w:fill="FFFFFF"/>
            <w:noWrap w:val="0"/>
            <w:tcMar>
              <w:left w:w="108" w:type="dxa"/>
              <w:right w:w="108" w:type="dxa"/>
            </w:tcMar>
            <w:vAlign w:val="center"/>
          </w:tcPr>
          <w:p w14:paraId="6FFD44D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17E4AF00">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安全</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文明、环保施工</w:t>
            </w:r>
            <w:r>
              <w:rPr>
                <w:rFonts w:hint="eastAsia" w:ascii="宋体" w:hAnsi="宋体" w:eastAsia="宋体" w:cs="Times New Roman"/>
                <w:color w:val="auto"/>
                <w:szCs w:val="21"/>
                <w:lang w:eastAsia="zh-CN"/>
              </w:rPr>
              <w:t>措施</w:t>
            </w:r>
          </w:p>
        </w:tc>
        <w:tc>
          <w:tcPr>
            <w:tcW w:w="360" w:type="pct"/>
            <w:tcBorders>
              <w:tl2br w:val="nil"/>
              <w:tr2bl w:val="nil"/>
            </w:tcBorders>
            <w:shd w:val="clear" w:color="auto" w:fill="FFFFFF"/>
            <w:noWrap w:val="0"/>
            <w:tcMar>
              <w:left w:w="108" w:type="dxa"/>
              <w:right w:w="108" w:type="dxa"/>
            </w:tcMar>
            <w:vAlign w:val="center"/>
          </w:tcPr>
          <w:p w14:paraId="01ACA596">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5分</w:t>
            </w:r>
          </w:p>
        </w:tc>
        <w:tc>
          <w:tcPr>
            <w:tcW w:w="3653" w:type="pct"/>
            <w:tcBorders>
              <w:tl2br w:val="nil"/>
              <w:tr2bl w:val="nil"/>
            </w:tcBorders>
            <w:shd w:val="clear" w:color="auto" w:fill="FFFFFF"/>
            <w:noWrap w:val="0"/>
            <w:tcMar>
              <w:left w:w="108" w:type="dxa"/>
              <w:right w:w="108" w:type="dxa"/>
            </w:tcMar>
            <w:vAlign w:val="center"/>
          </w:tcPr>
          <w:p w14:paraId="5F22CC0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提供</w:t>
            </w:r>
            <w:r>
              <w:rPr>
                <w:rFonts w:hint="eastAsia" w:ascii="宋体" w:hAnsi="宋体" w:eastAsia="宋体" w:cs="Times New Roman"/>
                <w:color w:val="auto"/>
                <w:szCs w:val="21"/>
                <w:lang w:val="en-US" w:eastAsia="zh-CN"/>
              </w:rPr>
              <w:t>本项目的</w:t>
            </w:r>
            <w:r>
              <w:rPr>
                <w:rFonts w:hint="eastAsia" w:ascii="宋体" w:hAnsi="宋体" w:eastAsia="宋体" w:cs="Times New Roman"/>
                <w:color w:val="auto"/>
                <w:szCs w:val="21"/>
              </w:rPr>
              <w:t>安全</w:t>
            </w:r>
            <w:r>
              <w:rPr>
                <w:rFonts w:hint="eastAsia" w:ascii="宋体" w:hAnsi="宋体" w:eastAsia="宋体" w:cs="Times New Roman"/>
                <w:color w:val="auto"/>
                <w:szCs w:val="21"/>
                <w:lang w:eastAsia="zh-CN"/>
              </w:rPr>
              <w:t>管理措施</w:t>
            </w:r>
            <w:r>
              <w:rPr>
                <w:rFonts w:hint="eastAsia" w:ascii="宋体" w:hAnsi="宋体" w:eastAsia="宋体" w:cs="Times New Roman"/>
                <w:color w:val="auto"/>
                <w:szCs w:val="21"/>
              </w:rPr>
              <w:t>，内容包括：（1）安全</w:t>
            </w:r>
            <w:r>
              <w:rPr>
                <w:rFonts w:hint="eastAsia" w:ascii="宋体" w:hAnsi="宋体" w:eastAsia="宋体" w:cs="Times New Roman"/>
                <w:color w:val="auto"/>
                <w:szCs w:val="21"/>
                <w:lang w:eastAsia="zh-CN"/>
              </w:rPr>
              <w:t>施工目标；</w:t>
            </w:r>
            <w:r>
              <w:rPr>
                <w:rFonts w:hint="eastAsia" w:ascii="宋体" w:hAnsi="宋体" w:eastAsia="宋体" w:cs="Times New Roman"/>
                <w:color w:val="auto"/>
                <w:szCs w:val="21"/>
              </w:rPr>
              <w:t>（2）作业人员的安全培训</w:t>
            </w:r>
            <w:r>
              <w:rPr>
                <w:rFonts w:hint="eastAsia" w:ascii="宋体" w:hAnsi="宋体" w:eastAsia="宋体" w:cs="Times New Roman"/>
                <w:color w:val="auto"/>
                <w:szCs w:val="21"/>
                <w:lang w:eastAsia="zh-CN"/>
              </w:rPr>
              <w:t>措施；</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施工过程中的安全文明保护措施；（4）</w:t>
            </w:r>
            <w:r>
              <w:rPr>
                <w:rFonts w:hint="eastAsia" w:ascii="宋体" w:hAnsi="宋体" w:eastAsia="宋体" w:cs="Times New Roman"/>
                <w:color w:val="auto"/>
                <w:szCs w:val="21"/>
              </w:rPr>
              <w:t>现场噪音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污水</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扬尘控制</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）施工材料堆放</w:t>
            </w:r>
            <w:r>
              <w:rPr>
                <w:rFonts w:hint="eastAsia" w:ascii="宋体" w:hAnsi="宋体" w:eastAsia="宋体" w:cs="Times New Roman"/>
                <w:color w:val="auto"/>
                <w:szCs w:val="21"/>
                <w:lang w:val="en-US" w:eastAsia="zh-CN"/>
              </w:rPr>
              <w:t>和</w:t>
            </w:r>
            <w:r>
              <w:rPr>
                <w:rFonts w:hint="eastAsia" w:ascii="宋体" w:hAnsi="宋体" w:eastAsia="宋体" w:cs="Times New Roman"/>
                <w:color w:val="auto"/>
                <w:szCs w:val="21"/>
              </w:rPr>
              <w:t>卫生保洁保证措施</w:t>
            </w:r>
            <w:r>
              <w:rPr>
                <w:rFonts w:hint="eastAsia" w:ascii="宋体" w:hAnsi="宋体" w:eastAsia="宋体" w:cs="Times New Roman"/>
                <w:color w:val="auto"/>
                <w:szCs w:val="21"/>
                <w:lang w:eastAsia="zh-CN"/>
              </w:rPr>
              <w:t>，磋商小组根据</w:t>
            </w: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提供的方案内容按以下评分标准进行计分：</w:t>
            </w:r>
          </w:p>
          <w:p w14:paraId="139EEC0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无缺漏项、内容完善</w:t>
            </w:r>
            <w:r>
              <w:rPr>
                <w:rFonts w:hint="eastAsia" w:ascii="宋体" w:hAnsi="宋体" w:eastAsia="宋体" w:cs="Times New Roman"/>
                <w:color w:val="auto"/>
                <w:szCs w:val="21"/>
                <w:lang w:val="en-US" w:eastAsia="zh-CN"/>
              </w:rPr>
              <w:t>各项措施、</w:t>
            </w:r>
            <w:r>
              <w:rPr>
                <w:rFonts w:hint="eastAsia" w:ascii="宋体" w:hAnsi="宋体" w:eastAsia="宋体" w:cs="Times New Roman"/>
                <w:color w:val="auto"/>
                <w:szCs w:val="21"/>
              </w:rPr>
              <w:t>科学合理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可行性高</w:t>
            </w:r>
            <w:r>
              <w:rPr>
                <w:rFonts w:hint="eastAsia" w:ascii="宋体" w:hAnsi="宋体" w:eastAsia="宋体" w:cs="Times New Roman"/>
                <w:color w:val="auto"/>
                <w:szCs w:val="21"/>
                <w:lang w:eastAsia="zh-CN"/>
              </w:rPr>
              <w:t>、针对性强</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分；</w:t>
            </w:r>
            <w:r>
              <w:rPr>
                <w:rFonts w:hint="eastAsia" w:ascii="宋体" w:hAnsi="宋体" w:eastAsia="宋体" w:cs="Times New Roman"/>
                <w:color w:val="auto"/>
                <w:szCs w:val="21"/>
                <w:lang w:val="en-US" w:eastAsia="zh-CN"/>
              </w:rPr>
              <w:t>内容有缺漏项的，每缺一项内容扣1分</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有欠科学合理或</w:t>
            </w:r>
            <w:r>
              <w:rPr>
                <w:rFonts w:hint="eastAsia" w:ascii="宋体" w:hAnsi="宋体" w:eastAsia="宋体" w:cs="Times New Roman"/>
                <w:color w:val="auto"/>
                <w:szCs w:val="21"/>
                <w:lang w:val="en-US" w:eastAsia="zh-CN"/>
              </w:rPr>
              <w:t>欠</w:t>
            </w:r>
            <w:r>
              <w:rPr>
                <w:rFonts w:hint="eastAsia" w:ascii="宋体" w:hAnsi="宋体" w:eastAsia="宋体" w:cs="Times New Roman"/>
                <w:color w:val="auto"/>
                <w:szCs w:val="21"/>
                <w:lang w:eastAsia="zh-CN"/>
              </w:rPr>
              <w:t>完善或欠可行的</w:t>
            </w:r>
            <w:r>
              <w:rPr>
                <w:rFonts w:hint="eastAsia" w:ascii="宋体" w:hAnsi="宋体" w:eastAsia="宋体" w:cs="Times New Roman"/>
                <w:color w:val="auto"/>
                <w:szCs w:val="21"/>
              </w:rPr>
              <w:t>，每处扣</w:t>
            </w:r>
            <w:r>
              <w:rPr>
                <w:rFonts w:hint="eastAsia" w:ascii="宋体" w:hAnsi="宋体" w:eastAsia="宋体" w:cs="Times New Roman"/>
                <w:color w:val="auto"/>
                <w:szCs w:val="21"/>
                <w:lang w:val="en-US" w:eastAsia="zh-CN"/>
              </w:rPr>
              <w:t>0.5</w:t>
            </w:r>
            <w:r>
              <w:rPr>
                <w:rFonts w:hint="eastAsia" w:ascii="宋体" w:hAnsi="宋体" w:eastAsia="宋体" w:cs="Times New Roman"/>
                <w:color w:val="auto"/>
                <w:szCs w:val="21"/>
              </w:rPr>
              <w:t>分；扣完为止。未提供安全</w:t>
            </w:r>
            <w:r>
              <w:rPr>
                <w:rFonts w:hint="eastAsia" w:ascii="宋体" w:hAnsi="宋体" w:eastAsia="宋体" w:cs="Times New Roman"/>
                <w:color w:val="auto"/>
                <w:szCs w:val="21"/>
                <w:lang w:eastAsia="zh-CN"/>
              </w:rPr>
              <w:t>管理措施</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分。</w:t>
            </w:r>
          </w:p>
        </w:tc>
      </w:tr>
      <w:tr w14:paraId="0339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continue"/>
            <w:tcBorders>
              <w:tl2br w:val="nil"/>
              <w:tr2bl w:val="nil"/>
            </w:tcBorders>
            <w:shd w:val="clear" w:color="000000" w:fill="FFFFFF"/>
            <w:noWrap w:val="0"/>
            <w:tcMar>
              <w:left w:w="108" w:type="dxa"/>
              <w:right w:w="108" w:type="dxa"/>
            </w:tcMar>
            <w:vAlign w:val="center"/>
          </w:tcPr>
          <w:p w14:paraId="57FEC35E">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1B817EE5">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保修服务方案</w:t>
            </w:r>
          </w:p>
        </w:tc>
        <w:tc>
          <w:tcPr>
            <w:tcW w:w="360" w:type="pct"/>
            <w:tcBorders>
              <w:tl2br w:val="nil"/>
              <w:tr2bl w:val="nil"/>
            </w:tcBorders>
            <w:shd w:val="clear" w:color="auto" w:fill="FFFFFF"/>
            <w:noWrap w:val="0"/>
            <w:tcMar>
              <w:left w:w="108" w:type="dxa"/>
              <w:right w:w="108" w:type="dxa"/>
            </w:tcMar>
            <w:vAlign w:val="center"/>
          </w:tcPr>
          <w:p w14:paraId="01B58858">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5分</w:t>
            </w:r>
          </w:p>
        </w:tc>
        <w:tc>
          <w:tcPr>
            <w:tcW w:w="3653" w:type="pct"/>
            <w:tcBorders>
              <w:tl2br w:val="nil"/>
              <w:tr2bl w:val="nil"/>
            </w:tcBorders>
            <w:shd w:val="clear" w:color="auto" w:fill="FFFFFF"/>
            <w:noWrap w:val="0"/>
            <w:tcMar>
              <w:left w:w="108" w:type="dxa"/>
              <w:right w:w="108" w:type="dxa"/>
            </w:tcMar>
            <w:vAlign w:val="center"/>
          </w:tcPr>
          <w:p w14:paraId="385A1DF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提供本项目的</w:t>
            </w:r>
            <w:r>
              <w:rPr>
                <w:rFonts w:hint="eastAsia" w:ascii="宋体" w:hAnsi="宋体" w:eastAsia="宋体" w:cs="Times New Roman"/>
                <w:color w:val="auto"/>
                <w:szCs w:val="21"/>
              </w:rPr>
              <w:t>保修服务方案</w:t>
            </w:r>
            <w:r>
              <w:rPr>
                <w:rFonts w:hint="eastAsia" w:ascii="宋体" w:hAnsi="宋体" w:eastAsia="宋体" w:cs="Times New Roman"/>
                <w:color w:val="auto"/>
                <w:szCs w:val="21"/>
                <w:lang w:eastAsia="zh-CN"/>
              </w:rPr>
              <w:t>，内容需包括：（</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保修承诺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范围及方式</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2）保修</w:t>
            </w:r>
            <w:r>
              <w:rPr>
                <w:rFonts w:hint="eastAsia" w:ascii="宋体" w:hAnsi="宋体" w:eastAsia="宋体" w:cs="Times New Roman"/>
                <w:color w:val="auto"/>
                <w:szCs w:val="21"/>
              </w:rPr>
              <w:t>人员配置</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lang w:eastAsia="zh-CN"/>
              </w:rPr>
              <w:t>本地化保修服务能力；（</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违约经济处罚措施</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保修期外处理办法。</w:t>
            </w:r>
            <w:r>
              <w:rPr>
                <w:rFonts w:hint="eastAsia" w:ascii="宋体" w:hAnsi="宋体" w:eastAsia="宋体" w:cs="Times New Roman"/>
                <w:color w:val="auto"/>
                <w:szCs w:val="21"/>
                <w:lang w:val="en-US" w:eastAsia="zh-CN"/>
              </w:rPr>
              <w:t>磋商小组根据投标人提供的内容按以下评分标准进行计分：</w:t>
            </w:r>
          </w:p>
          <w:p w14:paraId="023E968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eastAsia="zh-CN"/>
              </w:rPr>
              <w:t>无缺漏项、内容完善、保修承诺、保修范围及方式全面、保修人员配置合理、具有完善的本地化服务能力、违约经济处罚及应急措施合理可行、保修期外处理办法考虑周全的，计</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lang w:eastAsia="zh-CN"/>
              </w:rPr>
              <w:t>分；内容有缺漏项的，每缺一项内容扣</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分；有欠科学合理或欠完善或欠可行的，每处扣</w:t>
            </w:r>
            <w:r>
              <w:rPr>
                <w:rFonts w:hint="eastAsia" w:ascii="宋体" w:hAnsi="宋体" w:eastAsia="宋体" w:cs="Times New Roman"/>
                <w:color w:val="auto"/>
                <w:szCs w:val="21"/>
                <w:lang w:val="en-US" w:eastAsia="zh-CN"/>
              </w:rPr>
              <w:t>0.5</w:t>
            </w:r>
            <w:r>
              <w:rPr>
                <w:rFonts w:hint="eastAsia" w:ascii="宋体" w:hAnsi="宋体" w:eastAsia="宋体" w:cs="Times New Roman"/>
                <w:color w:val="auto"/>
                <w:szCs w:val="21"/>
                <w:lang w:eastAsia="zh-CN"/>
              </w:rPr>
              <w:t>分；扣完为止。</w:t>
            </w:r>
            <w:r>
              <w:rPr>
                <w:rFonts w:hint="eastAsia" w:ascii="宋体" w:hAnsi="宋体" w:eastAsia="宋体" w:cs="Times New Roman"/>
                <w:color w:val="auto"/>
                <w:szCs w:val="21"/>
                <w:lang w:val="en-US" w:eastAsia="zh-CN"/>
              </w:rPr>
              <w:t>未提供</w:t>
            </w:r>
            <w:r>
              <w:rPr>
                <w:rFonts w:hint="eastAsia" w:ascii="宋体" w:hAnsi="宋体" w:eastAsia="宋体" w:cs="Times New Roman"/>
                <w:color w:val="auto"/>
                <w:szCs w:val="21"/>
              </w:rPr>
              <w:t>保修服务方案</w:t>
            </w:r>
            <w:r>
              <w:rPr>
                <w:rFonts w:hint="eastAsia" w:ascii="宋体" w:hAnsi="宋体" w:eastAsia="宋体" w:cs="Times New Roman"/>
                <w:color w:val="auto"/>
                <w:szCs w:val="21"/>
                <w:lang w:val="en-US" w:eastAsia="zh-CN"/>
              </w:rPr>
              <w:t>的计0分。</w:t>
            </w:r>
          </w:p>
        </w:tc>
      </w:tr>
      <w:tr w14:paraId="091B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vMerge w:val="continue"/>
            <w:tcBorders>
              <w:tl2br w:val="nil"/>
              <w:tr2bl w:val="nil"/>
            </w:tcBorders>
            <w:shd w:val="clear" w:color="000000" w:fill="FFFFFF"/>
            <w:noWrap w:val="0"/>
            <w:tcMar>
              <w:left w:w="108" w:type="dxa"/>
              <w:right w:w="108" w:type="dxa"/>
            </w:tcMar>
            <w:vAlign w:val="center"/>
          </w:tcPr>
          <w:p w14:paraId="25DF9B37">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5B6258D1">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主要材料进场计划及保证措施</w:t>
            </w:r>
          </w:p>
        </w:tc>
        <w:tc>
          <w:tcPr>
            <w:tcW w:w="360" w:type="pct"/>
            <w:tcBorders>
              <w:tl2br w:val="nil"/>
              <w:tr2bl w:val="nil"/>
            </w:tcBorders>
            <w:shd w:val="clear" w:color="auto" w:fill="FFFFFF"/>
            <w:noWrap w:val="0"/>
            <w:tcMar>
              <w:left w:w="108" w:type="dxa"/>
              <w:right w:w="108" w:type="dxa"/>
            </w:tcMar>
            <w:vAlign w:val="center"/>
          </w:tcPr>
          <w:p w14:paraId="0A30D05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5分</w:t>
            </w:r>
          </w:p>
        </w:tc>
        <w:tc>
          <w:tcPr>
            <w:tcW w:w="3653" w:type="pct"/>
            <w:tcBorders>
              <w:tl2br w:val="nil"/>
              <w:tr2bl w:val="nil"/>
            </w:tcBorders>
            <w:shd w:val="clear" w:color="auto" w:fill="FFFFFF"/>
            <w:noWrap w:val="0"/>
            <w:tcMar>
              <w:left w:w="108" w:type="dxa"/>
              <w:right w:w="108" w:type="dxa"/>
            </w:tcMar>
            <w:vAlign w:val="center"/>
          </w:tcPr>
          <w:p w14:paraId="63EAF4C5">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提供本项目的主要材料进场计划及保证措施，内容包括：（1）材料准备及材料控制；（2）材料供应措施；（3）材料的运输管理及施工现场的材料管理措施；（4）主要材料选型及进场计划；（5）材料质量保证措施，</w:t>
            </w:r>
            <w:r>
              <w:rPr>
                <w:rFonts w:hint="eastAsia" w:ascii="宋体" w:hAnsi="宋体" w:eastAsia="宋体" w:cs="Times New Roman"/>
                <w:color w:val="auto"/>
                <w:szCs w:val="21"/>
                <w:lang w:eastAsia="zh-CN"/>
              </w:rPr>
              <w:t>磋商小组根据投标人提供的方案内容按以下评分标准进行计分：</w:t>
            </w:r>
          </w:p>
          <w:p w14:paraId="24D5081F">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无缺漏项、内容完善、材料准备充分，材料控制到位，材料供应措施完善，材料的运输管理规范合理，施工现场材料管理措施得当，所选主材品类多、主要材料品牌、规格型号、生产厂家等信息详细材料、进场计划科学、材料质量保证措施针对性强的，5分；内容有缺项的，每缺一项内容扣1分；有欠科学合理或欠完善或欠可行的，每处扣0.5分；扣完为止。未提供主要材料进场计划及保证措施的计0分。</w:t>
            </w:r>
          </w:p>
        </w:tc>
      </w:tr>
      <w:tr w14:paraId="30A66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870" w:hRule="atLeast"/>
        </w:trPr>
        <w:tc>
          <w:tcPr>
            <w:tcW w:w="576" w:type="pct"/>
            <w:vMerge w:val="continue"/>
            <w:tcBorders>
              <w:tl2br w:val="nil"/>
              <w:tr2bl w:val="nil"/>
            </w:tcBorders>
            <w:shd w:val="clear" w:color="000000" w:fill="FFFFFF"/>
            <w:noWrap w:val="0"/>
            <w:tcMar>
              <w:left w:w="108" w:type="dxa"/>
              <w:right w:w="108" w:type="dxa"/>
            </w:tcMar>
            <w:vAlign w:val="center"/>
          </w:tcPr>
          <w:p w14:paraId="09236CBC">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rPr>
            </w:pPr>
          </w:p>
        </w:tc>
        <w:tc>
          <w:tcPr>
            <w:tcW w:w="409" w:type="pct"/>
            <w:tcBorders>
              <w:tl2br w:val="nil"/>
              <w:tr2bl w:val="nil"/>
            </w:tcBorders>
            <w:shd w:val="clear" w:color="auto" w:fill="FFFFFF"/>
            <w:noWrap w:val="0"/>
            <w:tcMar>
              <w:left w:w="108" w:type="dxa"/>
              <w:right w:w="108" w:type="dxa"/>
            </w:tcMar>
            <w:vAlign w:val="center"/>
          </w:tcPr>
          <w:p w14:paraId="50CDF9AD">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应急保障措施</w:t>
            </w:r>
          </w:p>
        </w:tc>
        <w:tc>
          <w:tcPr>
            <w:tcW w:w="360" w:type="pct"/>
            <w:tcBorders>
              <w:tl2br w:val="nil"/>
              <w:tr2bl w:val="nil"/>
            </w:tcBorders>
            <w:shd w:val="clear" w:color="auto" w:fill="FFFFFF"/>
            <w:noWrap w:val="0"/>
            <w:tcMar>
              <w:left w:w="108" w:type="dxa"/>
              <w:right w:w="108" w:type="dxa"/>
            </w:tcMar>
            <w:vAlign w:val="center"/>
          </w:tcPr>
          <w:p w14:paraId="4F8F9A14">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3分</w:t>
            </w:r>
          </w:p>
        </w:tc>
        <w:tc>
          <w:tcPr>
            <w:tcW w:w="3653" w:type="pct"/>
            <w:tcBorders>
              <w:tl2br w:val="nil"/>
              <w:tr2bl w:val="nil"/>
            </w:tcBorders>
            <w:shd w:val="clear" w:color="auto" w:fill="FFFFFF"/>
            <w:noWrap w:val="0"/>
            <w:tcMar>
              <w:left w:w="108" w:type="dxa"/>
              <w:right w:w="108" w:type="dxa"/>
            </w:tcMar>
            <w:vAlign w:val="center"/>
          </w:tcPr>
          <w:p w14:paraId="2920809A">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供应商提供本项目的应急保障措施，内容包括：（1）风险防范要点和应急物资保障措施；（2）对可能发生的重大安全事故、灾难事件发生后的应急处置措施，</w:t>
            </w:r>
            <w:r>
              <w:rPr>
                <w:rFonts w:hint="eastAsia" w:ascii="宋体" w:hAnsi="宋体" w:eastAsia="宋体" w:cs="Times New Roman"/>
                <w:color w:val="auto"/>
                <w:szCs w:val="21"/>
                <w:lang w:eastAsia="zh-CN"/>
              </w:rPr>
              <w:t>磋商小组根据投标人提供的方案内容按以下评分标准进行计分：</w:t>
            </w:r>
          </w:p>
          <w:p w14:paraId="1850B669">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无缺漏项、内容完善、对风险防范要点分析全面透彻、应急物资保障措施科学合理、对可能发生的重大安全事故、灾难事件发生后的应急处置措施针对性强、可行性高的，计3分；内容有缺漏项的，每缺一项内容扣1.5分</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有欠科学合理或</w:t>
            </w:r>
            <w:r>
              <w:rPr>
                <w:rFonts w:hint="eastAsia" w:ascii="宋体" w:hAnsi="宋体" w:eastAsia="宋体" w:cs="Times New Roman"/>
                <w:color w:val="auto"/>
                <w:szCs w:val="21"/>
                <w:lang w:val="en-US" w:eastAsia="zh-CN"/>
              </w:rPr>
              <w:t>欠</w:t>
            </w:r>
            <w:r>
              <w:rPr>
                <w:rFonts w:hint="eastAsia" w:ascii="宋体" w:hAnsi="宋体" w:eastAsia="宋体" w:cs="Times New Roman"/>
                <w:color w:val="auto"/>
                <w:szCs w:val="21"/>
                <w:lang w:eastAsia="zh-CN"/>
              </w:rPr>
              <w:t>完善或欠可行的</w:t>
            </w:r>
            <w:r>
              <w:rPr>
                <w:rFonts w:hint="eastAsia" w:ascii="宋体" w:hAnsi="宋体" w:eastAsia="宋体" w:cs="Times New Roman"/>
                <w:color w:val="auto"/>
                <w:szCs w:val="21"/>
              </w:rPr>
              <w:t>，每处扣</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分；扣完为止。</w:t>
            </w:r>
            <w:r>
              <w:rPr>
                <w:rFonts w:hint="eastAsia" w:ascii="宋体" w:hAnsi="宋体" w:eastAsia="宋体" w:cs="Times New Roman"/>
                <w:color w:val="auto"/>
                <w:szCs w:val="21"/>
                <w:lang w:eastAsia="zh-CN"/>
              </w:rPr>
              <w:t>未提供</w:t>
            </w:r>
            <w:r>
              <w:rPr>
                <w:rFonts w:hint="eastAsia" w:ascii="宋体" w:hAnsi="宋体" w:eastAsia="宋体" w:cs="Times New Roman"/>
                <w:color w:val="auto"/>
                <w:szCs w:val="21"/>
                <w:lang w:val="en-US" w:eastAsia="zh-CN"/>
              </w:rPr>
              <w:t>应急保障措施</w:t>
            </w:r>
            <w:r>
              <w:rPr>
                <w:rFonts w:hint="eastAsia" w:ascii="宋体" w:hAnsi="宋体" w:eastAsia="宋体" w:cs="Times New Roman"/>
                <w:color w:val="auto"/>
                <w:szCs w:val="21"/>
              </w:rPr>
              <w:t>的计</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分。</w:t>
            </w:r>
          </w:p>
        </w:tc>
      </w:tr>
      <w:tr w14:paraId="7DD3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76" w:type="pct"/>
            <w:tcBorders>
              <w:tl2br w:val="nil"/>
              <w:tr2bl w:val="nil"/>
            </w:tcBorders>
            <w:shd w:val="clear" w:color="000000" w:fill="FFFFFF"/>
            <w:noWrap w:val="0"/>
            <w:tcMar>
              <w:left w:w="108" w:type="dxa"/>
              <w:right w:w="108" w:type="dxa"/>
            </w:tcMar>
            <w:vAlign w:val="center"/>
          </w:tcPr>
          <w:p w14:paraId="59E020E0">
            <w:pPr>
              <w:spacing w:line="400" w:lineRule="exact"/>
              <w:jc w:val="center"/>
              <w:rPr>
                <w:rFonts w:ascii="宋体" w:hAnsi="宋体" w:cs="宋体"/>
                <w:color w:val="auto"/>
                <w:szCs w:val="21"/>
              </w:rPr>
            </w:pPr>
            <w:r>
              <w:rPr>
                <w:rFonts w:hint="eastAsia" w:ascii="宋体" w:hAnsi="宋体" w:cs="宋体"/>
                <w:color w:val="auto"/>
                <w:szCs w:val="21"/>
              </w:rPr>
              <w:t>合计</w:t>
            </w:r>
          </w:p>
        </w:tc>
        <w:tc>
          <w:tcPr>
            <w:tcW w:w="4423" w:type="pct"/>
            <w:gridSpan w:val="3"/>
            <w:tcBorders>
              <w:tl2br w:val="nil"/>
              <w:tr2bl w:val="nil"/>
            </w:tcBorders>
            <w:shd w:val="clear" w:color="auto" w:fill="FFFFFF"/>
            <w:noWrap w:val="0"/>
            <w:tcMar>
              <w:left w:w="108" w:type="dxa"/>
              <w:right w:w="108" w:type="dxa"/>
            </w:tcMar>
            <w:vAlign w:val="center"/>
          </w:tcPr>
          <w:p w14:paraId="0D2E2505">
            <w:pPr>
              <w:spacing w:line="400" w:lineRule="exact"/>
              <w:ind w:right="42"/>
              <w:jc w:val="center"/>
              <w:rPr>
                <w:rFonts w:ascii="宋体" w:hAnsi="宋体" w:cs="宋体"/>
                <w:color w:val="auto"/>
                <w:szCs w:val="21"/>
              </w:rPr>
            </w:pPr>
            <w:r>
              <w:rPr>
                <w:rFonts w:hint="eastAsia" w:ascii="宋体" w:hAnsi="宋体" w:cs="宋体"/>
                <w:color w:val="auto"/>
                <w:szCs w:val="21"/>
              </w:rPr>
              <w:t>100分</w:t>
            </w:r>
          </w:p>
        </w:tc>
      </w:tr>
      <w:tr w14:paraId="30A0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5000" w:type="pct"/>
            <w:gridSpan w:val="4"/>
            <w:tcBorders>
              <w:tl2br w:val="nil"/>
              <w:tr2bl w:val="nil"/>
            </w:tcBorders>
            <w:shd w:val="clear" w:color="000000" w:fill="FFFFFF"/>
            <w:noWrap w:val="0"/>
            <w:tcMar>
              <w:left w:w="108" w:type="dxa"/>
              <w:right w:w="108" w:type="dxa"/>
            </w:tcMar>
            <w:vAlign w:val="center"/>
          </w:tcPr>
          <w:p w14:paraId="5A0281EC">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注意：</w:t>
            </w:r>
          </w:p>
          <w:p w14:paraId="3AF2D3B0">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1、计算过程中，算术平均值保留2位小数（百分比亦取2位小数），第三位小数四舍五入。</w:t>
            </w:r>
          </w:p>
          <w:p w14:paraId="3214EE6B">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2、评标结果按评审后得分由高到低顺序排列。评审得分相同的，按照最后报价由低到高的顺序推荐。评审得分且最后报价相同的，按照技术指标优劣顺序推荐排名第一的</w:t>
            </w:r>
            <w:r>
              <w:rPr>
                <w:rFonts w:hint="eastAsia" w:ascii="宋体" w:hAnsi="宋体" w:eastAsia="宋体" w:cs="宋体"/>
                <w:b w:val="0"/>
                <w:bCs w:val="0"/>
                <w:color w:val="auto"/>
                <w:sz w:val="21"/>
                <w:szCs w:val="21"/>
                <w:lang w:val="en-US" w:eastAsia="zh-CN"/>
              </w:rPr>
              <w:t>成交</w:t>
            </w:r>
            <w:r>
              <w:rPr>
                <w:rFonts w:hint="eastAsia" w:ascii="宋体" w:hAnsi="宋体" w:eastAsia="宋体" w:cs="宋体"/>
                <w:b w:val="0"/>
                <w:bCs w:val="0"/>
                <w:color w:val="auto"/>
                <w:sz w:val="21"/>
                <w:szCs w:val="21"/>
              </w:rPr>
              <w:t>候选人。</w:t>
            </w:r>
          </w:p>
          <w:p w14:paraId="5BEA9076">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3、凡评委评分项牵涉到的证明文件、数据、承诺，投标文件中未提供、或已提供但是字迹模糊无法辨认、语义模糊易造成误解、前后文件内容不一致的则该评分项计0分处理。</w:t>
            </w:r>
          </w:p>
          <w:p w14:paraId="507F05D4">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4、若提交的相关证明材料无法得到核实或未在规定的时间内提交，</w:t>
            </w:r>
            <w:r>
              <w:rPr>
                <w:rFonts w:hint="eastAsia" w:ascii="宋体" w:hAnsi="宋体" w:eastAsia="宋体" w:cs="宋体"/>
                <w:b w:val="0"/>
                <w:bCs w:val="0"/>
                <w:color w:val="auto"/>
                <w:sz w:val="21"/>
                <w:szCs w:val="21"/>
                <w:lang w:val="en-US" w:eastAsia="zh-CN"/>
              </w:rPr>
              <w:t>磋商小组</w:t>
            </w:r>
            <w:r>
              <w:rPr>
                <w:rFonts w:hint="eastAsia" w:ascii="宋体" w:hAnsi="宋体" w:eastAsia="宋体" w:cs="宋体"/>
                <w:b w:val="0"/>
                <w:bCs w:val="0"/>
                <w:color w:val="auto"/>
                <w:sz w:val="21"/>
                <w:szCs w:val="21"/>
              </w:rPr>
              <w:t>将对其所对应的评分项记0分。相关证明资料需提供复印件加盖公章，提供虚假资料的供应商将取消投标资格。</w:t>
            </w:r>
          </w:p>
          <w:p w14:paraId="09D2A2C4">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5、复印件包含复印件、影印件、扫描件形式。</w:t>
            </w:r>
          </w:p>
          <w:p w14:paraId="1A9B9195">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eastAsia="zh-CN"/>
              </w:rPr>
              <w:t>欠科学合理或</w:t>
            </w:r>
            <w:r>
              <w:rPr>
                <w:rFonts w:hint="eastAsia" w:ascii="宋体" w:hAnsi="宋体" w:eastAsia="宋体" w:cs="宋体"/>
                <w:b/>
                <w:bCs/>
                <w:color w:val="auto"/>
                <w:sz w:val="21"/>
                <w:szCs w:val="21"/>
                <w:lang w:val="en-US" w:eastAsia="zh-CN"/>
              </w:rPr>
              <w:t>欠</w:t>
            </w:r>
            <w:r>
              <w:rPr>
                <w:rFonts w:hint="eastAsia" w:ascii="宋体" w:hAnsi="宋体" w:eastAsia="宋体" w:cs="宋体"/>
                <w:b/>
                <w:bCs/>
                <w:color w:val="auto"/>
                <w:sz w:val="21"/>
                <w:szCs w:val="21"/>
                <w:lang w:eastAsia="zh-CN"/>
              </w:rPr>
              <w:t>完善或欠可行</w:t>
            </w:r>
            <w:r>
              <w:rPr>
                <w:rFonts w:hint="eastAsia" w:ascii="宋体" w:hAnsi="宋体" w:eastAsia="宋体" w:cs="宋体"/>
                <w:b/>
                <w:bCs/>
                <w:color w:val="auto"/>
                <w:sz w:val="21"/>
                <w:szCs w:val="21"/>
                <w:lang w:val="en-US" w:eastAsia="zh-CN"/>
              </w:rPr>
              <w:t>指：非专门针对本项目或不适用项目的情形、内容不完整或缺少关键节点、套用其他项目方案、内容前后矛盾、涉及的规范及标准错误、不利于项目建设、不可能实现的情形等任意一种情形。</w:t>
            </w:r>
          </w:p>
        </w:tc>
      </w:tr>
    </w:tbl>
    <w:p w14:paraId="5118FCDF">
      <w:pPr>
        <w:textAlignment w:val="baseline"/>
        <w:rPr>
          <w:rFonts w:ascii="宋体" w:hAnsi="宋体" w:eastAsia="宋体" w:cs="宋体"/>
          <w:color w:val="auto"/>
          <w:sz w:val="18"/>
          <w:szCs w:val="18"/>
        </w:rPr>
      </w:pPr>
    </w:p>
    <w:p w14:paraId="5A5B5939">
      <w:pPr>
        <w:numPr>
          <w:ilvl w:val="0"/>
          <w:numId w:val="0"/>
        </w:numPr>
        <w:jc w:val="center"/>
        <w:outlineLvl w:val="0"/>
        <w:rPr>
          <w:rFonts w:hint="eastAsia" w:ascii="黑体" w:hAnsi="黑体" w:eastAsia="黑体" w:cs="Times New Roman"/>
          <w:b w:val="0"/>
          <w:bCs w:val="0"/>
          <w:color w:val="auto"/>
          <w:kern w:val="2"/>
          <w:sz w:val="32"/>
          <w:szCs w:val="32"/>
          <w:lang w:val="en-US" w:eastAsia="zh-CN" w:bidi="ar-SA"/>
        </w:rPr>
      </w:pPr>
      <w:bookmarkStart w:id="171" w:name="_Toc69831455"/>
      <w:r>
        <w:rPr>
          <w:rFonts w:hint="eastAsia" w:ascii="黑体" w:hAnsi="黑体" w:eastAsia="黑体"/>
          <w:color w:val="auto"/>
          <w:sz w:val="32"/>
          <w:szCs w:val="32"/>
        </w:rPr>
        <w:br w:type="page"/>
      </w:r>
      <w:bookmarkStart w:id="172" w:name="_Toc3590"/>
      <w:r>
        <w:rPr>
          <w:rFonts w:hint="eastAsia" w:ascii="黑体" w:hAnsi="黑体" w:eastAsia="黑体"/>
          <w:color w:val="auto"/>
          <w:sz w:val="32"/>
          <w:szCs w:val="32"/>
          <w:lang w:eastAsia="zh-CN"/>
        </w:rPr>
        <w:t>第四章</w:t>
      </w:r>
      <w:r>
        <w:rPr>
          <w:rFonts w:hint="eastAsia" w:ascii="黑体" w:hAnsi="黑体" w:eastAsia="黑体"/>
          <w:color w:val="auto"/>
          <w:sz w:val="32"/>
          <w:szCs w:val="32"/>
          <w:lang w:val="en-US" w:eastAsia="zh-CN"/>
        </w:rPr>
        <w:t xml:space="preserve"> </w:t>
      </w:r>
      <w:r>
        <w:rPr>
          <w:rFonts w:hint="eastAsia" w:ascii="黑体" w:hAnsi="黑体" w:eastAsia="黑体" w:cs="Times New Roman"/>
          <w:b w:val="0"/>
          <w:bCs w:val="0"/>
          <w:color w:val="auto"/>
          <w:kern w:val="2"/>
          <w:sz w:val="32"/>
          <w:szCs w:val="32"/>
          <w:lang w:val="en-US" w:eastAsia="zh-CN" w:bidi="ar-SA"/>
        </w:rPr>
        <w:t>采购需求</w:t>
      </w:r>
      <w:bookmarkEnd w:id="171"/>
      <w:bookmarkEnd w:id="172"/>
    </w:p>
    <w:p w14:paraId="3E432F9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173" w:name="_Toc11730"/>
      <w:r>
        <w:rPr>
          <w:rFonts w:hint="eastAsia" w:ascii="宋体" w:hAnsi="宋体" w:eastAsia="宋体" w:cs="宋体"/>
          <w:b/>
          <w:bCs/>
          <w:color w:val="auto"/>
          <w:kern w:val="0"/>
          <w:sz w:val="21"/>
          <w:szCs w:val="21"/>
          <w:highlight w:val="none"/>
          <w:lang w:val="en-US" w:eastAsia="zh-CN" w:bidi="ar-SA"/>
        </w:rPr>
        <w:t>一、项目名称</w:t>
      </w:r>
      <w:bookmarkEnd w:id="173"/>
    </w:p>
    <w:p w14:paraId="626F5F9C">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湖南国防工业职业技术学院围墙道路等改造工程项目</w:t>
      </w:r>
    </w:p>
    <w:p w14:paraId="3ED31CD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174" w:name="_Toc22291"/>
      <w:r>
        <w:rPr>
          <w:rFonts w:hint="eastAsia" w:ascii="宋体" w:hAnsi="宋体" w:eastAsia="宋体" w:cs="宋体"/>
          <w:b/>
          <w:bCs/>
          <w:color w:val="auto"/>
          <w:kern w:val="0"/>
          <w:sz w:val="21"/>
          <w:szCs w:val="21"/>
          <w:highlight w:val="none"/>
          <w:lang w:val="en-US" w:eastAsia="zh-CN" w:bidi="ar-SA"/>
        </w:rPr>
        <w:t>二、</w:t>
      </w:r>
      <w:bookmarkEnd w:id="174"/>
      <w:r>
        <w:rPr>
          <w:rFonts w:hint="eastAsia" w:ascii="宋体" w:hAnsi="宋体" w:eastAsia="宋体" w:cs="宋体"/>
          <w:b/>
          <w:bCs/>
          <w:color w:val="auto"/>
          <w:kern w:val="0"/>
          <w:sz w:val="21"/>
          <w:szCs w:val="21"/>
          <w:highlight w:val="none"/>
          <w:lang w:val="en-US" w:eastAsia="zh-CN" w:bidi="ar-SA"/>
        </w:rPr>
        <w:t>工程内容及发包范围</w:t>
      </w:r>
    </w:p>
    <w:p w14:paraId="3BFE191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2.1</w:t>
      </w:r>
      <w:bookmarkStart w:id="175" w:name="heading_3"/>
      <w:r>
        <w:rPr>
          <w:rFonts w:hint="eastAsia" w:ascii="宋体" w:hAnsi="宋体" w:eastAsia="宋体" w:cs="宋体"/>
          <w:bCs/>
          <w:color w:val="auto"/>
          <w:kern w:val="0"/>
          <w:sz w:val="21"/>
          <w:szCs w:val="21"/>
          <w:lang w:val="en-US" w:eastAsia="zh-CN" w:bidi="ar-SA"/>
        </w:rPr>
        <w:t>本项目属于校园基建大型修缮工程，施工全过程严格执行现行最新国家、行业及湖南省地方标准规范，主要依据《民用建筑设计统一标准》GB 50352-2019、《建筑与市政工程施工现场安全通用规范》GB 55024-2022、《城市道路工程设计规范》CJJ37-2012（2016 版）、《城镇道路路面施工及验收规范》CJJ/T 50-2020、《砌体结构工程施工质量验收规范》GB 50203-2011、《混凝土结构工程施工质量验收规范》GB 50204-2015（2017 修订）、《建筑防水工程通用规范》GB 55038-2022、《室外排水设计标准》GB 50014-2021、《城市照明工程技术标准》CJJ89-2012、《建筑电气工程施工质量验收规范》GB 50303-2015、《园林绿化工程施工及验收标准》CJJ 82-2012、《建筑与市政施工现场安全卫生与职业健康通用规范》GB 55034-2022 等最新现行规范标准实施。</w:t>
      </w:r>
      <w:bookmarkEnd w:id="175"/>
    </w:p>
    <w:p w14:paraId="420192C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bookmarkStart w:id="176" w:name="heading_4"/>
      <w:r>
        <w:rPr>
          <w:rFonts w:hint="eastAsia" w:ascii="宋体" w:hAnsi="宋体" w:eastAsia="宋体" w:cs="宋体"/>
          <w:bCs/>
          <w:color w:val="auto"/>
          <w:kern w:val="0"/>
          <w:sz w:val="21"/>
          <w:szCs w:val="21"/>
          <w:lang w:val="en-US" w:eastAsia="zh-CN" w:bidi="ar-SA"/>
        </w:rPr>
        <w:t>2.2建设规模与具体内容</w:t>
      </w:r>
      <w:bookmarkEnd w:id="176"/>
      <w:r>
        <w:rPr>
          <w:rFonts w:hint="eastAsia" w:ascii="宋体" w:hAnsi="宋体" w:eastAsia="宋体" w:cs="宋体"/>
          <w:bCs/>
          <w:color w:val="auto"/>
          <w:kern w:val="0"/>
          <w:sz w:val="21"/>
          <w:szCs w:val="21"/>
          <w:lang w:val="en-US" w:eastAsia="zh-CN" w:bidi="ar-SA"/>
        </w:rPr>
        <w:t>（工程实施方案见附件1）：</w:t>
      </w:r>
    </w:p>
    <w:p w14:paraId="77D85DC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本项目改造总面积11590㎡，包含敬贤路道路改造、围墙改造、水体改造及配套工程，针对原有围墙破损失稳、道路通行承载力不足、人行道缺失、水体驳岸变形、排水系统老化、照明缺失、景观设施移位破损等病害进行系统性修缮升级。具体内容如下：</w:t>
      </w:r>
    </w:p>
    <w:p w14:paraId="7F15FF0F">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（1）拆除清运工程：拆除破损原有围墙614m、老旧宣传栏45m；破除现状老旧混凝土人行道、废弃树池、原有小品、老旧排水沟盖板、破损井盖，建筑垃圾统一密闭外运消纳。</w:t>
      </w:r>
    </w:p>
    <w:p w14:paraId="0140DCA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（2）围墙工程：新建通透围墙516m、实体围墙98m；围墙沿线破除旧地面铺设透水铺装969㎡，配套花岗岩立缘石、锁边石；路面病害开仓补强处理。</w:t>
      </w:r>
    </w:p>
    <w:p w14:paraId="21F7D7E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（3）道路工程：敬贤路原有路面铣刨后加铺沥青面层4261㎡；教学楼东侧沥青路面铣刨加铺205㎡；施划热熔反光道路标线，安装橡胶减速带，提升通行条件。</w:t>
      </w:r>
    </w:p>
    <w:p w14:paraId="1FD8B59F">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4）排水工程：沿敬贤路新建线性排水沟55m，配套DN300雨水管道、球墨铸铁雨水篦与检修井；教学楼区域全部老旧排水沟盖板、破损井盖更换为标准球墨铸铁材质。水体西侧、南侧拓宽改造5m宽沥青主路，水体东侧新建4m沥青道路；拉直原有驳岸，重塑自然式水体造型；水体周边水泥地面加铺仿石铺装；新建16m钢筋混凝土栈道连通现状步道；原有宣传栏、景观小品移位调整；道路与水体之间增设钢木防护护栏214m；3株桂花树就近移栽，同步开展场地清杂与绿化补植。</w:t>
      </w:r>
    </w:p>
    <w:p w14:paraId="4CEF692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（5）照明安装工程：沿敬贤路布设8m双臂LED路灯27套，配套电缆、穿线管、路灯基础、接线井及线路调试。</w:t>
      </w:r>
    </w:p>
    <w:p w14:paraId="3DBABED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（6）配套工程：大型机械进出场、土方开挖回填、路面恢复、成品保护、全线保洁、缺陷修复等全部配套施工内容。</w:t>
      </w:r>
    </w:p>
    <w:p w14:paraId="741A297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lang w:val="en-US" w:eastAsia="zh-CN" w:bidi="ar-SA"/>
        </w:rPr>
      </w:pPr>
      <w:bookmarkStart w:id="177" w:name="heading_6"/>
      <w:r>
        <w:rPr>
          <w:rFonts w:hint="eastAsia" w:ascii="宋体" w:hAnsi="宋体" w:eastAsia="宋体" w:cs="宋体"/>
          <w:bCs/>
          <w:color w:val="auto"/>
          <w:kern w:val="0"/>
          <w:sz w:val="21"/>
          <w:szCs w:val="21"/>
          <w:lang w:val="en-US" w:eastAsia="zh-CN" w:bidi="ar-SA"/>
        </w:rPr>
        <w:t>2.3具体详见工程量清单及图纸（另册）。</w:t>
      </w:r>
    </w:p>
    <w:bookmarkEnd w:id="177"/>
    <w:p w14:paraId="332CF4B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lang w:val="en-US" w:eastAsia="zh-CN" w:bidi="ar-SA"/>
        </w:rPr>
        <w:t>2.4关键岗位人员应持有相应的岗位资格证书，岗位资格证书注明了单位名称的，应与成交供应商一致。</w:t>
      </w:r>
    </w:p>
    <w:p w14:paraId="2803A31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178" w:name="_Toc18136"/>
      <w:r>
        <w:rPr>
          <w:rFonts w:hint="eastAsia" w:ascii="宋体" w:hAnsi="宋体" w:eastAsia="宋体" w:cs="宋体"/>
          <w:b/>
          <w:bCs/>
          <w:color w:val="auto"/>
          <w:kern w:val="0"/>
          <w:sz w:val="21"/>
          <w:szCs w:val="21"/>
          <w:highlight w:val="none"/>
          <w:lang w:val="en-US" w:eastAsia="zh-CN" w:bidi="ar-SA"/>
        </w:rPr>
        <w:t>三、项目实施要求</w:t>
      </w:r>
      <w:bookmarkEnd w:id="178"/>
    </w:p>
    <w:p w14:paraId="5D70D2B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建筑材料运输、保管及保险</w:t>
      </w:r>
    </w:p>
    <w:p w14:paraId="6A0002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设备及</w:t>
      </w:r>
      <w:r>
        <w:rPr>
          <w:rFonts w:hint="eastAsia" w:ascii="宋体" w:hAnsi="宋体" w:eastAsia="宋体" w:cs="宋体"/>
          <w:color w:val="auto"/>
          <w:sz w:val="21"/>
          <w:szCs w:val="21"/>
          <w:highlight w:val="none"/>
        </w:rPr>
        <w:t>建筑材料到施工地点的全部运输，包括装卸及现场搬运等。</w:t>
      </w:r>
    </w:p>
    <w:p w14:paraId="71C3816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设备及</w:t>
      </w:r>
      <w:r>
        <w:rPr>
          <w:rFonts w:hint="eastAsia" w:ascii="宋体" w:hAnsi="宋体" w:eastAsia="宋体" w:cs="宋体"/>
          <w:color w:val="auto"/>
          <w:sz w:val="21"/>
          <w:szCs w:val="21"/>
          <w:highlight w:val="none"/>
        </w:rPr>
        <w:t>建筑材料在施工地点的保管，直至项目验收合格。</w:t>
      </w:r>
    </w:p>
    <w:p w14:paraId="5BF9A96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其派出的施工人员</w:t>
      </w:r>
      <w:r>
        <w:rPr>
          <w:rFonts w:hint="eastAsia" w:ascii="宋体" w:hAnsi="宋体" w:eastAsia="宋体" w:cs="宋体"/>
          <w:color w:val="auto"/>
          <w:sz w:val="21"/>
          <w:szCs w:val="21"/>
          <w:highlight w:val="none"/>
          <w:lang w:val="en-US" w:eastAsia="zh-CN"/>
        </w:rPr>
        <w:t>购买工伤保险，在施工过程中引发的安全事故，一切责任由成交供应商自负。</w:t>
      </w:r>
    </w:p>
    <w:p w14:paraId="2885BED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负责施工区域内的建筑废弃材料（含建筑垃圾）清理、离场运输、处置场地的选择等。</w:t>
      </w:r>
    </w:p>
    <w:p w14:paraId="75BA363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负责在工程竣工验收后移交相关的材料、配件的技术参数（品牌名称、产地、规格型号等）、图纸说明等档案材料。</w:t>
      </w:r>
    </w:p>
    <w:p w14:paraId="1F00020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负责在工程竣工后废旧材料的收集，并造册按照采购人的要求统一搬运至指定地点存放。</w:t>
      </w:r>
    </w:p>
    <w:p w14:paraId="0693AC4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施工要求</w:t>
      </w:r>
    </w:p>
    <w:p w14:paraId="06FEBD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施工人员必须具有相关资质，无犯罪记录，身份证明清晰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向采购人</w:t>
      </w:r>
      <w:r>
        <w:rPr>
          <w:rFonts w:hint="eastAsia" w:ascii="宋体" w:hAnsi="宋体" w:eastAsia="宋体" w:cs="宋体"/>
          <w:color w:val="auto"/>
          <w:sz w:val="21"/>
          <w:szCs w:val="21"/>
          <w:highlight w:val="none"/>
        </w:rPr>
        <w:t>提供身份证复印件</w:t>
      </w:r>
      <w:r>
        <w:rPr>
          <w:rFonts w:hint="eastAsia" w:ascii="宋体" w:hAnsi="宋体" w:eastAsia="宋体" w:cs="宋体"/>
          <w:color w:val="auto"/>
          <w:sz w:val="21"/>
          <w:szCs w:val="21"/>
          <w:highlight w:val="none"/>
          <w:lang w:val="en-US" w:eastAsia="zh-CN"/>
        </w:rPr>
        <w:t>备案</w:t>
      </w:r>
      <w:r>
        <w:rPr>
          <w:rFonts w:hint="eastAsia" w:ascii="宋体" w:hAnsi="宋体" w:eastAsia="宋体" w:cs="宋体"/>
          <w:color w:val="auto"/>
          <w:sz w:val="21"/>
          <w:szCs w:val="21"/>
          <w:highlight w:val="none"/>
        </w:rPr>
        <w:t>;</w:t>
      </w:r>
    </w:p>
    <w:p w14:paraId="4890C00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2成交</w:t>
      </w:r>
      <w:r>
        <w:rPr>
          <w:rFonts w:hint="eastAsia" w:ascii="宋体" w:hAnsi="宋体" w:eastAsia="宋体" w:cs="宋体"/>
          <w:color w:val="auto"/>
          <w:sz w:val="21"/>
          <w:szCs w:val="21"/>
          <w:highlight w:val="none"/>
        </w:rPr>
        <w:t>供应商要建立安全管理组织机构并公示，明确现场负责人及联系电话，便于及时沟通。</w:t>
      </w:r>
    </w:p>
    <w:p w14:paraId="5413609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施工现场文明施工、现场围挡等所有工作内容各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均应在综合单价报价中综合考虑，否则造成的损失成交供应商自行负责。</w:t>
      </w:r>
    </w:p>
    <w:p w14:paraId="2777B317">
      <w:pPr>
        <w:pStyle w:val="18"/>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2.4成交供应商</w:t>
      </w:r>
      <w:r>
        <w:rPr>
          <w:rFonts w:hint="eastAsia" w:ascii="宋体" w:hAnsi="宋体" w:eastAsia="宋体" w:cs="宋体"/>
          <w:color w:val="auto"/>
          <w:sz w:val="21"/>
          <w:szCs w:val="21"/>
          <w:highlight w:val="none"/>
          <w:lang w:bidi="ar"/>
        </w:rPr>
        <w:t>在进行</w:t>
      </w:r>
      <w:r>
        <w:rPr>
          <w:rFonts w:hint="eastAsia" w:ascii="宋体" w:hAnsi="宋体" w:eastAsia="宋体" w:cs="宋体"/>
          <w:color w:val="auto"/>
          <w:sz w:val="21"/>
          <w:szCs w:val="21"/>
          <w:highlight w:val="none"/>
          <w:lang w:val="en-US" w:eastAsia="zh-CN" w:bidi="ar"/>
        </w:rPr>
        <w:t>施工前</w:t>
      </w:r>
      <w:r>
        <w:rPr>
          <w:rFonts w:hint="eastAsia" w:ascii="宋体" w:hAnsi="宋体" w:eastAsia="宋体" w:cs="宋体"/>
          <w:color w:val="auto"/>
          <w:sz w:val="21"/>
          <w:szCs w:val="21"/>
          <w:highlight w:val="none"/>
          <w:lang w:bidi="ar"/>
        </w:rPr>
        <w:t>，需出具</w:t>
      </w:r>
      <w:r>
        <w:rPr>
          <w:rFonts w:hint="eastAsia" w:ascii="宋体" w:hAnsi="宋体" w:eastAsia="宋体" w:cs="宋体"/>
          <w:color w:val="auto"/>
          <w:sz w:val="21"/>
          <w:szCs w:val="21"/>
          <w:highlight w:val="none"/>
          <w:lang w:val="en-US" w:eastAsia="zh-CN" w:bidi="ar"/>
        </w:rPr>
        <w:t>施工</w:t>
      </w:r>
      <w:r>
        <w:rPr>
          <w:rFonts w:hint="eastAsia" w:ascii="宋体" w:hAnsi="宋体" w:eastAsia="宋体" w:cs="宋体"/>
          <w:color w:val="auto"/>
          <w:sz w:val="21"/>
          <w:szCs w:val="21"/>
          <w:highlight w:val="none"/>
          <w:lang w:bidi="ar"/>
        </w:rPr>
        <w:t>方案，经学校核准后方可施工。</w:t>
      </w:r>
      <w:r>
        <w:rPr>
          <w:rFonts w:hint="eastAsia" w:ascii="宋体" w:hAnsi="宋体" w:eastAsia="宋体" w:cs="宋体"/>
          <w:color w:val="auto"/>
          <w:sz w:val="21"/>
          <w:szCs w:val="21"/>
          <w:highlight w:val="none"/>
          <w:lang w:val="en-US" w:eastAsia="zh-CN" w:bidi="ar"/>
        </w:rPr>
        <w:t>成交供应商</w:t>
      </w:r>
      <w:r>
        <w:rPr>
          <w:rFonts w:hint="eastAsia" w:ascii="宋体" w:hAnsi="宋体" w:eastAsia="宋体" w:cs="宋体"/>
          <w:color w:val="auto"/>
          <w:sz w:val="21"/>
          <w:szCs w:val="21"/>
          <w:highlight w:val="none"/>
          <w:lang w:bidi="ar"/>
        </w:rPr>
        <w:t>按</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认可的设计方案进行施工，并且要认真了解现场及建筑物的结构、参数，不得因施工影响建筑物的结构安全，不得因施工而造成现有建筑物的结构性损伤（如墙面开裂、梁柱损伤、楼面开裂或破损等）。如在施工中给</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造成损失的，</w:t>
      </w:r>
      <w:r>
        <w:rPr>
          <w:rFonts w:hint="eastAsia" w:ascii="宋体" w:hAnsi="宋体" w:eastAsia="宋体" w:cs="宋体"/>
          <w:color w:val="auto"/>
          <w:sz w:val="21"/>
          <w:szCs w:val="21"/>
          <w:highlight w:val="none"/>
          <w:lang w:val="en-US" w:eastAsia="zh-CN" w:bidi="ar"/>
        </w:rPr>
        <w:t>成交供应商</w:t>
      </w:r>
      <w:r>
        <w:rPr>
          <w:rFonts w:hint="eastAsia" w:ascii="宋体" w:hAnsi="宋体" w:eastAsia="宋体" w:cs="宋体"/>
          <w:color w:val="auto"/>
          <w:sz w:val="21"/>
          <w:szCs w:val="21"/>
          <w:highlight w:val="none"/>
          <w:lang w:bidi="ar"/>
        </w:rPr>
        <w:t>必须负责修复并予以赔偿，改造施工过程中所有的安全责任由</w:t>
      </w:r>
      <w:r>
        <w:rPr>
          <w:rFonts w:hint="eastAsia" w:ascii="宋体" w:hAnsi="宋体" w:eastAsia="宋体" w:cs="宋体"/>
          <w:color w:val="auto"/>
          <w:sz w:val="21"/>
          <w:szCs w:val="21"/>
          <w:highlight w:val="none"/>
          <w:lang w:val="en-US" w:eastAsia="zh-CN" w:bidi="ar"/>
        </w:rPr>
        <w:t>成交供应商</w:t>
      </w:r>
      <w:r>
        <w:rPr>
          <w:rFonts w:hint="eastAsia" w:ascii="宋体" w:hAnsi="宋体" w:eastAsia="宋体" w:cs="宋体"/>
          <w:color w:val="auto"/>
          <w:sz w:val="21"/>
          <w:szCs w:val="21"/>
          <w:highlight w:val="none"/>
          <w:lang w:bidi="ar"/>
        </w:rPr>
        <w:t>承担。</w:t>
      </w:r>
      <w:r>
        <w:rPr>
          <w:rFonts w:hint="eastAsia" w:ascii="宋体" w:hAnsi="宋体" w:eastAsia="宋体" w:cs="宋体"/>
          <w:color w:val="auto"/>
          <w:sz w:val="21"/>
          <w:szCs w:val="21"/>
          <w:highlight w:val="none"/>
          <w:lang w:val="en-US" w:eastAsia="zh-CN" w:bidi="ar"/>
        </w:rPr>
        <w:t>成交供应商</w:t>
      </w:r>
      <w:r>
        <w:rPr>
          <w:rFonts w:hint="eastAsia" w:ascii="宋体" w:hAnsi="宋体" w:eastAsia="宋体" w:cs="宋体"/>
          <w:color w:val="auto"/>
          <w:sz w:val="21"/>
          <w:szCs w:val="21"/>
          <w:highlight w:val="none"/>
          <w:lang w:bidi="ar"/>
        </w:rPr>
        <w:t>的施工须遵守相关规定，同时接受</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的监管装修改造期间所产生的水、电费用由</w:t>
      </w:r>
      <w:r>
        <w:rPr>
          <w:rFonts w:hint="eastAsia" w:ascii="宋体" w:hAnsi="宋体" w:eastAsia="宋体" w:cs="宋体"/>
          <w:color w:val="auto"/>
          <w:sz w:val="21"/>
          <w:szCs w:val="21"/>
          <w:highlight w:val="none"/>
          <w:lang w:val="en-US" w:eastAsia="zh-CN" w:bidi="ar"/>
        </w:rPr>
        <w:t>成交供应商</w:t>
      </w:r>
      <w:r>
        <w:rPr>
          <w:rFonts w:hint="eastAsia" w:ascii="宋体" w:hAnsi="宋体" w:eastAsia="宋体" w:cs="宋体"/>
          <w:color w:val="auto"/>
          <w:sz w:val="21"/>
          <w:szCs w:val="21"/>
          <w:highlight w:val="none"/>
          <w:lang w:bidi="ar"/>
        </w:rPr>
        <w:t>承担。</w:t>
      </w:r>
    </w:p>
    <w:p w14:paraId="16DF2E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验收要求</w:t>
      </w:r>
    </w:p>
    <w:p w14:paraId="6FA4B33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3.1材料进场验收：</w:t>
      </w:r>
    </w:p>
    <w:p w14:paraId="1B65AF3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3.1.1进场材料必须同时提供对应同批次产品的检测报告、使用说明书、出厂合格证书等技术证明资料，并同时通知采购人验货与接收。</w:t>
      </w:r>
    </w:p>
    <w:p w14:paraId="2CAC9D1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3.2过程验收：</w:t>
      </w:r>
    </w:p>
    <w:p w14:paraId="739AEBF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须根据规范要求执行过程自检，并如实填写相关质量表格。</w:t>
      </w:r>
    </w:p>
    <w:p w14:paraId="34F22C2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3.2.2按照采购人的要求接受停点验收、隐蔽验收，以及随机实测验收，并签认相关质量记录。隐蔽工程未经验收不允许自行封闭，否则该部分工程将不参与结算。</w:t>
      </w:r>
    </w:p>
    <w:p w14:paraId="00741EF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3.3.竣工验收：</w:t>
      </w:r>
    </w:p>
    <w:p w14:paraId="4A5EFB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val="en-US" w:eastAsia="zh-CN"/>
        </w:rPr>
        <w:t>3.3.1</w:t>
      </w:r>
      <w:r>
        <w:rPr>
          <w:rFonts w:hint="eastAsia" w:ascii="宋体" w:hAnsi="宋体" w:eastAsia="宋体" w:cs="宋体"/>
          <w:color w:val="auto"/>
          <w:sz w:val="21"/>
          <w:szCs w:val="21"/>
          <w:highlight w:val="none"/>
        </w:rPr>
        <w:t>验收技术标准：符合《工程施工质量验收规范》要求。</w:t>
      </w:r>
    </w:p>
    <w:p w14:paraId="5E2B2BD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3.3.2工程交付前必须进行细部质量验收及工程移交。</w:t>
      </w:r>
    </w:p>
    <w:p w14:paraId="2E73B9B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配合分部分项工程竣工验收，配合竣工资料的提交与归档工作。</w:t>
      </w:r>
    </w:p>
    <w:p w14:paraId="1B9421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工程变更</w:t>
      </w:r>
    </w:p>
    <w:p w14:paraId="700B45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工程原则上不允许变更，如发生工程变更，须由成交供应商提出变更申请，采购方同意后才可实施。</w:t>
      </w:r>
    </w:p>
    <w:p w14:paraId="61159C7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5.质量保证</w:t>
      </w:r>
    </w:p>
    <w:p w14:paraId="757DA7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5.1质量要求：工程质量达到合格及以上标准，确保设施修复到位、满足正常使用要求。</w:t>
      </w:r>
    </w:p>
    <w:p w14:paraId="123FFB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5.2施工期间，应接受采购人</w:t>
      </w:r>
      <w:r>
        <w:rPr>
          <w:rFonts w:hint="eastAsia" w:ascii="宋体" w:hAnsi="宋体" w:eastAsia="宋体" w:cs="宋体"/>
          <w:color w:val="auto"/>
          <w:sz w:val="21"/>
          <w:szCs w:val="21"/>
          <w:highlight w:val="none"/>
        </w:rPr>
        <w:t>的监督管理，遵守有关规定。</w:t>
      </w:r>
    </w:p>
    <w:p w14:paraId="1F55394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质量保修：</w:t>
      </w:r>
      <w:r>
        <w:rPr>
          <w:rFonts w:hint="eastAsia" w:ascii="宋体" w:hAnsi="宋体" w:eastAsia="宋体" w:cs="宋体"/>
          <w:color w:val="auto"/>
          <w:sz w:val="21"/>
          <w:szCs w:val="21"/>
          <w:highlight w:val="none"/>
          <w:lang w:val="en-US" w:eastAsia="zh-CN"/>
        </w:rPr>
        <w:t>执行建设部[2000]80号令建筑工程质量管理规定的保修内容及期限。</w:t>
      </w:r>
    </w:p>
    <w:p w14:paraId="58AC906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应履行的安全文明职责：</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须全面履行施工现场的安全管理，做好安全文明施工相关措施。凡施工现场出现的任何质量、安全事故，均由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负责。除履行通用条款规定的安全职责外，还应履行以下安全职责：（1）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应采取有效措施保证所有在现场和周边的人员、车辆、设施、建筑安全。在确有必要的时间段和地方，</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应提供照明、警卫、护栅、警告标志等安全保护措施。（2）在整个施工过程中对</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采取的安全、保卫和环境保护措施，采购人有权监督，并向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提出整改要求。如果由于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未能对其负责的上述事项采取各种必要措施而导致或发生与此有关的人身伤亡、财产损失、罚款、索赔、诉讼费用及其他一切责任应由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负责。（3）发生重大伤亡及其他安全事故，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应按有关规定立即上报有关部门并通知采购人，同时按政府有关部门要求处理，由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承担由此发生的一切费用。有事故责任方的，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在承担费用之后，可以向事故责任方索赔,但不影响</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先行承担一切费用。（4）</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应对专业承包商的安全生产承担连带责任。（5）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在地下管道、临时交通要道附近施工时，施工前应向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提出安全防护措施，经认可后实施，防护措施费用包含在合同总价内。（6）在施工过程中，如因</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或第三方人身或财产受到伤害或损失，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将按有关规定进行赔偿。如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拒绝赔偿，采购人将有权直接从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的工程款中进行扣除，并提出法律诉讼。</w:t>
      </w:r>
    </w:p>
    <w:p w14:paraId="0EC0B6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6.响应时间</w:t>
      </w:r>
    </w:p>
    <w:p w14:paraId="7983EBC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宋体" w:hAnsi="宋体" w:eastAsia="宋体" w:cs="宋体"/>
          <w:color w:val="auto"/>
          <w:kern w:val="2"/>
          <w:sz w:val="21"/>
          <w:szCs w:val="21"/>
          <w:highlight w:val="none"/>
          <w:lang w:val="en-US" w:eastAsia="zh-CN" w:bidi="ar-SA"/>
        </w:rPr>
      </w:pPr>
      <w:bookmarkStart w:id="179" w:name="_Toc25760"/>
      <w:r>
        <w:rPr>
          <w:rFonts w:hint="eastAsia" w:ascii="宋体" w:hAnsi="宋体" w:eastAsia="宋体" w:cs="宋体"/>
          <w:color w:val="auto"/>
          <w:kern w:val="2"/>
          <w:sz w:val="21"/>
          <w:szCs w:val="21"/>
          <w:highlight w:val="none"/>
          <w:lang w:val="en-US" w:eastAsia="zh-CN" w:bidi="ar-SA"/>
        </w:rPr>
        <w:t>施工期间，接到发包方或监理人实施意见后，成交供应商须在24小时内响应并部署。竣工验收后，属于保修范围的项目，成交供应商应在接到通知后的24小时内派人免费维修，若不在约定期限内派人保修，发包方可自行或指派第三方维修，维修费在履约金中双倍扣除，当履约金不足以承担维修费用时，发包方有权追偿，成交供应商应积极给付。</w:t>
      </w:r>
    </w:p>
    <w:p w14:paraId="62FAC39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SA"/>
        </w:rPr>
        <w:t>四、项目工期及付款</w:t>
      </w:r>
      <w:bookmarkEnd w:id="179"/>
    </w:p>
    <w:p w14:paraId="6D1525A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总工期：40天。成交供应商未按约定工期竣工的，每逾期一日向采购人支付此合同总价款千分之一的违约金，直至计算到采购人签字盖章确认的竣工验收合格之日止。若因本工程未按约定工期竣工而影响其他工程的进度，造成采购人的所有损失(含间接损失)及费用均由成交供应商承担。如成交供应商逾期一个月仍未将工程验收合格并交付给采购人的，采购人有权单方解除合同并不予支付工程款，由此造成的一切损失由成交供应商承担。</w:t>
      </w:r>
    </w:p>
    <w:p w14:paraId="3AA4F14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2.付款：</w:t>
      </w:r>
    </w:p>
    <w:p w14:paraId="148C121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所有工程全部完工并经验收合格，发包方按结算审计金额付至总工程款的100%。如成交供应商无法在发包方指定时间内完成全部工程，则按发包方验收合格的工程量结算相应费用。成交供应商在发包方付款前提供等额有效普通发票。</w:t>
      </w:r>
    </w:p>
    <w:p w14:paraId="48BD556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2.2成交供应商在签订合同前向发包方提交中标金额</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%的履约保证金或履约保函，待项目验收合格后正常运行一年(无质量、售后及其他经济法律纠纷等问题)提交申请后无息退还。</w:t>
      </w:r>
    </w:p>
    <w:p w14:paraId="5155FDB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0" w:name="_Toc29937"/>
      <w:r>
        <w:rPr>
          <w:rFonts w:hint="eastAsia" w:ascii="宋体" w:hAnsi="宋体" w:eastAsia="宋体" w:cs="宋体"/>
          <w:b/>
          <w:bCs/>
          <w:color w:val="auto"/>
          <w:kern w:val="0"/>
          <w:sz w:val="21"/>
          <w:szCs w:val="21"/>
          <w:highlight w:val="none"/>
          <w:lang w:val="en-US" w:eastAsia="zh-CN" w:bidi="ar-SA"/>
        </w:rPr>
        <w:t>五、其他要求</w:t>
      </w:r>
      <w:bookmarkEnd w:id="180"/>
    </w:p>
    <w:p w14:paraId="4CF9248B">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1.采购人提供清单中如有暂估价和不可预见费，则投标总报价中须包含暂估价和不可预见费，投标人不得更改，否则按不合格处理。</w:t>
      </w:r>
    </w:p>
    <w:p w14:paraId="57D7C6EF">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有材料必须使用优质材料，有国家标准的按照国家标准，主要材料下料进场前，必须先提供样品经采购人确认后，才能进行主要材料的选定、进入施工现场，采购人有权根据实际使用需要变更用材相关要求。成交供应商应当配合采购人落实材料选定工作，否则由此造成的损失由成交供应商承担。</w:t>
      </w:r>
    </w:p>
    <w:p w14:paraId="49E3D8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kern w:val="2"/>
          <w:sz w:val="21"/>
          <w:szCs w:val="21"/>
          <w:highlight w:val="none"/>
          <w:lang w:val="en-US" w:eastAsia="zh-CN" w:bidi="ar-SA"/>
        </w:rPr>
        <w:t>成交供应商应承诺保质保量、保安全文明施工、保时间交付、保农民工工资给付，否则愿意接受相应违约处理。（提供承诺书，格式自拟）</w:t>
      </w:r>
    </w:p>
    <w:p w14:paraId="65D229EB">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4.投标人应当在计算报价时，充分考虑相关成本。成交供应商应配合满足采购人对材料进行后期调整的权利。</w:t>
      </w:r>
    </w:p>
    <w:p w14:paraId="66BF7D61">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5.因工期原因发生的未按时完工而采取的各种施工措施增加费用，采购人不再另行追加。</w:t>
      </w:r>
    </w:p>
    <w:p w14:paraId="734D71D5">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6.因投标人考虑不周或现场勘查不够详细而造成的在施工过程中采取的各种措施增加费用，采购人不再另行追加。</w:t>
      </w:r>
    </w:p>
    <w:p w14:paraId="55A28B50">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7.供应商必须详细审查全部招标文件，包括修改文件和补充文件（如有），以及其他有关附件和资料，投标人参加报价即被视为同意放弃对这方面有不明及误解的权利。</w:t>
      </w:r>
    </w:p>
    <w:p w14:paraId="3709D1E6">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投标人自行对施工现场地质、现场环境条件以及地表以下的情况进行现场踏勘和仔细考察，将地下（包括障碍物、基础墩、地下管线保护、交叉等）以及地上（包括原状地貌恢复等）的各种风险因素综合在报价内。</w:t>
      </w:r>
    </w:p>
    <w:p w14:paraId="6945B61D">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9.投标人应根据项目要求和现场情况，投标报价需包含完成工程所需的设备、材料以及所有人工、管理、财务等所有费用，中标后如发现遗漏相关内容，均由成交供应商自负，采购人不再支付任何费用。</w:t>
      </w:r>
    </w:p>
    <w:p w14:paraId="2CBFCD9F">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成交供应商应保证项目施工现场文明安全，做好现场成品保护，施工前须对室内外设施设备及绿化等进行有效保护；如施工需要临时拆解设备，则要求施工完成后进行复原并保证设备复位后运行良好；室内外等非施工区域不得因施工而损坏或污染，否则需进行无偿修复或清洁。</w:t>
      </w:r>
    </w:p>
    <w:p w14:paraId="13AAE46D">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供应商、供应商工作人员在履行本合同项下义务时，自身或造成发包人/发包人人员/第三方人身、财产损害或安全事故的均由供应商负责。如供应商未在合理期限内妥善处理上述事宜，发包人有权代为处理，且供应商同意由此产生的处理和赔补费用，均从发包人应向供应商支付的款项中等额扣除。供应商确保其履行本合同项下义务不会侵犯任何第三方的合法权益。</w:t>
      </w:r>
    </w:p>
    <w:p w14:paraId="1212E0EE">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12.本合同项下，供应商违反合同约定或给发包人造成损失的，发包人有权视情况要求供应商继续履行协议或解除合同，供应商应赔偿发包人相应损失，并支付项目总额的 5% 作为违约金。供应商还应承担发包人主张权利的合理开支，包括但不限于律师费、诉讼费、仲裁受理费、调查费、差旅费、公证费、评估鉴定费、审计费、财产保全担保保险费等。</w:t>
      </w:r>
    </w:p>
    <w:p w14:paraId="0BBCEBBE">
      <w:pPr>
        <w:pStyle w:val="7"/>
        <w:rPr>
          <w:rFonts w:hint="default" w:eastAsia="宋体"/>
          <w:color w:val="auto"/>
          <w:lang w:val="en-US" w:eastAsia="zh-CN"/>
        </w:rPr>
      </w:pPr>
    </w:p>
    <w:p w14:paraId="2432B88B">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p>
    <w:p w14:paraId="2886D10F">
      <w:pPr>
        <w:keepNext w:val="0"/>
        <w:keepLines w:val="0"/>
        <w:pageBreakBefore w:val="0"/>
        <w:kinsoku/>
        <w:wordWrap/>
        <w:overflowPunct/>
        <w:topLinePunct w:val="0"/>
        <w:autoSpaceDE/>
        <w:autoSpaceDN/>
        <w:bidi w:val="0"/>
        <w:spacing w:line="360" w:lineRule="auto"/>
        <w:ind w:right="23" w:rightChars="11"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rPr>
        <w:t>对于上述项目要求，供应商应在投标文件中进行回应，做出承诺及说明。</w:t>
      </w:r>
    </w:p>
    <w:p w14:paraId="558870DC">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r>
        <w:rPr>
          <w:rFonts w:hint="eastAsia" w:ascii="仿宋" w:hAnsi="仿宋" w:eastAsia="仿宋" w:cs="仿宋"/>
          <w:color w:val="auto"/>
          <w:sz w:val="28"/>
          <w:szCs w:val="28"/>
          <w:highlight w:val="none"/>
          <w:lang w:val="en-US" w:eastAsia="zh-CN"/>
        </w:rPr>
        <w:t>附件1：围墙道路等改造工程项目工程实施方案</w:t>
      </w:r>
    </w:p>
    <w:p w14:paraId="306B2B8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围墙道路等改造工程项目</w:t>
      </w:r>
      <w:r>
        <w:rPr>
          <w:rFonts w:hint="eastAsia" w:ascii="方正小标宋_GBK" w:hAnsi="方正小标宋_GBK" w:eastAsia="方正小标宋_GBK" w:cs="方正小标宋_GBK"/>
          <w:b w:val="0"/>
          <w:bCs/>
          <w:color w:val="auto"/>
          <w:sz w:val="44"/>
          <w:szCs w:val="44"/>
        </w:rPr>
        <w:t>工程实施方案</w:t>
      </w:r>
    </w:p>
    <w:p w14:paraId="1D8698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b/>
          <w:bCs w:val="0"/>
          <w:color w:val="auto"/>
          <w:sz w:val="21"/>
          <w:szCs w:val="21"/>
        </w:rPr>
      </w:pPr>
      <w:bookmarkStart w:id="181" w:name="heading_0"/>
      <w:r>
        <w:rPr>
          <w:rFonts w:hint="eastAsia" w:ascii="宋体" w:hAnsi="宋体" w:eastAsia="宋体" w:cs="宋体"/>
          <w:b/>
          <w:bCs w:val="0"/>
          <w:color w:val="auto"/>
          <w:sz w:val="21"/>
          <w:szCs w:val="21"/>
        </w:rPr>
        <w:t>一、项目施工内容介绍</w:t>
      </w:r>
      <w:bookmarkEnd w:id="181"/>
    </w:p>
    <w:p w14:paraId="701D0F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围墙、道路、水体区域作为校园边界、师生通勤及校园景观核心区域，因长期使用出现围墙结构破损、道路承载力不足、人行通道缺失、水体驳岸变形、排水堵塞、无夜间照明、景观设施杂乱等多重问题，存在通行安全、边界防护、内涝隐患。依据校园大型修缮建设规划，对围墙、敬贤路、</w:t>
      </w:r>
      <w:r>
        <w:rPr>
          <w:rFonts w:hint="eastAsia" w:ascii="宋体" w:hAnsi="宋体" w:eastAsia="宋体" w:cs="宋体"/>
          <w:b w:val="0"/>
          <w:bCs/>
          <w:color w:val="auto"/>
          <w:sz w:val="21"/>
          <w:szCs w:val="21"/>
          <w:lang w:eastAsia="zh-CN"/>
        </w:rPr>
        <w:t>水体周边</w:t>
      </w:r>
      <w:r>
        <w:rPr>
          <w:rFonts w:hint="eastAsia" w:ascii="宋体" w:hAnsi="宋体" w:eastAsia="宋体" w:cs="宋体"/>
          <w:b w:val="0"/>
          <w:bCs/>
          <w:color w:val="auto"/>
          <w:sz w:val="21"/>
          <w:szCs w:val="21"/>
        </w:rPr>
        <w:t>实施一体化综合改造，涵盖拆除清运、围墙新建、道路沥青加铺、排水管网更新、水体驳岸重塑、栈道护栏新建、路灯安装、绿化移栽、场地铺装及配套收尾全流程施工。具体施工内容如下：</w:t>
      </w:r>
    </w:p>
    <w:p w14:paraId="14A663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1.拆除清运工程：拆除破损围墙、老旧宣传栏，破除废弃混凝土路面、旧树池、老旧盖板、破损井盖，全部建筑垃圾密闭外运消纳。</w:t>
      </w:r>
    </w:p>
    <w:p w14:paraId="4F6D6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2.围墙工程：分段新建通透式、实体围墙，围墙沿线铺设透水铺装，配套立缘、锁边石，破损路面补强。</w:t>
      </w:r>
    </w:p>
    <w:p w14:paraId="606CC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3.道路工程：敬贤路、教学楼道路铣刨加铺沥青，路面标线、减速带施工。</w:t>
      </w:r>
    </w:p>
    <w:p w14:paraId="0037A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排水工程：新建排水沟、雨水管网，更换全部老旧铸铁盖板与破损检查井。水体周边新建沥青道路，拉直重塑自然驳岸，加铺铺装；新建人行栈道，移位宣传栏、景观小品；水体临路增设防护护栏；桂花树移栽、场地清杂绿化补植。</w:t>
      </w:r>
    </w:p>
    <w:p w14:paraId="73C7A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.照明工程：敬贤路 LED 路灯基础、管线、灯杆灯具整体安装调试。</w:t>
      </w:r>
    </w:p>
    <w:p w14:paraId="04DFB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.配套工程：土方开挖回填、大型机械作业、场地保洁、成品保护、全项目缺陷整改。</w:t>
      </w:r>
    </w:p>
    <w:p w14:paraId="19206B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b/>
          <w:bCs w:val="0"/>
          <w:color w:val="auto"/>
          <w:sz w:val="21"/>
          <w:szCs w:val="21"/>
        </w:rPr>
      </w:pPr>
      <w:bookmarkStart w:id="182" w:name="heading_1"/>
      <w:r>
        <w:rPr>
          <w:rFonts w:hint="eastAsia" w:ascii="宋体" w:hAnsi="宋体" w:eastAsia="宋体" w:cs="宋体"/>
          <w:b/>
          <w:bCs w:val="0"/>
          <w:color w:val="auto"/>
          <w:sz w:val="21"/>
          <w:szCs w:val="21"/>
        </w:rPr>
        <w:t>二、项目具体做法及工程量</w:t>
      </w:r>
      <w:bookmarkEnd w:id="182"/>
    </w:p>
    <w:p w14:paraId="24E79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（一）拆除清运工程</w:t>
      </w:r>
    </w:p>
    <w:p w14:paraId="7C7DA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1.围墙及宣传栏拆除</w:t>
      </w:r>
    </w:p>
    <w:p w14:paraId="529B0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项目特征：拆除破损围墙总长614m、不锈钢宣传栏45m，拆除至原有基础，废料分类清运。</w:t>
      </w:r>
    </w:p>
    <w:p w14:paraId="0D990F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施工做法：分段人工拆除，避免震动扰动周边土体，墙体废料集中堆放外运。</w:t>
      </w:r>
    </w:p>
    <w:p w14:paraId="729F9E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2.地面及构筑物破除</w:t>
      </w:r>
    </w:p>
    <w:p w14:paraId="614C8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项目特征：破除围墙沿线混凝土人行道969㎡、园区废弃树池、旧排水沟盖板、破损井盖。</w:t>
      </w:r>
    </w:p>
    <w:p w14:paraId="34D6A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施工做法：小型机械配合人工，控制破除深度，不扰动地下原有管线。</w:t>
      </w:r>
    </w:p>
    <w:p w14:paraId="029FCE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3.建筑垃圾外运</w:t>
      </w:r>
    </w:p>
    <w:p w14:paraId="2F491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项目特征：所有拆除废渣密闭货车外运，包含消纳处置、道路保洁费用。</w:t>
      </w:r>
    </w:p>
    <w:p w14:paraId="31CFD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施工做法：每日施工垃圾当日清运，出场车辆喷淋防尘，不污染校园道路</w:t>
      </w:r>
      <w:r>
        <w:rPr>
          <w:rFonts w:hint="eastAsia" w:ascii="宋体" w:hAnsi="宋体" w:eastAsia="宋体" w:cs="宋体"/>
          <w:b w:val="0"/>
          <w:bCs/>
          <w:color w:val="auto"/>
          <w:sz w:val="21"/>
          <w:szCs w:val="21"/>
        </w:rPr>
        <w:t>。</w:t>
      </w:r>
    </w:p>
    <w:p w14:paraId="10790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（二）围墙工程</w:t>
      </w:r>
    </w:p>
    <w:p w14:paraId="294C2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1.新建通透围墙（基础利旧段）</w:t>
      </w:r>
    </w:p>
    <w:p w14:paraId="773C5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项目特征：总长391m，标准化通透围墙，原有基础加固利用。</w:t>
      </w:r>
    </w:p>
    <w:p w14:paraId="1D84D6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施工做法：基础清理加固→立柱浇筑→通透墙体安装→防腐涂装。</w:t>
      </w:r>
    </w:p>
    <w:p w14:paraId="09E02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2.新建通透围墙（新建基础段）</w:t>
      </w:r>
    </w:p>
    <w:p w14:paraId="50B02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项目特征：总长125m，全新钢筋混凝土基础+通透围墙结构。</w:t>
      </w:r>
    </w:p>
    <w:p w14:paraId="29D37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施工做法：放线开挖→垫层、基础浇筑→墙体立柱安装。</w:t>
      </w:r>
    </w:p>
    <w:p w14:paraId="26E63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3.新建实体围墙</w:t>
      </w:r>
    </w:p>
    <w:p w14:paraId="17737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项目特征：总长98m，实心砌体围墙，满足校园边界封闭防护要求。</w:t>
      </w:r>
    </w:p>
    <w:p w14:paraId="6B97C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施工做法：基槽开挖→砌筑抹灰→面层防护。</w:t>
      </w:r>
    </w:p>
    <w:p w14:paraId="2B46D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4.围墙沿线透水铺装</w:t>
      </w:r>
    </w:p>
    <w:p w14:paraId="6CC8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项目特征：铺装面积969㎡，灰色透水砖工字铺设，配套麻石立缘石、锁边石。</w:t>
      </w:r>
    </w:p>
    <w:p w14:paraId="35438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施工做法：基层整平压实→碎石垫层→透水砖铺设勾缝。</w:t>
      </w:r>
    </w:p>
    <w:p w14:paraId="77902A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5.路面开仓补强</w:t>
      </w:r>
    </w:p>
    <w:p w14:paraId="544CB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项目特征：破损混凝土路面局部修补19㎡。</w:t>
      </w:r>
    </w:p>
    <w:p w14:paraId="17E20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施工做法：切除破损部位，重新浇筑混凝土基层</w:t>
      </w:r>
      <w:r>
        <w:rPr>
          <w:rFonts w:hint="eastAsia" w:ascii="宋体" w:hAnsi="宋体" w:eastAsia="宋体" w:cs="宋体"/>
          <w:b w:val="0"/>
          <w:bCs/>
          <w:color w:val="auto"/>
          <w:sz w:val="21"/>
          <w:szCs w:val="21"/>
        </w:rPr>
        <w:t>。</w:t>
      </w:r>
    </w:p>
    <w:p w14:paraId="49E13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（三）道路工程</w:t>
      </w:r>
    </w:p>
    <w:p w14:paraId="6FA659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1.敬贤路沥青加铺</w:t>
      </w:r>
    </w:p>
    <w:p w14:paraId="06649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项目特征：原有路面铣刨处理后加铺沥青面层4261㎡。</w:t>
      </w:r>
    </w:p>
    <w:p w14:paraId="0113E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施工做法：路面清扫铣刨→粘层油→沥青摊铺碾压→养护。</w:t>
      </w:r>
    </w:p>
    <w:p w14:paraId="0D3610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2.教学楼东侧道路改造</w:t>
      </w:r>
    </w:p>
    <w:p w14:paraId="2B402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项目特征：原有路面铣刨加铺沥青205㎡。</w:t>
      </w:r>
    </w:p>
    <w:p w14:paraId="6AD01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施工做法：同主干道沥青施工工艺。</w:t>
      </w:r>
    </w:p>
    <w:p w14:paraId="52DEE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3.道路附属设施</w:t>
      </w:r>
    </w:p>
    <w:p w14:paraId="6C364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项目特征：施划热熔反光白色标线、安装橡胶减速带42m。</w:t>
      </w:r>
    </w:p>
    <w:p w14:paraId="5D0F91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施工做法：路面干燥清理后放样划线，减速膨胀螺栓固定牢固</w:t>
      </w:r>
      <w:r>
        <w:rPr>
          <w:rFonts w:hint="eastAsia" w:ascii="宋体" w:hAnsi="宋体" w:eastAsia="宋体" w:cs="宋体"/>
          <w:b w:val="0"/>
          <w:bCs/>
          <w:color w:val="auto"/>
          <w:sz w:val="21"/>
          <w:szCs w:val="21"/>
        </w:rPr>
        <w:t>。</w:t>
      </w:r>
    </w:p>
    <w:p w14:paraId="3BBBC1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w:t>
      </w:r>
      <w:r>
        <w:rPr>
          <w:rFonts w:hint="eastAsia" w:ascii="宋体" w:hAnsi="宋体" w:eastAsia="宋体" w:cs="宋体"/>
          <w:b/>
          <w:bCs w:val="0"/>
          <w:color w:val="auto"/>
          <w:sz w:val="21"/>
          <w:szCs w:val="21"/>
          <w:lang w:val="en-US" w:eastAsia="zh-CN"/>
        </w:rPr>
        <w:t>给</w:t>
      </w:r>
      <w:r>
        <w:rPr>
          <w:rFonts w:hint="eastAsia" w:ascii="宋体" w:hAnsi="宋体" w:eastAsia="宋体" w:cs="宋体"/>
          <w:b/>
          <w:bCs w:val="0"/>
          <w:color w:val="auto"/>
          <w:sz w:val="21"/>
          <w:szCs w:val="21"/>
        </w:rPr>
        <w:t>排水工程</w:t>
      </w:r>
    </w:p>
    <w:p w14:paraId="7D55A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1.新建排水沟及配套管网</w:t>
      </w:r>
    </w:p>
    <w:p w14:paraId="2EA0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项目特征：沿敬贤路新建排水沟总长55m，配套DN300HDPE雨水管道、雨水井18座。</w:t>
      </w:r>
    </w:p>
    <w:p w14:paraId="79477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施工做法：沟槽开挖→垫层→沟体浇筑→管道敷设→闭水试验。</w:t>
      </w:r>
    </w:p>
    <w:p w14:paraId="41D65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2.雨水篦、检修井安装</w:t>
      </w:r>
    </w:p>
    <w:p w14:paraId="65CFA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项目特征：300×500 球墨铸铁雨水篦、700×800 球墨检修井。</w:t>
      </w:r>
    </w:p>
    <w:p w14:paraId="61AD4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施工做法：井体找平，与路面标高顺接，保障排水无积水。</w:t>
      </w:r>
    </w:p>
    <w:p w14:paraId="0BA52B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3.老旧盖板、井盖更换</w:t>
      </w:r>
    </w:p>
    <w:p w14:paraId="4C2ABF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项目特征：水体周边、教学楼区域全部老旧混凝土盖板、破损井盖拆除更换。</w:t>
      </w:r>
    </w:p>
    <w:p w14:paraId="4865E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施工做法：拆除旧构件，调整井面标高与路面齐平。</w:t>
      </w:r>
    </w:p>
    <w:p w14:paraId="274EA2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4.水体土方与驳岸改造</w:t>
      </w:r>
    </w:p>
    <w:p w14:paraId="0D75C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项目特征：水体填土650㎡，原有驳岸拆除拉直，新建80m 景观驳岸。</w:t>
      </w:r>
    </w:p>
    <w:p w14:paraId="6444A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施工做法：分层填土压实→驳岸钢筋混凝土浇筑→面层修饰。</w:t>
      </w:r>
    </w:p>
    <w:p w14:paraId="26803B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5.园区沥青道路</w:t>
      </w:r>
    </w:p>
    <w:p w14:paraId="54B354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项目特征：水体西侧 5m 宽沥青路面、东侧 4m 沥青道路，配套基层。</w:t>
      </w:r>
    </w:p>
    <w:p w14:paraId="6147BA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施工做法：路基碾压→水稳层→沥青摊铺。</w:t>
      </w:r>
    </w:p>
    <w:p w14:paraId="789520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6.铺装、栈道、护栏</w:t>
      </w:r>
    </w:p>
    <w:p w14:paraId="1A266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项目特征：园区铺装加铺、16m 钢筋混凝土栈道、214m 钢木水体护栏。</w:t>
      </w:r>
    </w:p>
    <w:p w14:paraId="14239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施工做法：栈道钢筋现浇，护栏预埋件固定，防腐处理。</w:t>
      </w:r>
    </w:p>
    <w:p w14:paraId="0F2E4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7.构筑物移位</w:t>
      </w:r>
    </w:p>
    <w:p w14:paraId="0460C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项目特征：宣传栏整体后移1.5m、景观小品移位7m，重新浇筑基础。</w:t>
      </w:r>
    </w:p>
    <w:p w14:paraId="49C37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施工做法：分段拆解移位，新建基础找平复位。</w:t>
      </w:r>
    </w:p>
    <w:p w14:paraId="70C2E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8.苗木移栽与绿化</w:t>
      </w:r>
    </w:p>
    <w:p w14:paraId="2CBB9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项目特征：3株桂花树就近移栽，园区清杂、绿化种1500㎡。</w:t>
      </w:r>
    </w:p>
    <w:p w14:paraId="09EA6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施工做法：带土球移植，后期养护保成活</w:t>
      </w:r>
      <w:r>
        <w:rPr>
          <w:rFonts w:hint="eastAsia" w:ascii="宋体" w:hAnsi="宋体" w:eastAsia="宋体" w:cs="宋体"/>
          <w:b w:val="0"/>
          <w:bCs/>
          <w:color w:val="auto"/>
          <w:sz w:val="21"/>
          <w:szCs w:val="21"/>
        </w:rPr>
        <w:t>。</w:t>
      </w:r>
    </w:p>
    <w:p w14:paraId="3DDC5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（五）路灯安装工程</w:t>
      </w:r>
    </w:p>
    <w:p w14:paraId="76C6F8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项目特征：8m双臂LED路灯27套，配套YJV电力电缆、CPVC/SC穿线管、独立基础、接线井。</w:t>
      </w:r>
    </w:p>
    <w:p w14:paraId="7C465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施工做法：定位挖坑浇筑基础→管线敷设→灯杆灯具安装→通电全段调试</w:t>
      </w:r>
      <w:r>
        <w:rPr>
          <w:rFonts w:hint="eastAsia" w:ascii="宋体" w:hAnsi="宋体" w:eastAsia="宋体" w:cs="宋体"/>
          <w:b w:val="0"/>
          <w:bCs/>
          <w:color w:val="auto"/>
          <w:sz w:val="21"/>
          <w:szCs w:val="21"/>
        </w:rPr>
        <w:t>。</w:t>
      </w:r>
    </w:p>
    <w:p w14:paraId="4EDC1E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b/>
          <w:bCs w:val="0"/>
          <w:color w:val="auto"/>
          <w:sz w:val="21"/>
          <w:szCs w:val="21"/>
        </w:rPr>
      </w:pPr>
      <w:bookmarkStart w:id="183" w:name="heading_7"/>
      <w:r>
        <w:rPr>
          <w:rFonts w:hint="eastAsia" w:ascii="宋体" w:hAnsi="宋体" w:eastAsia="宋体" w:cs="宋体"/>
          <w:b/>
          <w:bCs w:val="0"/>
          <w:color w:val="auto"/>
          <w:sz w:val="21"/>
          <w:szCs w:val="21"/>
        </w:rPr>
        <w:t>三、施工顺序</w:t>
      </w:r>
      <w:bookmarkEnd w:id="183"/>
    </w:p>
    <w:p w14:paraId="68816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体施工流程：现场围挡防护→拆除清运施工→围墙基础及围墙砌筑→排水沟、雨水管网预埋→道路路基及沥青施工→水体、栈道、护栏施工→园区铺装绿化移栽→路灯电缆及灯具安装→道路标线、减速带收尾→全线清理保洁→分项自检→整体竣工验收</w:t>
      </w:r>
    </w:p>
    <w:p w14:paraId="7894E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1.先期封闭施工区域，分段拆除老旧围墙、破损地面并同步清运；</w:t>
      </w:r>
    </w:p>
    <w:p w14:paraId="0EE07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2.同步开展围墙基础、排水沟沟槽开挖及管线预埋；</w:t>
      </w:r>
    </w:p>
    <w:p w14:paraId="5A8A7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3.围墙主体砌筑完成后推进主干道沥青加铺；</w:t>
      </w:r>
    </w:p>
    <w:p w14:paraId="77FD1D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4.转入水体改造、道路新建、栈道护栏施工；</w:t>
      </w:r>
    </w:p>
    <w:p w14:paraId="05170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5.园区铺装、苗木移栽同步开展；</w:t>
      </w:r>
    </w:p>
    <w:p w14:paraId="052B5B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6.路灯管线、灯杆安装及系统通电调试；</w:t>
      </w:r>
    </w:p>
    <w:p w14:paraId="3D3D82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7.道路标线、减速带等附属设施完工；</w:t>
      </w:r>
    </w:p>
    <w:p w14:paraId="7A39B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8.全场清理、成品修复、分部分项自检，组织整体竣工验收。</w:t>
      </w:r>
    </w:p>
    <w:p w14:paraId="0B2C06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b/>
          <w:bCs w:val="0"/>
          <w:color w:val="auto"/>
          <w:sz w:val="21"/>
          <w:szCs w:val="21"/>
        </w:rPr>
      </w:pPr>
      <w:bookmarkStart w:id="184" w:name="heading_9"/>
      <w:r>
        <w:rPr>
          <w:rFonts w:hint="eastAsia" w:ascii="宋体" w:hAnsi="宋体" w:eastAsia="宋体" w:cs="宋体"/>
          <w:b/>
          <w:bCs w:val="0"/>
          <w:color w:val="auto"/>
          <w:sz w:val="21"/>
          <w:szCs w:val="21"/>
          <w:lang w:eastAsia="zh-CN"/>
        </w:rPr>
        <w:t>四</w:t>
      </w:r>
      <w:r>
        <w:rPr>
          <w:rFonts w:hint="eastAsia" w:ascii="宋体" w:hAnsi="宋体" w:eastAsia="宋体" w:cs="宋体"/>
          <w:b/>
          <w:bCs w:val="0"/>
          <w:color w:val="auto"/>
          <w:sz w:val="21"/>
          <w:szCs w:val="21"/>
        </w:rPr>
        <w:t>、质量控制要求</w:t>
      </w:r>
      <w:bookmarkEnd w:id="184"/>
    </w:p>
    <w:p w14:paraId="05AE51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1.拆除工程：严禁破坏校园原有完好围墙、管线、乔木，拆除垃圾当日清运，现场防尘降噪。</w:t>
      </w:r>
    </w:p>
    <w:p w14:paraId="1C03A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2.围墙工程：砌体、混凝土基础强度达标，墙体垂直平整，通透构件防腐涂层均匀，基础无沉降开裂。</w:t>
      </w:r>
    </w:p>
    <w:p w14:paraId="73068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3.道路工程：路基压实度达标，沥青摊铺厚度均匀，无裂缝、拥包，标线清晰耐磨，减速带固定牢固。</w:t>
      </w:r>
    </w:p>
    <w:p w14:paraId="09980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4.排水工程：管道坡度符合设计，闭水试验无渗漏，井面与路面平顺，不积水、无堵塞。</w:t>
      </w:r>
    </w:p>
    <w:p w14:paraId="143D2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5.水体及绿化工程：驳岸混凝土密实防水，栈道承载力达标，护栏稳固防腐，苗木移栽成活率满足绿化规范。</w:t>
      </w:r>
    </w:p>
    <w:p w14:paraId="41BCD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6.照明工程：电缆绝缘合格，接线规范接地可靠，路灯亮度均匀，无闪烁故障。</w:t>
      </w:r>
    </w:p>
    <w:p w14:paraId="4CE8A3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7.整体标准：所有分部分项严格遵循最新现行国家及市政行业规范，工程质量评定为合格，满足校园长期通行、边界防护等使用需求</w:t>
      </w:r>
      <w:r>
        <w:rPr>
          <w:rFonts w:hint="eastAsia" w:ascii="宋体" w:hAnsi="宋体" w:eastAsia="宋体" w:cs="宋体"/>
          <w:b w:val="0"/>
          <w:bCs/>
          <w:color w:val="auto"/>
          <w:sz w:val="21"/>
          <w:szCs w:val="21"/>
        </w:rPr>
        <w:t>。</w:t>
      </w:r>
    </w:p>
    <w:p w14:paraId="2A1F977F">
      <w:pPr>
        <w:adjustRightInd w:val="0"/>
        <w:snapToGrid w:val="0"/>
        <w:spacing w:before="156" w:beforeLines="50" w:line="360" w:lineRule="auto"/>
        <w:jc w:val="center"/>
        <w:outlineLvl w:val="0"/>
        <w:rPr>
          <w:rFonts w:ascii="黑体" w:hAnsi="华文中宋" w:eastAsia="黑体"/>
          <w:b w:val="0"/>
          <w:bCs w:val="0"/>
          <w:color w:val="auto"/>
          <w:sz w:val="32"/>
          <w:szCs w:val="32"/>
        </w:rPr>
      </w:pPr>
      <w:r>
        <w:rPr>
          <w:rFonts w:ascii="黑体" w:hAnsi="黑体" w:eastAsia="黑体"/>
          <w:b/>
          <w:bCs/>
          <w:color w:val="auto"/>
          <w:sz w:val="28"/>
          <w:szCs w:val="28"/>
        </w:rPr>
        <w:br w:type="page"/>
      </w:r>
      <w:bookmarkStart w:id="185" w:name="_Toc69831464"/>
      <w:bookmarkStart w:id="186" w:name="_Toc13363"/>
      <w:r>
        <w:rPr>
          <w:rFonts w:hint="eastAsia" w:ascii="黑体" w:hAnsi="黑体" w:eastAsia="黑体" w:cs="Times New Roman"/>
          <w:b w:val="0"/>
          <w:bCs w:val="0"/>
          <w:color w:val="auto"/>
          <w:sz w:val="32"/>
          <w:szCs w:val="32"/>
        </w:rPr>
        <w:t xml:space="preserve">第五章 </w:t>
      </w:r>
      <w:bookmarkEnd w:id="185"/>
      <w:bookmarkStart w:id="187" w:name="_Toc62472906"/>
      <w:bookmarkStart w:id="188" w:name="_Toc19628646"/>
      <w:r>
        <w:rPr>
          <w:rFonts w:hint="eastAsia" w:ascii="黑体" w:hAnsi="华文中宋" w:eastAsia="黑体"/>
          <w:b w:val="0"/>
          <w:bCs w:val="0"/>
          <w:color w:val="auto"/>
          <w:sz w:val="32"/>
          <w:szCs w:val="32"/>
        </w:rPr>
        <w:t>政府采购合同格式</w:t>
      </w:r>
      <w:bookmarkEnd w:id="186"/>
    </w:p>
    <w:p w14:paraId="07BEFEDB">
      <w:pPr>
        <w:spacing w:line="360" w:lineRule="exact"/>
        <w:jc w:val="center"/>
        <w:rPr>
          <w:rFonts w:ascii="黑体" w:hAnsi="宋体" w:eastAsia="黑体"/>
          <w:b/>
          <w:bCs/>
          <w:color w:val="auto"/>
          <w:sz w:val="32"/>
          <w:szCs w:val="32"/>
        </w:rPr>
      </w:pPr>
    </w:p>
    <w:p w14:paraId="6D2D5939">
      <w:pPr>
        <w:spacing w:line="660" w:lineRule="exact"/>
        <w:ind w:right="23" w:rightChars="11"/>
        <w:jc w:val="center"/>
        <w:outlineLvl w:val="1"/>
        <w:rPr>
          <w:rFonts w:hint="eastAsia" w:ascii="黑体" w:hAnsi="黑体" w:eastAsia="黑体" w:cs="Times New Roman"/>
          <w:b w:val="0"/>
          <w:bCs w:val="0"/>
          <w:color w:val="auto"/>
          <w:sz w:val="30"/>
          <w:szCs w:val="30"/>
          <w:highlight w:val="none"/>
        </w:rPr>
      </w:pPr>
      <w:bookmarkStart w:id="189" w:name="_Toc24130"/>
      <w:r>
        <w:rPr>
          <w:rFonts w:hint="eastAsia" w:ascii="黑体" w:hAnsi="黑体" w:eastAsia="黑体" w:cs="Times New Roman"/>
          <w:b w:val="0"/>
          <w:bCs w:val="0"/>
          <w:color w:val="auto"/>
          <w:sz w:val="30"/>
          <w:szCs w:val="30"/>
          <w:highlight w:val="none"/>
        </w:rPr>
        <w:t>一</w:t>
      </w:r>
      <w:r>
        <w:rPr>
          <w:rFonts w:hint="eastAsia" w:ascii="黑体" w:hAnsi="黑体" w:eastAsia="黑体" w:cs="Times New Roman"/>
          <w:b w:val="0"/>
          <w:bCs w:val="0"/>
          <w:color w:val="auto"/>
          <w:sz w:val="30"/>
          <w:szCs w:val="30"/>
          <w:highlight w:val="none"/>
          <w:lang w:eastAsia="zh-CN"/>
        </w:rPr>
        <w:t>、</w:t>
      </w:r>
      <w:r>
        <w:rPr>
          <w:rFonts w:hint="eastAsia" w:ascii="黑体" w:hAnsi="黑体" w:eastAsia="黑体" w:cs="Times New Roman"/>
          <w:b w:val="0"/>
          <w:bCs w:val="0"/>
          <w:color w:val="auto"/>
          <w:sz w:val="30"/>
          <w:szCs w:val="30"/>
          <w:highlight w:val="none"/>
        </w:rPr>
        <w:t>政府采购合同协议书</w:t>
      </w:r>
      <w:bookmarkEnd w:id="189"/>
    </w:p>
    <w:p w14:paraId="781B9F89">
      <w:pPr>
        <w:keepNext w:val="0"/>
        <w:keepLines w:val="0"/>
        <w:pageBreakBefore w:val="0"/>
        <w:kinsoku/>
        <w:wordWrap/>
        <w:overflowPunct/>
        <w:topLinePunct w:val="0"/>
        <w:autoSpaceDE/>
        <w:autoSpaceDN/>
        <w:bidi w:val="0"/>
        <w:spacing w:line="360" w:lineRule="auto"/>
        <w:jc w:val="center"/>
        <w:textAlignment w:val="auto"/>
        <w:rPr>
          <w:rFonts w:ascii="黑体" w:eastAsia="黑体"/>
          <w:color w:val="auto"/>
          <w:sz w:val="21"/>
          <w:szCs w:val="21"/>
          <w:highlight w:val="none"/>
        </w:rPr>
      </w:pPr>
    </w:p>
    <w:p w14:paraId="3C86CDF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采购合同编号：</w:t>
      </w:r>
      <w:r>
        <w:rPr>
          <w:rFonts w:hint="eastAsia" w:ascii="宋体" w:hAnsi="宋体" w:cs="宋体"/>
          <w:color w:val="auto"/>
          <w:sz w:val="21"/>
          <w:szCs w:val="21"/>
          <w:highlight w:val="none"/>
          <w:u w:val="single"/>
        </w:rPr>
        <w:t xml:space="preserve">             </w:t>
      </w:r>
    </w:p>
    <w:p w14:paraId="6269D3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 w:val="21"/>
          <w:szCs w:val="21"/>
          <w:highlight w:val="none"/>
        </w:rPr>
      </w:pPr>
    </w:p>
    <w:p w14:paraId="503D076B">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采购人（全称）：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（甲方）</w:t>
      </w:r>
    </w:p>
    <w:p w14:paraId="5959735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供应商（全称）：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（乙方）</w:t>
      </w:r>
    </w:p>
    <w:p w14:paraId="3B7AAA8B">
      <w:pPr>
        <w:pStyle w:val="9"/>
        <w:keepNext w:val="0"/>
        <w:keepLines w:val="0"/>
        <w:pageBreakBefore w:val="0"/>
        <w:kinsoku/>
        <w:wordWrap/>
        <w:overflowPunct/>
        <w:topLinePunct w:val="0"/>
        <w:autoSpaceDE/>
        <w:autoSpaceDN/>
        <w:bidi w:val="0"/>
        <w:adjustRightInd w:val="0"/>
        <w:snapToGrid w:val="0"/>
        <w:spacing w:after="0" w:line="360" w:lineRule="auto"/>
        <w:textAlignment w:val="auto"/>
        <w:rPr>
          <w:rFonts w:ascii="宋体" w:hAnsi="宋体" w:cs="宋体"/>
          <w:color w:val="auto"/>
          <w:sz w:val="21"/>
          <w:szCs w:val="21"/>
          <w:highlight w:val="none"/>
        </w:rPr>
      </w:pPr>
    </w:p>
    <w:p w14:paraId="7E68516A">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为了保护甲、乙双方合法权益，根据《中华人民共和国民法典》、《中华人民共和国政府采购法》</w:t>
      </w:r>
      <w:r>
        <w:rPr>
          <w:rFonts w:hint="eastAsia" w:ascii="宋体" w:hAnsi="宋体" w:cs="宋体"/>
          <w:color w:val="auto"/>
          <w:sz w:val="21"/>
          <w:szCs w:val="21"/>
          <w:highlight w:val="none"/>
          <w:lang w:eastAsia="zh-CN"/>
        </w:rPr>
        <w:t>、《中华人民共和国建筑法》</w:t>
      </w:r>
      <w:r>
        <w:rPr>
          <w:rFonts w:hint="eastAsia" w:ascii="宋体" w:hAnsi="宋体" w:cs="宋体"/>
          <w:color w:val="auto"/>
          <w:sz w:val="21"/>
          <w:szCs w:val="21"/>
          <w:highlight w:val="none"/>
        </w:rPr>
        <w:t>及其他有关法律、法规、规章，双方签订本合同协议书。</w:t>
      </w:r>
    </w:p>
    <w:p w14:paraId="330A603B">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一、工程概况 </w:t>
      </w:r>
    </w:p>
    <w:p w14:paraId="6598D5A6">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1.工</w:t>
      </w:r>
      <w:r>
        <w:rPr>
          <w:rFonts w:hint="eastAsia" w:ascii="宋体" w:hAnsi="宋体" w:eastAsia="宋体" w:cs="宋体"/>
          <w:color w:val="auto"/>
          <w:sz w:val="21"/>
          <w:szCs w:val="21"/>
          <w:highlight w:val="none"/>
          <w:lang w:val="en-US" w:eastAsia="zh-CN"/>
        </w:rPr>
        <w:t>程名称：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D4672E7">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工程</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E8F9B1A">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3.工程立项批准文号：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C0A059C">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4.资金来源：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1F7C361">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5.工程内容：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AD3AAED">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6.工程承包范围：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168F47C">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二、合同工期 </w:t>
      </w:r>
    </w:p>
    <w:p w14:paraId="2765E989">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计划</w:t>
      </w:r>
      <w:r>
        <w:rPr>
          <w:rFonts w:hint="eastAsia" w:ascii="宋体" w:hAnsi="宋体" w:eastAsia="宋体" w:cs="宋体"/>
          <w:color w:val="auto"/>
          <w:sz w:val="21"/>
          <w:szCs w:val="21"/>
          <w:highlight w:val="none"/>
          <w:lang w:val="en-US" w:eastAsia="zh-CN"/>
        </w:rPr>
        <w:t>开工</w:t>
      </w:r>
      <w:r>
        <w:rPr>
          <w:rFonts w:hint="eastAsia" w:ascii="宋体" w:hAnsi="宋体" w:eastAsia="宋体" w:cs="宋体"/>
          <w:color w:val="auto"/>
          <w:kern w:val="0"/>
          <w:sz w:val="21"/>
          <w:szCs w:val="21"/>
          <w:highlight w:val="none"/>
          <w:lang w:val="en-US" w:eastAsia="zh-CN" w:bidi="ar"/>
        </w:rPr>
        <w:t>日期：</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p>
    <w:p w14:paraId="71DD4957">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计划</w:t>
      </w:r>
      <w:r>
        <w:rPr>
          <w:rFonts w:hint="eastAsia" w:ascii="宋体" w:hAnsi="宋体" w:eastAsia="宋体" w:cs="宋体"/>
          <w:color w:val="auto"/>
          <w:sz w:val="21"/>
          <w:szCs w:val="21"/>
          <w:highlight w:val="none"/>
          <w:lang w:val="en-US" w:eastAsia="zh-CN"/>
        </w:rPr>
        <w:t>竣工</w:t>
      </w:r>
      <w:r>
        <w:rPr>
          <w:rFonts w:hint="eastAsia" w:ascii="宋体" w:hAnsi="宋体" w:eastAsia="宋体" w:cs="宋体"/>
          <w:color w:val="auto"/>
          <w:kern w:val="0"/>
          <w:sz w:val="21"/>
          <w:szCs w:val="21"/>
          <w:highlight w:val="none"/>
          <w:lang w:val="en-US" w:eastAsia="zh-CN" w:bidi="ar"/>
        </w:rPr>
        <w:t>日期：</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55DA4E7F">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工期总日历天数：</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天。工期总日历天数与根据前述计划开竣工日期计算的工期天 </w:t>
      </w:r>
    </w:p>
    <w:p w14:paraId="347DCFD2">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数不一致的，以工期总日历天数为准。 </w:t>
      </w:r>
    </w:p>
    <w:p w14:paraId="7DAA23EB">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三、质量标准 </w:t>
      </w:r>
    </w:p>
    <w:p w14:paraId="65DEC111">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工程质量符合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标准。 </w:t>
      </w:r>
    </w:p>
    <w:p w14:paraId="71CC00C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四、签约合同价与合同价格形式 </w:t>
      </w:r>
    </w:p>
    <w:p w14:paraId="239F477A">
      <w:pPr>
        <w:pStyle w:val="9"/>
        <w:keepNext w:val="0"/>
        <w:keepLines w:val="0"/>
        <w:pageBreakBefore w:val="0"/>
        <w:kinsoku/>
        <w:wordWrap/>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1.签约合同价为： </w:t>
      </w:r>
    </w:p>
    <w:p w14:paraId="3B46093D">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元)； </w:t>
      </w:r>
    </w:p>
    <w:p w14:paraId="24F9D40B">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其中： </w:t>
      </w:r>
    </w:p>
    <w:p w14:paraId="2E77D5C4">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（1）绿色施工安全防护措施项目费：</w:t>
      </w:r>
    </w:p>
    <w:p w14:paraId="46511C49">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元)； </w:t>
      </w:r>
    </w:p>
    <w:p w14:paraId="5C93E5AB">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（2）材料和工程设备暂估价金额：</w:t>
      </w:r>
    </w:p>
    <w:p w14:paraId="74BD2F36">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元)； </w:t>
      </w:r>
    </w:p>
    <w:p w14:paraId="3E15F249">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（3）专业工程暂估价金额： </w:t>
      </w:r>
    </w:p>
    <w:p w14:paraId="5CADF4AF">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元)； </w:t>
      </w:r>
    </w:p>
    <w:p w14:paraId="5EAF1443">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（4）暂列金额： </w:t>
      </w:r>
    </w:p>
    <w:p w14:paraId="5A3497ED">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元)； </w:t>
      </w:r>
    </w:p>
    <w:p w14:paraId="02294439">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合同价格形式：</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125024A0">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3.工程款支付： </w:t>
      </w:r>
    </w:p>
    <w:p w14:paraId="14037E9A">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59E16BDF">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五、项目经理 </w:t>
      </w:r>
    </w:p>
    <w:p w14:paraId="0F2AB6DD">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承包人项目经理：</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8DF201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六、合同文件构成 </w:t>
      </w:r>
    </w:p>
    <w:p w14:paraId="275F1D2B">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本协议书与下列文件一起构成合同文件： </w:t>
      </w:r>
    </w:p>
    <w:p w14:paraId="5F79474D">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eastAsia="zh-CN" w:bidi="ar"/>
        </w:rPr>
        <w:t xml:space="preserve">通知书； </w:t>
      </w:r>
    </w:p>
    <w:p w14:paraId="539E1602">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（2）投标函及其附录（如果有）； </w:t>
      </w:r>
    </w:p>
    <w:p w14:paraId="0396CE31">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（3）专用合同条款及其附件； </w:t>
      </w:r>
    </w:p>
    <w:p w14:paraId="202A0120">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（4）通用合同条款； </w:t>
      </w:r>
    </w:p>
    <w:p w14:paraId="0197E495">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（5）技术标准和要求； </w:t>
      </w:r>
    </w:p>
    <w:p w14:paraId="37425AC4">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（6）图纸； </w:t>
      </w:r>
    </w:p>
    <w:p w14:paraId="2327A339">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（7）已标价工程量清单或预算书； </w:t>
      </w:r>
    </w:p>
    <w:p w14:paraId="2B579800">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（8）其他合同文件。 </w:t>
      </w:r>
    </w:p>
    <w:p w14:paraId="3BABAC4A">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在合同订立及履行过程中形成的与合同有关的文件均构成合同文件组成部分。 </w:t>
      </w:r>
    </w:p>
    <w:p w14:paraId="66CA807C">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上述各项合同文件包括合同当事人就该项合同文件所作出的补充和修改，属于同一类内容的 </w:t>
      </w:r>
    </w:p>
    <w:p w14:paraId="51075769">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文件，应以最新签署的为准。专用合同条款及其附件须经合同当事人签字或盖章。 </w:t>
      </w:r>
    </w:p>
    <w:p w14:paraId="6F221099">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七、承诺 </w:t>
      </w:r>
    </w:p>
    <w:p w14:paraId="2A08C103">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val="en-US" w:eastAsia="zh-CN" w:bidi="ar"/>
        </w:rPr>
        <w:t xml:space="preserve">承诺按照法律规定履行项目审批手续、筹集工程建设资金并按照合同约定的期限和方式支付合同价款。 </w:t>
      </w:r>
    </w:p>
    <w:p w14:paraId="3083DAE2">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2.乙方承诺按照法律规定及合同约定组织完成工程施工，确保工程质量和安全，不进行转包及违法分包，并在缺陷责任期及保修期内承担相应的工程维修责任。 </w:t>
      </w:r>
    </w:p>
    <w:p w14:paraId="0994CED6">
      <w:pPr>
        <w:keepNext w:val="0"/>
        <w:keepLines w:val="0"/>
        <w:pageBreakBefore w:val="0"/>
        <w:widowControl/>
        <w:suppressLineNumbers w:val="0"/>
        <w:kinsoku/>
        <w:wordWrap/>
        <w:overflowPunct/>
        <w:topLinePunct w:val="0"/>
        <w:autoSpaceDE/>
        <w:autoSpaceDN/>
        <w:bidi w:val="0"/>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val="en-US" w:eastAsia="zh-CN" w:bidi="ar"/>
        </w:rPr>
        <w:t xml:space="preserve">和乙方通过招投标形式签订合同的，双方理解并承诺不再就同一工程另行签订与合同实质性内容相背离的协议。 </w:t>
      </w:r>
    </w:p>
    <w:p w14:paraId="0E2A3D1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八、签订时间 </w:t>
      </w:r>
    </w:p>
    <w:p w14:paraId="0D88E9A4">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本合同于</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日签订。 </w:t>
      </w:r>
    </w:p>
    <w:p w14:paraId="1B51482E">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九</w:t>
      </w:r>
      <w:r>
        <w:rPr>
          <w:rFonts w:hint="eastAsia" w:ascii="宋体" w:hAnsi="宋体" w:eastAsia="宋体" w:cs="宋体"/>
          <w:b/>
          <w:bCs/>
          <w:color w:val="auto"/>
          <w:kern w:val="0"/>
          <w:sz w:val="21"/>
          <w:szCs w:val="21"/>
          <w:highlight w:val="none"/>
          <w:lang w:val="en-US" w:eastAsia="zh-CN" w:bidi="ar"/>
        </w:rPr>
        <w:t xml:space="preserve">、签订地点 </w:t>
      </w:r>
    </w:p>
    <w:p w14:paraId="68A21675">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本合同在</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签订。 </w:t>
      </w:r>
    </w:p>
    <w:p w14:paraId="6D1A9A8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十、补充协议 </w:t>
      </w:r>
    </w:p>
    <w:p w14:paraId="63B89CEE">
      <w:pPr>
        <w:keepNext w:val="0"/>
        <w:keepLines w:val="0"/>
        <w:pageBreakBefore w:val="0"/>
        <w:widowControl/>
        <w:suppressLineNumbers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合同未尽事宜，合同当事人另行签订补充协议，补充协议是合同的组成部分。 </w:t>
      </w:r>
    </w:p>
    <w:p w14:paraId="5492AAF8">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十一、合同生效</w:t>
      </w:r>
    </w:p>
    <w:p w14:paraId="62450D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本合同自</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生效。</w:t>
      </w:r>
    </w:p>
    <w:p w14:paraId="11A1605D">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十二、合同份数</w:t>
      </w:r>
    </w:p>
    <w:p w14:paraId="7E81565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本合同一式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执</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份，均具有同等法律效力。</w:t>
      </w:r>
    </w:p>
    <w:p w14:paraId="498A5E4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1"/>
          <w:szCs w:val="21"/>
          <w:highlight w:val="none"/>
        </w:rPr>
      </w:pPr>
    </w:p>
    <w:p w14:paraId="0EA4B8B5">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合同订立时间：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056FE3A">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合同订立地点：</w:t>
      </w:r>
      <w:r>
        <w:rPr>
          <w:rFonts w:hint="eastAsia" w:ascii="宋体" w:hAnsi="宋体" w:cs="宋体"/>
          <w:color w:val="auto"/>
          <w:sz w:val="21"/>
          <w:szCs w:val="21"/>
          <w:highlight w:val="none"/>
          <w:u w:val="single"/>
        </w:rPr>
        <w:t xml:space="preserve">                           </w:t>
      </w:r>
    </w:p>
    <w:p w14:paraId="506D8AE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3B4FC5D">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甲      方：（公章）                    乙      方：（公章）</w:t>
      </w:r>
    </w:p>
    <w:p w14:paraId="2E0CDE74">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法定代表人：</w:t>
      </w:r>
      <w:r>
        <w:rPr>
          <w:rFonts w:hint="eastAsia" w:ascii="宋体" w:hAnsi="宋体" w:cs="宋体"/>
          <w:color w:val="auto"/>
          <w:sz w:val="21"/>
          <w:szCs w:val="21"/>
          <w:highlight w:val="none"/>
          <w:u w:val="single"/>
        </w:rPr>
        <w:t xml:space="preserve">                   </w:t>
      </w:r>
    </w:p>
    <w:p w14:paraId="50FA2416">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委托代理人：</w:t>
      </w:r>
      <w:r>
        <w:rPr>
          <w:rFonts w:hint="eastAsia" w:ascii="宋体" w:hAnsi="宋体" w:cs="宋体"/>
          <w:color w:val="auto"/>
          <w:sz w:val="21"/>
          <w:szCs w:val="21"/>
          <w:highlight w:val="none"/>
          <w:u w:val="single"/>
        </w:rPr>
        <w:t xml:space="preserve">                   </w:t>
      </w:r>
    </w:p>
    <w:p w14:paraId="77F4E58E">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w:t>
      </w:r>
    </w:p>
    <w:p w14:paraId="388E27EC">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14:paraId="3442F89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开 户 银 行：</w:t>
      </w:r>
      <w:r>
        <w:rPr>
          <w:rFonts w:hint="eastAsia" w:ascii="宋体" w:hAnsi="宋体" w:cs="宋体"/>
          <w:color w:val="auto"/>
          <w:sz w:val="21"/>
          <w:szCs w:val="21"/>
          <w:highlight w:val="none"/>
          <w:u w:val="single"/>
        </w:rPr>
        <w:t xml:space="preserve">                  </w:t>
      </w:r>
    </w:p>
    <w:p w14:paraId="74D4002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 xml:space="preserve">             帐       号：</w:t>
      </w:r>
      <w:r>
        <w:rPr>
          <w:rFonts w:hint="eastAsia" w:ascii="宋体" w:hAnsi="宋体" w:cs="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14:paraId="6F0772F4">
      <w:pPr>
        <w:adjustRightInd w:val="0"/>
        <w:snapToGrid w:val="0"/>
        <w:spacing w:line="336" w:lineRule="auto"/>
        <w:jc w:val="center"/>
        <w:outlineLvl w:val="1"/>
        <w:rPr>
          <w:rFonts w:hint="eastAsia" w:ascii="黑体" w:hAnsi="黑体" w:eastAsia="黑体" w:cs="Times New Roman"/>
          <w:b w:val="0"/>
          <w:bCs w:val="0"/>
          <w:color w:val="auto"/>
          <w:sz w:val="30"/>
          <w:szCs w:val="30"/>
          <w:highlight w:val="none"/>
        </w:rPr>
      </w:pPr>
      <w:r>
        <w:rPr>
          <w:rFonts w:hint="eastAsia" w:ascii="黑体" w:hAnsi="华文中宋" w:eastAsia="黑体"/>
          <w:bCs/>
          <w:color w:val="auto"/>
          <w:sz w:val="30"/>
          <w:szCs w:val="30"/>
          <w:highlight w:val="none"/>
        </w:rPr>
        <w:br w:type="page"/>
      </w:r>
      <w:bookmarkStart w:id="190" w:name="_Toc16195"/>
      <w:r>
        <w:rPr>
          <w:rFonts w:hint="eastAsia" w:ascii="黑体" w:hAnsi="黑体" w:eastAsia="黑体" w:cs="Times New Roman"/>
          <w:b w:val="0"/>
          <w:bCs w:val="0"/>
          <w:color w:val="auto"/>
          <w:sz w:val="30"/>
          <w:szCs w:val="30"/>
          <w:highlight w:val="none"/>
        </w:rPr>
        <w:t>二、通用合同条款</w:t>
      </w:r>
      <w:bookmarkEnd w:id="190"/>
    </w:p>
    <w:p w14:paraId="4270D754">
      <w:pPr>
        <w:keepNext w:val="0"/>
        <w:keepLines w:val="0"/>
        <w:pageBreakBefore w:val="0"/>
        <w:widowControl/>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1.一般约定 </w:t>
      </w:r>
    </w:p>
    <w:p w14:paraId="4F345D02">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1.1词语定义与解释</w:t>
      </w:r>
    </w:p>
    <w:p w14:paraId="1E77FC10">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合同协议书、通用合同条款、专用合同条款中的下列词语具有本款所赋予的含义： </w:t>
      </w:r>
    </w:p>
    <w:p w14:paraId="370BDC40">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1.1.1合同 </w:t>
      </w:r>
    </w:p>
    <w:p w14:paraId="2FC43FFB">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 </w:t>
      </w:r>
    </w:p>
    <w:p w14:paraId="3891901A">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1.1.1.2合同协议书：是指构成合同的由发包人和承包人共同签署的称为“合同协议书”的书面文件。 </w:t>
      </w:r>
    </w:p>
    <w:p w14:paraId="47D50315">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1.1.1.3中标通知书：是指构成合同的由发包人通知承包人中标的书面文件。 </w:t>
      </w:r>
    </w:p>
    <w:p w14:paraId="73A4E3C7">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1.1.1.4投标函：是指构成合同的由承包人填写并签署的用于投标的称为“投标函 ”的文件。 </w:t>
      </w:r>
    </w:p>
    <w:p w14:paraId="783E5DED">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1.1.1.5投标函附录：是指构成合同的附在投标函后的称为“投标函附录”的文件。 </w:t>
      </w:r>
    </w:p>
    <w:p w14:paraId="44BCBD79">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1.1.1.6技术标准和要求：是指构成合同的施工应当遵守的或指导施工的国家、行业或地方的技术标准和要求，以及合同约定的技术标准和要求。 </w:t>
      </w:r>
    </w:p>
    <w:p w14:paraId="5E2ED167">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1.1.1.7图纸：是指构成合同的图纸，包括由发包人按照合同约定提供或经发包人批准的设计文件、施工图、鸟瞰图及模型等，以及在合同履行过程中形成的图纸文件。图纸应当按照法律规定审查合格。 </w:t>
      </w:r>
    </w:p>
    <w:p w14:paraId="704921A6">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1.1.1.8已标价工程量清单：是指构成合同的由承包人按照规定的格式和要求填写并标明价格的工程量清单，包括说明和表格。 </w:t>
      </w:r>
    </w:p>
    <w:p w14:paraId="4328470C">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1.1.1.9预算书：是指构成合同的由承包人按照发包人规定的格式和要求编制的工程预算文件。 </w:t>
      </w:r>
    </w:p>
    <w:p w14:paraId="1729A6B0">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1.1.1.10其他合同文件：是指经合同当事人约定的与工程施工有关的具有合同约束力的文件或书面协议。合同当事人可以在专用合同条款中进行约定。 </w:t>
      </w:r>
    </w:p>
    <w:p w14:paraId="3000692C">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1.1.2合同当事人及其他相关方 </w:t>
      </w:r>
    </w:p>
    <w:p w14:paraId="33A78964">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1.1.2.1合同当事人：是指发包人和（或）承包人。 </w:t>
      </w:r>
    </w:p>
    <w:p w14:paraId="758CD3CD">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1.1.2.2发包人：是指与承包人签订合同协议书的当事人及取得该当事人资格的合法继承人。 </w:t>
      </w:r>
    </w:p>
    <w:p w14:paraId="1A925703">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1.1.2.3承包人：是指与发包人签订合同协议书的，具有相应工程施工承包资质的当事人及取得该当事人资格的合法继承人。 </w:t>
      </w:r>
    </w:p>
    <w:p w14:paraId="109A7710">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1.1.2.4监理人：是指在专用合同条款中指明的，受发包人委托按照法律规定进行工程监督管理的法人或其他组织。 </w:t>
      </w:r>
    </w:p>
    <w:p w14:paraId="4A3DE02C">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1.1.2.5设计人：是指在专用合同条款中指明的，受发包人委托负责工程设计并具备相应工程设计资质的法人或其他组织。 </w:t>
      </w:r>
    </w:p>
    <w:p w14:paraId="4A075F77">
      <w:pPr>
        <w:keepNext w:val="0"/>
        <w:keepLines w:val="0"/>
        <w:pageBreakBefore w:val="0"/>
        <w:kinsoku/>
        <w:wordWrap/>
        <w:overflowPunct/>
        <w:topLinePunct w:val="0"/>
        <w:autoSpaceDE/>
        <w:autoSpaceDN/>
        <w:bidi w:val="0"/>
        <w:snapToGrid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1.1.2.6分包人：是指按照法律规定和合同约定，分包部分工程或工作，并与承包人签订分包合同的具有相应资质的法人。</w:t>
      </w:r>
    </w:p>
    <w:p w14:paraId="11E2C56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1.1.2.7发包人代表：是指由发包人任命并派驻施工现场在发包人授权范围内行使发包人权利的人。 </w:t>
      </w:r>
    </w:p>
    <w:p w14:paraId="7578BF5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1.1.2.8项目经理：是指由承包人任命并派驻施工现场，在承包人授权范围内负责合同履行，且按照法律规定具有相应资格的项目负责人。</w:t>
      </w:r>
    </w:p>
    <w:p w14:paraId="5653B4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1.1.2.9总监理工程师：是指由监理人任命并派驻施工现场进行工程监理的总负责人。 </w:t>
      </w:r>
    </w:p>
    <w:p w14:paraId="2CEAB21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1.1.3工程和设备 </w:t>
      </w:r>
    </w:p>
    <w:p w14:paraId="551AA5D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1.1.3.1工程：是指与合同协议书中工程承包范围对应的永久工程和（或）临时工程。 </w:t>
      </w:r>
    </w:p>
    <w:p w14:paraId="081119A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1.1.3.2永久工程：是指按合同约定建造并移交给发包人的工程，包括工程设备。 </w:t>
      </w:r>
    </w:p>
    <w:p w14:paraId="1EB1B6A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1.1.3.3临时工程：是指为完成合同约定的永久工程所修建的各类临时性工程，不包括施工设备。 </w:t>
      </w:r>
    </w:p>
    <w:p w14:paraId="7290F62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1.1.3.4单位工程：是指在合同协议书中指明的，具备独立施工条件并能形成独立使用功能的永久工程。 </w:t>
      </w:r>
    </w:p>
    <w:p w14:paraId="382AC52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1.1.3.5工程设备：是指构成永久工程的机电设备、金属结构设备、仪器及其他类似的设备和装置。 </w:t>
      </w:r>
    </w:p>
    <w:p w14:paraId="562EE40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1.1.3.6施工设备：是指为完成合同约定的各项工作所需的设备、器具和其他物品，但不包括工程设备、临时工程和材料。 </w:t>
      </w:r>
    </w:p>
    <w:p w14:paraId="2F79479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1.1.3.7施工现场：是指用于工程施工的场所，以及在专用合同条款中指明作为施工场所组成部分的其他场所，包括永久占地和临时占地。</w:t>
      </w:r>
    </w:p>
    <w:p w14:paraId="2F98B79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1.1.3.8临时设施：是指为完成合同约定的各项工作所服务的临时性生产和生活设施。 </w:t>
      </w:r>
    </w:p>
    <w:p w14:paraId="34E8CFE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1.1.3.9永久占地：是指专用合同条款中指明为实施工程需永久占用的土地。 </w:t>
      </w:r>
    </w:p>
    <w:p w14:paraId="2D5A6A5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1.1.3.10临时占地：是指专用合同条款中指明为实施工程需要临时占用的土地。 </w:t>
      </w:r>
    </w:p>
    <w:p w14:paraId="45AA471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1.1.4日期和期限 </w:t>
      </w:r>
    </w:p>
    <w:p w14:paraId="7923EB0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1.1.4.1开工日期：包括计划开工日期和实际开工日期。计划开工日期是指合同协议书约定的开工日期；实际开工日期是指监理人按照第 7.3.2项〔开工通知〕约定发出的符合法律规定开工通知中载明的开工日期。 </w:t>
      </w:r>
    </w:p>
    <w:p w14:paraId="34A9C72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1.1.4.2竣工日期：包括计划竣工日期和实际竣工日期。计划竣工日期是指合同协议书约定的竣工日期；实际竣工日期按照第 13.2.3项〔竣工日期〕的约定确定。 </w:t>
      </w:r>
    </w:p>
    <w:p w14:paraId="0F91D7D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1.1.4.3工期：是指在合同协议书约定的承包人完成工程所需的期限，包括按照合同约定所作的期限变更。 </w:t>
      </w:r>
    </w:p>
    <w:p w14:paraId="709554D6">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1.1.4.4缺陷责任期：是指承包人按照合同约定承担缺陷修复义务，且发包人预留质量保证金的期限，自工程实际竣工日期起计算。 </w:t>
      </w:r>
    </w:p>
    <w:p w14:paraId="614DC0B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1.1.4.5保修期：是指承包人按照合同约定对工程承担保修责任的期限，从工程竣工验收合格之日起计算。 </w:t>
      </w:r>
    </w:p>
    <w:p w14:paraId="3C054D26">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1.1.4.6基准日期：招标发包的工程以投标截止日前 28天的日期为基准日期，直接发包的工程以合同签订日前 28天的日期为基准日期。 </w:t>
      </w:r>
    </w:p>
    <w:p w14:paraId="615FC74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1.1.4.7天：除特别指明外，均指日历天。合同中按天计算时间的，开始当天不计入，从次日开始计算，期限最后一天的截止时间为当天 24:00时。 </w:t>
      </w:r>
    </w:p>
    <w:p w14:paraId="7EF3AAD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1.1.5合同价格和费用 </w:t>
      </w:r>
    </w:p>
    <w:p w14:paraId="22958A1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1.1.5.1签约合同价：是指发包人和承包人在合同协议书中确定的总金额，包括安全文明施工费、暂估价及暂列金额等。 </w:t>
      </w:r>
    </w:p>
    <w:p w14:paraId="230D277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1.1.5.2合同价格：是指发包人用于支付承包人按照合同约定完成承包范围内全部工作的金额，包括合同履行过程中按合同约定发生的价格变化。 </w:t>
      </w:r>
    </w:p>
    <w:p w14:paraId="664793E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1.1.5.3费用：是指为履行合同所发生的或将要发生的所有必需的开支，包括管理费和应分摊的其他费用，但不包括利润。 </w:t>
      </w:r>
    </w:p>
    <w:p w14:paraId="0261620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1.1.5.4暂估价：是指发包人在工程量清单或预算书中提供的用于支付必然发生但暂时不能确定价格的材料、工程设备的单价、专业工程以及服务工作的金额。 </w:t>
      </w:r>
    </w:p>
    <w:p w14:paraId="14593E3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 </w:t>
      </w:r>
    </w:p>
    <w:p w14:paraId="5C1917D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1.1.5.6计日工：是指合同履行过程中，承包人完成发包人提出的零星工作或需要采用计日工计价的变更工作时，按合同中约定的单价计价的一种方式。 </w:t>
      </w:r>
    </w:p>
    <w:p w14:paraId="7353012A">
      <w:pPr>
        <w:keepNext w:val="0"/>
        <w:keepLines w:val="0"/>
        <w:pageBreakBefore w:val="0"/>
        <w:kinsoku/>
        <w:wordWrap/>
        <w:overflowPunct/>
        <w:topLinePunct w:val="0"/>
        <w:autoSpaceDE/>
        <w:autoSpaceDN/>
        <w:bidi w:val="0"/>
        <w:spacing w:line="380" w:lineRule="exact"/>
        <w:ind w:right="23" w:rightChars="11" w:firstLine="396" w:firstLineChars="200"/>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1.1.5.7质量保证金：是指按照第15.3款〔质量保证金〕约定承包人用于保证其在缺陷责任期内履行缺陷修补义务的担保。</w:t>
      </w:r>
    </w:p>
    <w:p w14:paraId="289EC90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1.1.5.8总价项目：是指在现行国家、行业以及地方的计量规则中无工程量计算规则，在已标价工程量清单或预算书中以总价或以费率形式计算的项目。 </w:t>
      </w:r>
    </w:p>
    <w:p w14:paraId="5E3A1BF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1.1.6其他 </w:t>
      </w:r>
    </w:p>
    <w:p w14:paraId="1E68DD5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1.1.6.1书面形式：是指合同文件、信函、电报、传真等可以有形地表现所载内容的形式。 </w:t>
      </w:r>
    </w:p>
    <w:p w14:paraId="15995B21">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1.2语言文字</w:t>
      </w:r>
    </w:p>
    <w:p w14:paraId="2AD31D0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合同以中国的汉语简体文字编写、解释和说明。合同当事人在专用合同条款中约定使用两种以上语言时，汉语为优先解释和说明合同的语言。 </w:t>
      </w:r>
    </w:p>
    <w:p w14:paraId="75E9B97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 1.3法律</w:t>
      </w:r>
    </w:p>
    <w:p w14:paraId="57BC6E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合同所称法律是指中华人民共和国法律、行政法规、部门规章，以及工程所在地的地方性法规、自治条例、单行条例和地方政府规章等。合同当事人可以在专用合同条款中约定合同适用的其他规范性文件。 </w:t>
      </w:r>
    </w:p>
    <w:p w14:paraId="2B740E9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 1.4标准和规范 </w:t>
      </w:r>
    </w:p>
    <w:p w14:paraId="02CD783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1.4.1适用于工程的国家标准、行业标准、工程所在地的地方性标准，以及相应的规范、规程等，合同当事人有特别要求的，应在专用合同条款中约定。 </w:t>
      </w:r>
    </w:p>
    <w:p w14:paraId="433D058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1.4.2发包人要求使用国外标准、规范的，发包人负责提供原文版本和中文译本，并在专用合同条款中约定提供标准规范的名称、份数和时间。 </w:t>
      </w:r>
    </w:p>
    <w:p w14:paraId="0322B1B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 </w:t>
      </w:r>
    </w:p>
    <w:p w14:paraId="503852C8">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1.5合同文件的优先顺序</w:t>
      </w:r>
    </w:p>
    <w:p w14:paraId="15E90CD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组成合同的各项文件应互相解释，互为说明。除专用合同条款另有约定外，解释合同文件的优先顺序如下：</w:t>
      </w:r>
    </w:p>
    <w:p w14:paraId="36B651D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（1）合同协议书；</w:t>
      </w:r>
    </w:p>
    <w:p w14:paraId="47C0FC6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（2）中标通知书（如果有）；</w:t>
      </w:r>
    </w:p>
    <w:p w14:paraId="504013D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（3）投标函及其附录（如果有）；</w:t>
      </w:r>
    </w:p>
    <w:p w14:paraId="4977A53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（4）专用合同条款及其附件；</w:t>
      </w:r>
    </w:p>
    <w:p w14:paraId="680305F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（5）通用合同条款；</w:t>
      </w:r>
    </w:p>
    <w:p w14:paraId="460CF57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（6）技术标准和要求；</w:t>
      </w:r>
    </w:p>
    <w:p w14:paraId="1756B44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（7）图纸；</w:t>
      </w:r>
    </w:p>
    <w:p w14:paraId="397FFFD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（8）已标价工程量清单或预算书；</w:t>
      </w:r>
    </w:p>
    <w:p w14:paraId="047901B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（9）其他合同文件。</w:t>
      </w:r>
    </w:p>
    <w:p w14:paraId="10F4202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p>
    <w:p w14:paraId="2046841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1.6图纸和承包人文件 </w:t>
      </w:r>
    </w:p>
    <w:p w14:paraId="675DEB7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1.6.1图纸的提供和交底</w:t>
      </w:r>
    </w:p>
    <w:p w14:paraId="7DD4768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发包人应按照专用合同条款约定的期限、数量和内容向承包人免费提供图纸，并组织承包人、监理人和设计人进行图纸会审和设计交底。发包人至迟不得晚于第 7.3.2项〔开工通知〕载明的开工日期前 14天向承包人提供图纸。</w:t>
      </w:r>
    </w:p>
    <w:p w14:paraId="18B2F02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因发包人未按合同约定提供图纸导致承包人费用增加和（或）工期延误的，按照第 7.5.1项〔因发包人原因导致工期延误〕约定办理。 </w:t>
      </w:r>
    </w:p>
    <w:p w14:paraId="6F48103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1.6.2图纸的错误</w:t>
      </w:r>
    </w:p>
    <w:p w14:paraId="6DF5D73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 </w:t>
      </w:r>
    </w:p>
    <w:p w14:paraId="591D80B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1.6.3图纸的修改和补充</w:t>
      </w:r>
    </w:p>
    <w:p w14:paraId="28A7015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图纸需要修改和补充的，应经图纸原设计人及审批部门同意，并由监理人在工程或工程相应部位施工前将修改后的图纸或补充图纸提交给承包人，承包人应按修改或补充后的图纸施工。 </w:t>
      </w:r>
    </w:p>
    <w:p w14:paraId="75B1100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1.6.4承包人文件</w:t>
      </w:r>
    </w:p>
    <w:p w14:paraId="28FA467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承包人应按照专用合同条款的约定提供应当由其编制的与工程施工有关的文件，并按照专用合同条款约定的期限、数量和形式提交监理人，并由监理人报送发包人。</w:t>
      </w:r>
    </w:p>
    <w:p w14:paraId="041E3F2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除专用合同条款另有约定外，监理人应在收到承包人文件后 7天内审查完毕，监理人对承包人文件有异议的，承包人应予以修改，并重新报送监理人。监理人的审查并不减轻或免除承包人根据合同约定应当承担的责任。 </w:t>
      </w:r>
    </w:p>
    <w:p w14:paraId="12CAE18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1.6.5图纸和承包人文件的保管</w:t>
      </w:r>
    </w:p>
    <w:p w14:paraId="2C16A8D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除专用合同条款另有约定外，承包人应在施工现场另外保存一套完整的图纸和承包人文件，供发包人、监理人及有关人员进行工程检查时使用。 </w:t>
      </w:r>
    </w:p>
    <w:p w14:paraId="15B56F6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1.7联络 </w:t>
      </w:r>
    </w:p>
    <w:p w14:paraId="538FAFE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1.7.1与合同有关的通知、批准、证明、证书、指示、指令、要求、请求、同意、意见、确定和决定等，均应采用书面形式，并应在合同约定的期限内送达接收人和送达地点。 </w:t>
      </w:r>
    </w:p>
    <w:p w14:paraId="6FEB7661">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1.7.2发包人和承包人应在专用合同条款中约定各自的送达接收人和送达地点。任何一方合同当事人指定的接收人或送达地点发生变动的，应提前 3天以书面形式通知对方。 </w:t>
      </w:r>
    </w:p>
    <w:p w14:paraId="0F474D2B">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1.7.3发包人和承包人应当及时签收另一方送达至送达地点和指定接收人的来往信函。拒不签收的，由此增加的费用和（或）延误的工期由拒绝接收一方承担。 </w:t>
      </w:r>
    </w:p>
    <w:p w14:paraId="1FCCE2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1.8严禁贿赂</w:t>
      </w:r>
    </w:p>
    <w:p w14:paraId="769D525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合同当事人不得以贿赂或变相贿赂的方式，谋取非法利益或损害对方权益。因一方合同当事人的贿赂造成对方损失的，应赔偿损失，并承担相应的法律责任。</w:t>
      </w:r>
    </w:p>
    <w:p w14:paraId="3950516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承包人不得与监理人或发包人聘请的第三方串通损害发包人利益。未经发包人书面同意，承包人不得为监理人提供合同约定以外的通讯设备、交通工具及其他任何形式的利益，不得向监理人支付报酬。 </w:t>
      </w:r>
    </w:p>
    <w:p w14:paraId="4EBD433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1.9化石、文物</w:t>
      </w:r>
    </w:p>
    <w:p w14:paraId="4932A1A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522683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发包人、监理人和承包人应按有关政府行政管理部门要求采取妥善的保护措施，由此增加的费用和（或）延误的工期由发包人承担。</w:t>
      </w:r>
    </w:p>
    <w:p w14:paraId="78CE7C1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承包人发现文物后不及时报告或隐瞒不报，致使文物丢失或损坏的，应赔偿损失，并承担相应的法律责任。 </w:t>
      </w:r>
    </w:p>
    <w:p w14:paraId="218BEAD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1.10交通运输 </w:t>
      </w:r>
    </w:p>
    <w:p w14:paraId="49E5169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1.10.1出入现场的权利</w:t>
      </w:r>
    </w:p>
    <w:p w14:paraId="7BEE554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9217FB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承包人应在订立合同前查勘施工现场，并根据工程规模及技术参数合理预见工程施工所需的进出施工现场的方式、手段、路径等。因承包人未合理预见所增加的费用和（或）延误的工期由承包人承担。</w:t>
      </w:r>
    </w:p>
    <w:p w14:paraId="7840B18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1.10.2场外交通</w:t>
      </w:r>
    </w:p>
    <w:p w14:paraId="753C343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 </w:t>
      </w:r>
    </w:p>
    <w:p w14:paraId="79A09C3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1.10.3场内交通</w:t>
      </w:r>
    </w:p>
    <w:p w14:paraId="037C3A4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5F444A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 </w:t>
      </w:r>
    </w:p>
    <w:p w14:paraId="4653072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1.10.4超大件和超重件的运输</w:t>
      </w:r>
    </w:p>
    <w:p w14:paraId="43E59B5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 </w:t>
      </w:r>
    </w:p>
    <w:p w14:paraId="3A7365A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1.10.5道路和桥梁的损坏责任</w:t>
      </w:r>
    </w:p>
    <w:p w14:paraId="67E5047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因承包人运输造成施工场地内外公共道路和桥梁损坏的，由承包人承担修复损坏的全部费用和可能引起的赔偿。 </w:t>
      </w:r>
    </w:p>
    <w:p w14:paraId="631B9A5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1.10.6水路和航空运输</w:t>
      </w:r>
    </w:p>
    <w:p w14:paraId="201C4CC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本款前述各项的内容适用于水路运输和航空运输，其中“道路”一词的涵义包括河道、航线、船闸、机场、码头、堤防以及水路或航空运输中其他相似结构物；“车辆”一词的涵义包括船舶和飞机等。 </w:t>
      </w:r>
    </w:p>
    <w:p w14:paraId="4F1CF23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1.11知识产权 </w:t>
      </w:r>
    </w:p>
    <w:p w14:paraId="2272E15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w:t>
      </w:r>
    </w:p>
    <w:p w14:paraId="0800EE65">
      <w:pPr>
        <w:keepNext w:val="0"/>
        <w:keepLines w:val="0"/>
        <w:pageBreakBefore w:val="0"/>
        <w:kinsoku/>
        <w:wordWrap/>
        <w:overflowPunct/>
        <w:topLinePunct w:val="0"/>
        <w:autoSpaceDE/>
        <w:autoSpaceDN/>
        <w:bidi w:val="0"/>
        <w:spacing w:line="380" w:lineRule="exact"/>
        <w:ind w:right="23" w:rightChars="11" w:firstLine="396" w:firstLineChars="200"/>
        <w:rPr>
          <w:rFonts w:hint="eastAsia" w:ascii="宋体" w:hAnsi="宋体" w:cs="宋体"/>
          <w:color w:val="auto"/>
          <w:spacing w:val="-4"/>
          <w:kern w:val="0"/>
          <w:szCs w:val="21"/>
          <w:highlight w:val="none"/>
        </w:rPr>
      </w:pPr>
      <w:r>
        <w:rPr>
          <w:rFonts w:hint="eastAsia" w:ascii="宋体" w:hAnsi="宋体" w:cs="宋体"/>
          <w:color w:val="auto"/>
          <w:spacing w:val="-6"/>
          <w:kern w:val="0"/>
          <w:szCs w:val="21"/>
          <w:highlight w:val="none"/>
        </w:rPr>
        <w:t>1.11.2除专用合同条款另有约定外，承包人为实施工程所编制的文件，</w:t>
      </w:r>
      <w:r>
        <w:rPr>
          <w:rFonts w:hint="eastAsia" w:ascii="宋体" w:hAnsi="宋体" w:cs="宋体"/>
          <w:color w:val="auto"/>
          <w:spacing w:val="-4"/>
          <w:kern w:val="0"/>
          <w:szCs w:val="21"/>
          <w:highlight w:val="none"/>
        </w:rPr>
        <w:t xml:space="preserve">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05073C0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97B1CA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1.11.4除专用合同条款另有约定外，承包人在合同签订前和签订时已确定采用的专利、专有技术、技术秘密的使用费已包含在签约合同价中。 </w:t>
      </w:r>
    </w:p>
    <w:p w14:paraId="41AEF1E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1.12保密</w:t>
      </w:r>
    </w:p>
    <w:p w14:paraId="0F3C7AC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除法律规定或合同另有约定外，未经发包人同意，承包人不得将发包人提供的图纸、文件以及声明需要保密的资料信息等商业秘密泄露给第三方。</w:t>
      </w:r>
    </w:p>
    <w:p w14:paraId="1A4606D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除法律规定或合同另有约定外，未经承包人同意，发包人不得将承包人提供的技术秘密及声明需要保密的资料信息等商业秘密泄露给第三方。 </w:t>
      </w:r>
    </w:p>
    <w:p w14:paraId="0EAC044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1.13工程量清单错误的修正</w:t>
      </w:r>
    </w:p>
    <w:p w14:paraId="6C6B3B6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除专用合同条款另有约定外，发包人提供的工程量清单，应被认为是准确的和完整的。出现下列情形之一时，发包人应予以修正，并相应调整合同价格：</w:t>
      </w:r>
    </w:p>
    <w:p w14:paraId="5111B40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（1）工程量清单存在缺项、漏项的；</w:t>
      </w:r>
    </w:p>
    <w:p w14:paraId="67A5E25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（2）工程量清单偏差超出专用合同条款约定的工程量偏差范围的；</w:t>
      </w:r>
    </w:p>
    <w:p w14:paraId="2FF7A09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（3）未按照国家现行计量规范强制性规定计量的。 </w:t>
      </w:r>
    </w:p>
    <w:p w14:paraId="7562BE3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2.发包人 </w:t>
      </w:r>
    </w:p>
    <w:p w14:paraId="37BB70B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2.1许可或批准</w:t>
      </w:r>
    </w:p>
    <w:p w14:paraId="14D955F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9512A3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因发包人原因未能及时办理完毕前述许可、批准或备案，由发包人承担由此增加的费用和（或）延误的工期，并支付承包人合理的利润。 </w:t>
      </w:r>
    </w:p>
    <w:p w14:paraId="78E5205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2.2发包人代表</w:t>
      </w:r>
    </w:p>
    <w:p w14:paraId="25C61A8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 7天书面通知承包人。</w:t>
      </w:r>
    </w:p>
    <w:p w14:paraId="38A7014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发包人代表不能按照合同约定履行其职责及义务，并导致合同无法继续正常履行的，承包人可以要求发包人撤换发包人代表。</w:t>
      </w:r>
    </w:p>
    <w:p w14:paraId="5BF404E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不属于法定必须监理的工程，监理人的职权可以由发包人代表或发包人指定的其他人员行使。 </w:t>
      </w:r>
    </w:p>
    <w:p w14:paraId="355DE51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2.3发包人人员</w:t>
      </w:r>
    </w:p>
    <w:p w14:paraId="641FA18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6DF464C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发包人人员包括发包人代表及其他由发包人派驻施工现场的人员。</w:t>
      </w:r>
    </w:p>
    <w:p w14:paraId="21B27D6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2.4施工现场、施工条件和基础资料的提供 </w:t>
      </w:r>
    </w:p>
    <w:p w14:paraId="2EE7BB4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2.4.1提供施工现场</w:t>
      </w:r>
    </w:p>
    <w:p w14:paraId="64BDF39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除专用合同条款另有约定外，发包人应最迟于开工日期 7天前向承包人移交施工现场。 </w:t>
      </w:r>
    </w:p>
    <w:p w14:paraId="2905DD6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2.4.2提供施工条件</w:t>
      </w:r>
    </w:p>
    <w:p w14:paraId="470D9B1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除专用合同条款另有约定外，发包人应负责提供施工所需要的条件，包括：</w:t>
      </w:r>
    </w:p>
    <w:p w14:paraId="79C09DF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（1）将施工用水、电力、通讯线路等施工所必需的条件接至施工现场内；</w:t>
      </w:r>
    </w:p>
    <w:p w14:paraId="3DC348D3">
      <w:pPr>
        <w:keepNext w:val="0"/>
        <w:keepLines w:val="0"/>
        <w:pageBreakBefore w:val="0"/>
        <w:kinsoku/>
        <w:wordWrap/>
        <w:overflowPunct/>
        <w:topLinePunct w:val="0"/>
        <w:autoSpaceDE/>
        <w:autoSpaceDN/>
        <w:bidi w:val="0"/>
        <w:spacing w:line="380" w:lineRule="exact"/>
        <w:ind w:right="23" w:rightChars="11" w:firstLine="372" w:firstLineChars="200"/>
        <w:rPr>
          <w:rFonts w:hint="eastAsia" w:ascii="宋体" w:hAnsi="宋体" w:cs="宋体"/>
          <w:color w:val="auto"/>
          <w:spacing w:val="-12"/>
          <w:kern w:val="0"/>
          <w:szCs w:val="21"/>
          <w:highlight w:val="none"/>
        </w:rPr>
      </w:pPr>
      <w:r>
        <w:rPr>
          <w:rFonts w:hint="eastAsia" w:ascii="宋体" w:hAnsi="宋体" w:cs="宋体"/>
          <w:color w:val="auto"/>
          <w:spacing w:val="-12"/>
          <w:kern w:val="0"/>
          <w:szCs w:val="21"/>
          <w:highlight w:val="none"/>
        </w:rPr>
        <w:t>（2）保证向承包人提供正常施工所需要的进入施工现场的交通条件；</w:t>
      </w:r>
    </w:p>
    <w:p w14:paraId="6028B51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（3）协调处理施工现场周围地下管线和邻近建筑物、构筑物、古树名木的保护工作，并承担相关费用；</w:t>
      </w:r>
    </w:p>
    <w:p w14:paraId="7EE6CD0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（4）按照专用合同条款约定应提供的其他设施和条件。 </w:t>
      </w:r>
    </w:p>
    <w:p w14:paraId="65DDC88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2.4.3提供基础资料</w:t>
      </w:r>
    </w:p>
    <w:p w14:paraId="39443B3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2F7705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按照法律规定确需在开工后方能提供的基础资料，发包人应尽其努力及时地在相应工程施工前的合理期限内提供，合理期限应以不影响承包人的正常施工为限。</w:t>
      </w:r>
    </w:p>
    <w:p w14:paraId="2997108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2.4.4逾期提供的责任</w:t>
      </w:r>
    </w:p>
    <w:p w14:paraId="0C8DBD1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因发包人原因未能按合同约定及时向承包人提供施工现场、施工条件、基础资料的，由发包人承担由此增加的费用和（或）延误的工期。 </w:t>
      </w:r>
    </w:p>
    <w:p w14:paraId="28B889B0">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 2.5资金来源证明及支付担保</w:t>
      </w:r>
    </w:p>
    <w:p w14:paraId="3821EBE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除专用合同条款另有约定外，发包人应在收到承包人要求提供资金来源证明的书面通知后 28天内，向承包人提供能够按照合同约定支付合同价款的相应资金来源证明。</w:t>
      </w:r>
    </w:p>
    <w:p w14:paraId="039A000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除专用合同条款另有约定外，发包人要求承包人提供履约担保的，发包人应当向承包人提供支付担保。支付担保可以采用银行保函或担保公司担保等形式，具体由合同当事人在专用合同条款中约定。 </w:t>
      </w:r>
    </w:p>
    <w:p w14:paraId="0B285F5B">
      <w:pPr>
        <w:keepNext w:val="0"/>
        <w:keepLines w:val="0"/>
        <w:pageBreakBefore w:val="0"/>
        <w:kinsoku/>
        <w:wordWrap/>
        <w:overflowPunct/>
        <w:topLinePunct w:val="0"/>
        <w:autoSpaceDE/>
        <w:autoSpaceDN/>
        <w:bidi w:val="0"/>
        <w:spacing w:line="380" w:lineRule="exact"/>
        <w:ind w:right="23" w:rightChars="11" w:firstLine="502" w:firstLineChars="249"/>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2.6支付合同价款</w:t>
      </w:r>
    </w:p>
    <w:p w14:paraId="66FB404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发包人应按合同约定向承包人及时支付合同价款。 </w:t>
      </w:r>
    </w:p>
    <w:p w14:paraId="768115E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2.7组织竣工验收</w:t>
      </w:r>
    </w:p>
    <w:p w14:paraId="3270739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发包人应按合同约定及时组织竣工验收。 </w:t>
      </w:r>
    </w:p>
    <w:p w14:paraId="6F3509E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2.8现场统一管理协议</w:t>
      </w:r>
    </w:p>
    <w:p w14:paraId="4824858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发包人应与承包人、由发包人直接发包的专业工程的承包人签订施工现场统一管理协议，明确各方的权利义务。施工现场统一管理协议作为专用合同条款的附件。 </w:t>
      </w:r>
    </w:p>
    <w:p w14:paraId="20F5BB0E">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3.承包人</w:t>
      </w:r>
    </w:p>
    <w:p w14:paraId="3AFCD3C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 3.1承包人的一般义务</w:t>
      </w:r>
    </w:p>
    <w:p w14:paraId="25CD1F0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承包人在履行合同过程中应遵守法律和工程建设标准规范，并履行以下义务：</w:t>
      </w:r>
    </w:p>
    <w:p w14:paraId="48C09BA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（1）办理法律规定应由承包人办理的许可和批准，并将办理结果书面报送发包人留存；</w:t>
      </w:r>
    </w:p>
    <w:p w14:paraId="2DF0A0B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（2）按法律规定和合同约定完成工程，并在保修期内承担保修义务；</w:t>
      </w:r>
    </w:p>
    <w:p w14:paraId="56F2B88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（3）按法律规定和合同约定采取施工安全和环境保护措施，办理工伤保险，确保工程及人员、材料、设备和设施的安全；</w:t>
      </w:r>
    </w:p>
    <w:p w14:paraId="645398D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（4）按合同约定的工作内容和施工进度要求，编制施工组织设计和施工措施计划，并对所有施工作业和施工方法的完备性和安全可靠性负责；</w:t>
      </w:r>
    </w:p>
    <w:p w14:paraId="1D9017F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w:t>
      </w:r>
    </w:p>
    <w:p w14:paraId="0A056F0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活的，应承担相应责任；</w:t>
      </w:r>
    </w:p>
    <w:p w14:paraId="033EB1D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（6）按照第 6.3款〔环境保护〕约定负责施工场地及其周边环境与生态的保护工作；</w:t>
      </w:r>
    </w:p>
    <w:p w14:paraId="06338ED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（7）按第 6.1款〔安全文明施工〕约定采取施工安全措施，确保工程及其人员、材料、设备和设施的安全，防止因工程施工造成的人身伤害和财产损失；</w:t>
      </w:r>
    </w:p>
    <w:p w14:paraId="29A7059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（8）将发包人按合同约定支付的各项价款专用于合同工程，且应及时支付其雇用人员工资，并及时向分包人支付合同价款；</w:t>
      </w:r>
    </w:p>
    <w:p w14:paraId="74C7393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（9）按照法律规定和合同约定编制竣工资料，完成竣工资料立卷及归档，并按专用合同条款约定的竣工资料的套数、内容、时间等要求移交发包人；</w:t>
      </w:r>
    </w:p>
    <w:p w14:paraId="7492E95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（10）应履行的其他义务。 </w:t>
      </w:r>
    </w:p>
    <w:p w14:paraId="4BC6B22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3.2项目经理 </w:t>
      </w:r>
    </w:p>
    <w:p w14:paraId="5E63401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C96FAA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F14CB4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承包人违反上述约定的，应按照专用合同条款的约定，承担违约责任。 </w:t>
      </w:r>
    </w:p>
    <w:p w14:paraId="58B4155D">
      <w:pPr>
        <w:keepNext w:val="0"/>
        <w:keepLines w:val="0"/>
        <w:pageBreakBefore w:val="0"/>
        <w:kinsoku/>
        <w:wordWrap/>
        <w:overflowPunct/>
        <w:topLinePunct w:val="0"/>
        <w:autoSpaceDE/>
        <w:autoSpaceDN/>
        <w:bidi w:val="0"/>
        <w:spacing w:line="380" w:lineRule="exact"/>
        <w:ind w:right="23" w:rightChars="11" w:firstLine="388" w:firstLineChars="20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 3.2.2项目经理按合同约定组织工程实施。在紧急情况下为确保施</w:t>
      </w:r>
      <w:r>
        <w:rPr>
          <w:rFonts w:hint="eastAsia" w:ascii="宋体" w:hAnsi="宋体" w:cs="宋体"/>
          <w:color w:val="auto"/>
          <w:spacing w:val="-4"/>
          <w:kern w:val="0"/>
          <w:szCs w:val="21"/>
          <w:highlight w:val="none"/>
        </w:rPr>
        <w:t xml:space="preserve">工安全和人员安全，在无法与发包人代表和总监理工程师及时取得联系时，项目经理有权采取必要的措施保证与工程有关的人身、财产和工程的安全，但应在 48小时内向发包人代表和总监理工程师提交书面报告。 </w:t>
      </w:r>
    </w:p>
    <w:p w14:paraId="75ECE4C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3.2.3承包人需要更换项目经理的，应提前14天书面通知发包人和监理人，并征得发包人书面同意。通知中应当载明继任项目经理的注册执业资格、管理经验等资料，继任项目经理继续履行第 3.2.1项约定的职责。未经发包人书面同意，承包人不得擅自更换项目经理。承包人擅自更换项目经理的，应按照专用合同条款的约定承担违约责任。 </w:t>
      </w:r>
    </w:p>
    <w:p w14:paraId="11140D0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3.2.4发包人有权书面通知承包人更换其认为不称职的项目经理，通知中应当载明要求更换的理由。承包人应在接到更换通知后 14天内向发包人提出书面的改进报告。发包人收到改进报告后仍要求更换的，承包人应在接到第二次更换通知的28天内进行更换，并将新任命的项目经理的注册执业资格、管理经验等资料书面通知发包人。继任项目 经理继续履行第 3.2.1项约定的职责。承包人无正当理由拒绝更换项目经理的，应按照专用合同条款的约定承担违约责任。   </w:t>
      </w:r>
    </w:p>
    <w:p w14:paraId="30173F6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3.2.5项目经理因特殊情况授权其下属人员履行其某项工作职责的，该下属人员应具备履行相应职责的能力，并应提前 7天将上述人员的姓名和授权范围书面通知监理人，并征得发包人书面同意。 </w:t>
      </w:r>
    </w:p>
    <w:p w14:paraId="36B45B7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3.3承包人人员 </w:t>
      </w:r>
    </w:p>
    <w:p w14:paraId="43FEB40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3.3.1除专用合同条款另有约定外，承包人应在接到开工通知后 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 </w:t>
      </w:r>
    </w:p>
    <w:p w14:paraId="16905C3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3.3.2承包人派驻到施工现场的主要施工管理人员应相对稳定。施工过程中如有变动，承包人应及时向监理人提交施工现场人员变动情况的报告。承包人更换主要施工管理人员时，应提前 7天书面通知监理人，并征得发包人书面同意。通知中应当载明继任人员的注册执业资格、管理经验等资料。</w:t>
      </w:r>
    </w:p>
    <w:p w14:paraId="2BC87DD2">
      <w:pPr>
        <w:keepNext w:val="0"/>
        <w:keepLines w:val="0"/>
        <w:pageBreakBefore w:val="0"/>
        <w:kinsoku/>
        <w:wordWrap/>
        <w:overflowPunct/>
        <w:topLinePunct w:val="0"/>
        <w:autoSpaceDE/>
        <w:autoSpaceDN/>
        <w:bidi w:val="0"/>
        <w:spacing w:line="380" w:lineRule="exact"/>
        <w:ind w:right="23" w:rightChars="11" w:firstLine="475" w:firstLineChars="250"/>
        <w:rPr>
          <w:rFonts w:hint="eastAsia" w:ascii="宋体" w:hAnsi="宋体" w:cs="宋体"/>
          <w:color w:val="auto"/>
          <w:spacing w:val="-10"/>
          <w:kern w:val="0"/>
          <w:szCs w:val="21"/>
          <w:highlight w:val="none"/>
        </w:rPr>
      </w:pPr>
      <w:r>
        <w:rPr>
          <w:rFonts w:hint="eastAsia" w:ascii="宋体" w:hAnsi="宋体" w:cs="宋体"/>
          <w:color w:val="auto"/>
          <w:spacing w:val="-10"/>
          <w:kern w:val="0"/>
          <w:szCs w:val="21"/>
          <w:highlight w:val="none"/>
        </w:rPr>
        <w:t xml:space="preserve">特殊工种作业人员均应持有相应的资格证明，监理人可以随时检查。 </w:t>
      </w:r>
    </w:p>
    <w:p w14:paraId="6888E77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 </w:t>
      </w:r>
    </w:p>
    <w:p w14:paraId="4E379BD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3.3.4除专用合同条款另有约定外，承包人的主要施工管理人员离开施工现场每月累计不超过 5天的，应报监理人同意；离开施工现场每月累计超过 5天的，应通知监理人，并征得发包人书面同意。主要施工管理人员离开施工现场前应指定一名有经验的人员临时代行其职责，该人员应具备履行相应职责的资格和能力，且应征得监理人或发包人的同意。 </w:t>
      </w:r>
    </w:p>
    <w:p w14:paraId="2A45628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3.3.5承包人擅自更换主要施工管理人员，或前述人员未经监理人或发包人同意擅自离开施工现场的，应按照专用合同条款约定承担违约责任。 </w:t>
      </w:r>
    </w:p>
    <w:p w14:paraId="6A34A53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3.4承包人现场查勘</w:t>
      </w:r>
    </w:p>
    <w:p w14:paraId="1C5C4C8A">
      <w:pPr>
        <w:keepNext w:val="0"/>
        <w:keepLines w:val="0"/>
        <w:pageBreakBefore w:val="0"/>
        <w:kinsoku/>
        <w:wordWrap/>
        <w:overflowPunct/>
        <w:topLinePunct w:val="0"/>
        <w:autoSpaceDE/>
        <w:autoSpaceDN/>
        <w:bidi w:val="0"/>
        <w:spacing w:line="380" w:lineRule="exact"/>
        <w:ind w:right="23" w:rightChars="11" w:firstLine="303" w:firstLineChars="1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承包人应对基于发包人按照第 2.4.3项〔提供基础资料〕提交的基础资料所做出的解释和推断负责，但因基础资料存在错误、遗漏导致承包人解释或推断失实的，由发包人承担责任。</w:t>
      </w:r>
    </w:p>
    <w:p w14:paraId="178F5C8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 </w:t>
      </w:r>
    </w:p>
    <w:p w14:paraId="58C6F4F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3.5分包 </w:t>
      </w:r>
    </w:p>
    <w:p w14:paraId="4B7C963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3.5.1分包的一般约定</w:t>
      </w:r>
    </w:p>
    <w:p w14:paraId="5263057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E0104C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承包人不得以劳务分包的名义转包或违法分包工程。 </w:t>
      </w:r>
    </w:p>
    <w:p w14:paraId="55221EF4">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3.5.2分包的确定</w:t>
      </w:r>
    </w:p>
    <w:p w14:paraId="4C45769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承包人应按专用合同条款的约定进行分包，确定分包人。已标价工程量清单或预算书中给定暂估价的专业工程，按照第 10.7款〔暂估价〕确定分包人。按照合同约定进行分包的，承包人应确保分包人具有相应的资质和能力。工程分包不减轻或免除承包人的责任和义务，承包人和分包人就分包工程向发包人承担连带责任。除合同另有约定</w:t>
      </w:r>
    </w:p>
    <w:p w14:paraId="51FBA4F0">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外，承包人应在分包合同签订后 7天内向发包人和监理人提交分包合同副本。 </w:t>
      </w:r>
    </w:p>
    <w:p w14:paraId="02A9AA0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3.5.3分包管理</w:t>
      </w:r>
    </w:p>
    <w:p w14:paraId="09A5ECE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承包人应向监理人提交分包人的主要施工管理人员表，并对分包人的施工人员进行实名制管理，包括但不限于进出场管理、登记造册以及各种证照的办理。 </w:t>
      </w:r>
    </w:p>
    <w:p w14:paraId="7B79869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3.5.4分包合同价款</w:t>
      </w:r>
    </w:p>
    <w:p w14:paraId="01FAC3B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（1）除本项第（2）目约定的情况或专用合同条款另有约定外，分包合同价款由承包人与分包人结算，未经承包人同意，发包人不得向分包人支付分包工程价款；</w:t>
      </w:r>
    </w:p>
    <w:p w14:paraId="6415DE5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（2）生效法律文书要求发包人向分包人支付分包合同价款的，发包人有权从应付承包人工程款中扣除该部分款项。 </w:t>
      </w:r>
    </w:p>
    <w:p w14:paraId="37674B9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3.5.5分包合同权益的转让</w:t>
      </w:r>
    </w:p>
    <w:p w14:paraId="0B33282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 </w:t>
      </w:r>
    </w:p>
    <w:p w14:paraId="7448E73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3.6工程照管与成品、半成品保护</w:t>
      </w:r>
    </w:p>
    <w:p w14:paraId="2FB7BFB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（1）除专用合同条款另有约定外，自发包人向承包人移交施工现场之日起，承包人应负责照管工程及工程相关的材料、工程设备，直到颁发工程接收证书之日止。</w:t>
      </w:r>
    </w:p>
    <w:p w14:paraId="4901045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（2）在承包人负责照管期间，因承包人原因造成工程、材料、工程设备损坏的，由承包人负责修复或更换，并承担由此增加的费用和（或）延误的工期。</w:t>
      </w:r>
    </w:p>
    <w:p w14:paraId="42945CD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（3）对合同内分期完成的成品和半成品，在工程接收证书颁发前，由承包人承担保护责任。因承包人原因造成成品或半成品损坏的，由承包人负责修复或更换，并承担由此增加的费用和（或）延误的工期。 </w:t>
      </w:r>
    </w:p>
    <w:p w14:paraId="1FB7BD9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3.7履约担保</w:t>
      </w:r>
    </w:p>
    <w:p w14:paraId="36D5B04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133F7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因承包人原因导致工期延长的，继续提供履约担保所增加的费用由承包人承担；非因承包人原因导致工期延长的，继续提供履约担保所增加的费用由发包人承担。 </w:t>
      </w:r>
    </w:p>
    <w:p w14:paraId="20942DC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3.8联合体 </w:t>
      </w:r>
    </w:p>
    <w:p w14:paraId="0B24552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3.8.1联合体各方应共同与发包人签订合同协议书。联合体各方应为履行合同向发包人承担连带责任。 </w:t>
      </w:r>
    </w:p>
    <w:p w14:paraId="7F2AE37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3.8.2联合体协议经发包人确认后作为合同附件。在履行合同过程中，未经发包人同意，不得修改联合体协议。 </w:t>
      </w:r>
    </w:p>
    <w:p w14:paraId="669A18D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3.8.3联合体牵头人负责与发包人和监理人联系，并接受指示，负责组织联合体各成员全面履行合同。</w:t>
      </w:r>
    </w:p>
    <w:p w14:paraId="4C351C8A">
      <w:pPr>
        <w:keepNext w:val="0"/>
        <w:keepLines w:val="0"/>
        <w:pageBreakBefore w:val="0"/>
        <w:kinsoku/>
        <w:wordWrap/>
        <w:overflowPunct/>
        <w:topLinePunct w:val="0"/>
        <w:autoSpaceDE/>
        <w:autoSpaceDN/>
        <w:bidi w:val="0"/>
        <w:spacing w:line="380" w:lineRule="exact"/>
        <w:ind w:right="23" w:rightChars="11" w:firstLine="105" w:firstLineChars="50"/>
        <w:rPr>
          <w:rFonts w:hint="eastAsia" w:ascii="宋体" w:hAnsi="宋体" w:cs="宋体"/>
          <w:color w:val="auto"/>
          <w:spacing w:val="-4"/>
          <w:kern w:val="0"/>
          <w:szCs w:val="21"/>
          <w:highlight w:val="none"/>
        </w:rPr>
      </w:pPr>
      <w:r>
        <w:rPr>
          <w:rFonts w:hint="eastAsia" w:ascii="宋体" w:hAnsi="宋体" w:cs="宋体"/>
          <w:b/>
          <w:color w:val="auto"/>
          <w:kern w:val="0"/>
          <w:szCs w:val="21"/>
          <w:highlight w:val="none"/>
        </w:rPr>
        <w:t xml:space="preserve">4.监理人 </w:t>
      </w:r>
    </w:p>
    <w:p w14:paraId="3D03698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4.1监理人的一般规定</w:t>
      </w:r>
    </w:p>
    <w:p w14:paraId="23A6DBE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B62171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除专用合同条款另有约定外，监理人在施工现场的办公场所、生活场所由承包人提供，所发生的费用由发包人承担。 </w:t>
      </w:r>
    </w:p>
    <w:p w14:paraId="7FCB02E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4.2监理人员</w:t>
      </w:r>
    </w:p>
    <w:p w14:paraId="1CB851B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 7天书面通知承包人；更换其他监理人员，监理人应提前 48小时书面通知承包人。 </w:t>
      </w:r>
    </w:p>
    <w:p w14:paraId="462C2D65">
      <w:pPr>
        <w:keepNext w:val="0"/>
        <w:keepLines w:val="0"/>
        <w:pageBreakBefore w:val="0"/>
        <w:kinsoku/>
        <w:wordWrap/>
        <w:overflowPunct/>
        <w:topLinePunct w:val="0"/>
        <w:autoSpaceDE/>
        <w:autoSpaceDN/>
        <w:bidi w:val="0"/>
        <w:spacing w:line="380" w:lineRule="exact"/>
        <w:ind w:right="23" w:rightChars="11" w:firstLine="505" w:firstLineChars="25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4.3监理人的指示</w:t>
      </w:r>
    </w:p>
    <w:p w14:paraId="5B18CE4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 24小时内补发书面监理指示，补发的书面监理指示应与口头指示一致。</w:t>
      </w:r>
    </w:p>
    <w:p w14:paraId="53B03E8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 4.4款〔商定或确定〕约定应由总监理工程师作出确定的权力授权或委托给其他监理人员。</w:t>
      </w:r>
    </w:p>
    <w:p w14:paraId="7DE9D34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承包人对监理人发出的指示有疑问的，应向监理人提出书面异议，监理人应在 48小时内对该指示予以确认、更改或撤销，监理人逾期未回复的，承包人有权拒绝执行上述指示。</w:t>
      </w:r>
    </w:p>
    <w:p w14:paraId="124930C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监理人对承包人的任何工作、工程或其采用的材料和工程设备未在约定的或合理期限内提出意见的，视为批准，但不免除或减轻承包人对该工作、工程、材料、工程设备等应承担的责任和义务。 </w:t>
      </w:r>
    </w:p>
    <w:p w14:paraId="077A0D0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4.4商定或确定</w:t>
      </w:r>
    </w:p>
    <w:p w14:paraId="07EA896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合同当事人进行商定或确定时，总监理工程师应当会同合同当事人尽量通过协商达成一致，不能达成一致的，由总监理工程师按照合同约定审慎做出公正的确定。</w:t>
      </w:r>
    </w:p>
    <w:p w14:paraId="280FA1F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总监理工程师应将确定以书面形式通知发包人和承包人，并附详细依据。合同当事人对总监理工程师的确定没有异议的，按照总监理工程师的确定执行。任何一方合同当事人有异议，按照第 20条〔争议解决〕约定处理。争议解决前，合同当事人暂按总监理工程师的确定执行；争议解决后，争议解决的结果与总监理工程师的确定不一致的，按照争议解决的结果执行，由此造成的损失由责任人承担。</w:t>
      </w:r>
    </w:p>
    <w:p w14:paraId="567178B3">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pacing w:val="-4"/>
          <w:kern w:val="0"/>
          <w:szCs w:val="21"/>
          <w:highlight w:val="none"/>
        </w:rPr>
      </w:pPr>
      <w:r>
        <w:rPr>
          <w:rFonts w:hint="eastAsia" w:ascii="宋体" w:hAnsi="宋体" w:cs="宋体"/>
          <w:b/>
          <w:color w:val="auto"/>
          <w:kern w:val="0"/>
          <w:szCs w:val="21"/>
          <w:highlight w:val="none"/>
        </w:rPr>
        <w:t xml:space="preserve">5.工程质量 </w:t>
      </w:r>
    </w:p>
    <w:p w14:paraId="71162AED">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5.1质量要求 </w:t>
      </w:r>
    </w:p>
    <w:p w14:paraId="23F87F7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5.1.1工程质量标准必须符合现行国家有关工程施工质量验收规范和标准的要求。有关工程质量的特殊标准或要求由合同当事人在专用合同条款中约定。 </w:t>
      </w:r>
    </w:p>
    <w:p w14:paraId="64CEA30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5.1.2因发包人原因造成工程质量未达到合同约定标准的，由发包人承担由此增加的费用和（或）延误的工期，并支付承包人合理的利润。 </w:t>
      </w:r>
    </w:p>
    <w:p w14:paraId="03C0585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5.1.3因承包人原因造成工程质量未达到合同约定标准的，发包人有权要求承包人返工直至工程质量达到合同约定的标准为止，并由承包人承担由此增加的费用和（或）延误的工期。 </w:t>
      </w:r>
    </w:p>
    <w:p w14:paraId="567514AC">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5.2质量保证措施 </w:t>
      </w:r>
    </w:p>
    <w:p w14:paraId="368E0A3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5.2.1发包人的质量管理</w:t>
      </w:r>
    </w:p>
    <w:p w14:paraId="21A617F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发包人应按照法律规定及合同约定完成与工程质量有关的各项工作。 </w:t>
      </w:r>
    </w:p>
    <w:p w14:paraId="5F1044D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5.2.2承包人的质量管理</w:t>
      </w:r>
    </w:p>
    <w:p w14:paraId="6F50B56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承包人按照第 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87ED8D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承包人应对施工人员进行质量教育和技术培训，定期考核施工人员的劳动技能，严格执行施工规范和操作规程。</w:t>
      </w:r>
    </w:p>
    <w:p w14:paraId="3057095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按照法律规定和发包人、监理人的要求，应配合受委托的检测机构，对材料、工程设备以及工程的所有部位及其施工工艺进行全过程的质量检查和检验，根据检测机构提供的检测报告，编制工程质量报表，报送监理人审查。承包人还应按照法律规定和发包人、监理人、检测机构的要求进行施工现场取样，提供试验样品，进行工程复测并应提交测量成果及其他工作。 </w:t>
      </w:r>
    </w:p>
    <w:p w14:paraId="0F291AF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5.2.3监理人的质量检查和检验</w:t>
      </w:r>
    </w:p>
    <w:p w14:paraId="4DF7775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9A1B6D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 </w:t>
      </w:r>
    </w:p>
    <w:p w14:paraId="29FDB7F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5.3隐蔽工程检查 </w:t>
      </w:r>
    </w:p>
    <w:p w14:paraId="5AF3868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5.3.1承包人自检</w:t>
      </w:r>
    </w:p>
    <w:p w14:paraId="3AC7328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承包人应当对工程隐蔽部位进行自检，并经自检确认是否具备覆盖条件。 </w:t>
      </w:r>
    </w:p>
    <w:p w14:paraId="4532BD4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5.3.2检查程序</w:t>
      </w:r>
    </w:p>
    <w:p w14:paraId="4B61707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除专用合同条款另有约定外，工程隐蔽部位经承包人自检确认具备覆盖条件的，承包人应在共同检查前 48小时书面通知监理人检查，通知中应载明隐蔽检查的内容、时间和地点，并应附有自检记录和必要的检查资料。</w:t>
      </w:r>
    </w:p>
    <w:p w14:paraId="3BE6EBA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EFAA5C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除专用合同条款另有约定外，监理人不能按时进行检查的，应在检查前 24小时向承包人提交书面延期要求，但延期不能超过 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5.3.3项〔重新检查〕的约定重新检查。 </w:t>
      </w:r>
    </w:p>
    <w:p w14:paraId="592D8F7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5.3.3重新检查</w:t>
      </w:r>
    </w:p>
    <w:p w14:paraId="7446B4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 </w:t>
      </w:r>
    </w:p>
    <w:p w14:paraId="5E80047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5.3.4承包人私自覆盖</w:t>
      </w:r>
    </w:p>
    <w:p w14:paraId="2041A77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承包人未通知监理人到场检查，私自将工程隐蔽部位覆盖的，监理人有权指示承包人钻孔探测或揭开检查，无论工程隐蔽部位质量是否合格，由此增加的费用和（或）延误的工期均由承包人承担。 </w:t>
      </w:r>
    </w:p>
    <w:p w14:paraId="273AFC3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5.4不合格工程的处理 </w:t>
      </w:r>
    </w:p>
    <w:p w14:paraId="07C325E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 13.2.4项〔拒绝接收全部或部分工程〕约定执行。 </w:t>
      </w:r>
    </w:p>
    <w:p w14:paraId="66C4B6A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5.4.2因发包人原因造成工程不合格的，由此增加的费用和（或）延误的工期由发包人承担，并支付承包人合理的利润。 </w:t>
      </w:r>
    </w:p>
    <w:p w14:paraId="2E0AEC0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5.5质量争议检测</w:t>
      </w:r>
    </w:p>
    <w:p w14:paraId="37F0D0A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合同当事人对工程质量有争议的，由双方协商确定的工程质量检测机构鉴定，由此产生的费用及因此造成的损失，由责任方承担。</w:t>
      </w:r>
    </w:p>
    <w:p w14:paraId="3D8EB6A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合同当事人均有责任的，由双方根据其责任分别承担。合同当事人无法达成一致的，按照第 4.4款〔商定或确定〕执行。 </w:t>
      </w:r>
    </w:p>
    <w:p w14:paraId="343EDC29">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pacing w:val="-4"/>
          <w:kern w:val="0"/>
          <w:szCs w:val="21"/>
          <w:highlight w:val="none"/>
        </w:rPr>
      </w:pPr>
      <w:r>
        <w:rPr>
          <w:rFonts w:hint="eastAsia" w:ascii="宋体" w:hAnsi="宋体" w:cs="宋体"/>
          <w:b/>
          <w:color w:val="auto"/>
          <w:kern w:val="0"/>
          <w:szCs w:val="21"/>
          <w:highlight w:val="none"/>
        </w:rPr>
        <w:t xml:space="preserve">6.安全文明施工与环境保护 </w:t>
      </w:r>
    </w:p>
    <w:p w14:paraId="55129EDA">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6.1安全文明施工 </w:t>
      </w:r>
    </w:p>
    <w:p w14:paraId="53B25D5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6.1.1安全生产要求</w:t>
      </w:r>
    </w:p>
    <w:p w14:paraId="3FC910A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536ADB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781BA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因安全生产需要暂停施工的，按照第 7.8款〔暂停施工〕的约定执行。 </w:t>
      </w:r>
    </w:p>
    <w:p w14:paraId="2934A02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6.1.2安全生产保证措施</w:t>
      </w:r>
    </w:p>
    <w:p w14:paraId="088B623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 </w:t>
      </w:r>
    </w:p>
    <w:p w14:paraId="4FEE8C9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6.1.3特别安全生产事项</w:t>
      </w:r>
    </w:p>
    <w:p w14:paraId="5CD3318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640941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在动力设备、输电线路、地下管道、密封防震车间、易燃易爆地段以及临街交通要道附近施工时，施工开始前应向发包人和监理人提出安全防护措施，经发包人认可后实施。实施爆破作业，在放射、毒害性环境中施工（含储存、运输、使用）及使用毒害性、腐蚀性物品施工时，承包人应在施工前 7天以书面通知发包人和监理人，并报送相应的安全防护措施，经发包人认可后实施。</w:t>
      </w:r>
    </w:p>
    <w:p w14:paraId="315E2D0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需单独编制危险性较大分部分项专项工程施工方案的，及要求进行专家论证的超过一定规模的危险性较大的分部分项工程，承包人应及时编制和组织论证。 </w:t>
      </w:r>
    </w:p>
    <w:p w14:paraId="4917BDB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6.1.4治安保卫</w:t>
      </w:r>
    </w:p>
    <w:p w14:paraId="4AA16EE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7EB9D2E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发包人和承包人除应协助现场治安管理机构或联防组织维护施工场地的社会治安外，还应做好包括生活区在内的各自管辖区的治安保卫工作。</w:t>
      </w:r>
    </w:p>
    <w:p w14:paraId="741098C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除专用合同条款另有约定外，发包人和承包人应在工程开工后 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 </w:t>
      </w:r>
    </w:p>
    <w:p w14:paraId="3AD7534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6.1.5文明施工</w:t>
      </w:r>
    </w:p>
    <w:p w14:paraId="21D76FC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65BB1B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 </w:t>
      </w:r>
    </w:p>
    <w:p w14:paraId="26288D8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6.1.6安全文明施工费</w:t>
      </w:r>
    </w:p>
    <w:p w14:paraId="4D7128C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1040D5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AB3406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除专用合同条款另有约定外，安全文明费支付方案应符合以下规定：</w:t>
      </w:r>
    </w:p>
    <w:p w14:paraId="08604F9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（1）合同工期在一年以内的工程，建设单位应在办理工程项目安全受监手续时将安全文明费一次性支付到位；</w:t>
      </w:r>
    </w:p>
    <w:p w14:paraId="46FB315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（2）合同工期在一年以上两年以内的工程，应在办理工程项目安全受监手续时支付安全文明费的 50%，剩余50%应在工程开工满一年前支付到位；</w:t>
      </w:r>
    </w:p>
    <w:p w14:paraId="1F7D0388">
      <w:pPr>
        <w:keepNext w:val="0"/>
        <w:keepLines w:val="0"/>
        <w:pageBreakBefore w:val="0"/>
        <w:kinsoku/>
        <w:wordWrap/>
        <w:overflowPunct/>
        <w:topLinePunct w:val="0"/>
        <w:autoSpaceDE/>
        <w:autoSpaceDN/>
        <w:bidi w:val="0"/>
        <w:spacing w:line="380" w:lineRule="exact"/>
        <w:ind w:left="273" w:leftChars="130" w:right="23" w:rightChars="11" w:firstLine="202" w:firstLineChars="1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（3）合同工期在两年以上的工程，应在办理工程项目安全受监手续时支付安全文明费的50%，开工满一年前，再支付安全文明费的30%，开工满二年前剩余费用全部支付到位。</w:t>
      </w:r>
    </w:p>
    <w:p w14:paraId="003D522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发包人逾期支付安全文明施工费超过7天的，承包人有权向发包人发出要求预付的催告通知，发包人收到通知后7天内仍未支付的，承包人有权暂停施工，并按第16.1.1项〔发包人违约的情形〕执行。</w:t>
      </w:r>
    </w:p>
    <w:p w14:paraId="145C8A9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对安全文明施工费应专款专用，承包人应在财务账目中单独列项备查，不得挪作他用，否则发包人有权责令其限期改正；逾期未改正的，可以责令其暂停施工，由此增加的费用和（或）延误的工期由承包人承担。 </w:t>
      </w:r>
    </w:p>
    <w:p w14:paraId="55AFBD6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6.1.7紧急情况处理</w:t>
      </w:r>
    </w:p>
    <w:p w14:paraId="3433B3B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 </w:t>
      </w:r>
    </w:p>
    <w:p w14:paraId="26569FB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6.1.8事故处理</w:t>
      </w:r>
    </w:p>
    <w:p w14:paraId="75809759">
      <w:pPr>
        <w:keepNext w:val="0"/>
        <w:keepLines w:val="0"/>
        <w:pageBreakBefore w:val="0"/>
        <w:kinsoku/>
        <w:wordWrap/>
        <w:overflowPunct/>
        <w:topLinePunct w:val="0"/>
        <w:autoSpaceDE/>
        <w:autoSpaceDN/>
        <w:bidi w:val="0"/>
        <w:spacing w:line="380" w:lineRule="exact"/>
        <w:ind w:right="23" w:rightChars="11" w:firstLine="505" w:firstLineChars="2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 </w:t>
      </w:r>
    </w:p>
    <w:p w14:paraId="25A33CA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6.1.9安全生产责任 </w:t>
      </w:r>
    </w:p>
    <w:p w14:paraId="2FAA2B2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6.1.9.1发包人的安全责任</w:t>
      </w:r>
    </w:p>
    <w:p w14:paraId="2837700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发包人应负责赔偿以下各种情况造成的损失：</w:t>
      </w:r>
    </w:p>
    <w:p w14:paraId="141E2E3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（1）工程或工程的任何部分对土地的占用所造成的第三者财产损失；</w:t>
      </w:r>
    </w:p>
    <w:p w14:paraId="14B7F3F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（2）由于发包人原因在施工场地及其毗邻地带造成的第三者人身伤亡和财产损失；</w:t>
      </w:r>
    </w:p>
    <w:p w14:paraId="42E1E2A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（3）由于发包人原因对承包人、监理人造成的人员人身伤亡和财产损失；</w:t>
      </w:r>
    </w:p>
    <w:p w14:paraId="51C7AD2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（4）由于发包人原因造成的发包人自身人员的人身伤害以及财产损失。 </w:t>
      </w:r>
    </w:p>
    <w:p w14:paraId="4A267FE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6.1.9.2承包人的安全责任</w:t>
      </w:r>
    </w:p>
    <w:p w14:paraId="35D1114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由于承包人原因在施工场地内及其毗邻地带造成的发包人、监理人以及第三者人员伤亡和财产损失，由承包人负责赔偿。 </w:t>
      </w:r>
    </w:p>
    <w:p w14:paraId="6BCF640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6.2职业健康 </w:t>
      </w:r>
    </w:p>
    <w:p w14:paraId="24AC7C2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6.2.1劳动保护</w:t>
      </w:r>
    </w:p>
    <w:p w14:paraId="1AD3341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842D1D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0CE04D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承包人应按法律规定安排工作时间，保证其雇佣人员享有休息和休假的权利。因工程施工的特殊需要占用休假日或延长工作时间的，应不超过法律规定的限度，并按法律规定给予补休或付酬。 </w:t>
      </w:r>
    </w:p>
    <w:p w14:paraId="4AB1F5C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6.2.2生活条件</w:t>
      </w:r>
    </w:p>
    <w:p w14:paraId="0A667DE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 </w:t>
      </w:r>
    </w:p>
    <w:p w14:paraId="67176E4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 6.3环境保护</w:t>
      </w:r>
    </w:p>
    <w:p w14:paraId="2CB8797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在施工组织设计中列明环境保护的具体措施。在合同履行期间，承包人应采取合理措施保护施工现场环境。对施工作业过程中可能引起的扬尘、大气、水、噪音以及固体废物污染采取具体可行的防范措施。</w:t>
      </w:r>
    </w:p>
    <w:p w14:paraId="0DFF901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承包人应当承担因其原因引起的环境污染侵权损害赔偿责任，因上述环境污染引起纠纷而导致暂停施工的，由此增加的费用和（或）延误的工期由承包人承担。 </w:t>
      </w:r>
    </w:p>
    <w:p w14:paraId="281DD6C0">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b/>
          <w:color w:val="auto"/>
          <w:kern w:val="0"/>
          <w:szCs w:val="21"/>
          <w:highlight w:val="none"/>
        </w:rPr>
        <w:t xml:space="preserve">7.工期和进度 </w:t>
      </w:r>
    </w:p>
    <w:p w14:paraId="2CB5EA8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7.1施工组织设计 </w:t>
      </w:r>
    </w:p>
    <w:p w14:paraId="31CCCA0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7.1.1施工组织设计的内容</w:t>
      </w:r>
    </w:p>
    <w:p w14:paraId="42C42DD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施工组织设计应包含以下内容：</w:t>
      </w:r>
    </w:p>
    <w:p w14:paraId="6E1397E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（1）施工方案；</w:t>
      </w:r>
    </w:p>
    <w:p w14:paraId="52B1AC4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（2）施工现场平面布置图；</w:t>
      </w:r>
    </w:p>
    <w:p w14:paraId="37DA639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（3）施工进度计划和保证措施；</w:t>
      </w:r>
    </w:p>
    <w:p w14:paraId="47306B2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（4）劳动力及材料供应计划；</w:t>
      </w:r>
    </w:p>
    <w:p w14:paraId="339EE12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（5）施工机械设备的选用；</w:t>
      </w:r>
    </w:p>
    <w:p w14:paraId="266949A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（6）质量保证体系及措施；</w:t>
      </w:r>
    </w:p>
    <w:p w14:paraId="66D6736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（7）安全生产、文明施工措施；</w:t>
      </w:r>
    </w:p>
    <w:p w14:paraId="3EBABD6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（8）环境保护、成本控制措施；</w:t>
      </w:r>
    </w:p>
    <w:p w14:paraId="1584809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（9）合同当事人约定的其他内容。 </w:t>
      </w:r>
    </w:p>
    <w:p w14:paraId="1563C24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7.1.2施工组织设计的提交和修改</w:t>
      </w:r>
    </w:p>
    <w:p w14:paraId="5D0C4D0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除专用合同条款另有约定外，承包人应在合同签订后 14天内，但至迟不得晚于第 7.3.2项〔开工通知〕载明的开工日期前 7天，向监理人提交详细的施工组织设计，并由监理人报送发包人。除专用合同条款另有约定外，发包人和监理人应在监理人收到施工组织设计后 7天内确认或提出修改意见。对发包人和监理人提出的合理意见和要求，承包人应自费修改完善。根据工程实际情况需要修改施工组织设计的，承包人应向发包人和监理人提交修改后的施工组织设计。</w:t>
      </w:r>
    </w:p>
    <w:p w14:paraId="539A24B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施工进度计划的编制和修改按照第7.2款〔施工进度计划〕执行。 </w:t>
      </w:r>
    </w:p>
    <w:p w14:paraId="33DC52B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7.2施工进度计划 </w:t>
      </w:r>
    </w:p>
    <w:p w14:paraId="40621EE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7.2.1施工进度计划的编制</w:t>
      </w:r>
    </w:p>
    <w:p w14:paraId="3B8EEED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承包人应按照第7.1款〔施工组织设计〕约定提交详细的施工进度</w:t>
      </w:r>
      <w:r>
        <w:rPr>
          <w:rFonts w:hint="eastAsia" w:ascii="宋体" w:hAnsi="宋体" w:cs="宋体"/>
          <w:color w:val="auto"/>
          <w:spacing w:val="-8"/>
          <w:kern w:val="0"/>
          <w:szCs w:val="21"/>
          <w:highlight w:val="none"/>
        </w:rPr>
        <w:t>计划，施工进度计划的编制应当符合国家法律规定和一般工程实践惯例，</w:t>
      </w:r>
      <w:r>
        <w:rPr>
          <w:rFonts w:hint="eastAsia" w:ascii="宋体" w:hAnsi="宋体" w:cs="宋体"/>
          <w:color w:val="auto"/>
          <w:spacing w:val="-4"/>
          <w:kern w:val="0"/>
          <w:szCs w:val="21"/>
          <w:highlight w:val="none"/>
        </w:rPr>
        <w:t xml:space="preserve">施工进度计划经发包人批准后实施。施工进度计划是控制工程进度的依据，发包人和监理人有权按照施工进度计划检查工程进度情况。 </w:t>
      </w:r>
    </w:p>
    <w:p w14:paraId="3E186E8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7.2.2施工进度计划的修订</w:t>
      </w:r>
    </w:p>
    <w:p w14:paraId="436EBC8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 7天内完成审核和批准或提出修改意见。发包人和监理人对承包人提交的施工进度计划的确认，不能减轻或免除承包人根据法律规定和合同约定应承担的任何责任或义务。 </w:t>
      </w:r>
    </w:p>
    <w:p w14:paraId="7BE659B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 7.3开工 </w:t>
      </w:r>
    </w:p>
    <w:p w14:paraId="593547F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7.3.1开工准备</w:t>
      </w:r>
    </w:p>
    <w:p w14:paraId="4F43AA9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57CDB5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除专用合同条款另有约定外，合同当事人应按约定完成开工准备工作。 </w:t>
      </w:r>
    </w:p>
    <w:p w14:paraId="21D819A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7.3.2开工通知</w:t>
      </w:r>
    </w:p>
    <w:p w14:paraId="41555E4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发包人应按照法律规定获得工程施工所需的许可。经发包人同意后，监理人发出的开工通知应符合法律规定。监理人应在计划开工日期 7天前向承包人发出开工通知，工期自开工通知中载明的开工日期起算。</w:t>
      </w:r>
    </w:p>
    <w:p w14:paraId="3F4A8A2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068C82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7.4测量放线 </w:t>
      </w:r>
    </w:p>
    <w:p w14:paraId="1B5566F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7.4.1除专用合同条款另有约定外，发包人应在至迟不得晚于第 7.3.2项〔开工通知〕载明的开工日期前 7天通过监理人向承包人提供测量基准点、基准线和水准点及其书面资料。发包人应对其提供的测量基准点、基准线和水准点及其书面资料的真实性、准确性和完整性负责。</w:t>
      </w:r>
    </w:p>
    <w:p w14:paraId="5080F93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 </w:t>
      </w:r>
    </w:p>
    <w:p w14:paraId="23B3394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7.4.2承包人负责施工过程中的全部施工测量放线工作，并配置具有相应资质的人员、合格的仪器、设备和其他物品。承包人应矫正工程的位置、标高、尺寸或准线中出现的任何差错，并对工程各部分的定位负责。施工过程中对施工现场内水准点等测量标志物的保护工作由承包人负责。 </w:t>
      </w:r>
    </w:p>
    <w:p w14:paraId="7718FA2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7.5工期延误 </w:t>
      </w:r>
    </w:p>
    <w:p w14:paraId="7BC32FC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7.5.1因发包人原因导致工期延误在合同履行过程中，因下列情况导致工期延误和（或）费用增加</w:t>
      </w:r>
    </w:p>
    <w:p w14:paraId="40D47038">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的，由发包人承担由此延误的工期和（或）增加的费用，且发包人应支付承包人合理的利润：</w:t>
      </w:r>
    </w:p>
    <w:p w14:paraId="6672DDF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（1）发包人未能按合同约定提供图纸或所提供图纸不符合合同约定的；</w:t>
      </w:r>
    </w:p>
    <w:p w14:paraId="27D671A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（2）发包人未能按合同约定提供施工现场、施工条件、基础资料、许可、批准等开工条件的；</w:t>
      </w:r>
    </w:p>
    <w:p w14:paraId="1172724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（3）发包人提供的测量基准点、基准线和水准点及其书面资料存在错误或疏漏的；</w:t>
      </w:r>
    </w:p>
    <w:p w14:paraId="2B49868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（4）发包人未能在计划开工日期之日起 7天内同意下达开工通知的；</w:t>
      </w:r>
    </w:p>
    <w:p w14:paraId="5048F55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（5）发包人未能按合同约定日期支付工程预付款、进度款或竣工结算款的；</w:t>
      </w:r>
    </w:p>
    <w:p w14:paraId="1B1E38E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（6）监理人未按合同约定发出指示、批准等文件的；</w:t>
      </w:r>
    </w:p>
    <w:p w14:paraId="2EE7743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（7）专用合同条款中约定的其他情形。</w:t>
      </w:r>
    </w:p>
    <w:p w14:paraId="7588AA7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因发包人原因未按计划开工日期开工的，发包人应按实际开工日期顺延竣工日期，确保实际工期不低于合同约定的工期总日历天数。</w:t>
      </w:r>
      <w:r>
        <w:rPr>
          <w:rFonts w:hint="eastAsia" w:ascii="宋体" w:hAnsi="宋体" w:cs="宋体"/>
          <w:color w:val="auto"/>
          <w:spacing w:val="-6"/>
          <w:kern w:val="0"/>
          <w:szCs w:val="21"/>
          <w:highlight w:val="none"/>
        </w:rPr>
        <w:t xml:space="preserve">因发包人原因导致工期延误需要修订施工进度计划的，按照第7.2.2项〔施工进度计划的修订〕执行。 </w:t>
      </w:r>
    </w:p>
    <w:p w14:paraId="3C9A562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7.5.2因承包人原因造成工期延误的，可以在专用合同条款中约定逾期竣工违约金的计算方法和逾期竣工违约金的上限。承包人支付逾期竣工违约金后，不免除承包人继续完成工程及修补缺陷的义务。 </w:t>
      </w:r>
    </w:p>
    <w:p w14:paraId="4BCD9544">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7.6不利物质条件</w:t>
      </w:r>
    </w:p>
    <w:p w14:paraId="467E2E44">
      <w:pPr>
        <w:keepNext w:val="0"/>
        <w:keepLines w:val="0"/>
        <w:pageBreakBefore w:val="0"/>
        <w:kinsoku/>
        <w:wordWrap/>
        <w:overflowPunct/>
        <w:topLinePunct w:val="0"/>
        <w:autoSpaceDE/>
        <w:autoSpaceDN/>
        <w:bidi w:val="0"/>
        <w:spacing w:line="380" w:lineRule="exact"/>
        <w:ind w:right="23" w:rightChars="11" w:firstLine="505" w:firstLineChars="2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B1F4CD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 </w:t>
      </w:r>
    </w:p>
    <w:p w14:paraId="06442C2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7.7异常恶劣的气候条件</w:t>
      </w:r>
    </w:p>
    <w:p w14:paraId="70BDE02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29C338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承包人应采取克服异常恶劣的气候条件的合理措施继续施工，并及时通知发包人和监理人。监理人经发包人同意后应当及时发出指示，指示构成变更的，按第 10条〔变更〕约定办理。承包人因采取合理措施而增加的费用和（或）延误的工期由发包人承担。 </w:t>
      </w:r>
    </w:p>
    <w:p w14:paraId="15ADF83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7.8暂停施工 </w:t>
      </w:r>
    </w:p>
    <w:p w14:paraId="46BC7D8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7.8.1发包人原因引起的暂停施工</w:t>
      </w:r>
    </w:p>
    <w:p w14:paraId="36F1595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因发包人原因引起暂停施工的，监理人经发包人同意后，应及时</w:t>
      </w:r>
      <w:r>
        <w:rPr>
          <w:rFonts w:hint="eastAsia" w:ascii="宋体" w:hAnsi="宋体" w:cs="宋体"/>
          <w:color w:val="auto"/>
          <w:spacing w:val="2"/>
          <w:kern w:val="0"/>
          <w:szCs w:val="21"/>
          <w:highlight w:val="none"/>
        </w:rPr>
        <w:t>下达暂停施工指示。情况紧急且监理人未及时下达暂停施工指示的，</w:t>
      </w:r>
      <w:r>
        <w:rPr>
          <w:rFonts w:hint="eastAsia" w:ascii="宋体" w:hAnsi="宋体" w:cs="宋体"/>
          <w:color w:val="auto"/>
          <w:spacing w:val="-4"/>
          <w:kern w:val="0"/>
          <w:szCs w:val="21"/>
          <w:highlight w:val="none"/>
        </w:rPr>
        <w:t>按照第 7.8.4项〔紧急情况下的暂停施工〕执行。</w:t>
      </w:r>
    </w:p>
    <w:p w14:paraId="3E1A61D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因发包人原因引起的暂停施工，发包人应承担由此增加的费用和（或）延误的工期，并支付承包人合理的利润。</w:t>
      </w:r>
    </w:p>
    <w:p w14:paraId="3E60746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7.8.2承包人原因引起的暂停施工</w:t>
      </w:r>
    </w:p>
    <w:p w14:paraId="389CD9D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因承包人原因引起的暂停施工，承包人应承担由此增加的费用和或）延误的工期，</w:t>
      </w:r>
      <w:r>
        <w:rPr>
          <w:rFonts w:hint="eastAsia" w:ascii="宋体" w:hAnsi="宋体" w:cs="宋体"/>
          <w:color w:val="auto"/>
          <w:spacing w:val="2"/>
          <w:kern w:val="0"/>
          <w:szCs w:val="21"/>
          <w:highlight w:val="none"/>
        </w:rPr>
        <w:t>且承包人在收到监理人复工指示后84天内仍未复</w:t>
      </w:r>
      <w:r>
        <w:rPr>
          <w:rFonts w:hint="eastAsia" w:ascii="宋体" w:hAnsi="宋体" w:cs="宋体"/>
          <w:color w:val="auto"/>
          <w:spacing w:val="-4"/>
          <w:kern w:val="0"/>
          <w:szCs w:val="21"/>
          <w:highlight w:val="none"/>
        </w:rPr>
        <w:t xml:space="preserve">工的，视为第 16.2.1项〔承包人违约的情形〕第（7）目约定的承包人无法继续履行合同的情形。 </w:t>
      </w:r>
    </w:p>
    <w:p w14:paraId="5B0074E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7.8.3指示暂停施工</w:t>
      </w:r>
    </w:p>
    <w:p w14:paraId="4B3D357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监理人认为有必要时，并经发包人批准后，可向承包人作出暂停施工的指示，承包人应按监理人指示暂停施工。 </w:t>
      </w:r>
    </w:p>
    <w:p w14:paraId="02AFA0A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7.8.4紧急情况下的暂停施工</w:t>
      </w:r>
    </w:p>
    <w:p w14:paraId="0C1037D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2"/>
          <w:kern w:val="0"/>
          <w:szCs w:val="21"/>
          <w:highlight w:val="none"/>
        </w:rPr>
      </w:pPr>
      <w:r>
        <w:rPr>
          <w:rFonts w:hint="eastAsia" w:ascii="宋体" w:hAnsi="宋体" w:cs="宋体"/>
          <w:color w:val="auto"/>
          <w:spacing w:val="-4"/>
          <w:kern w:val="0"/>
          <w:szCs w:val="21"/>
          <w:highlight w:val="none"/>
        </w:rPr>
        <w:t>因紧急情况需暂停施工，</w:t>
      </w:r>
      <w:r>
        <w:rPr>
          <w:rFonts w:hint="eastAsia" w:ascii="宋体" w:hAnsi="宋体" w:cs="宋体"/>
          <w:color w:val="auto"/>
          <w:spacing w:val="-2"/>
          <w:kern w:val="0"/>
          <w:szCs w:val="21"/>
          <w:highlight w:val="none"/>
        </w:rPr>
        <w:t>且监理人未及时下达暂停施工指示的，</w:t>
      </w:r>
      <w:r>
        <w:rPr>
          <w:rFonts w:hint="eastAsia" w:ascii="宋体" w:hAnsi="宋体" w:cs="宋体"/>
          <w:color w:val="auto"/>
          <w:spacing w:val="-4"/>
          <w:kern w:val="0"/>
          <w:szCs w:val="21"/>
          <w:highlight w:val="none"/>
        </w:rPr>
        <w:t xml:space="preserve">承包人可先暂停施工，并及时通知监理人。监理人应在接到通知后24小时内发出指示，逾期未发出指示，视为同意承包人暂停施工。监理人不同意承包人暂停施工的，应说明理由，承包人对监理人的答复有异议，按照第 20条〔争议解决〕约定处理。 </w:t>
      </w:r>
    </w:p>
    <w:p w14:paraId="4F3D789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7.8.5暂停施工后的复工</w:t>
      </w:r>
    </w:p>
    <w:p w14:paraId="34F8383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305285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承包人无故拖延和拒绝复工的，承包人承担由此增加的费用和（或）延误的工期；因发包人原因无法按时复工的，按照第7.5.1项〔因发包人原因导致工期延误〕约定办理。</w:t>
      </w:r>
    </w:p>
    <w:p w14:paraId="377D934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7.8.6暂停施工持续 56天以上</w:t>
      </w:r>
    </w:p>
    <w:p w14:paraId="11D3FD5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监理人发出暂停施工指示后56天内未向承包人发出复工通知，除该项停工属于第7.8.2项〔承包人原因引起的暂停施工〕及第 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E50442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暂停施工持续 84天以上不复工的，且不属于第7.8.2项〔承包人原因引起的暂停施工〕及第 17条〔不可抗力〕约定的情形，并影响到</w:t>
      </w:r>
      <w:r>
        <w:rPr>
          <w:rFonts w:hint="eastAsia" w:ascii="宋体" w:hAnsi="宋体" w:cs="宋体"/>
          <w:color w:val="auto"/>
          <w:spacing w:val="2"/>
          <w:kern w:val="0"/>
          <w:szCs w:val="21"/>
          <w:highlight w:val="none"/>
        </w:rPr>
        <w:t>整个工程以及合同目的实现的，</w:t>
      </w:r>
      <w:r>
        <w:rPr>
          <w:rFonts w:hint="eastAsia" w:ascii="宋体" w:hAnsi="宋体" w:cs="宋体"/>
          <w:color w:val="auto"/>
          <w:spacing w:val="-2"/>
          <w:kern w:val="0"/>
          <w:szCs w:val="21"/>
          <w:highlight w:val="none"/>
        </w:rPr>
        <w:t>承包人有权提出价格调整要求，或者解</w:t>
      </w:r>
      <w:r>
        <w:rPr>
          <w:rFonts w:hint="eastAsia" w:ascii="宋体" w:hAnsi="宋体" w:cs="宋体"/>
          <w:color w:val="auto"/>
          <w:spacing w:val="-4"/>
          <w:kern w:val="0"/>
          <w:szCs w:val="21"/>
          <w:highlight w:val="none"/>
        </w:rPr>
        <w:t xml:space="preserve">除合同。解除合同的，按照第 16.1.3项〔因发包人违约解除合同〕执行。 </w:t>
      </w:r>
    </w:p>
    <w:p w14:paraId="2DDB340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7.8.7暂停施工期间的工程照管</w:t>
      </w:r>
    </w:p>
    <w:p w14:paraId="191133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暂停施工期间，承包人应负责妥善照管工程并提供安全保障，由此增加的费用由责任方承担。 </w:t>
      </w:r>
    </w:p>
    <w:p w14:paraId="1734891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7.8.8暂停施工的措施</w:t>
      </w:r>
    </w:p>
    <w:p w14:paraId="6B45123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暂停施工期间，发包人和承包人均应采取必要的措施确保工程质量及安全，防止因暂停施工扩大损失。 </w:t>
      </w:r>
    </w:p>
    <w:p w14:paraId="205CB55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7.9提前竣工 </w:t>
      </w:r>
    </w:p>
    <w:p w14:paraId="763F7E4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w:t>
      </w:r>
    </w:p>
    <w:p w14:paraId="03F1DD13">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的费用由发包人承担。承包人认为提前竣工指示无法执行的，应向监理人和发包人提出书面异议，发包人和监理人应在收到异议后 7天内予以答复。任何情况下，发包人不得压缩合理工期。 </w:t>
      </w:r>
    </w:p>
    <w:p w14:paraId="60A214D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7.9.2发包人要求承包人提前竣工，或承包人提出提前竣工的建议能够给发包人带来效益的，合同当事人可以在专用合同条款中约定提前竣工的奖励。 </w:t>
      </w:r>
    </w:p>
    <w:p w14:paraId="3F4CCFD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8.材料与设备 </w:t>
      </w:r>
    </w:p>
    <w:p w14:paraId="57020C80">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8.1发包人供应材料与工程设备</w:t>
      </w:r>
    </w:p>
    <w:p w14:paraId="7D94301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4EBAA59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承包人应提前 30天通过监理人以书面形式通知发包人供应材料与工程设备进场。承包人按照第7.2.2项〔施工进度计划的修订〕约定修订施工进度计划时，需同时提交经修订后的发包人供应材料与工程设备的进场计划。 </w:t>
      </w:r>
    </w:p>
    <w:p w14:paraId="59FAB24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8.2承包人采购材料与工程设备</w:t>
      </w:r>
    </w:p>
    <w:p w14:paraId="5EBD941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 </w:t>
      </w:r>
    </w:p>
    <w:p w14:paraId="299DA0D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8.3材料与工程设备的接收与拒收 </w:t>
      </w:r>
    </w:p>
    <w:p w14:paraId="10DE6A9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8.3.1发包人应按《发包人供应材料设备一览表》约定的内容提供</w:t>
      </w:r>
    </w:p>
    <w:p w14:paraId="18F7970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材料和工程设备，并向承包人提供产品合格证明及出厂证明，对其质量负责。发包人应提前 24小时以书面形式通知承包人、监理人材料和工程设备到货时间，承包人负责材料和工程设备的清点、检验和接收。</w:t>
      </w:r>
    </w:p>
    <w:p w14:paraId="10B4D17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发包人提供的材料和工程设备的规格、数量或质量不符合合同约定的，或因发包人原因导致交货日期延误或交货地点变更等情况的，按照第 16.1款〔发包人违约〕约定办理。 </w:t>
      </w:r>
    </w:p>
    <w:p w14:paraId="49F74C69">
      <w:pPr>
        <w:keepNext w:val="0"/>
        <w:keepLines w:val="0"/>
        <w:pageBreakBefore w:val="0"/>
        <w:kinsoku/>
        <w:wordWrap/>
        <w:overflowPunct/>
        <w:topLinePunct w:val="0"/>
        <w:autoSpaceDE/>
        <w:autoSpaceDN/>
        <w:bidi w:val="0"/>
        <w:spacing w:line="380" w:lineRule="exact"/>
        <w:ind w:right="23" w:rightChars="11" w:firstLine="202" w:firstLineChars="1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07A805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 </w:t>
      </w:r>
    </w:p>
    <w:p w14:paraId="037A4D4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8.4材料与工程设备的保管与使用 </w:t>
      </w:r>
    </w:p>
    <w:p w14:paraId="5DB310B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8.4.1发包人供应材料与工程设备的保管与使用</w:t>
      </w:r>
    </w:p>
    <w:p w14:paraId="468B7AB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216B68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发包人供应的材料和工程设备使用前，由受委托的检测机构负责检验，检验费用由发包人承担，不合格的不得使用。 </w:t>
      </w:r>
    </w:p>
    <w:p w14:paraId="5D8D695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8.4.2承包人采购材料与工程设备的保管与使用</w:t>
      </w:r>
    </w:p>
    <w:p w14:paraId="0146882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采购的材料和工程设备由承包人妥善保管，保管费用由承包人承担。法律规定材料和工程设备使用前必须进行检验或试验的，承包人应按监理人的要求配合受委托的检测机构进行检验或试验，检验或试验费用由发包人承担，不合格的不得使用。</w:t>
      </w:r>
    </w:p>
    <w:p w14:paraId="0C06AFC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发包人或监理人发现承包人使用不符合设计或有关标准要求的材料和工程设备时，有权要求承包人进行修复、拆除或重新采购，由此增加的费用和（或）延误的工期，由承包人承担。 </w:t>
      </w:r>
    </w:p>
    <w:p w14:paraId="722FCF2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8.5禁止使用不合格的材料和工程设备 </w:t>
      </w:r>
    </w:p>
    <w:p w14:paraId="2553938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8.5.1监理人有权拒绝承包人提供的不合格材料或工程设备，并要求承包人立即进行更换。监理人应在更换后再次进行检查和检验，由此增加的费用和（或）延误的工期由承包人承担。 </w:t>
      </w:r>
    </w:p>
    <w:p w14:paraId="49ABBFF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8.5.2监理人发现承包人使用了不合格的材料和工程设备，承包人应按照监理人的指示立即改正，并禁止在工程中继续使用不合格的材料和工程设备。 </w:t>
      </w:r>
    </w:p>
    <w:p w14:paraId="16AA1A2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8.5.3发包人提供的材料或工程设备不符合合同要求的，承包人有权拒绝，并可要求发包人更换，由此增加的费用和（或）延误的工期由发包人承担，并支付承包人合理的利润。 </w:t>
      </w:r>
    </w:p>
    <w:p w14:paraId="1E1DA25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8.6样品 </w:t>
      </w:r>
    </w:p>
    <w:p w14:paraId="28EFA3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8.6.1 样品的报送与封存</w:t>
      </w:r>
    </w:p>
    <w:p w14:paraId="584399A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需要承包人报送样品的材料或工程设备，样品的种类、名称、规格、数量等要求均应在专用合同条款中约定。样品的报送程序如下：</w:t>
      </w:r>
    </w:p>
    <w:p w14:paraId="5742F4F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（1）承包人应在计划采购前 28天向监理人报送样品。承包人报送的样品均应来自供应材料的实际生产地，且提供的样品的规格、数量足以表明材料或工程设备的质量、型号、颜色、表面处理、质地、误差和其他要求的特征。</w:t>
      </w:r>
    </w:p>
    <w:p w14:paraId="236B42E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3EF6CB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0835B3E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 </w:t>
      </w:r>
    </w:p>
    <w:p w14:paraId="5250AA5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8.6.2样品的保管</w:t>
      </w:r>
    </w:p>
    <w:p w14:paraId="40FDD71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经批准的样品应由监理人负责封存于现场，承包人应在现场为保存样品提供适当和固定的场所并保持适当和良好的存储环境条件。 </w:t>
      </w:r>
    </w:p>
    <w:p w14:paraId="785C562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8.7材料与工程设备的替代 </w:t>
      </w:r>
    </w:p>
    <w:p w14:paraId="1DC9BA0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8.7.1出现下列情况需要使用替代材料和工程设备的，承包人应按照第 8.7.2项约定的程序执行：</w:t>
      </w:r>
    </w:p>
    <w:p w14:paraId="114EEA9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（1）基准日期后生效的法律规定禁止使用的；</w:t>
      </w:r>
    </w:p>
    <w:p w14:paraId="3147075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（2）发包人要求使用替代品的；</w:t>
      </w:r>
    </w:p>
    <w:p w14:paraId="680ACA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（3）因其他原因必须使用替代品的。 </w:t>
      </w:r>
    </w:p>
    <w:p w14:paraId="4E0D0EE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8.7.2承包人应在使用替代材料和工程设备28天前书面通知监理人，并附下列文件：</w:t>
      </w:r>
    </w:p>
    <w:p w14:paraId="2D02207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（1）被替代的材料和工程设备的名称、数量、规格、型号、品牌、性能、价格及其他相关资料；</w:t>
      </w:r>
    </w:p>
    <w:p w14:paraId="34E086F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（2）替代品的名称、数量、规格、型号、品牌、性能、价格及其他相关资料；</w:t>
      </w:r>
    </w:p>
    <w:p w14:paraId="15F7D99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（3）替代品与被替代产品之间的差异以及使用替代品可能对工程产生的影响；</w:t>
      </w:r>
    </w:p>
    <w:p w14:paraId="6822E10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（4）替代品与被替代产品的价格差异；</w:t>
      </w:r>
    </w:p>
    <w:p w14:paraId="44E44A1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（5）使用替代品的理由和原因说明；</w:t>
      </w:r>
    </w:p>
    <w:p w14:paraId="26D826A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（6）监理人要求的其他文件。</w:t>
      </w:r>
    </w:p>
    <w:p w14:paraId="1AB1F6C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监理人应在收到通知后14天内向承包人发出经发包人签认的书面指示；监理人逾期发出书面指示的，视为发包人和监理人同意使用替代品。</w:t>
      </w:r>
    </w:p>
    <w:p w14:paraId="0FDC2F0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 </w:t>
      </w:r>
    </w:p>
    <w:p w14:paraId="3F22284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8.8施工设备和临时设施 </w:t>
      </w:r>
    </w:p>
    <w:p w14:paraId="5124523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8.8.1承包人提供的施工设备和临时设施</w:t>
      </w:r>
    </w:p>
    <w:p w14:paraId="20C5992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4CC3DA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除专用合同条款另有约定外，承包人应自行承担修建临时设施的费用，需要临时占地的，应由发包人办理申请手续并承担相应费用。 </w:t>
      </w:r>
    </w:p>
    <w:p w14:paraId="0F6AC02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8.8.2发包人提供的施工设备和临时设施</w:t>
      </w:r>
    </w:p>
    <w:p w14:paraId="459A1A8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发包人提供的施工设备或临时设施在专用合同条款中约定。 </w:t>
      </w:r>
    </w:p>
    <w:p w14:paraId="51D1A19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8.8.3要求承包人增加或更换施工设备</w:t>
      </w:r>
    </w:p>
    <w:p w14:paraId="126F55E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承包人使用的施工设备不能满足合同进度计划和（或）质量要求时，监理人有权要求承包人增加或更换施工设备，承包人应及时增加或更换，由此增加的费用和（或）延误的工期由承包人承担。 </w:t>
      </w:r>
    </w:p>
    <w:p w14:paraId="3C3BCD5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8.9材料与设备专用要求</w:t>
      </w:r>
    </w:p>
    <w:p w14:paraId="10D1659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 </w:t>
      </w:r>
    </w:p>
    <w:p w14:paraId="2CE55A1C">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b/>
          <w:color w:val="auto"/>
          <w:spacing w:val="-4"/>
          <w:kern w:val="0"/>
          <w:szCs w:val="21"/>
          <w:highlight w:val="none"/>
        </w:rPr>
        <w:t xml:space="preserve">9.试验与检验 </w:t>
      </w:r>
    </w:p>
    <w:p w14:paraId="1A4AD88C">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 xml:space="preserve">9.1试验和检验业务 </w:t>
      </w:r>
    </w:p>
    <w:p w14:paraId="794DECE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9.1.1试验和检验是指工程检测机构接受发包人委托，依据国家有关法律法规和工程建设强制性标准，对涉及结构安全和使用功能项目的抽样检测和进入施工现场的建筑材料、构配件、工程设备和工程的取样检测。 </w:t>
      </w:r>
    </w:p>
    <w:p w14:paraId="19133F9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9.1.2试验和检验除专用合同另有约定外，应由发包人委托具有相应资质的检测机构进行检测。发包人应与检测机构签订书面委托合同，并支付相应的检测费用。发包人签订委托合同后的7天内应将被委托的检测机构名称及委托事项告之监理人、承包人。监理人、承包人必须将试验和检验交由被委托的检测机构进行。检测机构完成试验和检验业务后，出具检测报告。检测经发包人、监理人确定后，由承包人归档。 </w:t>
      </w:r>
    </w:p>
    <w:p w14:paraId="4EB5658D">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9.2取样</w:t>
      </w:r>
    </w:p>
    <w:p w14:paraId="2941712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检测的试样取样，应严格执行工程建设的标准和国家的有关规定，在监理人和（或）发包人的监督下现场取样。提供质量检测试样的单位和个人，对试样的真伪负责。 </w:t>
      </w:r>
    </w:p>
    <w:p w14:paraId="6092406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9.3材料、工程设备和工程的试验和检验 </w:t>
      </w:r>
    </w:p>
    <w:p w14:paraId="327D93F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color w:val="auto"/>
          <w:spacing w:val="-4"/>
          <w:kern w:val="0"/>
          <w:szCs w:val="21"/>
          <w:highlight w:val="none"/>
        </w:rPr>
        <w:t xml:space="preserve">9.3.1承包人应按合同约定配合受委托的检测机构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 </w:t>
      </w:r>
    </w:p>
    <w:p w14:paraId="31C73F5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9.3.2合同约定试验属于承包人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 </w:t>
      </w:r>
    </w:p>
    <w:p w14:paraId="4FB43FF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和质量标准的，由此增加的费用和（或）延误的工期由承包人承担；重新试验和检验结果证明该项材料、</w:t>
      </w:r>
    </w:p>
    <w:p w14:paraId="2DF25F1F">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工程设备和工程符合合同要求的，由此增加的费用和（或）延误的工期由发包人承担。 </w:t>
      </w:r>
    </w:p>
    <w:p w14:paraId="39A00F9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9.4现场工艺试验</w:t>
      </w:r>
    </w:p>
    <w:p w14:paraId="6254668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承包人应按合同约定或监理人指示进行现场工艺试验。对大型的现场工艺试验，监理人认为必要时，承包人应根据监理人提出的工艺试验要求，编制工艺试验措施计划和试验经费，报送监理人审查。 </w:t>
      </w:r>
    </w:p>
    <w:p w14:paraId="49ACF77E">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color w:val="auto"/>
          <w:spacing w:val="-4"/>
          <w:kern w:val="0"/>
          <w:szCs w:val="21"/>
          <w:highlight w:val="none"/>
        </w:rPr>
        <w:t>10.变更</w:t>
      </w:r>
    </w:p>
    <w:p w14:paraId="16BBEE0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10.1变更的范围</w:t>
      </w:r>
    </w:p>
    <w:p w14:paraId="6557FA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除专用合同条款另有约定外，合同履行过程中发生以下情形的，应按照本条约定进行变更：</w:t>
      </w:r>
    </w:p>
    <w:p w14:paraId="0BBB20B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（1）增加或减少合同中任何工作，或追加额外的工作；</w:t>
      </w:r>
    </w:p>
    <w:p w14:paraId="7448651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（2）取消合同中任何工作，但转由他人实施的工作除外；</w:t>
      </w:r>
    </w:p>
    <w:p w14:paraId="378D271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（3）改变合同中任何工作的质量标准或其他特性；</w:t>
      </w:r>
    </w:p>
    <w:p w14:paraId="211215B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（4）改变工程的基线、标高、位置和尺寸；</w:t>
      </w:r>
    </w:p>
    <w:p w14:paraId="55F98FF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（5）改变工程的时间安排或实施顺序。 </w:t>
      </w:r>
    </w:p>
    <w:p w14:paraId="5D38E0DB">
      <w:pPr>
        <w:keepNext w:val="0"/>
        <w:keepLines w:val="0"/>
        <w:pageBreakBefore w:val="0"/>
        <w:kinsoku/>
        <w:wordWrap/>
        <w:overflowPunct/>
        <w:topLinePunct w:val="0"/>
        <w:autoSpaceDE/>
        <w:autoSpaceDN/>
        <w:bidi w:val="0"/>
        <w:spacing w:line="380" w:lineRule="exact"/>
        <w:ind w:right="23" w:rightChars="11" w:firstLine="395" w:firstLineChars="196"/>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10.2变更权</w:t>
      </w:r>
    </w:p>
    <w:p w14:paraId="19AA05E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F8235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涉及设计变更的，应由设计人提供变更后的图纸和说明。如变更超过原设计标准或批准的建设规模时，发包人应及时办理规划、设计变更等审批手续。 </w:t>
      </w:r>
    </w:p>
    <w:p w14:paraId="5FF269C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 xml:space="preserve">10.3变更程序 </w:t>
      </w:r>
    </w:p>
    <w:p w14:paraId="3DD943E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10.3.1发包人提出变更</w:t>
      </w:r>
    </w:p>
    <w:p w14:paraId="1135706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发包人提出变更的，应通过监理人向承包人发出变更指示，变更指示应说明计划变更的工程范围和变更的内容。 </w:t>
      </w:r>
    </w:p>
    <w:p w14:paraId="2627783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10.3.2监理人提出变更建议</w:t>
      </w:r>
    </w:p>
    <w:p w14:paraId="72796DA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 </w:t>
      </w:r>
    </w:p>
    <w:p w14:paraId="33EF17B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10.3.3变更执行</w:t>
      </w:r>
    </w:p>
    <w:p w14:paraId="4BD7B999">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承包人收到监理人下达的变更指示后，认为不能执行，应立即提出不能执行该变更指示的理由。承包人认为可以执行变更的，应当书面说明实施该变更指示对合同价格和工期的影响，且合同当事人应当按照第 10.4款〔变更估价〕约定确定变更估价。 </w:t>
      </w:r>
    </w:p>
    <w:p w14:paraId="5518CF4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 xml:space="preserve">10.4变更估价 </w:t>
      </w:r>
    </w:p>
    <w:p w14:paraId="21E6E0E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10.4.1变更估价原则</w:t>
      </w:r>
    </w:p>
    <w:p w14:paraId="16A7EA02">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除专用合同条款另有约定外，变更估价按照本款约定处理： </w:t>
      </w:r>
    </w:p>
    <w:p w14:paraId="4F4AF6D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10"/>
          <w:kern w:val="0"/>
          <w:szCs w:val="21"/>
          <w:highlight w:val="none"/>
        </w:rPr>
      </w:pPr>
      <w:r>
        <w:rPr>
          <w:rFonts w:hint="eastAsia" w:ascii="宋体" w:hAnsi="宋体" w:cs="宋体"/>
          <w:color w:val="auto"/>
          <w:spacing w:val="-4"/>
          <w:kern w:val="0"/>
          <w:szCs w:val="21"/>
          <w:highlight w:val="none"/>
        </w:rPr>
        <w:t>10.4.1.1因工程变更引起已标价工程量清单项目或其他工程数量发生变化时，其相应的综合单价除专用合同条款另有约定外，按下列</w:t>
      </w:r>
      <w:r>
        <w:rPr>
          <w:rFonts w:hint="eastAsia" w:ascii="宋体" w:hAnsi="宋体" w:cs="宋体"/>
          <w:color w:val="auto"/>
          <w:spacing w:val="-10"/>
          <w:kern w:val="0"/>
          <w:szCs w:val="21"/>
          <w:highlight w:val="none"/>
        </w:rPr>
        <w:t>规定调整：</w:t>
      </w:r>
    </w:p>
    <w:p w14:paraId="37073991">
      <w:pPr>
        <w:keepNext w:val="0"/>
        <w:keepLines w:val="0"/>
        <w:pageBreakBefore w:val="0"/>
        <w:kinsoku/>
        <w:wordWrap/>
        <w:overflowPunct/>
        <w:topLinePunct w:val="0"/>
        <w:autoSpaceDE/>
        <w:autoSpaceDN/>
        <w:bidi w:val="0"/>
        <w:spacing w:line="380" w:lineRule="exact"/>
        <w:ind w:right="23" w:rightChars="11" w:firstLine="380" w:firstLineChars="200"/>
        <w:rPr>
          <w:rFonts w:hint="eastAsia" w:ascii="宋体" w:hAnsi="宋体" w:cs="宋体"/>
          <w:color w:val="auto"/>
          <w:spacing w:val="-4"/>
          <w:kern w:val="0"/>
          <w:szCs w:val="21"/>
          <w:highlight w:val="none"/>
        </w:rPr>
      </w:pPr>
      <w:r>
        <w:rPr>
          <w:rFonts w:hint="eastAsia" w:ascii="宋体" w:hAnsi="宋体" w:cs="宋体"/>
          <w:color w:val="auto"/>
          <w:spacing w:val="-10"/>
          <w:kern w:val="0"/>
          <w:szCs w:val="21"/>
          <w:highlight w:val="none"/>
        </w:rPr>
        <w:t xml:space="preserve">1.当分部分项工程量项目变更后调增量小于原工程量的15%（含15%）时，其综合单价按原综合单价确定。 </w:t>
      </w:r>
    </w:p>
    <w:p w14:paraId="5CEE50E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当分部分项工程量项目变更后调增量大于原工程量的15%以上部分，或由于设计变更引起新增项目时，其综合单价应按省建设行政主管部门颁发的建设工程消耗量标准，取费标准、计费程序、人工工资单价及工程造价管理机构发布的工程造价信息（工程造价信息没有发布的参照市场价）确定，但供应商投标报价时的优惠比例应予保持。</w:t>
      </w:r>
    </w:p>
    <w:p w14:paraId="00E2C8D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3.当分部分项工程量变更后调减的工程量以及因设计变更被取消的项目，其综合单价按原综合单价确定。 </w:t>
      </w:r>
    </w:p>
    <w:p w14:paraId="6B604DC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10.4.1.2因工程变更引起施工方案改变使措施项目发生变化时承包人应提出调整措施项目费，并将拟实施的方案报送监理人审核、发包人确认，按下列约定调整措施项目费： </w:t>
      </w:r>
    </w:p>
    <w:p w14:paraId="5F1C54A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1.安全文明施工费应按调整后清单项目费和措施项目费计算。 </w:t>
      </w:r>
    </w:p>
    <w:p w14:paraId="3D78A5A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2.按系数计算的措施项目费，按调整后的清单项目费为基数调整。 </w:t>
      </w:r>
    </w:p>
    <w:p w14:paraId="18D552C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3.按总价计算的措施项目费，按实际发生的措施项目调整。 </w:t>
      </w:r>
    </w:p>
    <w:p w14:paraId="59D2CBF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4.按单价计算的措施项目费，按 </w:t>
      </w:r>
    </w:p>
    <w:p w14:paraId="6B64DF9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10.4.1.1的规定调整。 </w:t>
      </w:r>
    </w:p>
    <w:p w14:paraId="090A6C7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10.4.2变更估价程序</w:t>
      </w:r>
    </w:p>
    <w:p w14:paraId="656DD95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w:t>
      </w:r>
    </w:p>
    <w:p w14:paraId="0F51C63D">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申请。</w:t>
      </w:r>
    </w:p>
    <w:p w14:paraId="4CCD016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因变更引起的价格调整应计入最近一期的进度款中支付。 </w:t>
      </w:r>
    </w:p>
    <w:p w14:paraId="4D974A5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10.5承包人的合理化建议</w:t>
      </w:r>
    </w:p>
    <w:p w14:paraId="20E9ED2B">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承包人提出合理化建议的，应向监理人提交合理化建议说明，说明建议的内容和理由，以及实施该建议对合同价格和工期的影响。</w:t>
      </w:r>
    </w:p>
    <w:p w14:paraId="0CDBBE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E68E67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合理化建议降低了合同价格或者提高了工程经济效益的，发包人可对承包人给予奖励，奖励的方法和金额在专用合同条款中约定。 </w:t>
      </w:r>
    </w:p>
    <w:p w14:paraId="67E5659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10.6变更引起的工期调整</w:t>
      </w:r>
    </w:p>
    <w:p w14:paraId="0E291E8C">
      <w:pPr>
        <w:keepNext w:val="0"/>
        <w:keepLines w:val="0"/>
        <w:pageBreakBefore w:val="0"/>
        <w:kinsoku/>
        <w:wordWrap/>
        <w:overflowPunct/>
        <w:topLinePunct w:val="0"/>
        <w:autoSpaceDE/>
        <w:autoSpaceDN/>
        <w:bidi w:val="0"/>
        <w:spacing w:line="380" w:lineRule="exact"/>
        <w:ind w:right="23" w:rightChars="11" w:firstLine="505" w:firstLineChars="2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因变更引起工期变化的，合同当事人均可要求调整合同工期，由合同当事人按照第4.4款〔商定或确定〕并参考工程所在地的工期定额标准确定增减工期天数。 </w:t>
      </w:r>
    </w:p>
    <w:p w14:paraId="4B2A5F0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w:t>
      </w:r>
      <w:r>
        <w:rPr>
          <w:rFonts w:hint="eastAsia" w:ascii="宋体" w:hAnsi="宋体" w:cs="宋体"/>
          <w:b/>
          <w:bCs/>
          <w:color w:val="auto"/>
          <w:spacing w:val="-4"/>
          <w:kern w:val="0"/>
          <w:szCs w:val="21"/>
          <w:highlight w:val="none"/>
        </w:rPr>
        <w:t>10.7暂估价</w:t>
      </w:r>
    </w:p>
    <w:p w14:paraId="3EA202B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暂估价专业分包工程、服务、材料和工程设备的明细由合同当事人在专用合同条款中约定。 </w:t>
      </w:r>
    </w:p>
    <w:p w14:paraId="191536E1">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10.7.1依法必须招标的暂估价项目</w:t>
      </w:r>
    </w:p>
    <w:p w14:paraId="29276A8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对于依法必须招标的暂估价项目，采取以下第1种方式确定。合同当事人也可以在专用合同条款中选择其他招标方式。</w:t>
      </w:r>
    </w:p>
    <w:p w14:paraId="12F2CD6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第 1种方式：对于依法必须招标的暂估价项目，由承包人招标，对该暂估价项目的确认和批准按照以下约定执行：</w:t>
      </w:r>
    </w:p>
    <w:p w14:paraId="50E8617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47616F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（2）承包人应当根据施工进度计划，提前14天将招标文件通过监理人报送发包人审批，发包人应当在收到承包人报送的相关文件后 7天内完成审批或提出修改意见；发包人有权确定招标控制价并按照法律规定参加评标；</w:t>
      </w:r>
    </w:p>
    <w:p w14:paraId="3B84C61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承包人与供应商、分包人在签订暂估价合同前，应当提前7天将确定的中标候选供应商或中标候选分包人的资料报送发包人，发包人应在收到资料后3天内与承包人共同确定成交供应商；承包人应当在签订合同后7天内，将暂估价合同副本报送发包人留存。</w:t>
      </w:r>
    </w:p>
    <w:p w14:paraId="363366C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第2种方式：对于依法必须招标的暂估价项目，由发包人和承包人共同招标确定暂估价供应商或分包人的，承包人应按照施工进度计划，在招标工作启动前14天通知发包人，并提交暂估价招标方案和工作分工。发包人应在收到后 7天内确认。确定成交供应商后，由发包人、承包人与成交供应商共同签订暂估价合同。 </w:t>
      </w:r>
    </w:p>
    <w:p w14:paraId="53BF9A0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10.7.2不属于依法必须招标的暂估价项目</w:t>
      </w:r>
    </w:p>
    <w:p w14:paraId="77F5FFE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除专用合同条款另有约定外，对于不属于依法必须招标的暂估价项目，采取以下第1种方式确定：</w:t>
      </w:r>
    </w:p>
    <w:p w14:paraId="2190CDD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第1种方式：对于不属于依法必须招标的暂估价项目，按本项约定确认和批准：</w:t>
      </w:r>
    </w:p>
    <w:p w14:paraId="2203EE5A">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（1）承包人应根据施工进度计划，在签订暂估价项目的采购合同、分包合同前28天向监理人提出书面申请。监理人应当在收到申请后 3天内报送发包人，发包人应当在收到申请后14天内给予批准或提出修改意见， 发包人逾期未予批准或提出修改意见的，视为该书面申请已获得同意；</w:t>
      </w:r>
    </w:p>
    <w:p w14:paraId="090CF72C">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（2）发包人认为承包人确定的供应商、分包人无法满足工程质量或合同要求的，发包人可以要求承包人重新确定暂估价项目的供应商、分包人; </w:t>
      </w:r>
    </w:p>
    <w:p w14:paraId="72097836">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（3）承包人应当在签订暂估价合同后 7天内，将暂估价合同副本报送发包人留存。</w:t>
      </w:r>
    </w:p>
    <w:p w14:paraId="258C1BF5">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第2种方式：承包人按照第 10.7.1项〔依法必须招标的暂估价项目〕约定的第 1种方式确定暂估价项目。</w:t>
      </w:r>
    </w:p>
    <w:p w14:paraId="43ECDB83">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第 3种方式：承包人直接实施的暂估价项目</w:t>
      </w:r>
    </w:p>
    <w:p w14:paraId="7DAD32E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承包人具备实施暂估价项目的资格和条件的，经发包人和承包人协商一致后，可由承包人自行实施暂估价项目，合同当事人可以在专用合同条款约定具体事项。 </w:t>
      </w:r>
    </w:p>
    <w:p w14:paraId="0216C7DE">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 </w:t>
      </w:r>
    </w:p>
    <w:p w14:paraId="74C3229D">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10.8暂列金额</w:t>
      </w:r>
    </w:p>
    <w:p w14:paraId="1D172C9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暂列金额应按照发包人的要求使用，发包人的要求应通过监理人发出。合同当事人可以在专用合同条款中协商确定有关事项。 </w:t>
      </w:r>
    </w:p>
    <w:p w14:paraId="7557535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b/>
          <w:bCs/>
          <w:color w:val="auto"/>
          <w:spacing w:val="-4"/>
          <w:kern w:val="0"/>
          <w:szCs w:val="21"/>
          <w:highlight w:val="none"/>
        </w:rPr>
        <w:t>10.9计日工</w:t>
      </w:r>
    </w:p>
    <w:p w14:paraId="547B650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F98B45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采用计日工计价的任何一项工作，承包人应在该项工作实施过程中，每天提交以下报表和有关凭证报送监理人审查：</w:t>
      </w:r>
    </w:p>
    <w:p w14:paraId="266F0CF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（1）工作名称、内容和数量；</w:t>
      </w:r>
    </w:p>
    <w:p w14:paraId="7A8F559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（2）投入该工作的所有人员的姓名、专业、工种、级别和耗用工时；</w:t>
      </w:r>
    </w:p>
    <w:p w14:paraId="0072B76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（3）投入该工作的材料类别和数量；</w:t>
      </w:r>
    </w:p>
    <w:p w14:paraId="1E49EE2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（4）投入该工作的施工设备型号、台数和耗用台时；</w:t>
      </w:r>
    </w:p>
    <w:p w14:paraId="15F4297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（5）其他有关资料和凭证。</w:t>
      </w:r>
    </w:p>
    <w:p w14:paraId="696F93C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计日工由承包人汇总后，列入最近一期进度付款申请单，由监理人审查并经发包人批准后列入进度付款。 </w:t>
      </w:r>
    </w:p>
    <w:p w14:paraId="1BFE42FC">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b/>
          <w:color w:val="auto"/>
          <w:spacing w:val="-4"/>
          <w:kern w:val="0"/>
          <w:szCs w:val="21"/>
          <w:highlight w:val="none"/>
        </w:rPr>
        <w:t xml:space="preserve">11.价格调整 </w:t>
      </w:r>
    </w:p>
    <w:p w14:paraId="5AF60300">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b/>
          <w:bCs/>
          <w:color w:val="auto"/>
          <w:spacing w:val="-4"/>
          <w:kern w:val="0"/>
          <w:szCs w:val="21"/>
          <w:highlight w:val="none"/>
        </w:rPr>
      </w:pPr>
      <w:r>
        <w:rPr>
          <w:rFonts w:hint="eastAsia" w:ascii="宋体" w:hAnsi="宋体" w:cs="宋体"/>
          <w:b/>
          <w:bCs/>
          <w:color w:val="auto"/>
          <w:spacing w:val="-4"/>
          <w:kern w:val="0"/>
          <w:szCs w:val="21"/>
          <w:highlight w:val="none"/>
        </w:rPr>
        <w:t>11.1市场价格波动引起的调整</w:t>
      </w:r>
    </w:p>
    <w:p w14:paraId="4202A6B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3C57692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第1种方式：采用价格指数进行价格调整。</w:t>
      </w:r>
    </w:p>
    <w:p w14:paraId="0B32BE9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（1）价格调整公式</w:t>
      </w:r>
    </w:p>
    <w:p w14:paraId="403032B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因人工、材料和设备等价格波动影响合同价格时，根据专用合同条款中约定的数据，按以下公式计算差额并调整合同价格：</w:t>
      </w:r>
    </w:p>
    <w:p w14:paraId="155D166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0B37858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position w:val="-30"/>
          <w:szCs w:val="21"/>
          <w:highlight w:val="none"/>
        </w:rPr>
        <w:object>
          <v:shape id="_x0000_i1025" o:spt="75" type="#_x0000_t75" style="height:35pt;width:312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cs="宋体"/>
          <w:color w:val="auto"/>
          <w:kern w:val="0"/>
          <w:szCs w:val="21"/>
          <w:highlight w:val="none"/>
        </w:rPr>
        <w:t xml:space="preserve"> </w:t>
      </w:r>
    </w:p>
    <w:p w14:paraId="237DD31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公式中：ΔP——需调整的价格差额； </w:t>
      </w:r>
    </w:p>
    <w:p w14:paraId="2779E615">
      <w:pPr>
        <w:keepNext w:val="0"/>
        <w:keepLines w:val="0"/>
        <w:pageBreakBefore w:val="0"/>
        <w:kinsoku/>
        <w:wordWrap/>
        <w:overflowPunct/>
        <w:topLinePunct w:val="0"/>
        <w:autoSpaceDE/>
        <w:autoSpaceDN/>
        <w:bidi w:val="0"/>
        <w:spacing w:line="380" w:lineRule="exact"/>
        <w:ind w:right="23" w:rightChars="11" w:firstLine="412" w:firstLineChars="200"/>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 xml:space="preserve"> P</w:t>
      </w:r>
      <w:r>
        <w:rPr>
          <w:rFonts w:hint="eastAsia" w:ascii="宋体" w:hAnsi="宋体" w:cs="宋体"/>
          <w:color w:val="auto"/>
          <w:spacing w:val="-2"/>
          <w:kern w:val="0"/>
          <w:position w:val="-12"/>
          <w:szCs w:val="21"/>
          <w:highlight w:val="none"/>
        </w:rPr>
        <w:object>
          <v:shape id="_x0000_i1026" o:spt="75" type="#_x0000_t75" style="height:18pt;width:6.95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cs="宋体"/>
          <w:color w:val="auto"/>
          <w:spacing w:val="-2"/>
          <w:kern w:val="0"/>
          <w:szCs w:val="21"/>
          <w:highlight w:val="none"/>
        </w:rPr>
        <w:t xml:space="preserve">——约定的付款证书中承包人应得到的已完成工程量的金额。此项金额应不包括价格调整、不计质量保证金的扣留和支付、预付款的支付和扣回。约定的变更及其他金额已按现行价格计价的，也不计在内； </w:t>
      </w:r>
    </w:p>
    <w:p w14:paraId="182485C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pacing w:val="-4"/>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spacing w:val="-4"/>
          <w:kern w:val="0"/>
          <w:szCs w:val="21"/>
          <w:highlight w:val="none"/>
        </w:rPr>
        <w:t xml:space="preserve">A——定值权重（即不调部分的权重）； </w:t>
      </w:r>
    </w:p>
    <w:p w14:paraId="021E98ED">
      <w:pPr>
        <w:keepNext w:val="0"/>
        <w:keepLines w:val="0"/>
        <w:pageBreakBefore w:val="0"/>
        <w:kinsoku/>
        <w:wordWrap/>
        <w:overflowPunct/>
        <w:topLinePunct w:val="0"/>
        <w:autoSpaceDE/>
        <w:autoSpaceDN/>
        <w:bidi w:val="0"/>
        <w:spacing w:line="380" w:lineRule="exact"/>
        <w:ind w:right="23" w:rightChars="11" w:firstLine="505" w:firstLineChars="2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B</w:t>
      </w:r>
      <w:r>
        <w:rPr>
          <w:rFonts w:hint="eastAsia" w:ascii="宋体" w:hAnsi="宋体" w:cs="宋体"/>
          <w:color w:val="auto"/>
          <w:spacing w:val="-4"/>
          <w:kern w:val="0"/>
          <w:position w:val="-10"/>
          <w:szCs w:val="21"/>
          <w:highlight w:val="none"/>
        </w:rPr>
        <w:object>
          <v:shape id="_x0000_i1027" o:spt="75" type="#_x0000_t75" style="height:17pt;width:6pt;" o:ole="t" filled="f" o:preferrelative="t"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cs="宋体"/>
          <w:color w:val="auto"/>
          <w:spacing w:val="-4"/>
          <w:kern w:val="0"/>
          <w:szCs w:val="21"/>
          <w:highlight w:val="none"/>
        </w:rPr>
        <w:t>；B</w:t>
      </w:r>
      <w:r>
        <w:rPr>
          <w:rFonts w:hint="eastAsia" w:ascii="宋体" w:hAnsi="宋体" w:cs="宋体"/>
          <w:color w:val="auto"/>
          <w:spacing w:val="-4"/>
          <w:kern w:val="0"/>
          <w:position w:val="-10"/>
          <w:szCs w:val="21"/>
          <w:highlight w:val="none"/>
        </w:rPr>
        <w:object>
          <v:shape id="_x0000_i1028" o:spt="75" type="#_x0000_t75" style="height:17pt;width:8pt;" o:ole="t" filled="f" o:preferrelative="t" stroked="f" coordsize="21600,21600">
            <v:path/>
            <v:fill on="f" alignshape="1"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cs="宋体"/>
          <w:color w:val="auto"/>
          <w:spacing w:val="-4"/>
          <w:kern w:val="0"/>
          <w:position w:val="-10"/>
          <w:szCs w:val="21"/>
          <w:highlight w:val="none"/>
        </w:rPr>
        <w:object>
          <v:shape id="_x0000_i1029" o:spt="75" type="#_x0000_t75" style="height:17pt;width:9pt;" o:ole="t" filled="f" o:preferrelative="t" stroked="f" coordsize="21600,21600">
            <v:path/>
            <v:fill on="f" alignshape="1" focussize="0,0"/>
            <v:stroke on="f"/>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cs="宋体"/>
          <w:color w:val="auto"/>
          <w:spacing w:val="-4"/>
          <w:kern w:val="0"/>
          <w:szCs w:val="21"/>
          <w:highlight w:val="none"/>
        </w:rPr>
        <w:t>；B</w:t>
      </w:r>
      <w:r>
        <w:rPr>
          <w:rFonts w:hint="eastAsia" w:ascii="宋体" w:hAnsi="宋体" w:cs="宋体"/>
          <w:color w:val="auto"/>
          <w:spacing w:val="-4"/>
          <w:kern w:val="0"/>
          <w:position w:val="-12"/>
          <w:szCs w:val="21"/>
          <w:highlight w:val="none"/>
        </w:rPr>
        <w:object>
          <v:shape id="_x0000_i1030" o:spt="75" type="#_x0000_t75" style="height:18pt;width:6.95pt;" o:ole="t" filled="f" o:preferrelative="t" stroked="f" coordsize="21600,21600">
            <v:path/>
            <v:fill on="f" alignshape="1" focussize="0,0"/>
            <v:stroke on="f"/>
            <v:imagedata r:id="rId17"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cs="宋体"/>
          <w:color w:val="auto"/>
          <w:spacing w:val="-4"/>
          <w:kern w:val="0"/>
          <w:szCs w:val="21"/>
          <w:highlight w:val="none"/>
        </w:rPr>
        <w:t>……B</w:t>
      </w:r>
      <w:r>
        <w:rPr>
          <w:rFonts w:hint="eastAsia" w:ascii="宋体" w:hAnsi="宋体" w:cs="宋体"/>
          <w:color w:val="auto"/>
          <w:spacing w:val="-4"/>
          <w:kern w:val="0"/>
          <w:position w:val="-12"/>
          <w:szCs w:val="21"/>
          <w:highlight w:val="none"/>
        </w:rPr>
        <w:object>
          <v:shape id="_x0000_i1031" o:spt="75" type="#_x0000_t75" style="height:18pt;width:8pt;" o:ole="t" filled="f" o:preferrelative="t" stroked="f" coordsize="21600,21600">
            <v:path/>
            <v:fill on="f" alignshape="1" focussize="0,0"/>
            <v:stroke on="f"/>
            <v:imagedata r:id="rId19" o:title=""/>
            <o:lock v:ext="edit" aspectratio="t"/>
            <w10:wrap type="none"/>
            <w10:anchorlock/>
          </v:shape>
          <o:OLEObject Type="Embed" ProgID="Equation.3" ShapeID="_x0000_i1031" DrawAspect="Content" ObjectID="_1468075731" r:id="rId18">
            <o:LockedField>false</o:LockedField>
          </o:OLEObject>
        </w:object>
      </w:r>
      <w:r>
        <w:rPr>
          <w:rFonts w:hint="eastAsia" w:ascii="宋体" w:hAnsi="宋体" w:cs="宋体"/>
          <w:color w:val="auto"/>
          <w:spacing w:val="-4"/>
          <w:kern w:val="0"/>
          <w:szCs w:val="21"/>
          <w:highlight w:val="none"/>
        </w:rPr>
        <w:t xml:space="preserve"> ——各可调因子的变值权重（即可调部分的权重），为各可调因子在签约合同价中所占的比例； </w:t>
      </w:r>
    </w:p>
    <w:p w14:paraId="1F267AE4">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F</w:t>
      </w:r>
      <w:r>
        <w:rPr>
          <w:rFonts w:hint="eastAsia" w:ascii="宋体" w:hAnsi="宋体" w:cs="宋体"/>
          <w:color w:val="auto"/>
          <w:spacing w:val="-4"/>
          <w:kern w:val="0"/>
          <w:position w:val="-12"/>
          <w:szCs w:val="21"/>
          <w:highlight w:val="none"/>
        </w:rPr>
        <w:object>
          <v:shape id="_x0000_i1032" o:spt="75" type="#_x0000_t75" style="height:18pt;width:9pt;" o:ole="t" filled="f" o:preferrelative="t" stroked="f" coordsize="21600,21600">
            <v:path/>
            <v:fill on="f" alignshape="1" focussize="0,0"/>
            <v:stroke on="f"/>
            <v:imagedata r:id="rId21" o:title=""/>
            <o:lock v:ext="edit" aspectratio="t"/>
            <w10:wrap type="none"/>
            <w10:anchorlock/>
          </v:shape>
          <o:OLEObject Type="Embed" ProgID="Equation.3" ShapeID="_x0000_i1032" DrawAspect="Content" ObjectID="_1468075732" r:id="rId20">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3" o:spt="75" type="#_x0000_t75" style="height:18pt;width:10pt;" o:ole="t" filled="f" o:preferrelative="t" stroked="f" coordsize="21600,21600">
            <v:path/>
            <v:fill on="f" alignshape="1" focussize="0,0"/>
            <v:stroke on="f"/>
            <v:imagedata r:id="rId23" o:title=""/>
            <o:lock v:ext="edit" aspectratio="t"/>
            <w10:wrap type="none"/>
            <w10:anchorlock/>
          </v:shape>
          <o:OLEObject Type="Embed" ProgID="Equation.3" ShapeID="_x0000_i1033" DrawAspect="Content" ObjectID="_1468075733" r:id="rId22">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4" o:spt="75" type="#_x0000_t75" style="height:18pt;width:10pt;" o:ole="t" filled="f" o:preferrelative="t" stroked="f" coordsize="21600,21600">
            <v:path/>
            <v:fill on="f" alignshape="1" focussize="0,0"/>
            <v:stroke on="f"/>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5" o:spt="75" type="#_x0000_t75" style="height:18pt;width:9pt;" o:ole="t" filled="f" o:preferrelative="t" stroked="f" coordsize="21600,21600">
            <v:path/>
            <v:fill on="f" alignshape="1" focussize="0,0"/>
            <v:stroke on="f"/>
            <v:imagedata r:id="rId27" o:title=""/>
            <o:lock v:ext="edit" aspectratio="t"/>
            <w10:wrap type="none"/>
            <w10:anchorlock/>
          </v:shape>
          <o:OLEObject Type="Embed" ProgID="Equation.3" ShapeID="_x0000_i1035" DrawAspect="Content" ObjectID="_1468075735" r:id="rId26">
            <o:LockedField>false</o:LockedField>
          </o:OLEObject>
        </w:object>
      </w:r>
      <w:r>
        <w:rPr>
          <w:rFonts w:hint="eastAsia" w:ascii="宋体" w:hAnsi="宋体" w:cs="宋体"/>
          <w:color w:val="auto"/>
          <w:spacing w:val="-4"/>
          <w:kern w:val="0"/>
          <w:szCs w:val="21"/>
          <w:highlight w:val="none"/>
        </w:rPr>
        <w:t xml:space="preserve">——各可调因子的现行价格指数，指约定的付款证书相关周期最后一天的前 42天的各可调因子的价格指数； </w:t>
      </w:r>
    </w:p>
    <w:p w14:paraId="6CA06237">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F</w:t>
      </w:r>
      <w:r>
        <w:rPr>
          <w:rFonts w:hint="eastAsia" w:ascii="宋体" w:hAnsi="宋体" w:cs="宋体"/>
          <w:color w:val="auto"/>
          <w:spacing w:val="-4"/>
          <w:kern w:val="0"/>
          <w:position w:val="-12"/>
          <w:szCs w:val="21"/>
          <w:highlight w:val="none"/>
        </w:rPr>
        <w:object>
          <v:shape id="_x0000_i1036" o:spt="75" type="#_x0000_t75" style="height:18pt;width:10pt;" o:ole="t" filled="f" o:preferrelative="t" stroked="f" coordsize="21600,21600">
            <v:path/>
            <v:fill on="f" alignshape="1" focussize="0,0"/>
            <v:stroke on="f"/>
            <v:imagedata r:id="rId29" o:title=""/>
            <o:lock v:ext="edit" aspectratio="t"/>
            <w10:wrap type="none"/>
            <w10:anchorlock/>
          </v:shape>
          <o:OLEObject Type="Embed" ProgID="Equation.3" ShapeID="_x0000_i1036" DrawAspect="Content" ObjectID="_1468075736" r:id="rId28">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7" o:spt="75" type="#_x0000_t75" style="height:18pt;width:11pt;" o:ole="t" filled="f" o:preferrelative="t" stroked="f" coordsize="21600,21600">
            <v:path/>
            <v:fill on="f" alignshape="1" focussize="0,0"/>
            <v:stroke on="f"/>
            <v:imagedata r:id="rId31" o:title=""/>
            <o:lock v:ext="edit" aspectratio="t"/>
            <w10:wrap type="none"/>
            <w10:anchorlock/>
          </v:shape>
          <o:OLEObject Type="Embed" ProgID="Equation.3" ShapeID="_x0000_i1037" DrawAspect="Content" ObjectID="_1468075737" r:id="rId30">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8" o:spt="75" type="#_x0000_t75" style="height:18pt;width:11pt;" o:ole="t" filled="f" o:preferrelative="t" stroked="f" coordsize="21600,21600">
            <v:path/>
            <v:fill on="f" alignshape="1" focussize="0,0"/>
            <v:stroke on="f"/>
            <v:imagedata r:id="rId33" o:title=""/>
            <o:lock v:ext="edit" aspectratio="t"/>
            <w10:wrap type="none"/>
            <w10:anchorlock/>
          </v:shape>
          <o:OLEObject Type="Embed" ProgID="Equation.3" ShapeID="_x0000_i1038" DrawAspect="Content" ObjectID="_1468075738" r:id="rId32">
            <o:LockedField>false</o:LockedField>
          </o:OLEObject>
        </w:object>
      </w:r>
      <w:r>
        <w:rPr>
          <w:rFonts w:hint="eastAsia" w:ascii="宋体" w:hAnsi="宋体" w:cs="宋体"/>
          <w:color w:val="auto"/>
          <w:spacing w:val="-4"/>
          <w:kern w:val="0"/>
          <w:szCs w:val="21"/>
          <w:highlight w:val="none"/>
        </w:rPr>
        <w:t>……F</w:t>
      </w:r>
      <w:r>
        <w:rPr>
          <w:rFonts w:hint="eastAsia" w:ascii="宋体" w:hAnsi="宋体" w:cs="宋体"/>
          <w:color w:val="auto"/>
          <w:spacing w:val="-4"/>
          <w:kern w:val="0"/>
          <w:position w:val="-12"/>
          <w:szCs w:val="21"/>
          <w:highlight w:val="none"/>
        </w:rPr>
        <w:object>
          <v:shape id="_x0000_i1039" o:spt="75" type="#_x0000_t75" style="height:18pt;width:12pt;" o:ole="t" filled="f" o:preferrelative="t" stroked="f" coordsize="21600,21600">
            <v:path/>
            <v:fill on="f" alignshape="1" focussize="0,0"/>
            <v:stroke on="f"/>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ascii="宋体" w:hAnsi="宋体" w:cs="宋体"/>
          <w:color w:val="auto"/>
          <w:spacing w:val="-4"/>
          <w:kern w:val="0"/>
          <w:szCs w:val="21"/>
          <w:highlight w:val="none"/>
        </w:rPr>
        <w:t>——各可调因子的基本价格指数，指基准日期的各可调因子的价格指数。</w:t>
      </w:r>
    </w:p>
    <w:p w14:paraId="7871971F">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2"/>
          <w:kern w:val="0"/>
          <w:szCs w:val="21"/>
          <w:highlight w:val="none"/>
        </w:rPr>
      </w:pPr>
      <w:r>
        <w:rPr>
          <w:rFonts w:hint="eastAsia" w:ascii="宋体" w:hAnsi="宋体" w:cs="宋体"/>
          <w:color w:val="auto"/>
          <w:spacing w:val="-4"/>
          <w:kern w:val="0"/>
          <w:szCs w:val="21"/>
          <w:highlight w:val="none"/>
        </w:rPr>
        <w:t xml:space="preserve"> 以上价格调整公式中的各可调因子、定值和变值权重，以及基本价格指数及其来源在投标函附录价格指数和权重表中约定，</w:t>
      </w:r>
      <w:r>
        <w:rPr>
          <w:rFonts w:hint="eastAsia" w:ascii="宋体" w:hAnsi="宋体" w:cs="宋体"/>
          <w:color w:val="auto"/>
          <w:spacing w:val="2"/>
          <w:kern w:val="0"/>
          <w:szCs w:val="21"/>
          <w:highlight w:val="none"/>
        </w:rPr>
        <w:t>非招标订立的合同，</w:t>
      </w:r>
      <w:r>
        <w:rPr>
          <w:rFonts w:hint="eastAsia" w:ascii="宋体" w:hAnsi="宋体" w:cs="宋体"/>
          <w:color w:val="auto"/>
          <w:spacing w:val="-2"/>
          <w:kern w:val="0"/>
          <w:szCs w:val="21"/>
          <w:highlight w:val="none"/>
        </w:rPr>
        <w:t>由合同当事人在专用合同条款中约定。价格指数应首先采用工程造价管理机构发布的价格指数，无前述价格指数时，可采用工程造价管理机构发布的价格代替。</w:t>
      </w:r>
    </w:p>
    <w:p w14:paraId="76EDD72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（2）暂时确定调整差额</w:t>
      </w:r>
    </w:p>
    <w:p w14:paraId="010CF47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在计算调整差额时无现行价格指数的，合同当事人同意暂用前次价格指数计算。实际价格指数有调整的，合同当事人进行相应调整。   </w:t>
      </w:r>
    </w:p>
    <w:p w14:paraId="638CF2D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（3）权重的调整</w:t>
      </w:r>
    </w:p>
    <w:p w14:paraId="48D7AA4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因变更导致合同约定的权重不合理时，按照第4.4款〔商定或确定〕执行。</w:t>
      </w:r>
    </w:p>
    <w:p w14:paraId="79E88FFB">
      <w:pPr>
        <w:keepNext w:val="0"/>
        <w:keepLines w:val="0"/>
        <w:pageBreakBefore w:val="0"/>
        <w:kinsoku/>
        <w:wordWrap/>
        <w:overflowPunct/>
        <w:topLinePunct w:val="0"/>
        <w:autoSpaceDE/>
        <w:autoSpaceDN/>
        <w:bidi w:val="0"/>
        <w:spacing w:line="380" w:lineRule="exact"/>
        <w:ind w:right="23" w:rightChars="11"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（4）因承包人原因工期延误后的价格调整</w:t>
      </w:r>
    </w:p>
    <w:p w14:paraId="1E3ABAC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8E878E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第2种方式：采用造价信息进行价格调整。</w:t>
      </w:r>
    </w:p>
    <w:p w14:paraId="456189D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合同履行期间，因人工、材料、工程设备和机械台班价格波动影响合同价格时，人工、机械使用费按照国家或省建设行政管理部门、行业建设管理部门或其授权的工程造价管理机构发布的人工、机械台班单价进行调整；需要进行价格调整的材料，其单价和采购数量应由发包人审批，发包人确认需调整的材料单价及数量，作为调整合同价格的依据。</w:t>
      </w:r>
    </w:p>
    <w:p w14:paraId="54F40F9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（1）人工单价发生变化且符合省级或行业建设主管部门发布的人工费调整规定，</w:t>
      </w:r>
      <w:r>
        <w:rPr>
          <w:rFonts w:hint="eastAsia" w:ascii="宋体" w:hAnsi="宋体" w:cs="宋体"/>
          <w:color w:val="auto"/>
          <w:kern w:val="0"/>
          <w:szCs w:val="21"/>
          <w:highlight w:val="none"/>
        </w:rPr>
        <w:t>合同当事人应按省级或行业建设主管部门或其授权的工程造价管理机构发布的人工费等文件调整合同价格，</w:t>
      </w:r>
      <w:r>
        <w:rPr>
          <w:rFonts w:hint="eastAsia" w:ascii="宋体" w:hAnsi="宋体" w:cs="宋体"/>
          <w:color w:val="auto"/>
          <w:spacing w:val="-4"/>
          <w:kern w:val="0"/>
          <w:szCs w:val="21"/>
          <w:highlight w:val="none"/>
        </w:rPr>
        <w:t>但承包人对人工费或人工单价的报价高于发布价格的除外。</w:t>
      </w:r>
    </w:p>
    <w:p w14:paraId="781E1A78">
      <w:pPr>
        <w:keepNext w:val="0"/>
        <w:keepLines w:val="0"/>
        <w:pageBreakBefore w:val="0"/>
        <w:kinsoku/>
        <w:wordWrap/>
        <w:overflowPunct/>
        <w:topLinePunct w:val="0"/>
        <w:autoSpaceDE/>
        <w:autoSpaceDN/>
        <w:bidi w:val="0"/>
        <w:spacing w:line="380" w:lineRule="exact"/>
        <w:ind w:right="23" w:rightChars="11" w:firstLine="404"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（2）材料、工程设备价格变化的价款调整按照发包人提供的基准价格，按以下风险范围规定执行: </w:t>
      </w:r>
    </w:p>
    <w:p w14:paraId="1A6A2A4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①承包人在已标价工程量清单或预算书中载明的材料、工程设备单价，在合同履行期间涨、跌幅以基准价格为基础超过风险范围时，据实调整。 </w:t>
      </w:r>
    </w:p>
    <w:p w14:paraId="4748163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②承包人在投标报价中载明的材料、工程设备单价在合同履行期</w:t>
      </w:r>
    </w:p>
    <w:p w14:paraId="58C69D3B">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color w:val="auto"/>
          <w:kern w:val="0"/>
          <w:szCs w:val="21"/>
          <w:highlight w:val="none"/>
        </w:rPr>
        <w:t>间涨、跌幅超过省及各市州建设行政主管部门各期间发布的预算价格</w:t>
      </w:r>
    </w:p>
    <w:p w14:paraId="57917416">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kern w:val="0"/>
          <w:szCs w:val="21"/>
          <w:highlight w:val="none"/>
        </w:rPr>
      </w:pPr>
      <w:r>
        <w:rPr>
          <w:rFonts w:hint="eastAsia" w:ascii="宋体" w:hAnsi="宋体" w:cs="宋体"/>
          <w:color w:val="auto"/>
          <w:kern w:val="0"/>
          <w:szCs w:val="21"/>
          <w:highlight w:val="none"/>
        </w:rPr>
        <w:t>的风险范围时，据实调整。</w:t>
      </w:r>
    </w:p>
    <w:p w14:paraId="27F9F10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（3）风险范围及幅度，专用合同条款有约定的按其约定，专用合同条款没有约定，按以下幅度为准： </w:t>
      </w:r>
    </w:p>
    <w:p w14:paraId="657065C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①建筑工程、市政工程与仿古建筑工程的风险幅度值为±3%。 </w:t>
      </w:r>
    </w:p>
    <w:p w14:paraId="4BE8A76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②装饰工程、安装工程与园林景观工程的风险幅度值为±5%。</w:t>
      </w:r>
    </w:p>
    <w:p w14:paraId="564DA22E">
      <w:pPr>
        <w:keepNext w:val="0"/>
        <w:keepLines w:val="0"/>
        <w:pageBreakBefore w:val="0"/>
        <w:kinsoku/>
        <w:wordWrap/>
        <w:overflowPunct/>
        <w:topLinePunct w:val="0"/>
        <w:autoSpaceDE/>
        <w:autoSpaceDN/>
        <w:bidi w:val="0"/>
        <w:spacing w:line="380" w:lineRule="exact"/>
        <w:ind w:left="546" w:leftChars="260" w:right="23" w:rightChars="11"/>
        <w:rPr>
          <w:rFonts w:hint="eastAsia" w:ascii="宋体" w:hAnsi="宋体" w:cs="宋体"/>
          <w:color w:val="auto"/>
          <w:kern w:val="0"/>
          <w:szCs w:val="21"/>
          <w:highlight w:val="none"/>
        </w:rPr>
      </w:pPr>
      <w:r>
        <w:rPr>
          <w:rFonts w:hint="eastAsia" w:ascii="宋体" w:hAnsi="宋体" w:cs="宋体"/>
          <w:color w:val="auto"/>
          <w:spacing w:val="-4"/>
          <w:kern w:val="0"/>
          <w:szCs w:val="21"/>
          <w:highlight w:val="none"/>
        </w:rPr>
        <w:t>（4）发生合同工期延误，应按下列约定，确定合同履行期的价格：因非承包人原因导致工期延误，计划进度日期后续工程的材料、</w:t>
      </w:r>
      <w:r>
        <w:rPr>
          <w:rFonts w:hint="eastAsia" w:ascii="宋体" w:hAnsi="宋体" w:cs="宋体"/>
          <w:color w:val="auto"/>
          <w:kern w:val="0"/>
          <w:szCs w:val="21"/>
          <w:highlight w:val="none"/>
        </w:rPr>
        <w:t>工程设备价格，应采用计划进度日期与实际进度日期两者之间的较高者。</w:t>
      </w:r>
    </w:p>
    <w:p w14:paraId="23984B3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因承包人原因导致工期延误，计划日期后续工程的材料、工程设备价格，应采用计划进度日期与实际进度日期两者之间的较低者。</w:t>
      </w:r>
    </w:p>
    <w:p w14:paraId="6F735C5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前述基准价格是指由发包人在招标文件或专用合同条款中给定的材料、工程设备的价格，该价格原则上应当按照省级或行业建设主管部门或其授权的工程造价管理机构发布的信息价编制。</w:t>
      </w:r>
    </w:p>
    <w:p w14:paraId="0A035F6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（5）施工机械台班单价的调整，根据机械台班中所包括的人工和燃料、动力数量按第 11.1款中的第 2种方法调整。</w:t>
      </w:r>
    </w:p>
    <w:p w14:paraId="465B020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 3种方式：专用合同条款约定的其他方式。 </w:t>
      </w:r>
    </w:p>
    <w:p w14:paraId="3F9EE2A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spacing w:val="-4"/>
          <w:kern w:val="0"/>
          <w:szCs w:val="21"/>
          <w:highlight w:val="none"/>
        </w:rPr>
        <w:t>11.2法律变化引起的调整</w:t>
      </w:r>
    </w:p>
    <w:p w14:paraId="13C77F3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因法律变化引起的合同价格和工期调整，合同当事人无法达成一致的，由总监理工程师按第4.4款〔商定或确定〕的约定处理。因承包人原因造成工期延误，在工期延误期间出现法律变化的，由此增加的费用和（或）延误的工期由承包人承担。 </w:t>
      </w:r>
    </w:p>
    <w:p w14:paraId="08971F90">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12.合同价格、计量与支付 </w:t>
      </w:r>
    </w:p>
    <w:p w14:paraId="0959B47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12.1合同价格形式</w:t>
      </w:r>
    </w:p>
    <w:p w14:paraId="3223999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发包人和承包人应在合同协议书中选择下列一种合同价格形式： </w:t>
      </w:r>
    </w:p>
    <w:p w14:paraId="2A6B930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1.单价合同</w:t>
      </w:r>
    </w:p>
    <w:p w14:paraId="14B310C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 11.1款〔市场价格波动引起的调整〕约定执行。 </w:t>
      </w:r>
    </w:p>
    <w:p w14:paraId="5D7E929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w:t>
      </w:r>
    </w:p>
    <w:p w14:paraId="08B1E60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11.1款</w:t>
      </w:r>
      <w:r>
        <w:rPr>
          <w:rFonts w:hint="eastAsia" w:ascii="宋体" w:hAnsi="宋体" w:cs="宋体"/>
          <w:color w:val="auto"/>
          <w:spacing w:val="-2"/>
          <w:szCs w:val="21"/>
          <w:highlight w:val="none"/>
        </w:rPr>
        <w:t>〔市场价格波动引起的调整〕、因法律变化引起的调整按第 11.2款〔法</w:t>
      </w:r>
      <w:r>
        <w:rPr>
          <w:rFonts w:hint="eastAsia" w:ascii="宋体" w:hAnsi="宋体" w:cs="宋体"/>
          <w:color w:val="auto"/>
          <w:szCs w:val="21"/>
          <w:highlight w:val="none"/>
        </w:rPr>
        <w:t xml:space="preserve">律变化引起的调整〕约定执行。 </w:t>
      </w:r>
    </w:p>
    <w:p w14:paraId="23AFD1A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3.其它价格形式</w:t>
      </w:r>
    </w:p>
    <w:p w14:paraId="4ACEAF4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合同当事人可在专用合同条款中约定其他合同价格形式。 </w:t>
      </w:r>
    </w:p>
    <w:p w14:paraId="1BFD4BB0">
      <w:pPr>
        <w:keepNext w:val="0"/>
        <w:keepLines w:val="0"/>
        <w:pageBreakBefore w:val="0"/>
        <w:kinsoku/>
        <w:wordWrap/>
        <w:overflowPunct/>
        <w:topLinePunct w:val="0"/>
        <w:autoSpaceDE/>
        <w:autoSpaceDN/>
        <w:bidi w:val="0"/>
        <w:spacing w:line="380" w:lineRule="exact"/>
        <w:ind w:right="23" w:rightChars="11" w:firstLine="411" w:firstLineChars="196"/>
        <w:rPr>
          <w:rFonts w:hint="eastAsia" w:ascii="宋体" w:hAnsi="宋体" w:cs="宋体"/>
          <w:b/>
          <w:color w:val="auto"/>
          <w:szCs w:val="21"/>
          <w:highlight w:val="none"/>
        </w:rPr>
      </w:pPr>
      <w:r>
        <w:rPr>
          <w:rFonts w:hint="eastAsia" w:ascii="宋体" w:hAnsi="宋体" w:cs="宋体"/>
          <w:b/>
          <w:color w:val="auto"/>
          <w:szCs w:val="21"/>
          <w:highlight w:val="none"/>
        </w:rPr>
        <w:t xml:space="preserve">12.2预付款 </w:t>
      </w:r>
    </w:p>
    <w:p w14:paraId="6A03F3F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12.2.1预付款的支付</w:t>
      </w:r>
    </w:p>
    <w:p w14:paraId="7DB47CE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预付款的支付按照专用合同条款约定执行，但最迟应在开工通知载明的开工日期 7天前支付。预付款应当用于材料、工程设备、施工设备的采购及修建临时工程、组织施工队伍进场等。</w:t>
      </w:r>
    </w:p>
    <w:p w14:paraId="131D410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除专用合同条款另有约定外，预付款在进度付款中同比例扣回。在颁发工程接收证书前，提前解除合同的，尚未扣完的预付款应与合同价款一并结算。</w:t>
      </w:r>
    </w:p>
    <w:p w14:paraId="16C01AC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发包人逾期支付预付款超过 7天的，承包人有权向发包人发出要求预付的催告通知，发包人收到通知后 7天内仍未支付的，承包人有权暂停施工，并按第 16.1.1项〔发包人违约的情形〕执行。 </w:t>
      </w:r>
    </w:p>
    <w:p w14:paraId="33EBBE1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12.2.2预付款担保</w:t>
      </w:r>
    </w:p>
    <w:p w14:paraId="6AB83A3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发包人要求承包人提供预付款担保的，承包人应在发包人支付预付款 7天前提供预付款担保，专用合同条款另有约定除外。预付款担保可采用银行保函、担保公司担保等形式，具体由合同当事人在专用合同条款中约定。在预付款完全扣回之前，承包人应保证预付款担保持续有效。</w:t>
      </w:r>
    </w:p>
    <w:p w14:paraId="7038EB6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发包人在工程款中逐期扣回预付款后，预付款担保额度应相应减少，但剩余的预付款担保金额不得低于未被扣回的预付款金额。</w:t>
      </w:r>
    </w:p>
    <w:p w14:paraId="3AB0D822">
      <w:pPr>
        <w:keepNext w:val="0"/>
        <w:keepLines w:val="0"/>
        <w:pageBreakBefore w:val="0"/>
        <w:kinsoku/>
        <w:wordWrap/>
        <w:overflowPunct/>
        <w:topLinePunct w:val="0"/>
        <w:autoSpaceDE/>
        <w:autoSpaceDN/>
        <w:bidi w:val="0"/>
        <w:spacing w:line="380" w:lineRule="exact"/>
        <w:ind w:right="23" w:rightChars="11"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 xml:space="preserve">12.3计量 </w:t>
      </w:r>
    </w:p>
    <w:p w14:paraId="07304B2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12.3.1计量原则</w:t>
      </w:r>
    </w:p>
    <w:p w14:paraId="0B6FB6C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工程量计量按照合同约定的工程量计算规则、图纸及变更指示等进行计量。工程量计算规则应以相关的国家标准、行业标准等为依据，由合同当事人在专用合同条款中约定。 </w:t>
      </w:r>
    </w:p>
    <w:p w14:paraId="0EEC9E1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12.3.2计量周期</w:t>
      </w:r>
    </w:p>
    <w:p w14:paraId="6A64873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除专用合同条款另有约定外，工程量的计量按月进行。 </w:t>
      </w:r>
    </w:p>
    <w:p w14:paraId="27B4C31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12.3.3单价合同的计量</w:t>
      </w:r>
    </w:p>
    <w:p w14:paraId="1162B0B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除专用合同条款另有约定外，单价合同的计量按照本项约定执行：</w:t>
      </w:r>
    </w:p>
    <w:p w14:paraId="3E9CA38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（1）承包人应于每月25日向监理人报送上月 20日至当月19日已完成的工程量报告，并附具进度付款申请单、已完成工程量报表和有关资料。</w:t>
      </w:r>
    </w:p>
    <w:p w14:paraId="1F9BC35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CE8139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（3）监理人未在收到承包人提交的工程量报表后的7天内完成审核的，承包人报送的工程量报告中的工程量视为承包人实际完成的工程量，据此计算工程价款。 </w:t>
      </w:r>
    </w:p>
    <w:p w14:paraId="50D1DE2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12.3.4总价合同的计量</w:t>
      </w:r>
    </w:p>
    <w:p w14:paraId="6E4D925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除专用合同条款另有约定外，按月计量支付的总价合同，按照本项约定执行：</w:t>
      </w:r>
    </w:p>
    <w:p w14:paraId="6ED7E39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（1）承包人应于每月25日向监理人报送上月20日至当月19日已完成的工程量报告，并附具进度付款申请单、已完成工程量报表和有关资料。</w:t>
      </w:r>
    </w:p>
    <w:p w14:paraId="71056E5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846012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（3）监理人未在收到承包人提交的工程量报表后的7天内完成复核的，承包人提交的工程量报告中的工程量视为承包人实际完成的工程量。 </w:t>
      </w:r>
    </w:p>
    <w:p w14:paraId="52BC868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12.3.5总价合同采用支付分解表计量支付的，可以按照第12.3.4项〔总价合同的计量〕约定进行计量，但合同价款按照支付分解表进行支付。 </w:t>
      </w:r>
    </w:p>
    <w:p w14:paraId="4CF6F8E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12.3.6其他价格形式合同的计量</w:t>
      </w:r>
    </w:p>
    <w:p w14:paraId="114D946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合同当事人可在专用合同条款中约定其他价格形式合同的计量方式和程序。 </w:t>
      </w:r>
    </w:p>
    <w:p w14:paraId="1EDEE795">
      <w:pPr>
        <w:keepNext w:val="0"/>
        <w:keepLines w:val="0"/>
        <w:pageBreakBefore w:val="0"/>
        <w:kinsoku/>
        <w:wordWrap/>
        <w:overflowPunct/>
        <w:topLinePunct w:val="0"/>
        <w:autoSpaceDE/>
        <w:autoSpaceDN/>
        <w:bidi w:val="0"/>
        <w:spacing w:line="380" w:lineRule="exact"/>
        <w:ind w:right="23" w:rightChars="11" w:firstLine="310" w:firstLineChars="148"/>
        <w:rPr>
          <w:rFonts w:hint="eastAsia" w:ascii="宋体" w:hAnsi="宋体" w:cs="宋体"/>
          <w:b/>
          <w:color w:val="auto"/>
          <w:szCs w:val="21"/>
          <w:highlight w:val="none"/>
        </w:rPr>
      </w:pPr>
      <w:r>
        <w:rPr>
          <w:rFonts w:hint="eastAsia" w:ascii="宋体" w:hAnsi="宋体" w:cs="宋体"/>
          <w:b/>
          <w:color w:val="auto"/>
          <w:szCs w:val="21"/>
          <w:highlight w:val="none"/>
        </w:rPr>
        <w:t xml:space="preserve">12.4工程进度款支付 </w:t>
      </w:r>
    </w:p>
    <w:p w14:paraId="09F69BDC">
      <w:pPr>
        <w:keepNext w:val="0"/>
        <w:keepLines w:val="0"/>
        <w:pageBreakBefore w:val="0"/>
        <w:kinsoku/>
        <w:wordWrap/>
        <w:overflowPunct/>
        <w:topLinePunct w:val="0"/>
        <w:autoSpaceDE/>
        <w:autoSpaceDN/>
        <w:bidi w:val="0"/>
        <w:spacing w:line="380" w:lineRule="exact"/>
        <w:ind w:left="140" w:leftChars="67" w:right="23" w:rightChars="1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12.4.1付款周期  </w:t>
      </w:r>
    </w:p>
    <w:p w14:paraId="6C7EA918">
      <w:pPr>
        <w:keepNext w:val="0"/>
        <w:keepLines w:val="0"/>
        <w:pageBreakBefore w:val="0"/>
        <w:kinsoku/>
        <w:wordWrap/>
        <w:overflowPunct/>
        <w:topLinePunct w:val="0"/>
        <w:autoSpaceDE/>
        <w:autoSpaceDN/>
        <w:bidi w:val="0"/>
        <w:spacing w:line="380" w:lineRule="exact"/>
        <w:ind w:left="140" w:leftChars="67" w:right="23" w:rightChars="1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除专用合同条款另有约定外，付款周期应按照第12.3.2项〔计量周期〕的约定与计量周期保持一致。 </w:t>
      </w:r>
    </w:p>
    <w:p w14:paraId="57DE207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12.4.2进度付款申请单的编制</w:t>
      </w:r>
    </w:p>
    <w:p w14:paraId="2F3DCAB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除专用合同条款另有约定外，进度付款申请单应包括下列内容：</w:t>
      </w:r>
    </w:p>
    <w:p w14:paraId="29442E1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（1）截至本次付款周期已完成工作对应的金额；</w:t>
      </w:r>
    </w:p>
    <w:p w14:paraId="1A9ACA4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（2）根据第10条〔变更〕应增加和扣减的变更金额；</w:t>
      </w:r>
    </w:p>
    <w:p w14:paraId="22EFB86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（3）根据第12.2款〔预付款〕约定应支付的预付款和扣减的返还预付款；</w:t>
      </w:r>
    </w:p>
    <w:p w14:paraId="5FD5E59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（4）根据第15.3款〔质量保证金〕约定应扣减的质量保证金；</w:t>
      </w:r>
    </w:p>
    <w:p w14:paraId="4C5372F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（5）根据第19条〔索赔〕应增加和扣减的索赔金额；</w:t>
      </w:r>
    </w:p>
    <w:p w14:paraId="25EC7D3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（6）对已签发的进度款支付证书中出现错误的修正，应在本次进度付款中支付或扣除的金额；</w:t>
      </w:r>
    </w:p>
    <w:p w14:paraId="7BCBF41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（7）根据合同约定应增加和扣减的其他金额。 </w:t>
      </w:r>
    </w:p>
    <w:p w14:paraId="1BA1AEC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12.4.3进度付款申请单的提交</w:t>
      </w:r>
    </w:p>
    <w:p w14:paraId="11610F4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（1）单价合同进度付款申请单的提交</w:t>
      </w:r>
    </w:p>
    <w:p w14:paraId="7843203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单价合同的进度付款申请单，按照第 12.3.3项〔单价合同的计量〕约定的时间按月向监理人提交，并附上已完成工程量报表和有关资料。单价合同中的总价项目按月进行支付分解，并汇总列入当期进度付款申请单。</w:t>
      </w:r>
    </w:p>
    <w:p w14:paraId="0C8EBD0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（2）总价合同进度付款申请单的提交</w:t>
      </w:r>
    </w:p>
    <w:p w14:paraId="72C8F59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总价合同按月计量支付的，承包人按照第 12.3.4项〔总价合同的计量〕约定的时间按月向监理人提交进度付款申请单，并附上已完成工程量报表和有关资料。</w:t>
      </w:r>
    </w:p>
    <w:p w14:paraId="587E339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总价合同按支付分解表支付的，承包人应按照第12.4.6项〔支付分解表〕及第12.4.2项〔进度付款申请单的编制〕的约定向监理人提交进度付款申请单。</w:t>
      </w:r>
    </w:p>
    <w:p w14:paraId="488D674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（3）其他价格形式合同的进度付款申请单的提交</w:t>
      </w:r>
    </w:p>
    <w:p w14:paraId="4BA76C2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合同当事人可在专用合同条款中约定其他价格形式合同的进度付款申请单的编制和提交程序。 </w:t>
      </w:r>
    </w:p>
    <w:p w14:paraId="299C100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12.4.4进度款审核和支付</w:t>
      </w:r>
    </w:p>
    <w:p w14:paraId="1F23975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2EEDA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BEAA9D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635EB0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（3）发包人签发进度款支付证书或临时进度款支付证书，不表明发包人已同意、批准或接受了承包人完成的相应部分的工作。 </w:t>
      </w:r>
    </w:p>
    <w:p w14:paraId="005B332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12.4.5进度付款的修正</w:t>
      </w:r>
    </w:p>
    <w:p w14:paraId="6A8A2FA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在对已签发的进度款支付证书进行阶段汇总和复核中发现错误、遗漏或重复的，发包人和承包人均有权提出修正申请。经发包人和承包人同意的修正，应在下期进度付款中支付或扣除。 </w:t>
      </w:r>
    </w:p>
    <w:p w14:paraId="6DA4452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12.4.6支付分解表 </w:t>
      </w:r>
    </w:p>
    <w:p w14:paraId="6185853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1、支付分解表的编制要求</w:t>
      </w:r>
    </w:p>
    <w:p w14:paraId="5184166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（1）支付分解表中所列的每期付款金额，应为第 </w:t>
      </w:r>
    </w:p>
    <w:p w14:paraId="1311BC4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12.4.2项〔进度付款申请单的编制〕第（1）目的估算金额；</w:t>
      </w:r>
    </w:p>
    <w:p w14:paraId="751E8DD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（2）实际进度与施工进度计划不一致的，合同当事人可按照第 4.4款〔商定或确定〕修改支付分解表；</w:t>
      </w:r>
    </w:p>
    <w:p w14:paraId="242FA7D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（3）不采用支付分解表的，承包人应向发包人和监理人提交按季度编制的支付估算分解表，用于支付参考。 </w:t>
      </w:r>
    </w:p>
    <w:p w14:paraId="3A6C3D5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2、总价合同支付分解表的编制与审批</w:t>
      </w:r>
    </w:p>
    <w:p w14:paraId="432E796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B0BF2D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2436F92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（3）发包人逾期未完成支付分解表审批的，也未及时要求承包人</w:t>
      </w:r>
    </w:p>
    <w:p w14:paraId="2770D8DF">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进行修正和提供补充资料的，则承包人提交的支付分解表视为已经获得发包人批准。</w:t>
      </w:r>
    </w:p>
    <w:p w14:paraId="4D420A4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3、单价合同的总价项目支付分解表的编制与审批</w:t>
      </w:r>
    </w:p>
    <w:p w14:paraId="16FC4C3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 </w:t>
      </w:r>
    </w:p>
    <w:p w14:paraId="47CAE50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12.5支付账户</w:t>
      </w:r>
    </w:p>
    <w:p w14:paraId="4453991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发包人应将合同价款支付至合同协议书中约定的承包人账户。 </w:t>
      </w:r>
    </w:p>
    <w:p w14:paraId="51CE74A9">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13.验收和工程试车 </w:t>
      </w:r>
    </w:p>
    <w:p w14:paraId="3A5AD015">
      <w:pPr>
        <w:keepNext w:val="0"/>
        <w:keepLines w:val="0"/>
        <w:pageBreakBefore w:val="0"/>
        <w:kinsoku/>
        <w:wordWrap/>
        <w:overflowPunct/>
        <w:topLinePunct w:val="0"/>
        <w:autoSpaceDE/>
        <w:autoSpaceDN/>
        <w:bidi w:val="0"/>
        <w:spacing w:line="380" w:lineRule="exact"/>
        <w:ind w:right="23" w:rightChars="11" w:firstLine="415" w:firstLineChars="198"/>
        <w:rPr>
          <w:rFonts w:hint="eastAsia" w:ascii="宋体" w:hAnsi="宋体" w:cs="宋体"/>
          <w:b/>
          <w:color w:val="auto"/>
          <w:szCs w:val="21"/>
          <w:highlight w:val="none"/>
        </w:rPr>
      </w:pPr>
      <w:r>
        <w:rPr>
          <w:rFonts w:hint="eastAsia" w:ascii="宋体" w:hAnsi="宋体" w:cs="宋体"/>
          <w:b/>
          <w:color w:val="auto"/>
          <w:szCs w:val="21"/>
          <w:highlight w:val="none"/>
        </w:rPr>
        <w:t xml:space="preserve">13.1分部分项工程验收 </w:t>
      </w:r>
    </w:p>
    <w:p w14:paraId="01A4CD2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13.1.1分部分项工程质量应符合国家有关工程施工验收规范、标准及合同约定，承包人应按照施工图设计文件和施工组织设计的要求完成分部分项工程施工。 </w:t>
      </w:r>
    </w:p>
    <w:p w14:paraId="7D7C024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分部分项工程的验收资料应当作为竣工资料的组成部分。 </w:t>
      </w:r>
    </w:p>
    <w:p w14:paraId="79C244A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13.2竣工验收 </w:t>
      </w:r>
    </w:p>
    <w:p w14:paraId="4B1A7D1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13.2.1竣工验收条件</w:t>
      </w:r>
    </w:p>
    <w:p w14:paraId="4E225CA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工程具备以下条件的，承包人可以申请竣工验收：</w:t>
      </w:r>
    </w:p>
    <w:p w14:paraId="2B9040E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（1）除发包人同意的甩项工作和缺陷修补工作外，合同范围内的全部工程以及有关工作，包括合同要求的试验、试运行以及检验均已完成，并符合合同要求；</w:t>
      </w:r>
    </w:p>
    <w:p w14:paraId="2C131F5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（2）已按合同约定编制了甩项工作和缺陷修补工作清单以及相应的施工计划；</w:t>
      </w:r>
    </w:p>
    <w:p w14:paraId="5D75834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（3）已按合同约定的内容和份数备齐竣工资料。 </w:t>
      </w:r>
    </w:p>
    <w:p w14:paraId="7AD4378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13.2.2竣工验收程序</w:t>
      </w:r>
    </w:p>
    <w:p w14:paraId="7349340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除专用合同条款另有约定外，承包人申请竣工验收的，应当按照以下程序进行：</w:t>
      </w:r>
    </w:p>
    <w:p w14:paraId="6E01F04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1C496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理人审查后认为已具备竣工验收条件的，应将竣工验收申请报告提交发包人，发包人应在收到经监理人审核的竣工验收申请报告后28天内审批完毕，并在建设主管部门质量监督机构监督下组织监理人、承包人、设计人等相关单位完成竣工验收。</w:t>
      </w:r>
    </w:p>
    <w:p w14:paraId="28C21C1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321CD86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CEBB42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16B61B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除专用合同条款另有约定外，发包人不按照本项约定组织竣工验收、颁发工程接收证书的，每逾期一天，应以签约合同价为基数，按照中国人民银行发布的同期同类贷款基准利率支付违约金。 </w:t>
      </w:r>
    </w:p>
    <w:p w14:paraId="3209ABC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13.2.3竣工日期</w:t>
      </w:r>
    </w:p>
    <w:p w14:paraId="308D8A7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工程经竣工验收合格的，以竣工验收合格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w:t>
      </w:r>
    </w:p>
    <w:p w14:paraId="7332701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13.2.4拒绝接收全部或部分工程</w:t>
      </w:r>
    </w:p>
    <w:p w14:paraId="575515C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 </w:t>
      </w:r>
    </w:p>
    <w:p w14:paraId="1C04C2E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p w14:paraId="790652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除专用合同条款另有约定外，合同当事人应当在颁发工程接收证书后7天内完成工程的移交。</w:t>
      </w:r>
    </w:p>
    <w:p w14:paraId="2F785AC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8B690E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承包人无正当理由不移交工程的，承包人应承担工程照管、成品保护、保管等与工程有关的各项费用，合同当事人可以在专用合同条款中另行约定承包人无正当理由不移交工程的违约责任。 </w:t>
      </w:r>
    </w:p>
    <w:p w14:paraId="202399B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13.3工程试车 </w:t>
      </w:r>
    </w:p>
    <w:p w14:paraId="66A9C75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13.3.1试车程序</w:t>
      </w:r>
    </w:p>
    <w:p w14:paraId="452433B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工程需要试车的，除专用合同条款另有约定外，试车内容应与承包人承包范围相一致，试车费用由承包人承担。工程试车应按如下程序进行：</w:t>
      </w:r>
    </w:p>
    <w:p w14:paraId="303A36D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（1）具备单机无负荷试车条件，承包人组织试车，并在试车前 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93D465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C69E71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（2）具备无负荷联动试车条件，发包人组织试车，并在试车前 48小时以书面形式通知承包人。通知中应载明试车内容、时间、地点和对承包人的要求，承包人按要求做好准备工作。试车合格，合同当事人在试车记录上签字。承包人无正当理由不参加试车的，视为认可试车记录。 </w:t>
      </w:r>
    </w:p>
    <w:p w14:paraId="5938EF1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13.3.2试车中的责任</w:t>
      </w:r>
    </w:p>
    <w:p w14:paraId="7A075C7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D008B8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 </w:t>
      </w:r>
    </w:p>
    <w:p w14:paraId="4C39424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13.3.3投料试车</w:t>
      </w:r>
    </w:p>
    <w:p w14:paraId="52CC235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如需进行投料试车的，发包人应在工程竣工验收后组织投料试车。</w:t>
      </w:r>
    </w:p>
    <w:p w14:paraId="2DF772BB">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发包人要求在工程竣工验收前进行或需要承包人配合时，应征得承包人同意，并在专用合同条款中约定有关事项。</w:t>
      </w:r>
    </w:p>
    <w:p w14:paraId="60A1138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 </w:t>
      </w:r>
    </w:p>
    <w:p w14:paraId="1A30611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13.4提前交付单位工程的验收 </w:t>
      </w:r>
    </w:p>
    <w:p w14:paraId="5B06EF6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7A5A578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验收合格后，由监理人向承包人出具经发包人签认的单位工程接收证书。已签发单位工程接收证书的单位工程由发包人负责照管。单位工程的验收成果和结论作为整体工程竣工验收申请报告的附件。 </w:t>
      </w:r>
    </w:p>
    <w:p w14:paraId="4A0465A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13.4.2发包人要求在工程竣工前交付单位工程，由此导致承包人费用增加和（或）工期延误的，由发包人承担由此增加的费用和（或）延误的工期，并支付承包人合理的利润。 </w:t>
      </w:r>
    </w:p>
    <w:p w14:paraId="79A7842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13.5施工期运行 </w:t>
      </w:r>
    </w:p>
    <w:p w14:paraId="0EE6C2A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 </w:t>
      </w:r>
    </w:p>
    <w:p w14:paraId="19872CA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13.5.2在施工期运行中发现工程或工程设备损坏或存在缺陷的，由承包人按第15.2款〔缺陷责任期〕约定进行修复。 </w:t>
      </w:r>
    </w:p>
    <w:p w14:paraId="7DB89CE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13.6竣工退场</w:t>
      </w:r>
    </w:p>
    <w:p w14:paraId="0044198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13.6.1竣工退场</w:t>
      </w:r>
    </w:p>
    <w:p w14:paraId="3E3E07D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颁发工程接收证书后，承包人应按以下要求对施工现场进行清理：</w:t>
      </w:r>
    </w:p>
    <w:p w14:paraId="2A41596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（1）施工现场内残留的垃圾已全部清除出场；</w:t>
      </w:r>
    </w:p>
    <w:p w14:paraId="1C8E7E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（2）临时工程已拆除，场地已进行清理、平整或复原；</w:t>
      </w:r>
    </w:p>
    <w:p w14:paraId="6D29104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（3）按合同约定应撤离的人员、承包人施工设备和剩余的材料，包括废弃的施工设备和材料，已按计划撤离施工现场；</w:t>
      </w:r>
    </w:p>
    <w:p w14:paraId="0633C37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（4）施工现场周边及其附近道路、河道的施工堆积物，已全部清</w:t>
      </w:r>
    </w:p>
    <w:p w14:paraId="25AF662F">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理；</w:t>
      </w:r>
    </w:p>
    <w:p w14:paraId="4430EDF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施工现场其他场地清理工作已全部完成。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 </w:t>
      </w:r>
    </w:p>
    <w:p w14:paraId="28958C8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13.6.2地表还原</w:t>
      </w:r>
    </w:p>
    <w:p w14:paraId="61E38A4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承包人应按发包人要求恢复临时占地及清理场地，承包人未按发包人的要求恢复临时占地，或者场地清理未达到合同约定要求的，发包人有权委托其他人恢复或清理，所发生的费用由承包人承担。 </w:t>
      </w:r>
    </w:p>
    <w:p w14:paraId="757A17FC">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14.竣工结算 </w:t>
      </w:r>
    </w:p>
    <w:p w14:paraId="5487613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14.1竣工结算申请</w:t>
      </w:r>
    </w:p>
    <w:p w14:paraId="5F579A1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w:t>
      </w:r>
    </w:p>
    <w:p w14:paraId="3431C82C">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同条款中约定。</w:t>
      </w:r>
    </w:p>
    <w:p w14:paraId="7C3800E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除专用合同条款另有约定外，竣工结算申请单应包括以下内容：</w:t>
      </w:r>
    </w:p>
    <w:p w14:paraId="543BD50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（1）竣工结算合同价格；</w:t>
      </w:r>
    </w:p>
    <w:p w14:paraId="6088A0F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（2）发包人已支付承包人的款项；</w:t>
      </w:r>
    </w:p>
    <w:p w14:paraId="317D6B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（3）应扣留的质量保证金；</w:t>
      </w:r>
    </w:p>
    <w:p w14:paraId="3A9AB52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（4）发包人应支付承包人的合同价款。 </w:t>
      </w:r>
    </w:p>
    <w:p w14:paraId="214169D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14.2竣工结算审核</w:t>
      </w:r>
    </w:p>
    <w:p w14:paraId="048D732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00890C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D23579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 56天的，按照中国人民银行发布的同期同类贷款基准利率的两倍支付违约金。</w:t>
      </w:r>
    </w:p>
    <w:p w14:paraId="6D7D420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 </w:t>
      </w:r>
    </w:p>
    <w:p w14:paraId="3D084E2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14.3甩项竣工协议</w:t>
      </w:r>
    </w:p>
    <w:p w14:paraId="52660E3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发包人要求甩项竣工的，合同当事人应签订甩项竣工协议。在甩项竣工协议中应明确，合同当事人按照第14.1款〔竣工结算申请〕及 14.2款〔竣工结算审核〕的约定，对已完合格工程进行结算，并支付相应合同价款。 </w:t>
      </w:r>
    </w:p>
    <w:p w14:paraId="623EE5E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14.4最终结清 </w:t>
      </w:r>
    </w:p>
    <w:p w14:paraId="13D0094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14.4.1最终结清申请单</w:t>
      </w:r>
    </w:p>
    <w:p w14:paraId="5DBBD03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（1）除专用合同条款另有约定外，承包人应在缺陷责任期终止证书颁发后7天内，按专用合同条款约定的份数向发包人提交最终结清申请单，并提供相关证明材料。</w:t>
      </w:r>
    </w:p>
    <w:p w14:paraId="2E311C8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除专用合同条款另有约定外，最终结清申请单应列明质量保证金、应扣除的质量保证金、缺陷责任期内发生的增减费用。</w:t>
      </w:r>
    </w:p>
    <w:p w14:paraId="583CE9A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（2）发包人对最终结清申请单内容有异议的，有权要求承包人进行修正和提供补充资料，承包人应向发包人提交修正后的最终结清申请单。 </w:t>
      </w:r>
    </w:p>
    <w:p w14:paraId="24B6542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14.4.2最终结清证书和支付</w:t>
      </w:r>
    </w:p>
    <w:p w14:paraId="5EFFC732">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6E443D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1ED720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（3）承包人对发包人颁发的最终结清证书有异议的，按第20条〔争议解决〕的约定办理。 </w:t>
      </w:r>
    </w:p>
    <w:p w14:paraId="398E6CBA">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15.缺陷责任与保修 </w:t>
      </w:r>
    </w:p>
    <w:p w14:paraId="1B82A90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15.1工程保修的原则</w:t>
      </w:r>
    </w:p>
    <w:p w14:paraId="21E4CC5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在工程移交发包人后，因承包人原因产生的质量缺陷，承包人应承担质量缺陷责任和保修义务。缺陷责任期届满，承包人仍应按合同约定的工程各部位保修年限承担保修义务。 </w:t>
      </w:r>
    </w:p>
    <w:p w14:paraId="3178443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15.2缺陷责任期 </w:t>
      </w:r>
    </w:p>
    <w:p w14:paraId="1DC6C86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15.2.1缺陷责任期自实际竣工日期起计算，合同当事人应在专用合同条款约定缺陷责任期的具体期限，但该期限最长不超过24个月.</w:t>
      </w:r>
    </w:p>
    <w:p w14:paraId="4783BBE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 </w:t>
      </w:r>
    </w:p>
    <w:p w14:paraId="75C998D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15.2.2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 </w:t>
      </w:r>
    </w:p>
    <w:p w14:paraId="123C037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15.2.3任何一项缺陷或损坏修复后，经检查证明其影响了工程或工程设备的使用性能，承包人应重新进行合同约定的试验和试运行，试验和试运行的全部费用应由责任方承担。 </w:t>
      </w:r>
    </w:p>
    <w:p w14:paraId="7F66AE4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 </w:t>
      </w:r>
    </w:p>
    <w:p w14:paraId="3944197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15.3质量保证金</w:t>
      </w:r>
    </w:p>
    <w:p w14:paraId="3292897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经合同当事人协商一致扣留质量保证金的，应在专用合同条款中予以明确。 </w:t>
      </w:r>
    </w:p>
    <w:p w14:paraId="4BB221D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15.3.1承包人提供质量保证金的方式</w:t>
      </w:r>
    </w:p>
    <w:p w14:paraId="1BACF42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承包人提供质量保证金有以下三种方式：</w:t>
      </w:r>
    </w:p>
    <w:p w14:paraId="416E6B8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（1）质量保证金保函；</w:t>
      </w:r>
    </w:p>
    <w:p w14:paraId="241EAD0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（2）相应比例的工程款；</w:t>
      </w:r>
    </w:p>
    <w:p w14:paraId="46D6BDF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（3）双方约定的其他方式。</w:t>
      </w:r>
    </w:p>
    <w:p w14:paraId="2D6048D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除专用合同条款另有约定外，质量保证金原则上采用上述第（1）种方式。 </w:t>
      </w:r>
    </w:p>
    <w:p w14:paraId="2E7F91F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15.3.2质量保证金的扣留</w:t>
      </w:r>
    </w:p>
    <w:p w14:paraId="55A2544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质量保证金的扣留有以下三种方式：</w:t>
      </w:r>
    </w:p>
    <w:p w14:paraId="025B9E1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749B57F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083545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（3）双方约定的其他扣留方式。</w:t>
      </w:r>
    </w:p>
    <w:p w14:paraId="3DFEB533">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除专用合同条款另有约定外，质量保证金的扣留原则上采用上述第（1）种方式。</w:t>
      </w:r>
    </w:p>
    <w:p w14:paraId="353EFB0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发包人累计扣留的质量保证金不得超过结算合同价格的</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%，如承包人在发包人签发竣工付款证书后28天内提交质量保证金保函，发包人应同时退还扣留的作为质量保证金的工程价款。 </w:t>
      </w:r>
    </w:p>
    <w:p w14:paraId="7C5A50C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15.3.3质量保证金的退还</w:t>
      </w:r>
    </w:p>
    <w:p w14:paraId="7ABA19E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发包人应按14.4款〔最终结清〕的约定退还质量保证金。 </w:t>
      </w:r>
    </w:p>
    <w:p w14:paraId="68BE199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15.4保修 </w:t>
      </w:r>
    </w:p>
    <w:p w14:paraId="6650A7B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15.4.1保修责任</w:t>
      </w:r>
    </w:p>
    <w:p w14:paraId="5FCCCBF0">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1D46B27">
      <w:pPr>
        <w:keepNext w:val="0"/>
        <w:keepLines w:val="0"/>
        <w:pageBreakBefore w:val="0"/>
        <w:kinsoku/>
        <w:wordWrap/>
        <w:overflowPunct/>
        <w:topLinePunct w:val="0"/>
        <w:autoSpaceDE/>
        <w:autoSpaceDN/>
        <w:bidi w:val="0"/>
        <w:spacing w:line="380" w:lineRule="exact"/>
        <w:ind w:left="546" w:leftChars="260" w:right="23" w:rightChars="11"/>
        <w:rPr>
          <w:rFonts w:hint="eastAsia" w:ascii="宋体" w:hAnsi="宋体" w:cs="宋体"/>
          <w:color w:val="auto"/>
          <w:spacing w:val="-4"/>
          <w:kern w:val="28"/>
          <w:szCs w:val="21"/>
          <w:highlight w:val="none"/>
        </w:rPr>
      </w:pPr>
      <w:r>
        <w:rPr>
          <w:rFonts w:hint="eastAsia" w:ascii="宋体" w:hAnsi="宋体" w:cs="宋体"/>
          <w:color w:val="auto"/>
          <w:spacing w:val="-4"/>
          <w:kern w:val="28"/>
          <w:szCs w:val="21"/>
          <w:highlight w:val="none"/>
        </w:rPr>
        <w:t>发包人未经竣工验收擅自使用工程的，保修期自转移占有之日起算。</w:t>
      </w:r>
    </w:p>
    <w:p w14:paraId="2E01CC3A">
      <w:pPr>
        <w:keepNext w:val="0"/>
        <w:keepLines w:val="0"/>
        <w:pageBreakBefore w:val="0"/>
        <w:kinsoku/>
        <w:wordWrap/>
        <w:overflowPunct/>
        <w:topLinePunct w:val="0"/>
        <w:autoSpaceDE/>
        <w:autoSpaceDN/>
        <w:bidi w:val="0"/>
        <w:spacing w:line="380" w:lineRule="exact"/>
        <w:ind w:left="546" w:leftChars="260" w:right="23" w:rightChars="11"/>
        <w:rPr>
          <w:rFonts w:hint="eastAsia" w:ascii="宋体" w:hAnsi="宋体" w:cs="宋体"/>
          <w:color w:val="auto"/>
          <w:szCs w:val="21"/>
          <w:highlight w:val="none"/>
        </w:rPr>
      </w:pPr>
      <w:r>
        <w:rPr>
          <w:rFonts w:hint="eastAsia" w:ascii="宋体" w:hAnsi="宋体" w:cs="宋体"/>
          <w:b/>
          <w:color w:val="auto"/>
          <w:szCs w:val="21"/>
          <w:highlight w:val="none"/>
        </w:rPr>
        <w:t>15.4.2</w:t>
      </w:r>
      <w:r>
        <w:rPr>
          <w:rFonts w:hint="eastAsia" w:ascii="宋体" w:hAnsi="宋体" w:cs="宋体"/>
          <w:color w:val="auto"/>
          <w:szCs w:val="21"/>
          <w:highlight w:val="none"/>
        </w:rPr>
        <w:t>修复费用</w:t>
      </w:r>
    </w:p>
    <w:p w14:paraId="59BE500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保修期内，修复的费用按照以下约定处理：</w:t>
      </w:r>
    </w:p>
    <w:p w14:paraId="0576DF9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（1）保修期内，因承包人原因造成工程的缺陷、损坏，承包人应负责修复，并承担修复的费用以及因工程的缺陷、损坏造成的人身伤害和财产损失；</w:t>
      </w:r>
    </w:p>
    <w:p w14:paraId="7D5C24C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（2）保修期内，因发包人使用不当造成工程的缺陷、损坏，可以委托承包人修复，但发包人应承担修复的费用，并支付承包人合理利润；</w:t>
      </w:r>
    </w:p>
    <w:p w14:paraId="60E1834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（3）因其他原因造成工程的缺陷、损坏，可以委托承包人修复，发包人应承担修复的费用，并支付承包人合理的利润，因工程的缺陷、损坏造成的人身伤害和财产损失由责任方承担。 </w:t>
      </w:r>
    </w:p>
    <w:p w14:paraId="5F63157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15.4.3修复通知</w:t>
      </w:r>
    </w:p>
    <w:p w14:paraId="37F793C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 </w:t>
      </w:r>
    </w:p>
    <w:p w14:paraId="68208D8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15.4.4未能修复 </w:t>
      </w:r>
    </w:p>
    <w:p w14:paraId="01DC87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因承包人原因造成工程的缺陷或损坏，承包人拒绝维修或未能在合理期限内修复缺陷或损坏，且经发包人书面催告后仍未修复的，发</w:t>
      </w:r>
      <w:r>
        <w:rPr>
          <w:rFonts w:hint="eastAsia" w:ascii="宋体" w:hAnsi="宋体" w:cs="宋体"/>
          <w:color w:val="auto"/>
          <w:spacing w:val="-4"/>
          <w:szCs w:val="21"/>
          <w:highlight w:val="none"/>
        </w:rPr>
        <w:t>包人有权自行修复或委托第三方修复，所需费用由承包人承担。但修复范围超出缺陷或损坏范围的，超出范围部分的修复费用由发包人承担。</w:t>
      </w:r>
    </w:p>
    <w:p w14:paraId="1A87552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15.4.5承包人出入权</w:t>
      </w:r>
    </w:p>
    <w:p w14:paraId="35948E6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 </w:t>
      </w:r>
    </w:p>
    <w:p w14:paraId="50E0DCF4">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16.违约 </w:t>
      </w:r>
    </w:p>
    <w:p w14:paraId="2C56C92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16.1发包人违约 </w:t>
      </w:r>
    </w:p>
    <w:p w14:paraId="6B0AF03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494B3DB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在合同履行过程中发生的下列情形，属于发包人违约：</w:t>
      </w:r>
    </w:p>
    <w:p w14:paraId="7ECA030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（1）因发包人原因未能在计划开工日期前7天内下达开工通知</w:t>
      </w:r>
    </w:p>
    <w:p w14:paraId="026EAD39">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的；</w:t>
      </w:r>
    </w:p>
    <w:p w14:paraId="08E84C4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（2）因发包人原因未能按合同约定支付合同价款的；</w:t>
      </w:r>
    </w:p>
    <w:p w14:paraId="640C46F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（3）发包人违反第10.1款〔变更的范围〕第（2）项约定，自行实施被取消的工作或转由他人实施的；</w:t>
      </w:r>
    </w:p>
    <w:p w14:paraId="2638BFC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（4）发包人提供的材料、工程设备的规格、数量或质量不符合合同约定，或因发包人原因导致交货日期延误或交货地点变更等情况的；</w:t>
      </w:r>
    </w:p>
    <w:p w14:paraId="79E02CB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（5）因发包人违反合同约定造成暂停施工的；</w:t>
      </w:r>
    </w:p>
    <w:p w14:paraId="6C29FDF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（6）发包人无正当理由没有在约定期限内发出复工指示，导致承包人无法复工的；</w:t>
      </w:r>
    </w:p>
    <w:p w14:paraId="23BD7D9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（7）发包人明确表示或者以其行为表明不履行合同主要义务的；</w:t>
      </w:r>
    </w:p>
    <w:p w14:paraId="6319004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（8）发包人未能按照合同约定履行其他义务的。</w:t>
      </w:r>
    </w:p>
    <w:p w14:paraId="285A158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发生除本项第（7）目以外的违约情况时，承包人可向发包人发出通知，要求发包人采取有效措施纠正违约行为。发包人收到承包人通知后28天内仍不纠正违约行为的，承包人有权暂停相应部位工程施工，并通知监理人。 </w:t>
      </w:r>
    </w:p>
    <w:p w14:paraId="0BE7484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16.1.2发包人违约的责任</w:t>
      </w:r>
    </w:p>
    <w:p w14:paraId="4EC600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发包人应承担因其违约给承包人增加的费用和（或）延误的工期，并支付承包人合理的利润。此外，合同当事人可在专用合同条款中另行约定发包人违约责任的承担方式和计算方法。 </w:t>
      </w:r>
    </w:p>
    <w:p w14:paraId="65066C0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16.1.3因发包人违约解除合同</w:t>
      </w:r>
    </w:p>
    <w:p w14:paraId="057CCA9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 </w:t>
      </w:r>
    </w:p>
    <w:p w14:paraId="7CF2570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16.1.4因发包人违约解除合同后的付款</w:t>
      </w:r>
    </w:p>
    <w:p w14:paraId="6E503F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承包人按照本款约定解除合同的，发包人应在解除合同后28天内支付下列款项，并解除履约担保：</w:t>
      </w:r>
    </w:p>
    <w:p w14:paraId="4E59036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（1）合同解除前所完成工作的价款；</w:t>
      </w:r>
    </w:p>
    <w:p w14:paraId="5397641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（2）承包人为工程施工订购并已付款的材料、工程设备和其他物品的价款；</w:t>
      </w:r>
    </w:p>
    <w:p w14:paraId="7F4E5CE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（3）承包人撤离施工现场以及遣散承包人人员的款项；</w:t>
      </w:r>
    </w:p>
    <w:p w14:paraId="51D8595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（4）按照合同约定在合同解除前应支付的违约金；</w:t>
      </w:r>
    </w:p>
    <w:p w14:paraId="2F01E1D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（5）按照合同约定应当支付给承包人的其他款项；</w:t>
      </w:r>
    </w:p>
    <w:p w14:paraId="058ACCF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（6）按照合同约定应退还的质量保证金；</w:t>
      </w:r>
    </w:p>
    <w:p w14:paraId="5204A68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（7）因解除合同给承包人造成的损失。</w:t>
      </w:r>
    </w:p>
    <w:p w14:paraId="3129838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合同当事人未能就解除合同后的结清达成一致的，按照第20条〔争议解决〕的约定处理。</w:t>
      </w:r>
    </w:p>
    <w:p w14:paraId="53737D7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承包人应妥善做好已完工程和与工程有关的已购材料、工程设备的保护和移交工作，并将施工设备和人员撤出施工现场，发包人应为承包人撤出提供必要条件。 </w:t>
      </w:r>
    </w:p>
    <w:p w14:paraId="296C74A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16.2承包人违约 </w:t>
      </w:r>
    </w:p>
    <w:p w14:paraId="6881EAA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16.2.1承包人违约的情形</w:t>
      </w:r>
    </w:p>
    <w:p w14:paraId="2096DA8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在合同履行过程中发生的下列情形，属于承包人违约：</w:t>
      </w:r>
    </w:p>
    <w:p w14:paraId="64BC927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（1）承包人违反合同约定进行转包或违法分包的；</w:t>
      </w:r>
    </w:p>
    <w:p w14:paraId="28D37BC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（2）承包人违反合同约定采购和使用不合格的材料和工程设备的；</w:t>
      </w:r>
    </w:p>
    <w:p w14:paraId="7320C54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（3）因承包人原因导致工程质量不符合合同要求的；</w:t>
      </w:r>
    </w:p>
    <w:p w14:paraId="5FC2CB5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（4）承包人违反第8.9款〔材料与设备专用要求〕的约定，未经批准，私自将已按照合同约定进入施工现场的材料或设备撤离施工现场的；</w:t>
      </w:r>
    </w:p>
    <w:p w14:paraId="3EFBBB6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（5）承包人未能按施工进度计划及时完成合同约定的工作，造成工期延误的；</w:t>
      </w:r>
    </w:p>
    <w:p w14:paraId="1AF2A52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（6）承包人在缺陷责任期及保修期内，未能在合理期限对工程缺陷进行修复，或拒绝按发包人要求进行修复的；</w:t>
      </w:r>
    </w:p>
    <w:p w14:paraId="49A2E3F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（7）承包人明确表示或者以其行为表明不履行合同主要义务的；</w:t>
      </w:r>
    </w:p>
    <w:p w14:paraId="51DED6F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（8）承包人未能按照合同约定履行其他义务的。</w:t>
      </w:r>
    </w:p>
    <w:p w14:paraId="382CDD7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承包人发生除本项第（7）目约定以外的其他违约情况时，监理人可向承包人发出整改通知，要求其在指定的期限内改正。 </w:t>
      </w:r>
    </w:p>
    <w:p w14:paraId="157643D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16.2.2承包人违约的责任</w:t>
      </w:r>
    </w:p>
    <w:p w14:paraId="39A8E93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承包人应承担因其违约行为而增加的费用和（或）延误的工期。此外，合同当事人可在专用合同条款中另行约定承包人违约责任的承担方式和计算方法。 </w:t>
      </w:r>
    </w:p>
    <w:p w14:paraId="38DB438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16.2.3因承包人违约解除合同</w:t>
      </w:r>
    </w:p>
    <w:p w14:paraId="4D9CE79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 </w:t>
      </w:r>
    </w:p>
    <w:p w14:paraId="0728569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16.2.4因承包人违约解除合同后的处理</w:t>
      </w:r>
    </w:p>
    <w:p w14:paraId="10D8848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因承包人原因导致合同解除的，则合同当事人应在合同解除后28天内完成估价、付款和清算，并按以下约定执行：</w:t>
      </w:r>
    </w:p>
    <w:p w14:paraId="5A62E5A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（1）合同解除后，按第4.4款〔商定或确定〕商定或确定承包人实际完成工作对应的合同价款，以及承包人已提供的材料、工程设备、施工设备和临时工程等的价值；</w:t>
      </w:r>
    </w:p>
    <w:p w14:paraId="2476E78D">
      <w:pPr>
        <w:keepNext w:val="0"/>
        <w:keepLines w:val="0"/>
        <w:pageBreakBefore w:val="0"/>
        <w:kinsoku/>
        <w:wordWrap/>
        <w:overflowPunct/>
        <w:topLinePunct w:val="0"/>
        <w:autoSpaceDE/>
        <w:autoSpaceDN/>
        <w:bidi w:val="0"/>
        <w:spacing w:line="380" w:lineRule="exact"/>
        <w:ind w:left="140" w:leftChars="67" w:right="23" w:rightChars="1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（2）合同解除后，承包人应支付的违约金；  </w:t>
      </w:r>
    </w:p>
    <w:p w14:paraId="07AD59E4">
      <w:pPr>
        <w:keepNext w:val="0"/>
        <w:keepLines w:val="0"/>
        <w:pageBreakBefore w:val="0"/>
        <w:kinsoku/>
        <w:wordWrap/>
        <w:overflowPunct/>
        <w:topLinePunct w:val="0"/>
        <w:autoSpaceDE/>
        <w:autoSpaceDN/>
        <w:bidi w:val="0"/>
        <w:spacing w:line="380" w:lineRule="exact"/>
        <w:ind w:left="140" w:leftChars="67" w:right="23" w:rightChars="11" w:firstLine="315" w:firstLineChars="150"/>
        <w:rPr>
          <w:rFonts w:hint="eastAsia" w:ascii="宋体" w:hAnsi="宋体" w:cs="宋体"/>
          <w:color w:val="auto"/>
          <w:szCs w:val="21"/>
          <w:highlight w:val="none"/>
        </w:rPr>
      </w:pPr>
      <w:r>
        <w:rPr>
          <w:rFonts w:hint="eastAsia" w:ascii="宋体" w:hAnsi="宋体" w:cs="宋体"/>
          <w:color w:val="auto"/>
          <w:szCs w:val="21"/>
          <w:highlight w:val="none"/>
        </w:rPr>
        <w:t>（3）合同解除后，因解除合同给发包人造成的损失；</w:t>
      </w:r>
    </w:p>
    <w:p w14:paraId="4D28FCC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（4）合同解除后，承包人应按照发包人要求和监理人的指示完成现场的清理和撤离；</w:t>
      </w:r>
    </w:p>
    <w:p w14:paraId="1027323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（5）发包人和承包人应在合同解除后进行清算，出具最终结清付款证书，结清全部款项。</w:t>
      </w:r>
    </w:p>
    <w:p w14:paraId="359D6E8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因承包人违约解除合同的，发包人有权暂停对承包人的付款，查清各项付款和已扣款项。发包人和承包人未能就合同解除后的清算和款项支付达成一致的，按照第20条〔争议解决〕的约定处理。 </w:t>
      </w:r>
    </w:p>
    <w:p w14:paraId="3BC7D33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16.2.5采购合同权益转让</w:t>
      </w:r>
    </w:p>
    <w:p w14:paraId="60BF8C7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w:t>
      </w:r>
    </w:p>
    <w:p w14:paraId="46087A61">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 xml:space="preserve">关的转让协议。 </w:t>
      </w:r>
    </w:p>
    <w:p w14:paraId="245D855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16.3第三人造成的违约</w:t>
      </w:r>
    </w:p>
    <w:p w14:paraId="12A836D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在履行合同过程中，一方当事人因第三人的原因造成违约的，应当向对方当事人承担违约责任。一方当事人和第三人之间的纠纷，依照法律规定或者按照约定解决。 </w:t>
      </w:r>
    </w:p>
    <w:p w14:paraId="240CF7D3">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17.不可抗力 </w:t>
      </w:r>
    </w:p>
    <w:p w14:paraId="66AFD7C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17.1不可抗力的确认</w:t>
      </w:r>
    </w:p>
    <w:p w14:paraId="58567AB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742D3A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 </w:t>
      </w:r>
    </w:p>
    <w:p w14:paraId="2567857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17.2不可抗力的通知</w:t>
      </w:r>
    </w:p>
    <w:p w14:paraId="2A45508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3870BC7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不可抗力持续发生的，合同一方当事人应及时向合同另一方当事人和监理人提交中间报告，说明不可抗力和履行合同受阻的情况，并于不可抗力事件结束后28天内提交最终报告及有关资料。 </w:t>
      </w:r>
    </w:p>
    <w:p w14:paraId="3EE3C92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17.3不可抗力后果的承担 </w:t>
      </w:r>
    </w:p>
    <w:p w14:paraId="7704D28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17.3.1不可抗力引起的后果及造成的损失由合同当事人按照法律规定及合同约定各自承担。不可抗力发生前已完成的工程应当按照合同约定进行计量支付。 </w:t>
      </w:r>
    </w:p>
    <w:p w14:paraId="77A81450">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17.3.2不可抗力导致的人员伤亡、财产损失、费用增加和（或）工期延误等后果，由合同当事人按以下原则承担：</w:t>
      </w:r>
    </w:p>
    <w:p w14:paraId="604AF89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（1）永久工程、已运至施工现场的材料和工程设备的损坏，以及因工程损坏造成的第三人人员伤亡和财产损失由发包人承担；</w:t>
      </w:r>
    </w:p>
    <w:p w14:paraId="30D6467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（2）承包人施工设备的损坏由承包人承担；</w:t>
      </w:r>
    </w:p>
    <w:p w14:paraId="379B697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（3）发包人和承包人承担各自人员伤亡和财产的损失；</w:t>
      </w:r>
    </w:p>
    <w:p w14:paraId="758ACFF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44A200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（5）因不可抗力引起或将引起工期延误，发包人要求赶工的，由此增加的赶工费用由发包人承担；</w:t>
      </w:r>
    </w:p>
    <w:p w14:paraId="3BDE1C5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（6）承包人在停工期间按照发包人要求照管、清理和修复工程的费用由发包人承担。</w:t>
      </w:r>
    </w:p>
    <w:p w14:paraId="408E7C1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不可抗力发生后，合同当事人均应采取措施尽量避免和减少损失的扩大，任何一方当事人没有采取有效措施导致损失扩大的，应对扩大的损失承担责任。</w:t>
      </w:r>
    </w:p>
    <w:p w14:paraId="7B7A9D3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因合同一方迟延履行合同义务，在迟延履行期间遭遇不可抗力的，不免除其违约责任。 </w:t>
      </w:r>
    </w:p>
    <w:p w14:paraId="7DBE45A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17.4因不可抗力解除合同</w:t>
      </w:r>
    </w:p>
    <w:p w14:paraId="476EB20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FEF483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（1）合同解除前承包人已完成工作的价款；</w:t>
      </w:r>
    </w:p>
    <w:p w14:paraId="0CA017A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（2）承包人为工程订购的并已交付给承包人，或承包人有责任接受交付的材料、工程设备和其他物品的价款；</w:t>
      </w:r>
    </w:p>
    <w:p w14:paraId="21BD73D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（3）发包人要求承包人退货或解除订货合同而产生的费用，或因不能退货或解除合同而产生的损失；</w:t>
      </w:r>
    </w:p>
    <w:p w14:paraId="63C2204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（4）承包人撤离施工现场以及遣散承包人人员的费用；</w:t>
      </w:r>
    </w:p>
    <w:p w14:paraId="0180F42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（5）按照合同约定在合同解除前应支付给承包人的其他款项；</w:t>
      </w:r>
    </w:p>
    <w:p w14:paraId="73850CC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（6）扣减承包人按照合同约定应向发包人支付的款项；</w:t>
      </w:r>
    </w:p>
    <w:p w14:paraId="79307AB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（7）双方商定或确定的其他款项。</w:t>
      </w:r>
    </w:p>
    <w:p w14:paraId="2F5F160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除专用合同条款另有约定外，合同解除后，发包人应在商定或确定上述款项后28天内完成上述款项的支付。 </w:t>
      </w:r>
    </w:p>
    <w:p w14:paraId="6A898BAD">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b/>
          <w:color w:val="auto"/>
          <w:szCs w:val="21"/>
          <w:highlight w:val="none"/>
        </w:rPr>
        <w:t xml:space="preserve">18.保险 </w:t>
      </w:r>
    </w:p>
    <w:p w14:paraId="610ACEB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18.1工程保险</w:t>
      </w:r>
    </w:p>
    <w:p w14:paraId="4BD12D0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除专用合同条款另有约定外，发包人应投保建筑工程一切险或安装工程一切险；发包人委托承包人投保的，因投保产生的保险费和其他相关费用由发包人承担。 </w:t>
      </w:r>
    </w:p>
    <w:p w14:paraId="4E686FE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18.2工伤保险 </w:t>
      </w:r>
    </w:p>
    <w:p w14:paraId="7332401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18.2.1发包人应依照法律规定参加工伤保险，并为在施工现场的全部员工办理工伤保险，缴纳工伤保险费，并要求监理人及由发包人为履行合同聘请的第三方依法参加工伤保险。 </w:t>
      </w:r>
    </w:p>
    <w:p w14:paraId="3B663DD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18.2.2承包人应依照法律规定参加工伤保险，并为其履行合同的全部员工办理工伤保险，缴纳工伤保险费，并要求分包人及由承包人为履行合同聘请的第三方依法参加工伤保险。 </w:t>
      </w:r>
    </w:p>
    <w:p w14:paraId="03A5F1CD">
      <w:pPr>
        <w:keepNext w:val="0"/>
        <w:keepLines w:val="0"/>
        <w:pageBreakBefore w:val="0"/>
        <w:kinsoku/>
        <w:wordWrap/>
        <w:overflowPunct/>
        <w:topLinePunct w:val="0"/>
        <w:autoSpaceDE/>
        <w:autoSpaceDN/>
        <w:bidi w:val="0"/>
        <w:spacing w:line="380" w:lineRule="exact"/>
        <w:ind w:left="149" w:leftChars="71" w:right="23" w:rightChars="11" w:firstLine="315" w:firstLineChars="150"/>
        <w:rPr>
          <w:rFonts w:hint="eastAsia" w:ascii="宋体" w:hAnsi="宋体" w:cs="宋体"/>
          <w:color w:val="auto"/>
          <w:szCs w:val="21"/>
          <w:highlight w:val="none"/>
        </w:rPr>
      </w:pPr>
      <w:r>
        <w:rPr>
          <w:rFonts w:hint="eastAsia" w:ascii="宋体" w:hAnsi="宋体" w:cs="宋体"/>
          <w:b/>
          <w:color w:val="auto"/>
          <w:szCs w:val="21"/>
          <w:highlight w:val="none"/>
        </w:rPr>
        <w:t>18.3安全生产责任保险</w:t>
      </w:r>
    </w:p>
    <w:p w14:paraId="21C60CDA">
      <w:pPr>
        <w:keepNext w:val="0"/>
        <w:keepLines w:val="0"/>
        <w:pageBreakBefore w:val="0"/>
        <w:kinsoku/>
        <w:wordWrap/>
        <w:overflowPunct/>
        <w:topLinePunct w:val="0"/>
        <w:autoSpaceDE/>
        <w:autoSpaceDN/>
        <w:bidi w:val="0"/>
        <w:spacing w:line="380" w:lineRule="exact"/>
        <w:ind w:left="149" w:leftChars="71" w:right="23" w:rightChars="11" w:firstLine="315" w:firstLineChars="150"/>
        <w:rPr>
          <w:rFonts w:hint="eastAsia" w:ascii="宋体" w:hAnsi="宋体" w:cs="宋体"/>
          <w:b/>
          <w:color w:val="auto"/>
          <w:szCs w:val="21"/>
          <w:highlight w:val="none"/>
        </w:rPr>
      </w:pPr>
      <w:r>
        <w:rPr>
          <w:rFonts w:hint="eastAsia" w:ascii="宋体" w:hAnsi="宋体" w:cs="宋体"/>
          <w:color w:val="auto"/>
          <w:szCs w:val="21"/>
          <w:highlight w:val="none"/>
        </w:rPr>
        <w:t xml:space="preserve">承包人应依照法律规定为本企业施工项目缴纳安全生产责任保险。除专用合同条款另有约定外，安全生产责任保险由项目总承包人及与发包人直接签订工程承包合同的专业承包人分别缴纳。 </w:t>
      </w:r>
    </w:p>
    <w:p w14:paraId="4C178ADF">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18.4持续保险</w:t>
      </w:r>
    </w:p>
    <w:p w14:paraId="1EFB241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合同当事人应与保险人保持联系，使保险人能够随时了解工程实施中的变动，并确保按保险合同条款要求持续保险。 </w:t>
      </w:r>
    </w:p>
    <w:p w14:paraId="2F953FD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18.5保险凭证</w:t>
      </w:r>
    </w:p>
    <w:p w14:paraId="5F6E804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合同当事人应及时向另一方当事人提交其已投保的各项保险的凭证和保险单复印件。 </w:t>
      </w:r>
    </w:p>
    <w:p w14:paraId="1A212BE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18.6未按约定投保的补救 </w:t>
      </w:r>
    </w:p>
    <w:p w14:paraId="741D235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18.6.1发包人未按合同约定办理保险，或未能使保险持续有效的，则承包人可代为办理，所需费用由发包人承担。发包人未按合同约定办理保险，导致未能得到足额赔偿的，由发包人负责补足。 </w:t>
      </w:r>
    </w:p>
    <w:p w14:paraId="41BFE46C">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18.6.2承包人未按合同约定办理保险，或未能使保险持续有效的，则发包人可代为办理，所需费用由承包人承担。承包人未按合同约定办理保险，导致未能得到足额赔偿的，由承包人负责补足。 </w:t>
      </w:r>
    </w:p>
    <w:p w14:paraId="0E5491F1">
      <w:pPr>
        <w:keepNext w:val="0"/>
        <w:keepLines w:val="0"/>
        <w:pageBreakBefore w:val="0"/>
        <w:kinsoku/>
        <w:wordWrap/>
        <w:overflowPunct/>
        <w:topLinePunct w:val="0"/>
        <w:autoSpaceDE/>
        <w:autoSpaceDN/>
        <w:bidi w:val="0"/>
        <w:spacing w:line="380" w:lineRule="exact"/>
        <w:ind w:right="23" w:rightChars="11" w:firstLine="415" w:firstLineChars="198"/>
        <w:rPr>
          <w:rFonts w:hint="eastAsia" w:ascii="宋体" w:hAnsi="宋体" w:cs="宋体"/>
          <w:b/>
          <w:color w:val="auto"/>
          <w:szCs w:val="21"/>
          <w:highlight w:val="none"/>
        </w:rPr>
      </w:pPr>
      <w:r>
        <w:rPr>
          <w:rFonts w:hint="eastAsia" w:ascii="宋体" w:hAnsi="宋体" w:cs="宋体"/>
          <w:b/>
          <w:color w:val="auto"/>
          <w:szCs w:val="21"/>
          <w:highlight w:val="none"/>
        </w:rPr>
        <w:t>18.7通知义务</w:t>
      </w:r>
    </w:p>
    <w:p w14:paraId="0CDBDB9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发包人变更除工伤保险与安全生产责任保险之外的保险合同时，应事先征得承包人同意，并通知监理人；承包人变更除工伤保险与安全生产责任保险之外的保险合同时，应事先征得发包人同意，并通知监理人。</w:t>
      </w:r>
    </w:p>
    <w:p w14:paraId="676D6EA0">
      <w:pPr>
        <w:keepNext w:val="0"/>
        <w:keepLines w:val="0"/>
        <w:pageBreakBefore w:val="0"/>
        <w:kinsoku/>
        <w:wordWrap/>
        <w:overflowPunct/>
        <w:topLinePunct w:val="0"/>
        <w:autoSpaceDE/>
        <w:autoSpaceDN/>
        <w:bidi w:val="0"/>
        <w:spacing w:line="380" w:lineRule="exact"/>
        <w:ind w:left="140" w:leftChars="67" w:right="23" w:rightChars="1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保险事故发生时，投保人应按照保险合同规定的条件和期限及时向保险人报告。发包人和承包人应当在知道保险事故发生后及时通知对方。 </w:t>
      </w:r>
    </w:p>
    <w:p w14:paraId="4CA365EF">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b/>
          <w:color w:val="auto"/>
          <w:szCs w:val="21"/>
          <w:highlight w:val="none"/>
        </w:rPr>
        <w:t xml:space="preserve">19.索赔 </w:t>
      </w:r>
    </w:p>
    <w:p w14:paraId="0197165C">
      <w:pPr>
        <w:keepNext w:val="0"/>
        <w:keepLines w:val="0"/>
        <w:pageBreakBefore w:val="0"/>
        <w:kinsoku/>
        <w:wordWrap/>
        <w:overflowPunct/>
        <w:topLinePunct w:val="0"/>
        <w:autoSpaceDE/>
        <w:autoSpaceDN/>
        <w:bidi w:val="0"/>
        <w:spacing w:line="380" w:lineRule="exact"/>
        <w:ind w:right="23" w:rightChars="11"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19.1承包人的索赔</w:t>
      </w:r>
    </w:p>
    <w:p w14:paraId="1DA8737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根据合同约定，承包人认为有权得到追加付款和（或）延长工期的，应按以下程序向发包人提出索赔：</w:t>
      </w:r>
    </w:p>
    <w:p w14:paraId="224A0DD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（1）承包人应在知道或应当知道索赔事件发生后 28天内，向监理人递交索赔意向通知书，并说明发生索赔事件的事由；承包人未在前述28天内发出索赔意向通知书的，丧失要求追加付款和（或）延长工期的权利；</w:t>
      </w:r>
    </w:p>
    <w:p w14:paraId="7A98E8C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ABFE35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（3）索赔事件具有持续影响的，承包人应按合理时间间隔继续递交延续索赔通知，说明持续影响的实际情况和记录，列出累计的追加付款金额和（或）工期延长天数；</w:t>
      </w:r>
    </w:p>
    <w:p w14:paraId="495E64A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（4）在索赔事件影响结束后28天内，承包人应向监理人递交最终索赔报告，说明最终要求索赔的追加付款金额和（或）延长的工期，并附必要的记录和证明材料。 </w:t>
      </w:r>
    </w:p>
    <w:p w14:paraId="5B07212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19.2对承包人索赔的处理</w:t>
      </w:r>
    </w:p>
    <w:p w14:paraId="3828D399">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对承包人索赔的处理如下：</w:t>
      </w:r>
    </w:p>
    <w:p w14:paraId="222EAE6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（1）监理人应在收到索赔报告后14天内完成审查并报送发包人。监理人对索赔报告存在异议的，有权要求承包人提交全部原始记录副本；</w:t>
      </w:r>
    </w:p>
    <w:p w14:paraId="004D0A0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2DF83E7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（3）承包人接受索赔处理结果的，索赔款项在当期进度款中进行支付；承包人不接受索赔处理结果的，按照第20条〔争议解决〕约定处理。 </w:t>
      </w:r>
    </w:p>
    <w:p w14:paraId="1F85EE0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19.3发包人的索赔</w:t>
      </w:r>
    </w:p>
    <w:p w14:paraId="35C8AC7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根据合同约定，发包人认为有权得到赔付金额和（或）延长缺陷责任期的，监理人应向承包人发出通知并附有详细的证明。</w:t>
      </w:r>
    </w:p>
    <w:p w14:paraId="47D9721C">
      <w:pPr>
        <w:keepNext w:val="0"/>
        <w:keepLines w:val="0"/>
        <w:pageBreakBefore w:val="0"/>
        <w:kinsoku/>
        <w:wordWrap/>
        <w:overflowPunct/>
        <w:topLinePunct w:val="0"/>
        <w:autoSpaceDE/>
        <w:autoSpaceDN/>
        <w:bidi w:val="0"/>
        <w:spacing w:line="380" w:lineRule="exact"/>
        <w:ind w:right="23" w:rightChars="11" w:firstLine="436"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发包人应在知道或应当知道索赔事件发生后28天内通过监理人</w:t>
      </w:r>
      <w:r>
        <w:rPr>
          <w:rFonts w:hint="eastAsia" w:ascii="宋体" w:hAnsi="宋体" w:cs="宋体"/>
          <w:color w:val="auto"/>
          <w:szCs w:val="21"/>
          <w:highlight w:val="none"/>
        </w:rPr>
        <w:t>向承包人提出索赔意向通知书，发包人未在前述28天内发出索赔意向通知书的，丧失要求赔付金额和（或）延长缺陷责任期的权利。发包</w:t>
      </w:r>
    </w:p>
    <w:p w14:paraId="26439705">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 xml:space="preserve">人应在发出索赔意向通知书后28天内，通过监理人向承包人正式递交索赔报告。 </w:t>
      </w:r>
    </w:p>
    <w:p w14:paraId="11BD8A3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19.4对发包人索赔的处理</w:t>
      </w:r>
    </w:p>
    <w:p w14:paraId="533247CD">
      <w:pPr>
        <w:keepNext w:val="0"/>
        <w:keepLines w:val="0"/>
        <w:pageBreakBefore w:val="0"/>
        <w:kinsoku/>
        <w:wordWrap/>
        <w:overflowPunct/>
        <w:topLinePunct w:val="0"/>
        <w:autoSpaceDE/>
        <w:autoSpaceDN/>
        <w:bidi w:val="0"/>
        <w:spacing w:line="380" w:lineRule="exact"/>
        <w:ind w:right="23" w:rightChars="11"/>
        <w:rPr>
          <w:rFonts w:hint="eastAsia" w:ascii="宋体" w:hAnsi="宋体" w:cs="宋体"/>
          <w:color w:val="auto"/>
          <w:szCs w:val="21"/>
          <w:highlight w:val="none"/>
        </w:rPr>
      </w:pPr>
      <w:r>
        <w:rPr>
          <w:rFonts w:hint="eastAsia" w:ascii="宋体" w:hAnsi="宋体" w:cs="宋体"/>
          <w:color w:val="auto"/>
          <w:szCs w:val="21"/>
          <w:highlight w:val="none"/>
        </w:rPr>
        <w:t>对发包人索赔的处理如下：</w:t>
      </w:r>
    </w:p>
    <w:p w14:paraId="5538CD3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（1）承包人收到发包人提交的索赔报告后，应及时审查索赔报告的内容、查验发包人证明材料；</w:t>
      </w:r>
    </w:p>
    <w:p w14:paraId="5D383CF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14:paraId="0F2EA88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（3）承包人接受索赔处理结果的，发包人可从应支付给承包人的合同价款中扣除赔付的金额或延长缺陷责任期；发包人不接受索赔处理结果的，按第20条〔争议解决〕约定处理。 </w:t>
      </w:r>
    </w:p>
    <w:p w14:paraId="2D73732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19.5提出索赔的期限</w:t>
      </w:r>
    </w:p>
    <w:p w14:paraId="08758063">
      <w:pPr>
        <w:keepNext w:val="0"/>
        <w:keepLines w:val="0"/>
        <w:pageBreakBefore w:val="0"/>
        <w:kinsoku/>
        <w:wordWrap/>
        <w:overflowPunct/>
        <w:topLinePunct w:val="0"/>
        <w:autoSpaceDE/>
        <w:autoSpaceDN/>
        <w:bidi w:val="0"/>
        <w:spacing w:line="380" w:lineRule="exact"/>
        <w:ind w:right="23" w:rightChars="11" w:firstLine="412" w:firstLineChars="200"/>
        <w:rPr>
          <w:rFonts w:hint="eastAsia" w:ascii="宋体" w:hAnsi="宋体" w:cs="宋体"/>
          <w:color w:val="auto"/>
          <w:szCs w:val="21"/>
          <w:highlight w:val="none"/>
        </w:rPr>
      </w:pPr>
      <w:r>
        <w:rPr>
          <w:rFonts w:hint="eastAsia" w:ascii="宋体" w:hAnsi="宋体" w:cs="宋体"/>
          <w:color w:val="auto"/>
          <w:spacing w:val="-2"/>
          <w:szCs w:val="21"/>
          <w:highlight w:val="none"/>
        </w:rPr>
        <w:t>（1）承包人按第14.2款〔竣工结算审核〕约定接收竣工付款证书后，</w:t>
      </w:r>
      <w:r>
        <w:rPr>
          <w:rFonts w:hint="eastAsia" w:ascii="宋体" w:hAnsi="宋体" w:cs="宋体"/>
          <w:color w:val="auto"/>
          <w:szCs w:val="21"/>
          <w:highlight w:val="none"/>
        </w:rPr>
        <w:t>应被视为已无权再提出在工程接收证书颁发前所发生的任何索赔。</w:t>
      </w:r>
    </w:p>
    <w:p w14:paraId="06C97AF5">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（2）承包人按第14.4款〔最终结清〕提交的最终结清申请单中，只限于提出工程接收证书颁发后发生的索赔。提出索赔的期限自接受最终结清证书时终止。 </w:t>
      </w:r>
    </w:p>
    <w:p w14:paraId="02E4DDA3">
      <w:pPr>
        <w:keepNext w:val="0"/>
        <w:keepLines w:val="0"/>
        <w:pageBreakBefore w:val="0"/>
        <w:kinsoku/>
        <w:wordWrap/>
        <w:overflowPunct/>
        <w:topLinePunct w:val="0"/>
        <w:autoSpaceDE/>
        <w:autoSpaceDN/>
        <w:bidi w:val="0"/>
        <w:spacing w:line="380" w:lineRule="exact"/>
        <w:ind w:right="23" w:rightChars="11"/>
        <w:rPr>
          <w:rFonts w:hint="eastAsia" w:ascii="宋体" w:hAnsi="宋体" w:cs="宋体"/>
          <w:b/>
          <w:color w:val="auto"/>
          <w:szCs w:val="21"/>
          <w:highlight w:val="none"/>
        </w:rPr>
      </w:pPr>
      <w:r>
        <w:rPr>
          <w:rFonts w:hint="eastAsia" w:ascii="宋体" w:hAnsi="宋体" w:cs="宋体"/>
          <w:b/>
          <w:color w:val="auto"/>
          <w:szCs w:val="21"/>
          <w:highlight w:val="none"/>
        </w:rPr>
        <w:t xml:space="preserve">20.争议解决 </w:t>
      </w:r>
    </w:p>
    <w:p w14:paraId="0AE0B591">
      <w:pPr>
        <w:pStyle w:val="27"/>
        <w:keepNext w:val="0"/>
        <w:keepLines w:val="0"/>
        <w:pageBreakBefore w:val="0"/>
        <w:kinsoku/>
        <w:wordWrap/>
        <w:overflowPunct/>
        <w:topLinePunct w:val="0"/>
        <w:autoSpaceDE/>
        <w:autoSpaceDN/>
        <w:bidi w:val="0"/>
        <w:spacing w:line="380" w:lineRule="exact"/>
        <w:ind w:left="420" w:leftChars="200" w:right="23" w:rightChars="11" w:firstLine="60" w:firstLineChars="29"/>
        <w:rPr>
          <w:rFonts w:hint="eastAsia" w:cs="宋体"/>
          <w:b/>
          <w:bCs/>
          <w:color w:val="auto"/>
          <w:highlight w:val="none"/>
        </w:rPr>
      </w:pPr>
      <w:r>
        <w:rPr>
          <w:rFonts w:hint="eastAsia" w:cs="宋体"/>
          <w:b/>
          <w:bCs/>
          <w:color w:val="auto"/>
          <w:highlight w:val="none"/>
        </w:rPr>
        <w:t>20.1和解</w:t>
      </w:r>
    </w:p>
    <w:p w14:paraId="0228DBB7">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合同当事人可以就争议自行和解，自行和解达成协议的经双方签字并盖章后作为合同补充文件，双方均应遵照执行。 </w:t>
      </w:r>
    </w:p>
    <w:p w14:paraId="191D1F01">
      <w:pPr>
        <w:pStyle w:val="27"/>
        <w:keepNext w:val="0"/>
        <w:keepLines w:val="0"/>
        <w:pageBreakBefore w:val="0"/>
        <w:kinsoku/>
        <w:wordWrap/>
        <w:overflowPunct/>
        <w:topLinePunct w:val="0"/>
        <w:autoSpaceDE/>
        <w:autoSpaceDN/>
        <w:bidi w:val="0"/>
        <w:spacing w:line="380" w:lineRule="exact"/>
        <w:ind w:left="420" w:leftChars="200" w:right="23" w:rightChars="11" w:firstLine="60" w:firstLineChars="29"/>
        <w:rPr>
          <w:rFonts w:hint="eastAsia" w:cs="宋体"/>
          <w:b/>
          <w:bCs/>
          <w:color w:val="auto"/>
          <w:highlight w:val="none"/>
        </w:rPr>
      </w:pPr>
      <w:r>
        <w:rPr>
          <w:rFonts w:hint="eastAsia" w:cs="宋体"/>
          <w:b/>
          <w:bCs/>
          <w:color w:val="auto"/>
          <w:highlight w:val="none"/>
        </w:rPr>
        <w:t>20.2调解</w:t>
      </w:r>
    </w:p>
    <w:p w14:paraId="65E0DE6E">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合同当事人可以就争议请求建设行政主管部门、行业协会或其他第三方进行调解，调解达成协议的，经双方签字并盖章后作为合同补充文件，双方均应遵照执行。 </w:t>
      </w:r>
    </w:p>
    <w:p w14:paraId="49478725">
      <w:pPr>
        <w:pStyle w:val="27"/>
        <w:keepNext w:val="0"/>
        <w:keepLines w:val="0"/>
        <w:pageBreakBefore w:val="0"/>
        <w:kinsoku/>
        <w:wordWrap/>
        <w:overflowPunct/>
        <w:topLinePunct w:val="0"/>
        <w:autoSpaceDE/>
        <w:autoSpaceDN/>
        <w:bidi w:val="0"/>
        <w:spacing w:line="380" w:lineRule="exact"/>
        <w:ind w:left="420" w:leftChars="200" w:right="23" w:rightChars="11" w:firstLine="60" w:firstLineChars="29"/>
        <w:rPr>
          <w:rFonts w:hint="eastAsia" w:cs="宋体"/>
          <w:b/>
          <w:bCs/>
          <w:color w:val="auto"/>
          <w:highlight w:val="none"/>
        </w:rPr>
      </w:pPr>
      <w:r>
        <w:rPr>
          <w:rFonts w:hint="eastAsia" w:cs="宋体"/>
          <w:b/>
          <w:bCs/>
          <w:color w:val="auto"/>
          <w:highlight w:val="none"/>
        </w:rPr>
        <w:t>20.3争议评审</w:t>
      </w:r>
    </w:p>
    <w:p w14:paraId="7B5679B7">
      <w:pPr>
        <w:pStyle w:val="27"/>
        <w:keepNext w:val="0"/>
        <w:keepLines w:val="0"/>
        <w:pageBreakBefore w:val="0"/>
        <w:kinsoku/>
        <w:wordWrap/>
        <w:overflowPunct/>
        <w:topLinePunct w:val="0"/>
        <w:autoSpaceDE/>
        <w:autoSpaceDN/>
        <w:bidi w:val="0"/>
        <w:spacing w:line="380" w:lineRule="exact"/>
        <w:ind w:right="23" w:rightChars="11" w:firstLine="600"/>
        <w:rPr>
          <w:rFonts w:hint="eastAsia" w:cs="宋体"/>
          <w:b/>
          <w:color w:val="auto"/>
          <w:highlight w:val="none"/>
        </w:rPr>
      </w:pPr>
      <w:r>
        <w:rPr>
          <w:rFonts w:hint="eastAsia" w:cs="宋体"/>
          <w:b/>
          <w:color w:val="auto"/>
          <w:highlight w:val="none"/>
        </w:rPr>
        <w:t xml:space="preserve">合同当事人在专用合同条款中约定采取争议评审方式解决争议以及评审规则，并按下列约定执行： </w:t>
      </w:r>
    </w:p>
    <w:p w14:paraId="6FB578DB">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20.3.1争议评审小组的确定</w:t>
      </w:r>
    </w:p>
    <w:p w14:paraId="239A7443">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11FDEC06">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9A93FD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除专用合同条款另有约定外，评审员报酬由发包人和承包人各承担一半。 </w:t>
      </w:r>
    </w:p>
    <w:p w14:paraId="41B6DBB4">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20.3.2争议评审小组的决定</w:t>
      </w:r>
    </w:p>
    <w:p w14:paraId="4EE8F241">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 </w:t>
      </w:r>
    </w:p>
    <w:p w14:paraId="26476579">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20.3.3争议评审小组决定的效力</w:t>
      </w:r>
    </w:p>
    <w:p w14:paraId="7D0CFFA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争议评审小组作出的书面决定经合同当事人签字确认后，对双方具有约束力，双方应遵照执行。</w:t>
      </w:r>
    </w:p>
    <w:p w14:paraId="24DF7E9A">
      <w:pPr>
        <w:keepNext w:val="0"/>
        <w:keepLines w:val="0"/>
        <w:pageBreakBefore w:val="0"/>
        <w:kinsoku/>
        <w:wordWrap/>
        <w:overflowPunct/>
        <w:topLinePunct w:val="0"/>
        <w:autoSpaceDE/>
        <w:autoSpaceDN/>
        <w:bidi w:val="0"/>
        <w:spacing w:line="380" w:lineRule="exact"/>
        <w:ind w:right="23" w:rightChars="11" w:firstLine="420" w:firstLineChars="200"/>
        <w:rPr>
          <w:rFonts w:hint="eastAsia" w:cs="宋体"/>
          <w:color w:val="auto"/>
          <w:highlight w:val="none"/>
        </w:rPr>
      </w:pPr>
      <w:r>
        <w:rPr>
          <w:rFonts w:hint="eastAsia" w:cs="宋体"/>
          <w:color w:val="auto"/>
          <w:highlight w:val="none"/>
        </w:rPr>
        <w:t>任何一方当事人不接受争议评审小组决定或不履行争议评审小组决定的，双方可选择采用其他争议解决方式。</w:t>
      </w:r>
    </w:p>
    <w:p w14:paraId="308954F3">
      <w:pPr>
        <w:pStyle w:val="27"/>
        <w:keepNext w:val="0"/>
        <w:keepLines w:val="0"/>
        <w:pageBreakBefore w:val="0"/>
        <w:kinsoku/>
        <w:wordWrap/>
        <w:overflowPunct/>
        <w:topLinePunct w:val="0"/>
        <w:autoSpaceDE/>
        <w:autoSpaceDN/>
        <w:bidi w:val="0"/>
        <w:spacing w:line="380" w:lineRule="exact"/>
        <w:ind w:right="23" w:rightChars="11"/>
        <w:rPr>
          <w:rStyle w:val="28"/>
          <w:rFonts w:hint="eastAsia" w:cs="宋体"/>
          <w:bCs/>
          <w:color w:val="auto"/>
          <w:highlight w:val="none"/>
        </w:rPr>
      </w:pPr>
      <w:r>
        <w:rPr>
          <w:rFonts w:hint="eastAsia" w:cs="宋体"/>
          <w:color w:val="auto"/>
          <w:highlight w:val="none"/>
        </w:rPr>
        <w:t xml:space="preserve">    </w:t>
      </w:r>
      <w:r>
        <w:rPr>
          <w:rStyle w:val="28"/>
          <w:rFonts w:hint="eastAsia" w:cs="宋体"/>
          <w:b/>
          <w:color w:val="auto"/>
          <w:highlight w:val="none"/>
        </w:rPr>
        <w:t>20.4仲裁或诉讼</w:t>
      </w:r>
    </w:p>
    <w:p w14:paraId="4338103D">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因合同及合同有关事项产生的争议，合同当事人可以在专用合同条款中约定以下一种方式解决争议：</w:t>
      </w:r>
    </w:p>
    <w:p w14:paraId="70310998">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（1）向约定的仲裁委员会申请仲裁；</w:t>
      </w:r>
    </w:p>
    <w:p w14:paraId="14530572">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（2）向有管辖权的人民法院起诉。 </w:t>
      </w:r>
    </w:p>
    <w:p w14:paraId="25287CF9">
      <w:pPr>
        <w:pStyle w:val="27"/>
        <w:keepNext w:val="0"/>
        <w:keepLines w:val="0"/>
        <w:pageBreakBefore w:val="0"/>
        <w:kinsoku/>
        <w:wordWrap/>
        <w:overflowPunct/>
        <w:topLinePunct w:val="0"/>
        <w:autoSpaceDE/>
        <w:autoSpaceDN/>
        <w:bidi w:val="0"/>
        <w:spacing w:line="380" w:lineRule="exact"/>
        <w:ind w:left="357" w:leftChars="170" w:right="23" w:rightChars="11" w:firstLine="0"/>
        <w:rPr>
          <w:rFonts w:hint="eastAsia" w:cs="宋体"/>
          <w:b/>
          <w:bCs/>
          <w:color w:val="auto"/>
          <w:highlight w:val="none"/>
        </w:rPr>
      </w:pPr>
      <w:r>
        <w:rPr>
          <w:rFonts w:hint="eastAsia" w:cs="宋体"/>
          <w:b/>
          <w:bCs/>
          <w:color w:val="auto"/>
          <w:highlight w:val="none"/>
        </w:rPr>
        <w:t>20.5争议解决条款效力</w:t>
      </w:r>
    </w:p>
    <w:p w14:paraId="047DFF0A">
      <w:pPr>
        <w:keepNext w:val="0"/>
        <w:keepLines w:val="0"/>
        <w:pageBreakBefore w:val="0"/>
        <w:kinsoku/>
        <w:wordWrap/>
        <w:overflowPunct/>
        <w:topLinePunct w:val="0"/>
        <w:autoSpaceDE/>
        <w:autoSpaceDN/>
        <w:bidi w:val="0"/>
        <w:spacing w:line="380" w:lineRule="exact"/>
        <w:ind w:right="23" w:rightChars="1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合同有关争议解决的条款独立存在，合同的变更、解除、终止、无效或者被撤销均不影响其效力。</w:t>
      </w:r>
    </w:p>
    <w:p w14:paraId="629F2E8E">
      <w:pPr>
        <w:spacing w:line="660" w:lineRule="exact"/>
        <w:ind w:right="23" w:rightChars="11"/>
        <w:jc w:val="center"/>
        <w:outlineLvl w:val="1"/>
        <w:rPr>
          <w:rFonts w:hint="eastAsia" w:ascii="宋体" w:hAnsi="宋体"/>
          <w:b/>
          <w:color w:val="auto"/>
          <w:sz w:val="32"/>
          <w:szCs w:val="32"/>
          <w:highlight w:val="none"/>
        </w:rPr>
      </w:pPr>
      <w:r>
        <w:rPr>
          <w:rFonts w:ascii="宋体" w:hAnsi="宋体"/>
          <w:color w:val="auto"/>
          <w:szCs w:val="21"/>
          <w:highlight w:val="none"/>
        </w:rPr>
        <w:br w:type="page"/>
      </w:r>
      <w:bookmarkStart w:id="191" w:name="_Toc21029"/>
      <w:bookmarkStart w:id="192" w:name="_Toc27959"/>
      <w:bookmarkStart w:id="193" w:name="_Toc31397"/>
      <w:r>
        <w:rPr>
          <w:rFonts w:hint="eastAsia" w:ascii="黑体" w:hAnsi="黑体" w:eastAsia="黑体"/>
          <w:b/>
          <w:bCs/>
          <w:color w:val="auto"/>
          <w:sz w:val="30"/>
          <w:szCs w:val="30"/>
          <w:highlight w:val="none"/>
        </w:rPr>
        <w:t>三、专用合同条款</w:t>
      </w:r>
      <w:bookmarkEnd w:id="191"/>
      <w:bookmarkEnd w:id="192"/>
      <w:bookmarkEnd w:id="193"/>
    </w:p>
    <w:p w14:paraId="46F86CCE">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1.一般约定 </w:t>
      </w:r>
    </w:p>
    <w:p w14:paraId="242AE9BF">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1.1词语定义 </w:t>
      </w:r>
    </w:p>
    <w:p w14:paraId="57B41EEA">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1.1.1合同 </w:t>
      </w:r>
    </w:p>
    <w:p w14:paraId="3F6158B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1.1.1.1其他合同文件包括：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0EF290">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1.1.2合同当事人及其他相关方 </w:t>
      </w:r>
    </w:p>
    <w:p w14:paraId="1C118A6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1.1.2.4监理人：</w:t>
      </w:r>
    </w:p>
    <w:p w14:paraId="3849319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F2F8A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896F2C">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D7042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E2C542">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9BA6A1">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1.1.2.5设计人：</w:t>
      </w:r>
    </w:p>
    <w:p w14:paraId="5033471A">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3AB42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68BEC8">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049EC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86958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ABAC43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1.1.3工程和设备 </w:t>
      </w:r>
    </w:p>
    <w:p w14:paraId="01CDA68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1.1.3.7作为施工现场组成部分的其他场所包括：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AB1C2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1.1.3.2永久占地包括：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5B2641">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1.1.3.3临时占地包括：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ED65453">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color w:val="auto"/>
          <w:szCs w:val="21"/>
          <w:highlight w:val="none"/>
        </w:rPr>
      </w:pPr>
      <w:r>
        <w:rPr>
          <w:rFonts w:hint="eastAsia" w:ascii="宋体" w:hAnsi="宋体"/>
          <w:b/>
          <w:color w:val="auto"/>
          <w:szCs w:val="21"/>
          <w:highlight w:val="none"/>
        </w:rPr>
        <w:t>1.3法律</w:t>
      </w:r>
    </w:p>
    <w:p w14:paraId="3DDB5380">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E00809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1.4标准和规范 </w:t>
      </w:r>
    </w:p>
    <w:p w14:paraId="72A79DF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1.4.1适用于工程的标准规范包括：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3D574A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1.4.2发包人提供国外标准、规范的名称：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41F68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发包人提供国外标准、规范的份数：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27C89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发包人提供国外标准、规范的名称：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1D09F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ACA84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1.5合同文件的优先顺序</w:t>
      </w:r>
    </w:p>
    <w:p w14:paraId="2AE8889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 xml:space="preserve">                              </w:t>
      </w:r>
    </w:p>
    <w:p w14:paraId="006F7244">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A6F694">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1.6图纸和承包人文件 </w:t>
      </w:r>
    </w:p>
    <w:p w14:paraId="3C2128F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1.6.1图纸的提供</w:t>
      </w:r>
    </w:p>
    <w:p w14:paraId="27E9416C">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74B880">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736A34">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B5E548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1.6.4承包人文件</w:t>
      </w:r>
    </w:p>
    <w:p w14:paraId="56A8E28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413A31">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55B09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0E46D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033D4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29DA9A">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1.6.5现场图纸准备</w:t>
      </w:r>
    </w:p>
    <w:p w14:paraId="78D1E132">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6D5EF1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1.7联络 </w:t>
      </w:r>
    </w:p>
    <w:p w14:paraId="2F4AFEB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1.7.1发包人和承包人应当在天内将与合同有关的通知、批准、证明、证书、指示、指令、要求、请求、同意、意见、确定和决定等书面函件送达对方当事人。 </w:t>
      </w:r>
    </w:p>
    <w:p w14:paraId="26BF8E85">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1.7.2发包人接收文件的地点：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EAF0F0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9F9DC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81326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97774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1A083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A89FBB1">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1.10交通运输</w:t>
      </w:r>
    </w:p>
    <w:p w14:paraId="7A54925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1.10.1出入现场的权利</w:t>
      </w:r>
    </w:p>
    <w:p w14:paraId="028C8B3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0BCF1E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1.10.3场内交通</w:t>
      </w:r>
    </w:p>
    <w:p w14:paraId="33214FB8">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6286B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EC5C88">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1.10.4超大件和超重件的运输</w:t>
      </w:r>
    </w:p>
    <w:p w14:paraId="350F9AA6">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运输超大件或超重件所需的道路和桥梁临时加固改造费用和其他有关费用由承担。 </w:t>
      </w:r>
    </w:p>
    <w:p w14:paraId="24F09E06">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1.11知识产权 </w:t>
      </w:r>
    </w:p>
    <w:p w14:paraId="22D82FC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7FA53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4D9059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1.11.2关于承包人为实施工程所编制文件的著作权的归属：</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0F33A1">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4E8924">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1.11.4承包人在施工过程中所采用的专利、专有技术、技术秘的使用费的承担方式：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E78F1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1.13工程量清单错误的修正</w:t>
      </w:r>
    </w:p>
    <w:p w14:paraId="51AEB38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4D4DA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A14141">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2.发包人 </w:t>
      </w:r>
    </w:p>
    <w:p w14:paraId="43A8B4A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2.2发包人代表</w:t>
      </w:r>
    </w:p>
    <w:p w14:paraId="63D4CB1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发包人代表：</w:t>
      </w:r>
    </w:p>
    <w:p w14:paraId="4C89D3E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p>
    <w:p w14:paraId="3F9A80F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p>
    <w:p w14:paraId="6889625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13BD84B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0F87CF0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p>
    <w:p w14:paraId="261FF0B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p>
    <w:p w14:paraId="207DE59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 xml:space="preserve">发包人对发包人代表的授权范围如下：。 </w:t>
      </w:r>
    </w:p>
    <w:p w14:paraId="0305FD8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2.4施工现场、施工条件和基础资料的提供 </w:t>
      </w:r>
    </w:p>
    <w:p w14:paraId="3668BF9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2.4.1提供施工现场</w:t>
      </w:r>
    </w:p>
    <w:p w14:paraId="0597767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C3F8C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2.4.2提供施工条件</w:t>
      </w:r>
    </w:p>
    <w:p w14:paraId="5D34FA6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关于发包人应负责提供施工所需要的条件，包括：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28A459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2.5资金来源证明及支付担保</w:t>
      </w:r>
    </w:p>
    <w:p w14:paraId="023A3E2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450A8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D8BA5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DA947CB">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3.承包人 </w:t>
      </w:r>
    </w:p>
    <w:p w14:paraId="29D9B3C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3.1承包人的一般义务</w:t>
      </w:r>
    </w:p>
    <w:p w14:paraId="03E4D6F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（9）承包人提交的竣工资料的内容：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EB4C7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88CC7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F42561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861B5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7A4A3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（10）承包人应履行的其他义务：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105604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3.2项目经理 </w:t>
      </w:r>
    </w:p>
    <w:p w14:paraId="09E5E27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3.2.1项目经理：</w:t>
      </w:r>
    </w:p>
    <w:p w14:paraId="04953AC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E4EF52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7CAAE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0A91D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29B1AB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FAD28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27E6B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4D40FD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BA742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1449F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3FAD0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11E18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承包人未提交劳动合同，以及没有为项目经理缴纳社会保险证明的违约责任：。</w:t>
      </w:r>
    </w:p>
    <w:p w14:paraId="1EA5AE1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项目经理未经批准，擅自离开施工现场的违约责任：</w:t>
      </w:r>
    </w:p>
    <w:p w14:paraId="2A0CF3B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3.2.3承包人擅自更换项目经理的违约责任：</w:t>
      </w:r>
    </w:p>
    <w:p w14:paraId="727DA85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3.2.4承包人无正当理由拒绝更换项目经理的违约责任：</w:t>
      </w:r>
    </w:p>
    <w:p w14:paraId="4E2D6D5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 xml:space="preserve">3.3承包人人员 </w:t>
      </w:r>
    </w:p>
    <w:p w14:paraId="1C15384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3.3.1承包人提交项目管理机构及施工现场管理人员安排报告的期限：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57FC1C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3.3.3承包人无正当理由拒绝撤换主要施工管理人员的违约责任：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25000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3.3.4承包人主要施工管理人员离开施工现场的批准要求：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2BAAFB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D222B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A4A58B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3.5分包 </w:t>
      </w:r>
    </w:p>
    <w:p w14:paraId="03C4294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3.5.1分包的一般约定</w:t>
      </w:r>
    </w:p>
    <w:p w14:paraId="4A11794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A248F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主体结构、关键性工作的范围：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C4C6F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3.5.2分包的确定</w:t>
      </w:r>
    </w:p>
    <w:p w14:paraId="4273FAB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EEA07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其他关于分包的约定：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DC2481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3.5.4分包合同价款</w:t>
      </w:r>
    </w:p>
    <w:p w14:paraId="667CC8D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2EA3F8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3.6工程照管与成品、半成品保护</w:t>
      </w:r>
    </w:p>
    <w:p w14:paraId="4817D19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979A2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3.7履约担保</w:t>
      </w:r>
    </w:p>
    <w:p w14:paraId="1CDB9AF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3DD6D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承包人提供履约担保的形式、金额及期限的：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E668F11">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4.监理人 </w:t>
      </w:r>
    </w:p>
    <w:p w14:paraId="17CA772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4.1监理人的一般规定</w:t>
      </w:r>
    </w:p>
    <w:p w14:paraId="37A9449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589D3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DBAB03">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关于监理人在施工现场的办公场所、生活场所的提供和费用承担</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A05B7D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4.2监理人员</w:t>
      </w:r>
    </w:p>
    <w:p w14:paraId="784A17B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总监理工程师：</w:t>
      </w:r>
    </w:p>
    <w:p w14:paraId="06E1DE7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5C265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D5BC9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51C5C7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21EBE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8B134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4F3CB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D3A0D1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4.4商定或确定</w:t>
      </w:r>
    </w:p>
    <w:p w14:paraId="00CB56D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p>
    <w:p w14:paraId="4CB68FB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923E1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0123C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23FB46">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5.工程质量 </w:t>
      </w:r>
    </w:p>
    <w:p w14:paraId="06E3F05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5.1质量要求 </w:t>
      </w:r>
    </w:p>
    <w:p w14:paraId="0A65D0C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5.1.1特殊质量标准和要求：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286A4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D18D97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5.3隐蔽工程检查 </w:t>
      </w:r>
    </w:p>
    <w:p w14:paraId="706ADD9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5.3.2承包人提前通知监理人隐蔽工程检查的期限的约定：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F959A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ascii="宋体" w:hAnsi="宋体"/>
          <w:color w:val="auto"/>
          <w:szCs w:val="21"/>
          <w:highlight w:val="none"/>
          <w:u w:val="single"/>
        </w:rPr>
        <w:t xml:space="preserve">    </w:t>
      </w:r>
      <w:r>
        <w:rPr>
          <w:rFonts w:hint="eastAsia" w:ascii="宋体" w:hAnsi="宋体"/>
          <w:color w:val="auto"/>
          <w:szCs w:val="21"/>
          <w:highlight w:val="none"/>
        </w:rPr>
        <w:t>小时提交书面延期要求。</w:t>
      </w:r>
    </w:p>
    <w:p w14:paraId="4035D0F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小时。 </w:t>
      </w:r>
    </w:p>
    <w:p w14:paraId="43B1C70E">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6.安全文明施工与环境保护 </w:t>
      </w:r>
    </w:p>
    <w:p w14:paraId="0DF52C6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6.1安全文明施工 </w:t>
      </w:r>
    </w:p>
    <w:p w14:paraId="5AC19F4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6.1.1项目安全生产的达标目标及相应事项的约定：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C9905A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6.1.4关于治安保卫的特别约定：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2E0B6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C9FCF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6.1.5文明施工</w:t>
      </w:r>
    </w:p>
    <w:p w14:paraId="6C82E07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7759C7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6.1.6关于安全文明施工费支付比例和支付期限的约定：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C87798">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7.工期和进度 </w:t>
      </w:r>
    </w:p>
    <w:p w14:paraId="00563B2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 xml:space="preserve">7.1施工组织设计 </w:t>
      </w:r>
    </w:p>
    <w:p w14:paraId="1A6FBEA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7.1.1合同当事人约定的施工组织设计应包括的其他内容：</w:t>
      </w:r>
      <w:r>
        <w:rPr>
          <w:rFonts w:hint="eastAsia" w:ascii="宋体" w:hAnsi="宋体"/>
          <w:color w:val="auto"/>
          <w:szCs w:val="21"/>
          <w:highlight w:val="none"/>
          <w:u w:val="single"/>
        </w:rPr>
        <w:t xml:space="preserve">      </w:t>
      </w:r>
      <w:r>
        <w:rPr>
          <w:rFonts w:hint="eastAsia" w:ascii="宋体" w:hAnsi="宋体"/>
          <w:color w:val="auto"/>
          <w:szCs w:val="21"/>
          <w:highlight w:val="none"/>
        </w:rPr>
        <w:t>.1.2施工组织设计的提交和修改承包人提交详细施工组织设计的期限的约定：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28D1B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70D57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7.2施工进度计划 </w:t>
      </w:r>
    </w:p>
    <w:p w14:paraId="276103B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7.2.2施工进度计划的修订</w:t>
      </w:r>
    </w:p>
    <w:p w14:paraId="3E317D5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1073C2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7.3开工 </w:t>
      </w:r>
    </w:p>
    <w:p w14:paraId="4F0DB1E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7.3.1开工准备</w:t>
      </w:r>
    </w:p>
    <w:p w14:paraId="6CC1BEA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BDEA1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07E26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5D4B2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7.3.2开工通知</w:t>
      </w:r>
    </w:p>
    <w:p w14:paraId="6CFD12CD">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 xml:space="preserve">因发包人原因造成监理人未能在计划开工日期之日起天内发出开工通知的，承包人有权提出价格调整要求，或者解除合同。 </w:t>
      </w:r>
    </w:p>
    <w:p w14:paraId="25EA1A41">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7.4测量放线 </w:t>
      </w:r>
    </w:p>
    <w:p w14:paraId="5CB5557E">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7.4.1发包人通过监理人向承包人提供测量基准点、基准线和水准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7B27D43">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7.5工期延误 </w:t>
      </w:r>
    </w:p>
    <w:p w14:paraId="1E2ED233">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7.5.1因发包人原因导致工期延误</w:t>
      </w:r>
    </w:p>
    <w:p w14:paraId="546B4A52">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u w:val="single"/>
        </w:rPr>
      </w:pPr>
      <w:r>
        <w:rPr>
          <w:rFonts w:hint="eastAsia" w:ascii="宋体" w:hAnsi="宋体"/>
          <w:color w:val="auto"/>
          <w:szCs w:val="21"/>
          <w:highlight w:val="none"/>
        </w:rPr>
        <w:t>（7）因发包人原因导致工期延误的其他情形：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24C37E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7.5.2因承包人原因导致工期延误</w:t>
      </w:r>
    </w:p>
    <w:p w14:paraId="1D1D8DC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26C0C1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66083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bCs/>
          <w:color w:val="auto"/>
          <w:szCs w:val="21"/>
          <w:highlight w:val="none"/>
        </w:rPr>
      </w:pPr>
      <w:r>
        <w:rPr>
          <w:rFonts w:hint="eastAsia" w:ascii="宋体" w:hAnsi="宋体"/>
          <w:b/>
          <w:bCs/>
          <w:color w:val="auto"/>
          <w:szCs w:val="21"/>
          <w:highlight w:val="none"/>
        </w:rPr>
        <w:t>7.6不利物质条件</w:t>
      </w:r>
    </w:p>
    <w:p w14:paraId="6BBA4BD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E96EF2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bCs/>
          <w:color w:val="auto"/>
          <w:szCs w:val="21"/>
          <w:highlight w:val="none"/>
        </w:rPr>
      </w:pPr>
      <w:r>
        <w:rPr>
          <w:rFonts w:hint="eastAsia" w:ascii="宋体" w:hAnsi="宋体"/>
          <w:b/>
          <w:bCs/>
          <w:color w:val="auto"/>
          <w:szCs w:val="21"/>
          <w:highlight w:val="none"/>
        </w:rPr>
        <w:t>7.7异常恶劣的气候条件</w:t>
      </w:r>
    </w:p>
    <w:p w14:paraId="06EFB9A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14:paraId="3635598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BD8BB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053A9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5A6A4C">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7.9提前竣工的奖励 </w:t>
      </w:r>
    </w:p>
    <w:p w14:paraId="54865BC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7.9.2提前竣工的奖励：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3F1F10E">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8.材料与设备 </w:t>
      </w:r>
    </w:p>
    <w:p w14:paraId="20003876">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8.4材料与工程设备的保管与使用 </w:t>
      </w:r>
    </w:p>
    <w:p w14:paraId="0C44CE7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ascii="宋体" w:hAnsi="宋体"/>
          <w:color w:val="auto"/>
          <w:szCs w:val="21"/>
          <w:highlight w:val="none"/>
        </w:rPr>
      </w:pPr>
      <w:r>
        <w:rPr>
          <w:rFonts w:hint="eastAsia" w:ascii="宋体" w:hAnsi="宋体"/>
          <w:color w:val="auto"/>
          <w:szCs w:val="21"/>
          <w:highlight w:val="none"/>
        </w:rPr>
        <w:t>8.4.1发包人供应的材料设备的保管费用的承担：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236AAF2">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8.6样品 </w:t>
      </w:r>
    </w:p>
    <w:p w14:paraId="6040249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8.6.1 样品的报送与封存</w:t>
      </w:r>
    </w:p>
    <w:p w14:paraId="615F0D8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51B774">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8.8施工设备和临时设施 </w:t>
      </w:r>
    </w:p>
    <w:p w14:paraId="16B1B09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8.8.1承包人提供的施工设备和临时设施</w:t>
      </w:r>
    </w:p>
    <w:p w14:paraId="1911E3F6">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4002669">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9.试验与检验</w:t>
      </w:r>
    </w:p>
    <w:p w14:paraId="6E4AF50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试验与检验费用的约定：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8BBC103">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10.变更 </w:t>
      </w:r>
    </w:p>
    <w:p w14:paraId="68C6A859">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10.1变更的范围</w:t>
      </w:r>
    </w:p>
    <w:p w14:paraId="76AAD98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FF3CCB">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10.4变更估价 </w:t>
      </w:r>
    </w:p>
    <w:p w14:paraId="78DD00E6">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10.4.1变更估价原则</w:t>
      </w:r>
    </w:p>
    <w:p w14:paraId="663014D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关于变更估价的约定：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218C65">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10.5承包人的合理化建议</w:t>
      </w:r>
    </w:p>
    <w:p w14:paraId="79AA85BC">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EF903E">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D50951">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1AA4467">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10.7暂估价</w:t>
      </w:r>
    </w:p>
    <w:p w14:paraId="16E94A93">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xml:space="preserve">暂估价材料和工程设备的明细详见附件11：《暂估价一览表》。 </w:t>
      </w:r>
    </w:p>
    <w:p w14:paraId="073F27E6">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10.7.1依法必须招标的暂估价项目</w:t>
      </w:r>
    </w:p>
    <w:p w14:paraId="7CE0C1E4">
      <w:pPr>
        <w:keepNext w:val="0"/>
        <w:keepLines w:val="0"/>
        <w:pageBreakBefore w:val="0"/>
        <w:widowControl w:val="0"/>
        <w:kinsoku/>
        <w:wordWrap/>
        <w:overflowPunct/>
        <w:topLinePunct w:val="0"/>
        <w:autoSpaceDE/>
        <w:autoSpaceDN/>
        <w:bidi w:val="0"/>
        <w:adjustRightInd/>
        <w:snapToGrid/>
        <w:spacing w:line="380" w:lineRule="exact"/>
        <w:ind w:right="23" w:rightChars="11" w:firstLine="399" w:firstLineChars="198"/>
        <w:textAlignment w:val="auto"/>
        <w:rPr>
          <w:rFonts w:hint="eastAsia" w:ascii="宋体" w:hAnsi="宋体"/>
          <w:color w:val="auto"/>
          <w:szCs w:val="21"/>
          <w:highlight w:val="none"/>
        </w:rPr>
      </w:pPr>
      <w:r>
        <w:rPr>
          <w:rFonts w:hint="eastAsia" w:ascii="宋体" w:hAnsi="宋体"/>
          <w:color w:val="auto"/>
          <w:spacing w:val="-4"/>
          <w:szCs w:val="21"/>
          <w:highlight w:val="none"/>
        </w:rPr>
        <w:t>对于依法必须招标的暂估价项目的确认和批准采取第种方式确定</w:t>
      </w:r>
      <w:r>
        <w:rPr>
          <w:rFonts w:hint="eastAsia" w:ascii="宋体" w:hAnsi="宋体"/>
          <w:color w:val="auto"/>
          <w:szCs w:val="21"/>
          <w:highlight w:val="none"/>
        </w:rPr>
        <w:t>。</w:t>
      </w:r>
    </w:p>
    <w:p w14:paraId="7CC3A4D8">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10.7.2不属于依法必须招标的暂估价项目</w:t>
      </w:r>
    </w:p>
    <w:p w14:paraId="33E89BF2">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种方式确定。</w:t>
      </w:r>
    </w:p>
    <w:p w14:paraId="45D67B90">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第3种方式：承包人直接实施的暂估价项目</w:t>
      </w:r>
    </w:p>
    <w:p w14:paraId="6D3E307F">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91102B">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10.8暂列金额</w:t>
      </w:r>
    </w:p>
    <w:p w14:paraId="60D5C31D">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E5D785">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11.价格调整 </w:t>
      </w:r>
    </w:p>
    <w:p w14:paraId="1C1D694B">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11.1市场价格波动引起的调整</w:t>
      </w:r>
    </w:p>
    <w:p w14:paraId="6D417599">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6F3F81">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因市场价格波动调整合同价格，采用以下第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种方式对合同价格进行调整：</w:t>
      </w:r>
    </w:p>
    <w:p w14:paraId="0903FA32">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第1种方式：采用价格指数进行价格调整。</w:t>
      </w:r>
    </w:p>
    <w:p w14:paraId="07E8C362">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38B86E7">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第 2种方式：采用造价信息进行价格调整。</w:t>
      </w:r>
    </w:p>
    <w:p w14:paraId="3FEC004E">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（2）关于基准价格的约定：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A9DEE4">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①承包人在已标价工程量清单或预算书中载明的材料、工程设备单价在合同履行期间涨、跌幅以基准价格为基础超过±</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%时，据实调整。 </w:t>
      </w:r>
    </w:p>
    <w:p w14:paraId="496B56F4">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②承包人在投标报价中载明的材料、工程设备单价在合同履行期间涨、跌幅超过省及各市州建设行政主管部门各期间发布的预算价格的±</w:t>
      </w:r>
      <w:r>
        <w:rPr>
          <w:rFonts w:hint="eastAsia" w:ascii="宋体" w:hAnsi="宋体"/>
          <w:color w:val="auto"/>
          <w:szCs w:val="21"/>
          <w:highlight w:val="none"/>
          <w:u w:val="single"/>
        </w:rPr>
        <w:t xml:space="preserve">      </w:t>
      </w:r>
      <w:r>
        <w:rPr>
          <w:rFonts w:hint="eastAsia" w:ascii="宋体" w:hAnsi="宋体"/>
          <w:color w:val="auto"/>
          <w:szCs w:val="21"/>
          <w:highlight w:val="none"/>
        </w:rPr>
        <w:t>%时，据实调整。</w:t>
      </w:r>
    </w:p>
    <w:p w14:paraId="5D687E4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8ADE853">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12.合同价格、计量与支付 </w:t>
      </w:r>
    </w:p>
    <w:p w14:paraId="65666217">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12.1合同价格形式 </w:t>
      </w:r>
    </w:p>
    <w:p w14:paraId="0A07986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1.单价合同。</w:t>
      </w:r>
    </w:p>
    <w:p w14:paraId="13FD645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7AEE6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C39D5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0D2BD8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2.总价合同。</w:t>
      </w:r>
    </w:p>
    <w:p w14:paraId="419C636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A841CF3">
      <w:pPr>
        <w:keepNext w:val="0"/>
        <w:keepLines w:val="0"/>
        <w:pageBreakBefore w:val="0"/>
        <w:widowControl w:val="0"/>
        <w:kinsoku/>
        <w:wordWrap/>
        <w:overflowPunct/>
        <w:topLinePunct w:val="0"/>
        <w:autoSpaceDE/>
        <w:autoSpaceDN/>
        <w:bidi w:val="0"/>
        <w:adjustRightInd/>
        <w:snapToGrid/>
        <w:spacing w:line="380" w:lineRule="exact"/>
        <w:ind w:left="457" w:leftChars="218" w:right="23" w:rightChars="11" w:firstLine="105" w:firstLineChars="50"/>
        <w:textAlignment w:val="auto"/>
        <w:rPr>
          <w:rFonts w:ascii="宋体" w:hAnsi="宋体"/>
          <w:color w:val="auto"/>
          <w:szCs w:val="21"/>
          <w:highlight w:val="non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CEE80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25636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6042C4">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12.2预付款 </w:t>
      </w:r>
    </w:p>
    <w:p w14:paraId="2BD4EFE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12.2.1预付款的支付</w:t>
      </w:r>
    </w:p>
    <w:p w14:paraId="3031272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770F3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C89CE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预付款扣回的方式：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998A24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12.2.2预付款担保</w:t>
      </w:r>
    </w:p>
    <w:p w14:paraId="3882258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49715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预付款担保的形式为：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8F4C57">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12.3计量 </w:t>
      </w:r>
    </w:p>
    <w:p w14:paraId="0C92489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12.3.1计量原则</w:t>
      </w:r>
    </w:p>
    <w:p w14:paraId="2306F56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A8402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12.3.2计量周期</w:t>
      </w:r>
    </w:p>
    <w:p w14:paraId="1627E4A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67BC2B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12.3.3单价合同的计量</w:t>
      </w:r>
    </w:p>
    <w:p w14:paraId="09F1D8D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关于单价合同计量的约定：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081F8E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12.3.4总价合同的计量</w:t>
      </w:r>
    </w:p>
    <w:p w14:paraId="34B08FB3">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A1B13C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12.3.5总价合同采用支付分解表计量支付的，是否适用第</w:t>
      </w:r>
      <w:r>
        <w:rPr>
          <w:rFonts w:ascii="宋体" w:hAnsi="宋体"/>
          <w:color w:val="auto"/>
          <w:szCs w:val="21"/>
          <w:highlight w:val="none"/>
        </w:rPr>
        <w:t>12.3.4</w:t>
      </w:r>
      <w:r>
        <w:rPr>
          <w:rFonts w:hint="eastAsia" w:ascii="宋体" w:hAnsi="宋体"/>
          <w:color w:val="auto"/>
          <w:szCs w:val="21"/>
          <w:highlight w:val="none"/>
        </w:rPr>
        <w:t>项〔总价合同的计量〕约定进行计量：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E79A8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12.3.6其他价格形式合同的计量</w:t>
      </w:r>
    </w:p>
    <w:p w14:paraId="092FEBE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29B343A">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12.4工程进度款支付 </w:t>
      </w:r>
    </w:p>
    <w:p w14:paraId="5AE5551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12.4.1付款周期</w:t>
      </w:r>
    </w:p>
    <w:p w14:paraId="22AA94F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2CED48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12.4.2进度付款申请单的编制</w:t>
      </w:r>
    </w:p>
    <w:p w14:paraId="265DB04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7207A0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12.4.3进度付款申请单的提交</w:t>
      </w:r>
    </w:p>
    <w:p w14:paraId="79CC3BF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5E01C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09C9F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5D5F5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12.4.4进度款审核和支付</w:t>
      </w:r>
    </w:p>
    <w:p w14:paraId="50420C9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6DF2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31E05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（2）发包人支付进度款的期限：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E6EBC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DEAE2A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 xml:space="preserve">12.4.6支付分解表的编制 </w:t>
      </w:r>
    </w:p>
    <w:p w14:paraId="44F7EB3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C9FC11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AC0CF4">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13.验收和工程试车 </w:t>
      </w:r>
    </w:p>
    <w:p w14:paraId="166049A0">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13.1分部分项工程验收 </w:t>
      </w:r>
    </w:p>
    <w:p w14:paraId="564A49D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13.1.2监理人不能按时进行验收时，应提前</w:t>
      </w:r>
      <w:r>
        <w:rPr>
          <w:rFonts w:hint="eastAsia" w:ascii="宋体" w:hAnsi="宋体"/>
          <w:color w:val="auto"/>
          <w:szCs w:val="21"/>
          <w:highlight w:val="none"/>
          <w:u w:val="single"/>
        </w:rPr>
        <w:t xml:space="preserve">      </w:t>
      </w:r>
      <w:r>
        <w:rPr>
          <w:rFonts w:hint="eastAsia" w:ascii="宋体" w:hAnsi="宋体"/>
          <w:color w:val="auto"/>
          <w:szCs w:val="21"/>
          <w:highlight w:val="none"/>
        </w:rPr>
        <w:t>小时提交书面延期要求。</w:t>
      </w:r>
    </w:p>
    <w:p w14:paraId="0829335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小时。 </w:t>
      </w:r>
    </w:p>
    <w:p w14:paraId="2EAE1407">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13.2竣工验收 </w:t>
      </w:r>
    </w:p>
    <w:p w14:paraId="3876C1A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13.2.2竣工验收程序</w:t>
      </w:r>
    </w:p>
    <w:p w14:paraId="4E52B38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F26B2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43BC83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13.2.5移交、接收全部与部分工程</w:t>
      </w:r>
    </w:p>
    <w:p w14:paraId="65D6668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C9B6F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8C06B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Cs/>
          <w:color w:val="auto"/>
          <w:szCs w:val="21"/>
          <w:highlight w:val="none"/>
        </w:rPr>
      </w:pPr>
      <w:r>
        <w:rPr>
          <w:rFonts w:hint="eastAsia"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4AC5146E">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13.3工程试车 </w:t>
      </w:r>
    </w:p>
    <w:p w14:paraId="7E3F8DC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13.3.1试车程序</w:t>
      </w:r>
    </w:p>
    <w:p w14:paraId="2AC5999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BFD12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承担；</w:t>
      </w:r>
    </w:p>
    <w:p w14:paraId="4864289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u w:val="singl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承担。</w:t>
      </w:r>
    </w:p>
    <w:p w14:paraId="13C3DF7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13.3.3投料试车</w:t>
      </w:r>
    </w:p>
    <w:p w14:paraId="591F559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6AC7F2">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13.6竣工退场 </w:t>
      </w:r>
    </w:p>
    <w:p w14:paraId="1F1D23F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13.6.1竣工退场</w:t>
      </w:r>
    </w:p>
    <w:p w14:paraId="1A7A93E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D1CBAA5">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14.竣工结算 </w:t>
      </w:r>
    </w:p>
    <w:p w14:paraId="61B9B1C1">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14.1竣工结算申请</w:t>
      </w:r>
    </w:p>
    <w:p w14:paraId="4652879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承包人提交竣工付款申请单的期限：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D57B2C">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FD3D986">
      <w:pPr>
        <w:keepNext w:val="0"/>
        <w:keepLines w:val="0"/>
        <w:pageBreakBefore w:val="0"/>
        <w:widowControl w:val="0"/>
        <w:kinsoku/>
        <w:wordWrap/>
        <w:overflowPunct/>
        <w:topLinePunct w:val="0"/>
        <w:autoSpaceDE/>
        <w:autoSpaceDN/>
        <w:bidi w:val="0"/>
        <w:adjustRightInd/>
        <w:snapToGrid/>
        <w:spacing w:line="380" w:lineRule="exact"/>
        <w:ind w:right="23" w:rightChars="11" w:firstLine="415" w:firstLineChars="198"/>
        <w:textAlignment w:val="auto"/>
        <w:rPr>
          <w:rFonts w:hint="eastAsia" w:ascii="宋体" w:hAnsi="宋体"/>
          <w:b/>
          <w:bCs/>
          <w:color w:val="auto"/>
          <w:szCs w:val="21"/>
          <w:highlight w:val="none"/>
        </w:rPr>
      </w:pPr>
      <w:r>
        <w:rPr>
          <w:rFonts w:hint="eastAsia" w:ascii="宋体" w:hAnsi="宋体"/>
          <w:b/>
          <w:bCs/>
          <w:color w:val="auto"/>
          <w:szCs w:val="21"/>
          <w:highlight w:val="none"/>
        </w:rPr>
        <w:t>14.2竣工结算审核</w:t>
      </w:r>
    </w:p>
    <w:p w14:paraId="1B01AA7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发包人审批竣工付款申请单的期限：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47ADCC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410FE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0359E1">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14.4最终结清 </w:t>
      </w:r>
    </w:p>
    <w:p w14:paraId="7631899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14.4.1最终结清申请单</w:t>
      </w:r>
    </w:p>
    <w:p w14:paraId="1CA951B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50A89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EE7B31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14.4.2最终结清证书和支付</w:t>
      </w:r>
    </w:p>
    <w:p w14:paraId="2D9AC27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8FB64A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EF04068">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15.缺陷责任期与保修 </w:t>
      </w:r>
    </w:p>
    <w:p w14:paraId="1D7706BE">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bCs/>
          <w:color w:val="auto"/>
          <w:szCs w:val="21"/>
          <w:highlight w:val="none"/>
        </w:rPr>
      </w:pPr>
      <w:r>
        <w:rPr>
          <w:rFonts w:hint="eastAsia" w:ascii="宋体" w:hAnsi="宋体"/>
          <w:b/>
          <w:bCs/>
          <w:color w:val="auto"/>
          <w:szCs w:val="21"/>
          <w:highlight w:val="none"/>
        </w:rPr>
        <w:t>15.2缺陷责任期</w:t>
      </w:r>
    </w:p>
    <w:p w14:paraId="60A959C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0DCF96B">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bCs/>
          <w:color w:val="auto"/>
          <w:szCs w:val="21"/>
          <w:highlight w:val="none"/>
        </w:rPr>
      </w:pPr>
      <w:r>
        <w:rPr>
          <w:rFonts w:hint="eastAsia" w:ascii="宋体" w:hAnsi="宋体"/>
          <w:b/>
          <w:bCs/>
          <w:color w:val="auto"/>
          <w:szCs w:val="21"/>
          <w:highlight w:val="none"/>
        </w:rPr>
        <w:t>15.3质量保证金</w:t>
      </w:r>
    </w:p>
    <w:p w14:paraId="0783562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DE438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15.3.1承包人提供质量保证金的方式</w:t>
      </w:r>
    </w:p>
    <w:p w14:paraId="02E7611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6A73051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（1）质量保证金保函，保证金额为：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652BA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%的工程款；</w:t>
      </w:r>
    </w:p>
    <w:p w14:paraId="27BCA20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75CAF7">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15.3.2质量保证金的扣留</w:t>
      </w:r>
    </w:p>
    <w:p w14:paraId="3AA35CC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40FF657B">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在支付工程进度款时逐次扣留，在此情形下，质量保证金的计算基数不包括预付款的支付、扣回以及价格调整的金额；</w:t>
      </w:r>
    </w:p>
    <w:p w14:paraId="0439BD9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14:paraId="6EC2238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CFF4D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DE8DD7">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15.4保修 </w:t>
      </w:r>
    </w:p>
    <w:p w14:paraId="2C201EC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15.4.1保修责任</w:t>
      </w:r>
    </w:p>
    <w:p w14:paraId="4CAD2777">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F5996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15.4.3修复通知</w:t>
      </w:r>
    </w:p>
    <w:p w14:paraId="5F87C8E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7D18B27">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16.违约 </w:t>
      </w:r>
    </w:p>
    <w:p w14:paraId="5329622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 xml:space="preserve">16.1发包人违约 </w:t>
      </w:r>
    </w:p>
    <w:p w14:paraId="6B4A640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16.1.1发包人违约的情形</w:t>
      </w:r>
    </w:p>
    <w:p w14:paraId="303CFA4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发包人违约的其他情形：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1226D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16.1.2发包人违约的责任</w:t>
      </w:r>
    </w:p>
    <w:p w14:paraId="5F9E4A6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发包人违约责任的承担方式和计算方法：</w:t>
      </w:r>
    </w:p>
    <w:p w14:paraId="29DBBCD1">
      <w:pPr>
        <w:keepNext w:val="0"/>
        <w:keepLines w:val="0"/>
        <w:pageBreakBefore w:val="0"/>
        <w:widowControl w:val="0"/>
        <w:kinsoku/>
        <w:wordWrap/>
        <w:overflowPunct/>
        <w:topLinePunct w:val="0"/>
        <w:autoSpaceDE/>
        <w:autoSpaceDN/>
        <w:bidi w:val="0"/>
        <w:adjustRightInd/>
        <w:snapToGrid/>
        <w:spacing w:line="380" w:lineRule="exact"/>
        <w:ind w:left="911" w:leftChars="334" w:right="23" w:rightChars="11" w:hanging="210" w:hangingChars="100"/>
        <w:textAlignment w:val="auto"/>
        <w:rPr>
          <w:rFonts w:hint="eastAsia" w:ascii="宋体" w:hAnsi="宋体"/>
          <w:color w:val="auto"/>
          <w:szCs w:val="21"/>
          <w:highlight w:val="none"/>
        </w:rPr>
      </w:pPr>
      <w:r>
        <w:rPr>
          <w:rFonts w:hint="eastAsia" w:ascii="宋体" w:hAnsi="宋体"/>
          <w:color w:val="auto"/>
          <w:szCs w:val="21"/>
          <w:highlight w:val="none"/>
        </w:rPr>
        <w:t>（1）因发包人原因未能在计划开工日期前 7天内下达开工通的违约责任：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F4A4E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39E31A">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41CBF1">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340E806">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2E1342E">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C7D8A0">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0122FDA">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16.1.3因发包人违约解除合同</w:t>
      </w:r>
    </w:p>
    <w:p w14:paraId="007E4F83">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 xml:space="preserve">承包人按16.1.1项〔发包人违约的情形〕约定暂停施工满天后发包人仍不纠正其违约行为并致使合同目的不能实现的，承包人有权解除合同。 </w:t>
      </w:r>
    </w:p>
    <w:p w14:paraId="485BD67D">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 xml:space="preserve">16.2承包人违约 </w:t>
      </w:r>
    </w:p>
    <w:p w14:paraId="578377D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16.2.1承包人违约的情形承包人违约的其他情形：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D013F4">
      <w:pPr>
        <w:keepNext w:val="0"/>
        <w:keepLines w:val="0"/>
        <w:pageBreakBefore w:val="0"/>
        <w:widowControl w:val="0"/>
        <w:kinsoku/>
        <w:wordWrap/>
        <w:overflowPunct/>
        <w:topLinePunct w:val="0"/>
        <w:autoSpaceDE/>
        <w:autoSpaceDN/>
        <w:bidi w:val="0"/>
        <w:adjustRightInd/>
        <w:snapToGrid/>
        <w:spacing w:line="380" w:lineRule="exact"/>
        <w:ind w:left="602" w:leftChars="287" w:right="23" w:rightChars="11"/>
        <w:textAlignment w:val="auto"/>
        <w:rPr>
          <w:rFonts w:hint="eastAsia" w:ascii="宋体" w:hAnsi="宋体"/>
          <w:color w:val="auto"/>
          <w:szCs w:val="21"/>
          <w:highlight w:val="none"/>
        </w:rPr>
      </w:pPr>
      <w:r>
        <w:rPr>
          <w:rFonts w:hint="eastAsia" w:ascii="宋体" w:hAnsi="宋体"/>
          <w:color w:val="auto"/>
          <w:szCs w:val="21"/>
          <w:highlight w:val="none"/>
        </w:rPr>
        <w:t>16.2.2承包人违约的责任承包人违约责任的承担方式和计算方法：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0B5B6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16.2.3因承包人违约解除合同</w:t>
      </w:r>
    </w:p>
    <w:p w14:paraId="4E6BF455">
      <w:pPr>
        <w:keepNext w:val="0"/>
        <w:keepLines w:val="0"/>
        <w:pageBreakBefore w:val="0"/>
        <w:widowControl w:val="0"/>
        <w:kinsoku/>
        <w:wordWrap/>
        <w:overflowPunct/>
        <w:topLinePunct w:val="0"/>
        <w:autoSpaceDE/>
        <w:autoSpaceDN/>
        <w:bidi w:val="0"/>
        <w:adjustRightInd/>
        <w:snapToGrid/>
        <w:spacing w:line="380" w:lineRule="exact"/>
        <w:ind w:left="560" w:leftChars="267" w:right="23" w:rightChars="11"/>
        <w:textAlignment w:val="auto"/>
        <w:rPr>
          <w:rFonts w:hint="eastAsia" w:ascii="宋体" w:hAnsi="宋体"/>
          <w:color w:val="auto"/>
          <w:szCs w:val="21"/>
          <w:highlight w:val="none"/>
        </w:rPr>
      </w:pPr>
      <w:r>
        <w:rPr>
          <w:rFonts w:hint="eastAsia" w:ascii="宋体" w:hAnsi="宋体"/>
          <w:color w:val="auto"/>
          <w:szCs w:val="21"/>
          <w:highlight w:val="none"/>
        </w:rPr>
        <w:t>关于承包人违约解除合同的特别约定：</w:t>
      </w:r>
      <w:r>
        <w:rPr>
          <w:rFonts w:hint="eastAsia" w:ascii="宋体" w:hAnsi="宋体"/>
          <w:color w:val="auto"/>
          <w:szCs w:val="21"/>
          <w:highlight w:val="none"/>
          <w:u w:val="single"/>
        </w:rPr>
        <w:t xml:space="preserve">                  </w:t>
      </w: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FE0EF1">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17.不可抗力 </w:t>
      </w:r>
    </w:p>
    <w:p w14:paraId="5B8E0147">
      <w:pPr>
        <w:keepNext w:val="0"/>
        <w:keepLines w:val="0"/>
        <w:pageBreakBefore w:val="0"/>
        <w:widowControl w:val="0"/>
        <w:kinsoku/>
        <w:wordWrap/>
        <w:overflowPunct/>
        <w:topLinePunct w:val="0"/>
        <w:autoSpaceDE/>
        <w:autoSpaceDN/>
        <w:bidi w:val="0"/>
        <w:adjustRightInd/>
        <w:snapToGrid/>
        <w:spacing w:line="380" w:lineRule="exact"/>
        <w:ind w:right="23" w:rightChars="11" w:firstLine="411" w:firstLineChars="196"/>
        <w:textAlignment w:val="auto"/>
        <w:rPr>
          <w:rFonts w:hint="eastAsia" w:ascii="宋体" w:hAnsi="宋体"/>
          <w:b/>
          <w:bCs/>
          <w:color w:val="auto"/>
          <w:szCs w:val="21"/>
          <w:highlight w:val="none"/>
        </w:rPr>
      </w:pPr>
      <w:r>
        <w:rPr>
          <w:rFonts w:hint="eastAsia" w:ascii="宋体" w:hAnsi="宋体"/>
          <w:b/>
          <w:bCs/>
          <w:color w:val="auto"/>
          <w:szCs w:val="21"/>
          <w:highlight w:val="none"/>
        </w:rPr>
        <w:t>17.1不可抗力的确认</w:t>
      </w:r>
    </w:p>
    <w:p w14:paraId="3D385B4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0AA87F">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17.4因不可抗力解除合同</w:t>
      </w:r>
    </w:p>
    <w:p w14:paraId="57F12BC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 xml:space="preserve">合同解除后，发包人应在商定或确定发包人应支付款项后天内完成款项的支付。 </w:t>
      </w:r>
    </w:p>
    <w:p w14:paraId="34738A5D">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18.保险 </w:t>
      </w:r>
    </w:p>
    <w:p w14:paraId="3DB25A7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18.1工程保险</w:t>
      </w:r>
    </w:p>
    <w:p w14:paraId="011EC96E">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C9DE94">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18.3安全生产责任保险</w:t>
      </w:r>
    </w:p>
    <w:p w14:paraId="295B370C">
      <w:pPr>
        <w:keepNext w:val="0"/>
        <w:keepLines w:val="0"/>
        <w:pageBreakBefore w:val="0"/>
        <w:widowControl w:val="0"/>
        <w:kinsoku/>
        <w:wordWrap/>
        <w:overflowPunct/>
        <w:topLinePunct w:val="0"/>
        <w:autoSpaceDE/>
        <w:autoSpaceDN/>
        <w:bidi w:val="0"/>
        <w:adjustRightInd/>
        <w:snapToGrid/>
        <w:spacing w:line="380" w:lineRule="exact"/>
        <w:ind w:right="23" w:rightChars="11" w:firstLine="420" w:firstLineChars="200"/>
        <w:textAlignment w:val="auto"/>
        <w:rPr>
          <w:rFonts w:ascii="宋体" w:hAnsi="宋体"/>
          <w:color w:val="auto"/>
          <w:szCs w:val="21"/>
          <w:highlight w:val="none"/>
        </w:rPr>
      </w:pPr>
      <w:r>
        <w:rPr>
          <w:rFonts w:hint="eastAsia" w:ascii="宋体" w:hAnsi="宋体"/>
          <w:color w:val="auto"/>
          <w:szCs w:val="21"/>
          <w:highlight w:val="none"/>
        </w:rPr>
        <w:t>关于安全生产责任保险的约定：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349162">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18.7通知义务</w:t>
      </w:r>
    </w:p>
    <w:p w14:paraId="24CFDB5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D2B340">
      <w:pPr>
        <w:keepNext w:val="0"/>
        <w:keepLines w:val="0"/>
        <w:pageBreakBefore w:val="0"/>
        <w:widowControl w:val="0"/>
        <w:kinsoku/>
        <w:wordWrap/>
        <w:overflowPunct/>
        <w:topLinePunct w:val="0"/>
        <w:autoSpaceDE/>
        <w:autoSpaceDN/>
        <w:bidi w:val="0"/>
        <w:adjustRightInd/>
        <w:snapToGrid/>
        <w:spacing w:line="380" w:lineRule="exact"/>
        <w:ind w:right="23" w:rightChars="11"/>
        <w:textAlignment w:val="auto"/>
        <w:rPr>
          <w:rFonts w:hint="eastAsia" w:ascii="宋体" w:hAnsi="宋体"/>
          <w:b/>
          <w:color w:val="auto"/>
          <w:szCs w:val="21"/>
          <w:highlight w:val="none"/>
        </w:rPr>
      </w:pPr>
      <w:r>
        <w:rPr>
          <w:rFonts w:hint="eastAsia" w:ascii="宋体" w:hAnsi="宋体"/>
          <w:b/>
          <w:color w:val="auto"/>
          <w:szCs w:val="21"/>
          <w:highlight w:val="none"/>
        </w:rPr>
        <w:t xml:space="preserve">20.争议解决 </w:t>
      </w:r>
    </w:p>
    <w:p w14:paraId="48389C48">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20.3争议评审</w:t>
      </w:r>
    </w:p>
    <w:p w14:paraId="010E0B3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28C243">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20.3.1争议评审小组的确定</w:t>
      </w:r>
    </w:p>
    <w:p w14:paraId="406C8900">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680EB4">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42958EB">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5A870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749C19">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20.3.2争议评审小组的决定</w:t>
      </w:r>
    </w:p>
    <w:p w14:paraId="7E5826C6">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D27383D">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b/>
          <w:color w:val="auto"/>
          <w:szCs w:val="21"/>
          <w:highlight w:val="none"/>
        </w:rPr>
      </w:pPr>
      <w:r>
        <w:rPr>
          <w:rFonts w:hint="eastAsia" w:ascii="宋体" w:hAnsi="宋体"/>
          <w:b/>
          <w:color w:val="auto"/>
          <w:szCs w:val="21"/>
          <w:highlight w:val="none"/>
        </w:rPr>
        <w:t>20.4仲裁或诉讼</w:t>
      </w:r>
    </w:p>
    <w:p w14:paraId="2A301A55">
      <w:pPr>
        <w:keepNext w:val="0"/>
        <w:keepLines w:val="0"/>
        <w:pageBreakBefore w:val="0"/>
        <w:widowControl w:val="0"/>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38385F9F">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875" w:leftChars="267" w:right="23" w:rightChars="11" w:hanging="315" w:hangingChars="150"/>
        <w:textAlignment w:val="auto"/>
        <w:rPr>
          <w:rFonts w:hint="eastAsia" w:ascii="宋体" w:hAnsi="宋体"/>
          <w:color w:val="auto"/>
          <w:szCs w:val="21"/>
          <w:highlight w:val="none"/>
        </w:rPr>
      </w:pPr>
      <w:r>
        <w:rPr>
          <w:rFonts w:hint="eastAsia" w:ascii="宋体" w:hAnsi="宋体"/>
          <w:color w:val="auto"/>
          <w:szCs w:val="21"/>
          <w:highlight w:val="none"/>
        </w:rPr>
        <w:t>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申请仲裁；</w:t>
      </w:r>
    </w:p>
    <w:p w14:paraId="678F07C5">
      <w:pPr>
        <w:keepNext w:val="0"/>
        <w:keepLines w:val="0"/>
        <w:pageBreakBefore w:val="0"/>
        <w:widowControl w:val="0"/>
        <w:tabs>
          <w:tab w:val="left" w:leader="underscore" w:pos="8371"/>
        </w:tabs>
        <w:kinsoku/>
        <w:wordWrap/>
        <w:overflowPunct/>
        <w:topLinePunct w:val="0"/>
        <w:autoSpaceDE/>
        <w:autoSpaceDN/>
        <w:bidi w:val="0"/>
        <w:adjustRightInd/>
        <w:snapToGrid/>
        <w:spacing w:line="380" w:lineRule="exact"/>
        <w:ind w:firstLine="315" w:firstLineChars="150"/>
        <w:textAlignment w:val="auto"/>
        <w:rPr>
          <w:rFonts w:cs="宋体"/>
          <w:color w:val="auto"/>
          <w:szCs w:val="21"/>
        </w:rPr>
      </w:pPr>
      <w:r>
        <w:rPr>
          <w:rFonts w:hint="eastAsia" w:ascii="宋体" w:hAnsi="宋体"/>
          <w:color w:val="auto"/>
          <w:szCs w:val="21"/>
          <w:highlight w:val="none"/>
        </w:rPr>
        <w:t>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587AFFBA">
      <w:pPr>
        <w:pStyle w:val="9"/>
        <w:rPr>
          <w:color w:val="auto"/>
        </w:rPr>
      </w:pPr>
    </w:p>
    <w:p w14:paraId="5F5978C3">
      <w:pPr>
        <w:rPr>
          <w:rFonts w:hint="eastAsia" w:ascii="黑体" w:hAnsi="黑体" w:eastAsia="黑体"/>
          <w:color w:val="auto"/>
          <w:sz w:val="32"/>
          <w:szCs w:val="32"/>
        </w:rPr>
      </w:pPr>
      <w:r>
        <w:rPr>
          <w:rFonts w:hint="eastAsia" w:ascii="黑体" w:hAnsi="黑体" w:eastAsia="黑体"/>
          <w:color w:val="auto"/>
          <w:sz w:val="32"/>
          <w:szCs w:val="32"/>
        </w:rPr>
        <w:br w:type="page"/>
      </w:r>
    </w:p>
    <w:p w14:paraId="4A18EBB7">
      <w:pPr>
        <w:pStyle w:val="2"/>
        <w:rPr>
          <w:rFonts w:ascii="黑体" w:hAnsi="黑体" w:eastAsia="黑体"/>
          <w:color w:val="auto"/>
          <w:sz w:val="32"/>
          <w:szCs w:val="32"/>
        </w:rPr>
      </w:pPr>
      <w:bookmarkStart w:id="194" w:name="_Toc31102"/>
      <w:r>
        <w:rPr>
          <w:rFonts w:hint="eastAsia" w:ascii="黑体" w:hAnsi="黑体" w:eastAsia="黑体"/>
          <w:color w:val="auto"/>
          <w:sz w:val="32"/>
          <w:szCs w:val="32"/>
        </w:rPr>
        <w:t>第六章 响应文件组成</w:t>
      </w:r>
      <w:bookmarkEnd w:id="187"/>
      <w:bookmarkEnd w:id="188"/>
      <w:bookmarkEnd w:id="194"/>
    </w:p>
    <w:p w14:paraId="08F15495">
      <w:pPr>
        <w:widowControl/>
        <w:tabs>
          <w:tab w:val="left" w:pos="753"/>
        </w:tabs>
        <w:adjustRightInd w:val="0"/>
        <w:snapToGrid w:val="0"/>
        <w:spacing w:beforeLines="50" w:line="360" w:lineRule="auto"/>
        <w:ind w:firstLine="480" w:firstLineChars="200"/>
        <w:jc w:val="center"/>
        <w:rPr>
          <w:rFonts w:ascii="宋体" w:hAnsi="宋体"/>
          <w:color w:val="auto"/>
          <w:sz w:val="24"/>
        </w:rPr>
      </w:pPr>
      <w:r>
        <w:rPr>
          <w:rFonts w:hint="eastAsia" w:ascii="宋体" w:hAnsi="宋体"/>
          <w:color w:val="auto"/>
          <w:sz w:val="24"/>
        </w:rPr>
        <w:t>目录</w:t>
      </w:r>
    </w:p>
    <w:p w14:paraId="40806774">
      <w:pPr>
        <w:adjustRightInd w:val="0"/>
        <w:snapToGrid w:val="0"/>
        <w:spacing w:beforeLines="50" w:line="360" w:lineRule="auto"/>
        <w:rPr>
          <w:rFonts w:ascii="宋体"/>
          <w:color w:val="auto"/>
        </w:rPr>
      </w:pPr>
      <w:r>
        <w:rPr>
          <w:rFonts w:hint="eastAsia" w:ascii="宋体"/>
          <w:color w:val="auto"/>
        </w:rPr>
        <w:t>供应商的响应文件应包含以下部分：</w:t>
      </w:r>
    </w:p>
    <w:p w14:paraId="762A6963">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一、磋商响应声明(格式)</w:t>
      </w:r>
    </w:p>
    <w:p w14:paraId="794D6626">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二、法定代表人（单位负责人）身份证明(格式)</w:t>
      </w:r>
    </w:p>
    <w:p w14:paraId="3E08967C">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三、授权委托书(格式)</w:t>
      </w:r>
    </w:p>
    <w:p w14:paraId="7BAFA40C">
      <w:pPr>
        <w:widowControl/>
        <w:tabs>
          <w:tab w:val="left" w:pos="753"/>
        </w:tabs>
        <w:adjustRightInd w:val="0"/>
        <w:snapToGrid w:val="0"/>
        <w:spacing w:beforeLines="50" w:line="360" w:lineRule="auto"/>
        <w:ind w:firstLine="420" w:firstLineChars="200"/>
        <w:rPr>
          <w:rFonts w:ascii="宋体"/>
          <w:color w:val="auto"/>
          <w:szCs w:val="21"/>
        </w:rPr>
      </w:pPr>
      <w:r>
        <w:rPr>
          <w:rFonts w:hint="eastAsia" w:ascii="宋体" w:hAnsi="宋体"/>
          <w:color w:val="auto"/>
          <w:szCs w:val="21"/>
        </w:rPr>
        <w:t>四、保证金</w:t>
      </w:r>
    </w:p>
    <w:p w14:paraId="5D784513">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五、报价表及报价文件(格式)</w:t>
      </w:r>
    </w:p>
    <w:p w14:paraId="6960D6BB">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六、施工方案说明</w:t>
      </w:r>
    </w:p>
    <w:p w14:paraId="2F8EEFD7">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七、合同条款偏离表</w:t>
      </w:r>
    </w:p>
    <w:p w14:paraId="0C266676">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八、采购需求偏离表</w:t>
      </w:r>
    </w:p>
    <w:p w14:paraId="20CB34F0">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九、享受政府采购政策的证明资料</w:t>
      </w:r>
    </w:p>
    <w:p w14:paraId="491D8D32">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kern w:val="32"/>
          <w:szCs w:val="21"/>
        </w:rPr>
        <w:t>关于资格的声明(格式)</w:t>
      </w:r>
    </w:p>
    <w:p w14:paraId="6F215B9D">
      <w:pPr>
        <w:widowControl/>
        <w:tabs>
          <w:tab w:val="left" w:pos="753"/>
        </w:tabs>
        <w:adjustRightInd w:val="0"/>
        <w:snapToGrid w:val="0"/>
        <w:spacing w:beforeLines="50" w:line="360" w:lineRule="auto"/>
        <w:ind w:firstLine="420" w:firstLineChars="200"/>
        <w:rPr>
          <w:rFonts w:ascii="宋体" w:hAnsi="宋体"/>
          <w:color w:val="auto"/>
          <w:kern w:val="32"/>
          <w:szCs w:val="21"/>
        </w:rPr>
      </w:pPr>
      <w:r>
        <w:rPr>
          <w:rFonts w:hint="eastAsia" w:ascii="宋体" w:hAnsi="宋体"/>
          <w:color w:val="auto"/>
          <w:kern w:val="32"/>
          <w:szCs w:val="21"/>
        </w:rPr>
        <w:t>十一、</w:t>
      </w:r>
      <w:r>
        <w:rPr>
          <w:rFonts w:hint="eastAsia" w:ascii="宋体" w:hAnsi="宋体"/>
          <w:color w:val="auto"/>
          <w:szCs w:val="21"/>
        </w:rPr>
        <w:t>响应标的符合磋商文件规定的证明文件</w:t>
      </w:r>
    </w:p>
    <w:p w14:paraId="30FA366A">
      <w:pPr>
        <w:widowControl/>
        <w:tabs>
          <w:tab w:val="left" w:pos="753"/>
        </w:tabs>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十二、供应商认为需要提供的其他材料</w:t>
      </w:r>
    </w:p>
    <w:p w14:paraId="4BC5B443">
      <w:pPr>
        <w:pStyle w:val="18"/>
        <w:ind w:firstLine="420" w:firstLineChars="200"/>
        <w:rPr>
          <w:color w:val="auto"/>
        </w:rPr>
      </w:pPr>
      <w:r>
        <w:rPr>
          <w:rFonts w:hint="eastAsia"/>
          <w:color w:val="auto"/>
        </w:rPr>
        <w:t>十三、最终报价</w:t>
      </w:r>
    </w:p>
    <w:p w14:paraId="3E7CF60D">
      <w:pPr>
        <w:adjustRightInd w:val="0"/>
        <w:snapToGrid w:val="0"/>
        <w:spacing w:line="360" w:lineRule="auto"/>
        <w:jc w:val="center"/>
        <w:rPr>
          <w:rFonts w:ascii="黑体" w:eastAsia="黑体"/>
          <w:color w:val="auto"/>
          <w:sz w:val="32"/>
          <w:szCs w:val="32"/>
        </w:rPr>
      </w:pPr>
      <w:r>
        <w:rPr>
          <w:color w:val="auto"/>
        </w:rPr>
        <w:br w:type="page"/>
      </w:r>
    </w:p>
    <w:p w14:paraId="2206E708">
      <w:pPr>
        <w:adjustRightInd w:val="0"/>
        <w:snapToGrid w:val="0"/>
        <w:spacing w:line="360" w:lineRule="auto"/>
        <w:jc w:val="center"/>
        <w:rPr>
          <w:rFonts w:ascii="黑体" w:eastAsia="黑体"/>
          <w:color w:val="auto"/>
          <w:sz w:val="32"/>
          <w:szCs w:val="32"/>
        </w:rPr>
      </w:pPr>
    </w:p>
    <w:p w14:paraId="5C833B73">
      <w:pPr>
        <w:pStyle w:val="12"/>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14:paraId="47C8A98C">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14:paraId="16A8BA64">
      <w:pPr>
        <w:adjustRightInd w:val="0"/>
        <w:snapToGrid w:val="0"/>
        <w:spacing w:line="360" w:lineRule="auto"/>
        <w:rPr>
          <w:rFonts w:ascii="黑体" w:hAnsi="黑体" w:eastAsia="黑体"/>
          <w:b/>
          <w:color w:val="auto"/>
          <w:sz w:val="32"/>
          <w:szCs w:val="32"/>
        </w:rPr>
      </w:pPr>
    </w:p>
    <w:p w14:paraId="05CAB3C2">
      <w:pPr>
        <w:adjustRightInd w:val="0"/>
        <w:snapToGrid w:val="0"/>
        <w:spacing w:line="360" w:lineRule="auto"/>
        <w:rPr>
          <w:rFonts w:ascii="宋体" w:hAnsi="宋体"/>
          <w:b/>
          <w:color w:val="auto"/>
          <w:sz w:val="30"/>
          <w:szCs w:val="30"/>
        </w:rPr>
      </w:pPr>
    </w:p>
    <w:p w14:paraId="4DF9A3C5">
      <w:pPr>
        <w:pStyle w:val="12"/>
        <w:adjustRightInd w:val="0"/>
        <w:snapToGrid w:val="0"/>
        <w:spacing w:line="360" w:lineRule="auto"/>
        <w:ind w:firstLine="1980" w:firstLineChars="660"/>
        <w:rPr>
          <w:rFonts w:hint="default" w:hAnsi="宋体" w:eastAsia="宋体"/>
          <w:b/>
          <w:bCs/>
          <w:color w:val="auto"/>
          <w:sz w:val="30"/>
          <w:szCs w:val="30"/>
          <w:u w:val="single"/>
          <w:lang w:val="en-US" w:eastAsia="zh-CN"/>
        </w:rPr>
      </w:pPr>
      <w:r>
        <w:rPr>
          <w:rFonts w:hint="eastAsia" w:hAnsi="宋体"/>
          <w:b/>
          <w:bCs/>
          <w:color w:val="auto"/>
          <w:sz w:val="30"/>
          <w:szCs w:val="30"/>
        </w:rPr>
        <w:t>采购项目名称:</w:t>
      </w:r>
      <w:r>
        <w:rPr>
          <w:rFonts w:hint="eastAsia" w:hAnsi="宋体"/>
          <w:b/>
          <w:bCs/>
          <w:color w:val="auto"/>
          <w:sz w:val="30"/>
          <w:szCs w:val="30"/>
          <w:u w:val="single"/>
          <w:lang w:val="en-US" w:eastAsia="zh-CN"/>
        </w:rPr>
        <w:t xml:space="preserve">                  </w:t>
      </w:r>
    </w:p>
    <w:p w14:paraId="36840AAF">
      <w:pPr>
        <w:pStyle w:val="12"/>
        <w:adjustRightInd w:val="0"/>
        <w:snapToGrid w:val="0"/>
        <w:spacing w:line="360" w:lineRule="auto"/>
        <w:ind w:firstLine="1980"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lang w:val="en-US" w:eastAsia="zh-CN"/>
        </w:rPr>
        <w:t xml:space="preserve">                 </w:t>
      </w:r>
    </w:p>
    <w:p w14:paraId="5CDB4076">
      <w:pPr>
        <w:pStyle w:val="12"/>
        <w:adjustRightInd w:val="0"/>
        <w:snapToGrid w:val="0"/>
        <w:spacing w:line="360" w:lineRule="auto"/>
        <w:ind w:firstLine="1980"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lang w:val="en-US" w:eastAsia="zh-CN"/>
        </w:rPr>
        <w:t xml:space="preserve">                 </w:t>
      </w:r>
    </w:p>
    <w:p w14:paraId="6AEE5E36">
      <w:pPr>
        <w:pStyle w:val="12"/>
        <w:adjustRightInd w:val="0"/>
        <w:snapToGrid w:val="0"/>
        <w:spacing w:line="360" w:lineRule="auto"/>
        <w:ind w:firstLine="1980" w:firstLineChars="660"/>
        <w:rPr>
          <w:rFonts w:hAnsi="宋体"/>
          <w:b/>
          <w:bCs/>
          <w:color w:val="auto"/>
          <w:sz w:val="30"/>
          <w:szCs w:val="30"/>
          <w:u w:val="single"/>
        </w:rPr>
      </w:pPr>
      <w:r>
        <w:rPr>
          <w:rFonts w:hint="eastAsia" w:hAnsi="宋体"/>
          <w:b/>
          <w:bCs/>
          <w:color w:val="auto"/>
          <w:sz w:val="30"/>
          <w:szCs w:val="30"/>
        </w:rPr>
        <w:t>委托代理编号:</w:t>
      </w:r>
      <w:r>
        <w:rPr>
          <w:rFonts w:hint="eastAsia" w:hAnsi="宋体"/>
          <w:b/>
          <w:bCs/>
          <w:color w:val="auto"/>
          <w:sz w:val="30"/>
          <w:szCs w:val="30"/>
          <w:u w:val="single"/>
          <w:lang w:val="en-US" w:eastAsia="zh-CN"/>
        </w:rPr>
        <w:t xml:space="preserve">                 </w:t>
      </w:r>
    </w:p>
    <w:p w14:paraId="2F56D12F">
      <w:pPr>
        <w:pStyle w:val="12"/>
        <w:adjustRightInd w:val="0"/>
        <w:snapToGrid w:val="0"/>
        <w:spacing w:line="360" w:lineRule="auto"/>
        <w:ind w:firstLine="1980"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lang w:val="en-US" w:eastAsia="zh-CN"/>
        </w:rPr>
        <w:t xml:space="preserve">                 </w:t>
      </w:r>
    </w:p>
    <w:p w14:paraId="25C6BA20">
      <w:pPr>
        <w:pStyle w:val="12"/>
        <w:adjustRightInd w:val="0"/>
        <w:snapToGrid w:val="0"/>
        <w:spacing w:line="360" w:lineRule="auto"/>
        <w:ind w:firstLine="1980" w:firstLineChars="660"/>
        <w:rPr>
          <w:rFonts w:hAnsi="宋体"/>
          <w:b/>
          <w:bCs/>
          <w:color w:val="auto"/>
          <w:sz w:val="30"/>
          <w:szCs w:val="30"/>
          <w:u w:val="single"/>
        </w:rPr>
      </w:pPr>
    </w:p>
    <w:p w14:paraId="5BAF150A">
      <w:pPr>
        <w:adjustRightInd w:val="0"/>
        <w:snapToGrid w:val="0"/>
        <w:spacing w:line="360" w:lineRule="auto"/>
        <w:rPr>
          <w:rFonts w:ascii="黑体" w:hAnsi="黑体" w:eastAsia="黑体"/>
          <w:color w:val="auto"/>
          <w:sz w:val="30"/>
          <w:szCs w:val="30"/>
        </w:rPr>
      </w:pPr>
    </w:p>
    <w:p w14:paraId="11066854">
      <w:pPr>
        <w:adjustRightInd w:val="0"/>
        <w:snapToGrid w:val="0"/>
        <w:rPr>
          <w:rFonts w:ascii="黑体" w:hAnsi="宋体" w:eastAsia="黑体"/>
          <w:color w:val="auto"/>
          <w:sz w:val="30"/>
          <w:szCs w:val="30"/>
        </w:rPr>
      </w:pPr>
    </w:p>
    <w:p w14:paraId="0275C9BD">
      <w:pPr>
        <w:adjustRightInd w:val="0"/>
        <w:snapToGrid w:val="0"/>
        <w:spacing w:line="360" w:lineRule="auto"/>
        <w:rPr>
          <w:rFonts w:ascii="黑体" w:hAnsi="宋体" w:eastAsia="黑体"/>
          <w:color w:val="auto"/>
          <w:sz w:val="30"/>
          <w:szCs w:val="30"/>
        </w:rPr>
      </w:pPr>
    </w:p>
    <w:p w14:paraId="2B189D72">
      <w:pPr>
        <w:adjustRightInd w:val="0"/>
        <w:snapToGrid w:val="0"/>
        <w:spacing w:line="360" w:lineRule="auto"/>
        <w:rPr>
          <w:rFonts w:ascii="黑体" w:hAnsi="宋体" w:eastAsia="黑体"/>
          <w:color w:val="auto"/>
          <w:sz w:val="30"/>
          <w:szCs w:val="30"/>
        </w:rPr>
      </w:pPr>
    </w:p>
    <w:p w14:paraId="7D937DA6">
      <w:pPr>
        <w:adjustRightInd w:val="0"/>
        <w:snapToGrid w:val="0"/>
        <w:spacing w:line="360" w:lineRule="auto"/>
        <w:rPr>
          <w:rFonts w:ascii="黑体" w:hAnsi="宋体" w:eastAsia="黑体"/>
          <w:color w:val="auto"/>
          <w:sz w:val="30"/>
          <w:szCs w:val="30"/>
        </w:rPr>
      </w:pPr>
    </w:p>
    <w:p w14:paraId="519C7FFB">
      <w:pPr>
        <w:pStyle w:val="12"/>
        <w:adjustRightInd w:val="0"/>
        <w:snapToGrid w:val="0"/>
        <w:spacing w:line="360" w:lineRule="auto"/>
        <w:ind w:firstLine="2112" w:firstLineChars="66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hAnsi="宋体"/>
          <w:b/>
          <w:bCs/>
          <w:color w:val="auto"/>
          <w:sz w:val="30"/>
          <w:szCs w:val="30"/>
          <w:u w:val="single"/>
          <w:lang w:val="en-US" w:eastAsia="zh-CN"/>
        </w:rPr>
        <w:t xml:space="preserve">                 </w:t>
      </w:r>
    </w:p>
    <w:p w14:paraId="77B36B10">
      <w:pPr>
        <w:jc w:val="center"/>
        <w:rPr>
          <w:rFonts w:ascii="黑体" w:hAnsi="黑体" w:eastAsia="黑体"/>
          <w:color w:val="auto"/>
          <w:sz w:val="32"/>
          <w:szCs w:val="32"/>
        </w:rPr>
      </w:pPr>
      <w:r>
        <w:rPr>
          <w:rFonts w:hint="eastAsia" w:hAnsi="宋体"/>
          <w:b/>
          <w:bCs/>
          <w:color w:val="auto"/>
          <w:sz w:val="30"/>
          <w:szCs w:val="30"/>
          <w:u w:val="single"/>
          <w:lang w:val="en-US" w:eastAsia="zh-CN"/>
        </w:rPr>
        <w:t xml:space="preserve">   </w:t>
      </w:r>
      <w:r>
        <w:rPr>
          <w:rFonts w:hint="eastAsia" w:ascii="黑体" w:hAnsi="黑体" w:eastAsia="黑体"/>
          <w:color w:val="auto"/>
          <w:sz w:val="32"/>
          <w:szCs w:val="32"/>
        </w:rPr>
        <w:t>年</w:t>
      </w:r>
      <w:r>
        <w:rPr>
          <w:rFonts w:hint="eastAsia" w:hAnsi="宋体"/>
          <w:b/>
          <w:bCs/>
          <w:color w:val="auto"/>
          <w:sz w:val="30"/>
          <w:szCs w:val="30"/>
          <w:u w:val="single"/>
          <w:lang w:val="en-US" w:eastAsia="zh-CN"/>
        </w:rPr>
        <w:t xml:space="preserve">   </w:t>
      </w:r>
      <w:r>
        <w:rPr>
          <w:rFonts w:hint="eastAsia" w:ascii="黑体" w:hAnsi="黑体" w:eastAsia="黑体"/>
          <w:color w:val="auto"/>
          <w:sz w:val="32"/>
          <w:szCs w:val="32"/>
        </w:rPr>
        <w:t>月</w:t>
      </w:r>
      <w:r>
        <w:rPr>
          <w:rFonts w:hint="eastAsia" w:hAnsi="宋体"/>
          <w:b/>
          <w:bCs/>
          <w:color w:val="auto"/>
          <w:sz w:val="30"/>
          <w:szCs w:val="30"/>
          <w:u w:val="single"/>
          <w:lang w:val="en-US" w:eastAsia="zh-CN"/>
        </w:rPr>
        <w:t xml:space="preserve">   </w:t>
      </w:r>
      <w:r>
        <w:rPr>
          <w:rFonts w:hint="eastAsia" w:ascii="黑体" w:hAnsi="黑体" w:eastAsia="黑体"/>
          <w:color w:val="auto"/>
          <w:sz w:val="32"/>
          <w:szCs w:val="32"/>
        </w:rPr>
        <w:t>日</w:t>
      </w:r>
    </w:p>
    <w:p w14:paraId="51FA96C9">
      <w:pPr>
        <w:outlineLvl w:val="9"/>
        <w:rPr>
          <w:rFonts w:ascii="黑体" w:hAnsi="黑体" w:eastAsia="黑体"/>
          <w:color w:val="auto"/>
          <w:sz w:val="28"/>
          <w:szCs w:val="28"/>
        </w:rPr>
      </w:pPr>
      <w:r>
        <w:rPr>
          <w:rFonts w:hAnsi="宋体"/>
          <w:color w:val="auto"/>
        </w:rPr>
        <w:br w:type="page"/>
      </w:r>
      <w:bookmarkStart w:id="195" w:name="_Toc62472908"/>
    </w:p>
    <w:p w14:paraId="352EC568">
      <w:pPr>
        <w:pStyle w:val="3"/>
        <w:jc w:val="center"/>
        <w:rPr>
          <w:rFonts w:ascii="黑体" w:hAnsi="黑体" w:eastAsia="黑体"/>
          <w:color w:val="auto"/>
          <w:sz w:val="28"/>
          <w:szCs w:val="28"/>
        </w:rPr>
      </w:pPr>
      <w:bookmarkStart w:id="196" w:name="_Toc17765"/>
      <w:r>
        <w:rPr>
          <w:rFonts w:hint="eastAsia" w:ascii="黑体" w:hAnsi="黑体" w:eastAsia="黑体"/>
          <w:color w:val="auto"/>
          <w:sz w:val="28"/>
          <w:szCs w:val="28"/>
        </w:rPr>
        <w:t>一、磋商响应声明(格式)</w:t>
      </w:r>
      <w:bookmarkEnd w:id="195"/>
      <w:bookmarkEnd w:id="196"/>
    </w:p>
    <w:p w14:paraId="41C292C1">
      <w:pPr>
        <w:pStyle w:val="12"/>
        <w:adjustRightInd w:val="0"/>
        <w:snapToGrid w:val="0"/>
        <w:spacing w:line="360" w:lineRule="auto"/>
        <w:ind w:firstLine="420" w:firstLineChars="200"/>
        <w:rPr>
          <w:rFonts w:hAnsi="宋体"/>
          <w:color w:val="auto"/>
        </w:rPr>
      </w:pPr>
      <w:r>
        <w:rPr>
          <w:rFonts w:hint="eastAsia" w:hAnsi="宋体"/>
          <w:color w:val="auto"/>
        </w:rPr>
        <w:t>致</w:t>
      </w:r>
      <w:r>
        <w:rPr>
          <w:rFonts w:hint="eastAsia" w:hAnsi="宋体"/>
          <w:color w:val="auto"/>
          <w:u w:val="single"/>
        </w:rPr>
        <w:t xml:space="preserve">             </w:t>
      </w:r>
      <w:r>
        <w:rPr>
          <w:rFonts w:hint="eastAsia" w:hAnsi="宋体"/>
          <w:color w:val="auto"/>
        </w:rPr>
        <w:t xml:space="preserve"> (采购人、采购代理机构)：</w:t>
      </w:r>
    </w:p>
    <w:p w14:paraId="2DAC59B9">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（项目名称）的磋商邀请（</w:t>
      </w:r>
      <w:r>
        <w:rPr>
          <w:rFonts w:hint="eastAsia" w:ascii="宋体" w:hAnsi="宋体"/>
          <w:color w:val="auto"/>
        </w:rPr>
        <w:t>政府</w:t>
      </w:r>
      <w:r>
        <w:rPr>
          <w:rFonts w:hint="eastAsia" w:ascii="宋体" w:hAnsi="宋体"/>
          <w:iCs/>
          <w:color w:val="auto"/>
        </w:rPr>
        <w:t>采购编号：</w:t>
      </w:r>
      <w:r>
        <w:rPr>
          <w:rFonts w:hint="eastAsia" w:ascii="宋体" w:hAnsi="宋体"/>
          <w:color w:val="auto"/>
          <w:szCs w:val="21"/>
          <w:u w:val="single"/>
        </w:rPr>
        <w:t xml:space="preserve">         </w:t>
      </w:r>
      <w:r>
        <w:rPr>
          <w:rFonts w:hint="eastAsia" w:ascii="宋体" w:hAnsi="宋体"/>
          <w:iCs/>
          <w:color w:val="auto"/>
        </w:rPr>
        <w:t xml:space="preserve"> ，</w:t>
      </w:r>
      <w:r>
        <w:rPr>
          <w:rFonts w:hint="eastAsia" w:ascii="宋体" w:hAnsi="宋体"/>
          <w:color w:val="auto"/>
          <w:szCs w:val="21"/>
        </w:rPr>
        <w:t>委托代理编号：</w:t>
      </w:r>
      <w:r>
        <w:rPr>
          <w:rFonts w:hint="eastAsia" w:ascii="宋体" w:hAnsi="宋体"/>
          <w:color w:val="auto"/>
          <w:szCs w:val="21"/>
          <w:u w:val="single"/>
        </w:rPr>
        <w:t xml:space="preserve">         </w:t>
      </w:r>
      <w:r>
        <w:rPr>
          <w:rFonts w:hint="eastAsia" w:ascii="宋体" w:hAnsi="宋体"/>
          <w:color w:val="auto"/>
          <w:szCs w:val="21"/>
        </w:rPr>
        <w:t>），签字代表</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（供应商名称）提交响应文件正本一份,副本二份</w:t>
      </w:r>
      <w:r>
        <w:rPr>
          <w:rFonts w:hint="eastAsia" w:ascii="宋体" w:hAnsi="宋体"/>
          <w:color w:val="auto"/>
          <w:szCs w:val="21"/>
          <w:lang w:eastAsia="zh-CN"/>
        </w:rPr>
        <w:t>，</w:t>
      </w:r>
      <w:r>
        <w:rPr>
          <w:rFonts w:hint="eastAsia" w:ascii="宋体" w:hAnsi="宋体"/>
          <w:color w:val="auto"/>
          <w:szCs w:val="21"/>
        </w:rPr>
        <w:t>响应文件电子文档：一份，参加采购项目磋商，并在此声明，所递交的响应文件内容完整、真实。</w:t>
      </w:r>
    </w:p>
    <w:p w14:paraId="605F48A2">
      <w:pPr>
        <w:pStyle w:val="12"/>
        <w:adjustRightInd w:val="0"/>
        <w:snapToGrid w:val="0"/>
        <w:spacing w:beforeLines="50" w:line="360" w:lineRule="auto"/>
        <w:ind w:firstLine="420" w:firstLineChars="200"/>
        <w:rPr>
          <w:rFonts w:hAnsi="宋体"/>
          <w:color w:val="auto"/>
        </w:rPr>
      </w:pPr>
      <w:r>
        <w:rPr>
          <w:rFonts w:hint="eastAsia" w:hAnsi="宋体"/>
          <w:color w:val="auto"/>
        </w:rPr>
        <w:t>一、我方已详细审查磋商文件。我们完全理解并同意放弃对这方面有不明及误解的权力。</w:t>
      </w:r>
    </w:p>
    <w:p w14:paraId="4D7464B9">
      <w:pPr>
        <w:pStyle w:val="12"/>
        <w:adjustRightInd w:val="0"/>
        <w:snapToGrid w:val="0"/>
        <w:spacing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14:paraId="1B5B1A54">
      <w:pPr>
        <w:pStyle w:val="12"/>
        <w:adjustRightInd w:val="0"/>
        <w:snapToGrid w:val="0"/>
        <w:spacing w:beforeLines="50" w:line="360" w:lineRule="auto"/>
        <w:ind w:firstLine="420" w:firstLineChars="200"/>
        <w:rPr>
          <w:rFonts w:hAnsi="宋体"/>
          <w:color w:val="auto"/>
        </w:rPr>
      </w:pPr>
      <w:r>
        <w:rPr>
          <w:rFonts w:hint="eastAsia" w:hAnsi="宋体"/>
          <w:color w:val="auto"/>
        </w:rPr>
        <w:t>三、我方愿意按磋商文件规定和磋商小组要求重新提交响应文件和最后报价。</w:t>
      </w:r>
    </w:p>
    <w:p w14:paraId="45E3DA92">
      <w:pPr>
        <w:pStyle w:val="12"/>
        <w:adjustRightInd w:val="0"/>
        <w:snapToGrid w:val="0"/>
        <w:spacing w:beforeLines="50" w:line="360" w:lineRule="auto"/>
        <w:ind w:firstLine="420" w:firstLineChars="200"/>
        <w:rPr>
          <w:rFonts w:hAnsi="宋体"/>
          <w:color w:val="auto"/>
        </w:rPr>
      </w:pPr>
      <w:r>
        <w:rPr>
          <w:rFonts w:hint="eastAsia" w:hAnsi="宋体"/>
          <w:color w:val="auto"/>
        </w:rPr>
        <w:t>四、我方同意在磋商文件中规定的提交首次响应文件截止时间起</w:t>
      </w:r>
      <w:r>
        <w:rPr>
          <w:rFonts w:hint="eastAsia" w:hAnsi="宋体"/>
          <w:color w:val="auto"/>
          <w:u w:val="single"/>
        </w:rPr>
        <w:t xml:space="preserve">  </w:t>
      </w:r>
      <w:r>
        <w:rPr>
          <w:rFonts w:hint="eastAsia" w:hAnsi="宋体"/>
          <w:color w:val="auto"/>
          <w:u w:val="single"/>
          <w:lang w:val="en-US" w:eastAsia="zh-CN"/>
        </w:rPr>
        <w:t>90</w:t>
      </w:r>
      <w:r>
        <w:rPr>
          <w:rFonts w:hint="eastAsia" w:hAnsi="宋体"/>
          <w:color w:val="auto"/>
          <w:u w:val="single"/>
        </w:rPr>
        <w:t xml:space="preserve">  </w:t>
      </w:r>
      <w:r>
        <w:rPr>
          <w:rFonts w:hint="eastAsia" w:hAnsi="宋体"/>
          <w:color w:val="auto"/>
        </w:rPr>
        <w:t>日内(响应文件有效期)遵守本响应文件中的承诺且在此期限期满之前均具有法律约束力。</w:t>
      </w:r>
    </w:p>
    <w:p w14:paraId="2D70FE18">
      <w:pPr>
        <w:pStyle w:val="12"/>
        <w:adjustRightInd w:val="0"/>
        <w:snapToGrid w:val="0"/>
        <w:spacing w:beforeLines="50" w:line="360" w:lineRule="auto"/>
        <w:ind w:firstLine="420" w:firstLineChars="200"/>
        <w:rPr>
          <w:rFonts w:hAnsi="宋体"/>
          <w:color w:val="auto"/>
        </w:rPr>
      </w:pPr>
      <w:r>
        <w:rPr>
          <w:rFonts w:hint="eastAsia" w:hAnsi="宋体"/>
          <w:color w:val="auto"/>
        </w:rPr>
        <w:t>五、我方承诺遵守《政府采购法》及其实施条例有关规定，保证在获得成交资格后，按照磋商文件确定的事项签订政府采购合同，履行双方所签订的合同，并承担合同规定的责任和义务。</w:t>
      </w:r>
    </w:p>
    <w:p w14:paraId="712CDDAB">
      <w:pPr>
        <w:pStyle w:val="12"/>
        <w:adjustRightInd w:val="0"/>
        <w:snapToGrid w:val="0"/>
        <w:spacing w:beforeLines="50" w:line="360" w:lineRule="auto"/>
        <w:ind w:firstLine="420" w:firstLineChars="200"/>
        <w:rPr>
          <w:rFonts w:hAnsi="宋体"/>
          <w:color w:val="auto"/>
        </w:rPr>
      </w:pPr>
      <w:r>
        <w:rPr>
          <w:rFonts w:hint="eastAsia" w:hAnsi="宋体"/>
          <w:color w:val="auto"/>
        </w:rPr>
        <w:t>六、我方承诺在参与竞争性磋商过程中，若出现《政府采购法》第七十七条、《政府采购法实施条例》第七十二条规定之情形，我方同意接受条款规定作出的处罚。</w:t>
      </w:r>
    </w:p>
    <w:p w14:paraId="09EA95F6">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14:paraId="6BDD0494">
      <w:pPr>
        <w:adjustRightInd w:val="0"/>
        <w:snapToGrid w:val="0"/>
        <w:spacing w:beforeLines="50" w:line="360" w:lineRule="auto"/>
        <w:ind w:firstLine="420" w:firstLineChars="200"/>
        <w:rPr>
          <w:rFonts w:ascii="宋体" w:hAnsi="宋体"/>
          <w:b w:val="0"/>
          <w:bCs w:val="0"/>
          <w:color w:val="auto"/>
          <w:szCs w:val="21"/>
        </w:rPr>
      </w:pPr>
      <w:r>
        <w:rPr>
          <w:rFonts w:hint="eastAsia" w:ascii="宋体" w:hAnsi="宋体"/>
          <w:b w:val="0"/>
          <w:bCs w:val="0"/>
          <w:color w:val="auto"/>
          <w:szCs w:val="21"/>
        </w:rPr>
        <w:t>地址：</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 邮编：</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 电话：</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 xml:space="preserve">；电子邮箱： </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w:t>
      </w:r>
    </w:p>
    <w:p w14:paraId="4FDC3914">
      <w:pPr>
        <w:pStyle w:val="12"/>
        <w:adjustRightInd w:val="0"/>
        <w:snapToGrid w:val="0"/>
        <w:spacing w:beforeLines="50" w:line="360" w:lineRule="auto"/>
        <w:rPr>
          <w:rFonts w:hAnsi="宋体"/>
          <w:b w:val="0"/>
          <w:bCs w:val="0"/>
          <w:color w:val="auto"/>
        </w:rPr>
      </w:pPr>
    </w:p>
    <w:p w14:paraId="03F54093">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49741A14">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1A67097D">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6E59902B">
      <w:pPr>
        <w:pStyle w:val="3"/>
        <w:jc w:val="center"/>
        <w:rPr>
          <w:rFonts w:ascii="黑体" w:hAnsi="黑体" w:eastAsia="黑体"/>
          <w:color w:val="auto"/>
          <w:sz w:val="28"/>
          <w:szCs w:val="28"/>
        </w:rPr>
      </w:pPr>
      <w:r>
        <w:rPr>
          <w:rFonts w:ascii="宋体" w:hAnsi="宋体"/>
          <w:color w:val="auto"/>
          <w:szCs w:val="21"/>
        </w:rPr>
        <w:br w:type="page"/>
      </w:r>
      <w:bookmarkStart w:id="197" w:name="_Toc62472909"/>
      <w:bookmarkStart w:id="198" w:name="_Toc13840"/>
      <w:r>
        <w:rPr>
          <w:rFonts w:hint="eastAsia" w:ascii="黑体" w:hAnsi="黑体" w:eastAsia="黑体"/>
          <w:color w:val="auto"/>
          <w:sz w:val="28"/>
          <w:szCs w:val="28"/>
        </w:rPr>
        <w:t>二、法定代表人（单位负责人）身份证明(格式)</w:t>
      </w:r>
      <w:bookmarkEnd w:id="197"/>
      <w:bookmarkEnd w:id="198"/>
    </w:p>
    <w:p w14:paraId="43A41A7D">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position w:val="-4"/>
          <w:szCs w:val="21"/>
        </w:rPr>
      </w:pPr>
    </w:p>
    <w:p w14:paraId="6F974ADB">
      <w:pPr>
        <w:tabs>
          <w:tab w:val="left" w:pos="3880"/>
        </w:tabs>
        <w:autoSpaceDE w:val="0"/>
        <w:autoSpaceDN w:val="0"/>
        <w:adjustRightInd w:val="0"/>
        <w:snapToGrid w:val="0"/>
        <w:spacing w:beforeLines="50" w:line="360" w:lineRule="auto"/>
        <w:ind w:left="100" w:right="-20"/>
        <w:jc w:val="left"/>
        <w:rPr>
          <w:rFonts w:hint="default" w:ascii="宋体" w:hAnsi="宋体" w:eastAsia="宋体" w:cs="微软雅黑"/>
          <w:color w:val="auto"/>
          <w:kern w:val="0"/>
          <w:szCs w:val="21"/>
          <w:lang w:val="en-US" w:eastAsia="zh-CN"/>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p>
    <w:p w14:paraId="3AE98354">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3C383E9F">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4186D1B5">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3279248D">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458A1FD1">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448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79B2A61">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3CFDCB77">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502A7CC3">
      <w:pPr>
        <w:adjustRightInd w:val="0"/>
        <w:snapToGrid w:val="0"/>
        <w:spacing w:beforeLines="50" w:line="360" w:lineRule="auto"/>
        <w:rPr>
          <w:rFonts w:ascii="宋体" w:hAnsi="宋体"/>
          <w:color w:val="auto"/>
          <w:szCs w:val="21"/>
        </w:rPr>
      </w:pPr>
    </w:p>
    <w:p w14:paraId="11A86043">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06F07CBA">
      <w:pPr>
        <w:adjustRightInd w:val="0"/>
        <w:snapToGrid w:val="0"/>
        <w:spacing w:beforeLines="50" w:line="360" w:lineRule="auto"/>
        <w:rPr>
          <w:rFonts w:ascii="宋体" w:hAnsi="宋体"/>
          <w:color w:val="auto"/>
          <w:szCs w:val="21"/>
        </w:rPr>
      </w:pPr>
    </w:p>
    <w:p w14:paraId="7949C6E5">
      <w:pPr>
        <w:pStyle w:val="12"/>
        <w:adjustRightInd w:val="0"/>
        <w:snapToGrid w:val="0"/>
        <w:spacing w:beforeLines="50" w:line="360" w:lineRule="auto"/>
        <w:rPr>
          <w:rFonts w:hAnsi="宋体"/>
          <w:color w:val="auto"/>
        </w:rPr>
      </w:pPr>
      <w:r>
        <w:rPr>
          <w:rFonts w:hint="eastAsia" w:hAnsi="宋体"/>
          <w:color w:val="auto"/>
        </w:rPr>
        <w:t>供应商名称(盖单位公章)：</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482207D5">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4FC231B">
      <w:pPr>
        <w:pStyle w:val="3"/>
        <w:jc w:val="center"/>
        <w:rPr>
          <w:rFonts w:ascii="黑体" w:hAnsi="黑体" w:eastAsia="黑体"/>
          <w:color w:val="auto"/>
          <w:sz w:val="28"/>
          <w:szCs w:val="28"/>
        </w:rPr>
      </w:pPr>
      <w:r>
        <w:rPr>
          <w:color w:val="auto"/>
        </w:rPr>
        <w:br w:type="page"/>
      </w:r>
      <w:bookmarkStart w:id="199" w:name="_Toc62472910"/>
      <w:bookmarkStart w:id="200" w:name="_Toc7644"/>
      <w:r>
        <w:rPr>
          <w:rFonts w:hint="eastAsia" w:ascii="黑体" w:hAnsi="黑体" w:eastAsia="黑体"/>
          <w:color w:val="auto"/>
          <w:sz w:val="28"/>
          <w:szCs w:val="28"/>
        </w:rPr>
        <w:t>三、授权委托书(格式)</w:t>
      </w:r>
      <w:bookmarkEnd w:id="199"/>
      <w:bookmarkEnd w:id="200"/>
    </w:p>
    <w:p w14:paraId="4A5F39A8">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p>
    <w:p w14:paraId="5ECC556E">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olor w:val="auto"/>
          <w:szCs w:val="21"/>
          <w:u w:val="single"/>
        </w:rPr>
        <w:t xml:space="preserve">         </w:t>
      </w:r>
      <w:r>
        <w:rPr>
          <w:rFonts w:hint="eastAsia" w:ascii="宋体" w:hAnsi="宋体" w:cs="宋体"/>
          <w:color w:val="auto"/>
          <w:kern w:val="0"/>
          <w:szCs w:val="21"/>
        </w:rPr>
        <w:t>（姓名、职务）系</w:t>
      </w:r>
      <w:r>
        <w:rPr>
          <w:rFonts w:hint="eastAsia" w:ascii="宋体" w:hAnsi="宋体"/>
          <w:color w:val="auto"/>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olor w:val="auto"/>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olor w:val="auto"/>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采购编号、委托代理编号）响应文件；(2)签署并重新提交响应文件及最后报价；(3)退出磋商（如可能）；(4)签订合同和处理有关事宜，其法律后果由我方承担。</w:t>
      </w:r>
    </w:p>
    <w:p w14:paraId="07367740">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szCs w:val="21"/>
          <w:u w:val="single"/>
          <w:lang w:val="en-US" w:eastAsia="zh-CN"/>
        </w:rPr>
        <w:t xml:space="preserve">          </w:t>
      </w:r>
      <w:r>
        <w:rPr>
          <w:rFonts w:hint="eastAsia" w:ascii="宋体" w:hAnsi="宋体" w:cs="宋体"/>
          <w:color w:val="auto"/>
          <w:kern w:val="0"/>
          <w:szCs w:val="21"/>
        </w:rPr>
        <w:t xml:space="preserve"> 。</w:t>
      </w:r>
    </w:p>
    <w:p w14:paraId="4521965F">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4AFF996B">
      <w:pPr>
        <w:adjustRightInd w:val="0"/>
        <w:snapToGrid w:val="0"/>
        <w:spacing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s="宋体"/>
          <w:color w:val="auto"/>
          <w:szCs w:val="21"/>
          <w:u w:val="single"/>
          <w:lang w:val="en-US" w:eastAsia="zh-CN"/>
        </w:rPr>
        <w:t xml:space="preserve">    </w:t>
      </w:r>
      <w:r>
        <w:rPr>
          <w:rFonts w:hint="eastAsia" w:ascii="宋体" w:hAnsi="宋体"/>
          <w:color w:val="auto"/>
          <w:szCs w:val="21"/>
        </w:rPr>
        <w:t>年</w:t>
      </w:r>
      <w:r>
        <w:rPr>
          <w:rFonts w:hint="eastAsia" w:ascii="宋体" w:hAnsi="宋体" w:cs="宋体"/>
          <w:color w:val="auto"/>
          <w:szCs w:val="21"/>
          <w:u w:val="single"/>
          <w:lang w:val="en-US" w:eastAsia="zh-CN"/>
        </w:rPr>
        <w:t xml:space="preserve">    </w:t>
      </w:r>
      <w:r>
        <w:rPr>
          <w:rFonts w:hint="eastAsia" w:ascii="宋体" w:hAnsi="宋体"/>
          <w:color w:val="auto"/>
          <w:szCs w:val="21"/>
        </w:rPr>
        <w:t>月</w:t>
      </w:r>
      <w:r>
        <w:rPr>
          <w:rFonts w:hint="eastAsia" w:ascii="宋体" w:hAnsi="宋体" w:cs="宋体"/>
          <w:color w:val="auto"/>
          <w:szCs w:val="21"/>
          <w:u w:val="single"/>
          <w:lang w:val="en-US" w:eastAsia="zh-CN"/>
        </w:rPr>
        <w:t xml:space="preserve">    </w:t>
      </w:r>
      <w:r>
        <w:rPr>
          <w:rFonts w:hint="eastAsia" w:ascii="宋体" w:hAnsi="宋体"/>
          <w:color w:val="auto"/>
          <w:szCs w:val="21"/>
        </w:rPr>
        <w:t>日签字生效，特此声明。</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52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5CCF400B">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1BF5D74B">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37EEB11C">
      <w:pPr>
        <w:adjustRightInd w:val="0"/>
        <w:snapToGrid w:val="0"/>
        <w:spacing w:beforeLines="50" w:line="360" w:lineRule="auto"/>
        <w:ind w:firstLine="420" w:firstLineChars="200"/>
        <w:rPr>
          <w:rFonts w:ascii="宋体" w:hAnsi="宋体"/>
          <w:color w:val="auto"/>
          <w:szCs w:val="21"/>
        </w:rPr>
      </w:pPr>
    </w:p>
    <w:p w14:paraId="41A4C85B">
      <w:pPr>
        <w:adjustRightInd w:val="0"/>
        <w:snapToGrid w:val="0"/>
        <w:spacing w:beforeLines="50" w:line="360" w:lineRule="auto"/>
        <w:ind w:firstLine="420" w:firstLineChars="200"/>
        <w:rPr>
          <w:rFonts w:ascii="宋体" w:hAnsi="宋体"/>
          <w:color w:val="auto"/>
          <w:szCs w:val="21"/>
        </w:rPr>
      </w:pPr>
    </w:p>
    <w:p w14:paraId="7C87B5AA">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14:paraId="5FEF599E">
      <w:pPr>
        <w:adjustRightInd w:val="0"/>
        <w:snapToGrid w:val="0"/>
        <w:spacing w:beforeLines="50" w:line="360" w:lineRule="auto"/>
        <w:ind w:firstLine="420" w:firstLineChars="200"/>
        <w:rPr>
          <w:rFonts w:ascii="宋体" w:hAnsi="宋体"/>
          <w:color w:val="auto"/>
          <w:szCs w:val="21"/>
        </w:rPr>
      </w:pPr>
    </w:p>
    <w:p w14:paraId="1AB6428D">
      <w:pPr>
        <w:adjustRightInd w:val="0"/>
        <w:snapToGrid w:val="0"/>
        <w:spacing w:beforeLines="50" w:line="360" w:lineRule="auto"/>
        <w:ind w:firstLine="420" w:firstLineChars="200"/>
        <w:rPr>
          <w:rFonts w:ascii="宋体" w:hAnsi="宋体"/>
          <w:color w:val="auto"/>
          <w:szCs w:val="21"/>
        </w:rPr>
      </w:pPr>
    </w:p>
    <w:p w14:paraId="28FBCB05">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7CA4B641">
      <w:pPr>
        <w:adjustRightInd w:val="0"/>
        <w:snapToGrid w:val="0"/>
        <w:spacing w:beforeLines="50" w:line="360" w:lineRule="auto"/>
        <w:rPr>
          <w:rFonts w:hint="eastAsia" w:hAnsi="宋体"/>
          <w:b w:val="0"/>
          <w:bCs w:val="0"/>
          <w:color w:val="auto"/>
          <w:sz w:val="30"/>
          <w:szCs w:val="30"/>
          <w:u w:val="single"/>
          <w:lang w:val="en-US" w:eastAsia="zh-CN"/>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spacing w:val="-2"/>
          <w:kern w:val="0"/>
          <w:szCs w:val="21"/>
          <w:lang w:val="en-US" w:eastAsia="zh-CN"/>
        </w:rPr>
        <w:t>/单位负责人</w:t>
      </w:r>
      <w:r>
        <w:rPr>
          <w:rFonts w:hint="eastAsia" w:ascii="宋体" w:hAnsi="宋体"/>
          <w:b w:val="0"/>
          <w:bCs w:val="0"/>
          <w:color w:val="auto"/>
          <w:szCs w:val="21"/>
        </w:rPr>
        <w:t>（签字或者印章）</w:t>
      </w:r>
      <w:r>
        <w:rPr>
          <w:rFonts w:hint="eastAsia" w:hAnsi="宋体"/>
          <w:b w:val="0"/>
          <w:bCs w:val="0"/>
          <w:color w:val="auto"/>
        </w:rPr>
        <w:t>：</w:t>
      </w:r>
      <w:r>
        <w:rPr>
          <w:rFonts w:hint="eastAsia" w:hAnsi="宋体"/>
          <w:b w:val="0"/>
          <w:bCs w:val="0"/>
          <w:color w:val="auto"/>
          <w:sz w:val="30"/>
          <w:szCs w:val="30"/>
          <w:u w:val="single"/>
          <w:lang w:val="en-US" w:eastAsia="zh-CN"/>
        </w:rPr>
        <w:t xml:space="preserve">         </w:t>
      </w:r>
    </w:p>
    <w:p w14:paraId="2773CCEE">
      <w:pPr>
        <w:adjustRightInd w:val="0"/>
        <w:snapToGrid w:val="0"/>
        <w:spacing w:beforeLines="50" w:line="360" w:lineRule="auto"/>
        <w:rPr>
          <w:rFonts w:ascii="宋体" w:hAnsi="宋体"/>
          <w:b w:val="0"/>
          <w:bCs w:val="0"/>
          <w:color w:val="auto"/>
          <w:szCs w:val="21"/>
          <w:u w:val="single"/>
        </w:rPr>
      </w:pPr>
      <w:r>
        <w:rPr>
          <w:rFonts w:hint="eastAsia" w:ascii="宋体" w:hAnsi="宋体"/>
          <w:b w:val="0"/>
          <w:bCs w:val="0"/>
          <w:color w:val="auto"/>
          <w:szCs w:val="21"/>
        </w:rPr>
        <w:t>授权</w:t>
      </w:r>
      <w:r>
        <w:rPr>
          <w:rFonts w:hint="eastAsia" w:ascii="宋体" w:hAnsi="宋体"/>
          <w:b w:val="0"/>
          <w:bCs w:val="0"/>
          <w:color w:val="auto"/>
          <w:szCs w:val="21"/>
          <w:lang w:val="en-US" w:eastAsia="zh-CN"/>
        </w:rPr>
        <w:t>代表</w:t>
      </w:r>
      <w:r>
        <w:rPr>
          <w:rFonts w:hint="eastAsia" w:ascii="宋体" w:hAnsi="宋体"/>
          <w:b w:val="0"/>
          <w:bCs w:val="0"/>
          <w:color w:val="auto"/>
          <w:szCs w:val="21"/>
        </w:rPr>
        <w:t>（签字或者印章）：</w:t>
      </w:r>
      <w:r>
        <w:rPr>
          <w:rFonts w:hint="eastAsia" w:hAnsi="宋体"/>
          <w:b w:val="0"/>
          <w:bCs w:val="0"/>
          <w:color w:val="auto"/>
          <w:sz w:val="30"/>
          <w:szCs w:val="30"/>
          <w:u w:val="single"/>
          <w:lang w:val="en-US" w:eastAsia="zh-CN"/>
        </w:rPr>
        <w:t xml:space="preserve">      </w:t>
      </w:r>
    </w:p>
    <w:p w14:paraId="27BAABF0">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1DD6C9AB">
      <w:pPr>
        <w:pStyle w:val="3"/>
        <w:jc w:val="center"/>
        <w:rPr>
          <w:rFonts w:ascii="黑体" w:hAnsi="黑体" w:eastAsia="黑体"/>
          <w:color w:val="auto"/>
          <w:sz w:val="28"/>
          <w:szCs w:val="28"/>
        </w:rPr>
      </w:pPr>
      <w:r>
        <w:rPr>
          <w:rFonts w:ascii="宋体"/>
          <w:color w:val="auto"/>
        </w:rPr>
        <w:br w:type="page"/>
      </w:r>
      <w:bookmarkStart w:id="201" w:name="_Toc21569"/>
      <w:bookmarkStart w:id="202" w:name="_Toc62472911"/>
      <w:r>
        <w:rPr>
          <w:rFonts w:hint="eastAsia" w:ascii="黑体" w:hAnsi="黑体" w:eastAsia="黑体"/>
          <w:color w:val="auto"/>
          <w:sz w:val="28"/>
          <w:szCs w:val="28"/>
        </w:rPr>
        <w:t>四、保证金</w:t>
      </w:r>
      <w:bookmarkEnd w:id="201"/>
      <w:bookmarkEnd w:id="202"/>
    </w:p>
    <w:p w14:paraId="3918DE0F">
      <w:pPr>
        <w:jc w:val="center"/>
        <w:rPr>
          <w:rFonts w:ascii="黑体" w:hAnsi="黑体" w:eastAsia="黑体"/>
          <w:color w:val="auto"/>
          <w:sz w:val="28"/>
          <w:szCs w:val="28"/>
        </w:rPr>
      </w:pPr>
      <w:r>
        <w:rPr>
          <w:rFonts w:hint="eastAsia" w:ascii="黑体" w:hAnsi="黑体" w:eastAsia="黑体"/>
          <w:color w:val="auto"/>
          <w:sz w:val="28"/>
          <w:szCs w:val="28"/>
        </w:rPr>
        <w:t xml:space="preserve">  投标保证金的承诺书</w:t>
      </w:r>
    </w:p>
    <w:p w14:paraId="48527E15">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（采购代理机构）：</w:t>
      </w:r>
    </w:p>
    <w:p w14:paraId="67A442B3">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因本项目不收取保证金，我公司承诺，如有下列情形之一的，同意向采购人</w:t>
      </w:r>
      <w:r>
        <w:rPr>
          <w:rFonts w:ascii="宋体" w:hAnsi="宋体"/>
          <w:color w:val="auto"/>
          <w:szCs w:val="21"/>
        </w:rPr>
        <w:t>缴纳</w:t>
      </w:r>
      <w:r>
        <w:rPr>
          <w:rFonts w:hint="eastAsia" w:ascii="宋体" w:hAnsi="宋体"/>
          <w:color w:val="auto"/>
          <w:szCs w:val="21"/>
        </w:rPr>
        <w:t>采购项目预算</w:t>
      </w:r>
      <w:r>
        <w:rPr>
          <w:rFonts w:ascii="宋体" w:hAnsi="宋体"/>
          <w:color w:val="auto"/>
          <w:szCs w:val="21"/>
        </w:rPr>
        <w:t>2%</w:t>
      </w:r>
      <w:r>
        <w:rPr>
          <w:rFonts w:hint="eastAsia" w:ascii="宋体" w:hAnsi="宋体"/>
          <w:color w:val="auto"/>
          <w:szCs w:val="21"/>
        </w:rPr>
        <w:t>（相当于应收投标保证金的标准）的</w:t>
      </w:r>
      <w:r>
        <w:rPr>
          <w:rFonts w:ascii="宋体" w:hAnsi="宋体"/>
          <w:color w:val="auto"/>
          <w:szCs w:val="21"/>
        </w:rPr>
        <w:t>违约金</w:t>
      </w:r>
      <w:r>
        <w:rPr>
          <w:rFonts w:hint="eastAsia" w:ascii="宋体" w:hAnsi="宋体"/>
          <w:color w:val="auto"/>
          <w:szCs w:val="21"/>
        </w:rPr>
        <w:t>，并承担相关法律责任、接受财政部门的相关处罚。</w:t>
      </w:r>
    </w:p>
    <w:p w14:paraId="608C8A2E">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(一)中标、成交后无正当理由不与采购人签订合同的；</w:t>
      </w:r>
    </w:p>
    <w:p w14:paraId="10522B45">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(二)未经采购人同意，将中标、成交项目分包方式履行合同的；</w:t>
      </w:r>
    </w:p>
    <w:p w14:paraId="10CEBC9E">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(三)在提交投标（响应）文件截止时间后撤回投标（响应）文件的；</w:t>
      </w:r>
    </w:p>
    <w:p w14:paraId="2B3C2407">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（四）在投标（响应）文件中提供虚假材料的；</w:t>
      </w:r>
    </w:p>
    <w:p w14:paraId="3E5DAB3D">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（五）与采购人、其他供应商或者采购代理机构恶意串通的；</w:t>
      </w:r>
    </w:p>
    <w:p w14:paraId="03674037">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（六）法律法规或者采购文件规定的其他情形。</w:t>
      </w:r>
    </w:p>
    <w:p w14:paraId="2E3AA700">
      <w:pPr>
        <w:pStyle w:val="29"/>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特此承诺！</w:t>
      </w:r>
    </w:p>
    <w:p w14:paraId="65686920">
      <w:pPr>
        <w:pStyle w:val="29"/>
        <w:adjustRightInd w:val="0"/>
        <w:snapToGrid w:val="0"/>
        <w:spacing w:beforeLines="50" w:line="360" w:lineRule="auto"/>
        <w:ind w:firstLine="420" w:firstLineChars="200"/>
        <w:jc w:val="left"/>
        <w:rPr>
          <w:rFonts w:ascii="宋体" w:hAnsi="宋体"/>
          <w:color w:val="auto"/>
          <w:szCs w:val="21"/>
        </w:rPr>
      </w:pPr>
    </w:p>
    <w:p w14:paraId="4F582A9A">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7A998D8E">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20AF92AF">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555D7BBC">
      <w:pPr>
        <w:pStyle w:val="29"/>
        <w:adjustRightInd w:val="0"/>
        <w:snapToGrid w:val="0"/>
        <w:spacing w:beforeLines="50" w:line="360" w:lineRule="auto"/>
        <w:ind w:firstLine="420" w:firstLineChars="200"/>
        <w:jc w:val="left"/>
        <w:rPr>
          <w:rFonts w:ascii="宋体" w:hAnsi="宋体"/>
          <w:b/>
          <w:color w:val="auto"/>
          <w:szCs w:val="21"/>
        </w:rPr>
      </w:pPr>
      <w:r>
        <w:rPr>
          <w:rFonts w:hint="eastAsia" w:ascii="宋体" w:hAnsi="宋体"/>
          <w:b/>
          <w:color w:val="auto"/>
          <w:szCs w:val="21"/>
        </w:rPr>
        <w:t>说明：不收取保证金的项目，供应商须提供此承诺书，否则视为不响应。</w:t>
      </w:r>
    </w:p>
    <w:p w14:paraId="28913E64">
      <w:pPr>
        <w:pStyle w:val="3"/>
        <w:jc w:val="center"/>
        <w:rPr>
          <w:rFonts w:ascii="黑体" w:hAnsi="黑体" w:eastAsia="黑体"/>
          <w:color w:val="auto"/>
          <w:sz w:val="28"/>
          <w:szCs w:val="28"/>
        </w:rPr>
      </w:pPr>
      <w:r>
        <w:rPr>
          <w:color w:val="auto"/>
        </w:rPr>
        <w:br w:type="page"/>
      </w:r>
      <w:bookmarkStart w:id="203" w:name="_Toc62472913"/>
      <w:bookmarkStart w:id="204" w:name="_Toc22054"/>
      <w:r>
        <w:rPr>
          <w:rFonts w:hint="eastAsia" w:ascii="黑体" w:hAnsi="黑体" w:eastAsia="黑体"/>
          <w:color w:val="auto"/>
          <w:sz w:val="28"/>
          <w:szCs w:val="28"/>
        </w:rPr>
        <w:t>五、报价表及报价文件(格式)</w:t>
      </w:r>
      <w:bookmarkEnd w:id="203"/>
      <w:bookmarkEnd w:id="204"/>
    </w:p>
    <w:p w14:paraId="5945DAC8">
      <w:pPr>
        <w:pStyle w:val="5"/>
        <w:rPr>
          <w:rFonts w:ascii="宋体" w:hAnsi="宋体"/>
          <w:color w:val="auto"/>
          <w:sz w:val="21"/>
          <w:szCs w:val="21"/>
        </w:rPr>
      </w:pPr>
      <w:bookmarkStart w:id="205" w:name="_Toc21992"/>
      <w:bookmarkStart w:id="206" w:name="_Toc62472914"/>
      <w:r>
        <w:rPr>
          <w:rFonts w:hint="eastAsia" w:ascii="宋体" w:hAnsi="宋体"/>
          <w:color w:val="auto"/>
          <w:sz w:val="21"/>
          <w:szCs w:val="21"/>
        </w:rPr>
        <w:t>附件5-1 报价表</w:t>
      </w:r>
      <w:bookmarkEnd w:id="205"/>
      <w:bookmarkEnd w:id="206"/>
    </w:p>
    <w:p w14:paraId="065A7C2A">
      <w:pPr>
        <w:adjustRightInd w:val="0"/>
        <w:snapToGrid w:val="0"/>
        <w:spacing w:line="360" w:lineRule="auto"/>
        <w:ind w:left="-88" w:leftChars="-42"/>
        <w:jc w:val="center"/>
        <w:rPr>
          <w:rFonts w:ascii="宋体" w:hAnsi="宋体" w:cs="宋体"/>
          <w:b/>
          <w:color w:val="auto"/>
          <w:szCs w:val="21"/>
        </w:rPr>
      </w:pPr>
      <w:r>
        <w:rPr>
          <w:rFonts w:hint="eastAsia" w:ascii="宋体" w:hAnsi="宋体" w:cs="宋体"/>
          <w:b/>
          <w:color w:val="auto"/>
          <w:szCs w:val="21"/>
        </w:rPr>
        <w:t>报价一览表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629EE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6A96ACB1">
            <w:pPr>
              <w:tabs>
                <w:tab w:val="left" w:pos="403"/>
                <w:tab w:val="center" w:pos="3781"/>
              </w:tabs>
              <w:spacing w:line="420" w:lineRule="exact"/>
              <w:ind w:right="-5205" w:rightChars="-2479" w:firstLine="210" w:firstLineChars="1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rPr>
              <w:tab/>
            </w:r>
            <w:r>
              <w:rPr>
                <w:rFonts w:hint="eastAsia" w:ascii="宋体" w:hAnsi="宋体" w:cs="宋体"/>
                <w:color w:val="auto"/>
                <w:szCs w:val="21"/>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11F320D3">
            <w:pPr>
              <w:spacing w:line="420" w:lineRule="exact"/>
              <w:jc w:val="center"/>
              <w:rPr>
                <w:rFonts w:ascii="宋体" w:hAnsi="宋体" w:cs="宋体"/>
                <w:color w:val="auto"/>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25E935F3">
            <w:pPr>
              <w:spacing w:line="420" w:lineRule="exact"/>
              <w:jc w:val="center"/>
              <w:rPr>
                <w:rFonts w:ascii="宋体" w:hAnsi="宋体" w:cs="宋体"/>
                <w:color w:val="auto"/>
                <w:szCs w:val="21"/>
              </w:rPr>
            </w:pPr>
            <w:r>
              <w:rPr>
                <w:rFonts w:hint="eastAsia" w:ascii="宋体" w:hAnsi="宋体" w:cs="宋体"/>
                <w:color w:val="auto"/>
                <w:szCs w:val="21"/>
              </w:rPr>
              <w:t>政府采购编号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347EB217">
            <w:pPr>
              <w:spacing w:line="420" w:lineRule="exact"/>
              <w:jc w:val="center"/>
              <w:rPr>
                <w:rFonts w:ascii="宋体" w:hAnsi="宋体" w:cs="宋体"/>
                <w:color w:val="auto"/>
                <w:szCs w:val="21"/>
              </w:rPr>
            </w:pPr>
          </w:p>
        </w:tc>
      </w:tr>
      <w:tr w14:paraId="5389B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double" w:color="auto" w:sz="4" w:space="0"/>
              <w:left w:val="double" w:color="auto" w:sz="4" w:space="0"/>
              <w:bottom w:val="single" w:color="auto" w:sz="6" w:space="0"/>
              <w:right w:val="single" w:color="auto" w:sz="6" w:space="0"/>
            </w:tcBorders>
            <w:noWrap w:val="0"/>
            <w:vAlign w:val="center"/>
          </w:tcPr>
          <w:p w14:paraId="1BC05D0F">
            <w:pPr>
              <w:rPr>
                <w:color w:val="auto"/>
                <w:sz w:val="20"/>
                <w:szCs w:val="20"/>
              </w:rPr>
            </w:pPr>
          </w:p>
        </w:tc>
        <w:tc>
          <w:tcPr>
            <w:tcW w:w="3060" w:type="dxa"/>
            <w:vMerge w:val="continue"/>
            <w:tcBorders>
              <w:top w:val="double" w:color="auto" w:sz="4" w:space="0"/>
              <w:left w:val="single" w:color="auto" w:sz="6" w:space="0"/>
              <w:bottom w:val="single" w:color="auto" w:sz="6" w:space="0"/>
              <w:right w:val="single" w:color="auto" w:sz="6" w:space="0"/>
            </w:tcBorders>
            <w:noWrap w:val="0"/>
            <w:vAlign w:val="center"/>
          </w:tcPr>
          <w:p w14:paraId="369030BE">
            <w:pPr>
              <w:rPr>
                <w:color w:val="auto"/>
                <w:sz w:val="20"/>
                <w:szCs w:val="20"/>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981876D">
            <w:pPr>
              <w:spacing w:line="420" w:lineRule="exact"/>
              <w:jc w:val="center"/>
              <w:rPr>
                <w:rFonts w:ascii="宋体" w:hAnsi="宋体" w:cs="宋体"/>
                <w:color w:val="auto"/>
                <w:szCs w:val="21"/>
              </w:rPr>
            </w:pPr>
            <w:r>
              <w:rPr>
                <w:rFonts w:hint="eastAsia" w:ascii="宋体" w:hAnsi="宋体" w:cs="宋体"/>
                <w:color w:val="auto"/>
                <w:szCs w:val="21"/>
              </w:rPr>
              <w:t>委托代理编号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59E840E5">
            <w:pPr>
              <w:spacing w:line="420" w:lineRule="exact"/>
              <w:jc w:val="center"/>
              <w:rPr>
                <w:rFonts w:ascii="宋体" w:hAnsi="宋体" w:cs="宋体"/>
                <w:color w:val="auto"/>
                <w:szCs w:val="21"/>
              </w:rPr>
            </w:pPr>
          </w:p>
        </w:tc>
      </w:tr>
      <w:tr w14:paraId="1CB80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620" w:type="dxa"/>
            <w:tcBorders>
              <w:top w:val="single" w:color="auto" w:sz="6" w:space="0"/>
              <w:left w:val="double" w:color="auto" w:sz="4" w:space="0"/>
              <w:bottom w:val="single" w:color="auto" w:sz="4" w:space="0"/>
              <w:right w:val="single" w:color="auto" w:sz="6" w:space="0"/>
            </w:tcBorders>
            <w:noWrap w:val="0"/>
            <w:vAlign w:val="center"/>
          </w:tcPr>
          <w:p w14:paraId="1AA5C2DA">
            <w:pPr>
              <w:spacing w:line="420" w:lineRule="exact"/>
              <w:jc w:val="center"/>
              <w:rPr>
                <w:rFonts w:ascii="宋体" w:hAnsi="宋体" w:cs="宋体"/>
                <w:color w:val="auto"/>
                <w:szCs w:val="21"/>
              </w:rPr>
            </w:pPr>
            <w:r>
              <w:rPr>
                <w:rFonts w:hint="eastAsia" w:ascii="宋体" w:hAnsi="宋体" w:cs="宋体"/>
                <w:color w:val="auto"/>
                <w:szCs w:val="21"/>
              </w:rPr>
              <w:t>工程总报价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F175B6E">
            <w:pPr>
              <w:rPr>
                <w:rFonts w:ascii="宋体" w:hAnsi="宋体"/>
                <w:color w:val="auto"/>
              </w:rPr>
            </w:pPr>
            <w:r>
              <w:rPr>
                <w:rFonts w:hint="eastAsia" w:ascii="宋体" w:hAnsi="宋体" w:cs="宋体"/>
                <w:color w:val="auto"/>
                <w:szCs w:val="21"/>
              </w:rPr>
              <w:t>大写：</w:t>
            </w:r>
            <w:r>
              <w:rPr>
                <w:rFonts w:hint="eastAsia" w:ascii="宋体" w:hAnsi="宋体" w:cs="宋体"/>
                <w:color w:val="auto"/>
                <w:szCs w:val="21"/>
                <w:u w:val="single"/>
              </w:rPr>
              <w:t>                   </w:t>
            </w:r>
            <w:r>
              <w:rPr>
                <w:rFonts w:hint="eastAsia" w:ascii="宋体" w:hAnsi="宋体" w:cs="宋体"/>
                <w:color w:val="auto"/>
                <w:szCs w:val="21"/>
              </w:rPr>
              <w:t xml:space="preserve"> 元人民币整</w:t>
            </w:r>
            <w:r>
              <w:rPr>
                <w:rFonts w:hint="eastAsia" w:ascii="宋体" w:hAnsi="宋体"/>
                <w:color w:val="auto"/>
                <w:szCs w:val="21"/>
              </w:rPr>
              <w:t xml:space="preserve"> </w:t>
            </w:r>
          </w:p>
          <w:p w14:paraId="6B27F7BA">
            <w:pPr>
              <w:spacing w:line="420" w:lineRule="exact"/>
              <w:rPr>
                <w:rFonts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w:t>
            </w:r>
            <w:r>
              <w:rPr>
                <w:rFonts w:hint="eastAsia" w:ascii="宋体" w:hAnsi="宋体" w:cs="宋体"/>
                <w:color w:val="auto"/>
                <w:szCs w:val="21"/>
              </w:rPr>
              <w:t xml:space="preserve"> 元人民币整</w:t>
            </w:r>
          </w:p>
        </w:tc>
      </w:tr>
      <w:tr w14:paraId="2F31C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tcBorders>
              <w:top w:val="single" w:color="auto" w:sz="6" w:space="0"/>
              <w:left w:val="double" w:color="auto" w:sz="4" w:space="0"/>
              <w:bottom w:val="single" w:color="auto" w:sz="4" w:space="0"/>
              <w:right w:val="single" w:color="auto" w:sz="6" w:space="0"/>
            </w:tcBorders>
            <w:noWrap w:val="0"/>
            <w:vAlign w:val="center"/>
          </w:tcPr>
          <w:p w14:paraId="0D856D04">
            <w:pPr>
              <w:spacing w:line="420" w:lineRule="exact"/>
              <w:jc w:val="center"/>
              <w:rPr>
                <w:rFonts w:ascii="宋体" w:hAnsi="宋体" w:cs="宋体"/>
                <w:color w:val="auto"/>
                <w:szCs w:val="21"/>
              </w:rPr>
            </w:pPr>
            <w:r>
              <w:rPr>
                <w:rFonts w:hint="eastAsia" w:ascii="宋体" w:hAnsi="宋体" w:cs="宋体"/>
                <w:color w:val="auto"/>
                <w:szCs w:val="21"/>
              </w:rPr>
              <w:t>工期（日历天）</w:t>
            </w:r>
          </w:p>
        </w:tc>
        <w:tc>
          <w:tcPr>
            <w:tcW w:w="7200" w:type="dxa"/>
            <w:gridSpan w:val="3"/>
            <w:tcBorders>
              <w:top w:val="single" w:color="auto" w:sz="6" w:space="0"/>
              <w:left w:val="single" w:color="auto" w:sz="6" w:space="0"/>
              <w:bottom w:val="single" w:color="auto" w:sz="4" w:space="0"/>
              <w:right w:val="double" w:color="auto" w:sz="4" w:space="0"/>
            </w:tcBorders>
            <w:noWrap w:val="0"/>
            <w:vAlign w:val="center"/>
          </w:tcPr>
          <w:p w14:paraId="44CA633C">
            <w:pPr>
              <w:spacing w:line="360" w:lineRule="auto"/>
              <w:rPr>
                <w:rFonts w:ascii="宋体" w:hAnsi="宋体" w:cs="宋体"/>
                <w:color w:val="auto"/>
                <w:szCs w:val="21"/>
              </w:rPr>
            </w:pPr>
          </w:p>
        </w:tc>
      </w:tr>
      <w:tr w14:paraId="29AAB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tcBorders>
              <w:top w:val="single" w:color="auto" w:sz="4" w:space="0"/>
              <w:left w:val="double" w:color="auto" w:sz="4" w:space="0"/>
              <w:bottom w:val="single" w:color="auto" w:sz="4" w:space="0"/>
              <w:right w:val="single" w:color="auto" w:sz="6" w:space="0"/>
            </w:tcBorders>
            <w:noWrap w:val="0"/>
            <w:vAlign w:val="center"/>
          </w:tcPr>
          <w:p w14:paraId="3C01D667">
            <w:pPr>
              <w:spacing w:line="420" w:lineRule="exact"/>
              <w:jc w:val="center"/>
              <w:rPr>
                <w:rFonts w:ascii="宋体" w:hAnsi="宋体" w:cs="宋体"/>
                <w:color w:val="auto"/>
                <w:szCs w:val="21"/>
              </w:rPr>
            </w:pPr>
            <w:r>
              <w:rPr>
                <w:rFonts w:hint="eastAsia" w:ascii="宋体" w:hAnsi="宋体" w:cs="宋体"/>
                <w:color w:val="auto"/>
                <w:szCs w:val="21"/>
              </w:rPr>
              <w:t>质量标准</w:t>
            </w:r>
          </w:p>
        </w:tc>
        <w:tc>
          <w:tcPr>
            <w:tcW w:w="7200" w:type="dxa"/>
            <w:gridSpan w:val="3"/>
            <w:tcBorders>
              <w:top w:val="single" w:color="auto" w:sz="4" w:space="0"/>
              <w:left w:val="single" w:color="auto" w:sz="6" w:space="0"/>
              <w:bottom w:val="single" w:color="auto" w:sz="6" w:space="0"/>
              <w:right w:val="double" w:color="auto" w:sz="4" w:space="0"/>
            </w:tcBorders>
            <w:noWrap w:val="0"/>
            <w:vAlign w:val="center"/>
          </w:tcPr>
          <w:p w14:paraId="116F5045">
            <w:pPr>
              <w:spacing w:line="360" w:lineRule="auto"/>
              <w:rPr>
                <w:rFonts w:ascii="宋体" w:hAnsi="宋体" w:cs="宋体"/>
                <w:color w:val="auto"/>
                <w:szCs w:val="21"/>
              </w:rPr>
            </w:pPr>
          </w:p>
        </w:tc>
      </w:tr>
      <w:tr w14:paraId="01DE9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4DF34705">
            <w:pPr>
              <w:spacing w:line="360" w:lineRule="auto"/>
              <w:jc w:val="center"/>
              <w:rPr>
                <w:rFonts w:ascii="宋体" w:hAnsi="宋体" w:cs="宋体"/>
                <w:color w:val="auto"/>
                <w:szCs w:val="21"/>
              </w:rPr>
            </w:pPr>
            <w:r>
              <w:rPr>
                <w:rFonts w:hint="eastAsia" w:ascii="宋体" w:hAnsi="宋体" w:cs="宋体"/>
                <w:color w:val="auto"/>
                <w:szCs w:val="21"/>
              </w:rPr>
              <w:t>保修承诺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DFDF167">
            <w:pPr>
              <w:spacing w:line="420" w:lineRule="exact"/>
              <w:rPr>
                <w:rFonts w:ascii="宋体" w:hAnsi="宋体" w:cs="宋体"/>
                <w:iCs/>
                <w:color w:val="auto"/>
                <w:szCs w:val="21"/>
              </w:rPr>
            </w:pPr>
          </w:p>
        </w:tc>
      </w:tr>
      <w:tr w14:paraId="22CE8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7036268B">
            <w:pPr>
              <w:spacing w:line="360" w:lineRule="auto"/>
              <w:jc w:val="center"/>
              <w:rPr>
                <w:rFonts w:ascii="宋体" w:hAnsi="宋体" w:cs="宋体"/>
                <w:color w:val="auto"/>
                <w:szCs w:val="21"/>
              </w:rPr>
            </w:pPr>
            <w:r>
              <w:rPr>
                <w:rFonts w:hint="eastAsia" w:ascii="宋体" w:hAnsi="宋体" w:cs="宋体"/>
                <w:color w:val="auto"/>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C283E03">
            <w:pPr>
              <w:spacing w:line="420" w:lineRule="exact"/>
              <w:rPr>
                <w:rFonts w:ascii="宋体" w:hAnsi="宋体" w:cs="宋体"/>
                <w:color w:val="auto"/>
                <w:szCs w:val="21"/>
              </w:rPr>
            </w:pPr>
            <w:r>
              <w:rPr>
                <w:rFonts w:hint="eastAsia" w:ascii="宋体" w:hAnsi="宋体" w:cs="宋体"/>
                <w:color w:val="auto"/>
                <w:szCs w:val="21"/>
              </w:rPr>
              <w:t>姓名：</w:t>
            </w:r>
          </w:p>
          <w:p w14:paraId="62624A4A">
            <w:pPr>
              <w:spacing w:line="420" w:lineRule="exact"/>
              <w:rPr>
                <w:rFonts w:ascii="宋体" w:hAnsi="宋体" w:cs="宋体"/>
                <w:color w:val="auto"/>
                <w:szCs w:val="21"/>
              </w:rPr>
            </w:pPr>
            <w:r>
              <w:rPr>
                <w:rFonts w:hint="eastAsia" w:ascii="宋体" w:hAnsi="宋体" w:cs="宋体"/>
                <w:color w:val="auto"/>
                <w:szCs w:val="21"/>
              </w:rPr>
              <w:t>级别：</w:t>
            </w:r>
          </w:p>
          <w:p w14:paraId="79F9D9C5">
            <w:pPr>
              <w:spacing w:line="420" w:lineRule="exact"/>
              <w:rPr>
                <w:rFonts w:ascii="宋体" w:hAnsi="宋体" w:cs="宋体"/>
                <w:color w:val="auto"/>
                <w:szCs w:val="21"/>
              </w:rPr>
            </w:pPr>
            <w:r>
              <w:rPr>
                <w:rFonts w:hint="eastAsia" w:ascii="宋体" w:hAnsi="宋体" w:cs="宋体"/>
                <w:color w:val="auto"/>
                <w:szCs w:val="21"/>
              </w:rPr>
              <w:t>注册证号：</w:t>
            </w:r>
          </w:p>
          <w:p w14:paraId="72F8A3D6">
            <w:pPr>
              <w:spacing w:line="420" w:lineRule="exact"/>
              <w:rPr>
                <w:rFonts w:ascii="宋体" w:hAnsi="宋体" w:cs="宋体"/>
                <w:color w:val="auto"/>
                <w:szCs w:val="21"/>
              </w:rPr>
            </w:pPr>
            <w:r>
              <w:rPr>
                <w:rFonts w:hint="eastAsia" w:ascii="宋体" w:hAnsi="宋体" w:cs="宋体"/>
                <w:color w:val="auto"/>
                <w:szCs w:val="21"/>
              </w:rPr>
              <w:t>B类安全生产考核合格证号：</w:t>
            </w:r>
          </w:p>
          <w:p w14:paraId="7BD71CE7">
            <w:pPr>
              <w:spacing w:line="420" w:lineRule="exact"/>
              <w:rPr>
                <w:rFonts w:ascii="宋体" w:hAnsi="宋体" w:cs="宋体"/>
                <w:color w:val="auto"/>
                <w:szCs w:val="21"/>
              </w:rPr>
            </w:pPr>
            <w:r>
              <w:rPr>
                <w:rFonts w:hint="eastAsia" w:ascii="宋体" w:hAnsi="宋体" w:cs="宋体"/>
                <w:color w:val="auto"/>
                <w:szCs w:val="21"/>
              </w:rPr>
              <w:t>身份证号：</w:t>
            </w:r>
          </w:p>
        </w:tc>
      </w:tr>
      <w:tr w14:paraId="09E81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tcBorders>
              <w:top w:val="single" w:color="auto" w:sz="6" w:space="0"/>
              <w:left w:val="double" w:color="auto" w:sz="4" w:space="0"/>
              <w:bottom w:val="double" w:color="auto" w:sz="4" w:space="0"/>
              <w:right w:val="single" w:color="auto" w:sz="6" w:space="0"/>
            </w:tcBorders>
            <w:noWrap w:val="0"/>
            <w:vAlign w:val="center"/>
          </w:tcPr>
          <w:p w14:paraId="3165F5E0">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85E32A3">
            <w:pPr>
              <w:spacing w:line="420" w:lineRule="exact"/>
              <w:rPr>
                <w:rFonts w:ascii="宋体" w:hAnsi="宋体" w:cs="宋体"/>
                <w:color w:val="auto"/>
                <w:szCs w:val="21"/>
              </w:rPr>
            </w:pPr>
          </w:p>
        </w:tc>
      </w:tr>
    </w:tbl>
    <w:p w14:paraId="649D9AEC">
      <w:pPr>
        <w:adjustRightInd w:val="0"/>
        <w:snapToGrid w:val="0"/>
        <w:spacing w:line="360" w:lineRule="auto"/>
        <w:ind w:left="-88" w:leftChars="-42"/>
        <w:rPr>
          <w:rFonts w:ascii="宋体" w:hAnsi="宋体" w:cs="宋体"/>
          <w:color w:val="auto"/>
          <w:szCs w:val="21"/>
        </w:rPr>
      </w:pPr>
    </w:p>
    <w:p w14:paraId="4420149F">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0AA7EBA3">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0B013787">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5F484DF9">
      <w:pPr>
        <w:rPr>
          <w:color w:val="auto"/>
        </w:rPr>
      </w:pPr>
    </w:p>
    <w:p w14:paraId="2F61B8D6">
      <w:pPr>
        <w:adjustRightInd w:val="0"/>
        <w:snapToGrid w:val="0"/>
        <w:spacing w:line="360" w:lineRule="auto"/>
        <w:ind w:left="-88" w:leftChars="-42"/>
        <w:rPr>
          <w:rFonts w:ascii="宋体" w:hAnsi="宋体"/>
          <w:b/>
          <w:bCs/>
          <w:color w:val="auto"/>
          <w:spacing w:val="-2"/>
          <w:position w:val="-3"/>
          <w:szCs w:val="21"/>
        </w:rPr>
      </w:pPr>
    </w:p>
    <w:p w14:paraId="2173611E">
      <w:pPr>
        <w:rPr>
          <w:rFonts w:hint="eastAsia" w:ascii="宋体" w:hAnsi="宋体"/>
          <w:b/>
          <w:bCs/>
          <w:color w:val="auto"/>
          <w:spacing w:val="-2"/>
          <w:position w:val="-3"/>
          <w:szCs w:val="21"/>
        </w:rPr>
      </w:pPr>
      <w:r>
        <w:rPr>
          <w:rFonts w:hint="eastAsia" w:ascii="宋体" w:hAnsi="宋体"/>
          <w:b/>
          <w:bCs/>
          <w:color w:val="auto"/>
          <w:spacing w:val="-2"/>
          <w:position w:val="-3"/>
          <w:szCs w:val="21"/>
        </w:rPr>
        <w:br w:type="page"/>
      </w:r>
    </w:p>
    <w:p w14:paraId="3C6086A5">
      <w:pPr>
        <w:adjustRightInd w:val="0"/>
        <w:snapToGrid w:val="0"/>
        <w:spacing w:line="360" w:lineRule="auto"/>
        <w:ind w:left="-88" w:leftChars="-42"/>
        <w:outlineLvl w:val="2"/>
        <w:rPr>
          <w:rFonts w:ascii="宋体" w:hAnsi="宋体" w:cs="宋体"/>
          <w:b/>
          <w:color w:val="auto"/>
          <w:szCs w:val="21"/>
        </w:rPr>
      </w:pPr>
      <w:bookmarkStart w:id="207" w:name="_Toc10308"/>
      <w:r>
        <w:rPr>
          <w:rFonts w:hint="eastAsia" w:ascii="宋体" w:hAnsi="宋体"/>
          <w:b/>
          <w:bCs/>
          <w:color w:val="auto"/>
          <w:spacing w:val="-2"/>
          <w:position w:val="-3"/>
          <w:szCs w:val="21"/>
        </w:rPr>
        <w:t>附件5-2 分项报价表（已标价工程量清单）</w:t>
      </w:r>
      <w:bookmarkEnd w:id="207"/>
    </w:p>
    <w:p w14:paraId="5B69B55F">
      <w:pPr>
        <w:spacing w:line="360" w:lineRule="auto"/>
        <w:ind w:firstLine="420" w:firstLineChars="200"/>
        <w:jc w:val="left"/>
        <w:rPr>
          <w:rFonts w:ascii="宋体" w:hAnsi="宋体" w:cs="Courier New"/>
          <w:color w:val="auto"/>
          <w:szCs w:val="21"/>
        </w:rPr>
      </w:pPr>
      <w:r>
        <w:rPr>
          <w:rFonts w:hint="eastAsia" w:ascii="宋体" w:hAnsi="宋体" w:cs="宋体"/>
          <w:color w:val="auto"/>
          <w:szCs w:val="21"/>
        </w:rPr>
        <w:t>按发布的工程量清单及政府相关文件、计价原则及磋商文件要求进行报价。</w:t>
      </w:r>
      <w:r>
        <w:rPr>
          <w:rFonts w:hint="eastAsia" w:ascii="宋体" w:hAnsi="宋体" w:cs="Courier New"/>
          <w:color w:val="auto"/>
          <w:szCs w:val="21"/>
        </w:rPr>
        <w:t>清单报价应按照</w:t>
      </w:r>
      <w:r>
        <w:rPr>
          <w:rFonts w:hint="eastAsia" w:ascii="宋体" w:hAnsi="宋体" w:cs="Courier New"/>
          <w:color w:val="auto"/>
          <w:szCs w:val="21"/>
          <w:lang w:val="en-US" w:eastAsia="zh-CN"/>
        </w:rPr>
        <w:t>磋商文件</w:t>
      </w:r>
      <w:r>
        <w:rPr>
          <w:rFonts w:hint="eastAsia" w:ascii="宋体" w:hAnsi="宋体" w:cs="Courier New"/>
          <w:color w:val="auto"/>
          <w:szCs w:val="21"/>
        </w:rPr>
        <w:t>要求进行，报价中劳动保险、安全文明措施费、税金、规费等不可竞争费不得调整。</w:t>
      </w:r>
    </w:p>
    <w:p w14:paraId="6AE11110">
      <w:pPr>
        <w:spacing w:line="360" w:lineRule="auto"/>
        <w:ind w:firstLine="420" w:firstLineChars="200"/>
        <w:jc w:val="right"/>
        <w:rPr>
          <w:rFonts w:hint="eastAsia" w:ascii="宋体" w:hAnsi="宋体" w:cs="宋体"/>
          <w:b/>
          <w:bCs/>
          <w:color w:val="auto"/>
          <w:szCs w:val="21"/>
        </w:rPr>
      </w:pPr>
      <w:r>
        <w:rPr>
          <w:rFonts w:hint="eastAsia" w:ascii="宋体" w:hAnsi="宋体" w:cs="宋体"/>
          <w:b/>
          <w:bCs/>
          <w:color w:val="auto"/>
          <w:szCs w:val="21"/>
          <w:lang w:val="en-US" w:eastAsia="zh-CN"/>
        </w:rPr>
        <w:t xml:space="preserve">供应商（盖单位公章、造价师章） </w:t>
      </w:r>
    </w:p>
    <w:p w14:paraId="5C665A16">
      <w:pPr>
        <w:spacing w:line="360" w:lineRule="auto"/>
        <w:ind w:firstLine="420" w:firstLineChars="200"/>
        <w:jc w:val="right"/>
        <w:rPr>
          <w:rFonts w:hint="eastAsia" w:ascii="宋体" w:hAnsi="宋体" w:cs="宋体"/>
          <w:b/>
          <w:bCs/>
          <w:color w:val="auto"/>
          <w:szCs w:val="21"/>
        </w:rPr>
      </w:pPr>
      <w:r>
        <w:rPr>
          <w:rFonts w:hint="eastAsia" w:ascii="宋体" w:hAnsi="宋体" w:cs="宋体"/>
          <w:b/>
          <w:bCs/>
          <w:color w:val="auto"/>
          <w:szCs w:val="21"/>
          <w:lang w:val="en-US" w:eastAsia="zh-CN"/>
        </w:rPr>
        <w:t>日期： 年   月   日</w:t>
      </w:r>
    </w:p>
    <w:p w14:paraId="6AE586AE">
      <w:pPr>
        <w:adjustRightInd w:val="0"/>
        <w:snapToGrid w:val="0"/>
        <w:spacing w:line="360" w:lineRule="auto"/>
        <w:rPr>
          <w:rFonts w:ascii="宋体" w:hAnsi="宋体" w:cs="宋体"/>
          <w:color w:val="auto"/>
          <w:szCs w:val="21"/>
        </w:rPr>
      </w:pPr>
    </w:p>
    <w:p w14:paraId="5A4FAD15">
      <w:pPr>
        <w:adjustRightInd w:val="0"/>
        <w:snapToGrid w:val="0"/>
        <w:ind w:right="23" w:rightChars="11"/>
        <w:jc w:val="center"/>
        <w:rPr>
          <w:rFonts w:ascii="宋体" w:hAnsi="宋体" w:cs="宋体"/>
          <w:b/>
          <w:color w:val="auto"/>
          <w:sz w:val="28"/>
          <w:szCs w:val="28"/>
        </w:rPr>
      </w:pPr>
      <w:bookmarkStart w:id="208" w:name="_Toc22201157"/>
    </w:p>
    <w:p w14:paraId="7714B8CC">
      <w:pPr>
        <w:adjustRightInd w:val="0"/>
        <w:snapToGrid w:val="0"/>
        <w:ind w:right="23" w:rightChars="11"/>
        <w:jc w:val="center"/>
        <w:rPr>
          <w:rFonts w:ascii="宋体" w:hAnsi="宋体" w:cs="宋体"/>
          <w:b/>
          <w:color w:val="auto"/>
          <w:sz w:val="28"/>
          <w:szCs w:val="28"/>
        </w:rPr>
      </w:pPr>
      <w:r>
        <w:rPr>
          <w:rFonts w:hint="eastAsia" w:ascii="宋体" w:hAnsi="宋体" w:cs="宋体"/>
          <w:b/>
          <w:color w:val="auto"/>
          <w:sz w:val="28"/>
          <w:szCs w:val="28"/>
        </w:rPr>
        <w:t>主要材料表</w:t>
      </w:r>
    </w:p>
    <w:p w14:paraId="2EEB02EE">
      <w:pPr>
        <w:adjustRightInd w:val="0"/>
        <w:snapToGrid w:val="0"/>
        <w:ind w:right="23" w:rightChars="11"/>
        <w:rPr>
          <w:rFonts w:ascii="宋体" w:hAnsi="宋体" w:cs="宋体"/>
          <w:color w:val="auto"/>
          <w:szCs w:val="21"/>
        </w:rPr>
      </w:pPr>
    </w:p>
    <w:p w14:paraId="209EB8C2">
      <w:pPr>
        <w:spacing w:line="360" w:lineRule="exact"/>
        <w:ind w:right="23" w:rightChars="11" w:firstLine="420" w:firstLineChars="200"/>
        <w:rPr>
          <w:rFonts w:ascii="宋体" w:hAnsi="宋体" w:cs="宋体"/>
          <w:b/>
          <w:color w:val="auto"/>
        </w:rPr>
      </w:pPr>
      <w:r>
        <w:rPr>
          <w:rFonts w:hint="eastAsia" w:ascii="宋体" w:hAnsi="宋体" w:cs="宋体"/>
          <w:b/>
          <w:color w:val="auto"/>
        </w:rPr>
        <w:t>项目名称：                                                         金额单位：元</w:t>
      </w:r>
    </w:p>
    <w:tbl>
      <w:tblPr>
        <w:tblStyle w:val="19"/>
        <w:tblW w:w="91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43"/>
        <w:gridCol w:w="813"/>
        <w:gridCol w:w="1258"/>
        <w:gridCol w:w="1227"/>
        <w:gridCol w:w="1563"/>
        <w:gridCol w:w="1259"/>
        <w:gridCol w:w="1080"/>
      </w:tblGrid>
      <w:tr w14:paraId="7BF2ED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6" w:type="dxa"/>
            <w:tcBorders>
              <w:top w:val="double" w:color="auto" w:sz="4" w:space="0"/>
              <w:left w:val="double" w:color="auto" w:sz="4" w:space="0"/>
              <w:bottom w:val="single" w:color="auto" w:sz="4" w:space="0"/>
              <w:right w:val="single" w:color="auto" w:sz="4" w:space="0"/>
            </w:tcBorders>
            <w:noWrap w:val="0"/>
            <w:vAlign w:val="center"/>
          </w:tcPr>
          <w:p w14:paraId="66E96F55">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序号</w:t>
            </w:r>
          </w:p>
        </w:tc>
        <w:tc>
          <w:tcPr>
            <w:tcW w:w="1144" w:type="dxa"/>
            <w:tcBorders>
              <w:top w:val="double" w:color="auto" w:sz="4" w:space="0"/>
              <w:left w:val="single" w:color="auto" w:sz="4" w:space="0"/>
              <w:bottom w:val="single" w:color="auto" w:sz="4" w:space="0"/>
              <w:right w:val="single" w:color="auto" w:sz="4" w:space="0"/>
            </w:tcBorders>
            <w:noWrap w:val="0"/>
            <w:vAlign w:val="center"/>
          </w:tcPr>
          <w:p w14:paraId="55912780">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材料名称</w:t>
            </w:r>
          </w:p>
        </w:tc>
        <w:tc>
          <w:tcPr>
            <w:tcW w:w="813" w:type="dxa"/>
            <w:tcBorders>
              <w:top w:val="double" w:color="auto" w:sz="4" w:space="0"/>
              <w:left w:val="single" w:color="auto" w:sz="4" w:space="0"/>
              <w:bottom w:val="single" w:color="auto" w:sz="4" w:space="0"/>
              <w:right w:val="single" w:color="auto" w:sz="4" w:space="0"/>
            </w:tcBorders>
            <w:noWrap w:val="0"/>
            <w:vAlign w:val="center"/>
          </w:tcPr>
          <w:p w14:paraId="7543F6F9">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品牌</w:t>
            </w:r>
          </w:p>
        </w:tc>
        <w:tc>
          <w:tcPr>
            <w:tcW w:w="1259" w:type="dxa"/>
            <w:tcBorders>
              <w:top w:val="double" w:color="auto" w:sz="4" w:space="0"/>
              <w:left w:val="single" w:color="auto" w:sz="4" w:space="0"/>
              <w:bottom w:val="single" w:color="auto" w:sz="4" w:space="0"/>
              <w:right w:val="single" w:color="auto" w:sz="4" w:space="0"/>
            </w:tcBorders>
            <w:noWrap w:val="0"/>
            <w:vAlign w:val="center"/>
          </w:tcPr>
          <w:p w14:paraId="5B6821FB">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型号规格</w:t>
            </w:r>
          </w:p>
        </w:tc>
        <w:tc>
          <w:tcPr>
            <w:tcW w:w="1228" w:type="dxa"/>
            <w:tcBorders>
              <w:top w:val="double" w:color="auto" w:sz="4" w:space="0"/>
              <w:left w:val="single" w:color="auto" w:sz="4" w:space="0"/>
              <w:bottom w:val="single" w:color="auto" w:sz="4" w:space="0"/>
              <w:right w:val="single" w:color="auto" w:sz="4" w:space="0"/>
            </w:tcBorders>
            <w:noWrap w:val="0"/>
            <w:vAlign w:val="center"/>
          </w:tcPr>
          <w:p w14:paraId="486D0713">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制造厂商</w:t>
            </w:r>
          </w:p>
        </w:tc>
        <w:tc>
          <w:tcPr>
            <w:tcW w:w="1564" w:type="dxa"/>
            <w:tcBorders>
              <w:top w:val="double" w:color="auto" w:sz="4" w:space="0"/>
              <w:left w:val="single" w:color="auto" w:sz="4" w:space="0"/>
              <w:bottom w:val="single" w:color="auto" w:sz="4" w:space="0"/>
              <w:right w:val="single" w:color="auto" w:sz="4" w:space="0"/>
            </w:tcBorders>
            <w:noWrap w:val="0"/>
            <w:vAlign w:val="center"/>
          </w:tcPr>
          <w:p w14:paraId="3057DC2F">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政策功能编码</w:t>
            </w:r>
          </w:p>
        </w:tc>
        <w:tc>
          <w:tcPr>
            <w:tcW w:w="1260" w:type="dxa"/>
            <w:tcBorders>
              <w:top w:val="double" w:color="auto" w:sz="4" w:space="0"/>
              <w:left w:val="single" w:color="auto" w:sz="4" w:space="0"/>
              <w:bottom w:val="single" w:color="auto" w:sz="4" w:space="0"/>
              <w:right w:val="single" w:color="auto" w:sz="4" w:space="0"/>
            </w:tcBorders>
            <w:noWrap w:val="0"/>
            <w:vAlign w:val="center"/>
          </w:tcPr>
          <w:p w14:paraId="36744E8D">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价格</w:t>
            </w:r>
          </w:p>
        </w:tc>
        <w:tc>
          <w:tcPr>
            <w:tcW w:w="1080" w:type="dxa"/>
            <w:tcBorders>
              <w:top w:val="double" w:color="auto" w:sz="4" w:space="0"/>
              <w:left w:val="single" w:color="auto" w:sz="4" w:space="0"/>
              <w:bottom w:val="single" w:color="auto" w:sz="4" w:space="0"/>
              <w:right w:val="double" w:color="auto" w:sz="4" w:space="0"/>
            </w:tcBorders>
            <w:noWrap w:val="0"/>
            <w:vAlign w:val="center"/>
          </w:tcPr>
          <w:p w14:paraId="14469E8D">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备注</w:t>
            </w:r>
          </w:p>
        </w:tc>
      </w:tr>
      <w:tr w14:paraId="097F2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tcBorders>
              <w:top w:val="single" w:color="auto" w:sz="4" w:space="0"/>
              <w:left w:val="double" w:color="auto" w:sz="4" w:space="0"/>
              <w:bottom w:val="single" w:color="auto" w:sz="4" w:space="0"/>
              <w:right w:val="single" w:color="auto" w:sz="4" w:space="0"/>
            </w:tcBorders>
            <w:noWrap w:val="0"/>
            <w:vAlign w:val="center"/>
          </w:tcPr>
          <w:p w14:paraId="6559B1D1">
            <w:pPr>
              <w:adjustRightInd w:val="0"/>
              <w:snapToGrid w:val="0"/>
              <w:spacing w:line="360" w:lineRule="auto"/>
              <w:ind w:right="23" w:rightChars="11"/>
              <w:jc w:val="center"/>
              <w:rPr>
                <w:rFonts w:ascii="宋体" w:hAnsi="宋体" w:cs="宋体"/>
                <w:color w:val="auto"/>
                <w:szCs w:val="21"/>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B7C449F">
            <w:pPr>
              <w:adjustRightInd w:val="0"/>
              <w:snapToGrid w:val="0"/>
              <w:spacing w:line="360" w:lineRule="auto"/>
              <w:ind w:right="23" w:rightChars="11"/>
              <w:jc w:val="center"/>
              <w:rPr>
                <w:rFonts w:ascii="宋体" w:hAnsi="宋体" w:cs="宋体"/>
                <w:color w:val="auto"/>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4CFAE4A">
            <w:pPr>
              <w:adjustRightInd w:val="0"/>
              <w:snapToGrid w:val="0"/>
              <w:spacing w:line="360" w:lineRule="auto"/>
              <w:ind w:right="23" w:rightChars="11"/>
              <w:jc w:val="center"/>
              <w:rPr>
                <w:rFonts w:ascii="宋体" w:hAnsi="宋体" w:cs="宋体"/>
                <w:color w:val="auto"/>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374F011D">
            <w:pPr>
              <w:adjustRightInd w:val="0"/>
              <w:snapToGrid w:val="0"/>
              <w:spacing w:line="360" w:lineRule="auto"/>
              <w:ind w:right="23" w:rightChars="11"/>
              <w:jc w:val="center"/>
              <w:rPr>
                <w:rFonts w:ascii="宋体" w:hAnsi="宋体" w:cs="宋体"/>
                <w:color w:val="auto"/>
                <w:szCs w:val="21"/>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5CE1B5A7">
            <w:pPr>
              <w:adjustRightInd w:val="0"/>
              <w:snapToGrid w:val="0"/>
              <w:spacing w:line="360" w:lineRule="auto"/>
              <w:ind w:right="23" w:rightChars="11"/>
              <w:jc w:val="center"/>
              <w:rPr>
                <w:rFonts w:ascii="宋体" w:hAnsi="宋体" w:cs="宋体"/>
                <w:color w:val="auto"/>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3527E88">
            <w:pPr>
              <w:adjustRightInd w:val="0"/>
              <w:snapToGrid w:val="0"/>
              <w:spacing w:line="360" w:lineRule="auto"/>
              <w:ind w:right="23" w:rightChars="11"/>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3C61857">
            <w:pPr>
              <w:adjustRightInd w:val="0"/>
              <w:snapToGrid w:val="0"/>
              <w:spacing w:line="360" w:lineRule="auto"/>
              <w:ind w:right="23" w:rightChars="11"/>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double" w:color="auto" w:sz="4" w:space="0"/>
            </w:tcBorders>
            <w:noWrap w:val="0"/>
            <w:vAlign w:val="center"/>
          </w:tcPr>
          <w:p w14:paraId="3DCE83C8">
            <w:pPr>
              <w:adjustRightInd w:val="0"/>
              <w:snapToGrid w:val="0"/>
              <w:spacing w:line="360" w:lineRule="auto"/>
              <w:ind w:right="23" w:rightChars="11"/>
              <w:jc w:val="center"/>
              <w:rPr>
                <w:rFonts w:ascii="宋体" w:hAnsi="宋体" w:cs="宋体"/>
                <w:color w:val="auto"/>
                <w:szCs w:val="21"/>
              </w:rPr>
            </w:pPr>
          </w:p>
        </w:tc>
      </w:tr>
      <w:tr w14:paraId="6E8D09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tcBorders>
              <w:top w:val="single" w:color="auto" w:sz="4" w:space="0"/>
              <w:left w:val="double" w:color="auto" w:sz="4" w:space="0"/>
              <w:bottom w:val="single" w:color="auto" w:sz="4" w:space="0"/>
              <w:right w:val="single" w:color="auto" w:sz="4" w:space="0"/>
            </w:tcBorders>
            <w:noWrap w:val="0"/>
            <w:vAlign w:val="center"/>
          </w:tcPr>
          <w:p w14:paraId="608173E2">
            <w:pPr>
              <w:adjustRightInd w:val="0"/>
              <w:snapToGrid w:val="0"/>
              <w:spacing w:line="360" w:lineRule="auto"/>
              <w:ind w:right="23" w:rightChars="11"/>
              <w:jc w:val="center"/>
              <w:rPr>
                <w:rFonts w:ascii="宋体" w:hAnsi="宋体" w:cs="宋体"/>
                <w:color w:val="auto"/>
                <w:szCs w:val="21"/>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7552BA9">
            <w:pPr>
              <w:adjustRightInd w:val="0"/>
              <w:snapToGrid w:val="0"/>
              <w:spacing w:line="360" w:lineRule="auto"/>
              <w:ind w:right="23" w:rightChars="11"/>
              <w:jc w:val="center"/>
              <w:rPr>
                <w:rFonts w:ascii="宋体" w:hAnsi="宋体" w:cs="宋体"/>
                <w:color w:val="auto"/>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1CAC616">
            <w:pPr>
              <w:adjustRightInd w:val="0"/>
              <w:snapToGrid w:val="0"/>
              <w:spacing w:line="360" w:lineRule="auto"/>
              <w:ind w:right="23" w:rightChars="11"/>
              <w:jc w:val="center"/>
              <w:rPr>
                <w:rFonts w:ascii="宋体" w:hAnsi="宋体" w:cs="宋体"/>
                <w:color w:val="auto"/>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2293448C">
            <w:pPr>
              <w:adjustRightInd w:val="0"/>
              <w:snapToGrid w:val="0"/>
              <w:spacing w:line="360" w:lineRule="auto"/>
              <w:ind w:right="23" w:rightChars="11"/>
              <w:jc w:val="center"/>
              <w:rPr>
                <w:rFonts w:ascii="宋体" w:hAnsi="宋体" w:cs="宋体"/>
                <w:color w:val="auto"/>
                <w:szCs w:val="21"/>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362C98A8">
            <w:pPr>
              <w:adjustRightInd w:val="0"/>
              <w:snapToGrid w:val="0"/>
              <w:spacing w:line="360" w:lineRule="auto"/>
              <w:ind w:right="23" w:rightChars="11"/>
              <w:jc w:val="center"/>
              <w:rPr>
                <w:rFonts w:ascii="宋体" w:hAnsi="宋体" w:cs="宋体"/>
                <w:color w:val="auto"/>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E96A5FF">
            <w:pPr>
              <w:adjustRightInd w:val="0"/>
              <w:snapToGrid w:val="0"/>
              <w:spacing w:line="360" w:lineRule="auto"/>
              <w:ind w:right="23" w:rightChars="11"/>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2F08C14">
            <w:pPr>
              <w:adjustRightInd w:val="0"/>
              <w:snapToGrid w:val="0"/>
              <w:spacing w:line="360" w:lineRule="auto"/>
              <w:ind w:right="23" w:rightChars="11"/>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double" w:color="auto" w:sz="4" w:space="0"/>
            </w:tcBorders>
            <w:noWrap w:val="0"/>
            <w:vAlign w:val="center"/>
          </w:tcPr>
          <w:p w14:paraId="1D80BD45">
            <w:pPr>
              <w:adjustRightInd w:val="0"/>
              <w:snapToGrid w:val="0"/>
              <w:spacing w:line="360" w:lineRule="auto"/>
              <w:ind w:right="23" w:rightChars="11"/>
              <w:jc w:val="center"/>
              <w:rPr>
                <w:rFonts w:ascii="宋体" w:hAnsi="宋体" w:cs="宋体"/>
                <w:color w:val="auto"/>
                <w:szCs w:val="21"/>
              </w:rPr>
            </w:pPr>
          </w:p>
        </w:tc>
      </w:tr>
      <w:tr w14:paraId="6AF7ED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tcBorders>
              <w:top w:val="single" w:color="auto" w:sz="4" w:space="0"/>
              <w:left w:val="double" w:color="auto" w:sz="4" w:space="0"/>
              <w:bottom w:val="single" w:color="auto" w:sz="4" w:space="0"/>
              <w:right w:val="single" w:color="auto" w:sz="4" w:space="0"/>
            </w:tcBorders>
            <w:noWrap w:val="0"/>
            <w:vAlign w:val="center"/>
          </w:tcPr>
          <w:p w14:paraId="0D979B01">
            <w:pPr>
              <w:adjustRightInd w:val="0"/>
              <w:snapToGrid w:val="0"/>
              <w:spacing w:line="360" w:lineRule="auto"/>
              <w:ind w:right="23" w:rightChars="11"/>
              <w:jc w:val="center"/>
              <w:rPr>
                <w:rFonts w:ascii="宋体" w:hAnsi="宋体" w:cs="宋体"/>
                <w:color w:val="auto"/>
                <w:szCs w:val="21"/>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77F0647">
            <w:pPr>
              <w:adjustRightInd w:val="0"/>
              <w:snapToGrid w:val="0"/>
              <w:spacing w:line="360" w:lineRule="auto"/>
              <w:ind w:right="23" w:rightChars="11"/>
              <w:jc w:val="center"/>
              <w:rPr>
                <w:rFonts w:ascii="宋体" w:hAnsi="宋体" w:cs="宋体"/>
                <w:color w:val="auto"/>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C02A12">
            <w:pPr>
              <w:adjustRightInd w:val="0"/>
              <w:snapToGrid w:val="0"/>
              <w:spacing w:line="360" w:lineRule="auto"/>
              <w:ind w:right="23" w:rightChars="11"/>
              <w:jc w:val="center"/>
              <w:rPr>
                <w:rFonts w:ascii="宋体" w:hAnsi="宋体" w:cs="宋体"/>
                <w:color w:val="auto"/>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1D4D1A7">
            <w:pPr>
              <w:adjustRightInd w:val="0"/>
              <w:snapToGrid w:val="0"/>
              <w:spacing w:line="360" w:lineRule="auto"/>
              <w:ind w:right="23" w:rightChars="11"/>
              <w:jc w:val="center"/>
              <w:rPr>
                <w:rFonts w:ascii="宋体" w:hAnsi="宋体" w:cs="宋体"/>
                <w:color w:val="auto"/>
                <w:szCs w:val="21"/>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6E0640D3">
            <w:pPr>
              <w:adjustRightInd w:val="0"/>
              <w:snapToGrid w:val="0"/>
              <w:spacing w:line="360" w:lineRule="auto"/>
              <w:ind w:right="23" w:rightChars="11"/>
              <w:jc w:val="center"/>
              <w:rPr>
                <w:rFonts w:ascii="宋体" w:hAnsi="宋体" w:cs="宋体"/>
                <w:color w:val="auto"/>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74519C9">
            <w:pPr>
              <w:adjustRightInd w:val="0"/>
              <w:snapToGrid w:val="0"/>
              <w:spacing w:line="360" w:lineRule="auto"/>
              <w:ind w:right="23" w:rightChars="11"/>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7A549B5">
            <w:pPr>
              <w:adjustRightInd w:val="0"/>
              <w:snapToGrid w:val="0"/>
              <w:spacing w:line="360" w:lineRule="auto"/>
              <w:ind w:right="23" w:rightChars="11"/>
              <w:jc w:val="center"/>
              <w:rPr>
                <w:rFonts w:ascii="宋体" w:hAnsi="宋体" w:cs="宋体"/>
                <w:color w:val="auto"/>
                <w:szCs w:val="21"/>
              </w:rPr>
            </w:pPr>
          </w:p>
        </w:tc>
        <w:tc>
          <w:tcPr>
            <w:tcW w:w="1080" w:type="dxa"/>
            <w:tcBorders>
              <w:top w:val="single" w:color="auto" w:sz="4" w:space="0"/>
              <w:left w:val="single" w:color="auto" w:sz="4" w:space="0"/>
              <w:bottom w:val="single" w:color="auto" w:sz="4" w:space="0"/>
              <w:right w:val="double" w:color="auto" w:sz="4" w:space="0"/>
            </w:tcBorders>
            <w:noWrap w:val="0"/>
            <w:vAlign w:val="center"/>
          </w:tcPr>
          <w:p w14:paraId="755093B4">
            <w:pPr>
              <w:adjustRightInd w:val="0"/>
              <w:snapToGrid w:val="0"/>
              <w:spacing w:line="360" w:lineRule="auto"/>
              <w:ind w:right="23" w:rightChars="11"/>
              <w:jc w:val="center"/>
              <w:rPr>
                <w:rFonts w:ascii="宋体" w:hAnsi="宋体" w:cs="宋体"/>
                <w:color w:val="auto"/>
                <w:szCs w:val="21"/>
              </w:rPr>
            </w:pPr>
          </w:p>
        </w:tc>
      </w:tr>
      <w:tr w14:paraId="16BE2E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tcBorders>
              <w:top w:val="single" w:color="auto" w:sz="4" w:space="0"/>
              <w:left w:val="double" w:color="auto" w:sz="4" w:space="0"/>
              <w:bottom w:val="double" w:color="auto" w:sz="4" w:space="0"/>
              <w:right w:val="single" w:color="auto" w:sz="4" w:space="0"/>
            </w:tcBorders>
            <w:noWrap w:val="0"/>
            <w:vAlign w:val="center"/>
          </w:tcPr>
          <w:p w14:paraId="1033AE19">
            <w:pPr>
              <w:adjustRightInd w:val="0"/>
              <w:snapToGrid w:val="0"/>
              <w:spacing w:line="360" w:lineRule="auto"/>
              <w:ind w:right="23" w:rightChars="11"/>
              <w:jc w:val="center"/>
              <w:rPr>
                <w:rFonts w:ascii="宋体" w:hAnsi="宋体" w:cs="宋体"/>
                <w:color w:val="auto"/>
                <w:szCs w:val="21"/>
              </w:rPr>
            </w:pPr>
          </w:p>
        </w:tc>
        <w:tc>
          <w:tcPr>
            <w:tcW w:w="1144" w:type="dxa"/>
            <w:tcBorders>
              <w:top w:val="single" w:color="auto" w:sz="4" w:space="0"/>
              <w:left w:val="single" w:color="auto" w:sz="4" w:space="0"/>
              <w:bottom w:val="double" w:color="auto" w:sz="4" w:space="0"/>
              <w:right w:val="single" w:color="auto" w:sz="4" w:space="0"/>
            </w:tcBorders>
            <w:noWrap w:val="0"/>
            <w:vAlign w:val="center"/>
          </w:tcPr>
          <w:p w14:paraId="6474E9DC">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合计</w:t>
            </w:r>
          </w:p>
        </w:tc>
        <w:tc>
          <w:tcPr>
            <w:tcW w:w="813" w:type="dxa"/>
            <w:tcBorders>
              <w:top w:val="single" w:color="auto" w:sz="4" w:space="0"/>
              <w:left w:val="single" w:color="auto" w:sz="4" w:space="0"/>
              <w:bottom w:val="double" w:color="auto" w:sz="4" w:space="0"/>
              <w:right w:val="single" w:color="auto" w:sz="4" w:space="0"/>
            </w:tcBorders>
            <w:noWrap w:val="0"/>
            <w:vAlign w:val="center"/>
          </w:tcPr>
          <w:p w14:paraId="61CD27F5">
            <w:pPr>
              <w:adjustRightInd w:val="0"/>
              <w:snapToGrid w:val="0"/>
              <w:spacing w:line="360" w:lineRule="auto"/>
              <w:ind w:right="23" w:rightChars="11"/>
              <w:jc w:val="center"/>
              <w:rPr>
                <w:rFonts w:ascii="宋体" w:hAnsi="宋体" w:cs="宋体"/>
                <w:color w:val="auto"/>
                <w:szCs w:val="21"/>
              </w:rPr>
            </w:pPr>
          </w:p>
        </w:tc>
        <w:tc>
          <w:tcPr>
            <w:tcW w:w="1259" w:type="dxa"/>
            <w:tcBorders>
              <w:top w:val="single" w:color="auto" w:sz="4" w:space="0"/>
              <w:left w:val="single" w:color="auto" w:sz="4" w:space="0"/>
              <w:bottom w:val="double" w:color="auto" w:sz="4" w:space="0"/>
              <w:right w:val="single" w:color="auto" w:sz="4" w:space="0"/>
            </w:tcBorders>
            <w:noWrap w:val="0"/>
            <w:vAlign w:val="top"/>
          </w:tcPr>
          <w:p w14:paraId="0D4BD110">
            <w:pPr>
              <w:adjustRightInd w:val="0"/>
              <w:snapToGrid w:val="0"/>
              <w:spacing w:line="360" w:lineRule="auto"/>
              <w:ind w:right="23" w:rightChars="11"/>
              <w:jc w:val="center"/>
              <w:rPr>
                <w:rFonts w:ascii="宋体" w:hAnsi="宋体" w:cs="宋体"/>
                <w:color w:val="auto"/>
                <w:szCs w:val="21"/>
              </w:rPr>
            </w:pPr>
          </w:p>
        </w:tc>
        <w:tc>
          <w:tcPr>
            <w:tcW w:w="1228" w:type="dxa"/>
            <w:tcBorders>
              <w:top w:val="single" w:color="auto" w:sz="4" w:space="0"/>
              <w:left w:val="single" w:color="auto" w:sz="4" w:space="0"/>
              <w:bottom w:val="double" w:color="auto" w:sz="4" w:space="0"/>
              <w:right w:val="single" w:color="auto" w:sz="4" w:space="0"/>
            </w:tcBorders>
            <w:noWrap w:val="0"/>
            <w:vAlign w:val="top"/>
          </w:tcPr>
          <w:p w14:paraId="28B56DF1">
            <w:pPr>
              <w:adjustRightInd w:val="0"/>
              <w:snapToGrid w:val="0"/>
              <w:spacing w:line="360" w:lineRule="auto"/>
              <w:ind w:right="23" w:rightChars="11"/>
              <w:jc w:val="center"/>
              <w:rPr>
                <w:rFonts w:ascii="宋体" w:hAnsi="宋体" w:cs="宋体"/>
                <w:color w:val="auto"/>
                <w:szCs w:val="21"/>
              </w:rPr>
            </w:pPr>
          </w:p>
        </w:tc>
        <w:tc>
          <w:tcPr>
            <w:tcW w:w="1564" w:type="dxa"/>
            <w:tcBorders>
              <w:top w:val="single" w:color="auto" w:sz="4" w:space="0"/>
              <w:left w:val="single" w:color="auto" w:sz="4" w:space="0"/>
              <w:bottom w:val="double" w:color="auto" w:sz="4" w:space="0"/>
              <w:right w:val="single" w:color="auto" w:sz="4" w:space="0"/>
            </w:tcBorders>
            <w:noWrap w:val="0"/>
            <w:vAlign w:val="center"/>
          </w:tcPr>
          <w:p w14:paraId="2AA1E6E9">
            <w:pPr>
              <w:adjustRightInd w:val="0"/>
              <w:snapToGrid w:val="0"/>
              <w:spacing w:line="360" w:lineRule="auto"/>
              <w:ind w:right="23" w:rightChars="11"/>
              <w:jc w:val="center"/>
              <w:rPr>
                <w:rFonts w:ascii="宋体" w:hAnsi="宋体" w:cs="宋体"/>
                <w:color w:val="auto"/>
                <w:szCs w:val="21"/>
              </w:rPr>
            </w:pPr>
          </w:p>
        </w:tc>
        <w:tc>
          <w:tcPr>
            <w:tcW w:w="1260" w:type="dxa"/>
            <w:tcBorders>
              <w:top w:val="single" w:color="auto" w:sz="4" w:space="0"/>
              <w:left w:val="single" w:color="auto" w:sz="4" w:space="0"/>
              <w:bottom w:val="double" w:color="auto" w:sz="4" w:space="0"/>
              <w:right w:val="single" w:color="auto" w:sz="4" w:space="0"/>
            </w:tcBorders>
            <w:noWrap w:val="0"/>
            <w:vAlign w:val="top"/>
          </w:tcPr>
          <w:p w14:paraId="75A5BB26">
            <w:pPr>
              <w:adjustRightInd w:val="0"/>
              <w:snapToGrid w:val="0"/>
              <w:spacing w:line="360" w:lineRule="auto"/>
              <w:ind w:right="23" w:rightChars="11"/>
              <w:jc w:val="center"/>
              <w:rPr>
                <w:rFonts w:ascii="宋体" w:hAnsi="宋体" w:cs="宋体"/>
                <w:color w:val="auto"/>
                <w:szCs w:val="21"/>
              </w:rPr>
            </w:pPr>
          </w:p>
        </w:tc>
        <w:tc>
          <w:tcPr>
            <w:tcW w:w="1080" w:type="dxa"/>
            <w:tcBorders>
              <w:top w:val="single" w:color="auto" w:sz="4" w:space="0"/>
              <w:left w:val="single" w:color="auto" w:sz="4" w:space="0"/>
              <w:bottom w:val="double" w:color="auto" w:sz="4" w:space="0"/>
              <w:right w:val="double" w:color="auto" w:sz="4" w:space="0"/>
            </w:tcBorders>
            <w:noWrap w:val="0"/>
            <w:vAlign w:val="center"/>
          </w:tcPr>
          <w:p w14:paraId="433FE3BE">
            <w:pPr>
              <w:adjustRightInd w:val="0"/>
              <w:snapToGrid w:val="0"/>
              <w:spacing w:line="360" w:lineRule="auto"/>
              <w:ind w:right="23" w:rightChars="11"/>
              <w:jc w:val="center"/>
              <w:rPr>
                <w:rFonts w:ascii="宋体" w:hAnsi="宋体" w:cs="宋体"/>
                <w:color w:val="auto"/>
                <w:szCs w:val="21"/>
              </w:rPr>
            </w:pPr>
          </w:p>
        </w:tc>
      </w:tr>
    </w:tbl>
    <w:p w14:paraId="4904F67E">
      <w:pPr>
        <w:adjustRightInd w:val="0"/>
        <w:snapToGrid w:val="0"/>
        <w:ind w:right="23" w:rightChars="11"/>
        <w:rPr>
          <w:rFonts w:ascii="宋体" w:hAnsi="宋体" w:cs="宋体"/>
          <w:color w:val="auto"/>
          <w:szCs w:val="21"/>
        </w:rPr>
      </w:pPr>
    </w:p>
    <w:p w14:paraId="682AADCE">
      <w:pPr>
        <w:spacing w:line="360" w:lineRule="auto"/>
        <w:ind w:firstLine="420" w:firstLineChars="200"/>
        <w:jc w:val="left"/>
        <w:rPr>
          <w:rFonts w:ascii="宋体" w:hAnsi="宋体" w:cs="Courier New"/>
          <w:color w:val="auto"/>
          <w:szCs w:val="21"/>
        </w:rPr>
      </w:pPr>
      <w:r>
        <w:rPr>
          <w:rFonts w:hint="eastAsia" w:ascii="宋体" w:hAnsi="宋体" w:cs="Courier New"/>
          <w:color w:val="auto"/>
          <w:szCs w:val="21"/>
        </w:rPr>
        <w:t>注：该表用于计算主要材料应享受的政策功能折扣，“价格”栏应填列该材料的总金额。品牌和制造厂商指产品的品牌和生产厂商的名称。政策功能编码是指产品的中国环境标志认证证书编号、节能标志认证证书号。</w:t>
      </w:r>
    </w:p>
    <w:p w14:paraId="0D0ED889">
      <w:pPr>
        <w:pStyle w:val="3"/>
        <w:jc w:val="center"/>
        <w:rPr>
          <w:rFonts w:ascii="黑体" w:hAnsi="黑体" w:eastAsia="黑体"/>
          <w:color w:val="auto"/>
          <w:sz w:val="28"/>
          <w:szCs w:val="28"/>
        </w:rPr>
      </w:pPr>
      <w:r>
        <w:rPr>
          <w:rFonts w:hint="eastAsia" w:ascii="宋体" w:hAnsi="宋体" w:cs="Courier New"/>
          <w:color w:val="auto"/>
          <w:szCs w:val="21"/>
        </w:rPr>
        <w:br w:type="page"/>
      </w:r>
      <w:bookmarkStart w:id="209" w:name="_Toc62472918"/>
      <w:bookmarkStart w:id="210" w:name="_Toc22140"/>
      <w:r>
        <w:rPr>
          <w:rFonts w:hint="eastAsia" w:ascii="黑体" w:hAnsi="黑体" w:eastAsia="黑体"/>
          <w:color w:val="auto"/>
          <w:sz w:val="28"/>
          <w:szCs w:val="28"/>
        </w:rPr>
        <w:t>六、</w:t>
      </w:r>
      <w:bookmarkEnd w:id="208"/>
      <w:bookmarkEnd w:id="209"/>
      <w:r>
        <w:rPr>
          <w:rFonts w:hint="eastAsia" w:ascii="黑体" w:hAnsi="黑体" w:eastAsia="黑体"/>
          <w:color w:val="auto"/>
          <w:sz w:val="28"/>
          <w:szCs w:val="28"/>
        </w:rPr>
        <w:t>施工方案说明</w:t>
      </w:r>
      <w:bookmarkEnd w:id="210"/>
    </w:p>
    <w:p w14:paraId="318798C5">
      <w:pPr>
        <w:adjustRightInd w:val="0"/>
        <w:snapToGrid w:val="0"/>
        <w:spacing w:line="360" w:lineRule="auto"/>
        <w:rPr>
          <w:rFonts w:ascii="宋体" w:hAnsi="宋体"/>
          <w:b/>
          <w:color w:val="auto"/>
          <w:szCs w:val="21"/>
        </w:rPr>
      </w:pPr>
    </w:p>
    <w:p w14:paraId="36886279">
      <w:pPr>
        <w:adjustRightInd w:val="0"/>
        <w:snapToGrid w:val="0"/>
        <w:spacing w:line="360" w:lineRule="auto"/>
        <w:rPr>
          <w:rFonts w:hint="eastAsia" w:ascii="Times New Roman" w:hAnsi="Times New Roman" w:eastAsia="宋体" w:cs="Times New Roman"/>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说</w:t>
      </w:r>
      <w:r>
        <w:rPr>
          <w:rFonts w:hint="eastAsia" w:ascii="Times New Roman" w:hAnsi="Times New Roman" w:eastAsia="宋体" w:cs="Times New Roman"/>
          <w:b/>
          <w:color w:val="auto"/>
        </w:rPr>
        <w:t>明：投标供应商须根据项目特点编写技术标（施工组织设计）。技术标为明标，内容包括：⑴</w:t>
      </w:r>
      <w:r>
        <w:rPr>
          <w:rFonts w:hint="eastAsia" w:ascii="Times New Roman" w:hAnsi="Times New Roman" w:eastAsia="宋体" w:cs="Times New Roman"/>
          <w:b/>
          <w:color w:val="auto"/>
          <w:lang w:eastAsia="zh-CN"/>
        </w:rPr>
        <w:t>施工方案</w:t>
      </w:r>
      <w:r>
        <w:rPr>
          <w:rFonts w:hint="eastAsia" w:ascii="Times New Roman" w:hAnsi="Times New Roman" w:eastAsia="宋体" w:cs="Times New Roman"/>
          <w:b/>
          <w:color w:val="auto"/>
          <w:lang w:val="en-US" w:eastAsia="zh-CN"/>
        </w:rPr>
        <w:t>与技术措施</w:t>
      </w:r>
      <w:r>
        <w:rPr>
          <w:rFonts w:hint="eastAsia" w:ascii="Times New Roman" w:hAnsi="Times New Roman" w:eastAsia="宋体" w:cs="Times New Roman"/>
          <w:b/>
          <w:color w:val="auto"/>
        </w:rPr>
        <w:t>、⑵</w:t>
      </w:r>
      <w:r>
        <w:rPr>
          <w:rFonts w:hint="eastAsia" w:ascii="Times New Roman" w:hAnsi="Times New Roman" w:eastAsia="宋体" w:cs="Times New Roman"/>
          <w:b/>
          <w:color w:val="auto"/>
          <w:lang w:val="en-US" w:eastAsia="zh-CN"/>
        </w:rPr>
        <w:t>质量保证措施</w:t>
      </w:r>
      <w:r>
        <w:rPr>
          <w:rFonts w:hint="eastAsia" w:ascii="Times New Roman" w:hAnsi="Times New Roman" w:eastAsia="宋体" w:cs="Times New Roman"/>
          <w:b/>
          <w:color w:val="auto"/>
        </w:rPr>
        <w:t>、⑶</w:t>
      </w:r>
      <w:r>
        <w:rPr>
          <w:rFonts w:hint="eastAsia" w:ascii="Times New Roman" w:hAnsi="Times New Roman" w:eastAsia="宋体" w:cs="Times New Roman"/>
          <w:b/>
          <w:color w:val="auto"/>
          <w:lang w:val="en-US" w:eastAsia="zh-CN"/>
        </w:rPr>
        <w:t>工期保障措施</w:t>
      </w:r>
      <w:r>
        <w:rPr>
          <w:rFonts w:hint="eastAsia" w:ascii="Times New Roman" w:hAnsi="Times New Roman" w:eastAsia="宋体" w:cs="Times New Roman"/>
          <w:b/>
          <w:color w:val="auto"/>
        </w:rPr>
        <w:t>、⑷安全</w:t>
      </w:r>
      <w:r>
        <w:rPr>
          <w:rFonts w:hint="eastAsia" w:ascii="Times New Roman" w:hAnsi="Times New Roman" w:eastAsia="宋体" w:cs="Times New Roman"/>
          <w:b/>
          <w:color w:val="auto"/>
          <w:lang w:eastAsia="zh-CN"/>
        </w:rPr>
        <w:t>、</w:t>
      </w:r>
      <w:r>
        <w:rPr>
          <w:rFonts w:hint="eastAsia" w:ascii="Times New Roman" w:hAnsi="Times New Roman" w:eastAsia="宋体" w:cs="Times New Roman"/>
          <w:b/>
          <w:color w:val="auto"/>
        </w:rPr>
        <w:t>文明、环保施工</w:t>
      </w:r>
      <w:r>
        <w:rPr>
          <w:rFonts w:hint="eastAsia" w:ascii="Times New Roman" w:hAnsi="Times New Roman" w:eastAsia="宋体" w:cs="Times New Roman"/>
          <w:b/>
          <w:color w:val="auto"/>
          <w:lang w:eastAsia="zh-CN"/>
        </w:rPr>
        <w:t>措施</w:t>
      </w:r>
      <w:r>
        <w:rPr>
          <w:rFonts w:hint="eastAsia" w:ascii="Times New Roman" w:hAnsi="Times New Roman" w:eastAsia="宋体" w:cs="Times New Roman"/>
          <w:b/>
          <w:color w:val="auto"/>
        </w:rPr>
        <w:t>、⑸保修服务方案</w:t>
      </w:r>
      <w:r>
        <w:rPr>
          <w:rFonts w:hint="eastAsia" w:ascii="Times New Roman" w:hAnsi="Times New Roman" w:eastAsia="宋体" w:cs="Times New Roman"/>
          <w:b/>
          <w:color w:val="auto"/>
          <w:lang w:eastAsia="zh-CN"/>
        </w:rPr>
        <w:t>、（</w:t>
      </w:r>
      <w:r>
        <w:rPr>
          <w:rFonts w:hint="eastAsia" w:ascii="Times New Roman" w:hAnsi="Times New Roman" w:eastAsia="宋体" w:cs="Times New Roman"/>
          <w:b/>
          <w:color w:val="auto"/>
          <w:lang w:val="en-US" w:eastAsia="zh-CN"/>
        </w:rPr>
        <w:t>6）主要材料进场计划及保证措施、（7）应急保障措施</w:t>
      </w:r>
      <w:r>
        <w:rPr>
          <w:rFonts w:hint="eastAsia" w:ascii="Times New Roman" w:hAnsi="Times New Roman" w:eastAsia="宋体" w:cs="Times New Roman"/>
          <w:b/>
          <w:color w:val="auto"/>
        </w:rPr>
        <w:t>。</w:t>
      </w:r>
    </w:p>
    <w:p w14:paraId="0A67155F">
      <w:pPr>
        <w:outlineLvl w:val="9"/>
        <w:rPr>
          <w:color w:val="auto"/>
        </w:rPr>
      </w:pPr>
    </w:p>
    <w:p w14:paraId="3F807BA6">
      <w:pPr>
        <w:spacing w:line="360" w:lineRule="atLeast"/>
        <w:jc w:val="center"/>
        <w:rPr>
          <w:rFonts w:ascii="宋体" w:hAnsi="宋体" w:cs="宋体"/>
          <w:color w:val="auto"/>
          <w:szCs w:val="21"/>
        </w:rPr>
      </w:pPr>
      <w:r>
        <w:rPr>
          <w:rFonts w:hint="eastAsia" w:ascii="宋体" w:hAnsi="宋体" w:cs="宋体"/>
          <w:b/>
          <w:color w:val="auto"/>
          <w:sz w:val="28"/>
          <w:szCs w:val="28"/>
        </w:rPr>
        <w:t>主要人员简历表</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833"/>
        <w:gridCol w:w="2664"/>
        <w:gridCol w:w="428"/>
        <w:gridCol w:w="1515"/>
        <w:gridCol w:w="583"/>
        <w:gridCol w:w="1795"/>
      </w:tblGrid>
      <w:tr w14:paraId="690C8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exact"/>
        </w:trPr>
        <w:tc>
          <w:tcPr>
            <w:tcW w:w="2193" w:type="dxa"/>
            <w:gridSpan w:val="2"/>
            <w:tcBorders>
              <w:top w:val="double" w:color="auto" w:sz="4" w:space="0"/>
              <w:left w:val="double" w:color="auto" w:sz="4" w:space="0"/>
              <w:bottom w:val="single" w:color="auto" w:sz="6" w:space="0"/>
              <w:right w:val="single" w:color="auto" w:sz="6" w:space="0"/>
            </w:tcBorders>
            <w:noWrap w:val="0"/>
            <w:vAlign w:val="center"/>
          </w:tcPr>
          <w:p w14:paraId="0A74DC3D">
            <w:pPr>
              <w:spacing w:line="360" w:lineRule="atLeast"/>
              <w:jc w:val="center"/>
              <w:rPr>
                <w:rFonts w:ascii="宋体" w:hAnsi="宋体" w:cs="宋体"/>
                <w:color w:val="auto"/>
              </w:rPr>
            </w:pPr>
            <w:r>
              <w:rPr>
                <w:rFonts w:hint="eastAsia" w:ascii="宋体" w:hAnsi="宋体" w:cs="宋体"/>
                <w:color w:val="auto"/>
              </w:rPr>
              <w:t>姓   名</w:t>
            </w:r>
          </w:p>
        </w:tc>
        <w:tc>
          <w:tcPr>
            <w:tcW w:w="2664" w:type="dxa"/>
            <w:tcBorders>
              <w:top w:val="double" w:color="auto" w:sz="4" w:space="0"/>
              <w:left w:val="single" w:color="auto" w:sz="6" w:space="0"/>
              <w:bottom w:val="single" w:color="auto" w:sz="6" w:space="0"/>
              <w:right w:val="single" w:color="auto" w:sz="6" w:space="0"/>
            </w:tcBorders>
            <w:noWrap w:val="0"/>
            <w:vAlign w:val="center"/>
          </w:tcPr>
          <w:p w14:paraId="7EA31E18">
            <w:pPr>
              <w:spacing w:line="360" w:lineRule="atLeast"/>
              <w:jc w:val="center"/>
              <w:rPr>
                <w:rFonts w:ascii="宋体" w:hAnsi="宋体" w:cs="宋体"/>
                <w:color w:val="auto"/>
              </w:rPr>
            </w:pPr>
          </w:p>
        </w:tc>
        <w:tc>
          <w:tcPr>
            <w:tcW w:w="2526" w:type="dxa"/>
            <w:gridSpan w:val="3"/>
            <w:tcBorders>
              <w:top w:val="double" w:color="auto" w:sz="4" w:space="0"/>
              <w:left w:val="single" w:color="auto" w:sz="6" w:space="0"/>
              <w:bottom w:val="single" w:color="auto" w:sz="6" w:space="0"/>
              <w:right w:val="single" w:color="auto" w:sz="6" w:space="0"/>
            </w:tcBorders>
            <w:noWrap w:val="0"/>
            <w:vAlign w:val="center"/>
          </w:tcPr>
          <w:p w14:paraId="758D677D">
            <w:pPr>
              <w:spacing w:line="360" w:lineRule="atLeast"/>
              <w:jc w:val="center"/>
              <w:rPr>
                <w:rFonts w:ascii="宋体" w:hAnsi="宋体" w:cs="宋体"/>
                <w:color w:val="auto"/>
              </w:rPr>
            </w:pPr>
            <w:r>
              <w:rPr>
                <w:rFonts w:hint="eastAsia" w:ascii="宋体" w:hAnsi="宋体" w:cs="宋体"/>
                <w:color w:val="auto"/>
              </w:rPr>
              <w:t>性  别</w:t>
            </w:r>
          </w:p>
        </w:tc>
        <w:tc>
          <w:tcPr>
            <w:tcW w:w="1795" w:type="dxa"/>
            <w:tcBorders>
              <w:top w:val="double" w:color="auto" w:sz="4" w:space="0"/>
              <w:left w:val="single" w:color="auto" w:sz="6" w:space="0"/>
              <w:bottom w:val="single" w:color="auto" w:sz="6" w:space="0"/>
              <w:right w:val="double" w:color="auto" w:sz="4" w:space="0"/>
            </w:tcBorders>
            <w:noWrap w:val="0"/>
            <w:vAlign w:val="center"/>
          </w:tcPr>
          <w:p w14:paraId="6BA4CB61">
            <w:pPr>
              <w:spacing w:line="360" w:lineRule="atLeast"/>
              <w:jc w:val="center"/>
              <w:rPr>
                <w:rFonts w:ascii="宋体" w:hAnsi="宋体" w:cs="宋体"/>
                <w:color w:val="auto"/>
              </w:rPr>
            </w:pPr>
          </w:p>
        </w:tc>
      </w:tr>
      <w:tr w14:paraId="11972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exact"/>
        </w:trPr>
        <w:tc>
          <w:tcPr>
            <w:tcW w:w="2193" w:type="dxa"/>
            <w:gridSpan w:val="2"/>
            <w:tcBorders>
              <w:top w:val="single" w:color="auto" w:sz="6" w:space="0"/>
              <w:left w:val="double" w:color="auto" w:sz="4" w:space="0"/>
              <w:bottom w:val="single" w:color="auto" w:sz="6" w:space="0"/>
              <w:right w:val="single" w:color="auto" w:sz="6" w:space="0"/>
            </w:tcBorders>
            <w:noWrap w:val="0"/>
            <w:vAlign w:val="center"/>
          </w:tcPr>
          <w:p w14:paraId="2A5F4928">
            <w:pPr>
              <w:spacing w:line="360" w:lineRule="atLeast"/>
              <w:jc w:val="center"/>
              <w:rPr>
                <w:rFonts w:ascii="宋体" w:hAnsi="宋体" w:cs="宋体"/>
                <w:color w:val="auto"/>
              </w:rPr>
            </w:pPr>
            <w:r>
              <w:rPr>
                <w:rFonts w:hint="eastAsia" w:ascii="宋体" w:hAnsi="宋体" w:cs="宋体"/>
                <w:color w:val="auto"/>
              </w:rPr>
              <w:t>职   务</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3FAF4CAD">
            <w:pPr>
              <w:spacing w:line="360" w:lineRule="atLeast"/>
              <w:jc w:val="center"/>
              <w:rPr>
                <w:rFonts w:ascii="宋体" w:hAnsi="宋体" w:cs="宋体"/>
                <w:color w:val="auto"/>
              </w:rPr>
            </w:pP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4E09B1BD">
            <w:pPr>
              <w:spacing w:line="360" w:lineRule="atLeast"/>
              <w:jc w:val="center"/>
              <w:rPr>
                <w:rFonts w:ascii="宋体" w:hAnsi="宋体" w:cs="宋体"/>
                <w:color w:val="auto"/>
              </w:rPr>
            </w:pPr>
            <w:r>
              <w:rPr>
                <w:rFonts w:hint="eastAsia" w:ascii="宋体" w:hAnsi="宋体" w:cs="宋体"/>
                <w:color w:val="auto"/>
              </w:rPr>
              <w:t>职  称</w:t>
            </w:r>
          </w:p>
        </w:tc>
        <w:tc>
          <w:tcPr>
            <w:tcW w:w="1795" w:type="dxa"/>
            <w:tcBorders>
              <w:top w:val="single" w:color="auto" w:sz="6" w:space="0"/>
              <w:left w:val="single" w:color="auto" w:sz="6" w:space="0"/>
              <w:bottom w:val="single" w:color="auto" w:sz="6" w:space="0"/>
              <w:right w:val="double" w:color="auto" w:sz="4" w:space="0"/>
            </w:tcBorders>
            <w:noWrap w:val="0"/>
            <w:vAlign w:val="center"/>
          </w:tcPr>
          <w:p w14:paraId="07915C66">
            <w:pPr>
              <w:spacing w:line="360" w:lineRule="atLeast"/>
              <w:jc w:val="center"/>
              <w:rPr>
                <w:rFonts w:ascii="宋体" w:hAnsi="宋体" w:cs="宋体"/>
                <w:color w:val="auto"/>
              </w:rPr>
            </w:pPr>
          </w:p>
        </w:tc>
      </w:tr>
      <w:tr w14:paraId="708B4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193" w:type="dxa"/>
            <w:gridSpan w:val="2"/>
            <w:tcBorders>
              <w:top w:val="single" w:color="auto" w:sz="6" w:space="0"/>
              <w:left w:val="double" w:color="auto" w:sz="4" w:space="0"/>
              <w:bottom w:val="single" w:color="auto" w:sz="6" w:space="0"/>
              <w:right w:val="single" w:color="auto" w:sz="6" w:space="0"/>
            </w:tcBorders>
            <w:noWrap w:val="0"/>
            <w:vAlign w:val="center"/>
          </w:tcPr>
          <w:p w14:paraId="00CFF5FB">
            <w:pPr>
              <w:spacing w:line="360" w:lineRule="atLeast"/>
              <w:jc w:val="center"/>
              <w:rPr>
                <w:rFonts w:ascii="宋体" w:hAnsi="宋体" w:cs="宋体"/>
                <w:color w:val="auto"/>
              </w:rPr>
            </w:pPr>
            <w:r>
              <w:rPr>
                <w:rFonts w:hint="eastAsia" w:ascii="宋体" w:hAnsi="宋体" w:cs="宋体"/>
                <w:color w:val="auto"/>
              </w:rPr>
              <w:t>毕业学校、专业</w:t>
            </w:r>
          </w:p>
        </w:tc>
        <w:tc>
          <w:tcPr>
            <w:tcW w:w="6985" w:type="dxa"/>
            <w:gridSpan w:val="5"/>
            <w:tcBorders>
              <w:top w:val="single" w:color="auto" w:sz="6" w:space="0"/>
              <w:left w:val="single" w:color="auto" w:sz="6" w:space="0"/>
              <w:bottom w:val="single" w:color="auto" w:sz="6" w:space="0"/>
              <w:right w:val="double" w:color="auto" w:sz="4" w:space="0"/>
            </w:tcBorders>
            <w:noWrap w:val="0"/>
            <w:vAlign w:val="center"/>
          </w:tcPr>
          <w:p w14:paraId="65A54F05">
            <w:pPr>
              <w:spacing w:line="360" w:lineRule="atLeast"/>
              <w:jc w:val="center"/>
              <w:rPr>
                <w:rFonts w:ascii="宋体" w:hAnsi="宋体" w:cs="宋体"/>
                <w:color w:val="auto"/>
              </w:rPr>
            </w:pPr>
          </w:p>
        </w:tc>
      </w:tr>
      <w:tr w14:paraId="58C60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193" w:type="dxa"/>
            <w:gridSpan w:val="2"/>
            <w:tcBorders>
              <w:top w:val="single" w:color="auto" w:sz="6" w:space="0"/>
              <w:left w:val="double" w:color="auto" w:sz="4" w:space="0"/>
              <w:bottom w:val="single" w:color="auto" w:sz="6" w:space="0"/>
              <w:right w:val="single" w:color="auto" w:sz="6" w:space="0"/>
            </w:tcBorders>
            <w:noWrap w:val="0"/>
            <w:vAlign w:val="center"/>
          </w:tcPr>
          <w:p w14:paraId="0D5BC61C">
            <w:pPr>
              <w:spacing w:line="360" w:lineRule="atLeast"/>
              <w:jc w:val="center"/>
              <w:rPr>
                <w:rFonts w:ascii="宋体" w:hAnsi="宋体" w:cs="宋体"/>
                <w:color w:val="auto"/>
              </w:rPr>
            </w:pPr>
            <w:r>
              <w:rPr>
                <w:rFonts w:hint="eastAsia" w:ascii="宋体" w:hAnsi="宋体" w:cs="宋体"/>
                <w:color w:val="auto"/>
              </w:rPr>
              <w:t>身份证号</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779DCC4B">
            <w:pPr>
              <w:spacing w:line="360" w:lineRule="atLeast"/>
              <w:jc w:val="center"/>
              <w:rPr>
                <w:rFonts w:ascii="宋体" w:hAnsi="宋体" w:cs="宋体"/>
                <w:color w:val="auto"/>
              </w:rPr>
            </w:pP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612E2910">
            <w:pPr>
              <w:spacing w:line="360" w:lineRule="atLeast"/>
              <w:jc w:val="center"/>
              <w:rPr>
                <w:rFonts w:ascii="宋体" w:hAnsi="宋体" w:cs="宋体"/>
                <w:color w:val="auto"/>
              </w:rPr>
            </w:pPr>
            <w:r>
              <w:rPr>
                <w:rFonts w:hint="eastAsia" w:ascii="宋体" w:hAnsi="宋体" w:cs="宋体"/>
                <w:color w:val="auto"/>
              </w:rPr>
              <w:t>拟在本合同任职</w:t>
            </w:r>
          </w:p>
        </w:tc>
        <w:tc>
          <w:tcPr>
            <w:tcW w:w="1795" w:type="dxa"/>
            <w:tcBorders>
              <w:top w:val="single" w:color="auto" w:sz="6" w:space="0"/>
              <w:left w:val="single" w:color="auto" w:sz="6" w:space="0"/>
              <w:bottom w:val="single" w:color="auto" w:sz="6" w:space="0"/>
              <w:right w:val="double" w:color="auto" w:sz="4" w:space="0"/>
            </w:tcBorders>
            <w:noWrap w:val="0"/>
            <w:vAlign w:val="center"/>
          </w:tcPr>
          <w:p w14:paraId="24D005D1">
            <w:pPr>
              <w:spacing w:line="360" w:lineRule="atLeast"/>
              <w:ind w:right="-105" w:rightChars="-50"/>
              <w:jc w:val="center"/>
              <w:rPr>
                <w:rFonts w:ascii="宋体" w:hAnsi="宋体" w:cs="宋体"/>
                <w:color w:val="auto"/>
              </w:rPr>
            </w:pPr>
          </w:p>
        </w:tc>
      </w:tr>
      <w:tr w14:paraId="1B347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193" w:type="dxa"/>
            <w:gridSpan w:val="2"/>
            <w:tcBorders>
              <w:top w:val="single" w:color="auto" w:sz="6" w:space="0"/>
              <w:left w:val="double" w:color="auto" w:sz="4" w:space="0"/>
              <w:bottom w:val="single" w:color="auto" w:sz="6" w:space="0"/>
              <w:right w:val="single" w:color="auto" w:sz="6" w:space="0"/>
            </w:tcBorders>
            <w:noWrap w:val="0"/>
            <w:vAlign w:val="center"/>
          </w:tcPr>
          <w:p w14:paraId="30A7713E">
            <w:pPr>
              <w:spacing w:line="360" w:lineRule="atLeast"/>
              <w:jc w:val="center"/>
              <w:rPr>
                <w:rFonts w:ascii="宋体" w:hAnsi="宋体" w:cs="宋体"/>
                <w:color w:val="auto"/>
              </w:rPr>
            </w:pPr>
            <w:r>
              <w:rPr>
                <w:rFonts w:hint="eastAsia" w:ascii="宋体" w:hAnsi="宋体" w:cs="宋体"/>
                <w:color w:val="auto"/>
              </w:rPr>
              <w:t>执业资格证</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0C6923DD">
            <w:pPr>
              <w:spacing w:line="360" w:lineRule="atLeast"/>
              <w:jc w:val="center"/>
              <w:rPr>
                <w:rFonts w:ascii="宋体" w:hAnsi="宋体" w:cs="宋体"/>
                <w:color w:val="auto"/>
              </w:rPr>
            </w:pP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7CB9116A">
            <w:pPr>
              <w:spacing w:line="360" w:lineRule="atLeast"/>
              <w:jc w:val="center"/>
              <w:rPr>
                <w:rFonts w:ascii="宋体" w:hAnsi="宋体" w:cs="宋体"/>
                <w:color w:val="auto"/>
              </w:rPr>
            </w:pPr>
            <w:r>
              <w:rPr>
                <w:rFonts w:hint="eastAsia" w:ascii="宋体" w:hAnsi="宋体" w:cs="宋体"/>
                <w:color w:val="auto"/>
              </w:rPr>
              <w:t>执业资格证书号</w:t>
            </w:r>
          </w:p>
        </w:tc>
        <w:tc>
          <w:tcPr>
            <w:tcW w:w="1795" w:type="dxa"/>
            <w:tcBorders>
              <w:top w:val="single" w:color="auto" w:sz="6" w:space="0"/>
              <w:left w:val="single" w:color="auto" w:sz="6" w:space="0"/>
              <w:bottom w:val="single" w:color="auto" w:sz="6" w:space="0"/>
              <w:right w:val="double" w:color="auto" w:sz="4" w:space="0"/>
            </w:tcBorders>
            <w:noWrap w:val="0"/>
            <w:vAlign w:val="center"/>
          </w:tcPr>
          <w:p w14:paraId="465FFD0E">
            <w:pPr>
              <w:spacing w:line="360" w:lineRule="atLeast"/>
              <w:ind w:right="-105" w:rightChars="-50"/>
              <w:jc w:val="center"/>
              <w:rPr>
                <w:rFonts w:ascii="宋体" w:hAnsi="宋体" w:cs="宋体"/>
                <w:color w:val="auto"/>
              </w:rPr>
            </w:pPr>
          </w:p>
        </w:tc>
      </w:tr>
      <w:tr w14:paraId="6BFC3B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exact"/>
        </w:trPr>
        <w:tc>
          <w:tcPr>
            <w:tcW w:w="9178" w:type="dxa"/>
            <w:gridSpan w:val="7"/>
            <w:tcBorders>
              <w:top w:val="single" w:color="auto" w:sz="6" w:space="0"/>
              <w:left w:val="double" w:color="auto" w:sz="4" w:space="0"/>
              <w:bottom w:val="single" w:color="auto" w:sz="6" w:space="0"/>
              <w:right w:val="double" w:color="auto" w:sz="4" w:space="0"/>
            </w:tcBorders>
            <w:noWrap w:val="0"/>
            <w:vAlign w:val="center"/>
          </w:tcPr>
          <w:p w14:paraId="7F3380FB">
            <w:pPr>
              <w:spacing w:line="360" w:lineRule="atLeast"/>
              <w:rPr>
                <w:rFonts w:ascii="宋体" w:hAnsi="宋体" w:cs="宋体"/>
                <w:color w:val="auto"/>
              </w:rPr>
            </w:pPr>
            <w:r>
              <w:rPr>
                <w:rFonts w:hint="eastAsia" w:ascii="宋体" w:hAnsi="宋体" w:cs="宋体"/>
                <w:color w:val="auto"/>
              </w:rPr>
              <w:t>近三年承担项目情况</w:t>
            </w:r>
          </w:p>
        </w:tc>
      </w:tr>
      <w:tr w14:paraId="2B591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360" w:type="dxa"/>
            <w:tcBorders>
              <w:top w:val="single" w:color="auto" w:sz="6" w:space="0"/>
              <w:left w:val="double" w:color="auto" w:sz="4" w:space="0"/>
              <w:bottom w:val="single" w:color="auto" w:sz="6" w:space="0"/>
              <w:right w:val="single" w:color="auto" w:sz="6" w:space="0"/>
            </w:tcBorders>
            <w:noWrap w:val="0"/>
            <w:vAlign w:val="center"/>
          </w:tcPr>
          <w:p w14:paraId="603EC846">
            <w:pPr>
              <w:spacing w:line="360" w:lineRule="atLeast"/>
              <w:jc w:val="center"/>
              <w:rPr>
                <w:rFonts w:ascii="宋体" w:hAnsi="宋体" w:cs="宋体"/>
                <w:color w:val="auto"/>
              </w:rPr>
            </w:pPr>
            <w:r>
              <w:rPr>
                <w:rFonts w:hint="eastAsia" w:ascii="宋体" w:hAnsi="宋体" w:cs="宋体"/>
                <w:color w:val="auto"/>
              </w:rPr>
              <w:t>时间</w:t>
            </w:r>
          </w:p>
        </w:tc>
        <w:tc>
          <w:tcPr>
            <w:tcW w:w="3925" w:type="dxa"/>
            <w:gridSpan w:val="3"/>
            <w:tcBorders>
              <w:top w:val="single" w:color="auto" w:sz="6" w:space="0"/>
              <w:left w:val="single" w:color="auto" w:sz="6" w:space="0"/>
              <w:bottom w:val="single" w:color="auto" w:sz="6" w:space="0"/>
              <w:right w:val="single" w:color="auto" w:sz="6" w:space="0"/>
            </w:tcBorders>
            <w:noWrap w:val="0"/>
            <w:vAlign w:val="center"/>
          </w:tcPr>
          <w:p w14:paraId="77F73D8F">
            <w:pPr>
              <w:spacing w:line="360" w:lineRule="atLeast"/>
              <w:jc w:val="center"/>
              <w:rPr>
                <w:rFonts w:ascii="宋体" w:hAnsi="宋体" w:cs="宋体"/>
                <w:color w:val="auto"/>
              </w:rPr>
            </w:pPr>
            <w:r>
              <w:rPr>
                <w:rFonts w:hint="eastAsia" w:ascii="宋体" w:hAnsi="宋体" w:cs="宋体"/>
                <w:color w:val="auto"/>
              </w:rPr>
              <w:t>类似项目名称</w:t>
            </w:r>
          </w:p>
        </w:tc>
        <w:tc>
          <w:tcPr>
            <w:tcW w:w="1515" w:type="dxa"/>
            <w:tcBorders>
              <w:top w:val="single" w:color="auto" w:sz="6" w:space="0"/>
              <w:left w:val="single" w:color="auto" w:sz="6" w:space="0"/>
              <w:bottom w:val="single" w:color="auto" w:sz="6" w:space="0"/>
              <w:right w:val="single" w:color="auto" w:sz="6" w:space="0"/>
            </w:tcBorders>
            <w:noWrap w:val="0"/>
            <w:vAlign w:val="center"/>
          </w:tcPr>
          <w:p w14:paraId="117CF4AF">
            <w:pPr>
              <w:spacing w:line="360" w:lineRule="atLeast"/>
              <w:jc w:val="center"/>
              <w:rPr>
                <w:rFonts w:ascii="宋体" w:hAnsi="宋体" w:cs="宋体"/>
                <w:color w:val="auto"/>
              </w:rPr>
            </w:pPr>
            <w:r>
              <w:rPr>
                <w:rFonts w:hint="eastAsia" w:ascii="宋体" w:hAnsi="宋体" w:cs="宋体"/>
                <w:color w:val="auto"/>
              </w:rPr>
              <w:t>担任职务</w:t>
            </w:r>
          </w:p>
        </w:tc>
        <w:tc>
          <w:tcPr>
            <w:tcW w:w="2378" w:type="dxa"/>
            <w:gridSpan w:val="2"/>
            <w:tcBorders>
              <w:top w:val="single" w:color="auto" w:sz="6" w:space="0"/>
              <w:left w:val="single" w:color="auto" w:sz="6" w:space="0"/>
              <w:bottom w:val="single" w:color="auto" w:sz="6" w:space="0"/>
              <w:right w:val="double" w:color="auto" w:sz="4" w:space="0"/>
            </w:tcBorders>
            <w:noWrap w:val="0"/>
            <w:vAlign w:val="center"/>
          </w:tcPr>
          <w:p w14:paraId="34C63B40">
            <w:pPr>
              <w:spacing w:line="360" w:lineRule="atLeast"/>
              <w:jc w:val="center"/>
              <w:rPr>
                <w:rFonts w:ascii="宋体" w:hAnsi="宋体" w:cs="宋体"/>
                <w:color w:val="auto"/>
              </w:rPr>
            </w:pPr>
            <w:r>
              <w:rPr>
                <w:rFonts w:hint="eastAsia" w:ascii="宋体" w:hAnsi="宋体" w:cs="宋体"/>
                <w:color w:val="auto"/>
              </w:rPr>
              <w:t>项目单位名称及电话</w:t>
            </w:r>
          </w:p>
        </w:tc>
      </w:tr>
      <w:tr w14:paraId="63BAA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360" w:type="dxa"/>
            <w:tcBorders>
              <w:top w:val="single" w:color="auto" w:sz="6" w:space="0"/>
              <w:left w:val="double" w:color="auto" w:sz="4" w:space="0"/>
              <w:bottom w:val="single" w:color="auto" w:sz="6" w:space="0"/>
              <w:right w:val="single" w:color="auto" w:sz="6" w:space="0"/>
            </w:tcBorders>
            <w:noWrap w:val="0"/>
            <w:vAlign w:val="center"/>
          </w:tcPr>
          <w:p w14:paraId="12110E13">
            <w:pPr>
              <w:spacing w:line="360" w:lineRule="atLeast"/>
              <w:jc w:val="center"/>
              <w:rPr>
                <w:rFonts w:ascii="宋体" w:hAnsi="宋体" w:cs="宋体"/>
                <w:color w:val="auto"/>
              </w:rPr>
            </w:pPr>
          </w:p>
        </w:tc>
        <w:tc>
          <w:tcPr>
            <w:tcW w:w="3925" w:type="dxa"/>
            <w:gridSpan w:val="3"/>
            <w:tcBorders>
              <w:top w:val="single" w:color="auto" w:sz="6" w:space="0"/>
              <w:left w:val="single" w:color="auto" w:sz="6" w:space="0"/>
              <w:bottom w:val="single" w:color="auto" w:sz="6" w:space="0"/>
              <w:right w:val="single" w:color="auto" w:sz="6" w:space="0"/>
            </w:tcBorders>
            <w:noWrap w:val="0"/>
            <w:vAlign w:val="center"/>
          </w:tcPr>
          <w:p w14:paraId="2D63CCB7">
            <w:pPr>
              <w:spacing w:line="360" w:lineRule="atLeast"/>
              <w:jc w:val="center"/>
              <w:rPr>
                <w:rFonts w:ascii="宋体" w:hAnsi="宋体" w:cs="宋体"/>
                <w:color w:val="auto"/>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4CF6A660">
            <w:pPr>
              <w:spacing w:line="360" w:lineRule="atLeast"/>
              <w:jc w:val="center"/>
              <w:rPr>
                <w:rFonts w:ascii="宋体" w:hAnsi="宋体" w:cs="宋体"/>
                <w:color w:val="auto"/>
              </w:rPr>
            </w:pPr>
          </w:p>
        </w:tc>
        <w:tc>
          <w:tcPr>
            <w:tcW w:w="2378" w:type="dxa"/>
            <w:gridSpan w:val="2"/>
            <w:tcBorders>
              <w:top w:val="single" w:color="auto" w:sz="6" w:space="0"/>
              <w:left w:val="single" w:color="auto" w:sz="6" w:space="0"/>
              <w:bottom w:val="single" w:color="auto" w:sz="6" w:space="0"/>
              <w:right w:val="double" w:color="auto" w:sz="4" w:space="0"/>
            </w:tcBorders>
            <w:noWrap w:val="0"/>
            <w:vAlign w:val="center"/>
          </w:tcPr>
          <w:p w14:paraId="2B03BEC1">
            <w:pPr>
              <w:spacing w:line="360" w:lineRule="atLeast"/>
              <w:jc w:val="center"/>
              <w:rPr>
                <w:rFonts w:ascii="宋体" w:hAnsi="宋体" w:cs="宋体"/>
                <w:color w:val="auto"/>
              </w:rPr>
            </w:pPr>
          </w:p>
        </w:tc>
      </w:tr>
      <w:tr w14:paraId="64823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360" w:type="dxa"/>
            <w:tcBorders>
              <w:top w:val="single" w:color="auto" w:sz="6" w:space="0"/>
              <w:left w:val="double" w:color="auto" w:sz="4" w:space="0"/>
              <w:bottom w:val="single" w:color="auto" w:sz="6" w:space="0"/>
              <w:right w:val="single" w:color="auto" w:sz="6" w:space="0"/>
            </w:tcBorders>
            <w:noWrap w:val="0"/>
            <w:vAlign w:val="center"/>
          </w:tcPr>
          <w:p w14:paraId="323CE804">
            <w:pPr>
              <w:spacing w:line="360" w:lineRule="atLeast"/>
              <w:jc w:val="center"/>
              <w:rPr>
                <w:rFonts w:ascii="宋体" w:hAnsi="宋体" w:cs="宋体"/>
                <w:color w:val="auto"/>
              </w:rPr>
            </w:pPr>
          </w:p>
        </w:tc>
        <w:tc>
          <w:tcPr>
            <w:tcW w:w="3925" w:type="dxa"/>
            <w:gridSpan w:val="3"/>
            <w:tcBorders>
              <w:top w:val="single" w:color="auto" w:sz="6" w:space="0"/>
              <w:left w:val="single" w:color="auto" w:sz="6" w:space="0"/>
              <w:bottom w:val="single" w:color="auto" w:sz="6" w:space="0"/>
              <w:right w:val="single" w:color="auto" w:sz="6" w:space="0"/>
            </w:tcBorders>
            <w:noWrap w:val="0"/>
            <w:vAlign w:val="center"/>
          </w:tcPr>
          <w:p w14:paraId="3E4F0072">
            <w:pPr>
              <w:spacing w:line="360" w:lineRule="atLeast"/>
              <w:jc w:val="center"/>
              <w:rPr>
                <w:rFonts w:ascii="宋体" w:hAnsi="宋体" w:cs="宋体"/>
                <w:color w:val="auto"/>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1D31BF53">
            <w:pPr>
              <w:spacing w:line="360" w:lineRule="atLeast"/>
              <w:jc w:val="center"/>
              <w:rPr>
                <w:rFonts w:ascii="宋体" w:hAnsi="宋体" w:cs="宋体"/>
                <w:color w:val="auto"/>
              </w:rPr>
            </w:pPr>
          </w:p>
        </w:tc>
        <w:tc>
          <w:tcPr>
            <w:tcW w:w="2378" w:type="dxa"/>
            <w:gridSpan w:val="2"/>
            <w:tcBorders>
              <w:top w:val="single" w:color="auto" w:sz="6" w:space="0"/>
              <w:left w:val="single" w:color="auto" w:sz="6" w:space="0"/>
              <w:bottom w:val="single" w:color="auto" w:sz="6" w:space="0"/>
              <w:right w:val="double" w:color="auto" w:sz="4" w:space="0"/>
            </w:tcBorders>
            <w:noWrap w:val="0"/>
            <w:vAlign w:val="center"/>
          </w:tcPr>
          <w:p w14:paraId="3838613E">
            <w:pPr>
              <w:spacing w:line="360" w:lineRule="atLeast"/>
              <w:jc w:val="center"/>
              <w:rPr>
                <w:rFonts w:ascii="宋体" w:hAnsi="宋体" w:cs="宋体"/>
                <w:color w:val="auto"/>
              </w:rPr>
            </w:pPr>
          </w:p>
        </w:tc>
      </w:tr>
      <w:tr w14:paraId="3DCF9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360" w:type="dxa"/>
            <w:tcBorders>
              <w:top w:val="single" w:color="auto" w:sz="6" w:space="0"/>
              <w:left w:val="double" w:color="auto" w:sz="4" w:space="0"/>
              <w:bottom w:val="single" w:color="auto" w:sz="6" w:space="0"/>
              <w:right w:val="single" w:color="auto" w:sz="6" w:space="0"/>
            </w:tcBorders>
            <w:noWrap w:val="0"/>
            <w:vAlign w:val="center"/>
          </w:tcPr>
          <w:p w14:paraId="542F8C22">
            <w:pPr>
              <w:spacing w:line="360" w:lineRule="atLeast"/>
              <w:jc w:val="center"/>
              <w:rPr>
                <w:rFonts w:ascii="宋体" w:hAnsi="宋体" w:cs="宋体"/>
                <w:color w:val="auto"/>
              </w:rPr>
            </w:pPr>
          </w:p>
        </w:tc>
        <w:tc>
          <w:tcPr>
            <w:tcW w:w="3925" w:type="dxa"/>
            <w:gridSpan w:val="3"/>
            <w:tcBorders>
              <w:top w:val="single" w:color="auto" w:sz="6" w:space="0"/>
              <w:left w:val="single" w:color="auto" w:sz="6" w:space="0"/>
              <w:bottom w:val="single" w:color="auto" w:sz="6" w:space="0"/>
              <w:right w:val="single" w:color="auto" w:sz="6" w:space="0"/>
            </w:tcBorders>
            <w:noWrap w:val="0"/>
            <w:vAlign w:val="center"/>
          </w:tcPr>
          <w:p w14:paraId="5AEA39A2">
            <w:pPr>
              <w:spacing w:line="360" w:lineRule="atLeast"/>
              <w:jc w:val="center"/>
              <w:rPr>
                <w:rFonts w:ascii="宋体" w:hAnsi="宋体" w:cs="宋体"/>
                <w:color w:val="auto"/>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3C4CA048">
            <w:pPr>
              <w:spacing w:line="360" w:lineRule="atLeast"/>
              <w:jc w:val="center"/>
              <w:rPr>
                <w:rFonts w:ascii="宋体" w:hAnsi="宋体" w:cs="宋体"/>
                <w:color w:val="auto"/>
              </w:rPr>
            </w:pPr>
          </w:p>
        </w:tc>
        <w:tc>
          <w:tcPr>
            <w:tcW w:w="2378" w:type="dxa"/>
            <w:gridSpan w:val="2"/>
            <w:tcBorders>
              <w:top w:val="single" w:color="auto" w:sz="6" w:space="0"/>
              <w:left w:val="single" w:color="auto" w:sz="6" w:space="0"/>
              <w:bottom w:val="single" w:color="auto" w:sz="6" w:space="0"/>
              <w:right w:val="double" w:color="auto" w:sz="4" w:space="0"/>
            </w:tcBorders>
            <w:noWrap w:val="0"/>
            <w:vAlign w:val="center"/>
          </w:tcPr>
          <w:p w14:paraId="6A709C40">
            <w:pPr>
              <w:spacing w:line="360" w:lineRule="atLeast"/>
              <w:jc w:val="center"/>
              <w:rPr>
                <w:rFonts w:ascii="宋体" w:hAnsi="宋体" w:cs="宋体"/>
                <w:color w:val="auto"/>
              </w:rPr>
            </w:pPr>
          </w:p>
        </w:tc>
      </w:tr>
      <w:tr w14:paraId="6C5DCD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360" w:type="dxa"/>
            <w:tcBorders>
              <w:top w:val="single" w:color="auto" w:sz="6" w:space="0"/>
              <w:left w:val="double" w:color="auto" w:sz="4" w:space="0"/>
              <w:bottom w:val="double" w:color="auto" w:sz="4" w:space="0"/>
              <w:right w:val="single" w:color="auto" w:sz="6" w:space="0"/>
            </w:tcBorders>
            <w:noWrap w:val="0"/>
            <w:vAlign w:val="center"/>
          </w:tcPr>
          <w:p w14:paraId="6281081D">
            <w:pPr>
              <w:spacing w:line="360" w:lineRule="atLeast"/>
              <w:jc w:val="center"/>
              <w:rPr>
                <w:rFonts w:ascii="宋体" w:hAnsi="宋体" w:cs="宋体"/>
                <w:color w:val="auto"/>
              </w:rPr>
            </w:pPr>
          </w:p>
        </w:tc>
        <w:tc>
          <w:tcPr>
            <w:tcW w:w="3925" w:type="dxa"/>
            <w:gridSpan w:val="3"/>
            <w:tcBorders>
              <w:top w:val="single" w:color="auto" w:sz="6" w:space="0"/>
              <w:left w:val="single" w:color="auto" w:sz="6" w:space="0"/>
              <w:bottom w:val="double" w:color="auto" w:sz="4" w:space="0"/>
              <w:right w:val="single" w:color="auto" w:sz="6" w:space="0"/>
            </w:tcBorders>
            <w:noWrap w:val="0"/>
            <w:vAlign w:val="center"/>
          </w:tcPr>
          <w:p w14:paraId="38F5C49D">
            <w:pPr>
              <w:spacing w:line="360" w:lineRule="atLeast"/>
              <w:jc w:val="center"/>
              <w:rPr>
                <w:rFonts w:ascii="宋体" w:hAnsi="宋体" w:cs="宋体"/>
                <w:color w:val="auto"/>
              </w:rPr>
            </w:pPr>
          </w:p>
        </w:tc>
        <w:tc>
          <w:tcPr>
            <w:tcW w:w="1515" w:type="dxa"/>
            <w:tcBorders>
              <w:top w:val="single" w:color="auto" w:sz="6" w:space="0"/>
              <w:left w:val="single" w:color="auto" w:sz="6" w:space="0"/>
              <w:bottom w:val="double" w:color="auto" w:sz="4" w:space="0"/>
              <w:right w:val="single" w:color="auto" w:sz="6" w:space="0"/>
            </w:tcBorders>
            <w:noWrap w:val="0"/>
            <w:vAlign w:val="center"/>
          </w:tcPr>
          <w:p w14:paraId="4EBE911F">
            <w:pPr>
              <w:spacing w:line="360" w:lineRule="atLeast"/>
              <w:jc w:val="center"/>
              <w:rPr>
                <w:rFonts w:ascii="宋体" w:hAnsi="宋体" w:cs="宋体"/>
                <w:color w:val="auto"/>
              </w:rPr>
            </w:pPr>
          </w:p>
        </w:tc>
        <w:tc>
          <w:tcPr>
            <w:tcW w:w="2378" w:type="dxa"/>
            <w:gridSpan w:val="2"/>
            <w:tcBorders>
              <w:top w:val="single" w:color="auto" w:sz="6" w:space="0"/>
              <w:left w:val="single" w:color="auto" w:sz="6" w:space="0"/>
              <w:bottom w:val="double" w:color="auto" w:sz="4" w:space="0"/>
              <w:right w:val="double" w:color="auto" w:sz="4" w:space="0"/>
            </w:tcBorders>
            <w:noWrap w:val="0"/>
            <w:vAlign w:val="center"/>
          </w:tcPr>
          <w:p w14:paraId="4BDCCBEC">
            <w:pPr>
              <w:spacing w:line="360" w:lineRule="atLeast"/>
              <w:jc w:val="center"/>
              <w:rPr>
                <w:rFonts w:ascii="宋体" w:hAnsi="宋体" w:cs="宋体"/>
                <w:color w:val="auto"/>
              </w:rPr>
            </w:pPr>
          </w:p>
        </w:tc>
      </w:tr>
    </w:tbl>
    <w:p w14:paraId="18A5304C">
      <w:pPr>
        <w:spacing w:line="360" w:lineRule="atLeast"/>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类似项目证明资料等按第二章第42.1款或第四章要求提供。</w:t>
      </w:r>
    </w:p>
    <w:p w14:paraId="5D5B6364">
      <w:pPr>
        <w:adjustRightInd w:val="0"/>
        <w:snapToGrid w:val="0"/>
        <w:spacing w:line="360" w:lineRule="auto"/>
        <w:rPr>
          <w:rFonts w:ascii="宋体" w:hAnsi="宋体" w:cs="宋体"/>
          <w:color w:val="auto"/>
          <w:szCs w:val="21"/>
        </w:rPr>
      </w:pPr>
    </w:p>
    <w:p w14:paraId="7ABC9E99">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2B67C618">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00B85621">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28307B05">
      <w:pPr>
        <w:pStyle w:val="13"/>
        <w:tabs>
          <w:tab w:val="left" w:pos="6208"/>
        </w:tabs>
        <w:adjustRightInd w:val="0"/>
        <w:snapToGrid w:val="0"/>
        <w:spacing w:line="360" w:lineRule="auto"/>
        <w:ind w:left="-88" w:leftChars="-42"/>
        <w:rPr>
          <w:rFonts w:ascii="宋体" w:hAnsi="宋体"/>
          <w:bCs/>
          <w:color w:val="auto"/>
          <w:sz w:val="21"/>
          <w:szCs w:val="21"/>
        </w:rPr>
      </w:pPr>
    </w:p>
    <w:p w14:paraId="69623548">
      <w:pPr>
        <w:adjustRightInd w:val="0"/>
        <w:snapToGrid w:val="0"/>
        <w:spacing w:line="360" w:lineRule="auto"/>
        <w:rPr>
          <w:rFonts w:ascii="宋体" w:hAnsi="宋体"/>
          <w:color w:val="auto"/>
          <w:szCs w:val="21"/>
        </w:rPr>
      </w:pPr>
    </w:p>
    <w:p w14:paraId="4288A22B">
      <w:pPr>
        <w:rPr>
          <w:color w:val="auto"/>
        </w:rPr>
      </w:pPr>
    </w:p>
    <w:p w14:paraId="0B05DA4F">
      <w:pPr>
        <w:pStyle w:val="3"/>
        <w:jc w:val="center"/>
        <w:rPr>
          <w:rFonts w:ascii="黑体" w:hAnsi="黑体" w:eastAsia="黑体"/>
          <w:color w:val="auto"/>
          <w:sz w:val="28"/>
          <w:szCs w:val="28"/>
        </w:rPr>
      </w:pPr>
      <w:bookmarkStart w:id="211" w:name="_Toc62472920"/>
      <w:bookmarkStart w:id="212" w:name="_Toc19802"/>
      <w:bookmarkStart w:id="213" w:name="_Toc22201159"/>
      <w:r>
        <w:rPr>
          <w:rFonts w:hint="eastAsia" w:ascii="黑体" w:hAnsi="黑体" w:eastAsia="黑体"/>
          <w:color w:val="auto"/>
          <w:sz w:val="28"/>
          <w:szCs w:val="28"/>
        </w:rPr>
        <w:t>七、合同条款偏离表</w:t>
      </w:r>
      <w:bookmarkEnd w:id="211"/>
      <w:bookmarkEnd w:id="212"/>
      <w:bookmarkEnd w:id="213"/>
    </w:p>
    <w:p w14:paraId="4B2ACEEB">
      <w:pPr>
        <w:adjustRightInd w:val="0"/>
        <w:snapToGrid w:val="0"/>
        <w:spacing w:beforeLines="50" w:line="360" w:lineRule="auto"/>
        <w:rPr>
          <w:rFonts w:ascii="宋体" w:hAnsi="宋体"/>
          <w:color w:val="auto"/>
          <w:szCs w:val="21"/>
          <w:u w:val="single"/>
        </w:rPr>
      </w:pPr>
      <w:r>
        <w:rPr>
          <w:rFonts w:hint="eastAsia" w:ascii="宋体" w:hAnsi="宋体"/>
          <w:color w:val="auto"/>
          <w:szCs w:val="21"/>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133360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noWrap w:val="0"/>
            <w:vAlign w:val="center"/>
          </w:tcPr>
          <w:p w14:paraId="4BE0AD6D">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序号</w:t>
            </w:r>
          </w:p>
        </w:tc>
        <w:tc>
          <w:tcPr>
            <w:tcW w:w="2410" w:type="dxa"/>
            <w:noWrap w:val="0"/>
            <w:vAlign w:val="center"/>
          </w:tcPr>
          <w:p w14:paraId="25CB456A">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磋商文件章节条款号</w:t>
            </w:r>
          </w:p>
        </w:tc>
        <w:tc>
          <w:tcPr>
            <w:tcW w:w="1985" w:type="dxa"/>
            <w:noWrap w:val="0"/>
            <w:vAlign w:val="center"/>
          </w:tcPr>
          <w:p w14:paraId="5DA1684E">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磋商文件要求</w:t>
            </w:r>
          </w:p>
        </w:tc>
        <w:tc>
          <w:tcPr>
            <w:tcW w:w="2082" w:type="dxa"/>
            <w:tcBorders>
              <w:right w:val="single" w:color="auto" w:sz="4" w:space="0"/>
            </w:tcBorders>
            <w:noWrap w:val="0"/>
            <w:vAlign w:val="center"/>
          </w:tcPr>
          <w:p w14:paraId="581F7166">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响应文件的应答</w:t>
            </w:r>
          </w:p>
        </w:tc>
        <w:tc>
          <w:tcPr>
            <w:tcW w:w="1942" w:type="dxa"/>
            <w:tcBorders>
              <w:left w:val="single" w:color="auto" w:sz="4" w:space="0"/>
            </w:tcBorders>
            <w:noWrap w:val="0"/>
            <w:vAlign w:val="center"/>
          </w:tcPr>
          <w:p w14:paraId="750C1F2A">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偏离说明</w:t>
            </w:r>
          </w:p>
        </w:tc>
      </w:tr>
      <w:tr w14:paraId="457E2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20716BD6">
            <w:pPr>
              <w:adjustRightInd w:val="0"/>
              <w:snapToGrid w:val="0"/>
              <w:spacing w:before="50" w:line="360" w:lineRule="auto"/>
              <w:jc w:val="center"/>
              <w:rPr>
                <w:rFonts w:ascii="宋体" w:hAnsi="宋体"/>
                <w:bCs/>
                <w:color w:val="auto"/>
                <w:szCs w:val="21"/>
              </w:rPr>
            </w:pPr>
          </w:p>
        </w:tc>
        <w:tc>
          <w:tcPr>
            <w:tcW w:w="2410" w:type="dxa"/>
            <w:noWrap w:val="0"/>
            <w:vAlign w:val="center"/>
          </w:tcPr>
          <w:p w14:paraId="0B6A9FE7">
            <w:pPr>
              <w:adjustRightInd w:val="0"/>
              <w:snapToGrid w:val="0"/>
              <w:spacing w:before="50" w:line="360" w:lineRule="auto"/>
              <w:jc w:val="center"/>
              <w:rPr>
                <w:rFonts w:ascii="宋体" w:hAnsi="宋体"/>
                <w:bCs/>
                <w:color w:val="auto"/>
                <w:szCs w:val="21"/>
              </w:rPr>
            </w:pPr>
          </w:p>
        </w:tc>
        <w:tc>
          <w:tcPr>
            <w:tcW w:w="1985" w:type="dxa"/>
            <w:noWrap w:val="0"/>
            <w:vAlign w:val="center"/>
          </w:tcPr>
          <w:p w14:paraId="2B449C76">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6535722C">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774B511F">
            <w:pPr>
              <w:adjustRightInd w:val="0"/>
              <w:snapToGrid w:val="0"/>
              <w:spacing w:before="50" w:line="360" w:lineRule="auto"/>
              <w:jc w:val="center"/>
              <w:rPr>
                <w:rFonts w:ascii="宋体" w:hAnsi="宋体"/>
                <w:bCs/>
                <w:color w:val="auto"/>
                <w:szCs w:val="21"/>
              </w:rPr>
            </w:pPr>
          </w:p>
        </w:tc>
      </w:tr>
      <w:tr w14:paraId="0C07A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647B42C1">
            <w:pPr>
              <w:adjustRightInd w:val="0"/>
              <w:snapToGrid w:val="0"/>
              <w:spacing w:before="50" w:line="360" w:lineRule="auto"/>
              <w:jc w:val="center"/>
              <w:rPr>
                <w:rFonts w:ascii="宋体" w:hAnsi="宋体"/>
                <w:bCs/>
                <w:color w:val="auto"/>
                <w:szCs w:val="21"/>
              </w:rPr>
            </w:pPr>
          </w:p>
        </w:tc>
        <w:tc>
          <w:tcPr>
            <w:tcW w:w="2410" w:type="dxa"/>
            <w:noWrap w:val="0"/>
            <w:vAlign w:val="center"/>
          </w:tcPr>
          <w:p w14:paraId="3429788E">
            <w:pPr>
              <w:adjustRightInd w:val="0"/>
              <w:snapToGrid w:val="0"/>
              <w:spacing w:before="50" w:line="360" w:lineRule="auto"/>
              <w:jc w:val="center"/>
              <w:rPr>
                <w:rFonts w:ascii="宋体" w:hAnsi="宋体"/>
                <w:bCs/>
                <w:color w:val="auto"/>
                <w:szCs w:val="21"/>
              </w:rPr>
            </w:pPr>
          </w:p>
        </w:tc>
        <w:tc>
          <w:tcPr>
            <w:tcW w:w="1985" w:type="dxa"/>
            <w:noWrap w:val="0"/>
            <w:vAlign w:val="center"/>
          </w:tcPr>
          <w:p w14:paraId="218694CA">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5EEEE423">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488B6B8A">
            <w:pPr>
              <w:adjustRightInd w:val="0"/>
              <w:snapToGrid w:val="0"/>
              <w:spacing w:before="50" w:line="360" w:lineRule="auto"/>
              <w:jc w:val="center"/>
              <w:rPr>
                <w:rFonts w:ascii="宋体" w:hAnsi="宋体"/>
                <w:bCs/>
                <w:color w:val="auto"/>
                <w:szCs w:val="21"/>
              </w:rPr>
            </w:pPr>
          </w:p>
        </w:tc>
      </w:tr>
      <w:tr w14:paraId="47C30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315C2E26">
            <w:pPr>
              <w:adjustRightInd w:val="0"/>
              <w:snapToGrid w:val="0"/>
              <w:spacing w:before="50" w:line="360" w:lineRule="auto"/>
              <w:jc w:val="center"/>
              <w:rPr>
                <w:rFonts w:ascii="宋体" w:hAnsi="宋体"/>
                <w:bCs/>
                <w:color w:val="auto"/>
                <w:szCs w:val="21"/>
              </w:rPr>
            </w:pPr>
          </w:p>
        </w:tc>
        <w:tc>
          <w:tcPr>
            <w:tcW w:w="2410" w:type="dxa"/>
            <w:noWrap w:val="0"/>
            <w:vAlign w:val="center"/>
          </w:tcPr>
          <w:p w14:paraId="05D989D3">
            <w:pPr>
              <w:adjustRightInd w:val="0"/>
              <w:snapToGrid w:val="0"/>
              <w:spacing w:before="50" w:line="360" w:lineRule="auto"/>
              <w:jc w:val="center"/>
              <w:rPr>
                <w:rFonts w:ascii="宋体" w:hAnsi="宋体"/>
                <w:bCs/>
                <w:color w:val="auto"/>
                <w:szCs w:val="21"/>
              </w:rPr>
            </w:pPr>
          </w:p>
        </w:tc>
        <w:tc>
          <w:tcPr>
            <w:tcW w:w="1985" w:type="dxa"/>
            <w:noWrap w:val="0"/>
            <w:vAlign w:val="center"/>
          </w:tcPr>
          <w:p w14:paraId="2CF6EA04">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1852D787">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37BAF403">
            <w:pPr>
              <w:adjustRightInd w:val="0"/>
              <w:snapToGrid w:val="0"/>
              <w:spacing w:before="50" w:line="360" w:lineRule="auto"/>
              <w:jc w:val="center"/>
              <w:rPr>
                <w:rFonts w:ascii="宋体" w:hAnsi="宋体"/>
                <w:bCs/>
                <w:color w:val="auto"/>
                <w:szCs w:val="21"/>
              </w:rPr>
            </w:pPr>
          </w:p>
        </w:tc>
      </w:tr>
      <w:tr w14:paraId="5D4A6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0EA4D444">
            <w:pPr>
              <w:adjustRightInd w:val="0"/>
              <w:snapToGrid w:val="0"/>
              <w:spacing w:before="50" w:line="360" w:lineRule="auto"/>
              <w:jc w:val="center"/>
              <w:rPr>
                <w:rFonts w:ascii="宋体" w:hAnsi="宋体"/>
                <w:bCs/>
                <w:color w:val="auto"/>
                <w:szCs w:val="21"/>
              </w:rPr>
            </w:pPr>
          </w:p>
        </w:tc>
        <w:tc>
          <w:tcPr>
            <w:tcW w:w="2410" w:type="dxa"/>
            <w:noWrap w:val="0"/>
            <w:vAlign w:val="center"/>
          </w:tcPr>
          <w:p w14:paraId="51CE675D">
            <w:pPr>
              <w:adjustRightInd w:val="0"/>
              <w:snapToGrid w:val="0"/>
              <w:spacing w:before="50" w:line="360" w:lineRule="auto"/>
              <w:jc w:val="center"/>
              <w:rPr>
                <w:rFonts w:ascii="宋体" w:hAnsi="宋体"/>
                <w:bCs/>
                <w:color w:val="auto"/>
                <w:szCs w:val="21"/>
              </w:rPr>
            </w:pPr>
          </w:p>
        </w:tc>
        <w:tc>
          <w:tcPr>
            <w:tcW w:w="1985" w:type="dxa"/>
            <w:noWrap w:val="0"/>
            <w:vAlign w:val="center"/>
          </w:tcPr>
          <w:p w14:paraId="1E4EFF78">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2EF87D7D">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528AFED3">
            <w:pPr>
              <w:adjustRightInd w:val="0"/>
              <w:snapToGrid w:val="0"/>
              <w:spacing w:before="50" w:line="360" w:lineRule="auto"/>
              <w:jc w:val="center"/>
              <w:rPr>
                <w:rFonts w:ascii="宋体" w:hAnsi="宋体"/>
                <w:bCs/>
                <w:color w:val="auto"/>
                <w:szCs w:val="21"/>
              </w:rPr>
            </w:pPr>
          </w:p>
        </w:tc>
      </w:tr>
      <w:tr w14:paraId="5E59D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689FFDC0">
            <w:pPr>
              <w:adjustRightInd w:val="0"/>
              <w:snapToGrid w:val="0"/>
              <w:spacing w:before="50" w:line="360" w:lineRule="auto"/>
              <w:jc w:val="center"/>
              <w:rPr>
                <w:rFonts w:ascii="宋体" w:hAnsi="宋体"/>
                <w:bCs/>
                <w:color w:val="auto"/>
                <w:szCs w:val="21"/>
              </w:rPr>
            </w:pPr>
          </w:p>
        </w:tc>
        <w:tc>
          <w:tcPr>
            <w:tcW w:w="2410" w:type="dxa"/>
            <w:noWrap w:val="0"/>
            <w:vAlign w:val="center"/>
          </w:tcPr>
          <w:p w14:paraId="649CA3E4">
            <w:pPr>
              <w:adjustRightInd w:val="0"/>
              <w:snapToGrid w:val="0"/>
              <w:spacing w:before="50" w:line="360" w:lineRule="auto"/>
              <w:jc w:val="center"/>
              <w:rPr>
                <w:rFonts w:ascii="宋体" w:hAnsi="宋体"/>
                <w:bCs/>
                <w:color w:val="auto"/>
                <w:szCs w:val="21"/>
              </w:rPr>
            </w:pPr>
          </w:p>
        </w:tc>
        <w:tc>
          <w:tcPr>
            <w:tcW w:w="1985" w:type="dxa"/>
            <w:noWrap w:val="0"/>
            <w:vAlign w:val="center"/>
          </w:tcPr>
          <w:p w14:paraId="0298425B">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1492AE41">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4D44FE7B">
            <w:pPr>
              <w:adjustRightInd w:val="0"/>
              <w:snapToGrid w:val="0"/>
              <w:spacing w:before="50" w:line="360" w:lineRule="auto"/>
              <w:jc w:val="center"/>
              <w:rPr>
                <w:rFonts w:ascii="宋体" w:hAnsi="宋体"/>
                <w:bCs/>
                <w:color w:val="auto"/>
                <w:szCs w:val="21"/>
              </w:rPr>
            </w:pPr>
          </w:p>
        </w:tc>
      </w:tr>
      <w:tr w14:paraId="097C4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67DBFB4A">
            <w:pPr>
              <w:adjustRightInd w:val="0"/>
              <w:snapToGrid w:val="0"/>
              <w:spacing w:before="50" w:line="360" w:lineRule="auto"/>
              <w:jc w:val="center"/>
              <w:rPr>
                <w:rFonts w:ascii="宋体" w:hAnsi="宋体"/>
                <w:bCs/>
                <w:color w:val="auto"/>
                <w:szCs w:val="21"/>
              </w:rPr>
            </w:pPr>
          </w:p>
        </w:tc>
        <w:tc>
          <w:tcPr>
            <w:tcW w:w="2410" w:type="dxa"/>
            <w:noWrap w:val="0"/>
            <w:vAlign w:val="center"/>
          </w:tcPr>
          <w:p w14:paraId="23684846">
            <w:pPr>
              <w:adjustRightInd w:val="0"/>
              <w:snapToGrid w:val="0"/>
              <w:spacing w:before="50" w:line="360" w:lineRule="auto"/>
              <w:jc w:val="center"/>
              <w:rPr>
                <w:rFonts w:ascii="宋体" w:hAnsi="宋体"/>
                <w:bCs/>
                <w:color w:val="auto"/>
                <w:szCs w:val="21"/>
              </w:rPr>
            </w:pPr>
          </w:p>
        </w:tc>
        <w:tc>
          <w:tcPr>
            <w:tcW w:w="1985" w:type="dxa"/>
            <w:noWrap w:val="0"/>
            <w:vAlign w:val="center"/>
          </w:tcPr>
          <w:p w14:paraId="4A6E9F42">
            <w:pPr>
              <w:adjustRightInd w:val="0"/>
              <w:snapToGrid w:val="0"/>
              <w:spacing w:before="50" w:line="360" w:lineRule="auto"/>
              <w:jc w:val="center"/>
              <w:rPr>
                <w:rFonts w:ascii="宋体" w:hAnsi="宋体"/>
                <w:bCs/>
                <w:color w:val="auto"/>
                <w:szCs w:val="21"/>
              </w:rPr>
            </w:pPr>
          </w:p>
        </w:tc>
        <w:tc>
          <w:tcPr>
            <w:tcW w:w="2082" w:type="dxa"/>
            <w:tcBorders>
              <w:right w:val="single" w:color="auto" w:sz="4" w:space="0"/>
            </w:tcBorders>
            <w:noWrap w:val="0"/>
            <w:vAlign w:val="center"/>
          </w:tcPr>
          <w:p w14:paraId="04B96A81">
            <w:pPr>
              <w:adjustRightInd w:val="0"/>
              <w:snapToGrid w:val="0"/>
              <w:spacing w:before="50" w:line="360" w:lineRule="auto"/>
              <w:jc w:val="center"/>
              <w:rPr>
                <w:rFonts w:ascii="宋体" w:hAnsi="宋体"/>
                <w:bCs/>
                <w:color w:val="auto"/>
                <w:szCs w:val="21"/>
              </w:rPr>
            </w:pPr>
          </w:p>
        </w:tc>
        <w:tc>
          <w:tcPr>
            <w:tcW w:w="1942" w:type="dxa"/>
            <w:tcBorders>
              <w:left w:val="single" w:color="auto" w:sz="4" w:space="0"/>
            </w:tcBorders>
            <w:noWrap w:val="0"/>
            <w:vAlign w:val="center"/>
          </w:tcPr>
          <w:p w14:paraId="51513A96">
            <w:pPr>
              <w:adjustRightInd w:val="0"/>
              <w:snapToGrid w:val="0"/>
              <w:spacing w:before="50" w:line="360" w:lineRule="auto"/>
              <w:jc w:val="center"/>
              <w:rPr>
                <w:rFonts w:ascii="宋体" w:hAnsi="宋体"/>
                <w:bCs/>
                <w:color w:val="auto"/>
                <w:szCs w:val="21"/>
              </w:rPr>
            </w:pPr>
          </w:p>
        </w:tc>
      </w:tr>
      <w:tr w14:paraId="6C2AD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0"/>
            <w:vAlign w:val="center"/>
          </w:tcPr>
          <w:p w14:paraId="03C977DF">
            <w:pPr>
              <w:adjustRightInd w:val="0"/>
              <w:snapToGrid w:val="0"/>
              <w:spacing w:before="50" w:line="360" w:lineRule="auto"/>
              <w:jc w:val="center"/>
              <w:rPr>
                <w:rFonts w:ascii="宋体" w:hAnsi="宋体"/>
                <w:bCs/>
                <w:color w:val="auto"/>
                <w:szCs w:val="21"/>
              </w:rPr>
            </w:pPr>
          </w:p>
        </w:tc>
        <w:tc>
          <w:tcPr>
            <w:tcW w:w="2410" w:type="dxa"/>
            <w:noWrap w:val="0"/>
            <w:vAlign w:val="center"/>
          </w:tcPr>
          <w:p w14:paraId="0F7B686E">
            <w:pPr>
              <w:adjustRightInd w:val="0"/>
              <w:snapToGrid w:val="0"/>
              <w:spacing w:before="50" w:line="360" w:lineRule="auto"/>
              <w:jc w:val="center"/>
              <w:rPr>
                <w:rFonts w:ascii="宋体" w:hAnsi="宋体"/>
                <w:bCs/>
                <w:color w:val="auto"/>
                <w:szCs w:val="21"/>
              </w:rPr>
            </w:pPr>
          </w:p>
        </w:tc>
        <w:tc>
          <w:tcPr>
            <w:tcW w:w="1985" w:type="dxa"/>
            <w:noWrap w:val="0"/>
            <w:vAlign w:val="center"/>
          </w:tcPr>
          <w:p w14:paraId="2F73326A">
            <w:pPr>
              <w:adjustRightInd w:val="0"/>
              <w:snapToGrid w:val="0"/>
              <w:spacing w:before="50" w:line="360" w:lineRule="auto"/>
              <w:jc w:val="center"/>
              <w:rPr>
                <w:rFonts w:ascii="宋体" w:hAnsi="宋体"/>
                <w:bCs/>
                <w:color w:val="auto"/>
                <w:szCs w:val="21"/>
              </w:rPr>
            </w:pPr>
          </w:p>
        </w:tc>
        <w:tc>
          <w:tcPr>
            <w:tcW w:w="4024" w:type="dxa"/>
            <w:gridSpan w:val="2"/>
            <w:noWrap w:val="0"/>
            <w:vAlign w:val="center"/>
          </w:tcPr>
          <w:p w14:paraId="3AFC968A">
            <w:pPr>
              <w:adjustRightInd w:val="0"/>
              <w:snapToGrid w:val="0"/>
              <w:spacing w:before="50" w:line="360" w:lineRule="auto"/>
              <w:rPr>
                <w:rFonts w:ascii="宋体" w:hAnsi="宋体"/>
                <w:bCs/>
                <w:color w:val="auto"/>
                <w:szCs w:val="21"/>
              </w:rPr>
            </w:pPr>
            <w:r>
              <w:rPr>
                <w:rFonts w:hint="eastAsia" w:ascii="宋体" w:hAnsi="宋体"/>
                <w:bCs/>
                <w:color w:val="auto"/>
                <w:szCs w:val="21"/>
              </w:rPr>
              <w:t>供应商保证：除本合同条款偏离表列出的偏离外，我单位对磋商文件的其他商务、合同条款完全响应，无偏离。</w:t>
            </w:r>
          </w:p>
        </w:tc>
      </w:tr>
    </w:tbl>
    <w:p w14:paraId="0C1F9EEF">
      <w:pPr>
        <w:adjustRightInd w:val="0"/>
        <w:snapToGrid w:val="0"/>
        <w:spacing w:before="50" w:line="360" w:lineRule="auto"/>
        <w:ind w:left="-88" w:leftChars="-42"/>
        <w:rPr>
          <w:rFonts w:ascii="宋体" w:hAnsi="宋体"/>
          <w:color w:val="auto"/>
          <w:szCs w:val="21"/>
        </w:rPr>
      </w:pPr>
      <w:r>
        <w:rPr>
          <w:rFonts w:hint="eastAsia" w:ascii="宋体" w:hAnsi="宋体" w:eastAsia="宋体"/>
          <w:b/>
          <w:color w:val="auto"/>
          <w:szCs w:val="21"/>
        </w:rPr>
        <w:t>注</w:t>
      </w:r>
      <w:r>
        <w:rPr>
          <w:rFonts w:hint="eastAsia" w:ascii="宋体" w:hAnsi="宋体"/>
          <w:color w:val="auto"/>
          <w:szCs w:val="21"/>
        </w:rPr>
        <w:t>：（1）供应商应根据磋</w:t>
      </w:r>
      <w:r>
        <w:rPr>
          <w:rFonts w:hint="eastAsia" w:ascii="宋体" w:hAnsi="宋体" w:eastAsia="宋体"/>
          <w:color w:val="auto"/>
          <w:szCs w:val="21"/>
        </w:rPr>
        <w:t>商文件第</w:t>
      </w:r>
      <w:r>
        <w:rPr>
          <w:rFonts w:hint="eastAsia" w:ascii="宋体" w:hAnsi="宋体" w:eastAsia="宋体"/>
          <w:color w:val="auto"/>
          <w:szCs w:val="21"/>
          <w:lang w:val="en-US" w:eastAsia="zh-CN"/>
        </w:rPr>
        <w:t>五</w:t>
      </w:r>
      <w:r>
        <w:rPr>
          <w:rFonts w:hint="eastAsia" w:ascii="宋体" w:hAnsi="宋体" w:eastAsia="宋体"/>
          <w:color w:val="auto"/>
          <w:szCs w:val="21"/>
        </w:rPr>
        <w:t>章“</w:t>
      </w:r>
      <w:r>
        <w:rPr>
          <w:rFonts w:hint="eastAsia" w:ascii="宋体" w:hAnsi="宋体" w:eastAsia="宋体"/>
          <w:color w:val="auto"/>
          <w:szCs w:val="21"/>
          <w:lang w:val="en-US" w:eastAsia="zh-CN"/>
        </w:rPr>
        <w:t>政府采购合同格式</w:t>
      </w:r>
      <w:r>
        <w:rPr>
          <w:rFonts w:hint="eastAsia" w:ascii="宋体" w:hAnsi="宋体" w:eastAsia="宋体"/>
          <w:color w:val="auto"/>
          <w:szCs w:val="21"/>
        </w:rPr>
        <w:t>”填写本表</w:t>
      </w:r>
      <w:r>
        <w:rPr>
          <w:rFonts w:hint="eastAsia" w:ascii="宋体" w:hAnsi="宋体"/>
          <w:color w:val="auto"/>
          <w:szCs w:val="21"/>
        </w:rPr>
        <w:t>；</w:t>
      </w:r>
    </w:p>
    <w:p w14:paraId="23A1B552">
      <w:pPr>
        <w:adjustRightInd w:val="0"/>
        <w:snapToGrid w:val="0"/>
        <w:spacing w:before="50" w:line="360" w:lineRule="auto"/>
        <w:ind w:left="-88" w:leftChars="-42" w:firstLine="420" w:firstLineChars="200"/>
        <w:rPr>
          <w:rFonts w:hint="eastAsia" w:ascii="宋体" w:hAnsi="宋体" w:eastAsia="宋体"/>
          <w:b/>
          <w:color w:val="auto"/>
          <w:szCs w:val="21"/>
        </w:rPr>
      </w:pPr>
      <w:r>
        <w:rPr>
          <w:rFonts w:hint="eastAsia" w:ascii="宋体" w:hAnsi="宋体"/>
          <w:color w:val="auto"/>
          <w:szCs w:val="21"/>
        </w:rPr>
        <w:t>（2）</w:t>
      </w:r>
      <w:r>
        <w:rPr>
          <w:rFonts w:hint="eastAsia" w:ascii="宋体" w:hAnsi="宋体"/>
          <w:b/>
          <w:color w:val="auto"/>
          <w:szCs w:val="21"/>
        </w:rPr>
        <w:t>供应商如果对</w:t>
      </w:r>
      <w:r>
        <w:rPr>
          <w:rFonts w:hint="eastAsia" w:ascii="宋体" w:hAnsi="宋体" w:eastAsia="宋体"/>
          <w:b/>
          <w:color w:val="auto"/>
          <w:szCs w:val="21"/>
        </w:rPr>
        <w:t>磋商文件第</w:t>
      </w:r>
      <w:r>
        <w:rPr>
          <w:rFonts w:hint="eastAsia" w:ascii="宋体" w:hAnsi="宋体" w:eastAsia="宋体"/>
          <w:b/>
          <w:color w:val="auto"/>
          <w:szCs w:val="21"/>
          <w:lang w:val="en-US" w:eastAsia="zh-CN"/>
        </w:rPr>
        <w:t>五</w:t>
      </w:r>
      <w:r>
        <w:rPr>
          <w:rFonts w:hint="eastAsia" w:ascii="宋体" w:hAnsi="宋体" w:eastAsia="宋体"/>
          <w:b/>
          <w:color w:val="auto"/>
          <w:szCs w:val="21"/>
        </w:rPr>
        <w:t>章“</w:t>
      </w:r>
      <w:r>
        <w:rPr>
          <w:rFonts w:hint="eastAsia" w:ascii="宋体" w:hAnsi="宋体" w:eastAsia="宋体"/>
          <w:b/>
          <w:color w:val="auto"/>
          <w:szCs w:val="21"/>
          <w:lang w:val="en-US" w:eastAsia="zh-CN"/>
        </w:rPr>
        <w:t>政府采购合同格式</w:t>
      </w:r>
      <w:r>
        <w:rPr>
          <w:rFonts w:hint="eastAsia" w:ascii="宋体" w:hAnsi="宋体" w:eastAsia="宋体"/>
          <w:b/>
          <w:color w:val="auto"/>
          <w:szCs w:val="21"/>
        </w:rPr>
        <w:t>”的响应有偏离，应将偏离条款逐条如实应答，并作出说明；</w:t>
      </w:r>
    </w:p>
    <w:p w14:paraId="634AAE32">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w:t>
      </w:r>
      <w:r>
        <w:rPr>
          <w:rFonts w:hint="eastAsia" w:ascii="宋体" w:hAnsi="宋体"/>
          <w:color w:val="auto"/>
          <w:szCs w:val="21"/>
          <w:lang w:val="en-US" w:eastAsia="zh-CN"/>
        </w:rPr>
        <w:t>五</w:t>
      </w:r>
      <w:r>
        <w:rPr>
          <w:rFonts w:hint="eastAsia" w:ascii="宋体" w:hAnsi="宋体"/>
          <w:color w:val="auto"/>
          <w:szCs w:val="21"/>
        </w:rPr>
        <w:t>章的所有条款要求，其</w:t>
      </w:r>
      <w:r>
        <w:rPr>
          <w:rFonts w:hint="eastAsia" w:ascii="宋体" w:hAnsi="宋体"/>
          <w:b/>
          <w:color w:val="auto"/>
          <w:szCs w:val="21"/>
        </w:rPr>
        <w:t>响应无效</w:t>
      </w:r>
      <w:r>
        <w:rPr>
          <w:rFonts w:hint="eastAsia" w:ascii="宋体" w:hAnsi="宋体"/>
          <w:color w:val="auto"/>
          <w:szCs w:val="21"/>
        </w:rPr>
        <w:t>。</w:t>
      </w:r>
    </w:p>
    <w:p w14:paraId="510B9FC4">
      <w:pPr>
        <w:adjustRightInd w:val="0"/>
        <w:snapToGrid w:val="0"/>
        <w:spacing w:before="50" w:line="360" w:lineRule="auto"/>
        <w:rPr>
          <w:rFonts w:ascii="宋体" w:hAnsi="宋体"/>
          <w:color w:val="auto"/>
          <w:szCs w:val="21"/>
        </w:rPr>
      </w:pPr>
    </w:p>
    <w:p w14:paraId="44586867">
      <w:pPr>
        <w:adjustRightInd w:val="0"/>
        <w:snapToGrid w:val="0"/>
        <w:spacing w:before="50" w:line="360" w:lineRule="auto"/>
        <w:rPr>
          <w:rFonts w:ascii="宋体" w:hAnsi="宋体"/>
          <w:color w:val="auto"/>
          <w:szCs w:val="21"/>
        </w:rPr>
      </w:pPr>
    </w:p>
    <w:p w14:paraId="25CFDAF7">
      <w:pPr>
        <w:adjustRightInd w:val="0"/>
        <w:snapToGrid w:val="0"/>
        <w:spacing w:before="50" w:line="360" w:lineRule="auto"/>
        <w:rPr>
          <w:rFonts w:ascii="宋体" w:hAnsi="宋体"/>
          <w:color w:val="auto"/>
          <w:szCs w:val="21"/>
        </w:rPr>
      </w:pPr>
    </w:p>
    <w:p w14:paraId="2A2FE80D">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5B5CE0FB">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70665DDE">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2C8386C4">
      <w:pPr>
        <w:pStyle w:val="3"/>
        <w:jc w:val="center"/>
        <w:rPr>
          <w:rFonts w:ascii="黑体" w:eastAsia="黑体"/>
          <w:color w:val="auto"/>
          <w:sz w:val="28"/>
          <w:szCs w:val="28"/>
        </w:rPr>
      </w:pPr>
      <w:r>
        <w:rPr>
          <w:rFonts w:ascii="黑体" w:eastAsia="黑体"/>
          <w:color w:val="auto"/>
          <w:sz w:val="28"/>
          <w:szCs w:val="28"/>
        </w:rPr>
        <w:br w:type="page"/>
      </w:r>
      <w:bookmarkStart w:id="214" w:name="_Toc62472921"/>
      <w:bookmarkStart w:id="215" w:name="_Toc20444"/>
      <w:bookmarkStart w:id="216" w:name="_Toc22201160"/>
      <w:r>
        <w:rPr>
          <w:rFonts w:hint="eastAsia" w:ascii="黑体" w:eastAsia="黑体"/>
          <w:color w:val="auto"/>
          <w:sz w:val="28"/>
          <w:szCs w:val="28"/>
        </w:rPr>
        <w:t>八、采购需求偏离表</w:t>
      </w:r>
      <w:bookmarkEnd w:id="214"/>
      <w:bookmarkEnd w:id="215"/>
      <w:bookmarkEnd w:id="216"/>
    </w:p>
    <w:p w14:paraId="3AE422F4">
      <w:pPr>
        <w:adjustRightInd w:val="0"/>
        <w:snapToGrid w:val="0"/>
        <w:spacing w:beforeLines="50" w:line="360" w:lineRule="auto"/>
        <w:rPr>
          <w:rFonts w:ascii="宋体" w:hAnsi="宋体"/>
          <w:color w:val="auto"/>
          <w:szCs w:val="21"/>
          <w:u w:val="single"/>
        </w:rPr>
      </w:pPr>
      <w:r>
        <w:rPr>
          <w:rFonts w:hint="eastAsia" w:ascii="宋体" w:hAnsi="宋体"/>
          <w:color w:val="auto"/>
          <w:szCs w:val="21"/>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6A9D3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0139549A">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序号</w:t>
            </w:r>
          </w:p>
        </w:tc>
        <w:tc>
          <w:tcPr>
            <w:tcW w:w="2410" w:type="dxa"/>
            <w:noWrap w:val="0"/>
            <w:vAlign w:val="center"/>
          </w:tcPr>
          <w:p w14:paraId="419D7C66">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磋商文件章节条款号</w:t>
            </w:r>
          </w:p>
        </w:tc>
        <w:tc>
          <w:tcPr>
            <w:tcW w:w="1985" w:type="dxa"/>
            <w:tcBorders>
              <w:right w:val="single" w:color="auto" w:sz="4" w:space="0"/>
            </w:tcBorders>
            <w:noWrap w:val="0"/>
            <w:vAlign w:val="center"/>
          </w:tcPr>
          <w:p w14:paraId="4B4767B4">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磋商文件要求</w:t>
            </w:r>
          </w:p>
        </w:tc>
        <w:tc>
          <w:tcPr>
            <w:tcW w:w="2126" w:type="dxa"/>
            <w:tcBorders>
              <w:left w:val="single" w:color="auto" w:sz="4" w:space="0"/>
            </w:tcBorders>
            <w:noWrap w:val="0"/>
            <w:vAlign w:val="center"/>
          </w:tcPr>
          <w:p w14:paraId="61675333">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响应文件应答</w:t>
            </w:r>
          </w:p>
        </w:tc>
        <w:tc>
          <w:tcPr>
            <w:tcW w:w="1756" w:type="dxa"/>
            <w:noWrap w:val="0"/>
            <w:vAlign w:val="center"/>
          </w:tcPr>
          <w:p w14:paraId="5E484C25">
            <w:pPr>
              <w:adjustRightInd w:val="0"/>
              <w:snapToGrid w:val="0"/>
              <w:spacing w:before="50" w:line="360" w:lineRule="auto"/>
              <w:jc w:val="center"/>
              <w:rPr>
                <w:rFonts w:ascii="宋体" w:hAnsi="宋体"/>
                <w:bCs/>
                <w:color w:val="auto"/>
                <w:szCs w:val="21"/>
              </w:rPr>
            </w:pPr>
            <w:r>
              <w:rPr>
                <w:rFonts w:hint="eastAsia" w:ascii="宋体" w:hAnsi="宋体"/>
                <w:bCs/>
                <w:color w:val="auto"/>
                <w:szCs w:val="21"/>
              </w:rPr>
              <w:t>偏离说明</w:t>
            </w:r>
          </w:p>
        </w:tc>
      </w:tr>
      <w:tr w14:paraId="01768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6262B56F">
            <w:pPr>
              <w:adjustRightInd w:val="0"/>
              <w:snapToGrid w:val="0"/>
              <w:spacing w:before="50" w:line="360" w:lineRule="auto"/>
              <w:jc w:val="center"/>
              <w:rPr>
                <w:rFonts w:ascii="宋体" w:hAnsi="宋体"/>
                <w:bCs/>
                <w:color w:val="auto"/>
                <w:szCs w:val="21"/>
              </w:rPr>
            </w:pPr>
          </w:p>
        </w:tc>
        <w:tc>
          <w:tcPr>
            <w:tcW w:w="2410" w:type="dxa"/>
            <w:noWrap w:val="0"/>
            <w:vAlign w:val="center"/>
          </w:tcPr>
          <w:p w14:paraId="2A3F6345">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45871B5B">
            <w:pPr>
              <w:adjustRightInd w:val="0"/>
              <w:snapToGrid w:val="0"/>
              <w:spacing w:before="50" w:line="360" w:lineRule="auto"/>
              <w:jc w:val="center"/>
              <w:rPr>
                <w:rFonts w:ascii="宋体" w:hAnsi="宋体"/>
                <w:bCs/>
                <w:color w:val="auto"/>
                <w:szCs w:val="21"/>
              </w:rPr>
            </w:pPr>
          </w:p>
        </w:tc>
        <w:tc>
          <w:tcPr>
            <w:tcW w:w="2126" w:type="dxa"/>
            <w:tcBorders>
              <w:left w:val="single" w:color="auto" w:sz="4" w:space="0"/>
            </w:tcBorders>
            <w:noWrap w:val="0"/>
            <w:vAlign w:val="center"/>
          </w:tcPr>
          <w:p w14:paraId="48A684B9">
            <w:pPr>
              <w:adjustRightInd w:val="0"/>
              <w:snapToGrid w:val="0"/>
              <w:spacing w:before="50" w:line="360" w:lineRule="auto"/>
              <w:jc w:val="center"/>
              <w:rPr>
                <w:rFonts w:ascii="宋体" w:hAnsi="宋体"/>
                <w:bCs/>
                <w:color w:val="auto"/>
                <w:szCs w:val="21"/>
              </w:rPr>
            </w:pPr>
          </w:p>
        </w:tc>
        <w:tc>
          <w:tcPr>
            <w:tcW w:w="1756" w:type="dxa"/>
            <w:noWrap w:val="0"/>
            <w:vAlign w:val="center"/>
          </w:tcPr>
          <w:p w14:paraId="1A32B870">
            <w:pPr>
              <w:adjustRightInd w:val="0"/>
              <w:snapToGrid w:val="0"/>
              <w:spacing w:before="50" w:line="360" w:lineRule="auto"/>
              <w:jc w:val="center"/>
              <w:rPr>
                <w:rFonts w:ascii="宋体" w:hAnsi="宋体"/>
                <w:bCs/>
                <w:color w:val="auto"/>
                <w:szCs w:val="21"/>
              </w:rPr>
            </w:pPr>
          </w:p>
        </w:tc>
      </w:tr>
      <w:tr w14:paraId="0E3F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B738C35">
            <w:pPr>
              <w:adjustRightInd w:val="0"/>
              <w:snapToGrid w:val="0"/>
              <w:spacing w:before="50" w:line="360" w:lineRule="auto"/>
              <w:jc w:val="center"/>
              <w:rPr>
                <w:rFonts w:ascii="宋体" w:hAnsi="宋体"/>
                <w:bCs/>
                <w:color w:val="auto"/>
                <w:szCs w:val="21"/>
              </w:rPr>
            </w:pPr>
          </w:p>
        </w:tc>
        <w:tc>
          <w:tcPr>
            <w:tcW w:w="2410" w:type="dxa"/>
            <w:noWrap w:val="0"/>
            <w:vAlign w:val="center"/>
          </w:tcPr>
          <w:p w14:paraId="6EF65294">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382AFE89">
            <w:pPr>
              <w:adjustRightInd w:val="0"/>
              <w:snapToGrid w:val="0"/>
              <w:spacing w:before="50" w:line="360" w:lineRule="auto"/>
              <w:jc w:val="center"/>
              <w:rPr>
                <w:rFonts w:ascii="宋体" w:hAnsi="宋体"/>
                <w:bCs/>
                <w:color w:val="auto"/>
                <w:szCs w:val="21"/>
              </w:rPr>
            </w:pPr>
          </w:p>
        </w:tc>
        <w:tc>
          <w:tcPr>
            <w:tcW w:w="2126" w:type="dxa"/>
            <w:tcBorders>
              <w:left w:val="single" w:color="auto" w:sz="4" w:space="0"/>
            </w:tcBorders>
            <w:noWrap w:val="0"/>
            <w:vAlign w:val="center"/>
          </w:tcPr>
          <w:p w14:paraId="19F4F321">
            <w:pPr>
              <w:adjustRightInd w:val="0"/>
              <w:snapToGrid w:val="0"/>
              <w:spacing w:before="50" w:line="360" w:lineRule="auto"/>
              <w:jc w:val="center"/>
              <w:rPr>
                <w:rFonts w:ascii="宋体" w:hAnsi="宋体"/>
                <w:bCs/>
                <w:color w:val="auto"/>
                <w:szCs w:val="21"/>
              </w:rPr>
            </w:pPr>
          </w:p>
        </w:tc>
        <w:tc>
          <w:tcPr>
            <w:tcW w:w="1756" w:type="dxa"/>
            <w:noWrap w:val="0"/>
            <w:vAlign w:val="center"/>
          </w:tcPr>
          <w:p w14:paraId="17C42A2C">
            <w:pPr>
              <w:adjustRightInd w:val="0"/>
              <w:snapToGrid w:val="0"/>
              <w:spacing w:before="50" w:line="360" w:lineRule="auto"/>
              <w:jc w:val="center"/>
              <w:rPr>
                <w:rFonts w:ascii="宋体" w:hAnsi="宋体"/>
                <w:bCs/>
                <w:color w:val="auto"/>
                <w:szCs w:val="21"/>
              </w:rPr>
            </w:pPr>
          </w:p>
        </w:tc>
      </w:tr>
      <w:tr w14:paraId="7D6E2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3760C5B">
            <w:pPr>
              <w:adjustRightInd w:val="0"/>
              <w:snapToGrid w:val="0"/>
              <w:spacing w:before="50" w:line="360" w:lineRule="auto"/>
              <w:jc w:val="center"/>
              <w:rPr>
                <w:rFonts w:ascii="宋体" w:hAnsi="宋体"/>
                <w:bCs/>
                <w:color w:val="auto"/>
                <w:szCs w:val="21"/>
              </w:rPr>
            </w:pPr>
          </w:p>
        </w:tc>
        <w:tc>
          <w:tcPr>
            <w:tcW w:w="2410" w:type="dxa"/>
            <w:noWrap w:val="0"/>
            <w:vAlign w:val="center"/>
          </w:tcPr>
          <w:p w14:paraId="035F9798">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4AA61A47">
            <w:pPr>
              <w:adjustRightInd w:val="0"/>
              <w:snapToGrid w:val="0"/>
              <w:spacing w:before="50" w:line="360" w:lineRule="auto"/>
              <w:jc w:val="center"/>
              <w:rPr>
                <w:rFonts w:ascii="宋体" w:hAnsi="宋体"/>
                <w:bCs/>
                <w:color w:val="auto"/>
                <w:szCs w:val="21"/>
              </w:rPr>
            </w:pPr>
          </w:p>
        </w:tc>
        <w:tc>
          <w:tcPr>
            <w:tcW w:w="2126" w:type="dxa"/>
            <w:tcBorders>
              <w:left w:val="single" w:color="auto" w:sz="4" w:space="0"/>
            </w:tcBorders>
            <w:noWrap w:val="0"/>
            <w:vAlign w:val="center"/>
          </w:tcPr>
          <w:p w14:paraId="623B3BD7">
            <w:pPr>
              <w:adjustRightInd w:val="0"/>
              <w:snapToGrid w:val="0"/>
              <w:spacing w:before="50" w:line="360" w:lineRule="auto"/>
              <w:jc w:val="center"/>
              <w:rPr>
                <w:rFonts w:ascii="宋体" w:hAnsi="宋体"/>
                <w:bCs/>
                <w:color w:val="auto"/>
                <w:szCs w:val="21"/>
              </w:rPr>
            </w:pPr>
          </w:p>
        </w:tc>
        <w:tc>
          <w:tcPr>
            <w:tcW w:w="1756" w:type="dxa"/>
            <w:noWrap w:val="0"/>
            <w:vAlign w:val="center"/>
          </w:tcPr>
          <w:p w14:paraId="450DCFFC">
            <w:pPr>
              <w:adjustRightInd w:val="0"/>
              <w:snapToGrid w:val="0"/>
              <w:spacing w:before="50" w:line="360" w:lineRule="auto"/>
              <w:jc w:val="center"/>
              <w:rPr>
                <w:rFonts w:ascii="宋体" w:hAnsi="宋体"/>
                <w:bCs/>
                <w:color w:val="auto"/>
                <w:szCs w:val="21"/>
              </w:rPr>
            </w:pPr>
          </w:p>
        </w:tc>
      </w:tr>
      <w:tr w14:paraId="59361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0B0E171B">
            <w:pPr>
              <w:adjustRightInd w:val="0"/>
              <w:snapToGrid w:val="0"/>
              <w:spacing w:before="50" w:line="360" w:lineRule="auto"/>
              <w:jc w:val="center"/>
              <w:rPr>
                <w:rFonts w:ascii="宋体" w:hAnsi="宋体"/>
                <w:bCs/>
                <w:color w:val="auto"/>
                <w:szCs w:val="21"/>
              </w:rPr>
            </w:pPr>
          </w:p>
        </w:tc>
        <w:tc>
          <w:tcPr>
            <w:tcW w:w="2410" w:type="dxa"/>
            <w:noWrap w:val="0"/>
            <w:vAlign w:val="center"/>
          </w:tcPr>
          <w:p w14:paraId="7D804F54">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2A161DE7">
            <w:pPr>
              <w:adjustRightInd w:val="0"/>
              <w:snapToGrid w:val="0"/>
              <w:spacing w:before="50" w:line="360" w:lineRule="auto"/>
              <w:jc w:val="center"/>
              <w:rPr>
                <w:rFonts w:ascii="宋体" w:hAnsi="宋体"/>
                <w:bCs/>
                <w:color w:val="auto"/>
                <w:szCs w:val="21"/>
              </w:rPr>
            </w:pPr>
          </w:p>
        </w:tc>
        <w:tc>
          <w:tcPr>
            <w:tcW w:w="2126" w:type="dxa"/>
            <w:tcBorders>
              <w:left w:val="single" w:color="auto" w:sz="4" w:space="0"/>
            </w:tcBorders>
            <w:noWrap w:val="0"/>
            <w:vAlign w:val="center"/>
          </w:tcPr>
          <w:p w14:paraId="6E25CB1E">
            <w:pPr>
              <w:adjustRightInd w:val="0"/>
              <w:snapToGrid w:val="0"/>
              <w:spacing w:before="50" w:line="360" w:lineRule="auto"/>
              <w:jc w:val="center"/>
              <w:rPr>
                <w:rFonts w:ascii="宋体" w:hAnsi="宋体"/>
                <w:bCs/>
                <w:color w:val="auto"/>
                <w:szCs w:val="21"/>
              </w:rPr>
            </w:pPr>
          </w:p>
        </w:tc>
        <w:tc>
          <w:tcPr>
            <w:tcW w:w="1756" w:type="dxa"/>
            <w:noWrap w:val="0"/>
            <w:vAlign w:val="center"/>
          </w:tcPr>
          <w:p w14:paraId="0672D326">
            <w:pPr>
              <w:adjustRightInd w:val="0"/>
              <w:snapToGrid w:val="0"/>
              <w:spacing w:before="50" w:line="360" w:lineRule="auto"/>
              <w:jc w:val="center"/>
              <w:rPr>
                <w:rFonts w:ascii="宋体" w:hAnsi="宋体"/>
                <w:bCs/>
                <w:color w:val="auto"/>
                <w:szCs w:val="21"/>
              </w:rPr>
            </w:pPr>
          </w:p>
        </w:tc>
      </w:tr>
      <w:tr w14:paraId="6F6EE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7BF0D758">
            <w:pPr>
              <w:adjustRightInd w:val="0"/>
              <w:snapToGrid w:val="0"/>
              <w:spacing w:before="50" w:line="360" w:lineRule="auto"/>
              <w:jc w:val="center"/>
              <w:rPr>
                <w:rFonts w:ascii="宋体" w:hAnsi="宋体"/>
                <w:bCs/>
                <w:color w:val="auto"/>
                <w:szCs w:val="21"/>
              </w:rPr>
            </w:pPr>
          </w:p>
        </w:tc>
        <w:tc>
          <w:tcPr>
            <w:tcW w:w="2410" w:type="dxa"/>
            <w:noWrap w:val="0"/>
            <w:vAlign w:val="center"/>
          </w:tcPr>
          <w:p w14:paraId="4CE3C96E">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279BF748">
            <w:pPr>
              <w:adjustRightInd w:val="0"/>
              <w:snapToGrid w:val="0"/>
              <w:spacing w:before="50" w:line="360" w:lineRule="auto"/>
              <w:jc w:val="center"/>
              <w:rPr>
                <w:rFonts w:ascii="宋体" w:hAnsi="宋体"/>
                <w:bCs/>
                <w:color w:val="auto"/>
                <w:szCs w:val="21"/>
              </w:rPr>
            </w:pPr>
          </w:p>
        </w:tc>
        <w:tc>
          <w:tcPr>
            <w:tcW w:w="2126" w:type="dxa"/>
            <w:tcBorders>
              <w:left w:val="single" w:color="auto" w:sz="4" w:space="0"/>
            </w:tcBorders>
            <w:noWrap w:val="0"/>
            <w:vAlign w:val="center"/>
          </w:tcPr>
          <w:p w14:paraId="4D598F21">
            <w:pPr>
              <w:adjustRightInd w:val="0"/>
              <w:snapToGrid w:val="0"/>
              <w:spacing w:before="50" w:line="360" w:lineRule="auto"/>
              <w:jc w:val="center"/>
              <w:rPr>
                <w:rFonts w:ascii="宋体" w:hAnsi="宋体"/>
                <w:bCs/>
                <w:color w:val="auto"/>
                <w:szCs w:val="21"/>
              </w:rPr>
            </w:pPr>
          </w:p>
        </w:tc>
        <w:tc>
          <w:tcPr>
            <w:tcW w:w="1756" w:type="dxa"/>
            <w:noWrap w:val="0"/>
            <w:vAlign w:val="center"/>
          </w:tcPr>
          <w:p w14:paraId="075E3949">
            <w:pPr>
              <w:adjustRightInd w:val="0"/>
              <w:snapToGrid w:val="0"/>
              <w:spacing w:before="50" w:line="360" w:lineRule="auto"/>
              <w:jc w:val="center"/>
              <w:rPr>
                <w:rFonts w:ascii="宋体" w:hAnsi="宋体"/>
                <w:bCs/>
                <w:color w:val="auto"/>
                <w:szCs w:val="21"/>
              </w:rPr>
            </w:pPr>
          </w:p>
        </w:tc>
      </w:tr>
      <w:tr w14:paraId="77E4E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56791377">
            <w:pPr>
              <w:adjustRightInd w:val="0"/>
              <w:snapToGrid w:val="0"/>
              <w:spacing w:before="50" w:line="360" w:lineRule="auto"/>
              <w:jc w:val="center"/>
              <w:rPr>
                <w:rFonts w:ascii="宋体" w:hAnsi="宋体"/>
                <w:bCs/>
                <w:color w:val="auto"/>
                <w:szCs w:val="21"/>
              </w:rPr>
            </w:pPr>
          </w:p>
        </w:tc>
        <w:tc>
          <w:tcPr>
            <w:tcW w:w="2410" w:type="dxa"/>
            <w:noWrap w:val="0"/>
            <w:vAlign w:val="center"/>
          </w:tcPr>
          <w:p w14:paraId="09CF53F7">
            <w:pPr>
              <w:adjustRightInd w:val="0"/>
              <w:snapToGrid w:val="0"/>
              <w:spacing w:before="50" w:line="360" w:lineRule="auto"/>
              <w:jc w:val="center"/>
              <w:rPr>
                <w:rFonts w:ascii="宋体" w:hAnsi="宋体"/>
                <w:bCs/>
                <w:color w:val="auto"/>
                <w:szCs w:val="21"/>
              </w:rPr>
            </w:pPr>
          </w:p>
        </w:tc>
        <w:tc>
          <w:tcPr>
            <w:tcW w:w="1985" w:type="dxa"/>
            <w:tcBorders>
              <w:right w:val="single" w:color="auto" w:sz="4" w:space="0"/>
            </w:tcBorders>
            <w:noWrap w:val="0"/>
            <w:vAlign w:val="center"/>
          </w:tcPr>
          <w:p w14:paraId="153A4874">
            <w:pPr>
              <w:adjustRightInd w:val="0"/>
              <w:snapToGrid w:val="0"/>
              <w:spacing w:before="50" w:line="360" w:lineRule="auto"/>
              <w:jc w:val="center"/>
              <w:rPr>
                <w:rFonts w:ascii="宋体" w:hAnsi="宋体"/>
                <w:bCs/>
                <w:color w:val="auto"/>
                <w:szCs w:val="21"/>
              </w:rPr>
            </w:pPr>
          </w:p>
        </w:tc>
        <w:tc>
          <w:tcPr>
            <w:tcW w:w="3882" w:type="dxa"/>
            <w:gridSpan w:val="2"/>
            <w:tcBorders>
              <w:left w:val="single" w:color="auto" w:sz="4" w:space="0"/>
            </w:tcBorders>
            <w:noWrap w:val="0"/>
            <w:vAlign w:val="center"/>
          </w:tcPr>
          <w:p w14:paraId="25AF07C4">
            <w:pPr>
              <w:adjustRightInd w:val="0"/>
              <w:snapToGrid w:val="0"/>
              <w:spacing w:before="50" w:line="360" w:lineRule="auto"/>
              <w:rPr>
                <w:rFonts w:ascii="宋体" w:hAnsi="宋体"/>
                <w:bCs/>
                <w:color w:val="auto"/>
                <w:szCs w:val="21"/>
              </w:rPr>
            </w:pPr>
            <w:r>
              <w:rPr>
                <w:rFonts w:hint="eastAsia" w:ascii="宋体" w:hAnsi="宋体"/>
                <w:bCs/>
                <w:color w:val="auto"/>
                <w:szCs w:val="21"/>
              </w:rPr>
              <w:t>供应商保证：除本采购需求偏离表列出的偏离外，我单位对磋商文件的其他采购需求条款完全响应，无偏离。</w:t>
            </w:r>
          </w:p>
        </w:tc>
      </w:tr>
    </w:tbl>
    <w:p w14:paraId="73CE78DB">
      <w:pPr>
        <w:adjustRightInd w:val="0"/>
        <w:snapToGrid w:val="0"/>
        <w:spacing w:before="50" w:line="360" w:lineRule="auto"/>
        <w:ind w:left="-88" w:leftChars="-42"/>
        <w:rPr>
          <w:rFonts w:ascii="宋体" w:hAnsi="宋体"/>
          <w:color w:val="auto"/>
          <w:szCs w:val="21"/>
        </w:rPr>
      </w:pPr>
      <w:r>
        <w:rPr>
          <w:rFonts w:hint="eastAsia" w:ascii="宋体" w:hAnsi="宋体" w:eastAsia="宋体"/>
          <w:b/>
          <w:color w:val="auto"/>
          <w:szCs w:val="21"/>
        </w:rPr>
        <w:t>注</w:t>
      </w:r>
      <w:r>
        <w:rPr>
          <w:rFonts w:hint="eastAsia" w:ascii="宋体" w:hAnsi="宋体"/>
          <w:color w:val="auto"/>
          <w:szCs w:val="21"/>
        </w:rPr>
        <w:t>：（1）供应商应根据磋商文件第四章“采购需求”填写本表；</w:t>
      </w:r>
    </w:p>
    <w:p w14:paraId="74DEE760">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供应商如果对磋商文件第四章“采购需求”的响应有偏离，应将偏离条款逐条如实应答，并作出说明；</w:t>
      </w:r>
    </w:p>
    <w:p w14:paraId="45973A3A">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（3）如不提供此表，则视为供应商不满足磋商文件第四章的所有条款要求，其</w:t>
      </w:r>
      <w:r>
        <w:rPr>
          <w:rFonts w:hint="eastAsia" w:ascii="宋体" w:hAnsi="宋体"/>
          <w:b/>
          <w:color w:val="auto"/>
          <w:szCs w:val="21"/>
        </w:rPr>
        <w:t>响应无效</w:t>
      </w:r>
      <w:r>
        <w:rPr>
          <w:rFonts w:hint="eastAsia" w:ascii="宋体" w:hAnsi="宋体"/>
          <w:color w:val="auto"/>
          <w:szCs w:val="21"/>
        </w:rPr>
        <w:t>。</w:t>
      </w:r>
    </w:p>
    <w:p w14:paraId="759648B1">
      <w:pPr>
        <w:adjustRightInd w:val="0"/>
        <w:snapToGrid w:val="0"/>
        <w:spacing w:before="50" w:line="360" w:lineRule="auto"/>
        <w:rPr>
          <w:rFonts w:ascii="宋体" w:hAnsi="宋体"/>
          <w:color w:val="auto"/>
          <w:szCs w:val="21"/>
        </w:rPr>
      </w:pPr>
    </w:p>
    <w:p w14:paraId="3D6AEB7F">
      <w:pPr>
        <w:adjustRightInd w:val="0"/>
        <w:snapToGrid w:val="0"/>
        <w:spacing w:before="50" w:line="360" w:lineRule="auto"/>
        <w:rPr>
          <w:rFonts w:ascii="宋体" w:hAnsi="宋体"/>
          <w:color w:val="auto"/>
          <w:szCs w:val="21"/>
        </w:rPr>
      </w:pPr>
    </w:p>
    <w:p w14:paraId="3B612F4E">
      <w:pPr>
        <w:adjustRightInd w:val="0"/>
        <w:snapToGrid w:val="0"/>
        <w:spacing w:before="50" w:line="360" w:lineRule="auto"/>
        <w:rPr>
          <w:rFonts w:ascii="宋体" w:hAnsi="宋体"/>
          <w:color w:val="auto"/>
          <w:szCs w:val="21"/>
        </w:rPr>
      </w:pPr>
    </w:p>
    <w:p w14:paraId="4FFEE1CD">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048DD415">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07EA5902">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5A652C20">
      <w:pPr>
        <w:rPr>
          <w:color w:val="auto"/>
        </w:rPr>
      </w:pPr>
    </w:p>
    <w:p w14:paraId="1FC2B355">
      <w:pPr>
        <w:rPr>
          <w:color w:val="auto"/>
        </w:rPr>
      </w:pPr>
    </w:p>
    <w:p w14:paraId="21BC701A">
      <w:pPr>
        <w:pStyle w:val="3"/>
        <w:jc w:val="center"/>
        <w:rPr>
          <w:rFonts w:ascii="黑体" w:hAnsi="黑体" w:eastAsia="黑体"/>
          <w:color w:val="auto"/>
          <w:sz w:val="28"/>
          <w:szCs w:val="28"/>
        </w:rPr>
      </w:pPr>
      <w:r>
        <w:rPr>
          <w:color w:val="auto"/>
        </w:rPr>
        <w:br w:type="page"/>
      </w:r>
      <w:bookmarkStart w:id="217" w:name="_Toc22201161"/>
      <w:bookmarkStart w:id="218" w:name="_Toc4088"/>
      <w:bookmarkStart w:id="219" w:name="_Toc62472922"/>
      <w:r>
        <w:rPr>
          <w:rFonts w:hint="eastAsia" w:ascii="黑体" w:hAnsi="黑体" w:eastAsia="黑体"/>
          <w:color w:val="auto"/>
          <w:sz w:val="28"/>
          <w:szCs w:val="28"/>
        </w:rPr>
        <w:t>九、享受政府采购政策的证明资料</w:t>
      </w:r>
      <w:bookmarkEnd w:id="217"/>
      <w:bookmarkEnd w:id="218"/>
      <w:bookmarkEnd w:id="219"/>
    </w:p>
    <w:p w14:paraId="629B6ADD">
      <w:pPr>
        <w:adjustRightInd w:val="0"/>
        <w:snapToGrid w:val="0"/>
        <w:spacing w:line="360" w:lineRule="auto"/>
        <w:rPr>
          <w:rFonts w:ascii="黑体" w:hAnsi="华文中宋" w:eastAsia="黑体" w:cs="宋体"/>
          <w:bCs/>
          <w:color w:val="auto"/>
          <w:spacing w:val="6"/>
          <w:kern w:val="0"/>
          <w:szCs w:val="21"/>
        </w:rPr>
      </w:pPr>
    </w:p>
    <w:p w14:paraId="46A1E061">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供应商符合第二章第37、38、39、40条要求的，应提供下列证明资料，并填写相关数据。</w:t>
      </w:r>
    </w:p>
    <w:p w14:paraId="456FDE8E">
      <w:pPr>
        <w:adjustRightInd w:val="0"/>
        <w:snapToGrid w:val="0"/>
        <w:spacing w:line="360" w:lineRule="auto"/>
        <w:rPr>
          <w:rFonts w:ascii="黑体" w:hAnsi="华文中宋" w:eastAsia="黑体" w:cs="宋体"/>
          <w:bCs/>
          <w:color w:val="auto"/>
          <w:spacing w:val="6"/>
          <w:kern w:val="0"/>
          <w:szCs w:val="21"/>
        </w:rPr>
      </w:pPr>
    </w:p>
    <w:p w14:paraId="3CC6A40E">
      <w:pPr>
        <w:pStyle w:val="5"/>
        <w:adjustRightInd w:val="0"/>
        <w:snapToGrid w:val="0"/>
        <w:spacing w:before="0" w:after="0" w:line="360" w:lineRule="auto"/>
        <w:rPr>
          <w:rFonts w:ascii="宋体" w:hAnsi="宋体"/>
          <w:color w:val="auto"/>
          <w:sz w:val="21"/>
          <w:szCs w:val="21"/>
        </w:rPr>
      </w:pPr>
      <w:bookmarkStart w:id="220" w:name="_Toc62472924"/>
      <w:bookmarkStart w:id="221" w:name="_Toc16882"/>
      <w:r>
        <w:rPr>
          <w:rFonts w:hint="eastAsia" w:ascii="宋体" w:hAnsi="宋体"/>
          <w:color w:val="auto"/>
          <w:sz w:val="21"/>
          <w:szCs w:val="21"/>
        </w:rPr>
        <w:t>附件9-1 中小企业声明函</w:t>
      </w:r>
      <w:bookmarkEnd w:id="220"/>
      <w:bookmarkEnd w:id="221"/>
    </w:p>
    <w:p w14:paraId="36F9287A">
      <w:pPr>
        <w:widowControl/>
        <w:adjustRightInd w:val="0"/>
        <w:snapToGrid w:val="0"/>
        <w:spacing w:line="360" w:lineRule="auto"/>
        <w:jc w:val="center"/>
        <w:rPr>
          <w:rFonts w:ascii="宋体" w:hAnsi="宋体" w:cs="宋体"/>
          <w:b/>
          <w:color w:val="auto"/>
          <w:kern w:val="0"/>
          <w:sz w:val="30"/>
          <w:szCs w:val="30"/>
        </w:rPr>
      </w:pPr>
      <w:r>
        <w:rPr>
          <w:rFonts w:hint="eastAsia" w:ascii="宋体" w:hAnsi="宋体" w:cs="宋体"/>
          <w:b/>
          <w:color w:val="auto"/>
          <w:kern w:val="0"/>
          <w:sz w:val="30"/>
          <w:szCs w:val="30"/>
        </w:rPr>
        <w:t>中小企业声明函</w:t>
      </w:r>
    </w:p>
    <w:p w14:paraId="2C37837A">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(不符合政策要求的无需提供)</w:t>
      </w:r>
    </w:p>
    <w:p w14:paraId="16025853">
      <w:pPr>
        <w:widowControl/>
        <w:adjustRightInd w:val="0"/>
        <w:snapToGrid w:val="0"/>
        <w:spacing w:line="360" w:lineRule="auto"/>
        <w:ind w:firstLine="420" w:firstLineChars="200"/>
        <w:jc w:val="left"/>
        <w:rPr>
          <w:rFonts w:ascii="宋体" w:hAnsi="宋体" w:cs="宋体"/>
          <w:color w:val="auto"/>
          <w:kern w:val="0"/>
          <w:szCs w:val="21"/>
        </w:rPr>
      </w:pPr>
    </w:p>
    <w:p w14:paraId="4B9218C1">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本公司(联合体)郑重声明，根据《政府采购促进中小企业发展管理办法》(财库[2020]46号)的规定，本公司(联合体)参加</w:t>
      </w:r>
      <w:r>
        <w:rPr>
          <w:rFonts w:hint="eastAsia" w:ascii="宋体" w:hAnsi="宋体" w:cs="宋体"/>
          <w:color w:val="auto"/>
          <w:kern w:val="0"/>
          <w:szCs w:val="21"/>
          <w:u w:val="single"/>
        </w:rPr>
        <w:t xml:space="preserve">      (单位名称)</w:t>
      </w:r>
      <w:r>
        <w:rPr>
          <w:rFonts w:hint="eastAsia" w:ascii="宋体" w:hAnsi="宋体" w:cs="宋体"/>
          <w:color w:val="auto"/>
          <w:kern w:val="0"/>
          <w:szCs w:val="21"/>
        </w:rPr>
        <w:t>的</w:t>
      </w:r>
      <w:r>
        <w:rPr>
          <w:rFonts w:hint="eastAsia" w:ascii="宋体" w:hAnsi="宋体" w:cs="宋体"/>
          <w:color w:val="auto"/>
          <w:kern w:val="0"/>
          <w:szCs w:val="21"/>
          <w:u w:val="single"/>
        </w:rPr>
        <w:t xml:space="preserve">      (项目名称)</w:t>
      </w:r>
      <w:r>
        <w:rPr>
          <w:rFonts w:hint="eastAsia" w:ascii="宋体" w:hAnsi="宋体" w:cs="宋体"/>
          <w:color w:val="auto"/>
          <w:kern w:val="0"/>
          <w:szCs w:val="21"/>
        </w:rPr>
        <w:t>采购活动，工程的施工单位全部为符合政策要求的中小企业。相关企业(含联合体中的中小企业、签订分包意向协议的中小企业)的具体情况如下:</w:t>
      </w:r>
    </w:p>
    <w:p w14:paraId="34AABD3F">
      <w:pPr>
        <w:widowControl/>
        <w:adjustRightInd w:val="0"/>
        <w:snapToGrid w:val="0"/>
        <w:spacing w:line="360" w:lineRule="auto"/>
        <w:ind w:firstLine="420" w:firstLineChars="200"/>
        <w:jc w:val="left"/>
        <w:rPr>
          <w:rFonts w:ascii="宋体" w:hAnsi="宋体"/>
          <w:color w:val="auto"/>
        </w:rPr>
      </w:pPr>
      <w:r>
        <w:rPr>
          <w:rFonts w:hint="eastAsia" w:ascii="宋体" w:hAnsi="宋体" w:cs="宋体"/>
          <w:color w:val="auto"/>
          <w:szCs w:val="21"/>
          <w:u w:val="single"/>
          <w:lang w:val="en-US" w:eastAsia="zh-CN"/>
        </w:rPr>
        <w:t xml:space="preserve">          </w:t>
      </w:r>
      <w:r>
        <w:rPr>
          <w:rFonts w:hint="eastAsia" w:ascii="宋体" w:hAnsi="宋体"/>
          <w:color w:val="auto"/>
          <w:u w:val="single"/>
        </w:rPr>
        <w:t>( 标的名称)</w:t>
      </w:r>
      <w:r>
        <w:rPr>
          <w:rFonts w:hint="eastAsia" w:ascii="宋体" w:hAnsi="宋体"/>
          <w:color w:val="auto"/>
        </w:rPr>
        <w:t>，属于</w:t>
      </w:r>
      <w:r>
        <w:rPr>
          <w:rFonts w:hint="eastAsia" w:ascii="宋体" w:hAnsi="宋体" w:cs="宋体"/>
          <w:color w:val="auto"/>
          <w:szCs w:val="21"/>
          <w:u w:val="single"/>
          <w:lang w:val="en-US" w:eastAsia="zh-CN"/>
        </w:rPr>
        <w:t xml:space="preserve">          </w:t>
      </w:r>
      <w:r>
        <w:rPr>
          <w:rFonts w:hint="eastAsia" w:ascii="宋体" w:hAnsi="宋体"/>
          <w:color w:val="auto"/>
          <w:u w:val="single"/>
        </w:rPr>
        <w:t xml:space="preserve"> (采购文件中明确的所属行业)</w:t>
      </w:r>
      <w:r>
        <w:rPr>
          <w:rFonts w:hint="eastAsia" w:ascii="宋体" w:hAnsi="宋体"/>
          <w:color w:val="auto"/>
        </w:rPr>
        <w:t xml:space="preserve"> 行业：承建为</w:t>
      </w:r>
      <w:r>
        <w:rPr>
          <w:rFonts w:hint="eastAsia" w:ascii="宋体" w:hAnsi="宋体"/>
          <w:color w:val="auto"/>
          <w:u w:val="single"/>
        </w:rPr>
        <w:t xml:space="preserve"> </w:t>
      </w:r>
      <w:r>
        <w:rPr>
          <w:rFonts w:hint="eastAsia" w:ascii="宋体" w:hAnsi="宋体" w:cs="宋体"/>
          <w:color w:val="auto"/>
          <w:szCs w:val="21"/>
          <w:u w:val="single"/>
          <w:lang w:val="en-US" w:eastAsia="zh-CN"/>
        </w:rPr>
        <w:t xml:space="preserve">          </w:t>
      </w:r>
      <w:r>
        <w:rPr>
          <w:rFonts w:hint="eastAsia" w:ascii="宋体" w:hAnsi="宋体"/>
          <w:color w:val="auto"/>
          <w:u w:val="single"/>
        </w:rPr>
        <w:t>(企业名称)</w:t>
      </w:r>
      <w:r>
        <w:rPr>
          <w:rFonts w:hint="eastAsia" w:ascii="宋体" w:hAnsi="宋体"/>
          <w:color w:val="auto"/>
        </w:rPr>
        <w:t>，从业人员</w:t>
      </w:r>
      <w:r>
        <w:rPr>
          <w:rFonts w:hint="eastAsia" w:ascii="宋体" w:hAnsi="宋体" w:cs="宋体"/>
          <w:color w:val="auto"/>
          <w:szCs w:val="21"/>
          <w:u w:val="single"/>
          <w:lang w:val="en-US" w:eastAsia="zh-CN"/>
        </w:rPr>
        <w:t xml:space="preserve">          </w:t>
      </w:r>
      <w:r>
        <w:rPr>
          <w:rFonts w:hint="eastAsia" w:ascii="宋体" w:hAnsi="宋体"/>
          <w:color w:val="auto"/>
        </w:rPr>
        <w:t>人，营业收入为</w:t>
      </w:r>
      <w:r>
        <w:rPr>
          <w:rFonts w:hint="eastAsia" w:ascii="宋体" w:hAnsi="宋体" w:cs="宋体"/>
          <w:color w:val="auto"/>
          <w:szCs w:val="21"/>
          <w:u w:val="single"/>
          <w:lang w:val="en-US" w:eastAsia="zh-CN"/>
        </w:rPr>
        <w:t xml:space="preserve">          </w:t>
      </w:r>
      <w:r>
        <w:rPr>
          <w:rFonts w:hint="eastAsia" w:ascii="宋体" w:hAnsi="宋体"/>
          <w:color w:val="auto"/>
        </w:rPr>
        <w:t>万元，资产总额为</w:t>
      </w:r>
      <w:r>
        <w:rPr>
          <w:rFonts w:hint="eastAsia" w:ascii="宋体" w:hAnsi="宋体" w:cs="宋体"/>
          <w:color w:val="auto"/>
          <w:szCs w:val="21"/>
          <w:u w:val="single"/>
          <w:lang w:val="en-US" w:eastAsia="zh-CN"/>
        </w:rPr>
        <w:t xml:space="preserve">          </w:t>
      </w:r>
      <w:r>
        <w:rPr>
          <w:rFonts w:hint="eastAsia" w:ascii="宋体" w:hAnsi="宋体"/>
          <w:color w:val="auto"/>
        </w:rPr>
        <w:t>万元</w:t>
      </w:r>
      <w:r>
        <w:rPr>
          <w:rFonts w:hint="eastAsia" w:ascii="宋体" w:hAnsi="宋体"/>
          <w:b/>
          <w:color w:val="auto"/>
          <w:vertAlign w:val="superscript"/>
        </w:rPr>
        <w:t>[1]</w:t>
      </w:r>
      <w:r>
        <w:rPr>
          <w:rFonts w:hint="eastAsia" w:ascii="宋体" w:hAnsi="宋体"/>
          <w:color w:val="auto"/>
        </w:rPr>
        <w:t>，属于</w:t>
      </w:r>
      <w:r>
        <w:rPr>
          <w:rFonts w:hint="eastAsia" w:ascii="宋体" w:hAnsi="宋体" w:cs="宋体"/>
          <w:color w:val="auto"/>
          <w:szCs w:val="21"/>
          <w:u w:val="single"/>
          <w:lang w:val="en-US" w:eastAsia="zh-CN"/>
        </w:rPr>
        <w:t xml:space="preserve">          </w:t>
      </w:r>
      <w:r>
        <w:rPr>
          <w:rFonts w:hint="eastAsia" w:ascii="宋体" w:hAnsi="宋体"/>
          <w:color w:val="auto"/>
          <w:u w:val="single"/>
        </w:rPr>
        <w:t xml:space="preserve"> (中型企业、小型企业，微型企业)</w:t>
      </w:r>
      <w:r>
        <w:rPr>
          <w:rFonts w:hint="eastAsia" w:ascii="宋体" w:hAnsi="宋体"/>
          <w:color w:val="auto"/>
        </w:rPr>
        <w:t xml:space="preserve"> 。</w:t>
      </w:r>
    </w:p>
    <w:p w14:paraId="4B503584">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25C97582">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本企业对上述声明内容的真实性负责。如有虚假，将法承担相应责任。</w:t>
      </w:r>
    </w:p>
    <w:p w14:paraId="77869F8A">
      <w:pPr>
        <w:widowControl/>
        <w:adjustRightInd w:val="0"/>
        <w:snapToGrid w:val="0"/>
        <w:spacing w:line="360" w:lineRule="auto"/>
        <w:ind w:firstLine="420" w:firstLineChars="200"/>
        <w:jc w:val="left"/>
        <w:rPr>
          <w:rFonts w:ascii="宋体" w:hAnsi="宋体" w:cs="宋体"/>
          <w:color w:val="auto"/>
          <w:kern w:val="0"/>
          <w:szCs w:val="21"/>
        </w:rPr>
      </w:pPr>
    </w:p>
    <w:p w14:paraId="56239ECB">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企业名称（盖章）：</w:t>
      </w:r>
      <w:r>
        <w:rPr>
          <w:rFonts w:hint="eastAsia" w:ascii="宋体" w:hAnsi="宋体" w:cs="宋体"/>
          <w:color w:val="auto"/>
          <w:szCs w:val="21"/>
          <w:u w:val="single"/>
          <w:lang w:val="en-US" w:eastAsia="zh-CN"/>
        </w:rPr>
        <w:t xml:space="preserve">          </w:t>
      </w:r>
    </w:p>
    <w:p w14:paraId="1E996C37">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s="宋体"/>
          <w:color w:val="auto"/>
          <w:szCs w:val="21"/>
          <w:u w:val="single"/>
          <w:lang w:val="en-US" w:eastAsia="zh-CN"/>
        </w:rPr>
        <w:t xml:space="preserve">    </w:t>
      </w:r>
      <w:r>
        <w:rPr>
          <w:rFonts w:hint="eastAsia" w:ascii="宋体" w:hAnsi="宋体" w:cs="宋体"/>
          <w:color w:val="auto"/>
          <w:kern w:val="0"/>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kern w:val="0"/>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kern w:val="0"/>
          <w:szCs w:val="21"/>
          <w:u w:val="single"/>
        </w:rPr>
        <w:t>日</w:t>
      </w:r>
    </w:p>
    <w:p w14:paraId="4A27808F">
      <w:pPr>
        <w:adjustRightInd w:val="0"/>
        <w:snapToGrid w:val="0"/>
        <w:spacing w:line="360" w:lineRule="auto"/>
        <w:rPr>
          <w:rFonts w:ascii="宋体" w:hAnsi="宋体"/>
          <w:color w:val="auto"/>
          <w:vertAlign w:val="superscript"/>
        </w:rPr>
      </w:pPr>
    </w:p>
    <w:p w14:paraId="1279C294">
      <w:pPr>
        <w:adjustRightInd w:val="0"/>
        <w:snapToGrid w:val="0"/>
        <w:spacing w:line="360" w:lineRule="auto"/>
        <w:rPr>
          <w:rFonts w:ascii="宋体" w:hAnsi="宋体"/>
          <w:color w:val="auto"/>
        </w:rPr>
      </w:pPr>
      <w:r>
        <w:rPr>
          <w:rFonts w:hint="eastAsia" w:ascii="宋体" w:hAnsi="宋体"/>
          <w:color w:val="auto"/>
        </w:rPr>
        <w:t>注：1、</w:t>
      </w:r>
      <w:r>
        <w:rPr>
          <w:rFonts w:hint="eastAsia" w:ascii="宋体" w:hAnsi="宋体"/>
          <w:color w:val="auto"/>
          <w:vertAlign w:val="superscript"/>
        </w:rPr>
        <w:t xml:space="preserve">[1] </w:t>
      </w:r>
      <w:r>
        <w:rPr>
          <w:rFonts w:hint="eastAsia" w:ascii="宋体" w:hAnsi="宋体"/>
          <w:color w:val="auto"/>
        </w:rPr>
        <w:t>从业人员、营业收入、资产总额填报上一年度数据，无上一年度数据的新成立企业可不填写。</w:t>
      </w:r>
    </w:p>
    <w:p w14:paraId="2CE45E23">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olor w:val="auto"/>
        </w:rPr>
        <w:t>2、“采购文件中明确的所属行业”见磋商文件第二章第42.1款第(3)项。</w:t>
      </w:r>
    </w:p>
    <w:p w14:paraId="740BA857">
      <w:pPr>
        <w:adjustRightInd w:val="0"/>
        <w:snapToGrid w:val="0"/>
        <w:spacing w:line="360" w:lineRule="auto"/>
        <w:ind w:firstLine="420" w:firstLineChars="200"/>
        <w:rPr>
          <w:rFonts w:ascii="宋体" w:hAnsi="宋体"/>
          <w:color w:val="auto"/>
        </w:rPr>
      </w:pPr>
      <w:r>
        <w:rPr>
          <w:rFonts w:hint="eastAsia" w:ascii="宋体" w:hAnsi="宋体"/>
          <w:color w:val="auto"/>
        </w:rPr>
        <w:t>3、供应商以联合体形式参加采购活动，或者采购项目分包的，还应提供联合体协议，或者分包意向协议。</w:t>
      </w:r>
    </w:p>
    <w:p w14:paraId="313A3652">
      <w:pPr>
        <w:widowControl/>
        <w:adjustRightInd w:val="0"/>
        <w:snapToGrid w:val="0"/>
        <w:spacing w:line="360" w:lineRule="auto"/>
        <w:jc w:val="center"/>
        <w:rPr>
          <w:rFonts w:ascii="宋体" w:hAnsi="宋体" w:eastAsia="宋体" w:cs="黑体"/>
          <w:bCs/>
          <w:color w:val="auto"/>
          <w:spacing w:val="6"/>
          <w:kern w:val="0"/>
          <w:szCs w:val="21"/>
        </w:rPr>
      </w:pPr>
    </w:p>
    <w:p w14:paraId="38019B6A">
      <w:pPr>
        <w:widowControl/>
        <w:adjustRightInd w:val="0"/>
        <w:snapToGrid w:val="0"/>
        <w:spacing w:line="360" w:lineRule="auto"/>
        <w:jc w:val="center"/>
        <w:rPr>
          <w:rFonts w:ascii="黑体" w:hAnsi="黑体" w:eastAsia="黑体" w:cs="黑体"/>
          <w:b/>
          <w:bCs/>
          <w:color w:val="auto"/>
          <w:spacing w:val="6"/>
          <w:kern w:val="0"/>
          <w:sz w:val="28"/>
          <w:szCs w:val="28"/>
        </w:rPr>
      </w:pPr>
    </w:p>
    <w:p w14:paraId="0D982E12">
      <w:pPr>
        <w:widowControl/>
        <w:adjustRightInd w:val="0"/>
        <w:snapToGrid w:val="0"/>
        <w:spacing w:line="360" w:lineRule="auto"/>
        <w:jc w:val="center"/>
        <w:rPr>
          <w:rFonts w:ascii="黑体" w:hAnsi="黑体" w:eastAsia="黑体" w:cs="黑体"/>
          <w:b/>
          <w:bCs/>
          <w:color w:val="auto"/>
          <w:spacing w:val="6"/>
          <w:kern w:val="0"/>
          <w:sz w:val="28"/>
          <w:szCs w:val="28"/>
        </w:rPr>
      </w:pPr>
    </w:p>
    <w:p w14:paraId="501C0606">
      <w:pPr>
        <w:widowControl/>
        <w:jc w:val="left"/>
        <w:rPr>
          <w:rFonts w:ascii="宋体" w:hAnsi="宋体" w:cs="宋体"/>
          <w:b/>
          <w:bCs/>
          <w:color w:val="auto"/>
          <w:spacing w:val="6"/>
          <w:kern w:val="0"/>
          <w:szCs w:val="32"/>
        </w:rPr>
      </w:pPr>
      <w:bookmarkStart w:id="222" w:name="_Toc22201164"/>
      <w:r>
        <w:rPr>
          <w:rFonts w:ascii="宋体" w:hAnsi="宋体" w:cs="宋体"/>
          <w:color w:val="auto"/>
          <w:spacing w:val="6"/>
          <w:kern w:val="0"/>
        </w:rPr>
        <w:br w:type="page"/>
      </w:r>
    </w:p>
    <w:p w14:paraId="1317A1CE">
      <w:pPr>
        <w:pStyle w:val="5"/>
        <w:adjustRightInd w:val="0"/>
        <w:snapToGrid w:val="0"/>
        <w:spacing w:before="0" w:after="0" w:line="360" w:lineRule="auto"/>
        <w:rPr>
          <w:rFonts w:ascii="宋体" w:hAnsi="宋体"/>
          <w:color w:val="auto"/>
          <w:spacing w:val="6"/>
          <w:sz w:val="21"/>
        </w:rPr>
      </w:pPr>
      <w:bookmarkStart w:id="223" w:name="_Toc14729"/>
      <w:bookmarkStart w:id="224" w:name="_Toc62472925"/>
      <w:r>
        <w:rPr>
          <w:rFonts w:hint="eastAsia" w:ascii="宋体" w:hAnsi="宋体" w:cs="宋体"/>
          <w:color w:val="auto"/>
          <w:spacing w:val="6"/>
          <w:kern w:val="0"/>
          <w:sz w:val="21"/>
        </w:rPr>
        <w:t xml:space="preserve">附件9-2 </w:t>
      </w:r>
      <w:r>
        <w:rPr>
          <w:rFonts w:hint="eastAsia" w:ascii="宋体" w:hAnsi="宋体"/>
          <w:color w:val="auto"/>
          <w:spacing w:val="6"/>
          <w:sz w:val="21"/>
        </w:rPr>
        <w:t>残疾人福利性单位声明函</w:t>
      </w:r>
      <w:bookmarkEnd w:id="222"/>
      <w:bookmarkEnd w:id="223"/>
      <w:bookmarkEnd w:id="224"/>
    </w:p>
    <w:p w14:paraId="08B0CE48">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14:paraId="5D19753A">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(不符合政策要求的无需提供)</w:t>
      </w:r>
    </w:p>
    <w:p w14:paraId="03FD232E">
      <w:pPr>
        <w:adjustRightInd w:val="0"/>
        <w:snapToGrid w:val="0"/>
        <w:spacing w:line="360" w:lineRule="auto"/>
        <w:ind w:firstLine="444" w:firstLineChars="200"/>
        <w:rPr>
          <w:rFonts w:ascii="宋体" w:hAnsi="宋体"/>
          <w:color w:val="auto"/>
          <w:spacing w:val="6"/>
          <w:szCs w:val="21"/>
        </w:rPr>
      </w:pPr>
    </w:p>
    <w:p w14:paraId="06C169FF">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6A4B8F">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4752A8E1">
      <w:pPr>
        <w:adjustRightInd w:val="0"/>
        <w:snapToGrid w:val="0"/>
        <w:spacing w:line="360" w:lineRule="auto"/>
        <w:ind w:firstLine="444" w:firstLineChars="200"/>
        <w:rPr>
          <w:rFonts w:ascii="宋体" w:hAnsi="宋体"/>
          <w:color w:val="auto"/>
          <w:spacing w:val="6"/>
          <w:szCs w:val="21"/>
        </w:rPr>
      </w:pPr>
    </w:p>
    <w:p w14:paraId="01D56771">
      <w:pPr>
        <w:adjustRightInd w:val="0"/>
        <w:snapToGrid w:val="0"/>
        <w:spacing w:line="360" w:lineRule="auto"/>
        <w:ind w:firstLine="444" w:firstLineChars="200"/>
        <w:rPr>
          <w:rFonts w:ascii="宋体" w:hAnsi="宋体"/>
          <w:color w:val="auto"/>
          <w:spacing w:val="6"/>
          <w:szCs w:val="21"/>
        </w:rPr>
      </w:pPr>
    </w:p>
    <w:p w14:paraId="6846B9EF">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14:paraId="30F0F9F4">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14:paraId="2EB5CBB4">
      <w:pPr>
        <w:widowControl/>
        <w:adjustRightInd w:val="0"/>
        <w:snapToGrid w:val="0"/>
        <w:spacing w:line="360" w:lineRule="auto"/>
        <w:jc w:val="left"/>
        <w:rPr>
          <w:rFonts w:ascii="宋体" w:hAnsi="宋体" w:cs="宋体"/>
          <w:color w:val="auto"/>
          <w:kern w:val="0"/>
          <w:szCs w:val="21"/>
        </w:rPr>
      </w:pPr>
    </w:p>
    <w:p w14:paraId="2C151155">
      <w:pPr>
        <w:pStyle w:val="5"/>
        <w:adjustRightInd w:val="0"/>
        <w:snapToGrid w:val="0"/>
        <w:spacing w:before="0" w:after="0" w:line="360" w:lineRule="auto"/>
        <w:rPr>
          <w:rFonts w:ascii="宋体" w:hAnsi="宋体"/>
          <w:color w:val="auto"/>
          <w:sz w:val="21"/>
          <w:szCs w:val="21"/>
        </w:rPr>
      </w:pPr>
      <w:r>
        <w:rPr>
          <w:rFonts w:ascii="黑体" w:hAnsi="华文中宋" w:cs="宋体"/>
          <w:color w:val="auto"/>
          <w:spacing w:val="6"/>
          <w:kern w:val="0"/>
        </w:rPr>
        <w:br w:type="page"/>
      </w:r>
      <w:bookmarkStart w:id="225" w:name="_Toc22201165"/>
      <w:bookmarkStart w:id="226" w:name="_Toc62472926"/>
      <w:bookmarkStart w:id="227" w:name="_Toc15588"/>
      <w:r>
        <w:rPr>
          <w:rFonts w:hint="eastAsia" w:ascii="宋体" w:hAnsi="宋体" w:cs="宋体"/>
          <w:color w:val="auto"/>
          <w:kern w:val="0"/>
          <w:sz w:val="21"/>
          <w:szCs w:val="21"/>
        </w:rPr>
        <w:t xml:space="preserve">附件9-3 </w:t>
      </w:r>
      <w:r>
        <w:rPr>
          <w:rFonts w:hint="eastAsia" w:ascii="宋体" w:hAnsi="宋体"/>
          <w:color w:val="auto"/>
          <w:sz w:val="21"/>
          <w:szCs w:val="21"/>
        </w:rPr>
        <w:t>监狱企业证明资料</w:t>
      </w:r>
      <w:bookmarkEnd w:id="225"/>
      <w:bookmarkEnd w:id="226"/>
      <w:bookmarkEnd w:id="227"/>
    </w:p>
    <w:p w14:paraId="502343C3">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14:paraId="75F19F11">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(不符合政策要求的无需提供)</w:t>
      </w:r>
    </w:p>
    <w:p w14:paraId="243C1F7E">
      <w:pPr>
        <w:adjustRightInd w:val="0"/>
        <w:snapToGrid w:val="0"/>
        <w:spacing w:line="360" w:lineRule="auto"/>
        <w:rPr>
          <w:rFonts w:ascii="宋体" w:hAnsi="宋体"/>
          <w:color w:val="auto"/>
          <w:szCs w:val="21"/>
        </w:rPr>
      </w:pPr>
    </w:p>
    <w:p w14:paraId="7DD1C333">
      <w:pPr>
        <w:adjustRightInd w:val="0"/>
        <w:snapToGrid w:val="0"/>
        <w:spacing w:line="360" w:lineRule="auto"/>
        <w:ind w:firstLine="420" w:firstLineChars="200"/>
        <w:rPr>
          <w:rFonts w:ascii="宋体" w:hAnsi="宋体"/>
          <w:color w:val="auto"/>
          <w:szCs w:val="21"/>
        </w:rPr>
      </w:pPr>
      <w:r>
        <w:rPr>
          <w:rFonts w:hint="eastAsia" w:ascii="宋体" w:hAnsi="宋体" w:eastAsia="宋体"/>
          <w:b/>
          <w:color w:val="auto"/>
          <w:szCs w:val="21"/>
        </w:rPr>
        <w:t>注</w:t>
      </w:r>
      <w:r>
        <w:rPr>
          <w:rFonts w:hint="eastAsia" w:ascii="宋体" w:hAnsi="宋体" w:cs="宋体"/>
          <w:bCs/>
          <w:color w:val="auto"/>
          <w:spacing w:val="6"/>
          <w:kern w:val="0"/>
          <w:szCs w:val="21"/>
        </w:rPr>
        <w:t>：</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14:paraId="74BAF966">
      <w:pPr>
        <w:adjustRightInd w:val="0"/>
        <w:snapToGrid w:val="0"/>
        <w:spacing w:line="360" w:lineRule="auto"/>
        <w:ind w:firstLine="420" w:firstLineChars="200"/>
        <w:rPr>
          <w:rFonts w:ascii="宋体" w:hAnsi="宋体"/>
          <w:color w:val="auto"/>
          <w:szCs w:val="21"/>
        </w:rPr>
      </w:pPr>
    </w:p>
    <w:p w14:paraId="40C0AA7D">
      <w:pPr>
        <w:adjustRightInd w:val="0"/>
        <w:snapToGrid w:val="0"/>
        <w:spacing w:line="360" w:lineRule="auto"/>
        <w:ind w:firstLine="420" w:firstLineChars="200"/>
        <w:rPr>
          <w:rFonts w:ascii="宋体" w:hAnsi="宋体"/>
          <w:color w:val="auto"/>
          <w:szCs w:val="21"/>
        </w:rPr>
      </w:pPr>
    </w:p>
    <w:p w14:paraId="2FA0D307">
      <w:pPr>
        <w:adjustRightInd w:val="0"/>
        <w:snapToGrid w:val="0"/>
        <w:spacing w:line="360" w:lineRule="auto"/>
        <w:outlineLvl w:val="2"/>
        <w:rPr>
          <w:rFonts w:ascii="宋体" w:hAnsi="宋体"/>
          <w:color w:val="auto"/>
          <w:szCs w:val="21"/>
        </w:rPr>
      </w:pPr>
      <w:r>
        <w:rPr>
          <w:rFonts w:hAnsi="华文中宋" w:eastAsia="黑体" w:cs="宋体"/>
          <w:color w:val="auto"/>
          <w:spacing w:val="6"/>
          <w:kern w:val="0"/>
        </w:rPr>
        <w:br w:type="page"/>
      </w:r>
      <w:bookmarkStart w:id="228" w:name="_Toc62472927"/>
      <w:bookmarkStart w:id="229" w:name="_Toc22201166"/>
      <w:bookmarkStart w:id="230" w:name="_Toc31838"/>
      <w:r>
        <w:rPr>
          <w:rFonts w:hint="eastAsia" w:ascii="宋体" w:hAnsi="宋体" w:cs="宋体"/>
          <w:color w:val="auto"/>
          <w:spacing w:val="6"/>
          <w:kern w:val="0"/>
          <w:szCs w:val="21"/>
        </w:rPr>
        <w:t xml:space="preserve">附件9-4 </w:t>
      </w:r>
      <w:r>
        <w:rPr>
          <w:rFonts w:hint="eastAsia" w:ascii="宋体" w:hAnsi="宋体"/>
          <w:color w:val="auto"/>
          <w:szCs w:val="21"/>
        </w:rPr>
        <w:t>强制采购或者优先采购产品的证明材料</w:t>
      </w:r>
      <w:bookmarkEnd w:id="228"/>
      <w:bookmarkEnd w:id="229"/>
      <w:bookmarkEnd w:id="230"/>
    </w:p>
    <w:p w14:paraId="3C59D5C0">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14:paraId="1E4E6C60">
      <w:pPr>
        <w:adjustRightInd w:val="0"/>
        <w:snapToGrid w:val="0"/>
        <w:spacing w:beforeLines="50"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14:paraId="2E5BA7EC">
      <w:pPr>
        <w:adjustRightInd w:val="0"/>
        <w:snapToGrid w:val="0"/>
        <w:spacing w:line="360" w:lineRule="auto"/>
        <w:ind w:firstLine="420" w:firstLineChars="200"/>
        <w:jc w:val="left"/>
        <w:rPr>
          <w:rFonts w:ascii="宋体" w:hAnsi="宋体"/>
          <w:color w:val="auto"/>
          <w:szCs w:val="21"/>
        </w:rPr>
      </w:pPr>
    </w:p>
    <w:p w14:paraId="6B600D8B">
      <w:pPr>
        <w:adjustRightInd w:val="0"/>
        <w:snapToGrid w:val="0"/>
        <w:spacing w:line="360" w:lineRule="auto"/>
        <w:jc w:val="left"/>
        <w:rPr>
          <w:rFonts w:ascii="宋体" w:hAnsi="宋体"/>
          <w:color w:val="auto"/>
          <w:szCs w:val="21"/>
        </w:rPr>
      </w:pPr>
      <w:r>
        <w:rPr>
          <w:rFonts w:hint="eastAsia" w:ascii="宋体" w:hAnsi="宋体" w:eastAsia="宋体"/>
          <w:b/>
          <w:color w:val="auto"/>
          <w:szCs w:val="21"/>
        </w:rPr>
        <w:t>注</w:t>
      </w:r>
      <w:r>
        <w:rPr>
          <w:rFonts w:hint="eastAsia" w:ascii="宋体" w:hAnsi="宋体"/>
          <w:color w:val="auto"/>
          <w:szCs w:val="21"/>
        </w:rPr>
        <w:t>：1、供应商提供的产品</w:t>
      </w:r>
      <w:r>
        <w:rPr>
          <w:rFonts w:hint="eastAsia" w:ascii="宋体" w:hAnsi="宋体"/>
          <w:bCs/>
          <w:color w:val="auto"/>
          <w:szCs w:val="21"/>
        </w:rPr>
        <w:t>属于优先采购的</w:t>
      </w:r>
      <w:r>
        <w:rPr>
          <w:rFonts w:hint="eastAsia" w:ascii="宋体" w:hAnsi="宋体"/>
          <w:color w:val="auto"/>
          <w:szCs w:val="21"/>
        </w:rPr>
        <w:t>，应按第二章第42条规定提供证明材料和本章本节附页2“优先采购产品清单”，并加盖供应商单位公章。</w:t>
      </w:r>
    </w:p>
    <w:p w14:paraId="7352B30D">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2、节能产品、环境标志产品(强制采购或者优先采购产品)认证证书内容</w:t>
      </w:r>
      <w:r>
        <w:rPr>
          <w:rFonts w:hint="eastAsia" w:ascii="宋体" w:hAnsi="宋体" w:eastAsia="宋体"/>
          <w:color w:val="auto"/>
          <w:szCs w:val="21"/>
        </w:rPr>
        <w:t>注明“详见证</w:t>
      </w:r>
      <w:r>
        <w:rPr>
          <w:rFonts w:hint="eastAsia" w:ascii="宋体" w:hAnsi="宋体"/>
          <w:color w:val="auto"/>
          <w:szCs w:val="21"/>
        </w:rPr>
        <w:t>书附件</w:t>
      </w:r>
      <w:r>
        <w:rPr>
          <w:rFonts w:hint="eastAsia" w:ascii="华文中宋" w:hAnsi="华文中宋" w:eastAsia="华文中宋"/>
          <w:color w:val="auto"/>
          <w:szCs w:val="21"/>
        </w:rPr>
        <w:t>”</w:t>
      </w:r>
      <w:r>
        <w:rPr>
          <w:rFonts w:hint="eastAsia" w:ascii="宋体" w:hAnsi="宋体"/>
          <w:color w:val="auto"/>
          <w:szCs w:val="21"/>
        </w:rPr>
        <w:t>的，应提供其附件，以证明认证证书与响应文件一致。</w:t>
      </w:r>
    </w:p>
    <w:p w14:paraId="499DD511">
      <w:pPr>
        <w:adjustRightInd w:val="0"/>
        <w:snapToGrid w:val="0"/>
        <w:spacing w:line="360" w:lineRule="auto"/>
        <w:ind w:firstLine="420" w:firstLineChars="200"/>
        <w:jc w:val="left"/>
        <w:rPr>
          <w:rFonts w:ascii="宋体" w:hAnsi="宋体"/>
          <w:color w:val="auto"/>
          <w:szCs w:val="21"/>
        </w:rPr>
      </w:pPr>
    </w:p>
    <w:p w14:paraId="7F872497">
      <w:pPr>
        <w:rPr>
          <w:rFonts w:ascii="宋体" w:hAnsi="宋体"/>
          <w:color w:val="auto"/>
          <w:szCs w:val="21"/>
        </w:rPr>
      </w:pPr>
      <w:r>
        <w:rPr>
          <w:color w:val="auto"/>
        </w:rPr>
        <w:br w:type="page"/>
      </w:r>
      <w:bookmarkStart w:id="231" w:name="_Toc22201167"/>
    </w:p>
    <w:p w14:paraId="341569E3">
      <w:pPr>
        <w:pStyle w:val="6"/>
        <w:adjustRightInd w:val="0"/>
        <w:snapToGrid w:val="0"/>
        <w:spacing w:before="0" w:after="0" w:line="360" w:lineRule="auto"/>
        <w:rPr>
          <w:rFonts w:ascii="宋体" w:hAnsi="宋体" w:eastAsia="宋体"/>
          <w:color w:val="auto"/>
          <w:sz w:val="21"/>
          <w:szCs w:val="21"/>
        </w:rPr>
      </w:pPr>
      <w:bookmarkStart w:id="232" w:name="_Toc62472928"/>
      <w:r>
        <w:rPr>
          <w:rFonts w:hint="eastAsia" w:ascii="宋体" w:hAnsi="宋体" w:eastAsia="宋体" w:cs="宋体"/>
          <w:color w:val="auto"/>
          <w:spacing w:val="6"/>
          <w:kern w:val="0"/>
          <w:sz w:val="21"/>
          <w:szCs w:val="21"/>
        </w:rPr>
        <w:t xml:space="preserve">附页1 </w:t>
      </w:r>
      <w:r>
        <w:rPr>
          <w:rFonts w:hint="eastAsia" w:ascii="宋体" w:hAnsi="宋体" w:eastAsia="宋体"/>
          <w:color w:val="auto"/>
          <w:sz w:val="21"/>
          <w:szCs w:val="21"/>
        </w:rPr>
        <w:t>优先采购产品清单</w:t>
      </w:r>
      <w:bookmarkEnd w:id="231"/>
      <w:bookmarkEnd w:id="232"/>
    </w:p>
    <w:p w14:paraId="4E28CFB1">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14:paraId="48806A72">
      <w:pPr>
        <w:adjustRightInd w:val="0"/>
        <w:snapToGrid w:val="0"/>
        <w:spacing w:line="360" w:lineRule="auto"/>
        <w:rPr>
          <w:rFonts w:ascii="宋体" w:hAnsi="宋体"/>
          <w:color w:val="auto"/>
          <w:szCs w:val="21"/>
        </w:rPr>
      </w:pPr>
      <w:r>
        <w:rPr>
          <w:rFonts w:hint="eastAsia" w:ascii="宋体" w:hAnsi="宋体"/>
          <w:color w:val="auto"/>
          <w:szCs w:val="21"/>
        </w:rPr>
        <w:t>委托代理编号：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0641A4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14:paraId="54709647">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14:paraId="73AB86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14:paraId="196A2FC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noWrap w:val="0"/>
            <w:vAlign w:val="center"/>
          </w:tcPr>
          <w:p w14:paraId="53C0EB6F">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noWrap w:val="0"/>
            <w:vAlign w:val="center"/>
          </w:tcPr>
          <w:p w14:paraId="4335125A">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noWrap w:val="0"/>
            <w:vAlign w:val="center"/>
          </w:tcPr>
          <w:p w14:paraId="750B077D">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noWrap w:val="0"/>
            <w:vAlign w:val="center"/>
          </w:tcPr>
          <w:p w14:paraId="7A8C1ABE">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noWrap w:val="0"/>
            <w:vAlign w:val="center"/>
          </w:tcPr>
          <w:p w14:paraId="5C8EA79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14:paraId="3D62C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14:paraId="0D83046D">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noWrap w:val="0"/>
            <w:vAlign w:val="center"/>
          </w:tcPr>
          <w:p w14:paraId="22A1B4D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noWrap w:val="0"/>
            <w:vAlign w:val="center"/>
          </w:tcPr>
          <w:p w14:paraId="72CD48D8">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noWrap w:val="0"/>
            <w:vAlign w:val="center"/>
          </w:tcPr>
          <w:p w14:paraId="3C267F29">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noWrap w:val="0"/>
            <w:vAlign w:val="center"/>
          </w:tcPr>
          <w:p w14:paraId="1D30700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noWrap w:val="0"/>
            <w:vAlign w:val="center"/>
          </w:tcPr>
          <w:p w14:paraId="2F406600">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14:paraId="49DD7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58EB6D38">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14:paraId="11DD4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7230C434">
            <w:pPr>
              <w:adjustRightInd w:val="0"/>
              <w:snapToGrid w:val="0"/>
              <w:spacing w:line="360" w:lineRule="auto"/>
              <w:jc w:val="center"/>
              <w:rPr>
                <w:rFonts w:ascii="宋体" w:hAnsi="宋体"/>
                <w:b/>
                <w:color w:val="auto"/>
                <w:szCs w:val="21"/>
              </w:rPr>
            </w:pPr>
          </w:p>
        </w:tc>
        <w:tc>
          <w:tcPr>
            <w:tcW w:w="1739" w:type="dxa"/>
            <w:noWrap w:val="0"/>
            <w:vAlign w:val="center"/>
          </w:tcPr>
          <w:p w14:paraId="7371EFFB">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14:paraId="2D9957D8">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14:paraId="5991FFC9">
            <w:pPr>
              <w:adjustRightInd w:val="0"/>
              <w:snapToGrid w:val="0"/>
              <w:spacing w:line="360" w:lineRule="auto"/>
              <w:jc w:val="left"/>
              <w:rPr>
                <w:rFonts w:ascii="宋体" w:hAnsi="宋体"/>
                <w:b/>
                <w:color w:val="auto"/>
                <w:szCs w:val="21"/>
              </w:rPr>
            </w:pPr>
          </w:p>
        </w:tc>
        <w:tc>
          <w:tcPr>
            <w:tcW w:w="1984" w:type="dxa"/>
            <w:noWrap w:val="0"/>
            <w:vAlign w:val="center"/>
          </w:tcPr>
          <w:p w14:paraId="1612F9E4">
            <w:pPr>
              <w:adjustRightInd w:val="0"/>
              <w:snapToGrid w:val="0"/>
              <w:spacing w:line="360" w:lineRule="auto"/>
              <w:jc w:val="center"/>
              <w:rPr>
                <w:rFonts w:ascii="宋体" w:hAnsi="宋体"/>
                <w:b/>
                <w:color w:val="auto"/>
                <w:szCs w:val="21"/>
              </w:rPr>
            </w:pPr>
          </w:p>
        </w:tc>
        <w:tc>
          <w:tcPr>
            <w:tcW w:w="1843" w:type="dxa"/>
            <w:noWrap w:val="0"/>
            <w:vAlign w:val="top"/>
          </w:tcPr>
          <w:p w14:paraId="5F56D6DD">
            <w:pPr>
              <w:adjustRightInd w:val="0"/>
              <w:snapToGrid w:val="0"/>
              <w:spacing w:line="360" w:lineRule="auto"/>
              <w:jc w:val="center"/>
              <w:rPr>
                <w:rFonts w:ascii="宋体" w:hAnsi="宋体"/>
                <w:b/>
                <w:color w:val="auto"/>
                <w:szCs w:val="21"/>
              </w:rPr>
            </w:pPr>
          </w:p>
        </w:tc>
      </w:tr>
      <w:tr w14:paraId="01FD5E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02ADE63E">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14:paraId="7AE69883">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14:paraId="6F4B2544">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14:paraId="1A8A0DDD">
            <w:pPr>
              <w:adjustRightInd w:val="0"/>
              <w:snapToGrid w:val="0"/>
              <w:spacing w:line="360" w:lineRule="auto"/>
              <w:jc w:val="left"/>
              <w:rPr>
                <w:rFonts w:ascii="宋体" w:hAnsi="宋体"/>
                <w:b/>
                <w:color w:val="auto"/>
                <w:szCs w:val="21"/>
              </w:rPr>
            </w:pPr>
          </w:p>
        </w:tc>
        <w:tc>
          <w:tcPr>
            <w:tcW w:w="1984" w:type="dxa"/>
            <w:noWrap w:val="0"/>
            <w:vAlign w:val="center"/>
          </w:tcPr>
          <w:p w14:paraId="75A928AA">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14:paraId="06D4C488">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14:paraId="50EDF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794AB16F">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14:paraId="6D107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52507333">
            <w:pPr>
              <w:adjustRightInd w:val="0"/>
              <w:snapToGrid w:val="0"/>
              <w:spacing w:line="360" w:lineRule="auto"/>
              <w:jc w:val="center"/>
              <w:rPr>
                <w:rFonts w:ascii="宋体" w:hAnsi="宋体"/>
                <w:b/>
                <w:color w:val="auto"/>
                <w:szCs w:val="21"/>
              </w:rPr>
            </w:pPr>
          </w:p>
        </w:tc>
        <w:tc>
          <w:tcPr>
            <w:tcW w:w="1739" w:type="dxa"/>
            <w:noWrap w:val="0"/>
            <w:vAlign w:val="center"/>
          </w:tcPr>
          <w:p w14:paraId="4752F73F">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14:paraId="4B646339">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14:paraId="29A48FC3">
            <w:pPr>
              <w:adjustRightInd w:val="0"/>
              <w:snapToGrid w:val="0"/>
              <w:spacing w:line="360" w:lineRule="auto"/>
              <w:jc w:val="left"/>
              <w:rPr>
                <w:rFonts w:ascii="宋体" w:hAnsi="宋体"/>
                <w:b/>
                <w:color w:val="auto"/>
                <w:szCs w:val="21"/>
              </w:rPr>
            </w:pPr>
          </w:p>
        </w:tc>
        <w:tc>
          <w:tcPr>
            <w:tcW w:w="1984" w:type="dxa"/>
            <w:noWrap w:val="0"/>
            <w:vAlign w:val="center"/>
          </w:tcPr>
          <w:p w14:paraId="51EE321F">
            <w:pPr>
              <w:adjustRightInd w:val="0"/>
              <w:snapToGrid w:val="0"/>
              <w:spacing w:line="360" w:lineRule="auto"/>
              <w:jc w:val="center"/>
              <w:rPr>
                <w:rFonts w:ascii="宋体" w:hAnsi="宋体"/>
                <w:b/>
                <w:color w:val="auto"/>
                <w:szCs w:val="21"/>
              </w:rPr>
            </w:pPr>
          </w:p>
        </w:tc>
        <w:tc>
          <w:tcPr>
            <w:tcW w:w="1843" w:type="dxa"/>
            <w:noWrap w:val="0"/>
            <w:vAlign w:val="top"/>
          </w:tcPr>
          <w:p w14:paraId="098937F0">
            <w:pPr>
              <w:adjustRightInd w:val="0"/>
              <w:snapToGrid w:val="0"/>
              <w:spacing w:line="360" w:lineRule="auto"/>
              <w:jc w:val="center"/>
              <w:rPr>
                <w:rFonts w:ascii="宋体" w:hAnsi="宋体"/>
                <w:b/>
                <w:color w:val="auto"/>
                <w:szCs w:val="21"/>
              </w:rPr>
            </w:pPr>
          </w:p>
        </w:tc>
      </w:tr>
      <w:tr w14:paraId="6CD748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5C2D637F">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14:paraId="69E2B409">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14:paraId="4F91861A">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14:paraId="4A9E3E6D">
            <w:pPr>
              <w:adjustRightInd w:val="0"/>
              <w:snapToGrid w:val="0"/>
              <w:spacing w:line="360" w:lineRule="auto"/>
              <w:jc w:val="left"/>
              <w:rPr>
                <w:rFonts w:ascii="宋体" w:hAnsi="宋体"/>
                <w:b/>
                <w:color w:val="auto"/>
                <w:szCs w:val="21"/>
              </w:rPr>
            </w:pPr>
          </w:p>
        </w:tc>
        <w:tc>
          <w:tcPr>
            <w:tcW w:w="1984" w:type="dxa"/>
            <w:noWrap w:val="0"/>
            <w:vAlign w:val="center"/>
          </w:tcPr>
          <w:p w14:paraId="72A99444">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14:paraId="629BC0E5">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bl>
    <w:p w14:paraId="2455D9E4">
      <w:pPr>
        <w:adjustRightInd w:val="0"/>
        <w:snapToGrid w:val="0"/>
        <w:spacing w:line="360" w:lineRule="auto"/>
        <w:jc w:val="left"/>
        <w:rPr>
          <w:rFonts w:ascii="宋体" w:hAnsi="宋体"/>
          <w:color w:val="auto"/>
          <w:szCs w:val="21"/>
        </w:rPr>
      </w:pPr>
      <w:r>
        <w:rPr>
          <w:rFonts w:hint="eastAsia" w:ascii="宋体" w:hAnsi="宋体" w:eastAsia="宋体"/>
          <w:b/>
          <w:color w:val="auto"/>
          <w:szCs w:val="21"/>
        </w:rPr>
        <w:t>注</w:t>
      </w:r>
      <w:r>
        <w:rPr>
          <w:rFonts w:hint="eastAsia" w:ascii="宋体" w:hAnsi="宋体"/>
          <w:color w:val="auto"/>
          <w:szCs w:val="21"/>
        </w:rPr>
        <w:t>：</w:t>
      </w:r>
      <w:r>
        <w:rPr>
          <w:rFonts w:hint="eastAsia" w:ascii="宋体" w:hAnsi="宋体"/>
          <w:bCs/>
          <w:color w:val="auto"/>
          <w:szCs w:val="21"/>
        </w:rPr>
        <w:t>1、</w:t>
      </w:r>
      <w:r>
        <w:rPr>
          <w:rFonts w:hint="eastAsia" w:ascii="宋体" w:hAnsi="宋体"/>
          <w:color w:val="auto"/>
          <w:szCs w:val="21"/>
        </w:rPr>
        <w:t>本表用于计算政府采购优先采购产品（节能产品或者环境标志产品）的政府采购政策价格扣除。</w:t>
      </w:r>
    </w:p>
    <w:p w14:paraId="509A337F">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14:paraId="3947019A">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w:t>
      </w:r>
    </w:p>
    <w:p w14:paraId="27F5EE69">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4、货物同时属于节能产品、环境标志产品的，只需填写一种。</w:t>
      </w:r>
    </w:p>
    <w:p w14:paraId="7BAC29BC">
      <w:pPr>
        <w:adjustRightInd w:val="0"/>
        <w:snapToGrid w:val="0"/>
        <w:spacing w:line="360" w:lineRule="auto"/>
        <w:rPr>
          <w:rFonts w:ascii="宋体" w:hAnsi="宋体"/>
          <w:bCs/>
          <w:color w:val="auto"/>
          <w:szCs w:val="21"/>
        </w:rPr>
      </w:pPr>
    </w:p>
    <w:p w14:paraId="33E773FD">
      <w:pPr>
        <w:adjustRightInd w:val="0"/>
        <w:snapToGrid w:val="0"/>
        <w:spacing w:line="360" w:lineRule="auto"/>
        <w:rPr>
          <w:rFonts w:ascii="宋体" w:hAnsi="宋体"/>
          <w:color w:val="auto"/>
          <w:szCs w:val="21"/>
        </w:rPr>
      </w:pPr>
    </w:p>
    <w:p w14:paraId="0518172A">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51B8D2DC">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0543A6B5">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6AAF4344">
      <w:pPr>
        <w:rPr>
          <w:color w:val="auto"/>
        </w:rPr>
      </w:pPr>
    </w:p>
    <w:p w14:paraId="641FCC4B">
      <w:pPr>
        <w:widowControl/>
        <w:jc w:val="left"/>
        <w:rPr>
          <w:rFonts w:ascii="宋体" w:hAnsi="宋体" w:cs="宋体"/>
          <w:b/>
          <w:bCs/>
          <w:color w:val="auto"/>
          <w:spacing w:val="6"/>
          <w:kern w:val="0"/>
          <w:szCs w:val="21"/>
        </w:rPr>
      </w:pPr>
      <w:r>
        <w:rPr>
          <w:rFonts w:ascii="宋体" w:hAnsi="宋体" w:cs="宋体"/>
          <w:color w:val="auto"/>
          <w:spacing w:val="6"/>
          <w:kern w:val="0"/>
          <w:szCs w:val="21"/>
        </w:rPr>
        <w:br w:type="page"/>
      </w:r>
    </w:p>
    <w:p w14:paraId="20BBCBDE">
      <w:pPr>
        <w:pStyle w:val="5"/>
        <w:adjustRightInd w:val="0"/>
        <w:snapToGrid w:val="0"/>
        <w:spacing w:beforeLines="50" w:after="0" w:line="360" w:lineRule="auto"/>
        <w:rPr>
          <w:rFonts w:ascii="黑体" w:hAnsi="黑体" w:eastAsia="黑体"/>
          <w:color w:val="auto"/>
          <w:sz w:val="21"/>
          <w:szCs w:val="21"/>
        </w:rPr>
      </w:pPr>
      <w:bookmarkStart w:id="233" w:name="_Toc2428"/>
      <w:bookmarkStart w:id="234" w:name="_Toc62472929"/>
      <w:r>
        <w:rPr>
          <w:rFonts w:hint="eastAsia" w:ascii="黑体" w:hAnsi="黑体" w:eastAsia="黑体" w:cs="宋体"/>
          <w:color w:val="auto"/>
          <w:spacing w:val="6"/>
          <w:kern w:val="0"/>
          <w:sz w:val="21"/>
          <w:szCs w:val="21"/>
        </w:rPr>
        <w:t xml:space="preserve">附件9-5 </w:t>
      </w:r>
      <w:r>
        <w:rPr>
          <w:rFonts w:hint="eastAsia" w:ascii="黑体" w:hAnsi="黑体" w:eastAsia="黑体"/>
          <w:color w:val="auto"/>
          <w:sz w:val="21"/>
          <w:szCs w:val="21"/>
        </w:rPr>
        <w:t>联合体协议书（格式）</w:t>
      </w:r>
      <w:bookmarkEnd w:id="233"/>
      <w:bookmarkEnd w:id="234"/>
    </w:p>
    <w:p w14:paraId="1C78435A">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联合体协议书（格式）</w:t>
      </w:r>
    </w:p>
    <w:p w14:paraId="59FF40A8">
      <w:pPr>
        <w:adjustRightInd w:val="0"/>
        <w:snapToGrid w:val="0"/>
        <w:spacing w:beforeLines="50" w:line="360" w:lineRule="auto"/>
        <w:rPr>
          <w:rFonts w:ascii="宋体" w:hAnsi="宋体" w:eastAsia="宋体"/>
          <w:b/>
          <w:color w:val="auto"/>
          <w:szCs w:val="21"/>
        </w:rPr>
      </w:pPr>
    </w:p>
    <w:p w14:paraId="3C4E233B">
      <w:pPr>
        <w:adjustRightInd w:val="0"/>
        <w:snapToGrid w:val="0"/>
        <w:spacing w:beforeLines="50" w:line="360" w:lineRule="auto"/>
        <w:rPr>
          <w:rFonts w:ascii="宋体" w:hAnsi="宋体" w:eastAsia="宋体"/>
          <w:color w:val="auto"/>
          <w:szCs w:val="21"/>
        </w:rPr>
      </w:pPr>
      <w:r>
        <w:rPr>
          <w:rFonts w:hint="eastAsia" w:ascii="宋体" w:hAnsi="宋体" w:eastAsia="宋体"/>
          <w:color w:val="auto"/>
          <w:szCs w:val="21"/>
        </w:rPr>
        <w:t>致</w:t>
      </w:r>
      <w:r>
        <w:rPr>
          <w:rFonts w:hint="eastAsia" w:ascii="宋体" w:hAnsi="宋体"/>
          <w:color w:val="auto"/>
          <w:szCs w:val="21"/>
          <w:u w:val="single"/>
        </w:rPr>
        <w:t xml:space="preserve">                  </w:t>
      </w:r>
      <w:r>
        <w:rPr>
          <w:rFonts w:hint="eastAsia" w:ascii="宋体" w:hAnsi="宋体" w:eastAsia="宋体"/>
          <w:color w:val="auto"/>
          <w:szCs w:val="21"/>
        </w:rPr>
        <w:t>（采购人、采购代理机构）：</w:t>
      </w:r>
    </w:p>
    <w:p w14:paraId="0ED6C17A">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经研究，我们决定自愿组成联合体共同参加（项目名称</w:t>
      </w:r>
      <w:r>
        <w:rPr>
          <w:rFonts w:ascii="宋体" w:hAnsi="宋体" w:eastAsia="宋体"/>
          <w:color w:val="auto"/>
          <w:szCs w:val="21"/>
        </w:rPr>
        <w:t>）</w:t>
      </w:r>
      <w:r>
        <w:rPr>
          <w:rFonts w:hint="eastAsia" w:ascii="宋体" w:hAnsi="宋体" w:eastAsia="宋体"/>
          <w:color w:val="auto"/>
          <w:szCs w:val="21"/>
        </w:rPr>
        <w:t>（政府采购编号：）项目的磋商活动。现就联合体事宜订立如下协议：</w:t>
      </w:r>
    </w:p>
    <w:p w14:paraId="0AE00378">
      <w:pPr>
        <w:adjustRightInd w:val="0"/>
        <w:snapToGrid w:val="0"/>
        <w:spacing w:line="360" w:lineRule="auto"/>
        <w:ind w:firstLine="420" w:firstLineChars="200"/>
        <w:rPr>
          <w:rFonts w:ascii="宋体" w:hAnsi="宋体" w:eastAsia="宋体"/>
          <w:color w:val="auto"/>
          <w:szCs w:val="21"/>
          <w:u w:val="single"/>
        </w:rPr>
      </w:pPr>
      <w:r>
        <w:rPr>
          <w:rFonts w:hint="eastAsia" w:ascii="宋体" w:hAnsi="宋体" w:eastAsia="宋体"/>
          <w:color w:val="auto"/>
          <w:szCs w:val="21"/>
        </w:rPr>
        <w:t>一、联合体基本信息：（各方公司名称、地址、注册资金、营业执照、</w:t>
      </w: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姓名）</w:t>
      </w:r>
    </w:p>
    <w:p w14:paraId="4D1E513B">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二、（某成员单位名称）为（联合体名称）牵头人。</w:t>
      </w:r>
    </w:p>
    <w:p w14:paraId="5FF4DEC6">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三、联合体牵头人合法代表联合体各成员负责本项目响应文件编制活动，代表联合体提交和接收相关的资料、信息及指示，并处理与磋商有关的一切事务；联合体成交后，联合体牵头人负责合同订立和合同实施阶段的主办、组织和协调工作。</w:t>
      </w:r>
    </w:p>
    <w:p w14:paraId="628D052C">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四．联合体将严格按照磋商文件的各项要求，递交响应文件，参加磋商，履行成交和成交合同义务，并向采购人承担连带责任。</w:t>
      </w:r>
    </w:p>
    <w:p w14:paraId="5A78D954">
      <w:pPr>
        <w:adjustRightInd w:val="0"/>
        <w:snapToGrid w:val="0"/>
        <w:spacing w:line="360" w:lineRule="auto"/>
        <w:ind w:firstLine="420" w:firstLineChars="200"/>
        <w:rPr>
          <w:rFonts w:ascii="宋体" w:hAnsi="宋体" w:eastAsia="宋体"/>
          <w:color w:val="auto"/>
          <w:szCs w:val="21"/>
          <w:u w:val="single"/>
        </w:rPr>
      </w:pPr>
      <w:r>
        <w:rPr>
          <w:rFonts w:hint="eastAsia" w:ascii="宋体" w:hAnsi="宋体" w:eastAsia="宋体"/>
          <w:color w:val="auto"/>
          <w:szCs w:val="21"/>
        </w:rPr>
        <w:t>五、联合体各成员单位内部的职责分工如下：。按照本条上述分工，联合体各成员的协议合同金额占联合体协议合同总金额比例如下：。</w:t>
      </w:r>
    </w:p>
    <w:p w14:paraId="77848763">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六、本协议书自签署之日起生效，合同履行完毕后自动失效。</w:t>
      </w:r>
    </w:p>
    <w:p w14:paraId="3959A5BA">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七、本协议书一式份，联合体成员和采购人各执一份。</w:t>
      </w:r>
    </w:p>
    <w:p w14:paraId="6AD66348">
      <w:pPr>
        <w:adjustRightInd w:val="0"/>
        <w:snapToGrid w:val="0"/>
        <w:spacing w:line="360" w:lineRule="auto"/>
        <w:rPr>
          <w:rFonts w:ascii="宋体" w:hAnsi="宋体" w:eastAsia="宋体"/>
          <w:color w:val="auto"/>
          <w:szCs w:val="21"/>
        </w:rPr>
      </w:pPr>
    </w:p>
    <w:p w14:paraId="6DEC6C2A">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牵头人名称（盖单位章）：</w:t>
      </w:r>
    </w:p>
    <w:p w14:paraId="437831E1">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p>
    <w:p w14:paraId="3890270E">
      <w:pPr>
        <w:adjustRightInd w:val="0"/>
        <w:snapToGrid w:val="0"/>
        <w:spacing w:line="360" w:lineRule="auto"/>
        <w:rPr>
          <w:rFonts w:ascii="宋体" w:hAnsi="宋体" w:eastAsia="宋体"/>
          <w:color w:val="auto"/>
          <w:szCs w:val="21"/>
        </w:rPr>
      </w:pPr>
    </w:p>
    <w:p w14:paraId="7279FC65">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成员1名称（盖单位章）：</w:t>
      </w:r>
    </w:p>
    <w:p w14:paraId="3B6A0DFF">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p>
    <w:p w14:paraId="3EC9A9AB">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成员2名称（盖单位章）：</w:t>
      </w:r>
    </w:p>
    <w:p w14:paraId="280E00FA">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p>
    <w:p w14:paraId="791FFAC7">
      <w:pPr>
        <w:adjustRightInd w:val="0"/>
        <w:snapToGrid w:val="0"/>
        <w:spacing w:line="360" w:lineRule="auto"/>
        <w:rPr>
          <w:rFonts w:ascii="宋体" w:hAnsi="宋体" w:eastAsia="宋体"/>
          <w:color w:val="auto"/>
          <w:szCs w:val="21"/>
        </w:rPr>
      </w:pPr>
      <w:r>
        <w:rPr>
          <w:rFonts w:ascii="宋体" w:hAnsi="宋体" w:eastAsia="宋体"/>
          <w:color w:val="auto"/>
          <w:szCs w:val="21"/>
        </w:rPr>
        <w:t>…</w:t>
      </w:r>
    </w:p>
    <w:p w14:paraId="2DA3EDED">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 xml:space="preserve">日期：年月日  </w:t>
      </w:r>
    </w:p>
    <w:p w14:paraId="512C86CF">
      <w:pPr>
        <w:widowControl/>
        <w:adjustRightInd w:val="0"/>
        <w:snapToGrid w:val="0"/>
        <w:spacing w:line="360" w:lineRule="auto"/>
        <w:jc w:val="left"/>
        <w:rPr>
          <w:rFonts w:ascii="宋体" w:hAnsi="宋体" w:eastAsia="宋体"/>
          <w:b/>
          <w:color w:val="auto"/>
          <w:szCs w:val="21"/>
        </w:rPr>
      </w:pPr>
    </w:p>
    <w:p w14:paraId="5A17285B">
      <w:pPr>
        <w:widowControl/>
        <w:adjustRightInd w:val="0"/>
        <w:snapToGrid w:val="0"/>
        <w:spacing w:line="360" w:lineRule="auto"/>
        <w:jc w:val="left"/>
        <w:rPr>
          <w:rFonts w:ascii="宋体" w:hAnsi="宋体" w:eastAsia="宋体"/>
          <w:color w:val="auto"/>
          <w:szCs w:val="21"/>
        </w:rPr>
      </w:pPr>
      <w:r>
        <w:rPr>
          <w:rFonts w:hint="eastAsia" w:ascii="宋体" w:hAnsi="宋体" w:eastAsia="宋体"/>
          <w:b/>
          <w:color w:val="auto"/>
          <w:szCs w:val="21"/>
        </w:rPr>
        <w:t>注</w:t>
      </w:r>
      <w:r>
        <w:rPr>
          <w:rFonts w:hint="eastAsia" w:ascii="宋体" w:hAnsi="宋体" w:eastAsia="宋体"/>
          <w:color w:val="auto"/>
          <w:szCs w:val="21"/>
        </w:rPr>
        <w:t>：本协议书由委托代理人签字的，应附法定代表人（单位负责人）授权委托书。</w:t>
      </w:r>
    </w:p>
    <w:p w14:paraId="276D4A6F">
      <w:pPr>
        <w:jc w:val="center"/>
        <w:rPr>
          <w:rFonts w:ascii="黑体" w:hAnsi="黑体" w:eastAsia="黑体"/>
          <w:b/>
          <w:color w:val="auto"/>
          <w:sz w:val="28"/>
          <w:szCs w:val="28"/>
        </w:rPr>
      </w:pPr>
    </w:p>
    <w:p w14:paraId="2E6D001C">
      <w:pPr>
        <w:adjustRightInd w:val="0"/>
        <w:snapToGrid w:val="0"/>
        <w:spacing w:beforeLines="50" w:line="360" w:lineRule="auto"/>
        <w:rPr>
          <w:color w:val="auto"/>
        </w:rPr>
      </w:pPr>
    </w:p>
    <w:p w14:paraId="5E46D539">
      <w:pPr>
        <w:widowControl/>
        <w:jc w:val="left"/>
        <w:rPr>
          <w:rFonts w:ascii="宋体" w:hAnsi="宋体"/>
          <w:color w:val="auto"/>
          <w:szCs w:val="21"/>
        </w:rPr>
      </w:pPr>
    </w:p>
    <w:p w14:paraId="047FB3D2">
      <w:pPr>
        <w:pStyle w:val="3"/>
        <w:jc w:val="center"/>
        <w:rPr>
          <w:rFonts w:ascii="黑体" w:hAnsi="黑体" w:eastAsia="黑体"/>
          <w:color w:val="auto"/>
          <w:sz w:val="28"/>
          <w:szCs w:val="28"/>
        </w:rPr>
      </w:pPr>
      <w:bookmarkStart w:id="235" w:name="_Toc18161"/>
      <w:bookmarkStart w:id="236" w:name="_Toc62472931"/>
      <w:r>
        <w:rPr>
          <w:rFonts w:hint="eastAsia" w:ascii="黑体" w:hAnsi="黑体" w:eastAsia="黑体"/>
          <w:color w:val="auto"/>
          <w:sz w:val="28"/>
          <w:szCs w:val="28"/>
        </w:rPr>
        <w:t>十、供应商提供的资格证明材料</w:t>
      </w:r>
      <w:bookmarkEnd w:id="235"/>
      <w:bookmarkEnd w:id="236"/>
    </w:p>
    <w:p w14:paraId="194D0515">
      <w:pPr>
        <w:tabs>
          <w:tab w:val="left" w:pos="4725"/>
        </w:tabs>
        <w:adjustRightInd w:val="0"/>
        <w:snapToGrid w:val="0"/>
        <w:spacing w:beforeLines="50" w:line="360" w:lineRule="auto"/>
        <w:ind w:firstLine="420" w:firstLineChars="200"/>
        <w:rPr>
          <w:rFonts w:ascii="宋体" w:hAnsi="宋体"/>
          <w:b/>
          <w:color w:val="auto"/>
          <w:szCs w:val="21"/>
        </w:rPr>
      </w:pPr>
    </w:p>
    <w:p w14:paraId="3C5EA589">
      <w:pPr>
        <w:tabs>
          <w:tab w:val="left" w:pos="4725"/>
        </w:tabs>
        <w:adjustRightInd w:val="0"/>
        <w:snapToGrid w:val="0"/>
        <w:spacing w:beforeLines="50" w:line="360" w:lineRule="auto"/>
        <w:ind w:firstLine="420" w:firstLineChars="200"/>
        <w:rPr>
          <w:rFonts w:ascii="宋体" w:hAnsi="宋体"/>
          <w:b/>
          <w:bCs/>
          <w:color w:val="auto"/>
          <w:szCs w:val="21"/>
        </w:rPr>
      </w:pPr>
      <w:r>
        <w:rPr>
          <w:rFonts w:hint="eastAsia" w:ascii="宋体" w:hAnsi="宋体"/>
          <w:b/>
          <w:color w:val="auto"/>
          <w:szCs w:val="21"/>
        </w:rPr>
        <w:t>供应商应提供的下列资格证明文件应当符合磋商文件要求：</w:t>
      </w:r>
    </w:p>
    <w:p w14:paraId="0B049A41">
      <w:pPr>
        <w:tabs>
          <w:tab w:val="left" w:pos="4725"/>
        </w:tabs>
        <w:adjustRightInd w:val="0"/>
        <w:snapToGrid w:val="0"/>
        <w:spacing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附件10-1 法人或者其他组织的营业执照等主体资格证明文件，自然人的身份证明</w:t>
      </w:r>
    </w:p>
    <w:p w14:paraId="1AAD6E24">
      <w:pPr>
        <w:tabs>
          <w:tab w:val="left" w:pos="4725"/>
        </w:tabs>
        <w:adjustRightInd w:val="0"/>
        <w:snapToGrid w:val="0"/>
        <w:spacing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附件10-2供应商资格声明(格式)</w:t>
      </w:r>
    </w:p>
    <w:p w14:paraId="0FA044E4">
      <w:pPr>
        <w:tabs>
          <w:tab w:val="left" w:pos="4725"/>
        </w:tabs>
        <w:adjustRightInd w:val="0"/>
        <w:snapToGrid w:val="0"/>
        <w:spacing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附件10-3湖南省政府采购供应商资格承诺函(格式)</w:t>
      </w:r>
    </w:p>
    <w:p w14:paraId="464CC48C">
      <w:pPr>
        <w:tabs>
          <w:tab w:val="left" w:pos="4725"/>
        </w:tabs>
        <w:adjustRightInd w:val="0"/>
        <w:snapToGrid w:val="0"/>
        <w:spacing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附件10-4符合特定资格条件证明材料复印件或者情况说明</w:t>
      </w:r>
    </w:p>
    <w:p w14:paraId="467F2BDD">
      <w:pPr>
        <w:widowControl/>
        <w:jc w:val="left"/>
        <w:rPr>
          <w:rFonts w:ascii="宋体" w:hAnsi="宋体" w:eastAsia="宋体"/>
          <w:color w:val="auto"/>
          <w:szCs w:val="21"/>
        </w:rPr>
      </w:pPr>
      <w:bookmarkStart w:id="237" w:name="_Toc23255920"/>
    </w:p>
    <w:p w14:paraId="00FB0AA0">
      <w:pPr>
        <w:pStyle w:val="18"/>
        <w:rPr>
          <w:color w:val="auto"/>
        </w:rPr>
      </w:pPr>
    </w:p>
    <w:p w14:paraId="588B2C69">
      <w:pPr>
        <w:pStyle w:val="18"/>
        <w:rPr>
          <w:color w:val="auto"/>
        </w:rPr>
      </w:pPr>
    </w:p>
    <w:p w14:paraId="34FB4C43">
      <w:pPr>
        <w:pStyle w:val="18"/>
        <w:rPr>
          <w:color w:val="auto"/>
        </w:rPr>
      </w:pPr>
    </w:p>
    <w:p w14:paraId="6B7BC1CB">
      <w:pPr>
        <w:pStyle w:val="18"/>
        <w:rPr>
          <w:color w:val="auto"/>
        </w:rPr>
      </w:pPr>
    </w:p>
    <w:p w14:paraId="0E921E5A">
      <w:pPr>
        <w:pStyle w:val="18"/>
        <w:rPr>
          <w:color w:val="auto"/>
        </w:rPr>
      </w:pPr>
    </w:p>
    <w:p w14:paraId="06D59B46">
      <w:pPr>
        <w:pStyle w:val="18"/>
        <w:rPr>
          <w:color w:val="auto"/>
        </w:rPr>
      </w:pPr>
    </w:p>
    <w:p w14:paraId="4AEE73EB">
      <w:pPr>
        <w:pStyle w:val="18"/>
        <w:rPr>
          <w:color w:val="auto"/>
        </w:rPr>
      </w:pPr>
    </w:p>
    <w:p w14:paraId="441AC512">
      <w:pPr>
        <w:pStyle w:val="18"/>
        <w:rPr>
          <w:color w:val="auto"/>
        </w:rPr>
      </w:pPr>
    </w:p>
    <w:p w14:paraId="0AC9101A">
      <w:pPr>
        <w:pStyle w:val="18"/>
        <w:rPr>
          <w:color w:val="auto"/>
        </w:rPr>
      </w:pPr>
    </w:p>
    <w:p w14:paraId="0322E22C">
      <w:pPr>
        <w:pStyle w:val="18"/>
        <w:rPr>
          <w:color w:val="auto"/>
        </w:rPr>
      </w:pPr>
    </w:p>
    <w:p w14:paraId="04E5C05D">
      <w:pPr>
        <w:pStyle w:val="18"/>
        <w:rPr>
          <w:color w:val="auto"/>
        </w:rPr>
      </w:pPr>
    </w:p>
    <w:p w14:paraId="3B2DF6C7">
      <w:pPr>
        <w:pStyle w:val="18"/>
        <w:rPr>
          <w:color w:val="auto"/>
        </w:rPr>
      </w:pPr>
    </w:p>
    <w:p w14:paraId="7E483AE5">
      <w:pPr>
        <w:pStyle w:val="18"/>
        <w:rPr>
          <w:color w:val="auto"/>
        </w:rPr>
      </w:pPr>
    </w:p>
    <w:p w14:paraId="6C423A8D">
      <w:pPr>
        <w:pStyle w:val="18"/>
        <w:rPr>
          <w:color w:val="auto"/>
        </w:rPr>
      </w:pPr>
    </w:p>
    <w:p w14:paraId="01532159">
      <w:pPr>
        <w:pStyle w:val="18"/>
        <w:rPr>
          <w:rFonts w:hint="eastAsia"/>
          <w:color w:val="auto"/>
        </w:rPr>
      </w:pPr>
    </w:p>
    <w:p w14:paraId="25E10D8E">
      <w:pPr>
        <w:pStyle w:val="18"/>
        <w:rPr>
          <w:rFonts w:hint="eastAsia"/>
          <w:color w:val="auto"/>
        </w:rPr>
      </w:pPr>
    </w:p>
    <w:p w14:paraId="75B45886">
      <w:pPr>
        <w:pStyle w:val="18"/>
        <w:rPr>
          <w:rFonts w:hint="eastAsia"/>
          <w:color w:val="auto"/>
        </w:rPr>
      </w:pPr>
    </w:p>
    <w:p w14:paraId="63446B37">
      <w:pPr>
        <w:pStyle w:val="18"/>
        <w:rPr>
          <w:color w:val="auto"/>
        </w:rPr>
      </w:pPr>
    </w:p>
    <w:p w14:paraId="04372367">
      <w:pPr>
        <w:pStyle w:val="18"/>
        <w:rPr>
          <w:color w:val="auto"/>
        </w:rPr>
      </w:pPr>
    </w:p>
    <w:p w14:paraId="47507087">
      <w:pPr>
        <w:pStyle w:val="18"/>
        <w:rPr>
          <w:color w:val="auto"/>
        </w:rPr>
      </w:pPr>
    </w:p>
    <w:p w14:paraId="73539361">
      <w:pPr>
        <w:pStyle w:val="5"/>
        <w:rPr>
          <w:rFonts w:ascii="黑体" w:hAnsi="黑体" w:eastAsia="黑体"/>
          <w:color w:val="auto"/>
          <w:sz w:val="21"/>
          <w:szCs w:val="21"/>
        </w:rPr>
      </w:pPr>
      <w:bookmarkStart w:id="238" w:name="_Toc62472932"/>
      <w:bookmarkStart w:id="239" w:name="_Toc18900"/>
      <w:r>
        <w:rPr>
          <w:rFonts w:hint="eastAsia" w:ascii="黑体" w:hAnsi="黑体" w:eastAsia="黑体"/>
          <w:color w:val="auto"/>
          <w:sz w:val="21"/>
          <w:szCs w:val="21"/>
        </w:rPr>
        <w:t>附件10-1 法人或者其他组织的营业执照等主体资格证明文件，自然人的身份证明</w:t>
      </w:r>
      <w:bookmarkEnd w:id="237"/>
      <w:bookmarkEnd w:id="238"/>
      <w:bookmarkEnd w:id="239"/>
    </w:p>
    <w:p w14:paraId="1E77F1EF">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法人或者其他组织的营业执照等主体资格证明文件，自然人的身份证明</w:t>
      </w:r>
    </w:p>
    <w:p w14:paraId="46941369">
      <w:pPr>
        <w:adjustRightInd w:val="0"/>
        <w:snapToGrid w:val="0"/>
        <w:spacing w:beforeLines="50" w:line="360" w:lineRule="auto"/>
        <w:ind w:firstLine="420" w:firstLineChars="200"/>
        <w:rPr>
          <w:rFonts w:ascii="宋体" w:hAnsi="宋体"/>
          <w:color w:val="auto"/>
        </w:rPr>
      </w:pPr>
      <w:r>
        <w:rPr>
          <w:rFonts w:hint="eastAsia" w:ascii="宋体" w:hAnsi="宋体" w:eastAsia="宋体" w:cs="宋体"/>
          <w:color w:val="auto"/>
          <w:szCs w:val="21"/>
        </w:rPr>
        <w:t>（1）</w:t>
      </w:r>
      <w:r>
        <w:rPr>
          <w:rFonts w:hint="eastAsia" w:ascii="宋体" w:hAnsi="宋体"/>
          <w:color w:val="auto"/>
        </w:rPr>
        <w:t>供应商为法人的，应提交营业执照或法人登记证书的复印件；</w:t>
      </w:r>
    </w:p>
    <w:p w14:paraId="6AE17B52">
      <w:pPr>
        <w:adjustRightInd w:val="0"/>
        <w:snapToGrid w:val="0"/>
        <w:spacing w:beforeLines="50" w:line="360" w:lineRule="auto"/>
        <w:ind w:firstLine="420" w:firstLineChars="200"/>
        <w:rPr>
          <w:rFonts w:ascii="宋体" w:hAnsi="宋体"/>
          <w:color w:val="auto"/>
        </w:rPr>
      </w:pPr>
      <w:r>
        <w:rPr>
          <w:rFonts w:hint="eastAsia" w:ascii="宋体" w:hAnsi="宋体" w:eastAsia="宋体" w:cs="宋体"/>
          <w:color w:val="auto"/>
          <w:szCs w:val="21"/>
        </w:rPr>
        <w:t>（2）</w:t>
      </w:r>
      <w:r>
        <w:rPr>
          <w:rFonts w:hint="eastAsia" w:ascii="宋体" w:hAnsi="宋体"/>
          <w:color w:val="auto"/>
        </w:rPr>
        <w:t>供应商为非法人组织的，应提交依法登记证书复印件；</w:t>
      </w:r>
    </w:p>
    <w:p w14:paraId="71B2468D">
      <w:pPr>
        <w:adjustRightInd w:val="0"/>
        <w:snapToGrid w:val="0"/>
        <w:spacing w:beforeLines="50" w:line="360" w:lineRule="auto"/>
        <w:ind w:firstLine="420" w:firstLineChars="200"/>
        <w:rPr>
          <w:rFonts w:ascii="宋体" w:hAnsi="宋体"/>
          <w:color w:val="auto"/>
        </w:rPr>
      </w:pPr>
      <w:r>
        <w:rPr>
          <w:rFonts w:hint="eastAsia" w:ascii="宋体" w:hAnsi="宋体" w:eastAsia="宋体" w:cs="宋体"/>
          <w:color w:val="auto"/>
          <w:szCs w:val="21"/>
        </w:rPr>
        <w:t>（3）</w:t>
      </w:r>
      <w:r>
        <w:rPr>
          <w:rFonts w:hint="eastAsia" w:ascii="宋体" w:hAnsi="宋体"/>
          <w:color w:val="auto"/>
        </w:rPr>
        <w:t>供应商为个体工商户的，应提交个体工商户营业执照复印件；</w:t>
      </w:r>
    </w:p>
    <w:p w14:paraId="24246EB0">
      <w:pPr>
        <w:adjustRightInd w:val="0"/>
        <w:snapToGrid w:val="0"/>
        <w:spacing w:beforeLines="50" w:line="360" w:lineRule="auto"/>
        <w:ind w:firstLine="420" w:firstLineChars="200"/>
        <w:rPr>
          <w:rFonts w:ascii="宋体" w:hAnsi="宋体"/>
          <w:color w:val="auto"/>
        </w:rPr>
      </w:pPr>
      <w:r>
        <w:rPr>
          <w:rFonts w:hint="eastAsia" w:ascii="宋体" w:hAnsi="宋体" w:eastAsia="宋体" w:cs="宋体"/>
          <w:color w:val="auto"/>
          <w:szCs w:val="21"/>
        </w:rPr>
        <w:t>（4）</w:t>
      </w:r>
      <w:r>
        <w:rPr>
          <w:rFonts w:hint="eastAsia" w:ascii="宋体" w:hAnsi="宋体"/>
          <w:color w:val="auto"/>
        </w:rPr>
        <w:t>供应商为自然人的，应提交自然人的身份证明复印件。</w:t>
      </w:r>
    </w:p>
    <w:p w14:paraId="0BB05593">
      <w:pPr>
        <w:widowControl/>
        <w:jc w:val="left"/>
        <w:rPr>
          <w:rFonts w:ascii="黑体" w:hAnsi="仿宋" w:eastAsia="黑体" w:cs="宋体"/>
          <w:bCs/>
          <w:color w:val="auto"/>
          <w:szCs w:val="21"/>
        </w:rPr>
      </w:pPr>
      <w:r>
        <w:rPr>
          <w:rFonts w:ascii="黑体" w:hAnsi="仿宋" w:cs="宋体"/>
          <w:b/>
          <w:color w:val="auto"/>
          <w:szCs w:val="21"/>
        </w:rPr>
        <w:br w:type="page"/>
      </w:r>
    </w:p>
    <w:p w14:paraId="20702206">
      <w:pPr>
        <w:pStyle w:val="5"/>
        <w:rPr>
          <w:rFonts w:ascii="黑体" w:hAnsi="黑体" w:eastAsia="黑体"/>
          <w:color w:val="auto"/>
          <w:sz w:val="21"/>
          <w:szCs w:val="21"/>
        </w:rPr>
      </w:pPr>
      <w:bookmarkStart w:id="240" w:name="_Toc4687"/>
      <w:bookmarkStart w:id="241" w:name="_Toc62472933"/>
      <w:bookmarkStart w:id="242" w:name="_Toc23255921"/>
      <w:r>
        <w:rPr>
          <w:rFonts w:hint="eastAsia" w:ascii="黑体" w:hAnsi="黑体" w:eastAsia="黑体"/>
          <w:color w:val="auto"/>
          <w:sz w:val="21"/>
          <w:szCs w:val="21"/>
        </w:rPr>
        <w:t>附件10-2 供应商资格声明(格式)</w:t>
      </w:r>
      <w:bookmarkEnd w:id="240"/>
      <w:bookmarkEnd w:id="241"/>
      <w:bookmarkEnd w:id="242"/>
    </w:p>
    <w:p w14:paraId="32AA8FC0">
      <w:pPr>
        <w:widowControl/>
        <w:adjustRightInd w:val="0"/>
        <w:snapToGrid w:val="0"/>
        <w:spacing w:beforeLines="50" w:line="360" w:lineRule="auto"/>
        <w:jc w:val="center"/>
        <w:rPr>
          <w:rFonts w:ascii="宋体" w:hAnsi="宋体" w:eastAsia="宋体" w:cs="宋体"/>
          <w:color w:val="auto"/>
          <w:szCs w:val="21"/>
        </w:rPr>
      </w:pPr>
      <w:r>
        <w:rPr>
          <w:rFonts w:hint="eastAsia" w:ascii="黑体" w:hAnsi="仿宋" w:eastAsia="黑体" w:cs="宋体"/>
          <w:b/>
          <w:color w:val="auto"/>
          <w:sz w:val="28"/>
          <w:szCs w:val="28"/>
        </w:rPr>
        <w:t>供应商资格声明(格式)</w:t>
      </w:r>
    </w:p>
    <w:p w14:paraId="6E0389A4">
      <w:pPr>
        <w:widowControl/>
        <w:adjustRightInd w:val="0"/>
        <w:snapToGrid w:val="0"/>
        <w:spacing w:beforeLines="50" w:line="360" w:lineRule="auto"/>
        <w:jc w:val="left"/>
        <w:rPr>
          <w:rFonts w:ascii="宋体" w:hAnsi="宋体" w:cs="宋体"/>
          <w:color w:val="auto"/>
          <w:kern w:val="0"/>
          <w:szCs w:val="21"/>
        </w:rPr>
      </w:pPr>
      <w:r>
        <w:rPr>
          <w:rFonts w:hint="eastAsia" w:ascii="宋体" w:hAnsi="宋体" w:cs="宋体"/>
          <w:color w:val="auto"/>
          <w:szCs w:val="21"/>
        </w:rPr>
        <w:t>致</w:t>
      </w:r>
      <w:r>
        <w:rPr>
          <w:rFonts w:hint="eastAsia" w:ascii="宋体" w:hAnsi="宋体"/>
          <w:color w:val="auto"/>
          <w:szCs w:val="21"/>
          <w:u w:val="single"/>
        </w:rPr>
        <w:t xml:space="preserve">               </w:t>
      </w:r>
      <w:r>
        <w:rPr>
          <w:rFonts w:hint="eastAsia" w:ascii="宋体" w:hAnsi="宋体" w:cs="宋体"/>
          <w:color w:val="auto"/>
          <w:szCs w:val="21"/>
        </w:rPr>
        <w:t xml:space="preserve"> (采购人、采购代理机构)：</w:t>
      </w:r>
    </w:p>
    <w:p w14:paraId="31DF61AC">
      <w:pPr>
        <w:widowControl/>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按照《中华人民共和国政府采购法》第二十二条和招标文件的规定，我单位郑重声明如下：</w:t>
      </w:r>
    </w:p>
    <w:p w14:paraId="2E0DCAD5">
      <w:pPr>
        <w:widowControl/>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，全称为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，统一社会信用代码为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，法定代表人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，具有独立承担民事责任的能力。</w:t>
      </w:r>
    </w:p>
    <w:p w14:paraId="6B2564A6">
      <w:pPr>
        <w:widowControl/>
        <w:adjustRightInd w:val="0"/>
        <w:snapToGrid w:val="0"/>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二、我单位具有良好的商业信誉和健全的财务会计制度。</w:t>
      </w:r>
    </w:p>
    <w:p w14:paraId="00EF5A46">
      <w:pPr>
        <w:widowControl/>
        <w:adjustRightInd w:val="0"/>
        <w:snapToGrid w:val="0"/>
        <w:spacing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三、我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6D5F84AC">
      <w:pPr>
        <w:widowControl/>
        <w:adjustRightInd w:val="0"/>
        <w:snapToGrid w:val="0"/>
        <w:spacing w:beforeLines="50" w:line="360" w:lineRule="auto"/>
        <w:ind w:firstLine="412" w:firstLineChars="200"/>
        <w:jc w:val="left"/>
        <w:rPr>
          <w:rFonts w:ascii="宋体" w:hAnsi="宋体" w:cs="宋体"/>
          <w:color w:val="auto"/>
          <w:spacing w:val="-2"/>
          <w:kern w:val="0"/>
          <w:szCs w:val="21"/>
        </w:rPr>
      </w:pPr>
      <w:r>
        <w:rPr>
          <w:rFonts w:hint="eastAsia" w:ascii="宋体" w:hAnsi="宋体" w:cs="宋体"/>
          <w:color w:val="auto"/>
          <w:spacing w:val="-2"/>
          <w:kern w:val="0"/>
          <w:szCs w:val="21"/>
        </w:rPr>
        <w:t>四、</w:t>
      </w:r>
      <w:r>
        <w:rPr>
          <w:rFonts w:hint="eastAsia" w:ascii="宋体" w:hAnsi="宋体" w:cs="宋体"/>
          <w:color w:val="auto"/>
          <w:spacing w:val="-2"/>
          <w:szCs w:val="21"/>
        </w:rPr>
        <w:t>我单位具有履行本项目采购合同所必需的设备和专业技术能力，并具有履行合同的良好</w:t>
      </w:r>
      <w:r>
        <w:rPr>
          <w:rFonts w:ascii="宋体" w:hAnsi="宋体" w:eastAsia="宋体"/>
          <w:color w:val="auto"/>
          <w:spacing w:val="-2"/>
          <w:szCs w:val="21"/>
        </w:rPr>
        <w:t>记录</w:t>
      </w:r>
      <w:r>
        <w:rPr>
          <w:rFonts w:hint="eastAsia" w:ascii="宋体" w:hAnsi="宋体" w:cs="宋体"/>
          <w:color w:val="auto"/>
          <w:spacing w:val="-2"/>
          <w:szCs w:val="21"/>
        </w:rPr>
        <w:t>。</w:t>
      </w:r>
    </w:p>
    <w:p w14:paraId="2B6427D7">
      <w:pPr>
        <w:widowControl/>
        <w:adjustRightInd w:val="0"/>
        <w:snapToGrid w:val="0"/>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0F2DDC36">
      <w:pPr>
        <w:widowControl/>
        <w:adjustRightInd w:val="0"/>
        <w:snapToGrid w:val="0"/>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347FF604">
      <w:pPr>
        <w:widowControl/>
        <w:adjustRightInd w:val="0"/>
        <w:snapToGrid w:val="0"/>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六、我单位具备法律、行政法规规定的其他条件。</w:t>
      </w:r>
    </w:p>
    <w:p w14:paraId="32C151BC">
      <w:pPr>
        <w:widowControl/>
        <w:adjustRightInd w:val="0"/>
        <w:snapToGrid w:val="0"/>
        <w:spacing w:beforeLines="50" w:line="360" w:lineRule="auto"/>
        <w:ind w:firstLine="420" w:firstLineChars="200"/>
        <w:jc w:val="left"/>
        <w:rPr>
          <w:color w:val="auto"/>
          <w:szCs w:val="21"/>
        </w:rPr>
      </w:pPr>
      <w:r>
        <w:rPr>
          <w:rFonts w:hint="eastAsia" w:ascii="宋体" w:hAnsi="宋体" w:cs="宋体"/>
          <w:color w:val="auto"/>
          <w:szCs w:val="21"/>
        </w:rPr>
        <w:t>七、</w:t>
      </w:r>
      <w:r>
        <w:rPr>
          <w:rFonts w:hint="eastAsia"/>
          <w:color w:val="auto"/>
          <w:szCs w:val="21"/>
        </w:rPr>
        <w:t>与我单位存在“单位负责人为同一人或者存在直接控股、管理关系”的其他单位信息如下（如无，填写“无”）：</w:t>
      </w:r>
    </w:p>
    <w:p w14:paraId="3E0CBC58">
      <w:pPr>
        <w:adjustRightInd w:val="0"/>
        <w:snapToGrid w:val="0"/>
        <w:spacing w:beforeLines="50" w:line="360" w:lineRule="auto"/>
        <w:ind w:firstLine="420" w:firstLineChars="200"/>
        <w:rPr>
          <w:color w:val="auto"/>
          <w:szCs w:val="21"/>
        </w:rPr>
      </w:pPr>
      <w:r>
        <w:rPr>
          <w:rFonts w:hint="eastAsia" w:ascii="宋体" w:hAnsi="宋体" w:eastAsia="宋体"/>
          <w:color w:val="auto"/>
          <w:szCs w:val="21"/>
        </w:rPr>
        <w:t>1、</w:t>
      </w:r>
      <w:r>
        <w:rPr>
          <w:rFonts w:hint="eastAsia"/>
          <w:color w:val="auto"/>
          <w:szCs w:val="21"/>
        </w:rPr>
        <w:t>与我单位的法定代表人（单位负责人）为同一人的其他单位如下：</w:t>
      </w:r>
      <w:r>
        <w:rPr>
          <w:rFonts w:hint="eastAsia" w:ascii="宋体" w:hAnsi="宋体" w:cs="宋体"/>
          <w:color w:val="auto"/>
          <w:szCs w:val="21"/>
          <w:u w:val="single"/>
          <w:lang w:val="en-US" w:eastAsia="zh-CN"/>
        </w:rPr>
        <w:t xml:space="preserve">          </w:t>
      </w:r>
    </w:p>
    <w:p w14:paraId="0343C917">
      <w:pPr>
        <w:adjustRightInd w:val="0"/>
        <w:snapToGrid w:val="0"/>
        <w:spacing w:beforeLines="50" w:line="360" w:lineRule="auto"/>
        <w:ind w:firstLine="420" w:firstLineChars="200"/>
        <w:rPr>
          <w:rFonts w:ascii="宋体" w:hAnsi="宋体" w:eastAsia="宋体"/>
          <w:color w:val="auto"/>
          <w:szCs w:val="21"/>
        </w:rPr>
      </w:pPr>
      <w:r>
        <w:rPr>
          <w:rFonts w:hint="eastAsia" w:ascii="宋体" w:hAnsi="宋体" w:eastAsia="宋体"/>
          <w:color w:val="auto"/>
          <w:szCs w:val="21"/>
        </w:rPr>
        <w:t>2、我</w:t>
      </w:r>
      <w:r>
        <w:rPr>
          <w:rFonts w:hint="eastAsia"/>
          <w:color w:val="auto"/>
          <w:szCs w:val="21"/>
        </w:rPr>
        <w:t>单位</w:t>
      </w:r>
      <w:r>
        <w:rPr>
          <w:rFonts w:hint="eastAsia" w:ascii="宋体" w:hAnsi="宋体" w:eastAsia="宋体"/>
          <w:color w:val="auto"/>
          <w:szCs w:val="21"/>
        </w:rPr>
        <w:t>直接控股的其他单位如下：</w:t>
      </w:r>
      <w:r>
        <w:rPr>
          <w:rFonts w:hint="eastAsia" w:ascii="宋体" w:hAnsi="宋体" w:cs="宋体"/>
          <w:color w:val="auto"/>
          <w:szCs w:val="21"/>
          <w:u w:val="single"/>
          <w:lang w:val="en-US" w:eastAsia="zh-CN"/>
        </w:rPr>
        <w:t xml:space="preserve">          </w:t>
      </w:r>
    </w:p>
    <w:p w14:paraId="422EB325">
      <w:pPr>
        <w:adjustRightInd w:val="0"/>
        <w:snapToGrid w:val="0"/>
        <w:spacing w:beforeLines="50" w:line="360" w:lineRule="auto"/>
        <w:ind w:firstLine="420" w:firstLineChars="200"/>
        <w:rPr>
          <w:color w:val="auto"/>
          <w:szCs w:val="21"/>
        </w:rPr>
      </w:pPr>
      <w:r>
        <w:rPr>
          <w:rFonts w:hint="eastAsia" w:ascii="宋体" w:hAnsi="宋体" w:eastAsia="宋体"/>
          <w:color w:val="auto"/>
          <w:szCs w:val="21"/>
        </w:rPr>
        <w:t>3、与我</w:t>
      </w:r>
      <w:r>
        <w:rPr>
          <w:rFonts w:hint="eastAsia"/>
          <w:color w:val="auto"/>
          <w:szCs w:val="21"/>
        </w:rPr>
        <w:t>单位存在</w:t>
      </w:r>
      <w:r>
        <w:rPr>
          <w:rFonts w:hint="eastAsia" w:ascii="宋体" w:hAnsi="宋体" w:eastAsia="宋体"/>
          <w:color w:val="auto"/>
          <w:szCs w:val="21"/>
        </w:rPr>
        <w:t>管理关系的其他单位如下：</w:t>
      </w:r>
      <w:r>
        <w:rPr>
          <w:rFonts w:hint="eastAsia" w:ascii="宋体" w:hAnsi="宋体" w:cs="宋体"/>
          <w:color w:val="auto"/>
          <w:szCs w:val="21"/>
          <w:u w:val="single"/>
          <w:lang w:val="en-US" w:eastAsia="zh-CN"/>
        </w:rPr>
        <w:t xml:space="preserve">          </w:t>
      </w:r>
    </w:p>
    <w:p w14:paraId="7F2E97D2">
      <w:pPr>
        <w:widowControl/>
        <w:adjustRightInd w:val="0"/>
        <w:snapToGrid w:val="0"/>
        <w:spacing w:beforeLines="50" w:line="360" w:lineRule="auto"/>
        <w:ind w:firstLine="412" w:firstLineChars="200"/>
        <w:jc w:val="left"/>
        <w:rPr>
          <w:rFonts w:ascii="宋体" w:hAnsi="宋体" w:cs="宋体"/>
          <w:color w:val="auto"/>
          <w:spacing w:val="-2"/>
          <w:szCs w:val="21"/>
        </w:rPr>
      </w:pPr>
      <w:r>
        <w:rPr>
          <w:rFonts w:hint="eastAsia" w:ascii="宋体" w:hAnsi="宋体" w:cs="宋体"/>
          <w:color w:val="auto"/>
          <w:spacing w:val="-2"/>
          <w:szCs w:val="21"/>
        </w:rPr>
        <w:t>八、</w:t>
      </w:r>
      <w:r>
        <w:rPr>
          <w:rFonts w:ascii="宋体" w:hAnsi="宋体" w:cs="宋体"/>
          <w:color w:val="auto"/>
          <w:spacing w:val="-2"/>
          <w:szCs w:val="21"/>
        </w:rPr>
        <w:t>我</w:t>
      </w:r>
      <w:r>
        <w:rPr>
          <w:rFonts w:hint="eastAsia" w:ascii="宋体" w:hAnsi="宋体" w:cs="宋体"/>
          <w:color w:val="auto"/>
          <w:spacing w:val="-2"/>
          <w:szCs w:val="21"/>
        </w:rPr>
        <w:t>单位</w:t>
      </w:r>
      <w:r>
        <w:rPr>
          <w:rFonts w:ascii="宋体" w:hAnsi="宋体" w:cs="宋体"/>
          <w:color w:val="auto"/>
          <w:spacing w:val="-2"/>
          <w:szCs w:val="21"/>
        </w:rPr>
        <w:t>不属于为本项目提供整体设计、规范编制或者项目管理、监理、检测等服务的</w:t>
      </w:r>
      <w:r>
        <w:rPr>
          <w:rFonts w:hint="eastAsia" w:ascii="宋体" w:hAnsi="宋体" w:cs="宋体"/>
          <w:color w:val="auto"/>
          <w:spacing w:val="-2"/>
          <w:szCs w:val="21"/>
        </w:rPr>
        <w:t>供应商</w:t>
      </w:r>
      <w:r>
        <w:rPr>
          <w:rFonts w:ascii="宋体" w:hAnsi="宋体" w:cs="宋体"/>
          <w:color w:val="auto"/>
          <w:spacing w:val="-2"/>
          <w:szCs w:val="21"/>
        </w:rPr>
        <w:t>。</w:t>
      </w:r>
    </w:p>
    <w:p w14:paraId="620704A7">
      <w:pPr>
        <w:widowControl/>
        <w:adjustRightInd w:val="0"/>
        <w:snapToGrid w:val="0"/>
        <w:spacing w:beforeLines="50" w:line="360" w:lineRule="auto"/>
        <w:ind w:firstLine="420" w:firstLineChars="200"/>
        <w:jc w:val="left"/>
        <w:rPr>
          <w:rFonts w:ascii="宋体" w:hAnsi="宋体" w:eastAsia="宋体"/>
          <w:color w:val="auto"/>
          <w:szCs w:val="21"/>
        </w:rPr>
      </w:pPr>
      <w:r>
        <w:rPr>
          <w:rFonts w:hint="eastAsia" w:ascii="宋体" w:hAnsi="宋体"/>
          <w:color w:val="auto"/>
          <w:szCs w:val="21"/>
        </w:rPr>
        <w:t>九、</w:t>
      </w:r>
      <w:r>
        <w:rPr>
          <w:rFonts w:ascii="宋体" w:hAnsi="宋体" w:eastAsia="宋体"/>
          <w:color w:val="auto"/>
          <w:szCs w:val="21"/>
        </w:rPr>
        <w:t>我单位无以下不良信用记录情形：</w:t>
      </w:r>
    </w:p>
    <w:p w14:paraId="7A25289F">
      <w:pPr>
        <w:widowControl/>
        <w:adjustRightInd w:val="0"/>
        <w:snapToGrid w:val="0"/>
        <w:spacing w:beforeLines="50" w:line="360" w:lineRule="auto"/>
        <w:ind w:firstLine="420" w:firstLineChars="200"/>
        <w:jc w:val="left"/>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rPr>
        <w:t>、在</w:t>
      </w:r>
      <w:r>
        <w:rPr>
          <w:rFonts w:hint="eastAsia" w:ascii="宋体" w:hAnsi="宋体" w:cs="宋体"/>
          <w:color w:val="auto"/>
          <w:szCs w:val="21"/>
        </w:rPr>
        <w:t>“信用中国”网站被列入失信被执行人和重大税收违法案件当事人名单；</w:t>
      </w:r>
    </w:p>
    <w:p w14:paraId="2FD87249">
      <w:pPr>
        <w:widowControl/>
        <w:adjustRightInd w:val="0"/>
        <w:snapToGrid w:val="0"/>
        <w:spacing w:beforeLines="50" w:line="360" w:lineRule="auto"/>
        <w:ind w:firstLine="420" w:firstLineChars="200"/>
        <w:jc w:val="left"/>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、在</w:t>
      </w:r>
      <w:r>
        <w:rPr>
          <w:rFonts w:hint="eastAsia" w:ascii="宋体" w:hAnsi="宋体" w:cs="宋体"/>
          <w:color w:val="auto"/>
          <w:szCs w:val="21"/>
        </w:rPr>
        <w:t>“中国政府采购网”网站被列入政府采购严重违法失信行为记录名单；</w:t>
      </w:r>
    </w:p>
    <w:p w14:paraId="33CB4F87">
      <w:pPr>
        <w:widowControl/>
        <w:adjustRightInd w:val="0"/>
        <w:snapToGrid w:val="0"/>
        <w:spacing w:beforeLines="50" w:line="360" w:lineRule="auto"/>
        <w:ind w:firstLine="420" w:firstLineChars="200"/>
        <w:jc w:val="left"/>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w:t>
      </w:r>
      <w:r>
        <w:rPr>
          <w:rFonts w:ascii="宋体" w:hAnsi="宋体" w:eastAsia="宋体"/>
          <w:color w:val="auto"/>
          <w:szCs w:val="21"/>
        </w:rPr>
        <w:t>不符合《政府采购法》第二十二条规定的条件。</w:t>
      </w:r>
    </w:p>
    <w:p w14:paraId="79FF96B4">
      <w:pPr>
        <w:widowControl/>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3ADD1564">
      <w:pPr>
        <w:widowControl/>
        <w:adjustRightInd w:val="0"/>
        <w:snapToGrid w:val="0"/>
        <w:spacing w:beforeLines="50" w:line="360" w:lineRule="auto"/>
        <w:jc w:val="left"/>
        <w:rPr>
          <w:rFonts w:ascii="宋体" w:hAnsi="宋体" w:cs="宋体"/>
          <w:color w:val="auto"/>
          <w:szCs w:val="21"/>
        </w:rPr>
      </w:pPr>
    </w:p>
    <w:p w14:paraId="42623EC4">
      <w:pPr>
        <w:widowControl/>
        <w:adjustRightInd w:val="0"/>
        <w:snapToGrid w:val="0"/>
        <w:spacing w:beforeLines="50" w:line="360" w:lineRule="auto"/>
        <w:jc w:val="left"/>
        <w:rPr>
          <w:rFonts w:ascii="宋体" w:hAnsi="宋体" w:cs="宋体"/>
          <w:color w:val="auto"/>
          <w:szCs w:val="21"/>
        </w:rPr>
      </w:pPr>
      <w:r>
        <w:rPr>
          <w:rFonts w:hint="eastAsia" w:ascii="宋体" w:hAnsi="宋体" w:eastAsia="宋体" w:cs="宋体"/>
          <w:color w:val="auto"/>
          <w:szCs w:val="21"/>
        </w:rPr>
        <w:t>注：第二条“良好的商业信誉”是指供应商经营状况良好，无本资格声明第九条情形。</w:t>
      </w:r>
    </w:p>
    <w:p w14:paraId="656C04CF">
      <w:pPr>
        <w:widowControl/>
        <w:adjustRightInd w:val="0"/>
        <w:snapToGrid w:val="0"/>
        <w:spacing w:beforeLines="50" w:line="360" w:lineRule="auto"/>
        <w:jc w:val="left"/>
        <w:rPr>
          <w:rFonts w:ascii="宋体" w:hAnsi="宋体" w:cs="宋体"/>
          <w:color w:val="auto"/>
          <w:szCs w:val="21"/>
        </w:rPr>
      </w:pPr>
    </w:p>
    <w:p w14:paraId="799F3173">
      <w:pPr>
        <w:pStyle w:val="12"/>
        <w:adjustRightInd w:val="0"/>
        <w:snapToGrid w:val="0"/>
        <w:spacing w:beforeLines="50" w:line="360" w:lineRule="auto"/>
        <w:rPr>
          <w:rFonts w:hAnsi="宋体"/>
          <w:b w:val="0"/>
          <w:bCs w:val="0"/>
          <w:color w:val="auto"/>
        </w:rPr>
      </w:pPr>
      <w:r>
        <w:rPr>
          <w:rFonts w:hint="eastAsia" w:hAnsi="宋体"/>
          <w:b w:val="0"/>
          <w:bCs w:val="0"/>
          <w:color w:val="auto"/>
        </w:rPr>
        <w:t>供应商名称(盖单位公章)：</w:t>
      </w:r>
      <w:r>
        <w:rPr>
          <w:rFonts w:hint="eastAsia" w:hAnsi="宋体"/>
          <w:b w:val="0"/>
          <w:bCs w:val="0"/>
          <w:color w:val="auto"/>
          <w:sz w:val="30"/>
          <w:szCs w:val="30"/>
          <w:u w:val="single"/>
          <w:lang w:val="en-US" w:eastAsia="zh-CN"/>
        </w:rPr>
        <w:t xml:space="preserve">         </w:t>
      </w:r>
    </w:p>
    <w:p w14:paraId="67008B2F">
      <w:pPr>
        <w:adjustRightInd w:val="0"/>
        <w:snapToGrid w:val="0"/>
        <w:spacing w:beforeLines="50" w:line="360" w:lineRule="auto"/>
        <w:rPr>
          <w:rFonts w:ascii="宋体" w:hAnsi="宋体"/>
          <w:b w:val="0"/>
          <w:bCs w:val="0"/>
          <w:color w:val="auto"/>
          <w:szCs w:val="21"/>
          <w:u w:val="single"/>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或者其授权的代理人（签字或者印章）：</w:t>
      </w:r>
      <w:r>
        <w:rPr>
          <w:rFonts w:hint="eastAsia" w:hAnsi="宋体"/>
          <w:b w:val="0"/>
          <w:bCs w:val="0"/>
          <w:color w:val="auto"/>
          <w:sz w:val="30"/>
          <w:szCs w:val="30"/>
          <w:u w:val="single"/>
          <w:lang w:val="en-US" w:eastAsia="zh-CN"/>
        </w:rPr>
        <w:t xml:space="preserve">      </w:t>
      </w:r>
    </w:p>
    <w:p w14:paraId="4D479C51">
      <w:pPr>
        <w:adjustRightInd w:val="0"/>
        <w:snapToGrid w:val="0"/>
        <w:spacing w:beforeLines="50" w:line="360" w:lineRule="auto"/>
        <w:rPr>
          <w:rFonts w:ascii="宋体" w:hAnsi="宋体"/>
          <w:color w:val="auto"/>
          <w:szCs w:val="21"/>
        </w:rPr>
      </w:pPr>
      <w:r>
        <w:rPr>
          <w:rFonts w:hint="eastAsia" w:ascii="宋体" w:hAnsi="宋体"/>
          <w:b w:val="0"/>
          <w:bCs w:val="0"/>
          <w:color w:val="auto"/>
          <w:szCs w:val="21"/>
        </w:rPr>
        <w:t>日期：</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年</w:t>
      </w:r>
      <w:r>
        <w:rPr>
          <w:rFonts w:hint="eastAsia" w:hAnsi="宋体"/>
          <w:b w:val="0"/>
          <w:bCs w:val="0"/>
          <w:color w:val="auto"/>
          <w:sz w:val="30"/>
          <w:szCs w:val="30"/>
          <w:u w:val="single"/>
          <w:lang w:val="en-US" w:eastAsia="zh-CN"/>
        </w:rPr>
        <w:t xml:space="preserve">    </w:t>
      </w:r>
      <w:r>
        <w:rPr>
          <w:rFonts w:hint="eastAsia" w:ascii="宋体" w:hAnsi="宋体"/>
          <w:b w:val="0"/>
          <w:bCs w:val="0"/>
          <w:color w:val="auto"/>
          <w:szCs w:val="21"/>
        </w:rPr>
        <w:t>月</w:t>
      </w:r>
      <w:r>
        <w:rPr>
          <w:rFonts w:hint="eastAsia" w:hAnsi="宋体"/>
          <w:b w:val="0"/>
          <w:bCs w:val="0"/>
          <w:color w:val="auto"/>
          <w:sz w:val="30"/>
          <w:szCs w:val="30"/>
          <w:u w:val="single"/>
          <w:lang w:val="en-US" w:eastAsia="zh-CN"/>
        </w:rPr>
        <w:t xml:space="preserve">    </w:t>
      </w:r>
      <w:r>
        <w:rPr>
          <w:rFonts w:hint="eastAsia" w:ascii="宋体" w:hAnsi="宋体"/>
          <w:color w:val="auto"/>
          <w:szCs w:val="21"/>
        </w:rPr>
        <w:t>日</w:t>
      </w:r>
    </w:p>
    <w:p w14:paraId="70425377">
      <w:pPr>
        <w:widowControl/>
        <w:jc w:val="left"/>
        <w:rPr>
          <w:rFonts w:ascii="黑体" w:hAnsi="仿宋" w:eastAsia="黑体" w:cs="宋体"/>
          <w:bCs/>
          <w:color w:val="auto"/>
          <w:szCs w:val="21"/>
        </w:rPr>
      </w:pPr>
      <w:r>
        <w:rPr>
          <w:rFonts w:ascii="黑体" w:hAnsi="仿宋" w:cs="宋体"/>
          <w:b/>
          <w:color w:val="auto"/>
          <w:szCs w:val="21"/>
        </w:rPr>
        <w:br w:type="page"/>
      </w:r>
    </w:p>
    <w:p w14:paraId="388F52CE">
      <w:pPr>
        <w:pStyle w:val="5"/>
        <w:rPr>
          <w:rFonts w:ascii="黑体" w:hAnsi="黑体" w:eastAsia="黑体"/>
          <w:color w:val="auto"/>
          <w:sz w:val="21"/>
          <w:szCs w:val="21"/>
        </w:rPr>
      </w:pPr>
      <w:bookmarkStart w:id="243" w:name="_Toc31906"/>
      <w:bookmarkStart w:id="244" w:name="_Toc17745"/>
      <w:bookmarkStart w:id="245" w:name="_Toc62472934"/>
      <w:bookmarkStart w:id="246" w:name="_Toc23255922"/>
      <w:r>
        <w:rPr>
          <w:rFonts w:hint="eastAsia" w:ascii="黑体" w:hAnsi="黑体" w:eastAsia="黑体"/>
          <w:color w:val="auto"/>
          <w:sz w:val="21"/>
          <w:szCs w:val="21"/>
        </w:rPr>
        <w:t>附件10-3 湖南省政府采购供应商资格承诺函(格式)</w:t>
      </w:r>
      <w:bookmarkEnd w:id="243"/>
      <w:bookmarkEnd w:id="244"/>
    </w:p>
    <w:p w14:paraId="62EF5F93">
      <w:pPr>
        <w:ind w:firstLine="600" w:firstLineChars="200"/>
        <w:jc w:val="center"/>
        <w:rPr>
          <w:rFonts w:ascii="宋体" w:hAnsi="宋体" w:cs="宋体"/>
          <w:b/>
          <w:color w:val="auto"/>
          <w:sz w:val="30"/>
          <w:szCs w:val="30"/>
        </w:rPr>
      </w:pPr>
      <w:r>
        <w:rPr>
          <w:rFonts w:hint="eastAsia" w:ascii="宋体" w:hAnsi="宋体" w:cs="宋体"/>
          <w:b/>
          <w:color w:val="auto"/>
          <w:sz w:val="30"/>
          <w:szCs w:val="30"/>
        </w:rPr>
        <w:t>湖南省政府采购供应商资格承诺函</w:t>
      </w:r>
    </w:p>
    <w:p w14:paraId="5AF552A8">
      <w:pPr>
        <w:rPr>
          <w:rFonts w:ascii="宋体" w:hAnsi="宋体" w:cs="宋体"/>
          <w:color w:val="auto"/>
          <w:sz w:val="30"/>
          <w:szCs w:val="30"/>
        </w:rPr>
      </w:pPr>
    </w:p>
    <w:p w14:paraId="491F3ADB">
      <w:pPr>
        <w:spacing w:line="360" w:lineRule="auto"/>
        <w:ind w:firstLine="420" w:firstLineChars="200"/>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D9A993B">
      <w:pPr>
        <w:spacing w:line="360" w:lineRule="auto"/>
        <w:ind w:firstLine="420" w:firstLineChars="200"/>
        <w:rPr>
          <w:rFonts w:ascii="宋体" w:hAnsi="宋体" w:cs="宋体"/>
          <w:color w:val="auto"/>
          <w:szCs w:val="21"/>
        </w:rPr>
      </w:pPr>
      <w:r>
        <w:rPr>
          <w:rFonts w:hint="eastAsia" w:ascii="宋体" w:hAnsi="宋体" w:cs="宋体"/>
          <w:color w:val="auto"/>
          <w:szCs w:val="21"/>
        </w:rPr>
        <w:t>按照《政府采购促进中小企业发展管理办法》(财库[2020)46号)，本公司企业规模为:大型口中型□小型口微型口</w:t>
      </w:r>
    </w:p>
    <w:p w14:paraId="39766A1F">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w:t>
      </w:r>
    </w:p>
    <w:p w14:paraId="747F9BD1">
      <w:pPr>
        <w:spacing w:line="360" w:lineRule="auto"/>
        <w:rPr>
          <w:rFonts w:ascii="宋体" w:hAnsi="宋体" w:cs="宋体"/>
          <w:color w:val="auto"/>
          <w:szCs w:val="21"/>
        </w:rPr>
      </w:pPr>
    </w:p>
    <w:p w14:paraId="4ADA19E3">
      <w:pPr>
        <w:wordWrap w:val="0"/>
        <w:spacing w:line="360" w:lineRule="auto"/>
        <w:ind w:firstLine="420" w:firstLineChars="200"/>
        <w:jc w:val="right"/>
        <w:rPr>
          <w:rFonts w:hint="default" w:ascii="宋体" w:hAnsi="宋体" w:eastAsia="宋体" w:cs="宋体"/>
          <w:color w:val="auto"/>
          <w:szCs w:val="21"/>
          <w:lang w:val="en-US" w:eastAsia="zh-CN"/>
        </w:rPr>
      </w:pPr>
      <w:r>
        <w:rPr>
          <w:rFonts w:hint="eastAsia" w:ascii="宋体" w:hAnsi="宋体" w:cs="宋体"/>
          <w:color w:val="auto"/>
          <w:szCs w:val="21"/>
        </w:rPr>
        <w:t>公司(单位)名称(盖章)</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p>
    <w:p w14:paraId="12B93C52">
      <w:pPr>
        <w:spacing w:line="360" w:lineRule="auto"/>
        <w:ind w:firstLine="420" w:firstLineChars="200"/>
        <w:jc w:val="right"/>
        <w:rPr>
          <w:rFonts w:ascii="宋体" w:hAnsi="宋体" w:cs="宋体"/>
          <w:color w:val="auto"/>
          <w:szCs w:val="21"/>
        </w:rPr>
      </w:pPr>
      <w:r>
        <w:rPr>
          <w:rFonts w:hint="eastAsia" w:ascii="宋体" w:hAnsi="宋体" w:cs="宋体"/>
          <w:color w:val="auto"/>
          <w:szCs w:val="21"/>
        </w:rPr>
        <w:t>__年__月__日</w:t>
      </w:r>
    </w:p>
    <w:p w14:paraId="34348586">
      <w:pPr>
        <w:spacing w:line="360" w:lineRule="auto"/>
        <w:rPr>
          <w:rFonts w:ascii="宋体" w:hAnsi="宋体" w:cs="宋体"/>
          <w:color w:val="auto"/>
          <w:szCs w:val="21"/>
        </w:rPr>
      </w:pPr>
    </w:p>
    <w:p w14:paraId="0C31C6F5">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机构代码</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、注册登记机构</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、日期</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、有效期</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、注册资本</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、地址</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、经济行业</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rPr>
        <w:t>、经济性质</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p>
    <w:p w14:paraId="324094C9">
      <w:pPr>
        <w:spacing w:line="360" w:lineRule="auto"/>
        <w:ind w:firstLine="420" w:firstLineChars="200"/>
        <w:rPr>
          <w:rFonts w:hint="eastAsia" w:ascii="宋体" w:hAnsi="宋体" w:cs="宋体"/>
          <w:color w:val="auto"/>
          <w:szCs w:val="21"/>
        </w:rPr>
      </w:pPr>
    </w:p>
    <w:p w14:paraId="38376F9B">
      <w:pPr>
        <w:spacing w:line="360" w:lineRule="auto"/>
        <w:ind w:firstLine="420" w:firstLineChars="200"/>
        <w:rPr>
          <w:rFonts w:hint="eastAsia" w:ascii="宋体" w:hAnsi="宋体" w:cs="宋体"/>
          <w:color w:val="auto"/>
          <w:szCs w:val="21"/>
          <w:u w:val="single"/>
          <w:lang w:val="en-US" w:eastAsia="zh-CN"/>
        </w:rPr>
      </w:pPr>
      <w:r>
        <w:rPr>
          <w:rFonts w:hint="eastAsia" w:ascii="宋体" w:hAnsi="宋体" w:cs="宋体"/>
          <w:color w:val="auto"/>
          <w:szCs w:val="21"/>
        </w:rPr>
        <w:t>法定代表人(负责人)姓名</w:t>
      </w:r>
      <w:r>
        <w:rPr>
          <w:rFonts w:hint="eastAsia" w:ascii="宋体" w:hAnsi="宋体" w:cs="宋体"/>
          <w:b/>
          <w:bCs/>
          <w:color w:val="auto"/>
          <w:szCs w:val="21"/>
        </w:rPr>
        <w:t>(签字</w:t>
      </w:r>
      <w:r>
        <w:rPr>
          <w:rFonts w:hint="eastAsia" w:ascii="宋体" w:hAnsi="宋体" w:cs="宋体"/>
          <w:b/>
          <w:bCs/>
          <w:color w:val="auto"/>
          <w:szCs w:val="21"/>
          <w:lang w:val="en-US" w:eastAsia="zh-CN"/>
        </w:rPr>
        <w:t>或印章</w:t>
      </w:r>
      <w:r>
        <w:rPr>
          <w:rFonts w:hint="eastAsia" w:ascii="宋体" w:hAnsi="宋体" w:cs="宋体"/>
          <w:b/>
          <w:bCs/>
          <w:color w:val="auto"/>
          <w:szCs w:val="21"/>
        </w:rPr>
        <w:t>)</w:t>
      </w:r>
      <w:r>
        <w:rPr>
          <w:rFonts w:hint="eastAsia" w:ascii="宋体" w:hAnsi="宋体" w:cs="宋体"/>
          <w:color w:val="auto"/>
          <w:szCs w:val="21"/>
        </w:rPr>
        <w:t>:</w:t>
      </w:r>
      <w:r>
        <w:rPr>
          <w:rFonts w:hint="eastAsia" w:ascii="宋体" w:hAnsi="宋体" w:cs="宋体"/>
          <w:color w:val="auto"/>
          <w:szCs w:val="21"/>
          <w:u w:val="single"/>
          <w:lang w:val="en-US" w:eastAsia="zh-CN"/>
        </w:rPr>
        <w:t xml:space="preserve">          </w:t>
      </w:r>
    </w:p>
    <w:p w14:paraId="297985BB">
      <w:pPr>
        <w:spacing w:line="360" w:lineRule="auto"/>
        <w:ind w:firstLine="420" w:firstLineChars="200"/>
        <w:rPr>
          <w:rFonts w:ascii="宋体" w:hAnsi="宋体" w:cs="宋体"/>
          <w:color w:val="auto"/>
          <w:szCs w:val="21"/>
        </w:rPr>
      </w:pPr>
      <w:r>
        <w:rPr>
          <w:rFonts w:hint="eastAsia" w:ascii="宋体" w:hAnsi="宋体" w:cs="宋体"/>
          <w:color w:val="auto"/>
          <w:szCs w:val="21"/>
        </w:rPr>
        <w:t>身份证号、手机号:</w:t>
      </w:r>
      <w:r>
        <w:rPr>
          <w:rFonts w:hint="eastAsia" w:ascii="宋体" w:hAnsi="宋体" w:cs="宋体"/>
          <w:color w:val="auto"/>
          <w:szCs w:val="21"/>
          <w:u w:val="single"/>
          <w:lang w:val="en-US" w:eastAsia="zh-CN"/>
        </w:rPr>
        <w:t xml:space="preserve">          </w:t>
      </w:r>
    </w:p>
    <w:p w14:paraId="4F33E8F4">
      <w:pPr>
        <w:spacing w:line="360" w:lineRule="auto"/>
        <w:ind w:firstLine="420" w:firstLineChars="200"/>
        <w:rPr>
          <w:rFonts w:hint="eastAsia" w:ascii="宋体" w:hAnsi="宋体" w:cs="宋体"/>
          <w:color w:val="auto"/>
          <w:szCs w:val="21"/>
          <w:u w:val="single"/>
          <w:lang w:val="en-US" w:eastAsia="zh-CN"/>
        </w:rPr>
      </w:pPr>
      <w:r>
        <w:rPr>
          <w:rFonts w:hint="eastAsia" w:ascii="宋体" w:hAnsi="宋体" w:cs="宋体"/>
          <w:color w:val="auto"/>
          <w:szCs w:val="21"/>
        </w:rPr>
        <w:t>授权代表人姓名</w:t>
      </w:r>
      <w:r>
        <w:rPr>
          <w:rFonts w:hint="eastAsia" w:ascii="宋体" w:hAnsi="宋体" w:cs="宋体"/>
          <w:b/>
          <w:bCs/>
          <w:color w:val="auto"/>
          <w:szCs w:val="21"/>
        </w:rPr>
        <w:t>(签字</w:t>
      </w:r>
      <w:r>
        <w:rPr>
          <w:rFonts w:hint="eastAsia" w:ascii="宋体" w:hAnsi="宋体" w:cs="宋体"/>
          <w:b/>
          <w:bCs/>
          <w:color w:val="auto"/>
          <w:szCs w:val="21"/>
          <w:lang w:val="en-US" w:eastAsia="zh-CN"/>
        </w:rPr>
        <w:t>或印章</w:t>
      </w:r>
      <w:r>
        <w:rPr>
          <w:rFonts w:hint="eastAsia" w:ascii="宋体" w:hAnsi="宋体" w:cs="宋体"/>
          <w:b/>
          <w:bCs/>
          <w:color w:val="auto"/>
          <w:szCs w:val="21"/>
        </w:rPr>
        <w:t>)</w:t>
      </w:r>
      <w:r>
        <w:rPr>
          <w:rFonts w:hint="eastAsia" w:ascii="宋体" w:hAnsi="宋体" w:cs="宋体"/>
          <w:color w:val="auto"/>
          <w:szCs w:val="21"/>
          <w:u w:val="single"/>
          <w:lang w:val="en-US" w:eastAsia="zh-CN"/>
        </w:rPr>
        <w:t xml:space="preserve">          </w:t>
      </w:r>
    </w:p>
    <w:p w14:paraId="7AFBB3C8">
      <w:pPr>
        <w:spacing w:line="360" w:lineRule="auto"/>
        <w:ind w:firstLine="420" w:firstLineChars="200"/>
        <w:rPr>
          <w:rFonts w:ascii="宋体" w:hAnsi="宋体" w:cs="宋体"/>
          <w:color w:val="auto"/>
          <w:szCs w:val="21"/>
        </w:rPr>
      </w:pPr>
      <w:r>
        <w:rPr>
          <w:rFonts w:hint="eastAsia" w:ascii="宋体" w:hAnsi="宋体" w:cs="宋体"/>
          <w:color w:val="auto"/>
          <w:szCs w:val="21"/>
        </w:rPr>
        <w:t>身份证号、手机号:</w:t>
      </w:r>
      <w:r>
        <w:rPr>
          <w:rFonts w:hint="eastAsia" w:ascii="宋体" w:hAnsi="宋体" w:cs="宋体"/>
          <w:color w:val="auto"/>
          <w:szCs w:val="21"/>
          <w:u w:val="single"/>
          <w:lang w:val="en-US" w:eastAsia="zh-CN"/>
        </w:rPr>
        <w:t xml:space="preserve">          </w:t>
      </w:r>
    </w:p>
    <w:p w14:paraId="4437DE1F">
      <w:pPr>
        <w:spacing w:line="360" w:lineRule="auto"/>
        <w:ind w:firstLine="420" w:firstLineChars="200"/>
        <w:rPr>
          <w:rFonts w:ascii="宋体" w:hAnsi="宋体" w:cs="宋体"/>
          <w:color w:val="auto"/>
          <w:szCs w:val="21"/>
        </w:rPr>
      </w:pPr>
    </w:p>
    <w:p w14:paraId="757E943E">
      <w:pPr>
        <w:rPr>
          <w:rFonts w:hint="eastAsia" w:ascii="黑体" w:hAnsi="黑体" w:eastAsia="黑体"/>
          <w:color w:val="auto"/>
          <w:sz w:val="21"/>
          <w:szCs w:val="21"/>
        </w:rPr>
      </w:pPr>
      <w:r>
        <w:rPr>
          <w:rFonts w:hint="eastAsia" w:ascii="黑体" w:hAnsi="黑体" w:eastAsia="黑体"/>
          <w:color w:val="auto"/>
          <w:sz w:val="21"/>
          <w:szCs w:val="21"/>
        </w:rPr>
        <w:br w:type="page"/>
      </w:r>
    </w:p>
    <w:p w14:paraId="1D20FA11">
      <w:pPr>
        <w:pStyle w:val="5"/>
        <w:keepNext w:val="0"/>
        <w:keepLines w:val="0"/>
        <w:adjustRightInd w:val="0"/>
        <w:snapToGrid w:val="0"/>
        <w:spacing w:beforeLines="50" w:after="0" w:line="360" w:lineRule="auto"/>
        <w:rPr>
          <w:rFonts w:ascii="黑体" w:hAnsi="黑体" w:eastAsia="黑体"/>
          <w:color w:val="auto"/>
          <w:sz w:val="21"/>
          <w:szCs w:val="21"/>
        </w:rPr>
      </w:pPr>
      <w:bookmarkStart w:id="247" w:name="_Toc3278"/>
      <w:r>
        <w:rPr>
          <w:rFonts w:hint="eastAsia" w:ascii="黑体" w:hAnsi="黑体" w:eastAsia="黑体"/>
          <w:color w:val="auto"/>
          <w:sz w:val="21"/>
          <w:szCs w:val="21"/>
        </w:rPr>
        <w:t>附件10-4 特定资格条件证明材料复印件或者情况说明</w:t>
      </w:r>
      <w:bookmarkEnd w:id="245"/>
      <w:bookmarkEnd w:id="246"/>
      <w:bookmarkEnd w:id="247"/>
    </w:p>
    <w:p w14:paraId="1F8DE007">
      <w:pPr>
        <w:adjustRightInd w:val="0"/>
        <w:snapToGrid w:val="0"/>
        <w:spacing w:beforeLines="50"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符合特定资格条件证明材料复印件或者情况说明</w:t>
      </w:r>
    </w:p>
    <w:p w14:paraId="16383246">
      <w:pPr>
        <w:adjustRightInd w:val="0"/>
        <w:snapToGrid w:val="0"/>
        <w:spacing w:beforeLines="50" w:line="360" w:lineRule="auto"/>
        <w:jc w:val="left"/>
        <w:rPr>
          <w:rFonts w:ascii="宋体" w:hAnsi="宋体" w:eastAsia="宋体" w:cs="宋体"/>
          <w:color w:val="auto"/>
          <w:szCs w:val="21"/>
        </w:rPr>
      </w:pPr>
      <w:r>
        <w:rPr>
          <w:rFonts w:hint="eastAsia" w:ascii="宋体" w:hAnsi="宋体" w:eastAsia="宋体" w:cs="宋体"/>
          <w:color w:val="auto"/>
          <w:szCs w:val="21"/>
        </w:rPr>
        <w:t>注：按第二章第</w:t>
      </w:r>
      <w:r>
        <w:rPr>
          <w:rFonts w:ascii="宋体" w:hAnsi="宋体" w:eastAsia="宋体" w:cs="宋体"/>
          <w:color w:val="auto"/>
          <w:szCs w:val="21"/>
        </w:rPr>
        <w:t>1</w:t>
      </w:r>
      <w:r>
        <w:rPr>
          <w:rFonts w:hint="eastAsia" w:ascii="宋体" w:hAnsi="宋体" w:eastAsia="宋体" w:cs="宋体"/>
          <w:color w:val="auto"/>
          <w:szCs w:val="21"/>
        </w:rPr>
        <w:t>0</w:t>
      </w:r>
      <w:r>
        <w:rPr>
          <w:rFonts w:ascii="宋体" w:hAnsi="宋体" w:eastAsia="宋体" w:cs="宋体"/>
          <w:color w:val="auto"/>
          <w:szCs w:val="21"/>
        </w:rPr>
        <w:t>.1</w:t>
      </w:r>
      <w:r>
        <w:rPr>
          <w:rFonts w:hint="eastAsia" w:ascii="宋体" w:hAnsi="宋体" w:eastAsia="宋体" w:cs="宋体"/>
          <w:color w:val="auto"/>
          <w:szCs w:val="21"/>
        </w:rPr>
        <w:t>（3）项规定提供。</w:t>
      </w:r>
    </w:p>
    <w:p w14:paraId="7E771D28">
      <w:pPr>
        <w:adjustRightInd w:val="0"/>
        <w:snapToGrid w:val="0"/>
        <w:spacing w:beforeLines="50" w:line="360" w:lineRule="auto"/>
        <w:jc w:val="center"/>
        <w:rPr>
          <w:rFonts w:ascii="黑体" w:hAnsi="仿宋" w:eastAsia="黑体" w:cs="宋体"/>
          <w:b/>
          <w:color w:val="auto"/>
          <w:sz w:val="28"/>
          <w:szCs w:val="28"/>
        </w:rPr>
      </w:pPr>
    </w:p>
    <w:p w14:paraId="0B514B83">
      <w:pPr>
        <w:adjustRightInd w:val="0"/>
        <w:snapToGrid w:val="0"/>
        <w:spacing w:beforeLines="50" w:line="360" w:lineRule="auto"/>
        <w:jc w:val="center"/>
        <w:rPr>
          <w:rFonts w:ascii="黑体" w:hAnsi="仿宋" w:eastAsia="黑体" w:cs="宋体"/>
          <w:b/>
          <w:color w:val="auto"/>
          <w:sz w:val="28"/>
          <w:szCs w:val="28"/>
        </w:rPr>
      </w:pPr>
    </w:p>
    <w:p w14:paraId="323D6191">
      <w:pPr>
        <w:pStyle w:val="3"/>
        <w:jc w:val="center"/>
        <w:rPr>
          <w:rFonts w:ascii="黑体" w:hAnsi="黑体" w:eastAsia="黑体"/>
          <w:color w:val="auto"/>
          <w:sz w:val="28"/>
          <w:szCs w:val="28"/>
        </w:rPr>
      </w:pPr>
      <w:bookmarkStart w:id="248" w:name="_Toc24461"/>
      <w:bookmarkStart w:id="249" w:name="_Toc62472940"/>
      <w:r>
        <w:rPr>
          <w:rFonts w:hint="eastAsia" w:ascii="黑体" w:hAnsi="黑体" w:eastAsia="黑体"/>
          <w:color w:val="auto"/>
          <w:sz w:val="28"/>
          <w:szCs w:val="28"/>
        </w:rPr>
        <w:t>十一、响应标的符合磋商文件规定的证明文件</w:t>
      </w:r>
      <w:bookmarkEnd w:id="248"/>
      <w:bookmarkEnd w:id="249"/>
    </w:p>
    <w:p w14:paraId="57B885C4">
      <w:pPr>
        <w:adjustRightInd w:val="0"/>
        <w:snapToGrid w:val="0"/>
        <w:spacing w:line="360" w:lineRule="auto"/>
        <w:rPr>
          <w:rFonts w:ascii="宋体" w:hAnsi="宋体"/>
          <w:color w:val="auto"/>
          <w:szCs w:val="21"/>
        </w:rPr>
      </w:pPr>
    </w:p>
    <w:p w14:paraId="67F1EECE">
      <w:pPr>
        <w:adjustRightInd w:val="0"/>
        <w:snapToGrid w:val="0"/>
        <w:spacing w:line="360" w:lineRule="auto"/>
        <w:rPr>
          <w:rFonts w:ascii="宋体" w:hAnsi="宋体"/>
          <w:color w:val="auto"/>
        </w:rPr>
      </w:pPr>
      <w:r>
        <w:rPr>
          <w:rFonts w:hint="eastAsia" w:ascii="宋体" w:hAnsi="宋体" w:eastAsia="宋体"/>
          <w:b/>
          <w:color w:val="auto"/>
          <w:szCs w:val="21"/>
        </w:rPr>
        <w:t>注</w:t>
      </w:r>
      <w:r>
        <w:rPr>
          <w:rFonts w:hint="eastAsia" w:ascii="宋体" w:hAnsi="宋体"/>
          <w:color w:val="auto"/>
          <w:szCs w:val="21"/>
        </w:rPr>
        <w:t>：提供第四章规定的证明材料。</w:t>
      </w:r>
    </w:p>
    <w:p w14:paraId="3B846C63">
      <w:pPr>
        <w:pStyle w:val="3"/>
        <w:jc w:val="center"/>
        <w:rPr>
          <w:color w:val="auto"/>
        </w:rPr>
      </w:pPr>
      <w:r>
        <w:rPr>
          <w:color w:val="auto"/>
        </w:rPr>
        <w:br w:type="page"/>
      </w:r>
      <w:bookmarkStart w:id="250" w:name="_Toc62472941"/>
      <w:bookmarkStart w:id="251" w:name="_Toc19321"/>
      <w:r>
        <w:rPr>
          <w:rFonts w:hint="eastAsia" w:ascii="黑体" w:hAnsi="黑体" w:eastAsia="黑体" w:cs="Times New Roman"/>
          <w:color w:val="auto"/>
          <w:sz w:val="28"/>
          <w:szCs w:val="28"/>
        </w:rPr>
        <w:t>十二、供应商认为需提供的其他资料</w:t>
      </w:r>
      <w:bookmarkEnd w:id="250"/>
      <w:bookmarkEnd w:id="251"/>
    </w:p>
    <w:p w14:paraId="5A97C77F">
      <w:pPr>
        <w:adjustRightInd w:val="0"/>
        <w:snapToGrid w:val="0"/>
        <w:spacing w:beforeLines="50" w:line="360" w:lineRule="auto"/>
        <w:rPr>
          <w:rFonts w:ascii="宋体" w:hAnsi="宋体"/>
          <w:color w:val="auto"/>
        </w:rPr>
      </w:pPr>
    </w:p>
    <w:p w14:paraId="69987E94">
      <w:pPr>
        <w:adjustRightInd w:val="0"/>
        <w:snapToGrid w:val="0"/>
        <w:spacing w:beforeLines="50" w:line="360" w:lineRule="auto"/>
        <w:rPr>
          <w:rFonts w:ascii="宋体" w:hAnsi="宋体"/>
          <w:color w:val="auto"/>
        </w:rPr>
      </w:pPr>
      <w:r>
        <w:rPr>
          <w:rFonts w:hint="eastAsia" w:ascii="宋体" w:hAnsi="宋体" w:eastAsia="宋体"/>
          <w:b/>
          <w:color w:val="auto"/>
          <w:szCs w:val="21"/>
        </w:rPr>
        <w:t>注</w:t>
      </w:r>
      <w:r>
        <w:rPr>
          <w:rFonts w:hint="eastAsia" w:ascii="宋体" w:hAnsi="宋体"/>
          <w:color w:val="auto"/>
        </w:rPr>
        <w:t>：供应商认为需提供的其他资料包括：</w:t>
      </w:r>
    </w:p>
    <w:p w14:paraId="0E90F21F">
      <w:pPr>
        <w:adjustRightInd w:val="0"/>
        <w:snapToGrid w:val="0"/>
        <w:spacing w:beforeLines="50" w:line="360" w:lineRule="auto"/>
        <w:ind w:firstLine="420" w:firstLineChars="200"/>
        <w:rPr>
          <w:rFonts w:ascii="宋体" w:hAnsi="宋体"/>
          <w:color w:val="auto"/>
        </w:rPr>
      </w:pPr>
      <w:r>
        <w:rPr>
          <w:rFonts w:hint="eastAsia" w:ascii="宋体" w:hAnsi="宋体"/>
          <w:color w:val="auto"/>
        </w:rPr>
        <w:t>（1）磋商文件第</w:t>
      </w:r>
      <w:r>
        <w:rPr>
          <w:rFonts w:hint="eastAsia" w:ascii="宋体" w:hAnsi="宋体"/>
          <w:color w:val="auto"/>
          <w:lang w:val="en-US" w:eastAsia="zh-CN"/>
        </w:rPr>
        <w:t>三</w:t>
      </w:r>
      <w:r>
        <w:rPr>
          <w:rFonts w:hint="eastAsia" w:ascii="宋体" w:hAnsi="宋体"/>
          <w:color w:val="auto"/>
        </w:rPr>
        <w:t>章</w:t>
      </w:r>
      <w:r>
        <w:rPr>
          <w:rFonts w:hint="eastAsia" w:ascii="宋体" w:hAnsi="宋体"/>
          <w:color w:val="auto"/>
          <w:lang w:val="en-US" w:eastAsia="zh-CN"/>
        </w:rPr>
        <w:t>评标办法</w:t>
      </w:r>
      <w:r>
        <w:rPr>
          <w:rFonts w:hint="eastAsia" w:ascii="宋体" w:hAnsi="宋体"/>
          <w:color w:val="auto"/>
        </w:rPr>
        <w:t>要求的其他资料；</w:t>
      </w:r>
    </w:p>
    <w:p w14:paraId="29D66B7E">
      <w:pPr>
        <w:adjustRightInd w:val="0"/>
        <w:snapToGrid w:val="0"/>
        <w:spacing w:beforeLines="50" w:line="360" w:lineRule="auto"/>
        <w:ind w:firstLine="420" w:firstLineChars="200"/>
        <w:rPr>
          <w:rFonts w:ascii="宋体" w:hAnsi="宋体"/>
          <w:color w:val="auto"/>
        </w:rPr>
      </w:pPr>
      <w:r>
        <w:rPr>
          <w:rFonts w:hint="eastAsia" w:ascii="宋体" w:hAnsi="宋体"/>
          <w:color w:val="auto"/>
        </w:rPr>
        <w:t>（2）磋商文件要求的其他相关资料。</w:t>
      </w:r>
    </w:p>
    <w:p w14:paraId="7078B059">
      <w:pPr>
        <w:adjustRightInd w:val="0"/>
        <w:snapToGrid w:val="0"/>
        <w:spacing w:beforeLines="50" w:line="360" w:lineRule="auto"/>
        <w:rPr>
          <w:rFonts w:ascii="宋体" w:hAnsi="宋体"/>
          <w:color w:val="auto"/>
        </w:rPr>
      </w:pPr>
    </w:p>
    <w:p w14:paraId="098C6528">
      <w:pPr>
        <w:pStyle w:val="18"/>
        <w:rPr>
          <w:color w:val="auto"/>
        </w:rPr>
      </w:pPr>
    </w:p>
    <w:p w14:paraId="2A65DF96">
      <w:pPr>
        <w:pStyle w:val="18"/>
        <w:rPr>
          <w:color w:val="auto"/>
        </w:rPr>
      </w:pPr>
    </w:p>
    <w:p w14:paraId="6FAA9A5B">
      <w:pPr>
        <w:pStyle w:val="18"/>
        <w:rPr>
          <w:color w:val="auto"/>
        </w:rPr>
      </w:pPr>
    </w:p>
    <w:p w14:paraId="6BA8B6A7">
      <w:pPr>
        <w:rPr>
          <w:color w:val="auto"/>
        </w:rPr>
      </w:pPr>
    </w:p>
    <w:p w14:paraId="0827FDBA">
      <w:pPr>
        <w:pStyle w:val="3"/>
        <w:jc w:val="center"/>
        <w:rPr>
          <w:rFonts w:hint="eastAsia" w:ascii="黑体" w:hAnsi="黑体" w:eastAsia="黑体" w:cs="Times New Roman"/>
          <w:color w:val="auto"/>
          <w:sz w:val="28"/>
          <w:szCs w:val="28"/>
        </w:rPr>
      </w:pPr>
      <w:bookmarkStart w:id="252" w:name="_Toc20844"/>
      <w:r>
        <w:rPr>
          <w:rFonts w:hint="eastAsia" w:ascii="黑体" w:hAnsi="黑体" w:eastAsia="黑体" w:cs="Times New Roman"/>
          <w:color w:val="auto"/>
          <w:sz w:val="28"/>
          <w:szCs w:val="28"/>
        </w:rPr>
        <w:t>十三、最终报价</w:t>
      </w:r>
      <w:bookmarkEnd w:id="252"/>
    </w:p>
    <w:p w14:paraId="53E2FC7F">
      <w:pPr>
        <w:adjustRightInd w:val="0"/>
        <w:snapToGrid w:val="0"/>
        <w:spacing w:line="360" w:lineRule="auto"/>
        <w:rPr>
          <w:rFonts w:ascii="宋体" w:hAnsi="宋体"/>
          <w:color w:val="auto"/>
          <w:szCs w:val="21"/>
        </w:rPr>
      </w:pPr>
    </w:p>
    <w:p w14:paraId="09AF2BFF">
      <w:pPr>
        <w:adjustRightInd w:val="0"/>
        <w:snapToGrid w:val="0"/>
        <w:spacing w:line="360" w:lineRule="auto"/>
        <w:rPr>
          <w:rFonts w:ascii="宋体" w:hAnsi="宋体"/>
          <w:color w:val="auto"/>
          <w:szCs w:val="21"/>
        </w:rPr>
      </w:pPr>
    </w:p>
    <w:p w14:paraId="4F8C2E0A">
      <w:pPr>
        <w:adjustRightInd w:val="0"/>
        <w:snapToGrid w:val="0"/>
        <w:spacing w:line="360" w:lineRule="auto"/>
        <w:rPr>
          <w:rFonts w:ascii="宋体" w:hAnsi="宋体"/>
          <w:color w:val="auto"/>
          <w:szCs w:val="21"/>
        </w:rPr>
      </w:pPr>
      <w:r>
        <w:rPr>
          <w:rFonts w:hint="eastAsia" w:ascii="宋体" w:hAnsi="宋体"/>
          <w:color w:val="auto"/>
          <w:szCs w:val="21"/>
        </w:rPr>
        <w:t>说明：</w:t>
      </w:r>
    </w:p>
    <w:p w14:paraId="4698D53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1、最后报价按第二章磋商须知第26条规定提供，格式按附件5—1</w:t>
      </w:r>
      <w:r>
        <w:rPr>
          <w:rFonts w:hint="eastAsia" w:ascii="宋体" w:hAnsi="宋体"/>
          <w:color w:val="auto"/>
          <w:szCs w:val="21"/>
          <w:lang w:eastAsia="zh-CN"/>
        </w:rPr>
        <w:t>、</w:t>
      </w:r>
      <w:r>
        <w:rPr>
          <w:rFonts w:hint="eastAsia" w:ascii="宋体" w:hAnsi="宋体"/>
          <w:color w:val="auto"/>
          <w:szCs w:val="21"/>
          <w:lang w:val="en-US" w:eastAsia="zh-CN"/>
        </w:rPr>
        <w:t>5-2</w:t>
      </w:r>
      <w:r>
        <w:rPr>
          <w:rFonts w:hint="eastAsia" w:ascii="宋体" w:hAnsi="宋体"/>
          <w:color w:val="auto"/>
          <w:szCs w:val="21"/>
        </w:rPr>
        <w:t>提供。</w:t>
      </w:r>
    </w:p>
    <w:p w14:paraId="4C6CDB8E">
      <w:pPr>
        <w:adjustRightInd w:val="0"/>
        <w:snapToGrid w:val="0"/>
        <w:spacing w:line="360" w:lineRule="auto"/>
        <w:ind w:left="-88" w:leftChars="-42" w:firstLine="525" w:firstLineChars="250"/>
        <w:rPr>
          <w:rFonts w:ascii="宋体" w:hAnsi="宋体"/>
          <w:color w:val="auto"/>
          <w:szCs w:val="21"/>
        </w:rPr>
      </w:pPr>
      <w:r>
        <w:rPr>
          <w:rFonts w:hint="eastAsia" w:ascii="宋体" w:hAnsi="宋体"/>
          <w:color w:val="auto"/>
          <w:szCs w:val="21"/>
        </w:rPr>
        <w:t>2、最后报价需填列报价一览表和分项价格表</w:t>
      </w:r>
      <w:r>
        <w:rPr>
          <w:rFonts w:hint="eastAsia" w:ascii="宋体" w:hAnsi="宋体"/>
          <w:color w:val="auto"/>
          <w:szCs w:val="21"/>
          <w:lang w:eastAsia="zh-CN"/>
        </w:rPr>
        <w:t>（</w:t>
      </w:r>
      <w:r>
        <w:rPr>
          <w:rFonts w:hint="eastAsia" w:ascii="宋体" w:hAnsi="宋体"/>
          <w:color w:val="auto"/>
          <w:szCs w:val="21"/>
          <w:lang w:val="en-US" w:eastAsia="zh-CN"/>
        </w:rPr>
        <w:t>工程量清单报价</w:t>
      </w:r>
      <w:r>
        <w:rPr>
          <w:rFonts w:hint="eastAsia" w:ascii="宋体" w:hAnsi="宋体"/>
          <w:color w:val="auto"/>
          <w:szCs w:val="21"/>
          <w:lang w:eastAsia="zh-CN"/>
        </w:rPr>
        <w:t>）</w:t>
      </w:r>
      <w:r>
        <w:rPr>
          <w:rFonts w:hint="eastAsia" w:ascii="宋体" w:hAnsi="宋体"/>
          <w:color w:val="auto"/>
          <w:szCs w:val="21"/>
        </w:rPr>
        <w:t>。</w:t>
      </w:r>
    </w:p>
    <w:p w14:paraId="6B9548C6">
      <w:pPr>
        <w:rPr>
          <w:color w:val="auto"/>
        </w:rPr>
      </w:pPr>
    </w:p>
    <w:p w14:paraId="62899DF5">
      <w:pPr>
        <w:widowControl/>
        <w:spacing w:before="100" w:beforeAutospacing="1" w:after="100" w:afterAutospacing="1" w:line="408" w:lineRule="auto"/>
        <w:ind w:firstLine="315" w:firstLineChars="150"/>
        <w:rPr>
          <w:rFonts w:hint="eastAsia" w:ascii="宋体" w:hAnsi="宋体"/>
          <w:b/>
          <w:bCs/>
          <w:color w:val="auto"/>
          <w:szCs w:val="21"/>
        </w:rPr>
      </w:pPr>
      <w:bookmarkStart w:id="253" w:name="OLE_LINK20"/>
      <w:r>
        <w:rPr>
          <w:rFonts w:hint="eastAsia"/>
          <w:b/>
          <w:bCs/>
          <w:color w:val="auto"/>
          <w:lang w:val="en-US" w:eastAsia="zh-CN"/>
        </w:rPr>
        <w:t>供应商</w:t>
      </w:r>
      <w:r>
        <w:rPr>
          <w:rFonts w:hint="eastAsia"/>
          <w:b/>
          <w:bCs/>
          <w:color w:val="auto"/>
        </w:rPr>
        <w:t>可提前准备最后报价表</w:t>
      </w:r>
      <w:bookmarkEnd w:id="253"/>
      <w:r>
        <w:rPr>
          <w:rFonts w:hint="eastAsia"/>
          <w:b/>
          <w:bCs/>
          <w:color w:val="auto"/>
        </w:rPr>
        <w:t>（自行保管，不</w:t>
      </w:r>
      <w:r>
        <w:rPr>
          <w:rFonts w:hint="eastAsia"/>
          <w:b/>
          <w:bCs/>
          <w:color w:val="auto"/>
          <w:lang w:val="en-US" w:eastAsia="zh-CN"/>
        </w:rPr>
        <w:t>得</w:t>
      </w:r>
      <w:r>
        <w:rPr>
          <w:rFonts w:hint="eastAsia"/>
          <w:b/>
          <w:bCs/>
          <w:color w:val="auto"/>
        </w:rPr>
        <w:t>与响应文件</w:t>
      </w:r>
      <w:r>
        <w:rPr>
          <w:rFonts w:hint="eastAsia"/>
          <w:b/>
          <w:bCs/>
          <w:color w:val="auto"/>
          <w:lang w:val="en-US" w:eastAsia="zh-CN"/>
        </w:rPr>
        <w:t>装订在一起</w:t>
      </w:r>
      <w:r>
        <w:rPr>
          <w:rFonts w:hint="eastAsia"/>
          <w:b/>
          <w:bCs/>
          <w:color w:val="auto"/>
        </w:rPr>
        <w:t>）</w:t>
      </w:r>
      <w:r>
        <w:rPr>
          <w:rFonts w:hint="eastAsia"/>
          <w:b/>
          <w:bCs/>
          <w:color w:val="auto"/>
          <w:lang w:eastAsia="zh-CN"/>
        </w:rPr>
        <w:t>，</w:t>
      </w:r>
      <w:r>
        <w:rPr>
          <w:rFonts w:hint="eastAsia"/>
          <w:b/>
          <w:bCs/>
          <w:color w:val="auto"/>
          <w:lang w:val="en-US" w:eastAsia="zh-CN"/>
        </w:rPr>
        <w:t>开标现场递交</w:t>
      </w:r>
      <w:r>
        <w:rPr>
          <w:rFonts w:hint="eastAsia"/>
          <w:b/>
          <w:bCs/>
          <w:color w:val="auto"/>
        </w:rPr>
        <w:t>，格式按附件5-1</w:t>
      </w:r>
      <w:r>
        <w:rPr>
          <w:rFonts w:hint="eastAsia"/>
          <w:b/>
          <w:bCs/>
          <w:color w:val="auto"/>
          <w:lang w:eastAsia="zh-CN"/>
        </w:rPr>
        <w:t>、</w:t>
      </w:r>
      <w:r>
        <w:rPr>
          <w:rFonts w:hint="eastAsia"/>
          <w:b/>
          <w:bCs/>
          <w:color w:val="auto"/>
          <w:lang w:val="en-US" w:eastAsia="zh-CN"/>
        </w:rPr>
        <w:t>5-2提供</w:t>
      </w:r>
      <w:r>
        <w:rPr>
          <w:rFonts w:hint="eastAsia" w:ascii="宋体" w:hAnsi="宋体"/>
          <w:b/>
          <w:bCs/>
          <w:color w:val="auto"/>
          <w:szCs w:val="21"/>
        </w:rPr>
        <w:t>。</w:t>
      </w:r>
    </w:p>
    <w:p w14:paraId="6ABA5C17">
      <w:pPr>
        <w:rPr>
          <w:color w:val="auto"/>
        </w:rPr>
      </w:pPr>
    </w:p>
    <w:p w14:paraId="06E7D7E3">
      <w:pPr>
        <w:rPr>
          <w:color w:val="auto"/>
        </w:rPr>
      </w:pPr>
    </w:p>
    <w:p w14:paraId="697B07D5">
      <w:pPr>
        <w:rPr>
          <w:color w:val="auto"/>
        </w:rPr>
      </w:pPr>
    </w:p>
    <w:sectPr>
      <w:footerReference r:id="rId3" w:type="default"/>
      <w:footerReference r:id="rId4" w:type="even"/>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185A">
    <w:pPr>
      <w:pStyle w:val="14"/>
      <w:jc w:val="center"/>
    </w:pPr>
    <w:r>
      <w:fldChar w:fldCharType="begin"/>
    </w:r>
    <w:r>
      <w:instrText xml:space="preserve"> PAGE   \* MERGEFORMAT </w:instrText>
    </w:r>
    <w:r>
      <w:fldChar w:fldCharType="separate"/>
    </w:r>
    <w:r>
      <w:rPr>
        <w:lang w:val="zh-CN"/>
      </w:rPr>
      <w:t>81</w:t>
    </w:r>
    <w:r>
      <w:rPr>
        <w:lang w:val="zh-CN"/>
      </w:rPr>
      <w:fldChar w:fldCharType="end"/>
    </w:r>
  </w:p>
  <w:p w14:paraId="1029CACB">
    <w:pPr>
      <w:pStyle w:val="14"/>
      <w:ind w:left="240" w:right="359" w:rightChars="171" w:hanging="240" w:hangingChars="100"/>
      <w:jc w:val="center"/>
      <w:rPr>
        <w:rFonts w:eastAsia="楷体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42D8">
    <w:pPr>
      <w:pStyle w:val="14"/>
      <w:framePr w:wrap="around" w:vAnchor="text" w:hAnchor="margin" w:xAlign="right" w:y="1"/>
      <w:rPr>
        <w:rStyle w:val="22"/>
      </w:rPr>
    </w:pPr>
    <w:r>
      <w:fldChar w:fldCharType="begin"/>
    </w:r>
    <w:r>
      <w:rPr>
        <w:rStyle w:val="22"/>
      </w:rPr>
      <w:instrText xml:space="preserve">PAGE  </w:instrText>
    </w:r>
    <w:r>
      <w:fldChar w:fldCharType="end"/>
    </w:r>
  </w:p>
  <w:p w14:paraId="0B7DA870">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FBFA3"/>
    <w:multiLevelType w:val="singleLevel"/>
    <w:tmpl w:val="959FBFA3"/>
    <w:lvl w:ilvl="0" w:tentative="0">
      <w:start w:val="1"/>
      <w:numFmt w:val="decimal"/>
      <w:suff w:val="nothing"/>
      <w:lvlText w:val="（%1）"/>
      <w:lvlJc w:val="left"/>
    </w:lvl>
  </w:abstractNum>
  <w:abstractNum w:abstractNumId="1">
    <w:nsid w:val="E17F81B7"/>
    <w:multiLevelType w:val="singleLevel"/>
    <w:tmpl w:val="E17F81B7"/>
    <w:lvl w:ilvl="0" w:tentative="0">
      <w:start w:val="5"/>
      <w:numFmt w:val="decimal"/>
      <w:suff w:val="nothing"/>
      <w:lvlText w:val="%1、"/>
      <w:lvlJc w:val="left"/>
    </w:lvl>
  </w:abstractNum>
  <w:abstractNum w:abstractNumId="2">
    <w:nsid w:val="42385960"/>
    <w:multiLevelType w:val="singleLevel"/>
    <w:tmpl w:val="4238596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05879"/>
    <w:rsid w:val="0F0A5D32"/>
    <w:rsid w:val="2D705879"/>
    <w:rsid w:val="4E407F9F"/>
    <w:rsid w:val="53AA2BCF"/>
    <w:rsid w:val="625E28EB"/>
    <w:rsid w:val="6A86594D"/>
    <w:rsid w:val="6B59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1">
    <w:name w:val="toc 3"/>
    <w:basedOn w:val="1"/>
    <w:next w:val="1"/>
    <w:qFormat/>
    <w:uiPriority w:val="39"/>
    <w:pPr>
      <w:ind w:left="420"/>
      <w:jc w:val="left"/>
    </w:pPr>
    <w:rPr>
      <w:rFonts w:ascii="Calibri" w:hAnsi="Calibri"/>
      <w:i/>
      <w:iCs/>
      <w:sz w:val="20"/>
      <w:szCs w:val="20"/>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39"/>
    <w:pPr>
      <w:ind w:left="210"/>
      <w:jc w:val="left"/>
    </w:pPr>
    <w:rPr>
      <w:rFonts w:ascii="Calibri" w:hAnsi="Calibri"/>
      <w:smallCaps/>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8"/>
    <w:next w:val="4"/>
    <w:qFormat/>
    <w:uiPriority w:val="99"/>
    <w:pPr>
      <w:autoSpaceDE w:val="0"/>
      <w:autoSpaceDN w:val="0"/>
      <w:adjustRightInd w:val="0"/>
      <w:jc w:val="left"/>
    </w:pPr>
    <w:rPr>
      <w:kern w:val="0"/>
    </w:rPr>
  </w:style>
  <w:style w:type="character" w:styleId="21">
    <w:name w:val="Strong"/>
    <w:qFormat/>
    <w:uiPriority w:val="0"/>
    <w:rPr>
      <w:b/>
      <w:bCs/>
    </w:rPr>
  </w:style>
  <w:style w:type="character" w:styleId="22">
    <w:name w:val="page number"/>
    <w:basedOn w:val="20"/>
    <w:qFormat/>
    <w:uiPriority w:val="0"/>
  </w:style>
  <w:style w:type="paragraph" w:customStyle="1" w:styleId="23">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24">
    <w:name w:val="p0"/>
    <w:basedOn w:val="1"/>
    <w:qFormat/>
    <w:uiPriority w:val="0"/>
    <w:pPr>
      <w:widowControl/>
    </w:pPr>
    <w:rPr>
      <w:kern w:val="0"/>
      <w:szCs w:val="21"/>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Normal_0_0_0"/>
    <w:qFormat/>
    <w:uiPriority w:val="0"/>
    <w:rPr>
      <w:rFonts w:ascii="Times New Roman" w:hAnsi="Times New Roman" w:eastAsia="Times New Roman" w:cs="Times New Roman"/>
      <w:sz w:val="24"/>
      <w:szCs w:val="24"/>
      <w:lang w:val="en-US" w:eastAsia="zh-CN" w:bidi="ar-SA"/>
    </w:rPr>
  </w:style>
  <w:style w:type="paragraph" w:customStyle="1" w:styleId="27">
    <w:name w:val="样式1"/>
    <w:basedOn w:val="1"/>
    <w:link w:val="28"/>
    <w:qFormat/>
    <w:uiPriority w:val="0"/>
    <w:pPr>
      <w:tabs>
        <w:tab w:val="left" w:pos="360"/>
      </w:tabs>
      <w:adjustRightInd w:val="0"/>
      <w:ind w:left="360" w:hanging="360"/>
      <w:textAlignment w:val="baseline"/>
    </w:pPr>
    <w:rPr>
      <w:rFonts w:ascii="宋体" w:hAnsi="宋体"/>
      <w:kern w:val="0"/>
      <w:szCs w:val="21"/>
    </w:rPr>
  </w:style>
  <w:style w:type="character" w:customStyle="1" w:styleId="28">
    <w:name w:val="样式1 Char"/>
    <w:link w:val="27"/>
    <w:qFormat/>
    <w:uiPriority w:val="0"/>
    <w:rPr>
      <w:rFonts w:ascii="宋体" w:hAnsi="宋体"/>
      <w:kern w:val="0"/>
      <w:szCs w:val="21"/>
    </w:rPr>
  </w:style>
  <w:style w:type="paragraph" w:customStyle="1" w:styleId="29">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126</Pages>
  <Words>3107</Words>
  <Characters>3418</Characters>
  <Lines>0</Lines>
  <Paragraphs>0</Paragraphs>
  <TotalTime>1</TotalTime>
  <ScaleCrop>false</ScaleCrop>
  <LinksUpToDate>false</LinksUpToDate>
  <CharactersWithSpaces>3576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2026-07-09T03:12:00Z</dcterms:created>
  <dc:creator>11</dc:creator>
  <cp:lastModifiedBy>Administrator</cp:lastModifiedBy>
  <dcterms:modified xsi:type="dcterms:W3CDTF">2026-07-09T07:51:44Z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F3051D6EAA6A4A16B9413DC85099790E_11</vt:lpwstr>
  </property>
  <property fmtid="{D5CDD505-2E9C-101B-9397-08002B2CF9AE}" pid="4" name="KSOTemplateDocerSaveRecord">
    <vt:lpwstr>eyJoZGlkIjoiMmI3MGI2Y2EzM2QyODRkM2ZjNTUwYThjYTZiNzZmYWQiLCJ1c2VySWQiOiI0MzYzNjA3NDcifQ==</vt:lpwstr>
  </property>
</Properties>
</file>